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DD678" w14:textId="52BCD734" w:rsidR="005E347E" w:rsidRPr="00AA22C4" w:rsidRDefault="005E347E" w:rsidP="005E347E">
      <w:pPr>
        <w:keepNext/>
        <w:widowControl/>
        <w:spacing w:before="120"/>
        <w:jc w:val="center"/>
        <w:rPr>
          <w:rFonts w:ascii="Lato" w:hAnsi="Lato" w:cs="Times"/>
          <w:b/>
          <w:bCs/>
          <w:color w:val="000000" w:themeColor="text1"/>
        </w:rPr>
      </w:pPr>
      <w:bookmarkStart w:id="0" w:name="_Hlk173417324"/>
      <w:r w:rsidRPr="00AA22C4">
        <w:rPr>
          <w:rFonts w:ascii="Lato" w:hAnsi="Lato" w:cs="Times"/>
          <w:b/>
          <w:bCs/>
          <w:color w:val="000000" w:themeColor="text1"/>
        </w:rPr>
        <w:t>PROGRAM POLITYKI ZDROWOTNEJ</w:t>
      </w:r>
    </w:p>
    <w:tbl>
      <w:tblPr>
        <w:tblW w:w="9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1"/>
        <w:gridCol w:w="2847"/>
        <w:gridCol w:w="581"/>
      </w:tblGrid>
      <w:tr w:rsidR="00B3776C" w:rsidRPr="00B3776C" w14:paraId="47D52491" w14:textId="77777777" w:rsidTr="00775DDD">
        <w:trPr>
          <w:trHeight w:val="195"/>
        </w:trPr>
        <w:tc>
          <w:tcPr>
            <w:tcW w:w="9139" w:type="dxa"/>
            <w:gridSpan w:val="3"/>
            <w:tcBorders>
              <w:bottom w:val="nil"/>
            </w:tcBorders>
          </w:tcPr>
          <w:p w14:paraId="53498DE3" w14:textId="77777777" w:rsidR="005E347E" w:rsidRPr="00AA22C4" w:rsidRDefault="005E347E" w:rsidP="00775DDD">
            <w:pPr>
              <w:keepNext/>
              <w:widowControl/>
              <w:spacing w:before="120"/>
              <w:jc w:val="center"/>
              <w:rPr>
                <w:rFonts w:ascii="Lato" w:hAnsi="Lato" w:cs="Times"/>
                <w:bCs/>
                <w:color w:val="000000" w:themeColor="text1"/>
                <w:sz w:val="16"/>
                <w:szCs w:val="16"/>
                <w:lang w:eastAsia="en-US"/>
              </w:rPr>
            </w:pPr>
          </w:p>
        </w:tc>
      </w:tr>
      <w:tr w:rsidR="00B3776C" w:rsidRPr="00B3776C" w14:paraId="0B759811" w14:textId="77777777" w:rsidTr="00775DDD">
        <w:trPr>
          <w:trHeight w:val="1479"/>
        </w:trPr>
        <w:tc>
          <w:tcPr>
            <w:tcW w:w="5711" w:type="dxa"/>
            <w:tcBorders>
              <w:top w:val="nil"/>
              <w:bottom w:val="nil"/>
              <w:right w:val="nil"/>
            </w:tcBorders>
          </w:tcPr>
          <w:p w14:paraId="56E8A61E" w14:textId="77777777" w:rsidR="005E347E" w:rsidRPr="00AA22C4" w:rsidRDefault="005E347E" w:rsidP="00775DDD">
            <w:pPr>
              <w:keepNext/>
              <w:widowControl/>
              <w:spacing w:before="120"/>
              <w:jc w:val="center"/>
              <w:rPr>
                <w:rFonts w:ascii="Lato" w:hAnsi="Lato" w:cs="Times"/>
                <w:b/>
                <w:bCs/>
                <w:color w:val="000000" w:themeColor="text1"/>
                <w:sz w:val="22"/>
                <w:szCs w:val="22"/>
                <w:lang w:eastAsia="en-US"/>
              </w:rPr>
            </w:pPr>
          </w:p>
        </w:tc>
        <w:tc>
          <w:tcPr>
            <w:tcW w:w="2847" w:type="dxa"/>
            <w:tcBorders>
              <w:top w:val="nil"/>
              <w:left w:val="nil"/>
              <w:bottom w:val="nil"/>
              <w:right w:val="nil"/>
            </w:tcBorders>
          </w:tcPr>
          <w:p w14:paraId="3639A5C4" w14:textId="77777777" w:rsidR="005E347E" w:rsidRPr="00AA22C4" w:rsidRDefault="005E347E" w:rsidP="00775DDD">
            <w:pPr>
              <w:keepNext/>
              <w:widowControl/>
              <w:spacing w:before="120"/>
              <w:jc w:val="center"/>
              <w:rPr>
                <w:rFonts w:ascii="Lato" w:hAnsi="Lato" w:cs="Times"/>
                <w:b/>
                <w:bCs/>
                <w:i/>
                <w:iCs/>
                <w:color w:val="000000" w:themeColor="text1"/>
                <w:sz w:val="22"/>
                <w:szCs w:val="22"/>
                <w:lang w:eastAsia="en-US"/>
              </w:rPr>
            </w:pPr>
            <w:r w:rsidRPr="00AA22C4">
              <w:rPr>
                <w:rFonts w:ascii="Lato" w:hAnsi="Lato" w:cs="Times"/>
                <w:b/>
                <w:bCs/>
                <w:i/>
                <w:iCs/>
                <w:color w:val="000000" w:themeColor="text1"/>
                <w:sz w:val="22"/>
                <w:szCs w:val="22"/>
                <w:lang w:eastAsia="en-US"/>
              </w:rPr>
              <w:t>AKCEPTUJĘ</w:t>
            </w:r>
          </w:p>
          <w:p w14:paraId="5C991403" w14:textId="77777777" w:rsidR="005E347E" w:rsidRPr="00AA22C4" w:rsidRDefault="005E347E" w:rsidP="00775DDD">
            <w:pPr>
              <w:keepNext/>
              <w:widowControl/>
              <w:spacing w:before="120" w:line="240" w:lineRule="auto"/>
              <w:jc w:val="center"/>
              <w:rPr>
                <w:rFonts w:ascii="Lato" w:hAnsi="Lato" w:cs="Times"/>
                <w:b/>
                <w:bCs/>
                <w:i/>
                <w:iCs/>
                <w:color w:val="000000" w:themeColor="text1"/>
                <w:sz w:val="22"/>
                <w:szCs w:val="22"/>
                <w:lang w:eastAsia="en-US"/>
              </w:rPr>
            </w:pPr>
            <w:r w:rsidRPr="00AA22C4">
              <w:rPr>
                <w:rFonts w:ascii="Lato" w:hAnsi="Lato" w:cs="Times"/>
                <w:b/>
                <w:bCs/>
                <w:i/>
                <w:iCs/>
                <w:color w:val="000000" w:themeColor="text1"/>
                <w:sz w:val="22"/>
                <w:szCs w:val="22"/>
                <w:lang w:eastAsia="en-US"/>
              </w:rPr>
              <w:t>……………………..</w:t>
            </w:r>
          </w:p>
          <w:p w14:paraId="77A19FB0" w14:textId="77777777" w:rsidR="005E347E" w:rsidRPr="00AA22C4" w:rsidRDefault="005E347E" w:rsidP="00775DDD">
            <w:pPr>
              <w:keepNext/>
              <w:widowControl/>
              <w:spacing w:before="120"/>
              <w:jc w:val="center"/>
              <w:rPr>
                <w:rFonts w:ascii="Lato" w:hAnsi="Lato" w:cs="Times"/>
                <w:b/>
                <w:bCs/>
                <w:i/>
                <w:iCs/>
                <w:color w:val="000000" w:themeColor="text1"/>
                <w:sz w:val="16"/>
                <w:szCs w:val="16"/>
                <w:lang w:eastAsia="en-US"/>
              </w:rPr>
            </w:pPr>
            <w:r w:rsidRPr="00AA22C4">
              <w:rPr>
                <w:rFonts w:ascii="Lato" w:hAnsi="Lato" w:cs="Times"/>
                <w:b/>
                <w:bCs/>
                <w:i/>
                <w:iCs/>
                <w:color w:val="000000" w:themeColor="text1"/>
                <w:sz w:val="18"/>
                <w:szCs w:val="18"/>
                <w:lang w:eastAsia="en-US"/>
              </w:rPr>
              <w:t>Podpis elektroniczny</w:t>
            </w:r>
          </w:p>
          <w:p w14:paraId="0E7812A9" w14:textId="77777777" w:rsidR="005E347E" w:rsidRPr="00AA22C4" w:rsidRDefault="005E347E" w:rsidP="00775DDD">
            <w:pPr>
              <w:keepNext/>
              <w:widowControl/>
              <w:spacing w:before="120"/>
              <w:jc w:val="center"/>
              <w:rPr>
                <w:rFonts w:ascii="Lato" w:hAnsi="Lato" w:cs="Times"/>
                <w:bCs/>
                <w:color w:val="000000" w:themeColor="text1"/>
                <w:sz w:val="16"/>
                <w:szCs w:val="16"/>
                <w:lang w:eastAsia="en-US"/>
              </w:rPr>
            </w:pPr>
          </w:p>
        </w:tc>
        <w:tc>
          <w:tcPr>
            <w:tcW w:w="580" w:type="dxa"/>
            <w:tcBorders>
              <w:top w:val="nil"/>
              <w:left w:val="nil"/>
              <w:bottom w:val="nil"/>
            </w:tcBorders>
          </w:tcPr>
          <w:p w14:paraId="2F708A47" w14:textId="77777777" w:rsidR="005E347E" w:rsidRPr="00AA22C4" w:rsidRDefault="005E347E" w:rsidP="00775DDD">
            <w:pPr>
              <w:keepNext/>
              <w:widowControl/>
              <w:spacing w:before="120"/>
              <w:jc w:val="center"/>
              <w:rPr>
                <w:rFonts w:ascii="Lato" w:hAnsi="Lato" w:cs="Times"/>
                <w:b/>
                <w:bCs/>
                <w:color w:val="000000" w:themeColor="text1"/>
                <w:sz w:val="22"/>
                <w:szCs w:val="22"/>
                <w:lang w:eastAsia="en-US"/>
              </w:rPr>
            </w:pPr>
          </w:p>
        </w:tc>
      </w:tr>
      <w:tr w:rsidR="00B3776C" w:rsidRPr="00B3776C" w14:paraId="4243D95B" w14:textId="77777777" w:rsidTr="00775DDD">
        <w:trPr>
          <w:trHeight w:val="2416"/>
        </w:trPr>
        <w:tc>
          <w:tcPr>
            <w:tcW w:w="9139" w:type="dxa"/>
            <w:gridSpan w:val="3"/>
            <w:tcBorders>
              <w:top w:val="nil"/>
              <w:bottom w:val="nil"/>
            </w:tcBorders>
          </w:tcPr>
          <w:p w14:paraId="39578896" w14:textId="77777777" w:rsidR="005E347E" w:rsidRPr="00AA22C4" w:rsidRDefault="005E347E" w:rsidP="00775DDD">
            <w:pPr>
              <w:keepNext/>
              <w:widowControl/>
              <w:spacing w:before="120"/>
              <w:jc w:val="center"/>
              <w:rPr>
                <w:rFonts w:ascii="Lato" w:hAnsi="Lato" w:cs="Times"/>
                <w:b/>
                <w:bCs/>
                <w:color w:val="000000" w:themeColor="text1"/>
                <w:sz w:val="28"/>
                <w:lang w:eastAsia="en-US"/>
              </w:rPr>
            </w:pPr>
          </w:p>
          <w:p w14:paraId="6E1FB61C" w14:textId="77777777" w:rsidR="005E347E" w:rsidRPr="00AA22C4" w:rsidRDefault="005E347E" w:rsidP="00775DDD">
            <w:pPr>
              <w:keepNext/>
              <w:widowControl/>
              <w:spacing w:before="120"/>
              <w:jc w:val="center"/>
              <w:rPr>
                <w:rFonts w:ascii="Lato" w:hAnsi="Lato" w:cs="Times"/>
                <w:b/>
                <w:bCs/>
                <w:color w:val="000000" w:themeColor="text1"/>
                <w:sz w:val="28"/>
                <w:lang w:eastAsia="en-US"/>
              </w:rPr>
            </w:pPr>
          </w:p>
          <w:p w14:paraId="519A4549" w14:textId="502A8263" w:rsidR="005E347E" w:rsidRPr="00AA22C4" w:rsidRDefault="005E347E" w:rsidP="00775DDD">
            <w:pPr>
              <w:keepNext/>
              <w:widowControl/>
              <w:spacing w:before="120"/>
              <w:jc w:val="center"/>
              <w:rPr>
                <w:rFonts w:ascii="Lato" w:hAnsi="Lato" w:cs="Times"/>
                <w:b/>
                <w:bCs/>
                <w:color w:val="000000" w:themeColor="text1"/>
                <w:sz w:val="28"/>
                <w:lang w:eastAsia="en-US"/>
              </w:rPr>
            </w:pPr>
            <w:r w:rsidRPr="00AA22C4">
              <w:rPr>
                <w:rFonts w:ascii="Lato" w:hAnsi="Lato" w:cs="Times"/>
                <w:b/>
                <w:bCs/>
                <w:color w:val="000000" w:themeColor="text1"/>
                <w:sz w:val="28"/>
                <w:lang w:eastAsia="en-US"/>
              </w:rPr>
              <w:t>Minister Zdrowia</w:t>
            </w:r>
          </w:p>
          <w:p w14:paraId="2660D7C4" w14:textId="77777777" w:rsidR="005E347E" w:rsidRPr="00AA22C4" w:rsidRDefault="005E347E" w:rsidP="00775DDD">
            <w:pPr>
              <w:keepNext/>
              <w:widowControl/>
              <w:spacing w:before="120"/>
              <w:jc w:val="center"/>
              <w:rPr>
                <w:rFonts w:ascii="Lato" w:hAnsi="Lato" w:cs="Times"/>
                <w:b/>
                <w:bCs/>
                <w:color w:val="000000" w:themeColor="text1"/>
                <w:lang w:eastAsia="en-US"/>
              </w:rPr>
            </w:pPr>
          </w:p>
          <w:p w14:paraId="6C42304D" w14:textId="77777777" w:rsidR="005E347E" w:rsidRPr="00AA22C4" w:rsidRDefault="005E347E" w:rsidP="00775DDD">
            <w:pPr>
              <w:keepNext/>
              <w:widowControl/>
              <w:spacing w:before="120"/>
              <w:jc w:val="center"/>
              <w:rPr>
                <w:rFonts w:ascii="Lato" w:hAnsi="Lato" w:cs="Times"/>
                <w:b/>
                <w:bCs/>
                <w:color w:val="000000" w:themeColor="text1"/>
                <w:lang w:eastAsia="en-US"/>
              </w:rPr>
            </w:pPr>
          </w:p>
        </w:tc>
      </w:tr>
      <w:tr w:rsidR="00B3776C" w:rsidRPr="00B3776C" w14:paraId="53B77D05" w14:textId="77777777" w:rsidTr="00775DDD">
        <w:trPr>
          <w:trHeight w:val="2342"/>
        </w:trPr>
        <w:tc>
          <w:tcPr>
            <w:tcW w:w="9139" w:type="dxa"/>
            <w:gridSpan w:val="3"/>
            <w:tcBorders>
              <w:top w:val="nil"/>
              <w:bottom w:val="nil"/>
            </w:tcBorders>
          </w:tcPr>
          <w:p w14:paraId="3FF65ABD" w14:textId="77777777" w:rsidR="005E347E" w:rsidRPr="00AA22C4" w:rsidRDefault="005E347E" w:rsidP="00775DDD">
            <w:pPr>
              <w:keepNext/>
              <w:widowControl/>
              <w:jc w:val="center"/>
              <w:rPr>
                <w:rFonts w:ascii="Lato" w:hAnsi="Lato" w:cs="Times"/>
                <w:b/>
                <w:bCs/>
                <w:color w:val="000000" w:themeColor="text1"/>
                <w:sz w:val="32"/>
                <w:lang w:eastAsia="en-US"/>
              </w:rPr>
            </w:pPr>
            <w:r w:rsidRPr="00AA22C4">
              <w:rPr>
                <w:rFonts w:ascii="Lato" w:hAnsi="Lato" w:cs="Times"/>
                <w:b/>
                <w:bCs/>
                <w:color w:val="000000" w:themeColor="text1"/>
                <w:sz w:val="32"/>
                <w:lang w:eastAsia="en-US"/>
              </w:rPr>
              <w:t xml:space="preserve">Rządowy program </w:t>
            </w:r>
          </w:p>
          <w:p w14:paraId="1B8E9296" w14:textId="77777777" w:rsidR="00B45CDD" w:rsidRPr="00AA22C4" w:rsidRDefault="005E347E" w:rsidP="00775DDD">
            <w:pPr>
              <w:keepNext/>
              <w:widowControl/>
              <w:jc w:val="center"/>
              <w:rPr>
                <w:rFonts w:ascii="Lato" w:hAnsi="Lato" w:cs="Times"/>
                <w:b/>
                <w:bCs/>
                <w:color w:val="000000" w:themeColor="text1"/>
                <w:sz w:val="32"/>
                <w:lang w:eastAsia="en-US"/>
              </w:rPr>
            </w:pPr>
            <w:r w:rsidRPr="00AA22C4">
              <w:rPr>
                <w:rFonts w:ascii="Lato" w:hAnsi="Lato" w:cs="Times"/>
                <w:b/>
                <w:bCs/>
                <w:color w:val="000000" w:themeColor="text1"/>
                <w:sz w:val="32"/>
                <w:lang w:eastAsia="en-US"/>
              </w:rPr>
              <w:t xml:space="preserve">badań przesiewowych noworodków </w:t>
            </w:r>
          </w:p>
          <w:p w14:paraId="6903E6F7" w14:textId="25252945" w:rsidR="005E347E" w:rsidRPr="00AA22C4" w:rsidRDefault="005E347E" w:rsidP="00775DDD">
            <w:pPr>
              <w:keepNext/>
              <w:widowControl/>
              <w:jc w:val="center"/>
              <w:rPr>
                <w:rFonts w:ascii="Lato" w:hAnsi="Lato" w:cs="Times"/>
                <w:b/>
                <w:bCs/>
                <w:color w:val="000000" w:themeColor="text1"/>
                <w:sz w:val="32"/>
                <w:lang w:eastAsia="en-US"/>
              </w:rPr>
            </w:pPr>
            <w:r w:rsidRPr="00AA22C4">
              <w:rPr>
                <w:rFonts w:ascii="Lato" w:hAnsi="Lato" w:cs="Times"/>
                <w:b/>
                <w:bCs/>
                <w:color w:val="000000" w:themeColor="text1"/>
                <w:sz w:val="32"/>
                <w:lang w:eastAsia="en-US"/>
              </w:rPr>
              <w:t>na lata 2019-2026</w:t>
            </w:r>
          </w:p>
          <w:p w14:paraId="55C0778F" w14:textId="77777777" w:rsidR="005E347E" w:rsidRPr="00AA22C4" w:rsidRDefault="005E347E" w:rsidP="00775DDD">
            <w:pPr>
              <w:keepNext/>
              <w:widowControl/>
              <w:spacing w:before="120"/>
              <w:rPr>
                <w:rFonts w:ascii="Lato" w:hAnsi="Lato" w:cs="Times"/>
                <w:b/>
                <w:bCs/>
                <w:color w:val="000000" w:themeColor="text1"/>
                <w:lang w:eastAsia="en-US"/>
              </w:rPr>
            </w:pPr>
          </w:p>
        </w:tc>
      </w:tr>
      <w:tr w:rsidR="00B3776C" w:rsidRPr="00B3776C" w14:paraId="680185E4" w14:textId="77777777" w:rsidTr="00775DDD">
        <w:trPr>
          <w:trHeight w:val="530"/>
        </w:trPr>
        <w:tc>
          <w:tcPr>
            <w:tcW w:w="9139" w:type="dxa"/>
            <w:gridSpan w:val="3"/>
            <w:tcBorders>
              <w:top w:val="nil"/>
              <w:bottom w:val="nil"/>
            </w:tcBorders>
          </w:tcPr>
          <w:p w14:paraId="4143FB03" w14:textId="77777777" w:rsidR="005E347E" w:rsidRPr="00AA22C4" w:rsidRDefault="005E347E" w:rsidP="00775DDD">
            <w:pPr>
              <w:keepNext/>
              <w:widowControl/>
              <w:spacing w:before="120"/>
              <w:jc w:val="center"/>
              <w:rPr>
                <w:rFonts w:ascii="Lato" w:hAnsi="Lato" w:cs="Times"/>
                <w:b/>
                <w:bCs/>
                <w:color w:val="000000" w:themeColor="text1"/>
                <w:sz w:val="22"/>
                <w:szCs w:val="22"/>
                <w:lang w:eastAsia="en-US"/>
              </w:rPr>
            </w:pPr>
          </w:p>
        </w:tc>
      </w:tr>
      <w:tr w:rsidR="00B3776C" w:rsidRPr="00B3776C" w14:paraId="0AD64238" w14:textId="77777777" w:rsidTr="00775DDD">
        <w:trPr>
          <w:trHeight w:val="1763"/>
        </w:trPr>
        <w:tc>
          <w:tcPr>
            <w:tcW w:w="9139" w:type="dxa"/>
            <w:gridSpan w:val="3"/>
            <w:tcBorders>
              <w:top w:val="nil"/>
              <w:bottom w:val="nil"/>
            </w:tcBorders>
          </w:tcPr>
          <w:p w14:paraId="1D7A79EF" w14:textId="5B87ABA4" w:rsidR="005E347E" w:rsidRPr="00AA22C4" w:rsidRDefault="005E347E" w:rsidP="00775DDD">
            <w:pPr>
              <w:keepNext/>
              <w:widowControl/>
              <w:spacing w:before="120" w:after="120"/>
              <w:jc w:val="center"/>
              <w:rPr>
                <w:rFonts w:ascii="Lato" w:hAnsi="Lato" w:cs="Times"/>
                <w:b/>
                <w:color w:val="000000" w:themeColor="text1"/>
                <w:sz w:val="20"/>
                <w:szCs w:val="20"/>
                <w:lang w:eastAsia="en-US"/>
              </w:rPr>
            </w:pPr>
            <w:r w:rsidRPr="00AA22C4">
              <w:rPr>
                <w:rFonts w:ascii="Lato" w:hAnsi="Lato" w:cs="Arial"/>
                <w:b/>
                <w:color w:val="000000" w:themeColor="text1"/>
                <w:sz w:val="20"/>
                <w:szCs w:val="20"/>
                <w:lang w:eastAsia="en-US"/>
              </w:rPr>
              <w:t xml:space="preserve">Podstawa prawna: art. 48 ustawy z dnia 27 sierpnia 2004 r. o świadczeniach opieki zdrowotnej finansowanych ze środków publicznych </w:t>
            </w:r>
            <w:r w:rsidRPr="00AA22C4">
              <w:rPr>
                <w:rFonts w:ascii="Lato" w:hAnsi="Lato" w:cs="Arial"/>
                <w:b/>
                <w:color w:val="000000" w:themeColor="text1"/>
                <w:sz w:val="20"/>
                <w:szCs w:val="20"/>
                <w:lang w:eastAsia="en-US"/>
              </w:rPr>
              <w:br/>
            </w:r>
            <w:r w:rsidR="00EC498C" w:rsidRPr="00AA22C4">
              <w:rPr>
                <w:rFonts w:ascii="Lato" w:hAnsi="Lato" w:cs="Arial"/>
                <w:b/>
                <w:color w:val="000000" w:themeColor="text1"/>
                <w:sz w:val="20"/>
                <w:szCs w:val="20"/>
                <w:lang w:eastAsia="en-US"/>
              </w:rPr>
              <w:t>(Dz. U. z 2024 r. poz. 146, z późn. zm.)</w:t>
            </w:r>
          </w:p>
          <w:p w14:paraId="7EA49432" w14:textId="77777777" w:rsidR="005E347E" w:rsidRPr="00AA22C4" w:rsidRDefault="005E347E" w:rsidP="00775DDD">
            <w:pPr>
              <w:keepNext/>
              <w:widowControl/>
              <w:spacing w:before="120"/>
              <w:rPr>
                <w:rFonts w:ascii="Lato" w:hAnsi="Lato" w:cs="Times"/>
                <w:b/>
                <w:color w:val="000000" w:themeColor="text1"/>
                <w:sz w:val="22"/>
                <w:szCs w:val="22"/>
                <w:lang w:eastAsia="en-US"/>
              </w:rPr>
            </w:pPr>
          </w:p>
        </w:tc>
      </w:tr>
      <w:tr w:rsidR="00B3776C" w:rsidRPr="00B3776C" w14:paraId="6EBEF0E7" w14:textId="77777777" w:rsidTr="00775DDD">
        <w:trPr>
          <w:trHeight w:val="1109"/>
        </w:trPr>
        <w:tc>
          <w:tcPr>
            <w:tcW w:w="9139" w:type="dxa"/>
            <w:gridSpan w:val="3"/>
            <w:tcBorders>
              <w:top w:val="nil"/>
              <w:bottom w:val="nil"/>
            </w:tcBorders>
          </w:tcPr>
          <w:p w14:paraId="58B72227" w14:textId="77777777" w:rsidR="005E347E" w:rsidRPr="00AA22C4" w:rsidRDefault="005E347E" w:rsidP="00775DDD">
            <w:pPr>
              <w:keepNext/>
              <w:widowControl/>
              <w:jc w:val="center"/>
              <w:rPr>
                <w:rFonts w:ascii="Lato" w:hAnsi="Lato" w:cs="Times"/>
                <w:bCs/>
                <w:color w:val="000000" w:themeColor="text1"/>
                <w:sz w:val="20"/>
                <w:szCs w:val="20"/>
                <w:lang w:eastAsia="en-US"/>
              </w:rPr>
            </w:pPr>
          </w:p>
          <w:p w14:paraId="04A61AC6" w14:textId="77777777" w:rsidR="005E347E" w:rsidRPr="00AA22C4" w:rsidRDefault="005E347E" w:rsidP="00775DDD">
            <w:pPr>
              <w:keepNext/>
              <w:widowControl/>
              <w:jc w:val="center"/>
              <w:rPr>
                <w:rFonts w:ascii="Lato" w:hAnsi="Lato" w:cs="Times"/>
                <w:bCs/>
                <w:color w:val="000000" w:themeColor="text1"/>
                <w:sz w:val="20"/>
                <w:szCs w:val="20"/>
                <w:lang w:eastAsia="en-US"/>
              </w:rPr>
            </w:pPr>
            <w:r w:rsidRPr="00AA22C4">
              <w:rPr>
                <w:rFonts w:ascii="Lato" w:hAnsi="Lato" w:cs="Times"/>
                <w:bCs/>
                <w:color w:val="000000" w:themeColor="text1"/>
                <w:sz w:val="20"/>
                <w:szCs w:val="20"/>
                <w:lang w:eastAsia="en-US"/>
              </w:rPr>
              <w:t>Warszawa, 2022 r.</w:t>
            </w:r>
          </w:p>
          <w:p w14:paraId="735DC0EB" w14:textId="410BB3DE" w:rsidR="005E347E" w:rsidRPr="00AA22C4" w:rsidRDefault="005E347E" w:rsidP="00775DDD">
            <w:pPr>
              <w:keepNext/>
              <w:widowControl/>
              <w:jc w:val="center"/>
              <w:rPr>
                <w:rFonts w:ascii="Lato" w:hAnsi="Lato" w:cs="Times"/>
                <w:bCs/>
                <w:color w:val="000000" w:themeColor="text1"/>
                <w:sz w:val="20"/>
                <w:szCs w:val="20"/>
                <w:lang w:eastAsia="en-US"/>
              </w:rPr>
            </w:pPr>
            <w:r w:rsidRPr="00AA22C4">
              <w:rPr>
                <w:rFonts w:ascii="Lato" w:hAnsi="Lato" w:cs="Times"/>
                <w:bCs/>
                <w:color w:val="000000" w:themeColor="text1"/>
                <w:sz w:val="20"/>
                <w:szCs w:val="20"/>
                <w:lang w:eastAsia="en-US"/>
              </w:rPr>
              <w:t>(aktualizacja 202</w:t>
            </w:r>
            <w:r w:rsidR="00AA5C9B" w:rsidRPr="00AA22C4">
              <w:rPr>
                <w:rFonts w:ascii="Lato" w:hAnsi="Lato" w:cs="Times"/>
                <w:bCs/>
                <w:color w:val="000000" w:themeColor="text1"/>
                <w:sz w:val="20"/>
                <w:szCs w:val="20"/>
                <w:lang w:eastAsia="en-US"/>
              </w:rPr>
              <w:t>5</w:t>
            </w:r>
            <w:r w:rsidRPr="00AA22C4">
              <w:rPr>
                <w:rFonts w:ascii="Lato" w:hAnsi="Lato" w:cs="Times"/>
                <w:bCs/>
                <w:color w:val="000000" w:themeColor="text1"/>
                <w:sz w:val="20"/>
                <w:szCs w:val="20"/>
                <w:lang w:eastAsia="en-US"/>
              </w:rPr>
              <w:t xml:space="preserve"> r.)</w:t>
            </w:r>
          </w:p>
        </w:tc>
      </w:tr>
      <w:tr w:rsidR="00B83AA3" w:rsidRPr="00AA22C4" w14:paraId="5A83BB13" w14:textId="77777777" w:rsidTr="00144EA0">
        <w:trPr>
          <w:trHeight w:val="598"/>
        </w:trPr>
        <w:tc>
          <w:tcPr>
            <w:tcW w:w="9139" w:type="dxa"/>
            <w:gridSpan w:val="3"/>
            <w:tcBorders>
              <w:top w:val="nil"/>
            </w:tcBorders>
          </w:tcPr>
          <w:p w14:paraId="2E2CBFBC" w14:textId="77777777" w:rsidR="005E347E" w:rsidRPr="00AA22C4" w:rsidRDefault="005E347E" w:rsidP="00775DDD">
            <w:pPr>
              <w:keepNext/>
              <w:widowControl/>
              <w:spacing w:line="240" w:lineRule="auto"/>
              <w:jc w:val="center"/>
              <w:rPr>
                <w:rFonts w:ascii="Lato" w:hAnsi="Lato" w:cs="Times"/>
                <w:bCs/>
                <w:color w:val="000000" w:themeColor="text1"/>
                <w:sz w:val="22"/>
                <w:szCs w:val="22"/>
                <w:lang w:eastAsia="en-US"/>
              </w:rPr>
            </w:pPr>
          </w:p>
          <w:p w14:paraId="05C465D8" w14:textId="1313402E" w:rsidR="005E347E" w:rsidRPr="00AA22C4" w:rsidRDefault="005E347E" w:rsidP="00775DDD">
            <w:pPr>
              <w:keepNext/>
              <w:widowControl/>
              <w:spacing w:line="240" w:lineRule="auto"/>
              <w:jc w:val="center"/>
              <w:rPr>
                <w:rFonts w:ascii="Lato" w:hAnsi="Lato" w:cs="Times"/>
                <w:bCs/>
                <w:color w:val="000000" w:themeColor="text1"/>
                <w:sz w:val="22"/>
                <w:szCs w:val="22"/>
                <w:lang w:eastAsia="en-US"/>
              </w:rPr>
            </w:pPr>
          </w:p>
        </w:tc>
      </w:tr>
    </w:tbl>
    <w:p w14:paraId="0AACBD2B" w14:textId="77777777" w:rsidR="005E347E" w:rsidRPr="00AA22C4" w:rsidRDefault="005E347E" w:rsidP="005E347E">
      <w:pPr>
        <w:rPr>
          <w:rFonts w:ascii="Lato" w:hAnsi="Lato"/>
          <w:b/>
          <w:color w:val="000000" w:themeColor="text1"/>
          <w:sz w:val="32"/>
        </w:rPr>
      </w:pPr>
    </w:p>
    <w:p w14:paraId="1FE1D85D" w14:textId="7D43B14F" w:rsidR="005E347E" w:rsidRPr="00AA22C4" w:rsidRDefault="00144EA0" w:rsidP="00144EA0">
      <w:pPr>
        <w:jc w:val="center"/>
        <w:rPr>
          <w:rFonts w:ascii="Lato" w:hAnsi="Lato"/>
          <w:b/>
          <w:color w:val="000000" w:themeColor="text1"/>
          <w:sz w:val="32"/>
        </w:rPr>
      </w:pPr>
      <w:r w:rsidRPr="00AA22C4">
        <w:rPr>
          <w:rFonts w:ascii="Lato" w:hAnsi="Lato"/>
          <w:noProof/>
          <w:color w:val="000000" w:themeColor="text1"/>
        </w:rPr>
        <w:drawing>
          <wp:inline distT="0" distB="0" distL="0" distR="0" wp14:anchorId="28F61E22" wp14:editId="04EED0B4">
            <wp:extent cx="2124075" cy="942975"/>
            <wp:effectExtent l="0" t="0" r="0" b="0"/>
            <wp:docPr id="1" name="Obraz 1" descr="Obraz zawierający tekst, Czcionka, logo,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tekst, Czcionka, logo, Grafika&#10;&#10;Opis wygenerowany automatyczn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4075" cy="942975"/>
                    </a:xfrm>
                    <a:prstGeom prst="rect">
                      <a:avLst/>
                    </a:prstGeom>
                    <a:noFill/>
                    <a:ln>
                      <a:noFill/>
                    </a:ln>
                  </pic:spPr>
                </pic:pic>
              </a:graphicData>
            </a:graphic>
          </wp:inline>
        </w:drawing>
      </w:r>
    </w:p>
    <w:p w14:paraId="3636350A" w14:textId="77777777" w:rsidR="005E347E" w:rsidRPr="00AA22C4" w:rsidRDefault="005E347E" w:rsidP="005E347E">
      <w:pPr>
        <w:rPr>
          <w:rFonts w:ascii="Lato" w:hAnsi="Lato"/>
          <w:b/>
          <w:color w:val="000000" w:themeColor="text1"/>
          <w:sz w:val="32"/>
        </w:rPr>
      </w:pPr>
    </w:p>
    <w:p w14:paraId="589D7E86" w14:textId="77777777" w:rsidR="005E347E" w:rsidRPr="00AA22C4" w:rsidRDefault="005E347E" w:rsidP="005E347E">
      <w:pPr>
        <w:rPr>
          <w:rFonts w:ascii="Lato" w:hAnsi="Lato"/>
          <w:b/>
          <w:color w:val="000000" w:themeColor="text1"/>
          <w:sz w:val="32"/>
        </w:rPr>
      </w:pPr>
      <w:r w:rsidRPr="00AA22C4">
        <w:rPr>
          <w:rFonts w:ascii="Lato" w:hAnsi="Lato"/>
          <w:b/>
          <w:color w:val="000000" w:themeColor="text1"/>
          <w:sz w:val="32"/>
        </w:rPr>
        <w:lastRenderedPageBreak/>
        <w:t>Spis treści</w:t>
      </w:r>
    </w:p>
    <w:p w14:paraId="2D0BB5DE" w14:textId="556E4897" w:rsidR="005E347E" w:rsidRPr="00AA22C4" w:rsidRDefault="005E347E" w:rsidP="005E347E">
      <w:pPr>
        <w:pStyle w:val="Spistreci1"/>
        <w:tabs>
          <w:tab w:val="left" w:pos="142"/>
          <w:tab w:val="right" w:leader="dot" w:pos="9044"/>
        </w:tabs>
        <w:spacing w:line="360" w:lineRule="auto"/>
        <w:rPr>
          <w:rFonts w:ascii="Lato" w:eastAsia="Times New Roman" w:hAnsi="Lato"/>
          <w:noProof/>
          <w:color w:val="000000" w:themeColor="text1"/>
          <w:kern w:val="0"/>
          <w:sz w:val="20"/>
          <w:szCs w:val="20"/>
          <w:lang w:eastAsia="pl-PL"/>
        </w:rPr>
      </w:pPr>
      <w:r w:rsidRPr="00AA22C4">
        <w:rPr>
          <w:rFonts w:ascii="Lato" w:hAnsi="Lato"/>
          <w:color w:val="000000" w:themeColor="text1"/>
        </w:rPr>
        <w:fldChar w:fldCharType="begin"/>
      </w:r>
      <w:r w:rsidRPr="00AA22C4">
        <w:rPr>
          <w:rFonts w:ascii="Lato" w:hAnsi="Lato"/>
          <w:color w:val="000000" w:themeColor="text1"/>
        </w:rPr>
        <w:instrText xml:space="preserve"> TOC \o "1-3" \h \z \u </w:instrText>
      </w:r>
      <w:r w:rsidRPr="00AA22C4">
        <w:rPr>
          <w:rFonts w:ascii="Lato" w:hAnsi="Lato"/>
          <w:color w:val="000000" w:themeColor="text1"/>
        </w:rPr>
        <w:fldChar w:fldCharType="separate"/>
      </w:r>
      <w:hyperlink w:anchor="_Toc514072276" w:history="1">
        <w:r w:rsidRPr="00AA22C4">
          <w:rPr>
            <w:rStyle w:val="Hipercze"/>
            <w:rFonts w:ascii="Lato" w:hAnsi="Lato"/>
            <w:noProof/>
            <w:color w:val="000000" w:themeColor="text1"/>
            <w:sz w:val="22"/>
            <w:szCs w:val="22"/>
          </w:rPr>
          <w:t>I.</w:t>
        </w:r>
        <w:r w:rsidRPr="00AA22C4">
          <w:rPr>
            <w:rFonts w:ascii="Lato" w:eastAsia="Times New Roman" w:hAnsi="Lato"/>
            <w:noProof/>
            <w:color w:val="000000" w:themeColor="text1"/>
            <w:kern w:val="0"/>
            <w:sz w:val="20"/>
            <w:szCs w:val="20"/>
            <w:lang w:eastAsia="pl-PL"/>
          </w:rPr>
          <w:tab/>
          <w:t xml:space="preserve"> </w:t>
        </w:r>
        <w:r w:rsidRPr="00AA22C4">
          <w:rPr>
            <w:rStyle w:val="Hipercze"/>
            <w:rFonts w:ascii="Lato" w:hAnsi="Lato"/>
            <w:noProof/>
            <w:color w:val="000000" w:themeColor="text1"/>
            <w:sz w:val="22"/>
            <w:szCs w:val="22"/>
          </w:rPr>
          <w:t>Opis problemu zdrowotnego i uzasadnienie wprowadzenia programu polityki zdrowotnej</w:t>
        </w:r>
        <w:r w:rsidRPr="00AA22C4">
          <w:rPr>
            <w:rFonts w:ascii="Lato" w:hAnsi="Lato"/>
            <w:noProof/>
            <w:webHidden/>
            <w:color w:val="000000" w:themeColor="text1"/>
            <w:sz w:val="22"/>
            <w:szCs w:val="22"/>
          </w:rPr>
          <w:tab/>
        </w:r>
        <w:r w:rsidRPr="00AA22C4">
          <w:rPr>
            <w:rFonts w:ascii="Lato" w:hAnsi="Lato"/>
            <w:noProof/>
            <w:webHidden/>
            <w:color w:val="000000" w:themeColor="text1"/>
            <w:sz w:val="22"/>
            <w:szCs w:val="22"/>
          </w:rPr>
          <w:fldChar w:fldCharType="begin"/>
        </w:r>
        <w:r w:rsidRPr="00AA22C4">
          <w:rPr>
            <w:rFonts w:ascii="Lato" w:hAnsi="Lato"/>
            <w:noProof/>
            <w:webHidden/>
            <w:color w:val="000000" w:themeColor="text1"/>
            <w:sz w:val="22"/>
            <w:szCs w:val="22"/>
          </w:rPr>
          <w:instrText xml:space="preserve"> PAGEREF _Toc514072276 \h </w:instrText>
        </w:r>
        <w:r w:rsidRPr="00AA22C4">
          <w:rPr>
            <w:rFonts w:ascii="Lato" w:hAnsi="Lato"/>
            <w:noProof/>
            <w:webHidden/>
            <w:color w:val="000000" w:themeColor="text1"/>
            <w:sz w:val="22"/>
            <w:szCs w:val="22"/>
          </w:rPr>
        </w:r>
        <w:r w:rsidRPr="00AA22C4">
          <w:rPr>
            <w:rFonts w:ascii="Lato" w:hAnsi="Lato"/>
            <w:noProof/>
            <w:webHidden/>
            <w:color w:val="000000" w:themeColor="text1"/>
            <w:sz w:val="22"/>
            <w:szCs w:val="22"/>
          </w:rPr>
          <w:fldChar w:fldCharType="separate"/>
        </w:r>
        <w:r w:rsidR="0010573C">
          <w:rPr>
            <w:rFonts w:ascii="Lato" w:hAnsi="Lato"/>
            <w:noProof/>
            <w:webHidden/>
            <w:color w:val="000000" w:themeColor="text1"/>
            <w:sz w:val="22"/>
            <w:szCs w:val="22"/>
          </w:rPr>
          <w:t>3</w:t>
        </w:r>
        <w:r w:rsidRPr="00AA22C4">
          <w:rPr>
            <w:rFonts w:ascii="Lato" w:hAnsi="Lato"/>
            <w:noProof/>
            <w:webHidden/>
            <w:color w:val="000000" w:themeColor="text1"/>
            <w:sz w:val="22"/>
            <w:szCs w:val="22"/>
          </w:rPr>
          <w:fldChar w:fldCharType="end"/>
        </w:r>
      </w:hyperlink>
    </w:p>
    <w:p w14:paraId="354CE1A9" w14:textId="5C940872" w:rsidR="005E347E" w:rsidRPr="00AA22C4" w:rsidRDefault="005E347E" w:rsidP="005E347E">
      <w:pPr>
        <w:pStyle w:val="Spistreci2"/>
        <w:tabs>
          <w:tab w:val="left" w:pos="284"/>
          <w:tab w:val="left" w:pos="709"/>
          <w:tab w:val="right" w:leader="dot" w:pos="9044"/>
        </w:tabs>
        <w:spacing w:line="360" w:lineRule="auto"/>
        <w:rPr>
          <w:rFonts w:ascii="Lato" w:hAnsi="Lato"/>
          <w:noProof/>
          <w:color w:val="000000" w:themeColor="text1"/>
          <w:sz w:val="22"/>
          <w:szCs w:val="22"/>
        </w:rPr>
      </w:pPr>
      <w:hyperlink w:anchor="_Toc514072277" w:history="1">
        <w:r w:rsidRPr="00AA22C4">
          <w:rPr>
            <w:rStyle w:val="Hipercze"/>
            <w:rFonts w:ascii="Lato" w:hAnsi="Lato"/>
            <w:noProof/>
            <w:color w:val="000000" w:themeColor="text1"/>
            <w:sz w:val="22"/>
            <w:szCs w:val="22"/>
          </w:rPr>
          <w:t>1.1.</w:t>
        </w:r>
        <w:r w:rsidRPr="00AA22C4">
          <w:rPr>
            <w:rFonts w:ascii="Lato" w:eastAsia="Times New Roman" w:hAnsi="Lato"/>
            <w:noProof/>
            <w:color w:val="000000" w:themeColor="text1"/>
            <w:kern w:val="0"/>
            <w:sz w:val="20"/>
            <w:szCs w:val="20"/>
            <w:lang w:eastAsia="pl-PL"/>
          </w:rPr>
          <w:tab/>
        </w:r>
        <w:r w:rsidRPr="00AA22C4">
          <w:rPr>
            <w:rStyle w:val="Hipercze"/>
            <w:rFonts w:ascii="Lato" w:hAnsi="Lato"/>
            <w:noProof/>
            <w:color w:val="000000" w:themeColor="text1"/>
            <w:sz w:val="22"/>
            <w:szCs w:val="22"/>
          </w:rPr>
          <w:t>Opis problemu zdrowotnego</w:t>
        </w:r>
        <w:r w:rsidRPr="00AA22C4">
          <w:rPr>
            <w:rFonts w:ascii="Lato" w:hAnsi="Lato"/>
            <w:noProof/>
            <w:webHidden/>
            <w:color w:val="000000" w:themeColor="text1"/>
            <w:sz w:val="22"/>
            <w:szCs w:val="22"/>
          </w:rPr>
          <w:tab/>
        </w:r>
        <w:r w:rsidRPr="00AA22C4">
          <w:rPr>
            <w:rFonts w:ascii="Lato" w:hAnsi="Lato"/>
            <w:noProof/>
            <w:webHidden/>
            <w:color w:val="000000" w:themeColor="text1"/>
            <w:sz w:val="22"/>
            <w:szCs w:val="22"/>
          </w:rPr>
          <w:fldChar w:fldCharType="begin"/>
        </w:r>
        <w:r w:rsidRPr="00AA22C4">
          <w:rPr>
            <w:rFonts w:ascii="Lato" w:hAnsi="Lato"/>
            <w:noProof/>
            <w:webHidden/>
            <w:color w:val="000000" w:themeColor="text1"/>
            <w:sz w:val="22"/>
            <w:szCs w:val="22"/>
          </w:rPr>
          <w:instrText xml:space="preserve"> PAGEREF _Toc514072277 \h </w:instrText>
        </w:r>
        <w:r w:rsidRPr="00AA22C4">
          <w:rPr>
            <w:rFonts w:ascii="Lato" w:hAnsi="Lato"/>
            <w:noProof/>
            <w:webHidden/>
            <w:color w:val="000000" w:themeColor="text1"/>
            <w:sz w:val="22"/>
            <w:szCs w:val="22"/>
          </w:rPr>
        </w:r>
        <w:r w:rsidRPr="00AA22C4">
          <w:rPr>
            <w:rFonts w:ascii="Lato" w:hAnsi="Lato"/>
            <w:noProof/>
            <w:webHidden/>
            <w:color w:val="000000" w:themeColor="text1"/>
            <w:sz w:val="22"/>
            <w:szCs w:val="22"/>
          </w:rPr>
          <w:fldChar w:fldCharType="separate"/>
        </w:r>
        <w:r w:rsidR="0010573C">
          <w:rPr>
            <w:rFonts w:ascii="Lato" w:hAnsi="Lato"/>
            <w:noProof/>
            <w:webHidden/>
            <w:color w:val="000000" w:themeColor="text1"/>
            <w:sz w:val="22"/>
            <w:szCs w:val="22"/>
          </w:rPr>
          <w:t>3</w:t>
        </w:r>
        <w:r w:rsidRPr="00AA22C4">
          <w:rPr>
            <w:rFonts w:ascii="Lato" w:hAnsi="Lato"/>
            <w:noProof/>
            <w:webHidden/>
            <w:color w:val="000000" w:themeColor="text1"/>
            <w:sz w:val="22"/>
            <w:szCs w:val="22"/>
          </w:rPr>
          <w:fldChar w:fldCharType="end"/>
        </w:r>
      </w:hyperlink>
    </w:p>
    <w:p w14:paraId="6179EC54" w14:textId="5A9DDBE2" w:rsidR="005E347E" w:rsidRPr="00AA22C4" w:rsidRDefault="005E347E" w:rsidP="005E347E">
      <w:pPr>
        <w:ind w:firstLine="240"/>
        <w:rPr>
          <w:rFonts w:ascii="Lato" w:hAnsi="Lato"/>
          <w:noProof/>
          <w:color w:val="000000" w:themeColor="text1"/>
          <w:sz w:val="22"/>
          <w:szCs w:val="22"/>
          <w:lang w:eastAsia="ar-SA"/>
        </w:rPr>
      </w:pPr>
      <w:r w:rsidRPr="00AA22C4">
        <w:rPr>
          <w:rFonts w:ascii="Lato" w:hAnsi="Lato"/>
          <w:noProof/>
          <w:color w:val="000000" w:themeColor="text1"/>
          <w:sz w:val="22"/>
          <w:szCs w:val="22"/>
          <w:lang w:eastAsia="ar-SA"/>
        </w:rPr>
        <w:t xml:space="preserve">1.1.1. Choroby objęte </w:t>
      </w:r>
      <w:hyperlink w:anchor="_1.1.1._Choroby_objęte" w:history="1">
        <w:r w:rsidRPr="00AA22C4">
          <w:rPr>
            <w:rStyle w:val="Hipercze"/>
            <w:rFonts w:ascii="Lato" w:hAnsi="Lato"/>
            <w:noProof/>
            <w:color w:val="000000" w:themeColor="text1"/>
            <w:sz w:val="22"/>
            <w:szCs w:val="22"/>
            <w:lang w:eastAsia="ar-SA"/>
          </w:rPr>
          <w:t>programem</w:t>
        </w:r>
      </w:hyperlink>
      <w:r w:rsidRPr="00AA22C4">
        <w:rPr>
          <w:rFonts w:ascii="Lato" w:hAnsi="Lato"/>
          <w:noProof/>
          <w:color w:val="000000" w:themeColor="text1"/>
          <w:sz w:val="22"/>
          <w:szCs w:val="22"/>
          <w:lang w:eastAsia="ar-SA"/>
        </w:rPr>
        <w:t xml:space="preserve"> badań przesiewowym noworodków ……………………………….5</w:t>
      </w:r>
    </w:p>
    <w:p w14:paraId="1D6C4DDA" w14:textId="039C7311" w:rsidR="005E347E" w:rsidRPr="00AA22C4" w:rsidRDefault="005E347E" w:rsidP="005E347E">
      <w:pPr>
        <w:ind w:left="240"/>
        <w:rPr>
          <w:rFonts w:ascii="Lato" w:hAnsi="Lato"/>
          <w:noProof/>
          <w:color w:val="000000" w:themeColor="text1"/>
          <w:sz w:val="22"/>
          <w:szCs w:val="22"/>
          <w:lang w:eastAsia="ar-SA"/>
        </w:rPr>
      </w:pPr>
      <w:hyperlink w:anchor="_1.1.2_Choroby_objęte" w:history="1">
        <w:r w:rsidRPr="00AA22C4">
          <w:rPr>
            <w:rStyle w:val="Hipercze"/>
            <w:rFonts w:ascii="Lato" w:hAnsi="Lato"/>
            <w:noProof/>
            <w:color w:val="000000" w:themeColor="text1"/>
            <w:sz w:val="22"/>
            <w:szCs w:val="22"/>
            <w:lang w:eastAsia="ar-SA"/>
          </w:rPr>
          <w:t xml:space="preserve">1.1.2 Choroby objęte badaniem pilotażowym – planowane do wdrożenia po zakończeniu </w:t>
        </w:r>
        <w:r w:rsidR="00C450C0">
          <w:rPr>
            <w:rStyle w:val="Hipercze"/>
            <w:rFonts w:ascii="Lato" w:hAnsi="Lato"/>
            <w:noProof/>
            <w:color w:val="000000" w:themeColor="text1"/>
            <w:sz w:val="22"/>
            <w:szCs w:val="22"/>
            <w:lang w:eastAsia="ar-SA"/>
          </w:rPr>
          <w:t xml:space="preserve">  </w:t>
        </w:r>
        <w:r w:rsidRPr="00AA22C4">
          <w:rPr>
            <w:rStyle w:val="Hipercze"/>
            <w:rFonts w:ascii="Lato" w:hAnsi="Lato"/>
            <w:noProof/>
            <w:color w:val="000000" w:themeColor="text1"/>
            <w:sz w:val="22"/>
            <w:szCs w:val="22"/>
            <w:lang w:eastAsia="ar-SA"/>
          </w:rPr>
          <w:t>pilotażu</w:t>
        </w:r>
      </w:hyperlink>
      <w:r w:rsidRPr="00AA22C4">
        <w:rPr>
          <w:rFonts w:ascii="Lato" w:hAnsi="Lato"/>
          <w:noProof/>
          <w:color w:val="000000" w:themeColor="text1"/>
          <w:sz w:val="22"/>
          <w:szCs w:val="22"/>
          <w:lang w:eastAsia="ar-SA"/>
        </w:rPr>
        <w:t>………………………………………………………………………………………………………………………………..</w:t>
      </w:r>
      <w:r w:rsidRPr="00D7234C">
        <w:rPr>
          <w:rFonts w:ascii="Lato" w:hAnsi="Lato"/>
          <w:noProof/>
          <w:color w:val="000000" w:themeColor="text1"/>
          <w:sz w:val="22"/>
          <w:szCs w:val="22"/>
          <w:lang w:eastAsia="ar-SA"/>
        </w:rPr>
        <w:t>3</w:t>
      </w:r>
      <w:r w:rsidR="00D7234C" w:rsidRPr="00D7234C">
        <w:rPr>
          <w:rFonts w:ascii="Lato" w:hAnsi="Lato"/>
          <w:noProof/>
          <w:color w:val="000000" w:themeColor="text1"/>
          <w:sz w:val="22"/>
          <w:szCs w:val="22"/>
          <w:lang w:eastAsia="ar-SA"/>
        </w:rPr>
        <w:t>3</w:t>
      </w:r>
    </w:p>
    <w:p w14:paraId="5EF356EC" w14:textId="59B7DD18" w:rsidR="005E347E" w:rsidRPr="00AA22C4" w:rsidRDefault="005E347E" w:rsidP="005E347E">
      <w:pPr>
        <w:pStyle w:val="Spistreci2"/>
        <w:tabs>
          <w:tab w:val="left" w:pos="284"/>
          <w:tab w:val="left" w:pos="709"/>
          <w:tab w:val="right" w:leader="dot" w:pos="9044"/>
        </w:tabs>
        <w:spacing w:line="360" w:lineRule="auto"/>
        <w:rPr>
          <w:rFonts w:ascii="Lato" w:eastAsia="Times New Roman" w:hAnsi="Lato"/>
          <w:noProof/>
          <w:color w:val="000000" w:themeColor="text1"/>
          <w:kern w:val="0"/>
          <w:sz w:val="20"/>
          <w:szCs w:val="20"/>
          <w:lang w:eastAsia="pl-PL"/>
        </w:rPr>
      </w:pPr>
      <w:hyperlink w:anchor="_Toc514072278" w:history="1">
        <w:r w:rsidRPr="00AA22C4">
          <w:rPr>
            <w:rStyle w:val="Hipercze"/>
            <w:rFonts w:ascii="Lato" w:hAnsi="Lato"/>
            <w:noProof/>
            <w:color w:val="000000" w:themeColor="text1"/>
            <w:sz w:val="22"/>
            <w:szCs w:val="22"/>
          </w:rPr>
          <w:t>1.2.</w:t>
        </w:r>
        <w:r w:rsidRPr="00AA22C4">
          <w:rPr>
            <w:rFonts w:ascii="Lato" w:eastAsia="Times New Roman" w:hAnsi="Lato"/>
            <w:noProof/>
            <w:color w:val="000000" w:themeColor="text1"/>
            <w:kern w:val="0"/>
            <w:sz w:val="20"/>
            <w:szCs w:val="20"/>
            <w:lang w:eastAsia="pl-PL"/>
          </w:rPr>
          <w:tab/>
        </w:r>
        <w:r w:rsidRPr="00AA22C4">
          <w:rPr>
            <w:rStyle w:val="Hipercze"/>
            <w:rFonts w:ascii="Lato" w:hAnsi="Lato"/>
            <w:noProof/>
            <w:color w:val="000000" w:themeColor="text1"/>
            <w:sz w:val="22"/>
            <w:szCs w:val="22"/>
          </w:rPr>
          <w:t>Dane epidemiologiczne</w:t>
        </w:r>
        <w:r w:rsidRPr="00AA22C4">
          <w:rPr>
            <w:rFonts w:ascii="Lato" w:hAnsi="Lato"/>
            <w:noProof/>
            <w:webHidden/>
            <w:color w:val="000000" w:themeColor="text1"/>
            <w:sz w:val="22"/>
            <w:szCs w:val="22"/>
          </w:rPr>
          <w:tab/>
        </w:r>
        <w:r w:rsidRPr="00AA22C4">
          <w:rPr>
            <w:rFonts w:ascii="Lato" w:hAnsi="Lato"/>
            <w:noProof/>
            <w:webHidden/>
            <w:color w:val="000000" w:themeColor="text1"/>
            <w:sz w:val="22"/>
            <w:szCs w:val="22"/>
          </w:rPr>
          <w:fldChar w:fldCharType="begin"/>
        </w:r>
        <w:r w:rsidRPr="00AA22C4">
          <w:rPr>
            <w:rFonts w:ascii="Lato" w:hAnsi="Lato"/>
            <w:noProof/>
            <w:webHidden/>
            <w:color w:val="000000" w:themeColor="text1"/>
            <w:sz w:val="22"/>
            <w:szCs w:val="22"/>
          </w:rPr>
          <w:instrText xml:space="preserve"> PAGEREF _Toc514072278 \h </w:instrText>
        </w:r>
        <w:r w:rsidRPr="00AA22C4">
          <w:rPr>
            <w:rFonts w:ascii="Lato" w:hAnsi="Lato"/>
            <w:noProof/>
            <w:webHidden/>
            <w:color w:val="000000" w:themeColor="text1"/>
            <w:sz w:val="22"/>
            <w:szCs w:val="22"/>
          </w:rPr>
        </w:r>
        <w:r w:rsidRPr="00AA22C4">
          <w:rPr>
            <w:rFonts w:ascii="Lato" w:hAnsi="Lato"/>
            <w:noProof/>
            <w:webHidden/>
            <w:color w:val="000000" w:themeColor="text1"/>
            <w:sz w:val="22"/>
            <w:szCs w:val="22"/>
          </w:rPr>
          <w:fldChar w:fldCharType="separate"/>
        </w:r>
        <w:r w:rsidR="0010573C">
          <w:rPr>
            <w:rFonts w:ascii="Lato" w:hAnsi="Lato"/>
            <w:noProof/>
            <w:webHidden/>
            <w:color w:val="000000" w:themeColor="text1"/>
            <w:sz w:val="22"/>
            <w:szCs w:val="22"/>
          </w:rPr>
          <w:t>54</w:t>
        </w:r>
        <w:r w:rsidRPr="00AA22C4">
          <w:rPr>
            <w:rFonts w:ascii="Lato" w:hAnsi="Lato"/>
            <w:noProof/>
            <w:webHidden/>
            <w:color w:val="000000" w:themeColor="text1"/>
            <w:sz w:val="22"/>
            <w:szCs w:val="22"/>
          </w:rPr>
          <w:fldChar w:fldCharType="end"/>
        </w:r>
      </w:hyperlink>
    </w:p>
    <w:p w14:paraId="385A7473" w14:textId="73BB2C8D" w:rsidR="005E347E" w:rsidRPr="00AA22C4" w:rsidRDefault="005E347E" w:rsidP="005E347E">
      <w:pPr>
        <w:pStyle w:val="Spistreci2"/>
        <w:tabs>
          <w:tab w:val="left" w:pos="284"/>
          <w:tab w:val="left" w:pos="709"/>
          <w:tab w:val="right" w:leader="dot" w:pos="9044"/>
        </w:tabs>
        <w:spacing w:line="360" w:lineRule="auto"/>
        <w:rPr>
          <w:rFonts w:ascii="Lato" w:eastAsia="Times New Roman" w:hAnsi="Lato"/>
          <w:noProof/>
          <w:color w:val="000000" w:themeColor="text1"/>
          <w:kern w:val="0"/>
          <w:sz w:val="20"/>
          <w:szCs w:val="20"/>
          <w:lang w:eastAsia="pl-PL"/>
        </w:rPr>
      </w:pPr>
      <w:hyperlink w:anchor="_Toc514072279" w:history="1">
        <w:r w:rsidRPr="00AA22C4">
          <w:rPr>
            <w:rStyle w:val="Hipercze"/>
            <w:rFonts w:ascii="Lato" w:hAnsi="Lato"/>
            <w:noProof/>
            <w:color w:val="000000" w:themeColor="text1"/>
            <w:sz w:val="22"/>
            <w:szCs w:val="22"/>
          </w:rPr>
          <w:t>1.3.</w:t>
        </w:r>
        <w:r w:rsidRPr="00AA22C4">
          <w:rPr>
            <w:rFonts w:ascii="Lato" w:eastAsia="Times New Roman" w:hAnsi="Lato"/>
            <w:noProof/>
            <w:color w:val="000000" w:themeColor="text1"/>
            <w:kern w:val="0"/>
            <w:sz w:val="20"/>
            <w:szCs w:val="20"/>
            <w:lang w:eastAsia="pl-PL"/>
          </w:rPr>
          <w:tab/>
        </w:r>
        <w:r w:rsidRPr="00AA22C4">
          <w:rPr>
            <w:rStyle w:val="Hipercze"/>
            <w:rFonts w:ascii="Lato" w:hAnsi="Lato"/>
            <w:noProof/>
            <w:color w:val="000000" w:themeColor="text1"/>
            <w:sz w:val="22"/>
            <w:szCs w:val="22"/>
          </w:rPr>
          <w:t>Opis obecnego postępowania</w:t>
        </w:r>
        <w:r w:rsidRPr="00AA22C4">
          <w:rPr>
            <w:rFonts w:ascii="Lato" w:hAnsi="Lato"/>
            <w:noProof/>
            <w:webHidden/>
            <w:color w:val="000000" w:themeColor="text1"/>
            <w:sz w:val="22"/>
            <w:szCs w:val="22"/>
          </w:rPr>
          <w:tab/>
        </w:r>
        <w:r w:rsidRPr="00AA22C4">
          <w:rPr>
            <w:rFonts w:ascii="Lato" w:hAnsi="Lato"/>
            <w:noProof/>
            <w:webHidden/>
            <w:color w:val="000000" w:themeColor="text1"/>
            <w:sz w:val="22"/>
            <w:szCs w:val="22"/>
          </w:rPr>
          <w:fldChar w:fldCharType="begin"/>
        </w:r>
        <w:r w:rsidRPr="00AA22C4">
          <w:rPr>
            <w:rFonts w:ascii="Lato" w:hAnsi="Lato"/>
            <w:noProof/>
            <w:webHidden/>
            <w:color w:val="000000" w:themeColor="text1"/>
            <w:sz w:val="22"/>
            <w:szCs w:val="22"/>
          </w:rPr>
          <w:instrText xml:space="preserve"> PAGEREF _Toc514072279 \h </w:instrText>
        </w:r>
        <w:r w:rsidRPr="00AA22C4">
          <w:rPr>
            <w:rFonts w:ascii="Lato" w:hAnsi="Lato"/>
            <w:noProof/>
            <w:webHidden/>
            <w:color w:val="000000" w:themeColor="text1"/>
            <w:sz w:val="22"/>
            <w:szCs w:val="22"/>
          </w:rPr>
        </w:r>
        <w:r w:rsidRPr="00AA22C4">
          <w:rPr>
            <w:rFonts w:ascii="Lato" w:hAnsi="Lato"/>
            <w:noProof/>
            <w:webHidden/>
            <w:color w:val="000000" w:themeColor="text1"/>
            <w:sz w:val="22"/>
            <w:szCs w:val="22"/>
          </w:rPr>
          <w:fldChar w:fldCharType="separate"/>
        </w:r>
        <w:r w:rsidR="0010573C">
          <w:rPr>
            <w:rFonts w:ascii="Lato" w:hAnsi="Lato"/>
            <w:noProof/>
            <w:webHidden/>
            <w:color w:val="000000" w:themeColor="text1"/>
            <w:sz w:val="22"/>
            <w:szCs w:val="22"/>
          </w:rPr>
          <w:t>54</w:t>
        </w:r>
        <w:r w:rsidRPr="00AA22C4">
          <w:rPr>
            <w:rFonts w:ascii="Lato" w:hAnsi="Lato"/>
            <w:noProof/>
            <w:webHidden/>
            <w:color w:val="000000" w:themeColor="text1"/>
            <w:sz w:val="22"/>
            <w:szCs w:val="22"/>
          </w:rPr>
          <w:fldChar w:fldCharType="end"/>
        </w:r>
      </w:hyperlink>
    </w:p>
    <w:p w14:paraId="01323C05" w14:textId="64AD6074" w:rsidR="005E347E" w:rsidRPr="00AA22C4" w:rsidRDefault="005E347E" w:rsidP="005E347E">
      <w:pPr>
        <w:pStyle w:val="Spistreci1"/>
        <w:tabs>
          <w:tab w:val="left" w:pos="284"/>
          <w:tab w:val="right" w:leader="dot" w:pos="9044"/>
        </w:tabs>
        <w:spacing w:line="360" w:lineRule="auto"/>
        <w:rPr>
          <w:rFonts w:ascii="Lato" w:eastAsia="Times New Roman" w:hAnsi="Lato"/>
          <w:noProof/>
          <w:color w:val="000000" w:themeColor="text1"/>
          <w:kern w:val="0"/>
          <w:sz w:val="20"/>
          <w:szCs w:val="20"/>
          <w:lang w:eastAsia="pl-PL"/>
        </w:rPr>
      </w:pPr>
      <w:hyperlink w:anchor="_Toc514072280" w:history="1">
        <w:r w:rsidRPr="00AA22C4">
          <w:rPr>
            <w:rStyle w:val="Hipercze"/>
            <w:rFonts w:ascii="Lato" w:hAnsi="Lato"/>
            <w:noProof/>
            <w:color w:val="000000" w:themeColor="text1"/>
            <w:sz w:val="22"/>
            <w:szCs w:val="22"/>
          </w:rPr>
          <w:t>II.</w:t>
        </w:r>
        <w:r w:rsidRPr="00AA22C4">
          <w:rPr>
            <w:rFonts w:ascii="Lato" w:eastAsia="Times New Roman" w:hAnsi="Lato"/>
            <w:noProof/>
            <w:color w:val="000000" w:themeColor="text1"/>
            <w:kern w:val="0"/>
            <w:sz w:val="20"/>
            <w:szCs w:val="20"/>
            <w:lang w:eastAsia="pl-PL"/>
          </w:rPr>
          <w:tab/>
        </w:r>
        <w:r w:rsidRPr="00AA22C4">
          <w:rPr>
            <w:rStyle w:val="Hipercze"/>
            <w:rFonts w:ascii="Lato" w:hAnsi="Lato"/>
            <w:noProof/>
            <w:color w:val="000000" w:themeColor="text1"/>
            <w:sz w:val="22"/>
            <w:szCs w:val="22"/>
          </w:rPr>
          <w:t xml:space="preserve">Cele programu polityki zdrowotnej i mierniki efektywności jego realizacji </w:t>
        </w:r>
        <w:r w:rsidRPr="00AA22C4">
          <w:rPr>
            <w:rFonts w:ascii="Lato" w:hAnsi="Lato"/>
            <w:noProof/>
            <w:webHidden/>
            <w:color w:val="000000" w:themeColor="text1"/>
            <w:sz w:val="22"/>
            <w:szCs w:val="22"/>
          </w:rPr>
          <w:tab/>
        </w:r>
        <w:r w:rsidRPr="00AA22C4">
          <w:rPr>
            <w:rFonts w:ascii="Lato" w:hAnsi="Lato"/>
            <w:noProof/>
            <w:webHidden/>
            <w:color w:val="000000" w:themeColor="text1"/>
            <w:sz w:val="22"/>
            <w:szCs w:val="22"/>
          </w:rPr>
          <w:fldChar w:fldCharType="begin"/>
        </w:r>
        <w:r w:rsidRPr="00AA22C4">
          <w:rPr>
            <w:rFonts w:ascii="Lato" w:hAnsi="Lato"/>
            <w:noProof/>
            <w:webHidden/>
            <w:color w:val="000000" w:themeColor="text1"/>
            <w:sz w:val="22"/>
            <w:szCs w:val="22"/>
          </w:rPr>
          <w:instrText xml:space="preserve"> PAGEREF _Toc514072280 \h </w:instrText>
        </w:r>
        <w:r w:rsidRPr="00AA22C4">
          <w:rPr>
            <w:rFonts w:ascii="Lato" w:hAnsi="Lato"/>
            <w:noProof/>
            <w:webHidden/>
            <w:color w:val="000000" w:themeColor="text1"/>
            <w:sz w:val="22"/>
            <w:szCs w:val="22"/>
          </w:rPr>
        </w:r>
        <w:r w:rsidRPr="00AA22C4">
          <w:rPr>
            <w:rFonts w:ascii="Lato" w:hAnsi="Lato"/>
            <w:noProof/>
            <w:webHidden/>
            <w:color w:val="000000" w:themeColor="text1"/>
            <w:sz w:val="22"/>
            <w:szCs w:val="22"/>
          </w:rPr>
          <w:fldChar w:fldCharType="separate"/>
        </w:r>
        <w:r w:rsidR="0010573C">
          <w:rPr>
            <w:rFonts w:ascii="Lato" w:hAnsi="Lato"/>
            <w:noProof/>
            <w:webHidden/>
            <w:color w:val="000000" w:themeColor="text1"/>
            <w:sz w:val="22"/>
            <w:szCs w:val="22"/>
          </w:rPr>
          <w:t>60</w:t>
        </w:r>
        <w:r w:rsidRPr="00AA22C4">
          <w:rPr>
            <w:rFonts w:ascii="Lato" w:hAnsi="Lato"/>
            <w:noProof/>
            <w:webHidden/>
            <w:color w:val="000000" w:themeColor="text1"/>
            <w:sz w:val="22"/>
            <w:szCs w:val="22"/>
          </w:rPr>
          <w:fldChar w:fldCharType="end"/>
        </w:r>
      </w:hyperlink>
    </w:p>
    <w:p w14:paraId="7F352FEE" w14:textId="1EB3B510" w:rsidR="005E347E" w:rsidRPr="00AA22C4" w:rsidRDefault="005E347E" w:rsidP="005E347E">
      <w:pPr>
        <w:pStyle w:val="Spistreci2"/>
        <w:tabs>
          <w:tab w:val="left" w:pos="284"/>
          <w:tab w:val="left" w:pos="709"/>
          <w:tab w:val="right" w:leader="dot" w:pos="9044"/>
        </w:tabs>
        <w:spacing w:line="360" w:lineRule="auto"/>
        <w:rPr>
          <w:rFonts w:ascii="Lato" w:eastAsia="Times New Roman" w:hAnsi="Lato"/>
          <w:noProof/>
          <w:color w:val="000000" w:themeColor="text1"/>
          <w:kern w:val="0"/>
          <w:sz w:val="20"/>
          <w:szCs w:val="20"/>
          <w:lang w:eastAsia="pl-PL"/>
        </w:rPr>
      </w:pPr>
      <w:hyperlink w:anchor="_Toc514072281" w:history="1">
        <w:r w:rsidRPr="00AA22C4">
          <w:rPr>
            <w:rStyle w:val="Hipercze"/>
            <w:rFonts w:ascii="Lato" w:hAnsi="Lato"/>
            <w:bCs/>
            <w:noProof/>
            <w:color w:val="000000" w:themeColor="text1"/>
            <w:sz w:val="22"/>
            <w:szCs w:val="22"/>
          </w:rPr>
          <w:t>2.1.</w:t>
        </w:r>
        <w:r w:rsidRPr="00AA22C4">
          <w:rPr>
            <w:rFonts w:ascii="Lato" w:eastAsia="Times New Roman" w:hAnsi="Lato"/>
            <w:noProof/>
            <w:color w:val="000000" w:themeColor="text1"/>
            <w:kern w:val="0"/>
            <w:sz w:val="20"/>
            <w:szCs w:val="20"/>
            <w:lang w:eastAsia="pl-PL"/>
          </w:rPr>
          <w:tab/>
        </w:r>
        <w:r w:rsidRPr="00AA22C4">
          <w:rPr>
            <w:rStyle w:val="Hipercze"/>
            <w:rFonts w:ascii="Lato" w:hAnsi="Lato"/>
            <w:bCs/>
            <w:noProof/>
            <w:color w:val="000000" w:themeColor="text1"/>
            <w:sz w:val="22"/>
            <w:szCs w:val="22"/>
          </w:rPr>
          <w:t>Cel główny</w:t>
        </w:r>
        <w:r w:rsidRPr="00AA22C4">
          <w:rPr>
            <w:rFonts w:ascii="Lato" w:hAnsi="Lato"/>
            <w:noProof/>
            <w:webHidden/>
            <w:color w:val="000000" w:themeColor="text1"/>
            <w:sz w:val="22"/>
            <w:szCs w:val="22"/>
          </w:rPr>
          <w:tab/>
        </w:r>
        <w:r w:rsidRPr="00AA22C4">
          <w:rPr>
            <w:rFonts w:ascii="Lato" w:hAnsi="Lato"/>
            <w:noProof/>
            <w:webHidden/>
            <w:color w:val="000000" w:themeColor="text1"/>
            <w:sz w:val="22"/>
            <w:szCs w:val="22"/>
          </w:rPr>
          <w:fldChar w:fldCharType="begin"/>
        </w:r>
        <w:r w:rsidRPr="00AA22C4">
          <w:rPr>
            <w:rFonts w:ascii="Lato" w:hAnsi="Lato"/>
            <w:noProof/>
            <w:webHidden/>
            <w:color w:val="000000" w:themeColor="text1"/>
            <w:sz w:val="22"/>
            <w:szCs w:val="22"/>
          </w:rPr>
          <w:instrText xml:space="preserve"> PAGEREF _Toc514072281 \h </w:instrText>
        </w:r>
        <w:r w:rsidRPr="00AA22C4">
          <w:rPr>
            <w:rFonts w:ascii="Lato" w:hAnsi="Lato"/>
            <w:noProof/>
            <w:webHidden/>
            <w:color w:val="000000" w:themeColor="text1"/>
            <w:sz w:val="22"/>
            <w:szCs w:val="22"/>
          </w:rPr>
        </w:r>
        <w:r w:rsidRPr="00AA22C4">
          <w:rPr>
            <w:rFonts w:ascii="Lato" w:hAnsi="Lato"/>
            <w:noProof/>
            <w:webHidden/>
            <w:color w:val="000000" w:themeColor="text1"/>
            <w:sz w:val="22"/>
            <w:szCs w:val="22"/>
          </w:rPr>
          <w:fldChar w:fldCharType="separate"/>
        </w:r>
        <w:r w:rsidR="0010573C">
          <w:rPr>
            <w:rFonts w:ascii="Lato" w:hAnsi="Lato"/>
            <w:noProof/>
            <w:webHidden/>
            <w:color w:val="000000" w:themeColor="text1"/>
            <w:sz w:val="22"/>
            <w:szCs w:val="22"/>
          </w:rPr>
          <w:t>60</w:t>
        </w:r>
        <w:r w:rsidRPr="00AA22C4">
          <w:rPr>
            <w:rFonts w:ascii="Lato" w:hAnsi="Lato"/>
            <w:noProof/>
            <w:webHidden/>
            <w:color w:val="000000" w:themeColor="text1"/>
            <w:sz w:val="22"/>
            <w:szCs w:val="22"/>
          </w:rPr>
          <w:fldChar w:fldCharType="end"/>
        </w:r>
      </w:hyperlink>
    </w:p>
    <w:p w14:paraId="367CAC6F" w14:textId="03F22D4B" w:rsidR="005E347E" w:rsidRPr="00AA22C4" w:rsidRDefault="005E347E" w:rsidP="005E347E">
      <w:pPr>
        <w:pStyle w:val="Spistreci2"/>
        <w:tabs>
          <w:tab w:val="left" w:pos="284"/>
          <w:tab w:val="left" w:pos="709"/>
          <w:tab w:val="right" w:leader="dot" w:pos="9044"/>
        </w:tabs>
        <w:spacing w:line="360" w:lineRule="auto"/>
        <w:rPr>
          <w:rFonts w:ascii="Lato" w:eastAsia="Times New Roman" w:hAnsi="Lato"/>
          <w:noProof/>
          <w:color w:val="000000" w:themeColor="text1"/>
          <w:kern w:val="0"/>
          <w:sz w:val="20"/>
          <w:szCs w:val="20"/>
          <w:lang w:eastAsia="pl-PL"/>
        </w:rPr>
      </w:pPr>
      <w:hyperlink w:anchor="_Toc514072282" w:history="1">
        <w:r w:rsidRPr="00AA22C4">
          <w:rPr>
            <w:rStyle w:val="Hipercze"/>
            <w:rFonts w:ascii="Lato" w:hAnsi="Lato"/>
            <w:noProof/>
            <w:color w:val="000000" w:themeColor="text1"/>
            <w:sz w:val="22"/>
            <w:szCs w:val="22"/>
          </w:rPr>
          <w:t>2.2.</w:t>
        </w:r>
        <w:r w:rsidRPr="00AA22C4">
          <w:rPr>
            <w:rFonts w:ascii="Lato" w:eastAsia="Times New Roman" w:hAnsi="Lato"/>
            <w:noProof/>
            <w:color w:val="000000" w:themeColor="text1"/>
            <w:kern w:val="0"/>
            <w:sz w:val="20"/>
            <w:szCs w:val="20"/>
            <w:lang w:eastAsia="pl-PL"/>
          </w:rPr>
          <w:tab/>
        </w:r>
        <w:r w:rsidRPr="00AA22C4">
          <w:rPr>
            <w:rStyle w:val="Hipercze"/>
            <w:rFonts w:ascii="Lato" w:hAnsi="Lato"/>
            <w:noProof/>
            <w:color w:val="000000" w:themeColor="text1"/>
            <w:sz w:val="22"/>
            <w:szCs w:val="22"/>
          </w:rPr>
          <w:t>Cele szczegółowe</w:t>
        </w:r>
        <w:r w:rsidRPr="00AA22C4">
          <w:rPr>
            <w:rFonts w:ascii="Lato" w:hAnsi="Lato"/>
            <w:noProof/>
            <w:webHidden/>
            <w:color w:val="000000" w:themeColor="text1"/>
            <w:sz w:val="22"/>
            <w:szCs w:val="22"/>
          </w:rPr>
          <w:tab/>
        </w:r>
        <w:r w:rsidRPr="00AA22C4">
          <w:rPr>
            <w:rFonts w:ascii="Lato" w:hAnsi="Lato"/>
            <w:noProof/>
            <w:webHidden/>
            <w:color w:val="000000" w:themeColor="text1"/>
            <w:sz w:val="22"/>
            <w:szCs w:val="22"/>
          </w:rPr>
          <w:fldChar w:fldCharType="begin"/>
        </w:r>
        <w:r w:rsidRPr="00AA22C4">
          <w:rPr>
            <w:rFonts w:ascii="Lato" w:hAnsi="Lato"/>
            <w:noProof/>
            <w:webHidden/>
            <w:color w:val="000000" w:themeColor="text1"/>
            <w:sz w:val="22"/>
            <w:szCs w:val="22"/>
          </w:rPr>
          <w:instrText xml:space="preserve"> PAGEREF _Toc514072282 \h </w:instrText>
        </w:r>
        <w:r w:rsidRPr="00AA22C4">
          <w:rPr>
            <w:rFonts w:ascii="Lato" w:hAnsi="Lato"/>
            <w:noProof/>
            <w:webHidden/>
            <w:color w:val="000000" w:themeColor="text1"/>
            <w:sz w:val="22"/>
            <w:szCs w:val="22"/>
          </w:rPr>
        </w:r>
        <w:r w:rsidRPr="00AA22C4">
          <w:rPr>
            <w:rFonts w:ascii="Lato" w:hAnsi="Lato"/>
            <w:noProof/>
            <w:webHidden/>
            <w:color w:val="000000" w:themeColor="text1"/>
            <w:sz w:val="22"/>
            <w:szCs w:val="22"/>
          </w:rPr>
          <w:fldChar w:fldCharType="separate"/>
        </w:r>
        <w:r w:rsidR="0010573C">
          <w:rPr>
            <w:rFonts w:ascii="Lato" w:hAnsi="Lato"/>
            <w:noProof/>
            <w:webHidden/>
            <w:color w:val="000000" w:themeColor="text1"/>
            <w:sz w:val="22"/>
            <w:szCs w:val="22"/>
          </w:rPr>
          <w:t>60</w:t>
        </w:r>
        <w:r w:rsidRPr="00AA22C4">
          <w:rPr>
            <w:rFonts w:ascii="Lato" w:hAnsi="Lato"/>
            <w:noProof/>
            <w:webHidden/>
            <w:color w:val="000000" w:themeColor="text1"/>
            <w:sz w:val="22"/>
            <w:szCs w:val="22"/>
          </w:rPr>
          <w:fldChar w:fldCharType="end"/>
        </w:r>
      </w:hyperlink>
    </w:p>
    <w:p w14:paraId="67EFDDC9" w14:textId="7A17F603" w:rsidR="005E347E" w:rsidRPr="00AA22C4" w:rsidRDefault="005E347E" w:rsidP="005E347E">
      <w:pPr>
        <w:pStyle w:val="Spistreci2"/>
        <w:tabs>
          <w:tab w:val="left" w:pos="284"/>
          <w:tab w:val="left" w:pos="709"/>
          <w:tab w:val="right" w:leader="dot" w:pos="9044"/>
        </w:tabs>
        <w:spacing w:line="360" w:lineRule="auto"/>
        <w:rPr>
          <w:rFonts w:ascii="Lato" w:eastAsia="Times New Roman" w:hAnsi="Lato"/>
          <w:noProof/>
          <w:color w:val="000000" w:themeColor="text1"/>
          <w:kern w:val="0"/>
          <w:sz w:val="20"/>
          <w:szCs w:val="20"/>
          <w:lang w:eastAsia="pl-PL"/>
        </w:rPr>
      </w:pPr>
      <w:hyperlink w:anchor="_Toc514072283" w:history="1">
        <w:r w:rsidRPr="00AA22C4">
          <w:rPr>
            <w:rStyle w:val="Hipercze"/>
            <w:rFonts w:ascii="Lato" w:hAnsi="Lato"/>
            <w:noProof/>
            <w:color w:val="000000" w:themeColor="text1"/>
            <w:sz w:val="22"/>
            <w:szCs w:val="22"/>
          </w:rPr>
          <w:t>2.3.</w:t>
        </w:r>
        <w:r w:rsidRPr="00AA22C4">
          <w:rPr>
            <w:rFonts w:ascii="Lato" w:eastAsia="Times New Roman" w:hAnsi="Lato"/>
            <w:noProof/>
            <w:color w:val="000000" w:themeColor="text1"/>
            <w:kern w:val="0"/>
            <w:sz w:val="20"/>
            <w:szCs w:val="20"/>
            <w:lang w:eastAsia="pl-PL"/>
          </w:rPr>
          <w:tab/>
        </w:r>
        <w:r w:rsidRPr="00AA22C4">
          <w:rPr>
            <w:rStyle w:val="Hipercze"/>
            <w:rFonts w:ascii="Lato" w:hAnsi="Lato"/>
            <w:noProof/>
            <w:color w:val="000000" w:themeColor="text1"/>
            <w:sz w:val="22"/>
            <w:szCs w:val="22"/>
          </w:rPr>
          <w:t>Mierniki efektywności realizacji programu polityki zdrowotnej</w:t>
        </w:r>
        <w:r w:rsidRPr="00AA22C4">
          <w:rPr>
            <w:rFonts w:ascii="Lato" w:hAnsi="Lato"/>
            <w:noProof/>
            <w:webHidden/>
            <w:color w:val="000000" w:themeColor="text1"/>
            <w:sz w:val="22"/>
            <w:szCs w:val="22"/>
          </w:rPr>
          <w:tab/>
        </w:r>
        <w:r w:rsidRPr="00AA22C4">
          <w:rPr>
            <w:rFonts w:ascii="Lato" w:hAnsi="Lato"/>
            <w:noProof/>
            <w:webHidden/>
            <w:color w:val="000000" w:themeColor="text1"/>
            <w:sz w:val="22"/>
            <w:szCs w:val="22"/>
          </w:rPr>
          <w:fldChar w:fldCharType="begin"/>
        </w:r>
        <w:r w:rsidRPr="00AA22C4">
          <w:rPr>
            <w:rFonts w:ascii="Lato" w:hAnsi="Lato"/>
            <w:noProof/>
            <w:webHidden/>
            <w:color w:val="000000" w:themeColor="text1"/>
            <w:sz w:val="22"/>
            <w:szCs w:val="22"/>
          </w:rPr>
          <w:instrText xml:space="preserve"> PAGEREF _Toc514072283 \h </w:instrText>
        </w:r>
        <w:r w:rsidRPr="00AA22C4">
          <w:rPr>
            <w:rFonts w:ascii="Lato" w:hAnsi="Lato"/>
            <w:noProof/>
            <w:webHidden/>
            <w:color w:val="000000" w:themeColor="text1"/>
            <w:sz w:val="22"/>
            <w:szCs w:val="22"/>
          </w:rPr>
        </w:r>
        <w:r w:rsidRPr="00AA22C4">
          <w:rPr>
            <w:rFonts w:ascii="Lato" w:hAnsi="Lato"/>
            <w:noProof/>
            <w:webHidden/>
            <w:color w:val="000000" w:themeColor="text1"/>
            <w:sz w:val="22"/>
            <w:szCs w:val="22"/>
          </w:rPr>
          <w:fldChar w:fldCharType="separate"/>
        </w:r>
        <w:r w:rsidR="0010573C">
          <w:rPr>
            <w:rFonts w:ascii="Lato" w:hAnsi="Lato"/>
            <w:noProof/>
            <w:webHidden/>
            <w:color w:val="000000" w:themeColor="text1"/>
            <w:sz w:val="22"/>
            <w:szCs w:val="22"/>
          </w:rPr>
          <w:t>61</w:t>
        </w:r>
        <w:r w:rsidRPr="00AA22C4">
          <w:rPr>
            <w:rFonts w:ascii="Lato" w:hAnsi="Lato"/>
            <w:noProof/>
            <w:webHidden/>
            <w:color w:val="000000" w:themeColor="text1"/>
            <w:sz w:val="22"/>
            <w:szCs w:val="22"/>
          </w:rPr>
          <w:fldChar w:fldCharType="end"/>
        </w:r>
      </w:hyperlink>
    </w:p>
    <w:p w14:paraId="781C6273" w14:textId="02A69C96" w:rsidR="005E347E" w:rsidRPr="00AA22C4" w:rsidRDefault="005E347E" w:rsidP="005E347E">
      <w:pPr>
        <w:pStyle w:val="Spistreci1"/>
        <w:tabs>
          <w:tab w:val="left" w:pos="142"/>
          <w:tab w:val="left" w:pos="426"/>
          <w:tab w:val="right" w:leader="dot" w:pos="9044"/>
        </w:tabs>
        <w:spacing w:line="360" w:lineRule="auto"/>
        <w:rPr>
          <w:rFonts w:ascii="Lato" w:eastAsia="Times New Roman" w:hAnsi="Lato"/>
          <w:noProof/>
          <w:color w:val="000000" w:themeColor="text1"/>
          <w:kern w:val="0"/>
          <w:sz w:val="20"/>
          <w:szCs w:val="20"/>
          <w:lang w:eastAsia="pl-PL"/>
        </w:rPr>
      </w:pPr>
      <w:hyperlink w:anchor="_Toc514072284" w:history="1">
        <w:r w:rsidRPr="00AA22C4">
          <w:rPr>
            <w:rStyle w:val="Hipercze"/>
            <w:rFonts w:ascii="Lato" w:hAnsi="Lato"/>
            <w:noProof/>
            <w:color w:val="000000" w:themeColor="text1"/>
            <w:sz w:val="22"/>
            <w:szCs w:val="22"/>
          </w:rPr>
          <w:t>III.</w:t>
        </w:r>
        <w:r w:rsidRPr="00AA22C4">
          <w:rPr>
            <w:rFonts w:ascii="Lato" w:eastAsia="Times New Roman" w:hAnsi="Lato"/>
            <w:noProof/>
            <w:color w:val="000000" w:themeColor="text1"/>
            <w:kern w:val="0"/>
            <w:sz w:val="20"/>
            <w:szCs w:val="20"/>
            <w:lang w:eastAsia="pl-PL"/>
          </w:rPr>
          <w:tab/>
        </w:r>
        <w:r w:rsidRPr="00AA22C4">
          <w:rPr>
            <w:rStyle w:val="Hipercze"/>
            <w:rFonts w:ascii="Lato" w:hAnsi="Lato"/>
            <w:noProof/>
            <w:color w:val="000000" w:themeColor="text1"/>
            <w:sz w:val="22"/>
            <w:szCs w:val="22"/>
          </w:rPr>
          <w:t>Charakterystyka populacji docelowej oraz interwencji</w:t>
        </w:r>
        <w:r w:rsidRPr="00AA22C4">
          <w:rPr>
            <w:rFonts w:ascii="Lato" w:hAnsi="Lato"/>
            <w:noProof/>
            <w:webHidden/>
            <w:color w:val="000000" w:themeColor="text1"/>
            <w:sz w:val="22"/>
            <w:szCs w:val="22"/>
          </w:rPr>
          <w:tab/>
        </w:r>
        <w:r w:rsidRPr="00AA22C4">
          <w:rPr>
            <w:rFonts w:ascii="Lato" w:hAnsi="Lato"/>
            <w:noProof/>
            <w:webHidden/>
            <w:color w:val="000000" w:themeColor="text1"/>
            <w:sz w:val="22"/>
            <w:szCs w:val="22"/>
          </w:rPr>
          <w:fldChar w:fldCharType="begin"/>
        </w:r>
        <w:r w:rsidRPr="00AA22C4">
          <w:rPr>
            <w:rFonts w:ascii="Lato" w:hAnsi="Lato"/>
            <w:noProof/>
            <w:webHidden/>
            <w:color w:val="000000" w:themeColor="text1"/>
            <w:sz w:val="22"/>
            <w:szCs w:val="22"/>
          </w:rPr>
          <w:instrText xml:space="preserve"> PAGEREF _Toc514072284 \h </w:instrText>
        </w:r>
        <w:r w:rsidRPr="00AA22C4">
          <w:rPr>
            <w:rFonts w:ascii="Lato" w:hAnsi="Lato"/>
            <w:noProof/>
            <w:webHidden/>
            <w:color w:val="000000" w:themeColor="text1"/>
            <w:sz w:val="22"/>
            <w:szCs w:val="22"/>
          </w:rPr>
        </w:r>
        <w:r w:rsidRPr="00AA22C4">
          <w:rPr>
            <w:rFonts w:ascii="Lato" w:hAnsi="Lato"/>
            <w:noProof/>
            <w:webHidden/>
            <w:color w:val="000000" w:themeColor="text1"/>
            <w:sz w:val="22"/>
            <w:szCs w:val="22"/>
          </w:rPr>
          <w:fldChar w:fldCharType="separate"/>
        </w:r>
        <w:r w:rsidR="0010573C">
          <w:rPr>
            <w:rFonts w:ascii="Lato" w:hAnsi="Lato"/>
            <w:noProof/>
            <w:webHidden/>
            <w:color w:val="000000" w:themeColor="text1"/>
            <w:sz w:val="22"/>
            <w:szCs w:val="22"/>
          </w:rPr>
          <w:t>67</w:t>
        </w:r>
        <w:r w:rsidRPr="00AA22C4">
          <w:rPr>
            <w:rFonts w:ascii="Lato" w:hAnsi="Lato"/>
            <w:noProof/>
            <w:webHidden/>
            <w:color w:val="000000" w:themeColor="text1"/>
            <w:sz w:val="22"/>
            <w:szCs w:val="22"/>
          </w:rPr>
          <w:fldChar w:fldCharType="end"/>
        </w:r>
      </w:hyperlink>
    </w:p>
    <w:p w14:paraId="73F9CE56" w14:textId="2B0560DD" w:rsidR="005E347E" w:rsidRPr="00AA22C4" w:rsidRDefault="005E347E" w:rsidP="005E347E">
      <w:pPr>
        <w:pStyle w:val="Spistreci2"/>
        <w:tabs>
          <w:tab w:val="left" w:pos="284"/>
          <w:tab w:val="left" w:pos="709"/>
          <w:tab w:val="right" w:leader="dot" w:pos="9044"/>
        </w:tabs>
        <w:spacing w:line="360" w:lineRule="auto"/>
        <w:rPr>
          <w:rFonts w:ascii="Lato" w:eastAsia="Times New Roman" w:hAnsi="Lato"/>
          <w:noProof/>
          <w:color w:val="000000" w:themeColor="text1"/>
          <w:kern w:val="0"/>
          <w:sz w:val="20"/>
          <w:szCs w:val="20"/>
          <w:lang w:eastAsia="pl-PL"/>
        </w:rPr>
      </w:pPr>
      <w:hyperlink w:anchor="_Toc514072285" w:history="1">
        <w:r w:rsidRPr="00AA22C4">
          <w:rPr>
            <w:rStyle w:val="Hipercze"/>
            <w:rFonts w:ascii="Lato" w:hAnsi="Lato"/>
            <w:noProof/>
            <w:color w:val="000000" w:themeColor="text1"/>
            <w:sz w:val="22"/>
            <w:szCs w:val="22"/>
          </w:rPr>
          <w:t>3.1.</w:t>
        </w:r>
        <w:r w:rsidRPr="00AA22C4">
          <w:rPr>
            <w:rFonts w:ascii="Lato" w:eastAsia="Times New Roman" w:hAnsi="Lato"/>
            <w:noProof/>
            <w:color w:val="000000" w:themeColor="text1"/>
            <w:kern w:val="0"/>
            <w:sz w:val="20"/>
            <w:szCs w:val="20"/>
            <w:lang w:eastAsia="pl-PL"/>
          </w:rPr>
          <w:tab/>
        </w:r>
        <w:r w:rsidRPr="00AA22C4">
          <w:rPr>
            <w:rStyle w:val="Hipercze"/>
            <w:rFonts w:ascii="Lato" w:hAnsi="Lato"/>
            <w:noProof/>
            <w:color w:val="000000" w:themeColor="text1"/>
            <w:sz w:val="22"/>
            <w:szCs w:val="22"/>
          </w:rPr>
          <w:t>Populacja docelowa</w:t>
        </w:r>
        <w:r w:rsidRPr="00AA22C4">
          <w:rPr>
            <w:rFonts w:ascii="Lato" w:hAnsi="Lato"/>
            <w:noProof/>
            <w:webHidden/>
            <w:color w:val="000000" w:themeColor="text1"/>
            <w:sz w:val="22"/>
            <w:szCs w:val="22"/>
          </w:rPr>
          <w:tab/>
        </w:r>
        <w:r w:rsidRPr="00AA22C4">
          <w:rPr>
            <w:rFonts w:ascii="Lato" w:hAnsi="Lato"/>
            <w:noProof/>
            <w:webHidden/>
            <w:color w:val="000000" w:themeColor="text1"/>
            <w:sz w:val="22"/>
            <w:szCs w:val="22"/>
          </w:rPr>
          <w:fldChar w:fldCharType="begin"/>
        </w:r>
        <w:r w:rsidRPr="00AA22C4">
          <w:rPr>
            <w:rFonts w:ascii="Lato" w:hAnsi="Lato"/>
            <w:noProof/>
            <w:webHidden/>
            <w:color w:val="000000" w:themeColor="text1"/>
            <w:sz w:val="22"/>
            <w:szCs w:val="22"/>
          </w:rPr>
          <w:instrText xml:space="preserve"> PAGEREF _Toc514072285 \h </w:instrText>
        </w:r>
        <w:r w:rsidRPr="00AA22C4">
          <w:rPr>
            <w:rFonts w:ascii="Lato" w:hAnsi="Lato"/>
            <w:noProof/>
            <w:webHidden/>
            <w:color w:val="000000" w:themeColor="text1"/>
            <w:sz w:val="22"/>
            <w:szCs w:val="22"/>
          </w:rPr>
        </w:r>
        <w:r w:rsidRPr="00AA22C4">
          <w:rPr>
            <w:rFonts w:ascii="Lato" w:hAnsi="Lato"/>
            <w:noProof/>
            <w:webHidden/>
            <w:color w:val="000000" w:themeColor="text1"/>
            <w:sz w:val="22"/>
            <w:szCs w:val="22"/>
          </w:rPr>
          <w:fldChar w:fldCharType="separate"/>
        </w:r>
        <w:r w:rsidR="0010573C">
          <w:rPr>
            <w:rFonts w:ascii="Lato" w:hAnsi="Lato"/>
            <w:noProof/>
            <w:webHidden/>
            <w:color w:val="000000" w:themeColor="text1"/>
            <w:sz w:val="22"/>
            <w:szCs w:val="22"/>
          </w:rPr>
          <w:t>67</w:t>
        </w:r>
        <w:r w:rsidRPr="00AA22C4">
          <w:rPr>
            <w:rFonts w:ascii="Lato" w:hAnsi="Lato"/>
            <w:noProof/>
            <w:webHidden/>
            <w:color w:val="000000" w:themeColor="text1"/>
            <w:sz w:val="22"/>
            <w:szCs w:val="22"/>
          </w:rPr>
          <w:fldChar w:fldCharType="end"/>
        </w:r>
      </w:hyperlink>
    </w:p>
    <w:p w14:paraId="516D9D1F" w14:textId="29153EAF" w:rsidR="005E347E" w:rsidRPr="00AA22C4" w:rsidRDefault="005E347E" w:rsidP="005E347E">
      <w:pPr>
        <w:pStyle w:val="Spistreci2"/>
        <w:tabs>
          <w:tab w:val="left" w:pos="284"/>
          <w:tab w:val="left" w:pos="709"/>
          <w:tab w:val="right" w:leader="dot" w:pos="9044"/>
        </w:tabs>
        <w:spacing w:line="360" w:lineRule="auto"/>
        <w:rPr>
          <w:rFonts w:ascii="Lato" w:eastAsia="Times New Roman" w:hAnsi="Lato"/>
          <w:noProof/>
          <w:color w:val="000000" w:themeColor="text1"/>
          <w:kern w:val="0"/>
          <w:sz w:val="20"/>
          <w:szCs w:val="20"/>
          <w:lang w:eastAsia="pl-PL"/>
        </w:rPr>
      </w:pPr>
      <w:hyperlink w:anchor="_Toc514072286" w:history="1">
        <w:r w:rsidRPr="00AA22C4">
          <w:rPr>
            <w:rStyle w:val="Hipercze"/>
            <w:rFonts w:ascii="Lato" w:hAnsi="Lato"/>
            <w:noProof/>
            <w:color w:val="000000" w:themeColor="text1"/>
            <w:sz w:val="22"/>
            <w:szCs w:val="22"/>
          </w:rPr>
          <w:t>3.2.</w:t>
        </w:r>
        <w:r w:rsidRPr="00AA22C4">
          <w:rPr>
            <w:rFonts w:ascii="Lato" w:eastAsia="Times New Roman" w:hAnsi="Lato"/>
            <w:noProof/>
            <w:color w:val="000000" w:themeColor="text1"/>
            <w:kern w:val="0"/>
            <w:sz w:val="20"/>
            <w:szCs w:val="20"/>
            <w:lang w:eastAsia="pl-PL"/>
          </w:rPr>
          <w:tab/>
        </w:r>
        <w:r w:rsidRPr="00AA22C4">
          <w:rPr>
            <w:rStyle w:val="Hipercze"/>
            <w:rFonts w:ascii="Lato" w:hAnsi="Lato"/>
            <w:noProof/>
            <w:color w:val="000000" w:themeColor="text1"/>
            <w:sz w:val="22"/>
            <w:szCs w:val="22"/>
          </w:rPr>
          <w:t>Kryteria kwalifikacji do udziału w programie polityki zdrowotnej oraz kryteria wyłączenia z programu polityki zdrowotnej</w:t>
        </w:r>
        <w:r w:rsidRPr="00AA22C4">
          <w:rPr>
            <w:rFonts w:ascii="Lato" w:hAnsi="Lato"/>
            <w:noProof/>
            <w:webHidden/>
            <w:color w:val="000000" w:themeColor="text1"/>
            <w:sz w:val="22"/>
            <w:szCs w:val="22"/>
          </w:rPr>
          <w:tab/>
        </w:r>
        <w:r w:rsidRPr="00AA22C4">
          <w:rPr>
            <w:rFonts w:ascii="Lato" w:hAnsi="Lato"/>
            <w:noProof/>
            <w:webHidden/>
            <w:color w:val="000000" w:themeColor="text1"/>
            <w:sz w:val="22"/>
            <w:szCs w:val="22"/>
          </w:rPr>
          <w:fldChar w:fldCharType="begin"/>
        </w:r>
        <w:r w:rsidRPr="00AA22C4">
          <w:rPr>
            <w:rFonts w:ascii="Lato" w:hAnsi="Lato"/>
            <w:noProof/>
            <w:webHidden/>
            <w:color w:val="000000" w:themeColor="text1"/>
            <w:sz w:val="22"/>
            <w:szCs w:val="22"/>
          </w:rPr>
          <w:instrText xml:space="preserve"> PAGEREF _Toc514072286 \h </w:instrText>
        </w:r>
        <w:r w:rsidRPr="00AA22C4">
          <w:rPr>
            <w:rFonts w:ascii="Lato" w:hAnsi="Lato"/>
            <w:noProof/>
            <w:webHidden/>
            <w:color w:val="000000" w:themeColor="text1"/>
            <w:sz w:val="22"/>
            <w:szCs w:val="22"/>
          </w:rPr>
        </w:r>
        <w:r w:rsidRPr="00AA22C4">
          <w:rPr>
            <w:rFonts w:ascii="Lato" w:hAnsi="Lato"/>
            <w:noProof/>
            <w:webHidden/>
            <w:color w:val="000000" w:themeColor="text1"/>
            <w:sz w:val="22"/>
            <w:szCs w:val="22"/>
          </w:rPr>
          <w:fldChar w:fldCharType="separate"/>
        </w:r>
        <w:r w:rsidR="0010573C">
          <w:rPr>
            <w:rFonts w:ascii="Lato" w:hAnsi="Lato"/>
            <w:noProof/>
            <w:webHidden/>
            <w:color w:val="000000" w:themeColor="text1"/>
            <w:sz w:val="22"/>
            <w:szCs w:val="22"/>
          </w:rPr>
          <w:t>67</w:t>
        </w:r>
        <w:r w:rsidRPr="00AA22C4">
          <w:rPr>
            <w:rFonts w:ascii="Lato" w:hAnsi="Lato"/>
            <w:noProof/>
            <w:webHidden/>
            <w:color w:val="000000" w:themeColor="text1"/>
            <w:sz w:val="22"/>
            <w:szCs w:val="22"/>
          </w:rPr>
          <w:fldChar w:fldCharType="end"/>
        </w:r>
      </w:hyperlink>
    </w:p>
    <w:p w14:paraId="75318D0B" w14:textId="73EB3356" w:rsidR="005E347E" w:rsidRPr="00AA22C4" w:rsidRDefault="005E347E" w:rsidP="005E347E">
      <w:pPr>
        <w:pStyle w:val="Spistreci2"/>
        <w:tabs>
          <w:tab w:val="left" w:pos="284"/>
          <w:tab w:val="left" w:pos="709"/>
          <w:tab w:val="right" w:leader="dot" w:pos="9044"/>
        </w:tabs>
        <w:spacing w:line="360" w:lineRule="auto"/>
        <w:rPr>
          <w:rFonts w:ascii="Lato" w:eastAsia="Times New Roman" w:hAnsi="Lato"/>
          <w:noProof/>
          <w:color w:val="000000" w:themeColor="text1"/>
          <w:kern w:val="0"/>
          <w:sz w:val="20"/>
          <w:szCs w:val="20"/>
          <w:lang w:eastAsia="pl-PL"/>
        </w:rPr>
      </w:pPr>
      <w:hyperlink w:anchor="_Toc514072287" w:history="1">
        <w:r w:rsidRPr="00AA22C4">
          <w:rPr>
            <w:rStyle w:val="Hipercze"/>
            <w:rFonts w:ascii="Lato" w:hAnsi="Lato"/>
            <w:noProof/>
            <w:color w:val="000000" w:themeColor="text1"/>
            <w:sz w:val="22"/>
            <w:szCs w:val="22"/>
          </w:rPr>
          <w:t>3.3.</w:t>
        </w:r>
        <w:r w:rsidRPr="00AA22C4">
          <w:rPr>
            <w:rFonts w:ascii="Lato" w:eastAsia="Times New Roman" w:hAnsi="Lato"/>
            <w:noProof/>
            <w:color w:val="000000" w:themeColor="text1"/>
            <w:kern w:val="0"/>
            <w:sz w:val="20"/>
            <w:szCs w:val="20"/>
            <w:lang w:eastAsia="pl-PL"/>
          </w:rPr>
          <w:tab/>
        </w:r>
        <w:r w:rsidRPr="00AA22C4">
          <w:rPr>
            <w:rStyle w:val="Hipercze"/>
            <w:rFonts w:ascii="Lato" w:hAnsi="Lato"/>
            <w:noProof/>
            <w:color w:val="000000" w:themeColor="text1"/>
            <w:sz w:val="22"/>
            <w:szCs w:val="22"/>
          </w:rPr>
          <w:t>Planowane interwencje</w:t>
        </w:r>
        <w:r w:rsidRPr="00AA22C4">
          <w:rPr>
            <w:rFonts w:ascii="Lato" w:hAnsi="Lato"/>
            <w:noProof/>
            <w:webHidden/>
            <w:color w:val="000000" w:themeColor="text1"/>
            <w:sz w:val="22"/>
            <w:szCs w:val="22"/>
          </w:rPr>
          <w:tab/>
        </w:r>
        <w:r w:rsidRPr="00AA22C4">
          <w:rPr>
            <w:rFonts w:ascii="Lato" w:hAnsi="Lato"/>
            <w:noProof/>
            <w:webHidden/>
            <w:color w:val="000000" w:themeColor="text1"/>
            <w:sz w:val="22"/>
            <w:szCs w:val="22"/>
          </w:rPr>
          <w:fldChar w:fldCharType="begin"/>
        </w:r>
        <w:r w:rsidRPr="00AA22C4">
          <w:rPr>
            <w:rFonts w:ascii="Lato" w:hAnsi="Lato"/>
            <w:noProof/>
            <w:webHidden/>
            <w:color w:val="000000" w:themeColor="text1"/>
            <w:sz w:val="22"/>
            <w:szCs w:val="22"/>
          </w:rPr>
          <w:instrText xml:space="preserve"> PAGEREF _Toc514072287 \h </w:instrText>
        </w:r>
        <w:r w:rsidRPr="00AA22C4">
          <w:rPr>
            <w:rFonts w:ascii="Lato" w:hAnsi="Lato"/>
            <w:noProof/>
            <w:webHidden/>
            <w:color w:val="000000" w:themeColor="text1"/>
            <w:sz w:val="22"/>
            <w:szCs w:val="22"/>
          </w:rPr>
        </w:r>
        <w:r w:rsidRPr="00AA22C4">
          <w:rPr>
            <w:rFonts w:ascii="Lato" w:hAnsi="Lato"/>
            <w:noProof/>
            <w:webHidden/>
            <w:color w:val="000000" w:themeColor="text1"/>
            <w:sz w:val="22"/>
            <w:szCs w:val="22"/>
          </w:rPr>
          <w:fldChar w:fldCharType="separate"/>
        </w:r>
        <w:r w:rsidR="0010573C">
          <w:rPr>
            <w:rFonts w:ascii="Lato" w:hAnsi="Lato"/>
            <w:noProof/>
            <w:webHidden/>
            <w:color w:val="000000" w:themeColor="text1"/>
            <w:sz w:val="22"/>
            <w:szCs w:val="22"/>
          </w:rPr>
          <w:t>67</w:t>
        </w:r>
        <w:r w:rsidRPr="00AA22C4">
          <w:rPr>
            <w:rFonts w:ascii="Lato" w:hAnsi="Lato"/>
            <w:noProof/>
            <w:webHidden/>
            <w:color w:val="000000" w:themeColor="text1"/>
            <w:sz w:val="22"/>
            <w:szCs w:val="22"/>
          </w:rPr>
          <w:fldChar w:fldCharType="end"/>
        </w:r>
      </w:hyperlink>
    </w:p>
    <w:p w14:paraId="08FCD696" w14:textId="0094E8A6" w:rsidR="005E347E" w:rsidRPr="00AA22C4" w:rsidRDefault="005E347E" w:rsidP="005E347E">
      <w:pPr>
        <w:pStyle w:val="Spistreci2"/>
        <w:tabs>
          <w:tab w:val="left" w:pos="284"/>
          <w:tab w:val="left" w:pos="709"/>
          <w:tab w:val="right" w:leader="dot" w:pos="9044"/>
        </w:tabs>
        <w:spacing w:line="360" w:lineRule="auto"/>
        <w:rPr>
          <w:rFonts w:ascii="Lato" w:eastAsia="Times New Roman" w:hAnsi="Lato"/>
          <w:noProof/>
          <w:color w:val="000000" w:themeColor="text1"/>
          <w:kern w:val="0"/>
          <w:sz w:val="20"/>
          <w:szCs w:val="20"/>
          <w:lang w:eastAsia="pl-PL"/>
        </w:rPr>
      </w:pPr>
      <w:hyperlink w:anchor="_Toc514072288" w:history="1">
        <w:r w:rsidRPr="00AA22C4">
          <w:rPr>
            <w:rStyle w:val="Hipercze"/>
            <w:rFonts w:ascii="Lato" w:hAnsi="Lato"/>
            <w:noProof/>
            <w:color w:val="000000" w:themeColor="text1"/>
            <w:sz w:val="22"/>
            <w:szCs w:val="22"/>
          </w:rPr>
          <w:t>3.4.</w:t>
        </w:r>
        <w:r w:rsidRPr="00AA22C4">
          <w:rPr>
            <w:rFonts w:ascii="Lato" w:eastAsia="Times New Roman" w:hAnsi="Lato"/>
            <w:noProof/>
            <w:color w:val="000000" w:themeColor="text1"/>
            <w:kern w:val="0"/>
            <w:sz w:val="20"/>
            <w:szCs w:val="20"/>
            <w:lang w:eastAsia="pl-PL"/>
          </w:rPr>
          <w:tab/>
        </w:r>
        <w:r w:rsidRPr="00AA22C4">
          <w:rPr>
            <w:rStyle w:val="Hipercze"/>
            <w:rFonts w:ascii="Lato" w:hAnsi="Lato"/>
            <w:noProof/>
            <w:color w:val="000000" w:themeColor="text1"/>
            <w:sz w:val="22"/>
            <w:szCs w:val="22"/>
          </w:rPr>
          <w:t>Sposób udzielania świadczeń zdrowotnych w ramach programu polityki zdrowotnej</w:t>
        </w:r>
        <w:r w:rsidRPr="00AA22C4">
          <w:rPr>
            <w:rFonts w:ascii="Lato" w:hAnsi="Lato"/>
            <w:noProof/>
            <w:webHidden/>
            <w:color w:val="000000" w:themeColor="text1"/>
            <w:sz w:val="22"/>
            <w:szCs w:val="22"/>
          </w:rPr>
          <w:tab/>
        </w:r>
        <w:r w:rsidRPr="00AA22C4">
          <w:rPr>
            <w:rFonts w:ascii="Lato" w:hAnsi="Lato"/>
            <w:noProof/>
            <w:webHidden/>
            <w:color w:val="000000" w:themeColor="text1"/>
            <w:sz w:val="22"/>
            <w:szCs w:val="22"/>
          </w:rPr>
          <w:fldChar w:fldCharType="begin"/>
        </w:r>
        <w:r w:rsidRPr="00AA22C4">
          <w:rPr>
            <w:rFonts w:ascii="Lato" w:hAnsi="Lato"/>
            <w:noProof/>
            <w:webHidden/>
            <w:color w:val="000000" w:themeColor="text1"/>
            <w:sz w:val="22"/>
            <w:szCs w:val="22"/>
          </w:rPr>
          <w:instrText xml:space="preserve"> PAGEREF _Toc514072288 \h </w:instrText>
        </w:r>
        <w:r w:rsidRPr="00AA22C4">
          <w:rPr>
            <w:rFonts w:ascii="Lato" w:hAnsi="Lato"/>
            <w:noProof/>
            <w:webHidden/>
            <w:color w:val="000000" w:themeColor="text1"/>
            <w:sz w:val="22"/>
            <w:szCs w:val="22"/>
          </w:rPr>
        </w:r>
        <w:r w:rsidRPr="00AA22C4">
          <w:rPr>
            <w:rFonts w:ascii="Lato" w:hAnsi="Lato"/>
            <w:noProof/>
            <w:webHidden/>
            <w:color w:val="000000" w:themeColor="text1"/>
            <w:sz w:val="22"/>
            <w:szCs w:val="22"/>
          </w:rPr>
          <w:fldChar w:fldCharType="separate"/>
        </w:r>
        <w:r w:rsidR="0010573C">
          <w:rPr>
            <w:rFonts w:ascii="Lato" w:hAnsi="Lato"/>
            <w:noProof/>
            <w:webHidden/>
            <w:color w:val="000000" w:themeColor="text1"/>
            <w:sz w:val="22"/>
            <w:szCs w:val="22"/>
          </w:rPr>
          <w:t>74</w:t>
        </w:r>
        <w:r w:rsidRPr="00AA22C4">
          <w:rPr>
            <w:rFonts w:ascii="Lato" w:hAnsi="Lato"/>
            <w:noProof/>
            <w:webHidden/>
            <w:color w:val="000000" w:themeColor="text1"/>
            <w:sz w:val="22"/>
            <w:szCs w:val="22"/>
          </w:rPr>
          <w:fldChar w:fldCharType="end"/>
        </w:r>
      </w:hyperlink>
    </w:p>
    <w:p w14:paraId="66C0E812" w14:textId="06570A89" w:rsidR="005E347E" w:rsidRPr="00AA22C4" w:rsidRDefault="005E347E" w:rsidP="005E347E">
      <w:pPr>
        <w:pStyle w:val="Spistreci2"/>
        <w:tabs>
          <w:tab w:val="left" w:pos="284"/>
          <w:tab w:val="left" w:pos="709"/>
          <w:tab w:val="right" w:leader="dot" w:pos="9044"/>
        </w:tabs>
        <w:spacing w:line="360" w:lineRule="auto"/>
        <w:rPr>
          <w:rFonts w:ascii="Lato" w:eastAsia="Times New Roman" w:hAnsi="Lato"/>
          <w:noProof/>
          <w:color w:val="000000" w:themeColor="text1"/>
          <w:kern w:val="0"/>
          <w:sz w:val="20"/>
          <w:szCs w:val="20"/>
          <w:lang w:eastAsia="pl-PL"/>
        </w:rPr>
      </w:pPr>
      <w:hyperlink w:anchor="_Toc514072289" w:history="1">
        <w:r w:rsidRPr="00AA22C4">
          <w:rPr>
            <w:rStyle w:val="Hipercze"/>
            <w:rFonts w:ascii="Lato" w:hAnsi="Lato"/>
            <w:noProof/>
            <w:color w:val="000000" w:themeColor="text1"/>
            <w:sz w:val="22"/>
            <w:szCs w:val="22"/>
          </w:rPr>
          <w:t>3.5.</w:t>
        </w:r>
        <w:r w:rsidRPr="00AA22C4">
          <w:rPr>
            <w:rFonts w:ascii="Lato" w:eastAsia="Times New Roman" w:hAnsi="Lato"/>
            <w:noProof/>
            <w:color w:val="000000" w:themeColor="text1"/>
            <w:kern w:val="0"/>
            <w:sz w:val="20"/>
            <w:szCs w:val="20"/>
            <w:lang w:eastAsia="pl-PL"/>
          </w:rPr>
          <w:tab/>
        </w:r>
        <w:r w:rsidRPr="00AA22C4">
          <w:rPr>
            <w:rStyle w:val="Hipercze"/>
            <w:rFonts w:ascii="Lato" w:hAnsi="Lato"/>
            <w:noProof/>
            <w:color w:val="000000" w:themeColor="text1"/>
            <w:sz w:val="22"/>
            <w:szCs w:val="22"/>
          </w:rPr>
          <w:t>Sposób zakończenia udziału w programie polityki zdrowotnej</w:t>
        </w:r>
        <w:r w:rsidRPr="00AA22C4">
          <w:rPr>
            <w:rFonts w:ascii="Lato" w:hAnsi="Lato"/>
            <w:noProof/>
            <w:webHidden/>
            <w:color w:val="000000" w:themeColor="text1"/>
            <w:sz w:val="22"/>
            <w:szCs w:val="22"/>
          </w:rPr>
          <w:tab/>
        </w:r>
        <w:r w:rsidRPr="00AA22C4">
          <w:rPr>
            <w:rFonts w:ascii="Lato" w:hAnsi="Lato"/>
            <w:noProof/>
            <w:webHidden/>
            <w:color w:val="000000" w:themeColor="text1"/>
            <w:sz w:val="22"/>
            <w:szCs w:val="22"/>
          </w:rPr>
          <w:fldChar w:fldCharType="begin"/>
        </w:r>
        <w:r w:rsidRPr="00AA22C4">
          <w:rPr>
            <w:rFonts w:ascii="Lato" w:hAnsi="Lato"/>
            <w:noProof/>
            <w:webHidden/>
            <w:color w:val="000000" w:themeColor="text1"/>
            <w:sz w:val="22"/>
            <w:szCs w:val="22"/>
          </w:rPr>
          <w:instrText xml:space="preserve"> PAGEREF _Toc514072289 \h </w:instrText>
        </w:r>
        <w:r w:rsidRPr="00AA22C4">
          <w:rPr>
            <w:rFonts w:ascii="Lato" w:hAnsi="Lato"/>
            <w:noProof/>
            <w:webHidden/>
            <w:color w:val="000000" w:themeColor="text1"/>
            <w:sz w:val="22"/>
            <w:szCs w:val="22"/>
          </w:rPr>
        </w:r>
        <w:r w:rsidRPr="00AA22C4">
          <w:rPr>
            <w:rFonts w:ascii="Lato" w:hAnsi="Lato"/>
            <w:noProof/>
            <w:webHidden/>
            <w:color w:val="000000" w:themeColor="text1"/>
            <w:sz w:val="22"/>
            <w:szCs w:val="22"/>
          </w:rPr>
          <w:fldChar w:fldCharType="separate"/>
        </w:r>
        <w:r w:rsidR="0010573C">
          <w:rPr>
            <w:rFonts w:ascii="Lato" w:hAnsi="Lato"/>
            <w:noProof/>
            <w:webHidden/>
            <w:color w:val="000000" w:themeColor="text1"/>
            <w:sz w:val="22"/>
            <w:szCs w:val="22"/>
          </w:rPr>
          <w:t>74</w:t>
        </w:r>
        <w:r w:rsidRPr="00AA22C4">
          <w:rPr>
            <w:rFonts w:ascii="Lato" w:hAnsi="Lato"/>
            <w:noProof/>
            <w:webHidden/>
            <w:color w:val="000000" w:themeColor="text1"/>
            <w:sz w:val="22"/>
            <w:szCs w:val="22"/>
          </w:rPr>
          <w:fldChar w:fldCharType="end"/>
        </w:r>
      </w:hyperlink>
    </w:p>
    <w:p w14:paraId="1193E17E" w14:textId="1536A77F" w:rsidR="005E347E" w:rsidRPr="00AA22C4" w:rsidRDefault="005E347E" w:rsidP="005E347E">
      <w:pPr>
        <w:pStyle w:val="Spistreci1"/>
        <w:tabs>
          <w:tab w:val="left" w:pos="142"/>
          <w:tab w:val="left" w:pos="426"/>
          <w:tab w:val="right" w:leader="dot" w:pos="9044"/>
        </w:tabs>
        <w:spacing w:line="360" w:lineRule="auto"/>
        <w:rPr>
          <w:rFonts w:ascii="Lato" w:eastAsia="Times New Roman" w:hAnsi="Lato"/>
          <w:noProof/>
          <w:color w:val="000000" w:themeColor="text1"/>
          <w:kern w:val="0"/>
          <w:sz w:val="20"/>
          <w:szCs w:val="20"/>
          <w:lang w:eastAsia="pl-PL"/>
        </w:rPr>
      </w:pPr>
      <w:hyperlink w:anchor="_Toc514072290" w:history="1">
        <w:r w:rsidRPr="00AA22C4">
          <w:rPr>
            <w:rStyle w:val="Hipercze"/>
            <w:rFonts w:ascii="Lato" w:hAnsi="Lato"/>
            <w:noProof/>
            <w:color w:val="000000" w:themeColor="text1"/>
            <w:sz w:val="22"/>
            <w:szCs w:val="22"/>
          </w:rPr>
          <w:t>IV.</w:t>
        </w:r>
        <w:r w:rsidRPr="00AA22C4">
          <w:rPr>
            <w:rFonts w:ascii="Lato" w:eastAsia="Times New Roman" w:hAnsi="Lato"/>
            <w:noProof/>
            <w:color w:val="000000" w:themeColor="text1"/>
            <w:kern w:val="0"/>
            <w:sz w:val="20"/>
            <w:szCs w:val="20"/>
            <w:lang w:eastAsia="pl-PL"/>
          </w:rPr>
          <w:tab/>
        </w:r>
        <w:r w:rsidRPr="00AA22C4">
          <w:rPr>
            <w:rStyle w:val="Hipercze"/>
            <w:rFonts w:ascii="Lato" w:hAnsi="Lato"/>
            <w:noProof/>
            <w:color w:val="000000" w:themeColor="text1"/>
            <w:sz w:val="22"/>
            <w:szCs w:val="22"/>
          </w:rPr>
          <w:t>Organizacja programu polityki zdrowotnej</w:t>
        </w:r>
        <w:r w:rsidRPr="00AA22C4">
          <w:rPr>
            <w:rFonts w:ascii="Lato" w:hAnsi="Lato"/>
            <w:noProof/>
            <w:webHidden/>
            <w:color w:val="000000" w:themeColor="text1"/>
            <w:sz w:val="22"/>
            <w:szCs w:val="22"/>
          </w:rPr>
          <w:tab/>
        </w:r>
        <w:r w:rsidRPr="00AA22C4">
          <w:rPr>
            <w:rFonts w:ascii="Lato" w:hAnsi="Lato"/>
            <w:noProof/>
            <w:webHidden/>
            <w:color w:val="000000" w:themeColor="text1"/>
            <w:sz w:val="22"/>
            <w:szCs w:val="22"/>
          </w:rPr>
          <w:fldChar w:fldCharType="begin"/>
        </w:r>
        <w:r w:rsidRPr="00AA22C4">
          <w:rPr>
            <w:rFonts w:ascii="Lato" w:hAnsi="Lato"/>
            <w:noProof/>
            <w:webHidden/>
            <w:color w:val="000000" w:themeColor="text1"/>
            <w:sz w:val="22"/>
            <w:szCs w:val="22"/>
          </w:rPr>
          <w:instrText xml:space="preserve"> PAGEREF _Toc514072290 \h </w:instrText>
        </w:r>
        <w:r w:rsidRPr="00AA22C4">
          <w:rPr>
            <w:rFonts w:ascii="Lato" w:hAnsi="Lato"/>
            <w:noProof/>
            <w:webHidden/>
            <w:color w:val="000000" w:themeColor="text1"/>
            <w:sz w:val="22"/>
            <w:szCs w:val="22"/>
          </w:rPr>
        </w:r>
        <w:r w:rsidRPr="00AA22C4">
          <w:rPr>
            <w:rFonts w:ascii="Lato" w:hAnsi="Lato"/>
            <w:noProof/>
            <w:webHidden/>
            <w:color w:val="000000" w:themeColor="text1"/>
            <w:sz w:val="22"/>
            <w:szCs w:val="22"/>
          </w:rPr>
          <w:fldChar w:fldCharType="separate"/>
        </w:r>
        <w:r w:rsidR="0010573C">
          <w:rPr>
            <w:rFonts w:ascii="Lato" w:hAnsi="Lato"/>
            <w:noProof/>
            <w:webHidden/>
            <w:color w:val="000000" w:themeColor="text1"/>
            <w:sz w:val="22"/>
            <w:szCs w:val="22"/>
          </w:rPr>
          <w:t>75</w:t>
        </w:r>
        <w:r w:rsidRPr="00AA22C4">
          <w:rPr>
            <w:rFonts w:ascii="Lato" w:hAnsi="Lato"/>
            <w:noProof/>
            <w:webHidden/>
            <w:color w:val="000000" w:themeColor="text1"/>
            <w:sz w:val="22"/>
            <w:szCs w:val="22"/>
          </w:rPr>
          <w:fldChar w:fldCharType="end"/>
        </w:r>
      </w:hyperlink>
    </w:p>
    <w:p w14:paraId="713E6847" w14:textId="46BB1A08" w:rsidR="005E347E" w:rsidRPr="00AA22C4" w:rsidRDefault="005E347E" w:rsidP="005E347E">
      <w:pPr>
        <w:pStyle w:val="Spistreci2"/>
        <w:tabs>
          <w:tab w:val="left" w:pos="284"/>
          <w:tab w:val="left" w:pos="709"/>
          <w:tab w:val="right" w:leader="dot" w:pos="9044"/>
        </w:tabs>
        <w:spacing w:line="360" w:lineRule="auto"/>
        <w:rPr>
          <w:rFonts w:ascii="Lato" w:eastAsia="Times New Roman" w:hAnsi="Lato"/>
          <w:noProof/>
          <w:color w:val="000000" w:themeColor="text1"/>
          <w:kern w:val="0"/>
          <w:sz w:val="20"/>
          <w:szCs w:val="20"/>
          <w:lang w:eastAsia="pl-PL"/>
        </w:rPr>
      </w:pPr>
      <w:hyperlink w:anchor="_Toc514072291" w:history="1">
        <w:r w:rsidRPr="00AA22C4">
          <w:rPr>
            <w:rStyle w:val="Hipercze"/>
            <w:rFonts w:ascii="Lato" w:hAnsi="Lato"/>
            <w:noProof/>
            <w:color w:val="000000" w:themeColor="text1"/>
            <w:sz w:val="22"/>
            <w:szCs w:val="22"/>
          </w:rPr>
          <w:t>4.1.</w:t>
        </w:r>
        <w:r w:rsidRPr="00AA22C4">
          <w:rPr>
            <w:rFonts w:ascii="Lato" w:eastAsia="Times New Roman" w:hAnsi="Lato"/>
            <w:noProof/>
            <w:color w:val="000000" w:themeColor="text1"/>
            <w:kern w:val="0"/>
            <w:sz w:val="20"/>
            <w:szCs w:val="20"/>
            <w:lang w:eastAsia="pl-PL"/>
          </w:rPr>
          <w:tab/>
        </w:r>
        <w:r w:rsidRPr="00AA22C4">
          <w:rPr>
            <w:rStyle w:val="Hipercze"/>
            <w:rFonts w:ascii="Lato" w:hAnsi="Lato"/>
            <w:noProof/>
            <w:color w:val="000000" w:themeColor="text1"/>
            <w:sz w:val="22"/>
            <w:szCs w:val="22"/>
          </w:rPr>
          <w:t>Etapy programu polityki zdrowotnej i działania podejmowane w ramach etapów</w:t>
        </w:r>
        <w:r w:rsidRPr="00AA22C4">
          <w:rPr>
            <w:rFonts w:ascii="Lato" w:hAnsi="Lato"/>
            <w:noProof/>
            <w:webHidden/>
            <w:color w:val="000000" w:themeColor="text1"/>
            <w:sz w:val="22"/>
            <w:szCs w:val="22"/>
          </w:rPr>
          <w:tab/>
        </w:r>
        <w:r w:rsidRPr="00AA22C4">
          <w:rPr>
            <w:rFonts w:ascii="Lato" w:hAnsi="Lato"/>
            <w:noProof/>
            <w:webHidden/>
            <w:color w:val="000000" w:themeColor="text1"/>
            <w:sz w:val="22"/>
            <w:szCs w:val="22"/>
          </w:rPr>
          <w:fldChar w:fldCharType="begin"/>
        </w:r>
        <w:r w:rsidRPr="00AA22C4">
          <w:rPr>
            <w:rFonts w:ascii="Lato" w:hAnsi="Lato"/>
            <w:noProof/>
            <w:webHidden/>
            <w:color w:val="000000" w:themeColor="text1"/>
            <w:sz w:val="22"/>
            <w:szCs w:val="22"/>
          </w:rPr>
          <w:instrText xml:space="preserve"> PAGEREF _Toc514072291 \h </w:instrText>
        </w:r>
        <w:r w:rsidRPr="00AA22C4">
          <w:rPr>
            <w:rFonts w:ascii="Lato" w:hAnsi="Lato"/>
            <w:noProof/>
            <w:webHidden/>
            <w:color w:val="000000" w:themeColor="text1"/>
            <w:sz w:val="22"/>
            <w:szCs w:val="22"/>
          </w:rPr>
        </w:r>
        <w:r w:rsidRPr="00AA22C4">
          <w:rPr>
            <w:rFonts w:ascii="Lato" w:hAnsi="Lato"/>
            <w:noProof/>
            <w:webHidden/>
            <w:color w:val="000000" w:themeColor="text1"/>
            <w:sz w:val="22"/>
            <w:szCs w:val="22"/>
          </w:rPr>
          <w:fldChar w:fldCharType="separate"/>
        </w:r>
        <w:r w:rsidR="0010573C">
          <w:rPr>
            <w:rFonts w:ascii="Lato" w:hAnsi="Lato"/>
            <w:noProof/>
            <w:webHidden/>
            <w:color w:val="000000" w:themeColor="text1"/>
            <w:sz w:val="22"/>
            <w:szCs w:val="22"/>
          </w:rPr>
          <w:t>75</w:t>
        </w:r>
        <w:r w:rsidRPr="00AA22C4">
          <w:rPr>
            <w:rFonts w:ascii="Lato" w:hAnsi="Lato"/>
            <w:noProof/>
            <w:webHidden/>
            <w:color w:val="000000" w:themeColor="text1"/>
            <w:sz w:val="22"/>
            <w:szCs w:val="22"/>
          </w:rPr>
          <w:fldChar w:fldCharType="end"/>
        </w:r>
      </w:hyperlink>
    </w:p>
    <w:p w14:paraId="02334CE7" w14:textId="18CB988A" w:rsidR="005E347E" w:rsidRPr="00AA22C4" w:rsidRDefault="005E347E" w:rsidP="005E347E">
      <w:pPr>
        <w:pStyle w:val="Spistreci2"/>
        <w:tabs>
          <w:tab w:val="left" w:pos="284"/>
          <w:tab w:val="left" w:pos="709"/>
          <w:tab w:val="right" w:leader="dot" w:pos="9044"/>
        </w:tabs>
        <w:spacing w:line="360" w:lineRule="auto"/>
        <w:rPr>
          <w:rFonts w:ascii="Lato" w:eastAsia="Times New Roman" w:hAnsi="Lato"/>
          <w:noProof/>
          <w:color w:val="000000" w:themeColor="text1"/>
          <w:kern w:val="0"/>
          <w:sz w:val="20"/>
          <w:szCs w:val="20"/>
          <w:lang w:eastAsia="pl-PL"/>
        </w:rPr>
      </w:pPr>
      <w:hyperlink w:anchor="_Toc514072292" w:history="1">
        <w:r w:rsidRPr="00AA22C4">
          <w:rPr>
            <w:rStyle w:val="Hipercze"/>
            <w:rFonts w:ascii="Lato" w:hAnsi="Lato"/>
            <w:noProof/>
            <w:color w:val="000000" w:themeColor="text1"/>
            <w:sz w:val="22"/>
            <w:szCs w:val="22"/>
          </w:rPr>
          <w:t>4.2.</w:t>
        </w:r>
        <w:r w:rsidRPr="00AA22C4">
          <w:rPr>
            <w:rFonts w:ascii="Lato" w:eastAsia="Times New Roman" w:hAnsi="Lato"/>
            <w:noProof/>
            <w:color w:val="000000" w:themeColor="text1"/>
            <w:kern w:val="0"/>
            <w:sz w:val="20"/>
            <w:szCs w:val="20"/>
            <w:lang w:eastAsia="pl-PL"/>
          </w:rPr>
          <w:tab/>
        </w:r>
        <w:r w:rsidRPr="00AA22C4">
          <w:rPr>
            <w:rStyle w:val="Hipercze"/>
            <w:rFonts w:ascii="Lato" w:hAnsi="Lato"/>
            <w:noProof/>
            <w:color w:val="000000" w:themeColor="text1"/>
            <w:sz w:val="22"/>
            <w:szCs w:val="22"/>
          </w:rPr>
          <w:t>Warunki realizacji programu polityki zdrowotnej dotyczące personelu, wyposażenia i warunków lokalowych</w:t>
        </w:r>
        <w:r w:rsidRPr="00AA22C4">
          <w:rPr>
            <w:rFonts w:ascii="Lato" w:hAnsi="Lato"/>
            <w:noProof/>
            <w:webHidden/>
            <w:color w:val="000000" w:themeColor="text1"/>
            <w:sz w:val="22"/>
            <w:szCs w:val="22"/>
          </w:rPr>
          <w:tab/>
        </w:r>
        <w:r w:rsidRPr="00AA22C4">
          <w:rPr>
            <w:rFonts w:ascii="Lato" w:hAnsi="Lato"/>
            <w:noProof/>
            <w:webHidden/>
            <w:color w:val="000000" w:themeColor="text1"/>
            <w:sz w:val="22"/>
            <w:szCs w:val="22"/>
          </w:rPr>
          <w:fldChar w:fldCharType="begin"/>
        </w:r>
        <w:r w:rsidRPr="00AA22C4">
          <w:rPr>
            <w:rFonts w:ascii="Lato" w:hAnsi="Lato"/>
            <w:noProof/>
            <w:webHidden/>
            <w:color w:val="000000" w:themeColor="text1"/>
            <w:sz w:val="22"/>
            <w:szCs w:val="22"/>
          </w:rPr>
          <w:instrText xml:space="preserve"> PAGEREF _Toc514072292 \h </w:instrText>
        </w:r>
        <w:r w:rsidRPr="00AA22C4">
          <w:rPr>
            <w:rFonts w:ascii="Lato" w:hAnsi="Lato"/>
            <w:noProof/>
            <w:webHidden/>
            <w:color w:val="000000" w:themeColor="text1"/>
            <w:sz w:val="22"/>
            <w:szCs w:val="22"/>
          </w:rPr>
        </w:r>
        <w:r w:rsidRPr="00AA22C4">
          <w:rPr>
            <w:rFonts w:ascii="Lato" w:hAnsi="Lato"/>
            <w:noProof/>
            <w:webHidden/>
            <w:color w:val="000000" w:themeColor="text1"/>
            <w:sz w:val="22"/>
            <w:szCs w:val="22"/>
          </w:rPr>
          <w:fldChar w:fldCharType="separate"/>
        </w:r>
        <w:r w:rsidR="0010573C">
          <w:rPr>
            <w:rFonts w:ascii="Lato" w:hAnsi="Lato"/>
            <w:noProof/>
            <w:webHidden/>
            <w:color w:val="000000" w:themeColor="text1"/>
            <w:sz w:val="22"/>
            <w:szCs w:val="22"/>
          </w:rPr>
          <w:t>118</w:t>
        </w:r>
        <w:r w:rsidRPr="00AA22C4">
          <w:rPr>
            <w:rFonts w:ascii="Lato" w:hAnsi="Lato"/>
            <w:noProof/>
            <w:webHidden/>
            <w:color w:val="000000" w:themeColor="text1"/>
            <w:sz w:val="22"/>
            <w:szCs w:val="22"/>
          </w:rPr>
          <w:fldChar w:fldCharType="end"/>
        </w:r>
      </w:hyperlink>
    </w:p>
    <w:p w14:paraId="0519FCFC" w14:textId="1D65DD30" w:rsidR="005E347E" w:rsidRPr="00AA22C4" w:rsidRDefault="005E347E" w:rsidP="005E347E">
      <w:pPr>
        <w:pStyle w:val="Spistreci1"/>
        <w:tabs>
          <w:tab w:val="left" w:pos="284"/>
          <w:tab w:val="right" w:leader="dot" w:pos="9044"/>
        </w:tabs>
        <w:spacing w:line="360" w:lineRule="auto"/>
        <w:rPr>
          <w:rFonts w:ascii="Lato" w:eastAsia="Times New Roman" w:hAnsi="Lato"/>
          <w:noProof/>
          <w:color w:val="000000" w:themeColor="text1"/>
          <w:kern w:val="0"/>
          <w:sz w:val="20"/>
          <w:szCs w:val="20"/>
          <w:lang w:eastAsia="pl-PL"/>
        </w:rPr>
      </w:pPr>
      <w:hyperlink w:anchor="_Toc514072293" w:history="1">
        <w:r w:rsidRPr="00AA22C4">
          <w:rPr>
            <w:rStyle w:val="Hipercze"/>
            <w:rFonts w:ascii="Lato" w:hAnsi="Lato"/>
            <w:noProof/>
            <w:color w:val="000000" w:themeColor="text1"/>
            <w:sz w:val="22"/>
            <w:szCs w:val="22"/>
          </w:rPr>
          <w:t>V.</w:t>
        </w:r>
        <w:r w:rsidRPr="00AA22C4">
          <w:rPr>
            <w:rFonts w:ascii="Lato" w:eastAsia="Times New Roman" w:hAnsi="Lato"/>
            <w:noProof/>
            <w:color w:val="000000" w:themeColor="text1"/>
            <w:kern w:val="0"/>
            <w:sz w:val="20"/>
            <w:szCs w:val="20"/>
            <w:lang w:eastAsia="pl-PL"/>
          </w:rPr>
          <w:tab/>
        </w:r>
        <w:r w:rsidRPr="00AA22C4">
          <w:rPr>
            <w:rStyle w:val="Hipercze"/>
            <w:rFonts w:ascii="Lato" w:hAnsi="Lato"/>
            <w:noProof/>
            <w:color w:val="000000" w:themeColor="text1"/>
            <w:sz w:val="22"/>
            <w:szCs w:val="22"/>
          </w:rPr>
          <w:t>Sposób monitorowania i ewaluacji programu polityki zdrowotnej</w:t>
        </w:r>
        <w:r w:rsidRPr="00AA22C4">
          <w:rPr>
            <w:rFonts w:ascii="Lato" w:hAnsi="Lato"/>
            <w:noProof/>
            <w:webHidden/>
            <w:color w:val="000000" w:themeColor="text1"/>
            <w:sz w:val="22"/>
            <w:szCs w:val="22"/>
          </w:rPr>
          <w:tab/>
        </w:r>
        <w:r w:rsidRPr="00AA22C4">
          <w:rPr>
            <w:rFonts w:ascii="Lato" w:hAnsi="Lato"/>
            <w:noProof/>
            <w:webHidden/>
            <w:color w:val="000000" w:themeColor="text1"/>
            <w:sz w:val="22"/>
            <w:szCs w:val="22"/>
          </w:rPr>
          <w:fldChar w:fldCharType="begin"/>
        </w:r>
        <w:r w:rsidRPr="00AA22C4">
          <w:rPr>
            <w:rFonts w:ascii="Lato" w:hAnsi="Lato"/>
            <w:noProof/>
            <w:webHidden/>
            <w:color w:val="000000" w:themeColor="text1"/>
            <w:sz w:val="22"/>
            <w:szCs w:val="22"/>
          </w:rPr>
          <w:instrText xml:space="preserve"> PAGEREF _Toc514072293 \h </w:instrText>
        </w:r>
        <w:r w:rsidRPr="00AA22C4">
          <w:rPr>
            <w:rFonts w:ascii="Lato" w:hAnsi="Lato"/>
            <w:noProof/>
            <w:webHidden/>
            <w:color w:val="000000" w:themeColor="text1"/>
            <w:sz w:val="22"/>
            <w:szCs w:val="22"/>
          </w:rPr>
        </w:r>
        <w:r w:rsidRPr="00AA22C4">
          <w:rPr>
            <w:rFonts w:ascii="Lato" w:hAnsi="Lato"/>
            <w:noProof/>
            <w:webHidden/>
            <w:color w:val="000000" w:themeColor="text1"/>
            <w:sz w:val="22"/>
            <w:szCs w:val="22"/>
          </w:rPr>
          <w:fldChar w:fldCharType="separate"/>
        </w:r>
        <w:r w:rsidR="0010573C">
          <w:rPr>
            <w:rFonts w:ascii="Lato" w:hAnsi="Lato"/>
            <w:noProof/>
            <w:webHidden/>
            <w:color w:val="000000" w:themeColor="text1"/>
            <w:sz w:val="22"/>
            <w:szCs w:val="22"/>
          </w:rPr>
          <w:t>119</w:t>
        </w:r>
        <w:r w:rsidRPr="00AA22C4">
          <w:rPr>
            <w:rFonts w:ascii="Lato" w:hAnsi="Lato"/>
            <w:noProof/>
            <w:webHidden/>
            <w:color w:val="000000" w:themeColor="text1"/>
            <w:sz w:val="22"/>
            <w:szCs w:val="22"/>
          </w:rPr>
          <w:fldChar w:fldCharType="end"/>
        </w:r>
      </w:hyperlink>
    </w:p>
    <w:p w14:paraId="510AF277" w14:textId="11373DC1" w:rsidR="005E347E" w:rsidRPr="00AA22C4" w:rsidRDefault="005E347E" w:rsidP="005E347E">
      <w:pPr>
        <w:pStyle w:val="Spistreci2"/>
        <w:tabs>
          <w:tab w:val="left" w:pos="284"/>
          <w:tab w:val="left" w:pos="709"/>
          <w:tab w:val="right" w:leader="dot" w:pos="9044"/>
        </w:tabs>
        <w:spacing w:line="360" w:lineRule="auto"/>
        <w:rPr>
          <w:rFonts w:ascii="Lato" w:eastAsia="Times New Roman" w:hAnsi="Lato"/>
          <w:noProof/>
          <w:color w:val="000000" w:themeColor="text1"/>
          <w:kern w:val="0"/>
          <w:sz w:val="20"/>
          <w:szCs w:val="20"/>
          <w:lang w:eastAsia="pl-PL"/>
        </w:rPr>
      </w:pPr>
      <w:hyperlink w:anchor="_Toc514072294" w:history="1">
        <w:r w:rsidRPr="00AA22C4">
          <w:rPr>
            <w:rStyle w:val="Hipercze"/>
            <w:rFonts w:ascii="Lato" w:hAnsi="Lato"/>
            <w:bCs/>
            <w:noProof/>
            <w:color w:val="000000" w:themeColor="text1"/>
            <w:sz w:val="22"/>
            <w:szCs w:val="22"/>
          </w:rPr>
          <w:t>5.1.</w:t>
        </w:r>
        <w:r w:rsidRPr="00AA22C4">
          <w:rPr>
            <w:rFonts w:ascii="Lato" w:eastAsia="Times New Roman" w:hAnsi="Lato"/>
            <w:noProof/>
            <w:color w:val="000000" w:themeColor="text1"/>
            <w:kern w:val="0"/>
            <w:sz w:val="20"/>
            <w:szCs w:val="20"/>
            <w:lang w:eastAsia="pl-PL"/>
          </w:rPr>
          <w:tab/>
        </w:r>
        <w:r w:rsidRPr="00AA22C4">
          <w:rPr>
            <w:rStyle w:val="Hipercze"/>
            <w:rFonts w:ascii="Lato" w:hAnsi="Lato"/>
            <w:bCs/>
            <w:noProof/>
            <w:color w:val="000000" w:themeColor="text1"/>
            <w:sz w:val="22"/>
            <w:szCs w:val="22"/>
          </w:rPr>
          <w:t>Monitorowanie</w:t>
        </w:r>
        <w:r w:rsidRPr="00AA22C4">
          <w:rPr>
            <w:rFonts w:ascii="Lato" w:hAnsi="Lato"/>
            <w:noProof/>
            <w:webHidden/>
            <w:color w:val="000000" w:themeColor="text1"/>
            <w:sz w:val="22"/>
            <w:szCs w:val="22"/>
          </w:rPr>
          <w:tab/>
        </w:r>
        <w:r w:rsidRPr="00AA22C4">
          <w:rPr>
            <w:rFonts w:ascii="Lato" w:hAnsi="Lato"/>
            <w:noProof/>
            <w:webHidden/>
            <w:color w:val="000000" w:themeColor="text1"/>
            <w:sz w:val="22"/>
            <w:szCs w:val="22"/>
          </w:rPr>
          <w:fldChar w:fldCharType="begin"/>
        </w:r>
        <w:r w:rsidRPr="00AA22C4">
          <w:rPr>
            <w:rFonts w:ascii="Lato" w:hAnsi="Lato"/>
            <w:noProof/>
            <w:webHidden/>
            <w:color w:val="000000" w:themeColor="text1"/>
            <w:sz w:val="22"/>
            <w:szCs w:val="22"/>
          </w:rPr>
          <w:instrText xml:space="preserve"> PAGEREF _Toc514072294 \h </w:instrText>
        </w:r>
        <w:r w:rsidRPr="00AA22C4">
          <w:rPr>
            <w:rFonts w:ascii="Lato" w:hAnsi="Lato"/>
            <w:noProof/>
            <w:webHidden/>
            <w:color w:val="000000" w:themeColor="text1"/>
            <w:sz w:val="22"/>
            <w:szCs w:val="22"/>
          </w:rPr>
        </w:r>
        <w:r w:rsidRPr="00AA22C4">
          <w:rPr>
            <w:rFonts w:ascii="Lato" w:hAnsi="Lato"/>
            <w:noProof/>
            <w:webHidden/>
            <w:color w:val="000000" w:themeColor="text1"/>
            <w:sz w:val="22"/>
            <w:szCs w:val="22"/>
          </w:rPr>
          <w:fldChar w:fldCharType="separate"/>
        </w:r>
        <w:r w:rsidR="0010573C">
          <w:rPr>
            <w:rFonts w:ascii="Lato" w:hAnsi="Lato"/>
            <w:noProof/>
            <w:webHidden/>
            <w:color w:val="000000" w:themeColor="text1"/>
            <w:sz w:val="22"/>
            <w:szCs w:val="22"/>
          </w:rPr>
          <w:t>119</w:t>
        </w:r>
        <w:r w:rsidRPr="00AA22C4">
          <w:rPr>
            <w:rFonts w:ascii="Lato" w:hAnsi="Lato"/>
            <w:noProof/>
            <w:webHidden/>
            <w:color w:val="000000" w:themeColor="text1"/>
            <w:sz w:val="22"/>
            <w:szCs w:val="22"/>
          </w:rPr>
          <w:fldChar w:fldCharType="end"/>
        </w:r>
      </w:hyperlink>
    </w:p>
    <w:p w14:paraId="2C04A26D" w14:textId="7494EDEC" w:rsidR="005E347E" w:rsidRPr="00AA22C4" w:rsidRDefault="005E347E" w:rsidP="005E347E">
      <w:pPr>
        <w:pStyle w:val="Spistreci2"/>
        <w:tabs>
          <w:tab w:val="left" w:pos="284"/>
          <w:tab w:val="left" w:pos="709"/>
          <w:tab w:val="right" w:leader="dot" w:pos="9044"/>
        </w:tabs>
        <w:spacing w:line="360" w:lineRule="auto"/>
        <w:rPr>
          <w:rFonts w:ascii="Lato" w:eastAsia="Times New Roman" w:hAnsi="Lato"/>
          <w:noProof/>
          <w:color w:val="000000" w:themeColor="text1"/>
          <w:kern w:val="0"/>
          <w:sz w:val="20"/>
          <w:szCs w:val="20"/>
          <w:lang w:eastAsia="pl-PL"/>
        </w:rPr>
      </w:pPr>
      <w:hyperlink w:anchor="_Toc514072295" w:history="1">
        <w:r w:rsidRPr="00AA22C4">
          <w:rPr>
            <w:rStyle w:val="Hipercze"/>
            <w:rFonts w:ascii="Lato" w:hAnsi="Lato"/>
            <w:noProof/>
            <w:color w:val="000000" w:themeColor="text1"/>
            <w:sz w:val="22"/>
            <w:szCs w:val="22"/>
          </w:rPr>
          <w:t>5.2.</w:t>
        </w:r>
        <w:r w:rsidRPr="00AA22C4">
          <w:rPr>
            <w:rFonts w:ascii="Lato" w:eastAsia="Times New Roman" w:hAnsi="Lato"/>
            <w:noProof/>
            <w:color w:val="000000" w:themeColor="text1"/>
            <w:kern w:val="0"/>
            <w:sz w:val="20"/>
            <w:szCs w:val="20"/>
            <w:lang w:eastAsia="pl-PL"/>
          </w:rPr>
          <w:tab/>
        </w:r>
        <w:r w:rsidRPr="00AA22C4">
          <w:rPr>
            <w:rStyle w:val="Hipercze"/>
            <w:rFonts w:ascii="Lato" w:hAnsi="Lato"/>
            <w:noProof/>
            <w:color w:val="000000" w:themeColor="text1"/>
            <w:sz w:val="22"/>
            <w:szCs w:val="22"/>
          </w:rPr>
          <w:t>Ewaluacja</w:t>
        </w:r>
        <w:r w:rsidRPr="00AA22C4">
          <w:rPr>
            <w:rFonts w:ascii="Lato" w:hAnsi="Lato"/>
            <w:noProof/>
            <w:webHidden/>
            <w:color w:val="000000" w:themeColor="text1"/>
            <w:sz w:val="22"/>
            <w:szCs w:val="22"/>
          </w:rPr>
          <w:tab/>
        </w:r>
        <w:r w:rsidRPr="00AA22C4">
          <w:rPr>
            <w:rFonts w:ascii="Lato" w:hAnsi="Lato"/>
            <w:noProof/>
            <w:webHidden/>
            <w:color w:val="000000" w:themeColor="text1"/>
            <w:sz w:val="22"/>
            <w:szCs w:val="22"/>
          </w:rPr>
          <w:fldChar w:fldCharType="begin"/>
        </w:r>
        <w:r w:rsidRPr="00AA22C4">
          <w:rPr>
            <w:rFonts w:ascii="Lato" w:hAnsi="Lato"/>
            <w:noProof/>
            <w:webHidden/>
            <w:color w:val="000000" w:themeColor="text1"/>
            <w:sz w:val="22"/>
            <w:szCs w:val="22"/>
          </w:rPr>
          <w:instrText xml:space="preserve"> PAGEREF _Toc514072295 \h </w:instrText>
        </w:r>
        <w:r w:rsidRPr="00AA22C4">
          <w:rPr>
            <w:rFonts w:ascii="Lato" w:hAnsi="Lato"/>
            <w:noProof/>
            <w:webHidden/>
            <w:color w:val="000000" w:themeColor="text1"/>
            <w:sz w:val="22"/>
            <w:szCs w:val="22"/>
          </w:rPr>
        </w:r>
        <w:r w:rsidRPr="00AA22C4">
          <w:rPr>
            <w:rFonts w:ascii="Lato" w:hAnsi="Lato"/>
            <w:noProof/>
            <w:webHidden/>
            <w:color w:val="000000" w:themeColor="text1"/>
            <w:sz w:val="22"/>
            <w:szCs w:val="22"/>
          </w:rPr>
          <w:fldChar w:fldCharType="separate"/>
        </w:r>
        <w:r w:rsidR="0010573C">
          <w:rPr>
            <w:rFonts w:ascii="Lato" w:hAnsi="Lato"/>
            <w:noProof/>
            <w:webHidden/>
            <w:color w:val="000000" w:themeColor="text1"/>
            <w:sz w:val="22"/>
            <w:szCs w:val="22"/>
          </w:rPr>
          <w:t>121</w:t>
        </w:r>
        <w:r w:rsidRPr="00AA22C4">
          <w:rPr>
            <w:rFonts w:ascii="Lato" w:hAnsi="Lato"/>
            <w:noProof/>
            <w:webHidden/>
            <w:color w:val="000000" w:themeColor="text1"/>
            <w:sz w:val="22"/>
            <w:szCs w:val="22"/>
          </w:rPr>
          <w:fldChar w:fldCharType="end"/>
        </w:r>
      </w:hyperlink>
    </w:p>
    <w:p w14:paraId="48D80D08" w14:textId="790D2035" w:rsidR="005E347E" w:rsidRPr="00AA22C4" w:rsidRDefault="005E347E" w:rsidP="005E347E">
      <w:pPr>
        <w:pStyle w:val="Spistreci1"/>
        <w:tabs>
          <w:tab w:val="left" w:pos="284"/>
          <w:tab w:val="left" w:pos="426"/>
          <w:tab w:val="right" w:leader="dot" w:pos="9044"/>
        </w:tabs>
        <w:spacing w:line="360" w:lineRule="auto"/>
        <w:rPr>
          <w:rFonts w:ascii="Lato" w:eastAsia="Times New Roman" w:hAnsi="Lato"/>
          <w:noProof/>
          <w:color w:val="000000" w:themeColor="text1"/>
          <w:kern w:val="0"/>
          <w:sz w:val="20"/>
          <w:szCs w:val="20"/>
          <w:lang w:eastAsia="pl-PL"/>
        </w:rPr>
      </w:pPr>
      <w:hyperlink w:anchor="_Toc514072296" w:history="1">
        <w:r w:rsidRPr="00AA22C4">
          <w:rPr>
            <w:rStyle w:val="Hipercze"/>
            <w:rFonts w:ascii="Lato" w:hAnsi="Lato"/>
            <w:noProof/>
            <w:color w:val="000000" w:themeColor="text1"/>
            <w:sz w:val="22"/>
            <w:szCs w:val="22"/>
          </w:rPr>
          <w:t>VI.</w:t>
        </w:r>
        <w:r w:rsidRPr="00AA22C4">
          <w:rPr>
            <w:rFonts w:ascii="Lato" w:eastAsia="Times New Roman" w:hAnsi="Lato"/>
            <w:noProof/>
            <w:color w:val="000000" w:themeColor="text1"/>
            <w:kern w:val="0"/>
            <w:sz w:val="20"/>
            <w:szCs w:val="20"/>
            <w:lang w:eastAsia="pl-PL"/>
          </w:rPr>
          <w:tab/>
        </w:r>
        <w:r w:rsidRPr="00AA22C4">
          <w:rPr>
            <w:rStyle w:val="Hipercze"/>
            <w:rFonts w:ascii="Lato" w:hAnsi="Lato"/>
            <w:noProof/>
            <w:color w:val="000000" w:themeColor="text1"/>
            <w:sz w:val="22"/>
            <w:szCs w:val="22"/>
          </w:rPr>
          <w:t>Budżet programu polityki zdrowotnej</w:t>
        </w:r>
        <w:r w:rsidRPr="00AA22C4">
          <w:rPr>
            <w:rFonts w:ascii="Lato" w:hAnsi="Lato"/>
            <w:noProof/>
            <w:webHidden/>
            <w:color w:val="000000" w:themeColor="text1"/>
            <w:sz w:val="22"/>
            <w:szCs w:val="22"/>
          </w:rPr>
          <w:tab/>
        </w:r>
        <w:r w:rsidRPr="00AA22C4">
          <w:rPr>
            <w:rFonts w:ascii="Lato" w:hAnsi="Lato"/>
            <w:noProof/>
            <w:webHidden/>
            <w:color w:val="000000" w:themeColor="text1"/>
            <w:sz w:val="22"/>
            <w:szCs w:val="22"/>
          </w:rPr>
          <w:fldChar w:fldCharType="begin"/>
        </w:r>
        <w:r w:rsidRPr="00AA22C4">
          <w:rPr>
            <w:rFonts w:ascii="Lato" w:hAnsi="Lato"/>
            <w:noProof/>
            <w:webHidden/>
            <w:color w:val="000000" w:themeColor="text1"/>
            <w:sz w:val="22"/>
            <w:szCs w:val="22"/>
          </w:rPr>
          <w:instrText xml:space="preserve"> PAGEREF _Toc514072296 \h </w:instrText>
        </w:r>
        <w:r w:rsidRPr="00AA22C4">
          <w:rPr>
            <w:rFonts w:ascii="Lato" w:hAnsi="Lato"/>
            <w:noProof/>
            <w:webHidden/>
            <w:color w:val="000000" w:themeColor="text1"/>
            <w:sz w:val="22"/>
            <w:szCs w:val="22"/>
          </w:rPr>
        </w:r>
        <w:r w:rsidRPr="00AA22C4">
          <w:rPr>
            <w:rFonts w:ascii="Lato" w:hAnsi="Lato"/>
            <w:noProof/>
            <w:webHidden/>
            <w:color w:val="000000" w:themeColor="text1"/>
            <w:sz w:val="22"/>
            <w:szCs w:val="22"/>
          </w:rPr>
          <w:fldChar w:fldCharType="separate"/>
        </w:r>
        <w:r w:rsidR="0010573C">
          <w:rPr>
            <w:rFonts w:ascii="Lato" w:hAnsi="Lato"/>
            <w:noProof/>
            <w:webHidden/>
            <w:color w:val="000000" w:themeColor="text1"/>
            <w:sz w:val="22"/>
            <w:szCs w:val="22"/>
          </w:rPr>
          <w:t>123</w:t>
        </w:r>
        <w:r w:rsidRPr="00AA22C4">
          <w:rPr>
            <w:rFonts w:ascii="Lato" w:hAnsi="Lato"/>
            <w:noProof/>
            <w:webHidden/>
            <w:color w:val="000000" w:themeColor="text1"/>
            <w:sz w:val="22"/>
            <w:szCs w:val="22"/>
          </w:rPr>
          <w:fldChar w:fldCharType="end"/>
        </w:r>
      </w:hyperlink>
    </w:p>
    <w:p w14:paraId="2378D927" w14:textId="2709C2E0" w:rsidR="005E347E" w:rsidRPr="00AA22C4" w:rsidRDefault="005E347E" w:rsidP="005E347E">
      <w:pPr>
        <w:pStyle w:val="Spistreci2"/>
        <w:tabs>
          <w:tab w:val="left" w:pos="284"/>
          <w:tab w:val="left" w:pos="709"/>
          <w:tab w:val="right" w:leader="dot" w:pos="9044"/>
        </w:tabs>
        <w:spacing w:line="360" w:lineRule="auto"/>
        <w:rPr>
          <w:rFonts w:ascii="Lato" w:eastAsia="Times New Roman" w:hAnsi="Lato"/>
          <w:noProof/>
          <w:color w:val="000000" w:themeColor="text1"/>
          <w:kern w:val="0"/>
          <w:sz w:val="20"/>
          <w:szCs w:val="20"/>
          <w:lang w:eastAsia="pl-PL"/>
        </w:rPr>
      </w:pPr>
      <w:hyperlink w:anchor="_Toc514072297" w:history="1">
        <w:r w:rsidRPr="00AA22C4">
          <w:rPr>
            <w:rStyle w:val="Hipercze"/>
            <w:rFonts w:ascii="Lato" w:hAnsi="Lato"/>
            <w:noProof/>
            <w:color w:val="000000" w:themeColor="text1"/>
            <w:sz w:val="22"/>
            <w:szCs w:val="22"/>
          </w:rPr>
          <w:t>6.1.</w:t>
        </w:r>
        <w:r w:rsidRPr="00AA22C4">
          <w:rPr>
            <w:rFonts w:ascii="Lato" w:eastAsia="Times New Roman" w:hAnsi="Lato"/>
            <w:noProof/>
            <w:color w:val="000000" w:themeColor="text1"/>
            <w:kern w:val="0"/>
            <w:sz w:val="20"/>
            <w:szCs w:val="20"/>
            <w:lang w:eastAsia="pl-PL"/>
          </w:rPr>
          <w:tab/>
        </w:r>
        <w:r w:rsidRPr="00AA22C4">
          <w:rPr>
            <w:rStyle w:val="Hipercze"/>
            <w:rFonts w:ascii="Lato" w:hAnsi="Lato"/>
            <w:noProof/>
            <w:color w:val="000000" w:themeColor="text1"/>
            <w:sz w:val="22"/>
            <w:szCs w:val="22"/>
          </w:rPr>
          <w:t>Koszty jednostkowe oraz całkowite</w:t>
        </w:r>
        <w:r w:rsidRPr="00AA22C4">
          <w:rPr>
            <w:rFonts w:ascii="Lato" w:hAnsi="Lato"/>
            <w:noProof/>
            <w:webHidden/>
            <w:color w:val="000000" w:themeColor="text1"/>
            <w:sz w:val="22"/>
            <w:szCs w:val="22"/>
          </w:rPr>
          <w:tab/>
        </w:r>
        <w:r w:rsidRPr="00AA22C4">
          <w:rPr>
            <w:rFonts w:ascii="Lato" w:hAnsi="Lato"/>
            <w:noProof/>
            <w:webHidden/>
            <w:color w:val="000000" w:themeColor="text1"/>
            <w:sz w:val="22"/>
            <w:szCs w:val="22"/>
          </w:rPr>
          <w:fldChar w:fldCharType="begin"/>
        </w:r>
        <w:r w:rsidRPr="00AA22C4">
          <w:rPr>
            <w:rFonts w:ascii="Lato" w:hAnsi="Lato"/>
            <w:noProof/>
            <w:webHidden/>
            <w:color w:val="000000" w:themeColor="text1"/>
            <w:sz w:val="22"/>
            <w:szCs w:val="22"/>
          </w:rPr>
          <w:instrText xml:space="preserve"> PAGEREF _Toc514072297 \h </w:instrText>
        </w:r>
        <w:r w:rsidRPr="00AA22C4">
          <w:rPr>
            <w:rFonts w:ascii="Lato" w:hAnsi="Lato"/>
            <w:noProof/>
            <w:webHidden/>
            <w:color w:val="000000" w:themeColor="text1"/>
            <w:sz w:val="22"/>
            <w:szCs w:val="22"/>
          </w:rPr>
        </w:r>
        <w:r w:rsidRPr="00AA22C4">
          <w:rPr>
            <w:rFonts w:ascii="Lato" w:hAnsi="Lato"/>
            <w:noProof/>
            <w:webHidden/>
            <w:color w:val="000000" w:themeColor="text1"/>
            <w:sz w:val="22"/>
            <w:szCs w:val="22"/>
          </w:rPr>
          <w:fldChar w:fldCharType="separate"/>
        </w:r>
        <w:r w:rsidR="0010573C">
          <w:rPr>
            <w:rFonts w:ascii="Lato" w:hAnsi="Lato"/>
            <w:noProof/>
            <w:webHidden/>
            <w:color w:val="000000" w:themeColor="text1"/>
            <w:sz w:val="22"/>
            <w:szCs w:val="22"/>
          </w:rPr>
          <w:t>123</w:t>
        </w:r>
        <w:r w:rsidRPr="00AA22C4">
          <w:rPr>
            <w:rFonts w:ascii="Lato" w:hAnsi="Lato"/>
            <w:noProof/>
            <w:webHidden/>
            <w:color w:val="000000" w:themeColor="text1"/>
            <w:sz w:val="22"/>
            <w:szCs w:val="22"/>
          </w:rPr>
          <w:fldChar w:fldCharType="end"/>
        </w:r>
      </w:hyperlink>
    </w:p>
    <w:p w14:paraId="6E2F8090" w14:textId="734D9379" w:rsidR="005E347E" w:rsidRPr="00AA22C4" w:rsidRDefault="005E347E" w:rsidP="005E347E">
      <w:pPr>
        <w:pStyle w:val="Spistreci2"/>
        <w:tabs>
          <w:tab w:val="left" w:pos="284"/>
          <w:tab w:val="left" w:pos="709"/>
          <w:tab w:val="right" w:leader="dot" w:pos="9044"/>
        </w:tabs>
        <w:spacing w:line="360" w:lineRule="auto"/>
        <w:rPr>
          <w:rFonts w:ascii="Lato" w:eastAsia="Times New Roman" w:hAnsi="Lato"/>
          <w:noProof/>
          <w:color w:val="000000" w:themeColor="text1"/>
          <w:kern w:val="0"/>
          <w:sz w:val="20"/>
          <w:szCs w:val="20"/>
          <w:lang w:eastAsia="pl-PL"/>
        </w:rPr>
      </w:pPr>
      <w:hyperlink w:anchor="_Źródło_finansowania" w:history="1">
        <w:r w:rsidRPr="00AA22C4">
          <w:rPr>
            <w:rStyle w:val="Hipercze"/>
            <w:rFonts w:ascii="Lato" w:hAnsi="Lato"/>
            <w:noProof/>
            <w:color w:val="000000" w:themeColor="text1"/>
            <w:sz w:val="22"/>
            <w:szCs w:val="22"/>
          </w:rPr>
          <w:t>6.2.</w:t>
        </w:r>
        <w:r w:rsidRPr="00AA22C4">
          <w:rPr>
            <w:rFonts w:ascii="Lato" w:eastAsia="Times New Roman" w:hAnsi="Lato"/>
            <w:noProof/>
            <w:color w:val="000000" w:themeColor="text1"/>
            <w:kern w:val="0"/>
            <w:sz w:val="20"/>
            <w:szCs w:val="20"/>
            <w:lang w:eastAsia="pl-PL"/>
          </w:rPr>
          <w:tab/>
        </w:r>
        <w:r w:rsidRPr="00AA22C4">
          <w:rPr>
            <w:rStyle w:val="Hipercze"/>
            <w:rFonts w:ascii="Lato" w:hAnsi="Lato"/>
            <w:noProof/>
            <w:color w:val="000000" w:themeColor="text1"/>
            <w:sz w:val="22"/>
            <w:szCs w:val="22"/>
          </w:rPr>
          <w:t>Źródło finansowania</w:t>
        </w:r>
        <w:r w:rsidRPr="00AA22C4">
          <w:rPr>
            <w:rFonts w:ascii="Lato" w:hAnsi="Lato"/>
            <w:noProof/>
            <w:webHidden/>
            <w:color w:val="000000" w:themeColor="text1"/>
            <w:sz w:val="22"/>
            <w:szCs w:val="22"/>
          </w:rPr>
          <w:tab/>
        </w:r>
        <w:r w:rsidRPr="00B10372">
          <w:rPr>
            <w:rFonts w:ascii="Lato" w:hAnsi="Lato"/>
            <w:noProof/>
            <w:webHidden/>
            <w:color w:val="FFFFFF" w:themeColor="background1"/>
            <w:sz w:val="22"/>
            <w:szCs w:val="22"/>
          </w:rPr>
          <w:fldChar w:fldCharType="begin"/>
        </w:r>
        <w:r w:rsidRPr="00B10372">
          <w:rPr>
            <w:rFonts w:ascii="Lato" w:hAnsi="Lato"/>
            <w:noProof/>
            <w:webHidden/>
            <w:color w:val="FFFFFF" w:themeColor="background1"/>
            <w:sz w:val="22"/>
            <w:szCs w:val="22"/>
          </w:rPr>
          <w:instrText xml:space="preserve"> PAGEREF _Toc514072298 \h </w:instrText>
        </w:r>
        <w:r w:rsidRPr="00B10372">
          <w:rPr>
            <w:rFonts w:ascii="Lato" w:hAnsi="Lato"/>
            <w:noProof/>
            <w:webHidden/>
            <w:color w:val="FFFFFF" w:themeColor="background1"/>
            <w:sz w:val="22"/>
            <w:szCs w:val="22"/>
          </w:rPr>
        </w:r>
        <w:r w:rsidRPr="00B10372">
          <w:rPr>
            <w:rFonts w:ascii="Lato" w:hAnsi="Lato"/>
            <w:noProof/>
            <w:webHidden/>
            <w:color w:val="FFFFFF" w:themeColor="background1"/>
            <w:sz w:val="22"/>
            <w:szCs w:val="22"/>
          </w:rPr>
          <w:fldChar w:fldCharType="separate"/>
        </w:r>
        <w:r w:rsidR="0010573C">
          <w:rPr>
            <w:rFonts w:ascii="Lato" w:hAnsi="Lato"/>
            <w:noProof/>
            <w:webHidden/>
            <w:color w:val="FFFFFF" w:themeColor="background1"/>
            <w:sz w:val="22"/>
            <w:szCs w:val="22"/>
          </w:rPr>
          <w:t>128</w:t>
        </w:r>
        <w:r w:rsidRPr="00B10372">
          <w:rPr>
            <w:rFonts w:ascii="Lato" w:hAnsi="Lato"/>
            <w:noProof/>
            <w:webHidden/>
            <w:color w:val="FFFFFF" w:themeColor="background1"/>
            <w:sz w:val="22"/>
            <w:szCs w:val="22"/>
          </w:rPr>
          <w:fldChar w:fldCharType="end"/>
        </w:r>
      </w:hyperlink>
      <w:r w:rsidR="00B10372">
        <w:rPr>
          <w:rFonts w:ascii="Lato" w:hAnsi="Lato"/>
          <w:noProof/>
          <w:color w:val="000000" w:themeColor="text1"/>
          <w:sz w:val="22"/>
          <w:szCs w:val="22"/>
        </w:rPr>
        <w:t>1</w:t>
      </w:r>
      <w:r w:rsidRPr="00AA22C4">
        <w:rPr>
          <w:rFonts w:ascii="Lato" w:hAnsi="Lato"/>
          <w:noProof/>
          <w:color w:val="000000" w:themeColor="text1"/>
          <w:sz w:val="22"/>
          <w:szCs w:val="22"/>
        </w:rPr>
        <w:t>3</w:t>
      </w:r>
      <w:r w:rsidR="00537A85">
        <w:rPr>
          <w:rFonts w:ascii="Lato" w:hAnsi="Lato"/>
          <w:noProof/>
          <w:color w:val="000000" w:themeColor="text1"/>
          <w:sz w:val="22"/>
          <w:szCs w:val="22"/>
        </w:rPr>
        <w:t>5</w:t>
      </w:r>
    </w:p>
    <w:p w14:paraId="2F63F486" w14:textId="100B8DFE" w:rsidR="005E347E" w:rsidRPr="00AA22C4" w:rsidRDefault="005E347E" w:rsidP="005E347E">
      <w:pPr>
        <w:pStyle w:val="Spistreci1"/>
        <w:tabs>
          <w:tab w:val="left" w:pos="284"/>
          <w:tab w:val="right" w:leader="dot" w:pos="9044"/>
        </w:tabs>
        <w:spacing w:line="360" w:lineRule="auto"/>
        <w:rPr>
          <w:rFonts w:ascii="Lato" w:eastAsia="Times New Roman" w:hAnsi="Lato"/>
          <w:noProof/>
          <w:color w:val="000000" w:themeColor="text1"/>
          <w:kern w:val="0"/>
          <w:sz w:val="20"/>
          <w:szCs w:val="20"/>
          <w:lang w:eastAsia="pl-PL"/>
        </w:rPr>
      </w:pPr>
      <w:hyperlink w:anchor="_Toc514072299" w:history="1">
        <w:r w:rsidRPr="00AA22C4">
          <w:rPr>
            <w:rStyle w:val="Hipercze"/>
            <w:rFonts w:ascii="Lato" w:hAnsi="Lato"/>
            <w:noProof/>
            <w:color w:val="000000" w:themeColor="text1"/>
            <w:sz w:val="22"/>
            <w:szCs w:val="22"/>
          </w:rPr>
          <w:t>Bibliografia</w:t>
        </w:r>
        <w:r w:rsidRPr="00AA22C4">
          <w:rPr>
            <w:rFonts w:ascii="Lato" w:hAnsi="Lato"/>
            <w:noProof/>
            <w:webHidden/>
            <w:color w:val="000000" w:themeColor="text1"/>
            <w:sz w:val="22"/>
            <w:szCs w:val="22"/>
          </w:rPr>
          <w:tab/>
        </w:r>
        <w:r w:rsidRPr="00AA22C4">
          <w:rPr>
            <w:rFonts w:ascii="Lato" w:hAnsi="Lato"/>
            <w:noProof/>
            <w:webHidden/>
            <w:color w:val="000000" w:themeColor="text1"/>
            <w:sz w:val="22"/>
            <w:szCs w:val="22"/>
          </w:rPr>
          <w:fldChar w:fldCharType="begin"/>
        </w:r>
        <w:r w:rsidRPr="00AA22C4">
          <w:rPr>
            <w:rFonts w:ascii="Lato" w:hAnsi="Lato"/>
            <w:noProof/>
            <w:webHidden/>
            <w:color w:val="000000" w:themeColor="text1"/>
            <w:sz w:val="22"/>
            <w:szCs w:val="22"/>
          </w:rPr>
          <w:instrText xml:space="preserve"> PAGEREF _Toc514072299 \h </w:instrText>
        </w:r>
        <w:r w:rsidRPr="00AA22C4">
          <w:rPr>
            <w:rFonts w:ascii="Lato" w:hAnsi="Lato"/>
            <w:noProof/>
            <w:webHidden/>
            <w:color w:val="000000" w:themeColor="text1"/>
            <w:sz w:val="22"/>
            <w:szCs w:val="22"/>
          </w:rPr>
        </w:r>
        <w:r w:rsidRPr="00AA22C4">
          <w:rPr>
            <w:rFonts w:ascii="Lato" w:hAnsi="Lato"/>
            <w:noProof/>
            <w:webHidden/>
            <w:color w:val="000000" w:themeColor="text1"/>
            <w:sz w:val="22"/>
            <w:szCs w:val="22"/>
          </w:rPr>
          <w:fldChar w:fldCharType="separate"/>
        </w:r>
        <w:r w:rsidR="0010573C">
          <w:rPr>
            <w:rFonts w:ascii="Lato" w:hAnsi="Lato"/>
            <w:noProof/>
            <w:webHidden/>
            <w:color w:val="000000" w:themeColor="text1"/>
            <w:sz w:val="22"/>
            <w:szCs w:val="22"/>
          </w:rPr>
          <w:t>137</w:t>
        </w:r>
        <w:r w:rsidRPr="00AA22C4">
          <w:rPr>
            <w:rFonts w:ascii="Lato" w:hAnsi="Lato"/>
            <w:noProof/>
            <w:webHidden/>
            <w:color w:val="000000" w:themeColor="text1"/>
            <w:sz w:val="22"/>
            <w:szCs w:val="22"/>
          </w:rPr>
          <w:fldChar w:fldCharType="end"/>
        </w:r>
      </w:hyperlink>
    </w:p>
    <w:p w14:paraId="28A874D9" w14:textId="570AEDB1" w:rsidR="005E347E" w:rsidRPr="00AA22C4" w:rsidRDefault="005E347E" w:rsidP="005E347E">
      <w:pPr>
        <w:pStyle w:val="Spistreci1"/>
        <w:tabs>
          <w:tab w:val="left" w:pos="284"/>
          <w:tab w:val="right" w:leader="dot" w:pos="9044"/>
        </w:tabs>
        <w:spacing w:line="360" w:lineRule="auto"/>
        <w:rPr>
          <w:rFonts w:ascii="Lato" w:eastAsia="Times New Roman" w:hAnsi="Lato"/>
          <w:noProof/>
          <w:color w:val="000000" w:themeColor="text1"/>
          <w:kern w:val="0"/>
          <w:sz w:val="22"/>
          <w:szCs w:val="22"/>
          <w:lang w:eastAsia="pl-PL"/>
        </w:rPr>
      </w:pPr>
      <w:hyperlink w:anchor="_Toc514072300" w:history="1">
        <w:r w:rsidRPr="00AA22C4">
          <w:rPr>
            <w:rStyle w:val="Hipercze"/>
            <w:rFonts w:ascii="Lato" w:hAnsi="Lato"/>
            <w:noProof/>
            <w:color w:val="000000" w:themeColor="text1"/>
            <w:sz w:val="22"/>
            <w:szCs w:val="22"/>
            <w:lang w:val="en-GB"/>
          </w:rPr>
          <w:t>Załączniki</w:t>
        </w:r>
        <w:r w:rsidRPr="00AA22C4">
          <w:rPr>
            <w:rFonts w:ascii="Lato" w:hAnsi="Lato"/>
            <w:noProof/>
            <w:webHidden/>
            <w:color w:val="000000" w:themeColor="text1"/>
            <w:sz w:val="22"/>
            <w:szCs w:val="22"/>
          </w:rPr>
          <w:tab/>
        </w:r>
        <w:r w:rsidRPr="00AA22C4">
          <w:rPr>
            <w:rFonts w:ascii="Lato" w:hAnsi="Lato"/>
            <w:noProof/>
            <w:webHidden/>
            <w:color w:val="000000" w:themeColor="text1"/>
            <w:sz w:val="22"/>
            <w:szCs w:val="22"/>
          </w:rPr>
          <w:fldChar w:fldCharType="begin"/>
        </w:r>
        <w:r w:rsidRPr="00AA22C4">
          <w:rPr>
            <w:rFonts w:ascii="Lato" w:hAnsi="Lato"/>
            <w:noProof/>
            <w:webHidden/>
            <w:color w:val="000000" w:themeColor="text1"/>
            <w:sz w:val="22"/>
            <w:szCs w:val="22"/>
          </w:rPr>
          <w:instrText xml:space="preserve"> PAGEREF _Toc514072300 \h </w:instrText>
        </w:r>
        <w:r w:rsidRPr="00AA22C4">
          <w:rPr>
            <w:rFonts w:ascii="Lato" w:hAnsi="Lato"/>
            <w:noProof/>
            <w:webHidden/>
            <w:color w:val="000000" w:themeColor="text1"/>
            <w:sz w:val="22"/>
            <w:szCs w:val="22"/>
          </w:rPr>
        </w:r>
        <w:r w:rsidRPr="00AA22C4">
          <w:rPr>
            <w:rFonts w:ascii="Lato" w:hAnsi="Lato"/>
            <w:noProof/>
            <w:webHidden/>
            <w:color w:val="000000" w:themeColor="text1"/>
            <w:sz w:val="22"/>
            <w:szCs w:val="22"/>
          </w:rPr>
          <w:fldChar w:fldCharType="separate"/>
        </w:r>
        <w:r w:rsidR="0010573C">
          <w:rPr>
            <w:rFonts w:ascii="Lato" w:hAnsi="Lato"/>
            <w:noProof/>
            <w:webHidden/>
            <w:color w:val="000000" w:themeColor="text1"/>
            <w:sz w:val="22"/>
            <w:szCs w:val="22"/>
          </w:rPr>
          <w:t>146</w:t>
        </w:r>
        <w:r w:rsidRPr="00AA22C4">
          <w:rPr>
            <w:rFonts w:ascii="Lato" w:hAnsi="Lato"/>
            <w:noProof/>
            <w:webHidden/>
            <w:color w:val="000000" w:themeColor="text1"/>
            <w:sz w:val="22"/>
            <w:szCs w:val="22"/>
          </w:rPr>
          <w:fldChar w:fldCharType="end"/>
        </w:r>
      </w:hyperlink>
    </w:p>
    <w:p w14:paraId="61977D33" w14:textId="77777777" w:rsidR="005E347E" w:rsidRPr="00AA22C4" w:rsidRDefault="005E347E" w:rsidP="005E347E">
      <w:pPr>
        <w:rPr>
          <w:rFonts w:ascii="Lato" w:hAnsi="Lato"/>
          <w:color w:val="000000" w:themeColor="text1"/>
        </w:rPr>
      </w:pPr>
      <w:r w:rsidRPr="00AA22C4">
        <w:rPr>
          <w:rFonts w:ascii="Lato" w:hAnsi="Lato"/>
          <w:color w:val="000000" w:themeColor="text1"/>
        </w:rPr>
        <w:fldChar w:fldCharType="end"/>
      </w:r>
    </w:p>
    <w:p w14:paraId="0BAAFB9A" w14:textId="77777777" w:rsidR="005E347E" w:rsidRPr="00AA22C4" w:rsidRDefault="005E347E" w:rsidP="005E347E">
      <w:pPr>
        <w:pStyle w:val="Nagwek2"/>
        <w:numPr>
          <w:ilvl w:val="0"/>
          <w:numId w:val="16"/>
        </w:numPr>
        <w:rPr>
          <w:rFonts w:ascii="Lato" w:hAnsi="Lato"/>
          <w:color w:val="000000" w:themeColor="text1"/>
        </w:rPr>
      </w:pPr>
      <w:bookmarkStart w:id="1" w:name="_Toc514072276"/>
      <w:r w:rsidRPr="00AA22C4">
        <w:rPr>
          <w:rFonts w:ascii="Lato" w:hAnsi="Lato"/>
          <w:color w:val="000000" w:themeColor="text1"/>
        </w:rPr>
        <w:lastRenderedPageBreak/>
        <w:t>Opis problemu zdrowotnego i uzasadnienie wprowadzenia programu polityki zdrowotnej</w:t>
      </w:r>
      <w:bookmarkEnd w:id="1"/>
    </w:p>
    <w:p w14:paraId="3982EFE7" w14:textId="77777777" w:rsidR="005E347E" w:rsidRPr="00AA22C4" w:rsidRDefault="005E347E" w:rsidP="005E347E">
      <w:pPr>
        <w:pStyle w:val="Nagwek2"/>
        <w:numPr>
          <w:ilvl w:val="1"/>
          <w:numId w:val="16"/>
        </w:numPr>
        <w:ind w:left="993" w:hanging="993"/>
        <w:rPr>
          <w:rFonts w:ascii="Lato" w:hAnsi="Lato"/>
          <w:color w:val="000000" w:themeColor="text1"/>
          <w:sz w:val="28"/>
        </w:rPr>
      </w:pPr>
      <w:bookmarkStart w:id="2" w:name="_Toc514072277"/>
      <w:r w:rsidRPr="00AA22C4">
        <w:rPr>
          <w:rFonts w:ascii="Lato" w:hAnsi="Lato"/>
          <w:color w:val="000000" w:themeColor="text1"/>
          <w:sz w:val="28"/>
        </w:rPr>
        <w:t>Opis problemu zdrowotnego</w:t>
      </w:r>
      <w:bookmarkEnd w:id="2"/>
      <w:r w:rsidRPr="00AA22C4">
        <w:rPr>
          <w:rFonts w:ascii="Lato" w:hAnsi="Lato"/>
          <w:color w:val="000000" w:themeColor="text1"/>
          <w:sz w:val="28"/>
        </w:rPr>
        <w:t xml:space="preserve"> </w:t>
      </w:r>
    </w:p>
    <w:p w14:paraId="6F3A4A28" w14:textId="03178CC5"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Program stanowi kontynuację programu polityki zdrowotnej pn.: </w:t>
      </w:r>
      <w:r w:rsidR="00B3776C" w:rsidRPr="00AA22C4">
        <w:rPr>
          <w:rFonts w:ascii="Lato" w:hAnsi="Lato"/>
          <w:i/>
          <w:iCs/>
          <w:color w:val="000000" w:themeColor="text1"/>
          <w:sz w:val="22"/>
          <w:szCs w:val="22"/>
        </w:rPr>
        <w:t>Program badań przesiewowych noworodków w Rzeczpospolitej Polskiej na lata 2019-2026</w:t>
      </w:r>
      <w:r w:rsidRPr="00AA22C4">
        <w:rPr>
          <w:rFonts w:ascii="Lato" w:hAnsi="Lato"/>
          <w:color w:val="000000" w:themeColor="text1"/>
          <w:sz w:val="22"/>
          <w:szCs w:val="22"/>
        </w:rPr>
        <w:t>, zwany dalej „Programem” którego realizatorem był Instytut Matki i Dziecka z siedzibą w Warszawie, zwany dalej „IMiD”.</w:t>
      </w:r>
    </w:p>
    <w:p w14:paraId="2A3BC72F" w14:textId="771878A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Badanie przesiewowe noworodków jest bardzo ważnym postępowaniem profilaktycznym, które polega na wstępnej identyfikacji chorób wrodzonych, za pomocą testów analitycznych, przed wystąpieniem objawów klinicznych. Choroby te niewykryte w pierwszym miesiącu życia prowadzą do zaburzeń rozwoju i często do ciężkiej niepełnosprawności intelektualnej wykluczającej samodzielne funkcjonowanie osoby chorej w społeczeństwie. W Rzecz</w:t>
      </w:r>
      <w:r w:rsidR="007A48CA" w:rsidRPr="00AA22C4">
        <w:rPr>
          <w:rFonts w:ascii="Lato" w:hAnsi="Lato"/>
          <w:color w:val="000000" w:themeColor="text1"/>
          <w:sz w:val="22"/>
          <w:szCs w:val="22"/>
        </w:rPr>
        <w:t>y</w:t>
      </w:r>
      <w:r w:rsidRPr="00AA22C4">
        <w:rPr>
          <w:rFonts w:ascii="Lato" w:hAnsi="Lato"/>
          <w:color w:val="000000" w:themeColor="text1"/>
          <w:sz w:val="22"/>
          <w:szCs w:val="22"/>
        </w:rPr>
        <w:t xml:space="preserve">pospolitej Polskiej rodzi się w ciągu roku </w:t>
      </w:r>
      <w:r w:rsidR="00AF23E1" w:rsidRPr="00AA22C4">
        <w:rPr>
          <w:rFonts w:ascii="Lato" w:hAnsi="Lato"/>
          <w:color w:val="000000" w:themeColor="text1"/>
          <w:sz w:val="22"/>
          <w:szCs w:val="22"/>
        </w:rPr>
        <w:t>około</w:t>
      </w:r>
      <w:r w:rsidRPr="00AA22C4">
        <w:rPr>
          <w:rFonts w:ascii="Lato" w:hAnsi="Lato"/>
          <w:color w:val="000000" w:themeColor="text1"/>
          <w:sz w:val="22"/>
          <w:szCs w:val="22"/>
        </w:rPr>
        <w:t xml:space="preserve"> </w:t>
      </w:r>
      <w:r w:rsidR="00AF23E1" w:rsidRPr="00AA22C4">
        <w:rPr>
          <w:rFonts w:ascii="Lato" w:hAnsi="Lato"/>
          <w:color w:val="000000" w:themeColor="text1"/>
          <w:sz w:val="22"/>
          <w:szCs w:val="22"/>
        </w:rPr>
        <w:t>35</w:t>
      </w:r>
      <w:r w:rsidRPr="00AA22C4">
        <w:rPr>
          <w:rFonts w:ascii="Lato" w:hAnsi="Lato"/>
          <w:color w:val="000000" w:themeColor="text1"/>
          <w:sz w:val="22"/>
          <w:szCs w:val="22"/>
        </w:rPr>
        <w:t xml:space="preserve">0 dzieci z chorobami wrodzonymi objętymi obecnie przedmiotowym programem badań przesiewowych. Jedynym sposobem na uratowanie tych dzieci jest wczesna diagnostyka biochemiczna, na podstawie analizy krwi noworodków pobranej na specjalną bibułę, co umożliwia wczesne rozpoczęcie leczenia już w pierwszych tygodniach, a nawet dniach życia. Populacyjne badania przesiewowe zostały uznane przez Światową Organizację Zdrowia za ważne działanie profilaktyczne, którego celem jest wykrycie i leczenie chorób wrodzonych, stanowiących zagrożenie dla życia dziecka lub prowadzących do zaburzeń rozwoju, ciężkiego przebiegu choroby, a także trwałej niepełnosprawności intelektualnej. </w:t>
      </w:r>
    </w:p>
    <w:p w14:paraId="52552A38" w14:textId="492D027D" w:rsidR="005E347E" w:rsidRPr="00AA22C4" w:rsidRDefault="005E347E" w:rsidP="005E347E">
      <w:pPr>
        <w:pStyle w:val="Tekstprzypisudolnego"/>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Badania przesiewowe umożliwią: wykrycie noworodków podejrzanych o jedną z 30 chorób wrodzonych, zdiagnozowanie choroby przez dodatkowe testy biochemiczne i genetyczne, wdrożenie właściwego leczenia oraz w przypadku niektórych chorób monitorowanie leczenia w pierwszym roku życia (wrodzone wady metabolizmu) lub do 18 roku życia (fenyloketonuria). Stałe poszerzanie zakresu badań przesiewowych o kolejne choroby od początku wprowadzenia tych badań w Rzecz</w:t>
      </w:r>
      <w:r w:rsidR="007A48CA" w:rsidRPr="00AA22C4">
        <w:rPr>
          <w:rFonts w:ascii="Lato" w:hAnsi="Lato"/>
          <w:color w:val="000000" w:themeColor="text1"/>
          <w:sz w:val="22"/>
          <w:szCs w:val="22"/>
        </w:rPr>
        <w:t>y</w:t>
      </w:r>
      <w:r w:rsidRPr="00AA22C4">
        <w:rPr>
          <w:rFonts w:ascii="Lato" w:hAnsi="Lato"/>
          <w:color w:val="000000" w:themeColor="text1"/>
          <w:sz w:val="22"/>
          <w:szCs w:val="22"/>
        </w:rPr>
        <w:t>pospolitej Polskiej, umożliwiło wykrywanie i ratowanie coraz większej liczby noworodków. Ponadto, wdrożenie etapu diagnostyki potwierdzającej oraz monitorowanie leczenia doprowadziło do organizacji badań przesiewowych w Rzecz</w:t>
      </w:r>
      <w:r w:rsidR="007A48CA" w:rsidRPr="00AA22C4">
        <w:rPr>
          <w:rFonts w:ascii="Lato" w:hAnsi="Lato"/>
          <w:color w:val="000000" w:themeColor="text1"/>
          <w:sz w:val="22"/>
          <w:szCs w:val="22"/>
        </w:rPr>
        <w:t>y</w:t>
      </w:r>
      <w:r w:rsidRPr="00AA22C4">
        <w:rPr>
          <w:rFonts w:ascii="Lato" w:hAnsi="Lato"/>
          <w:color w:val="000000" w:themeColor="text1"/>
          <w:sz w:val="22"/>
          <w:szCs w:val="22"/>
        </w:rPr>
        <w:t>pospolitej Polskiej zgodnie z rekomendacjami ekspertów Unii Europejskiej.</w:t>
      </w:r>
    </w:p>
    <w:p w14:paraId="28417F83" w14:textId="77777777" w:rsidR="005E347E" w:rsidRPr="00AA22C4" w:rsidRDefault="005E347E" w:rsidP="005E347E">
      <w:pPr>
        <w:suppressAutoHyphens/>
        <w:spacing w:before="120" w:after="120"/>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lang w:eastAsia="ar-SA"/>
        </w:rPr>
        <w:t xml:space="preserve">Wrodzone wady metabolizmu oraz inne choroby objęte badaniami przesiewowymi noworodków są to w większości genetycznie uwarunkowane schorzenia, dlatego profilaktyka </w:t>
      </w:r>
      <w:r w:rsidRPr="00AA22C4">
        <w:rPr>
          <w:rFonts w:ascii="Lato" w:eastAsia="Arial Unicode MS" w:hAnsi="Lato"/>
          <w:color w:val="000000" w:themeColor="text1"/>
          <w:kern w:val="1"/>
          <w:sz w:val="22"/>
          <w:szCs w:val="22"/>
          <w:lang w:eastAsia="ar-SA"/>
        </w:rPr>
        <w:lastRenderedPageBreak/>
        <w:t>pierwotna tych chorób jest niemożliwa. W tych przypadkach (a także we wrodzonej niedoczynności tarczycy i wrodzonym przeroście nadnerczy) jedynie wczesne, tj. przedobjawowe wykrycie choroby umożliwia przeżycie dziecka, oraz poprawia rokowanie co do przebiegu klinicznego choroby. Dzięki wczesnemu rozpoznaniu choroby, możliwe jest szybkie rozpoczęcie właściwego leczenia, które łagodzi objawy chorobowe i zapobiega wystąpieniu nieodwracalnych powikłań wielonarządowych, w tym niepełnosprawności intelektualnej.</w:t>
      </w:r>
    </w:p>
    <w:p w14:paraId="73C57DE8" w14:textId="7D803304" w:rsidR="005E347E" w:rsidRPr="00AA22C4" w:rsidRDefault="005E347E" w:rsidP="005E347E">
      <w:pPr>
        <w:suppressAutoHyphens/>
        <w:spacing w:before="120" w:after="120"/>
        <w:ind w:left="17"/>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Wczesne wykrycie chorób wrodzonych (w tym wrodzonych wad metabolizmu </w:t>
      </w:r>
      <w:proofErr w:type="spellStart"/>
      <w:r w:rsidRPr="00AA22C4">
        <w:rPr>
          <w:rFonts w:ascii="Lato" w:hAnsi="Lato"/>
          <w:color w:val="000000" w:themeColor="text1"/>
          <w:kern w:val="1"/>
          <w:sz w:val="22"/>
          <w:szCs w:val="22"/>
          <w:lang w:eastAsia="ar-SA"/>
        </w:rPr>
        <w:t>endokrynopatii</w:t>
      </w:r>
      <w:proofErr w:type="spellEnd"/>
      <w:r w:rsidRPr="00AA22C4">
        <w:rPr>
          <w:rFonts w:ascii="Lato" w:hAnsi="Lato"/>
          <w:color w:val="000000" w:themeColor="text1"/>
          <w:kern w:val="1"/>
          <w:sz w:val="22"/>
          <w:szCs w:val="22"/>
          <w:lang w:eastAsia="ar-SA"/>
        </w:rPr>
        <w:t xml:space="preserve"> (wrodzonej niedoczynności tarczycy i wrodzonego przerostu nadnerczy oraz mukowiscydozy)) przez badania przesiewowe noworodków jest ważnym postępowaniem profilaktycznym, które chroni dzieci przed ciężkim rozwojem choroby, niepełnosprawnością intelektualną, a nawet śmiercią. Szereg chorób wrodzonych nie daje objawów klinicznych w pierwszych miesiącach życia, a nawet latach. Niektóre z nich, takie jak fenyloketonuria (9, 10, 18, 19, 44) i wrodzona niedoczynność tarczycy (16, 17, 40) oraz inne, powodują poważne zaburzenia rozwoju umysłowego w okresie rozwoju dróg kojarzeniowych mózgu. Inne ujawniają się nagle, z przebiegiem zagrażającym zdrowiu a nawet życiu, jak choroba syropu klonowego (7, 9, 10), </w:t>
      </w:r>
      <w:proofErr w:type="spellStart"/>
      <w:r w:rsidRPr="00AA22C4">
        <w:rPr>
          <w:rFonts w:ascii="Lato" w:hAnsi="Lato"/>
          <w:color w:val="000000" w:themeColor="text1"/>
          <w:kern w:val="1"/>
          <w:sz w:val="22"/>
          <w:szCs w:val="22"/>
          <w:lang w:eastAsia="ar-SA"/>
        </w:rPr>
        <w:t>acydurie</w:t>
      </w:r>
      <w:proofErr w:type="spellEnd"/>
      <w:r w:rsidRPr="00AA22C4">
        <w:rPr>
          <w:rFonts w:ascii="Lato" w:hAnsi="Lato"/>
          <w:color w:val="000000" w:themeColor="text1"/>
          <w:kern w:val="1"/>
          <w:sz w:val="22"/>
          <w:szCs w:val="22"/>
          <w:lang w:eastAsia="ar-SA"/>
        </w:rPr>
        <w:t>,</w:t>
      </w:r>
      <w:r w:rsidRPr="00AA22C4" w:rsidDel="00AF1B1E">
        <w:rPr>
          <w:rFonts w:ascii="Lato" w:hAnsi="Lato"/>
          <w:color w:val="000000" w:themeColor="text1"/>
          <w:kern w:val="1"/>
          <w:sz w:val="22"/>
          <w:szCs w:val="22"/>
          <w:lang w:eastAsia="ar-SA"/>
        </w:rPr>
        <w:t xml:space="preserve"> </w:t>
      </w:r>
      <w:proofErr w:type="spellStart"/>
      <w:r w:rsidRPr="00AA22C4">
        <w:rPr>
          <w:rFonts w:ascii="Lato" w:hAnsi="Lato"/>
          <w:color w:val="000000" w:themeColor="text1"/>
          <w:kern w:val="1"/>
          <w:sz w:val="22"/>
          <w:szCs w:val="22"/>
          <w:lang w:eastAsia="ar-SA"/>
        </w:rPr>
        <w:t>acyduria</w:t>
      </w:r>
      <w:proofErr w:type="spellEnd"/>
      <w:r w:rsidRPr="00AA22C4">
        <w:rPr>
          <w:rFonts w:ascii="Lato" w:hAnsi="Lato"/>
          <w:color w:val="000000" w:themeColor="text1"/>
          <w:kern w:val="1"/>
          <w:sz w:val="22"/>
          <w:szCs w:val="22"/>
          <w:lang w:eastAsia="ar-SA"/>
        </w:rPr>
        <w:t xml:space="preserve"> </w:t>
      </w:r>
      <w:proofErr w:type="spellStart"/>
      <w:r w:rsidRPr="00AA22C4">
        <w:rPr>
          <w:rFonts w:ascii="Lato" w:hAnsi="Lato"/>
          <w:color w:val="000000" w:themeColor="text1"/>
          <w:kern w:val="1"/>
          <w:sz w:val="22"/>
          <w:szCs w:val="22"/>
          <w:lang w:eastAsia="ar-SA"/>
        </w:rPr>
        <w:t>glutarowa</w:t>
      </w:r>
      <w:proofErr w:type="spellEnd"/>
      <w:r w:rsidRPr="00AA22C4">
        <w:rPr>
          <w:rFonts w:ascii="Lato" w:hAnsi="Lato"/>
          <w:color w:val="000000" w:themeColor="text1"/>
          <w:kern w:val="1"/>
          <w:sz w:val="22"/>
          <w:szCs w:val="22"/>
          <w:lang w:eastAsia="ar-SA"/>
        </w:rPr>
        <w:t xml:space="preserve"> typu I (12,13), zaburzenia utleniania kwasów tłuszczowych, np. deficyt MCAD (7, 8, 9, 14), z 25% ryzykiem zgonu przy pierwszym epizodzie, deficyt LCHAD (7, 10, 15) i inne. Łączna częstość tych chorób wynosi około 1:1 000 urodzeń żywych. W celu uratowania tych dzieci już od 1963 r. były wprowadzane badania przesiewowe noworodków, które obejmowały kolejne choroby wrodzone. </w:t>
      </w:r>
    </w:p>
    <w:p w14:paraId="7A7C2BC2" w14:textId="77777777" w:rsidR="005E347E" w:rsidRPr="00AA22C4" w:rsidRDefault="005E347E" w:rsidP="005E347E">
      <w:pPr>
        <w:suppressAutoHyphens/>
        <w:spacing w:before="120" w:after="120"/>
        <w:ind w:left="17"/>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Tab. 1 Lista chorób wykrywanych w badaniach przesiewowych noworodków</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6270"/>
        <w:gridCol w:w="1842"/>
      </w:tblGrid>
      <w:tr w:rsidR="00B3776C" w:rsidRPr="00B3776C" w14:paraId="79556555" w14:textId="77777777" w:rsidTr="00775DD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A7A2B2" w14:textId="77777777" w:rsidR="005E347E" w:rsidRPr="00AA22C4" w:rsidRDefault="005E347E" w:rsidP="00775DDD">
            <w:pPr>
              <w:spacing w:line="240" w:lineRule="auto"/>
              <w:jc w:val="center"/>
              <w:rPr>
                <w:rFonts w:ascii="Lato" w:hAnsi="Lato" w:cs="Calibri"/>
                <w:color w:val="000000" w:themeColor="text1"/>
                <w:sz w:val="22"/>
                <w:szCs w:val="22"/>
              </w:rPr>
            </w:pPr>
          </w:p>
        </w:tc>
        <w:tc>
          <w:tcPr>
            <w:tcW w:w="6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94BD3" w14:textId="3A322A9F" w:rsidR="005E347E" w:rsidRPr="00AA22C4" w:rsidRDefault="005E347E" w:rsidP="00775DDD">
            <w:pPr>
              <w:spacing w:line="240" w:lineRule="auto"/>
              <w:rPr>
                <w:rFonts w:ascii="Lato" w:hAnsi="Lato" w:cs="Calibri"/>
                <w:b/>
                <w:bCs/>
                <w:color w:val="000000" w:themeColor="text1"/>
                <w:sz w:val="22"/>
                <w:szCs w:val="22"/>
              </w:rPr>
            </w:pPr>
            <w:r w:rsidRPr="00AA22C4">
              <w:rPr>
                <w:rFonts w:ascii="Lato" w:hAnsi="Lato" w:cs="Calibri"/>
                <w:b/>
                <w:bCs/>
                <w:color w:val="000000" w:themeColor="text1"/>
                <w:sz w:val="22"/>
                <w:szCs w:val="22"/>
              </w:rPr>
              <w:t>Choroby objęte badaniami przesiewowymi</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EAA3B"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 </w:t>
            </w:r>
          </w:p>
        </w:tc>
      </w:tr>
      <w:tr w:rsidR="00B3776C" w:rsidRPr="00B3776C" w14:paraId="5B5C1A5D" w14:textId="77777777" w:rsidTr="00775DD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D6E28" w14:textId="77777777" w:rsidR="005E347E" w:rsidRPr="00AA22C4" w:rsidRDefault="005E347E" w:rsidP="00775DDD">
            <w:pPr>
              <w:spacing w:line="240" w:lineRule="auto"/>
              <w:jc w:val="center"/>
              <w:rPr>
                <w:rFonts w:ascii="Lato" w:hAnsi="Lato" w:cs="Calibri"/>
                <w:color w:val="000000" w:themeColor="text1"/>
                <w:sz w:val="22"/>
                <w:szCs w:val="22"/>
              </w:rPr>
            </w:pPr>
            <w:r w:rsidRPr="00AA22C4">
              <w:rPr>
                <w:rFonts w:ascii="Lato" w:hAnsi="Lato" w:cs="Calibri"/>
                <w:color w:val="000000" w:themeColor="text1"/>
                <w:sz w:val="22"/>
                <w:szCs w:val="22"/>
              </w:rPr>
              <w:t>1</w:t>
            </w:r>
          </w:p>
        </w:tc>
        <w:tc>
          <w:tcPr>
            <w:tcW w:w="6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7CD2B"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Wrodzona niedoczynność tarczycy</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6E640"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WNT</w:t>
            </w:r>
          </w:p>
        </w:tc>
      </w:tr>
      <w:tr w:rsidR="00B3776C" w:rsidRPr="00B3776C" w14:paraId="3D26EBA9" w14:textId="77777777" w:rsidTr="00775DD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C37F3" w14:textId="77777777" w:rsidR="005E347E" w:rsidRPr="00AA22C4" w:rsidRDefault="005E347E" w:rsidP="00775DDD">
            <w:pPr>
              <w:spacing w:line="240" w:lineRule="auto"/>
              <w:jc w:val="center"/>
              <w:rPr>
                <w:rFonts w:ascii="Lato" w:hAnsi="Lato" w:cs="Calibri"/>
                <w:color w:val="000000" w:themeColor="text1"/>
                <w:sz w:val="22"/>
                <w:szCs w:val="22"/>
              </w:rPr>
            </w:pPr>
            <w:r w:rsidRPr="00AA22C4">
              <w:rPr>
                <w:rFonts w:ascii="Lato" w:hAnsi="Lato" w:cs="Calibri"/>
                <w:color w:val="000000" w:themeColor="text1"/>
                <w:sz w:val="22"/>
                <w:szCs w:val="22"/>
              </w:rPr>
              <w:t>2</w:t>
            </w:r>
          </w:p>
        </w:tc>
        <w:tc>
          <w:tcPr>
            <w:tcW w:w="6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B6123"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Wrodzony przerost nadnerczy</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BA38EF"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WPN</w:t>
            </w:r>
          </w:p>
        </w:tc>
      </w:tr>
      <w:tr w:rsidR="00B3776C" w:rsidRPr="00B3776C" w14:paraId="250E97A4" w14:textId="77777777" w:rsidTr="00775DD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2B8D23" w14:textId="77777777" w:rsidR="005E347E" w:rsidRPr="00AA22C4" w:rsidRDefault="005E347E" w:rsidP="00775DDD">
            <w:pPr>
              <w:spacing w:line="240" w:lineRule="auto"/>
              <w:jc w:val="center"/>
              <w:rPr>
                <w:rFonts w:ascii="Lato" w:hAnsi="Lato" w:cs="Calibri"/>
                <w:color w:val="000000" w:themeColor="text1"/>
                <w:sz w:val="22"/>
                <w:szCs w:val="22"/>
              </w:rPr>
            </w:pPr>
            <w:r w:rsidRPr="00AA22C4">
              <w:rPr>
                <w:rFonts w:ascii="Lato" w:hAnsi="Lato" w:cs="Calibri"/>
                <w:color w:val="000000" w:themeColor="text1"/>
                <w:sz w:val="22"/>
                <w:szCs w:val="22"/>
              </w:rPr>
              <w:t>3</w:t>
            </w:r>
          </w:p>
        </w:tc>
        <w:tc>
          <w:tcPr>
            <w:tcW w:w="6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240EC"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Mukowiscydoza</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1162F8"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CF</w:t>
            </w:r>
          </w:p>
        </w:tc>
      </w:tr>
      <w:tr w:rsidR="00B3776C" w:rsidRPr="00B3776C" w14:paraId="3367BCD3" w14:textId="77777777" w:rsidTr="00775DD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C365C" w14:textId="77777777" w:rsidR="005E347E" w:rsidRPr="00AA22C4" w:rsidRDefault="005E347E" w:rsidP="00775DDD">
            <w:pPr>
              <w:spacing w:line="240" w:lineRule="auto"/>
              <w:jc w:val="center"/>
              <w:rPr>
                <w:rFonts w:ascii="Lato" w:hAnsi="Lato" w:cs="Calibri"/>
                <w:color w:val="000000" w:themeColor="text1"/>
                <w:sz w:val="22"/>
                <w:szCs w:val="22"/>
              </w:rPr>
            </w:pPr>
            <w:r w:rsidRPr="00AA22C4">
              <w:rPr>
                <w:rFonts w:ascii="Lato" w:hAnsi="Lato" w:cs="Calibri"/>
                <w:color w:val="000000" w:themeColor="text1"/>
                <w:sz w:val="22"/>
                <w:szCs w:val="22"/>
              </w:rPr>
              <w:t>4</w:t>
            </w:r>
          </w:p>
        </w:tc>
        <w:tc>
          <w:tcPr>
            <w:tcW w:w="6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1E41B7"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 xml:space="preserve">Fenyloketonuria/ </w:t>
            </w:r>
            <w:proofErr w:type="spellStart"/>
            <w:r w:rsidRPr="00AA22C4">
              <w:rPr>
                <w:rFonts w:ascii="Lato" w:hAnsi="Lato" w:cs="Calibri"/>
                <w:color w:val="000000" w:themeColor="text1"/>
                <w:sz w:val="22"/>
                <w:szCs w:val="22"/>
              </w:rPr>
              <w:t>Hiperfenyloalaninemia</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BB83C"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PKU/HPA</w:t>
            </w:r>
          </w:p>
        </w:tc>
      </w:tr>
      <w:tr w:rsidR="00B3776C" w:rsidRPr="00B3776C" w14:paraId="6C1958B7" w14:textId="77777777" w:rsidTr="00775DD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C3BB20" w14:textId="77777777" w:rsidR="005E347E" w:rsidRPr="00AA22C4" w:rsidRDefault="005E347E" w:rsidP="00775DDD">
            <w:pPr>
              <w:spacing w:line="240" w:lineRule="auto"/>
              <w:jc w:val="center"/>
              <w:rPr>
                <w:rFonts w:ascii="Lato" w:hAnsi="Lato" w:cs="Calibri"/>
                <w:color w:val="000000" w:themeColor="text1"/>
                <w:sz w:val="22"/>
                <w:szCs w:val="22"/>
              </w:rPr>
            </w:pPr>
            <w:r w:rsidRPr="00AA22C4">
              <w:rPr>
                <w:rFonts w:ascii="Lato" w:hAnsi="Lato" w:cs="Calibri"/>
                <w:color w:val="000000" w:themeColor="text1"/>
                <w:sz w:val="22"/>
                <w:szCs w:val="22"/>
              </w:rPr>
              <w:t>5</w:t>
            </w:r>
          </w:p>
        </w:tc>
        <w:tc>
          <w:tcPr>
            <w:tcW w:w="6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E979C"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Rdzeniowy zanik mięśni</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3B2579"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SMA</w:t>
            </w:r>
          </w:p>
        </w:tc>
      </w:tr>
      <w:tr w:rsidR="00B3776C" w:rsidRPr="00B3776C" w14:paraId="27879223" w14:textId="77777777" w:rsidTr="00775DD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D4271" w14:textId="77777777" w:rsidR="005E347E" w:rsidRPr="00AA22C4" w:rsidRDefault="005E347E" w:rsidP="00775DDD">
            <w:pPr>
              <w:spacing w:line="240" w:lineRule="auto"/>
              <w:jc w:val="center"/>
              <w:rPr>
                <w:rFonts w:ascii="Lato" w:hAnsi="Lato" w:cs="Calibri"/>
                <w:color w:val="000000" w:themeColor="text1"/>
                <w:sz w:val="22"/>
                <w:szCs w:val="22"/>
              </w:rPr>
            </w:pPr>
            <w:r w:rsidRPr="00AA22C4">
              <w:rPr>
                <w:rFonts w:ascii="Lato" w:hAnsi="Lato" w:cs="Calibri"/>
                <w:color w:val="000000" w:themeColor="text1"/>
                <w:sz w:val="22"/>
                <w:szCs w:val="22"/>
              </w:rPr>
              <w:t>6</w:t>
            </w:r>
          </w:p>
        </w:tc>
        <w:tc>
          <w:tcPr>
            <w:tcW w:w="6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ABA80"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Deficyt biotynidazy</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F184FD"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BIOT</w:t>
            </w:r>
          </w:p>
        </w:tc>
      </w:tr>
      <w:tr w:rsidR="00B3776C" w:rsidRPr="00B3776C" w14:paraId="59A93F36" w14:textId="77777777" w:rsidTr="00775DD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E1359" w14:textId="77777777" w:rsidR="005E347E" w:rsidRPr="00AA22C4" w:rsidRDefault="005E347E" w:rsidP="00775DDD">
            <w:pPr>
              <w:spacing w:line="240" w:lineRule="auto"/>
              <w:jc w:val="center"/>
              <w:rPr>
                <w:rFonts w:ascii="Lato" w:hAnsi="Lato" w:cs="Calibri"/>
                <w:color w:val="000000" w:themeColor="text1"/>
                <w:sz w:val="22"/>
                <w:szCs w:val="22"/>
              </w:rPr>
            </w:pPr>
            <w:r w:rsidRPr="00AA22C4">
              <w:rPr>
                <w:rFonts w:ascii="Lato" w:hAnsi="Lato" w:cs="Calibri"/>
                <w:color w:val="000000" w:themeColor="text1"/>
                <w:sz w:val="22"/>
                <w:szCs w:val="22"/>
              </w:rPr>
              <w:t>7</w:t>
            </w:r>
          </w:p>
        </w:tc>
        <w:tc>
          <w:tcPr>
            <w:tcW w:w="6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38ED83"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Choroba syropu klonowego</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C8C90"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MSUD</w:t>
            </w:r>
          </w:p>
        </w:tc>
      </w:tr>
      <w:tr w:rsidR="00B3776C" w:rsidRPr="00B3776C" w14:paraId="2904B5AB" w14:textId="77777777" w:rsidTr="00775DD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ADEB9" w14:textId="77777777" w:rsidR="005E347E" w:rsidRPr="00AA22C4" w:rsidRDefault="005E347E" w:rsidP="00775DDD">
            <w:pPr>
              <w:spacing w:line="240" w:lineRule="auto"/>
              <w:jc w:val="center"/>
              <w:rPr>
                <w:rFonts w:ascii="Lato" w:hAnsi="Lato" w:cs="Calibri"/>
                <w:color w:val="000000" w:themeColor="text1"/>
                <w:sz w:val="22"/>
                <w:szCs w:val="22"/>
              </w:rPr>
            </w:pPr>
            <w:r w:rsidRPr="00AA22C4">
              <w:rPr>
                <w:rFonts w:ascii="Lato" w:hAnsi="Lato" w:cs="Calibri"/>
                <w:color w:val="000000" w:themeColor="text1"/>
                <w:sz w:val="22"/>
                <w:szCs w:val="22"/>
              </w:rPr>
              <w:t>8</w:t>
            </w:r>
          </w:p>
        </w:tc>
        <w:tc>
          <w:tcPr>
            <w:tcW w:w="6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F2C75" w14:textId="77777777" w:rsidR="005E347E" w:rsidRPr="00AA22C4" w:rsidRDefault="005E347E" w:rsidP="00775DDD">
            <w:pPr>
              <w:spacing w:line="240" w:lineRule="auto"/>
              <w:rPr>
                <w:rFonts w:ascii="Lato" w:hAnsi="Lato" w:cs="Calibri"/>
                <w:color w:val="000000" w:themeColor="text1"/>
                <w:sz w:val="22"/>
                <w:szCs w:val="22"/>
              </w:rPr>
            </w:pPr>
            <w:proofErr w:type="spellStart"/>
            <w:r w:rsidRPr="00AA22C4">
              <w:rPr>
                <w:rFonts w:ascii="Lato" w:hAnsi="Lato" w:cs="Calibri"/>
                <w:color w:val="000000" w:themeColor="text1"/>
                <w:sz w:val="22"/>
                <w:szCs w:val="22"/>
              </w:rPr>
              <w:t>Hipermetioninemia</w:t>
            </w:r>
            <w:proofErr w:type="spellEnd"/>
            <w:r w:rsidRPr="00AA22C4">
              <w:rPr>
                <w:rFonts w:ascii="Lato" w:hAnsi="Lato" w:cs="Calibri"/>
                <w:color w:val="000000" w:themeColor="text1"/>
                <w:sz w:val="22"/>
                <w:szCs w:val="22"/>
              </w:rPr>
              <w:t xml:space="preserve">/ </w:t>
            </w:r>
            <w:proofErr w:type="spellStart"/>
            <w:r w:rsidRPr="00AA22C4">
              <w:rPr>
                <w:rFonts w:ascii="Lato" w:hAnsi="Lato" w:cs="Calibri"/>
                <w:color w:val="000000" w:themeColor="text1"/>
                <w:sz w:val="22"/>
                <w:szCs w:val="22"/>
              </w:rPr>
              <w:t>Homocystynuria</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0968C1"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HMET/HCY</w:t>
            </w:r>
          </w:p>
        </w:tc>
      </w:tr>
      <w:tr w:rsidR="00B3776C" w:rsidRPr="00B3776C" w14:paraId="43A74078" w14:textId="77777777" w:rsidTr="00775DD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BA16C5" w14:textId="77777777" w:rsidR="005E347E" w:rsidRPr="00AA22C4" w:rsidRDefault="005E347E" w:rsidP="00775DDD">
            <w:pPr>
              <w:spacing w:line="240" w:lineRule="auto"/>
              <w:jc w:val="center"/>
              <w:rPr>
                <w:rFonts w:ascii="Lato" w:hAnsi="Lato" w:cs="Calibri"/>
                <w:color w:val="000000" w:themeColor="text1"/>
                <w:sz w:val="22"/>
                <w:szCs w:val="22"/>
              </w:rPr>
            </w:pPr>
            <w:r w:rsidRPr="00AA22C4">
              <w:rPr>
                <w:rFonts w:ascii="Lato" w:hAnsi="Lato" w:cs="Calibri"/>
                <w:color w:val="000000" w:themeColor="text1"/>
                <w:sz w:val="22"/>
                <w:szCs w:val="22"/>
              </w:rPr>
              <w:t>9</w:t>
            </w:r>
          </w:p>
        </w:tc>
        <w:tc>
          <w:tcPr>
            <w:tcW w:w="6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085F80" w14:textId="77777777" w:rsidR="005E347E" w:rsidRPr="00AA22C4" w:rsidRDefault="005E347E" w:rsidP="00775DDD">
            <w:pPr>
              <w:spacing w:line="240" w:lineRule="auto"/>
              <w:rPr>
                <w:rFonts w:ascii="Lato" w:hAnsi="Lato" w:cs="Calibri"/>
                <w:color w:val="000000" w:themeColor="text1"/>
                <w:sz w:val="22"/>
                <w:szCs w:val="22"/>
              </w:rPr>
            </w:pPr>
            <w:proofErr w:type="spellStart"/>
            <w:r w:rsidRPr="00AA22C4">
              <w:rPr>
                <w:rFonts w:ascii="Lato" w:hAnsi="Lato" w:cs="Calibri"/>
                <w:color w:val="000000" w:themeColor="text1"/>
                <w:sz w:val="22"/>
                <w:szCs w:val="22"/>
              </w:rPr>
              <w:t>Acyduria</w:t>
            </w:r>
            <w:proofErr w:type="spellEnd"/>
            <w:r w:rsidRPr="00AA22C4">
              <w:rPr>
                <w:rFonts w:ascii="Lato" w:hAnsi="Lato" w:cs="Calibri"/>
                <w:color w:val="000000" w:themeColor="text1"/>
                <w:sz w:val="22"/>
                <w:szCs w:val="22"/>
              </w:rPr>
              <w:t xml:space="preserve"> </w:t>
            </w:r>
            <w:proofErr w:type="spellStart"/>
            <w:r w:rsidRPr="00AA22C4">
              <w:rPr>
                <w:rFonts w:ascii="Lato" w:hAnsi="Lato" w:cs="Calibri"/>
                <w:color w:val="000000" w:themeColor="text1"/>
                <w:sz w:val="22"/>
                <w:szCs w:val="22"/>
              </w:rPr>
              <w:t>argininowo-bursztynianowa</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4ACD4"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ASA</w:t>
            </w:r>
          </w:p>
        </w:tc>
      </w:tr>
      <w:tr w:rsidR="00B3776C" w:rsidRPr="00B3776C" w14:paraId="6B2212EE" w14:textId="77777777" w:rsidTr="00775DD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11463" w14:textId="77777777" w:rsidR="005E347E" w:rsidRPr="00AA22C4" w:rsidRDefault="005E347E" w:rsidP="00775DDD">
            <w:pPr>
              <w:spacing w:line="240" w:lineRule="auto"/>
              <w:jc w:val="center"/>
              <w:rPr>
                <w:rFonts w:ascii="Lato" w:hAnsi="Lato" w:cs="Calibri"/>
                <w:color w:val="000000" w:themeColor="text1"/>
                <w:sz w:val="22"/>
                <w:szCs w:val="22"/>
              </w:rPr>
            </w:pPr>
            <w:r w:rsidRPr="00AA22C4">
              <w:rPr>
                <w:rFonts w:ascii="Lato" w:hAnsi="Lato" w:cs="Calibri"/>
                <w:color w:val="000000" w:themeColor="text1"/>
                <w:sz w:val="22"/>
                <w:szCs w:val="22"/>
              </w:rPr>
              <w:t>10</w:t>
            </w:r>
          </w:p>
        </w:tc>
        <w:tc>
          <w:tcPr>
            <w:tcW w:w="6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7D6CE" w14:textId="77777777" w:rsidR="005E347E" w:rsidRPr="00AA22C4" w:rsidRDefault="005E347E" w:rsidP="00775DDD">
            <w:pPr>
              <w:spacing w:line="240" w:lineRule="auto"/>
              <w:rPr>
                <w:rFonts w:ascii="Lato" w:hAnsi="Lato" w:cs="Calibri"/>
                <w:color w:val="000000" w:themeColor="text1"/>
                <w:sz w:val="22"/>
                <w:szCs w:val="22"/>
              </w:rPr>
            </w:pPr>
            <w:proofErr w:type="spellStart"/>
            <w:r w:rsidRPr="00AA22C4">
              <w:rPr>
                <w:rFonts w:ascii="Lato" w:hAnsi="Lato" w:cs="Calibri"/>
                <w:color w:val="000000" w:themeColor="text1"/>
                <w:sz w:val="22"/>
                <w:szCs w:val="22"/>
              </w:rPr>
              <w:t>Cytrulinemia</w:t>
            </w:r>
            <w:proofErr w:type="spellEnd"/>
            <w:r w:rsidRPr="00AA22C4">
              <w:rPr>
                <w:rFonts w:ascii="Lato" w:hAnsi="Lato" w:cs="Calibri"/>
                <w:color w:val="000000" w:themeColor="text1"/>
                <w:sz w:val="22"/>
                <w:szCs w:val="22"/>
              </w:rPr>
              <w:t xml:space="preserve"> typu I</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88990"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CIT I</w:t>
            </w:r>
          </w:p>
        </w:tc>
      </w:tr>
      <w:tr w:rsidR="00B3776C" w:rsidRPr="00B3776C" w14:paraId="04C26833" w14:textId="77777777" w:rsidTr="00775DD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D2875" w14:textId="77777777" w:rsidR="005E347E" w:rsidRPr="00AA22C4" w:rsidRDefault="005E347E" w:rsidP="00775DDD">
            <w:pPr>
              <w:spacing w:line="240" w:lineRule="auto"/>
              <w:jc w:val="center"/>
              <w:rPr>
                <w:rFonts w:ascii="Lato" w:hAnsi="Lato" w:cs="Calibri"/>
                <w:color w:val="000000" w:themeColor="text1"/>
                <w:sz w:val="22"/>
                <w:szCs w:val="22"/>
              </w:rPr>
            </w:pPr>
            <w:r w:rsidRPr="00AA22C4">
              <w:rPr>
                <w:rFonts w:ascii="Lato" w:hAnsi="Lato" w:cs="Calibri"/>
                <w:color w:val="000000" w:themeColor="text1"/>
                <w:sz w:val="22"/>
                <w:szCs w:val="22"/>
              </w:rPr>
              <w:t>11</w:t>
            </w:r>
          </w:p>
        </w:tc>
        <w:tc>
          <w:tcPr>
            <w:tcW w:w="6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45BB96" w14:textId="77777777" w:rsidR="005E347E" w:rsidRPr="00AA22C4" w:rsidRDefault="005E347E" w:rsidP="00775DDD">
            <w:pPr>
              <w:spacing w:line="240" w:lineRule="auto"/>
              <w:rPr>
                <w:rFonts w:ascii="Lato" w:hAnsi="Lato" w:cs="Calibri"/>
                <w:color w:val="000000" w:themeColor="text1"/>
                <w:sz w:val="22"/>
                <w:szCs w:val="22"/>
              </w:rPr>
            </w:pPr>
            <w:proofErr w:type="spellStart"/>
            <w:r w:rsidRPr="00AA22C4">
              <w:rPr>
                <w:rFonts w:ascii="Lato" w:hAnsi="Lato" w:cs="Calibri"/>
                <w:color w:val="000000" w:themeColor="text1"/>
                <w:sz w:val="22"/>
                <w:szCs w:val="22"/>
              </w:rPr>
              <w:t>Cytrulinemia</w:t>
            </w:r>
            <w:proofErr w:type="spellEnd"/>
            <w:r w:rsidRPr="00AA22C4">
              <w:rPr>
                <w:rFonts w:ascii="Lato" w:hAnsi="Lato" w:cs="Calibri"/>
                <w:color w:val="000000" w:themeColor="text1"/>
                <w:sz w:val="22"/>
                <w:szCs w:val="22"/>
              </w:rPr>
              <w:t xml:space="preserve"> typu II (deficyt cytryny)</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A5458"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CIT II</w:t>
            </w:r>
          </w:p>
        </w:tc>
      </w:tr>
      <w:tr w:rsidR="00B3776C" w:rsidRPr="00B3776C" w14:paraId="54320A75" w14:textId="77777777" w:rsidTr="00775DD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410CB" w14:textId="77777777" w:rsidR="005E347E" w:rsidRPr="00AA22C4" w:rsidRDefault="005E347E" w:rsidP="00775DDD">
            <w:pPr>
              <w:spacing w:line="240" w:lineRule="auto"/>
              <w:jc w:val="center"/>
              <w:rPr>
                <w:rFonts w:ascii="Lato" w:hAnsi="Lato" w:cs="Calibri"/>
                <w:color w:val="000000" w:themeColor="text1"/>
                <w:sz w:val="22"/>
                <w:szCs w:val="22"/>
              </w:rPr>
            </w:pPr>
            <w:r w:rsidRPr="00AA22C4">
              <w:rPr>
                <w:rFonts w:ascii="Lato" w:hAnsi="Lato" w:cs="Calibri"/>
                <w:color w:val="000000" w:themeColor="text1"/>
                <w:sz w:val="22"/>
                <w:szCs w:val="22"/>
              </w:rPr>
              <w:t>12</w:t>
            </w:r>
          </w:p>
        </w:tc>
        <w:tc>
          <w:tcPr>
            <w:tcW w:w="6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5124A" w14:textId="77777777" w:rsidR="005E347E" w:rsidRPr="00AA22C4" w:rsidRDefault="005E347E" w:rsidP="00775DDD">
            <w:pPr>
              <w:spacing w:line="240" w:lineRule="auto"/>
              <w:rPr>
                <w:rFonts w:ascii="Lato" w:hAnsi="Lato" w:cs="Calibri"/>
                <w:color w:val="000000" w:themeColor="text1"/>
                <w:sz w:val="22"/>
                <w:szCs w:val="22"/>
              </w:rPr>
            </w:pPr>
            <w:proofErr w:type="spellStart"/>
            <w:r w:rsidRPr="00AA22C4">
              <w:rPr>
                <w:rFonts w:ascii="Lato" w:hAnsi="Lato" w:cs="Calibri"/>
                <w:color w:val="000000" w:themeColor="text1"/>
                <w:sz w:val="22"/>
                <w:szCs w:val="22"/>
              </w:rPr>
              <w:t>Tyrozynemia</w:t>
            </w:r>
            <w:proofErr w:type="spellEnd"/>
            <w:r w:rsidRPr="00AA22C4">
              <w:rPr>
                <w:rFonts w:ascii="Lato" w:hAnsi="Lato" w:cs="Calibri"/>
                <w:color w:val="000000" w:themeColor="text1"/>
                <w:sz w:val="22"/>
                <w:szCs w:val="22"/>
              </w:rPr>
              <w:t xml:space="preserve"> typu I</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BB72DC"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TYR I</w:t>
            </w:r>
          </w:p>
        </w:tc>
      </w:tr>
      <w:tr w:rsidR="00B3776C" w:rsidRPr="00B3776C" w14:paraId="2BD8FD40" w14:textId="77777777" w:rsidTr="00775DD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80E9C" w14:textId="77777777" w:rsidR="005E347E" w:rsidRPr="00AA22C4" w:rsidRDefault="005E347E" w:rsidP="00775DDD">
            <w:pPr>
              <w:spacing w:line="240" w:lineRule="auto"/>
              <w:jc w:val="center"/>
              <w:rPr>
                <w:rFonts w:ascii="Lato" w:hAnsi="Lato" w:cs="Calibri"/>
                <w:color w:val="000000" w:themeColor="text1"/>
                <w:sz w:val="22"/>
                <w:szCs w:val="22"/>
              </w:rPr>
            </w:pPr>
            <w:r w:rsidRPr="00AA22C4">
              <w:rPr>
                <w:rFonts w:ascii="Lato" w:hAnsi="Lato" w:cs="Calibri"/>
                <w:color w:val="000000" w:themeColor="text1"/>
                <w:sz w:val="22"/>
                <w:szCs w:val="22"/>
              </w:rPr>
              <w:t>13</w:t>
            </w:r>
          </w:p>
        </w:tc>
        <w:tc>
          <w:tcPr>
            <w:tcW w:w="6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E543EB" w14:textId="77777777" w:rsidR="005E347E" w:rsidRPr="00AA22C4" w:rsidRDefault="005E347E" w:rsidP="00775DDD">
            <w:pPr>
              <w:spacing w:line="240" w:lineRule="auto"/>
              <w:rPr>
                <w:rFonts w:ascii="Lato" w:hAnsi="Lato" w:cs="Calibri"/>
                <w:color w:val="000000" w:themeColor="text1"/>
                <w:sz w:val="22"/>
                <w:szCs w:val="22"/>
              </w:rPr>
            </w:pPr>
            <w:proofErr w:type="spellStart"/>
            <w:r w:rsidRPr="00AA22C4">
              <w:rPr>
                <w:rFonts w:ascii="Lato" w:hAnsi="Lato" w:cs="Calibri"/>
                <w:color w:val="000000" w:themeColor="text1"/>
                <w:sz w:val="22"/>
                <w:szCs w:val="22"/>
              </w:rPr>
              <w:t>Tyrozynemia</w:t>
            </w:r>
            <w:proofErr w:type="spellEnd"/>
            <w:r w:rsidRPr="00AA22C4">
              <w:rPr>
                <w:rFonts w:ascii="Lato" w:hAnsi="Lato" w:cs="Calibri"/>
                <w:color w:val="000000" w:themeColor="text1"/>
                <w:sz w:val="22"/>
                <w:szCs w:val="22"/>
              </w:rPr>
              <w:t xml:space="preserve"> typu II</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6B98FE"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TYR II</w:t>
            </w:r>
          </w:p>
        </w:tc>
      </w:tr>
      <w:tr w:rsidR="00B3776C" w:rsidRPr="00B3776C" w14:paraId="1654E9D5" w14:textId="77777777" w:rsidTr="00775DD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843D6" w14:textId="77777777" w:rsidR="005E347E" w:rsidRPr="00AA22C4" w:rsidRDefault="005E347E" w:rsidP="00775DDD">
            <w:pPr>
              <w:spacing w:line="240" w:lineRule="auto"/>
              <w:jc w:val="center"/>
              <w:rPr>
                <w:rFonts w:ascii="Lato" w:hAnsi="Lato" w:cs="Calibri"/>
                <w:color w:val="000000" w:themeColor="text1"/>
                <w:sz w:val="22"/>
                <w:szCs w:val="22"/>
              </w:rPr>
            </w:pPr>
            <w:r w:rsidRPr="00AA22C4">
              <w:rPr>
                <w:rFonts w:ascii="Lato" w:hAnsi="Lato" w:cs="Calibri"/>
                <w:color w:val="000000" w:themeColor="text1"/>
                <w:sz w:val="22"/>
                <w:szCs w:val="22"/>
              </w:rPr>
              <w:t>14</w:t>
            </w:r>
          </w:p>
        </w:tc>
        <w:tc>
          <w:tcPr>
            <w:tcW w:w="6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CF3C70"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Deficyt MCAD</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4E6A67"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MCADD</w:t>
            </w:r>
          </w:p>
        </w:tc>
      </w:tr>
      <w:tr w:rsidR="00B3776C" w:rsidRPr="00B3776C" w14:paraId="46395C55" w14:textId="77777777" w:rsidTr="00775DD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9B3FF5" w14:textId="77777777" w:rsidR="005E347E" w:rsidRPr="00AA22C4" w:rsidRDefault="005E347E" w:rsidP="00775DDD">
            <w:pPr>
              <w:spacing w:line="240" w:lineRule="auto"/>
              <w:jc w:val="center"/>
              <w:rPr>
                <w:rFonts w:ascii="Lato" w:hAnsi="Lato" w:cs="Calibri"/>
                <w:color w:val="000000" w:themeColor="text1"/>
                <w:sz w:val="22"/>
                <w:szCs w:val="22"/>
              </w:rPr>
            </w:pPr>
            <w:r w:rsidRPr="00AA22C4">
              <w:rPr>
                <w:rFonts w:ascii="Lato" w:hAnsi="Lato" w:cs="Calibri"/>
                <w:color w:val="000000" w:themeColor="text1"/>
                <w:sz w:val="22"/>
                <w:szCs w:val="22"/>
              </w:rPr>
              <w:t>15</w:t>
            </w:r>
          </w:p>
        </w:tc>
        <w:tc>
          <w:tcPr>
            <w:tcW w:w="6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F180F5"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Deficyt LCHAD</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ED0082"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LCHADD</w:t>
            </w:r>
          </w:p>
        </w:tc>
      </w:tr>
      <w:tr w:rsidR="00B3776C" w:rsidRPr="00B3776C" w14:paraId="4BEE335E" w14:textId="77777777" w:rsidTr="00775DD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98124E" w14:textId="77777777" w:rsidR="005E347E" w:rsidRPr="00AA22C4" w:rsidRDefault="005E347E" w:rsidP="00775DDD">
            <w:pPr>
              <w:spacing w:line="240" w:lineRule="auto"/>
              <w:jc w:val="center"/>
              <w:rPr>
                <w:rFonts w:ascii="Lato" w:hAnsi="Lato" w:cs="Calibri"/>
                <w:color w:val="000000" w:themeColor="text1"/>
                <w:sz w:val="22"/>
                <w:szCs w:val="22"/>
              </w:rPr>
            </w:pPr>
            <w:r w:rsidRPr="00AA22C4">
              <w:rPr>
                <w:rFonts w:ascii="Lato" w:hAnsi="Lato" w:cs="Calibri"/>
                <w:color w:val="000000" w:themeColor="text1"/>
                <w:sz w:val="22"/>
                <w:szCs w:val="22"/>
              </w:rPr>
              <w:lastRenderedPageBreak/>
              <w:t>16</w:t>
            </w:r>
          </w:p>
        </w:tc>
        <w:tc>
          <w:tcPr>
            <w:tcW w:w="6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03039D"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Deficyt mitochondrialnego białka trójfunkcyjnego</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AE909A"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MTP</w:t>
            </w:r>
          </w:p>
        </w:tc>
      </w:tr>
      <w:tr w:rsidR="00B3776C" w:rsidRPr="00B3776C" w14:paraId="54FBAE94" w14:textId="77777777" w:rsidTr="00775DD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358BAC" w14:textId="77777777" w:rsidR="005E347E" w:rsidRPr="00AA22C4" w:rsidRDefault="005E347E" w:rsidP="00775DDD">
            <w:pPr>
              <w:spacing w:line="240" w:lineRule="auto"/>
              <w:jc w:val="center"/>
              <w:rPr>
                <w:rFonts w:ascii="Lato" w:hAnsi="Lato" w:cs="Calibri"/>
                <w:color w:val="000000" w:themeColor="text1"/>
                <w:sz w:val="22"/>
                <w:szCs w:val="22"/>
              </w:rPr>
            </w:pPr>
            <w:r w:rsidRPr="00AA22C4">
              <w:rPr>
                <w:rFonts w:ascii="Lato" w:hAnsi="Lato" w:cs="Calibri"/>
                <w:color w:val="000000" w:themeColor="text1"/>
                <w:sz w:val="22"/>
                <w:szCs w:val="22"/>
              </w:rPr>
              <w:t>17</w:t>
            </w:r>
          </w:p>
        </w:tc>
        <w:tc>
          <w:tcPr>
            <w:tcW w:w="6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3BF5E2"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Deficyt VLCAD</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4EC58"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VLCADD</w:t>
            </w:r>
          </w:p>
        </w:tc>
      </w:tr>
      <w:tr w:rsidR="00B3776C" w:rsidRPr="00B3776C" w14:paraId="05E1B451" w14:textId="77777777" w:rsidTr="00775DD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54FF6" w14:textId="77777777" w:rsidR="005E347E" w:rsidRPr="00AA22C4" w:rsidRDefault="005E347E" w:rsidP="00775DDD">
            <w:pPr>
              <w:spacing w:line="240" w:lineRule="auto"/>
              <w:jc w:val="center"/>
              <w:rPr>
                <w:rFonts w:ascii="Lato" w:hAnsi="Lato" w:cs="Calibri"/>
                <w:color w:val="000000" w:themeColor="text1"/>
                <w:sz w:val="22"/>
                <w:szCs w:val="22"/>
              </w:rPr>
            </w:pPr>
            <w:r w:rsidRPr="00AA22C4">
              <w:rPr>
                <w:rFonts w:ascii="Lato" w:hAnsi="Lato" w:cs="Calibri"/>
                <w:color w:val="000000" w:themeColor="text1"/>
                <w:sz w:val="22"/>
                <w:szCs w:val="22"/>
              </w:rPr>
              <w:t>18</w:t>
            </w:r>
          </w:p>
        </w:tc>
        <w:tc>
          <w:tcPr>
            <w:tcW w:w="6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983B0"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Deficyt CPT I</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FD98F4"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CPT I</w:t>
            </w:r>
          </w:p>
        </w:tc>
      </w:tr>
      <w:tr w:rsidR="00B3776C" w:rsidRPr="00B3776C" w14:paraId="779DFC23" w14:textId="77777777" w:rsidTr="00775DD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CF3BA7" w14:textId="77777777" w:rsidR="005E347E" w:rsidRPr="00AA22C4" w:rsidRDefault="005E347E" w:rsidP="00775DDD">
            <w:pPr>
              <w:spacing w:line="240" w:lineRule="auto"/>
              <w:jc w:val="center"/>
              <w:rPr>
                <w:rFonts w:ascii="Lato" w:hAnsi="Lato" w:cs="Calibri"/>
                <w:color w:val="000000" w:themeColor="text1"/>
                <w:sz w:val="22"/>
                <w:szCs w:val="22"/>
              </w:rPr>
            </w:pPr>
            <w:r w:rsidRPr="00AA22C4">
              <w:rPr>
                <w:rFonts w:ascii="Lato" w:hAnsi="Lato" w:cs="Calibri"/>
                <w:color w:val="000000" w:themeColor="text1"/>
                <w:sz w:val="22"/>
                <w:szCs w:val="22"/>
              </w:rPr>
              <w:t>19</w:t>
            </w:r>
          </w:p>
        </w:tc>
        <w:tc>
          <w:tcPr>
            <w:tcW w:w="6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30404C"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Deficyt CPT II</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1F7A26"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CPT II</w:t>
            </w:r>
          </w:p>
        </w:tc>
      </w:tr>
      <w:tr w:rsidR="00B3776C" w:rsidRPr="00B3776C" w14:paraId="43808D7B" w14:textId="77777777" w:rsidTr="00775DD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DEBFFB" w14:textId="77777777" w:rsidR="005E347E" w:rsidRPr="00AA22C4" w:rsidRDefault="005E347E" w:rsidP="00775DDD">
            <w:pPr>
              <w:spacing w:line="240" w:lineRule="auto"/>
              <w:jc w:val="center"/>
              <w:rPr>
                <w:rFonts w:ascii="Lato" w:hAnsi="Lato" w:cs="Calibri"/>
                <w:color w:val="000000" w:themeColor="text1"/>
                <w:sz w:val="22"/>
                <w:szCs w:val="22"/>
              </w:rPr>
            </w:pPr>
            <w:r w:rsidRPr="00AA22C4">
              <w:rPr>
                <w:rFonts w:ascii="Lato" w:hAnsi="Lato" w:cs="Calibri"/>
                <w:color w:val="000000" w:themeColor="text1"/>
                <w:sz w:val="22"/>
                <w:szCs w:val="22"/>
              </w:rPr>
              <w:t>20</w:t>
            </w:r>
          </w:p>
        </w:tc>
        <w:tc>
          <w:tcPr>
            <w:tcW w:w="6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7BE00"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 xml:space="preserve">Deficyt </w:t>
            </w:r>
            <w:proofErr w:type="spellStart"/>
            <w:r w:rsidRPr="00AA22C4">
              <w:rPr>
                <w:rFonts w:ascii="Lato" w:hAnsi="Lato" w:cs="Calibri"/>
                <w:color w:val="000000" w:themeColor="text1"/>
                <w:sz w:val="22"/>
                <w:szCs w:val="22"/>
              </w:rPr>
              <w:t>translokazy</w:t>
            </w:r>
            <w:proofErr w:type="spellEnd"/>
            <w:r w:rsidRPr="00AA22C4">
              <w:rPr>
                <w:rFonts w:ascii="Lato" w:hAnsi="Lato" w:cs="Calibri"/>
                <w:color w:val="000000" w:themeColor="text1"/>
                <w:sz w:val="22"/>
                <w:szCs w:val="22"/>
              </w:rPr>
              <w:t xml:space="preserve"> karnityny</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C0DA39"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CACT</w:t>
            </w:r>
          </w:p>
        </w:tc>
      </w:tr>
      <w:tr w:rsidR="00B3776C" w:rsidRPr="00B3776C" w14:paraId="0E5BBF59" w14:textId="77777777" w:rsidTr="00775DD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07A2E" w14:textId="77777777" w:rsidR="005E347E" w:rsidRPr="00AA22C4" w:rsidRDefault="005E347E" w:rsidP="00775DDD">
            <w:pPr>
              <w:spacing w:line="240" w:lineRule="auto"/>
              <w:jc w:val="center"/>
              <w:rPr>
                <w:rFonts w:ascii="Lato" w:hAnsi="Lato" w:cs="Calibri"/>
                <w:color w:val="000000" w:themeColor="text1"/>
                <w:sz w:val="22"/>
                <w:szCs w:val="22"/>
              </w:rPr>
            </w:pPr>
            <w:r w:rsidRPr="00AA22C4">
              <w:rPr>
                <w:rFonts w:ascii="Lato" w:hAnsi="Lato" w:cs="Calibri"/>
                <w:color w:val="000000" w:themeColor="text1"/>
                <w:sz w:val="22"/>
                <w:szCs w:val="22"/>
              </w:rPr>
              <w:t>21</w:t>
            </w:r>
          </w:p>
        </w:tc>
        <w:tc>
          <w:tcPr>
            <w:tcW w:w="6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C1007"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Deficyt transportera karnityny (pierwotny deficyt karnityny)</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FA3CD"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CTD (CUD)</w:t>
            </w:r>
          </w:p>
        </w:tc>
      </w:tr>
      <w:tr w:rsidR="00B3776C" w:rsidRPr="00B3776C" w14:paraId="27B2F4F0" w14:textId="77777777" w:rsidTr="00775DD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884EF" w14:textId="77777777" w:rsidR="005E347E" w:rsidRPr="00AA22C4" w:rsidRDefault="005E347E" w:rsidP="00775DDD">
            <w:pPr>
              <w:spacing w:line="240" w:lineRule="auto"/>
              <w:jc w:val="center"/>
              <w:rPr>
                <w:rFonts w:ascii="Lato" w:hAnsi="Lato" w:cs="Calibri"/>
                <w:color w:val="000000" w:themeColor="text1"/>
                <w:sz w:val="22"/>
                <w:szCs w:val="22"/>
              </w:rPr>
            </w:pPr>
            <w:r w:rsidRPr="00AA22C4">
              <w:rPr>
                <w:rFonts w:ascii="Lato" w:hAnsi="Lato" w:cs="Calibri"/>
                <w:color w:val="000000" w:themeColor="text1"/>
                <w:sz w:val="22"/>
                <w:szCs w:val="22"/>
              </w:rPr>
              <w:t>22</w:t>
            </w:r>
          </w:p>
        </w:tc>
        <w:tc>
          <w:tcPr>
            <w:tcW w:w="6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A0A93A" w14:textId="77777777" w:rsidR="005E347E" w:rsidRPr="00AA22C4" w:rsidRDefault="005E347E" w:rsidP="00775DDD">
            <w:pPr>
              <w:spacing w:line="240" w:lineRule="auto"/>
              <w:rPr>
                <w:rFonts w:ascii="Lato" w:hAnsi="Lato" w:cs="Calibri"/>
                <w:color w:val="000000" w:themeColor="text1"/>
                <w:sz w:val="22"/>
                <w:szCs w:val="22"/>
              </w:rPr>
            </w:pPr>
            <w:proofErr w:type="spellStart"/>
            <w:r w:rsidRPr="00AA22C4">
              <w:rPr>
                <w:rFonts w:ascii="Lato" w:hAnsi="Lato" w:cs="Calibri"/>
                <w:color w:val="000000" w:themeColor="text1"/>
                <w:sz w:val="22"/>
                <w:szCs w:val="22"/>
              </w:rPr>
              <w:t>Acyduria</w:t>
            </w:r>
            <w:proofErr w:type="spellEnd"/>
            <w:r w:rsidRPr="00AA22C4">
              <w:rPr>
                <w:rFonts w:ascii="Lato" w:hAnsi="Lato" w:cs="Calibri"/>
                <w:color w:val="000000" w:themeColor="text1"/>
                <w:sz w:val="22"/>
                <w:szCs w:val="22"/>
              </w:rPr>
              <w:t xml:space="preserve"> </w:t>
            </w:r>
            <w:proofErr w:type="spellStart"/>
            <w:r w:rsidRPr="00AA22C4">
              <w:rPr>
                <w:rFonts w:ascii="Lato" w:hAnsi="Lato" w:cs="Calibri"/>
                <w:color w:val="000000" w:themeColor="text1"/>
                <w:sz w:val="22"/>
                <w:szCs w:val="22"/>
              </w:rPr>
              <w:t>glutarowa</w:t>
            </w:r>
            <w:proofErr w:type="spellEnd"/>
            <w:r w:rsidRPr="00AA22C4">
              <w:rPr>
                <w:rFonts w:ascii="Lato" w:hAnsi="Lato" w:cs="Calibri"/>
                <w:color w:val="000000" w:themeColor="text1"/>
                <w:sz w:val="22"/>
                <w:szCs w:val="22"/>
              </w:rPr>
              <w:t xml:space="preserve"> typu I</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88FF32"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GA I</w:t>
            </w:r>
          </w:p>
        </w:tc>
      </w:tr>
      <w:tr w:rsidR="00B3776C" w:rsidRPr="00B3776C" w14:paraId="6C2C7CA0" w14:textId="77777777" w:rsidTr="00775DD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B5183" w14:textId="77777777" w:rsidR="005E347E" w:rsidRPr="00AA22C4" w:rsidRDefault="005E347E" w:rsidP="00775DDD">
            <w:pPr>
              <w:spacing w:line="240" w:lineRule="auto"/>
              <w:jc w:val="center"/>
              <w:rPr>
                <w:rFonts w:ascii="Lato" w:hAnsi="Lato" w:cs="Calibri"/>
                <w:color w:val="000000" w:themeColor="text1"/>
                <w:sz w:val="22"/>
                <w:szCs w:val="22"/>
              </w:rPr>
            </w:pPr>
            <w:r w:rsidRPr="00AA22C4">
              <w:rPr>
                <w:rFonts w:ascii="Lato" w:hAnsi="Lato" w:cs="Calibri"/>
                <w:color w:val="000000" w:themeColor="text1"/>
                <w:sz w:val="22"/>
                <w:szCs w:val="22"/>
              </w:rPr>
              <w:t>23</w:t>
            </w:r>
          </w:p>
        </w:tc>
        <w:tc>
          <w:tcPr>
            <w:tcW w:w="6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2DC85" w14:textId="77777777" w:rsidR="005E347E" w:rsidRPr="00AA22C4" w:rsidRDefault="005E347E" w:rsidP="00775DDD">
            <w:pPr>
              <w:spacing w:line="240" w:lineRule="auto"/>
              <w:rPr>
                <w:rFonts w:ascii="Lato" w:hAnsi="Lato" w:cs="Calibri"/>
                <w:color w:val="000000" w:themeColor="text1"/>
                <w:sz w:val="22"/>
                <w:szCs w:val="22"/>
              </w:rPr>
            </w:pPr>
            <w:proofErr w:type="spellStart"/>
            <w:r w:rsidRPr="00AA22C4">
              <w:rPr>
                <w:rFonts w:ascii="Lato" w:hAnsi="Lato" w:cs="Calibri"/>
                <w:color w:val="000000" w:themeColor="text1"/>
                <w:sz w:val="22"/>
                <w:szCs w:val="22"/>
              </w:rPr>
              <w:t>Acyduria</w:t>
            </w:r>
            <w:proofErr w:type="spellEnd"/>
            <w:r w:rsidRPr="00AA22C4">
              <w:rPr>
                <w:rFonts w:ascii="Lato" w:hAnsi="Lato" w:cs="Calibri"/>
                <w:color w:val="000000" w:themeColor="text1"/>
                <w:sz w:val="22"/>
                <w:szCs w:val="22"/>
              </w:rPr>
              <w:t xml:space="preserve"> </w:t>
            </w:r>
            <w:proofErr w:type="spellStart"/>
            <w:r w:rsidRPr="00AA22C4">
              <w:rPr>
                <w:rFonts w:ascii="Lato" w:hAnsi="Lato" w:cs="Calibri"/>
                <w:color w:val="000000" w:themeColor="text1"/>
                <w:sz w:val="22"/>
                <w:szCs w:val="22"/>
              </w:rPr>
              <w:t>glutarowa</w:t>
            </w:r>
            <w:proofErr w:type="spellEnd"/>
            <w:r w:rsidRPr="00AA22C4">
              <w:rPr>
                <w:rFonts w:ascii="Lato" w:hAnsi="Lato" w:cs="Calibri"/>
                <w:color w:val="000000" w:themeColor="text1"/>
                <w:sz w:val="22"/>
                <w:szCs w:val="22"/>
              </w:rPr>
              <w:t xml:space="preserve"> II (Deficyt wielu dehydrogenaz </w:t>
            </w:r>
            <w:proofErr w:type="spellStart"/>
            <w:r w:rsidRPr="00AA22C4">
              <w:rPr>
                <w:rFonts w:ascii="Lato" w:hAnsi="Lato" w:cs="Calibri"/>
                <w:color w:val="000000" w:themeColor="text1"/>
                <w:sz w:val="22"/>
                <w:szCs w:val="22"/>
              </w:rPr>
              <w:t>acylo-CoA</w:t>
            </w:r>
            <w:proofErr w:type="spellEnd"/>
            <w:r w:rsidRPr="00AA22C4">
              <w:rPr>
                <w:rFonts w:ascii="Lato" w:hAnsi="Lato" w:cs="Calibri"/>
                <w:color w:val="000000" w:themeColor="text1"/>
                <w:sz w:val="22"/>
                <w:szCs w:val="22"/>
              </w:rPr>
              <w:t>)</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28A32"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GA II (MADD)</w:t>
            </w:r>
          </w:p>
        </w:tc>
      </w:tr>
      <w:tr w:rsidR="00B3776C" w:rsidRPr="00B3776C" w14:paraId="049E4354" w14:textId="77777777" w:rsidTr="00775DD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B5E583" w14:textId="77777777" w:rsidR="005E347E" w:rsidRPr="00AA22C4" w:rsidRDefault="005E347E" w:rsidP="00775DDD">
            <w:pPr>
              <w:spacing w:line="240" w:lineRule="auto"/>
              <w:jc w:val="center"/>
              <w:rPr>
                <w:rFonts w:ascii="Lato" w:hAnsi="Lato" w:cs="Calibri"/>
                <w:color w:val="000000" w:themeColor="text1"/>
                <w:sz w:val="22"/>
                <w:szCs w:val="22"/>
              </w:rPr>
            </w:pPr>
            <w:r w:rsidRPr="00AA22C4">
              <w:rPr>
                <w:rFonts w:ascii="Lato" w:hAnsi="Lato" w:cs="Calibri"/>
                <w:color w:val="000000" w:themeColor="text1"/>
                <w:sz w:val="22"/>
                <w:szCs w:val="22"/>
              </w:rPr>
              <w:t>24</w:t>
            </w:r>
          </w:p>
        </w:tc>
        <w:tc>
          <w:tcPr>
            <w:tcW w:w="6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28EE8"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Deficyt B-</w:t>
            </w:r>
            <w:proofErr w:type="spellStart"/>
            <w:r w:rsidRPr="00AA22C4">
              <w:rPr>
                <w:rFonts w:ascii="Lato" w:hAnsi="Lato" w:cs="Calibri"/>
                <w:color w:val="000000" w:themeColor="text1"/>
                <w:sz w:val="22"/>
                <w:szCs w:val="22"/>
              </w:rPr>
              <w:t>ketotiolazy</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13C97"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BKT</w:t>
            </w:r>
          </w:p>
        </w:tc>
      </w:tr>
      <w:tr w:rsidR="00B3776C" w:rsidRPr="00B3776C" w14:paraId="48F7C86A" w14:textId="77777777" w:rsidTr="00775DD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899228" w14:textId="77777777" w:rsidR="005E347E" w:rsidRPr="00AA22C4" w:rsidRDefault="005E347E" w:rsidP="00775DDD">
            <w:pPr>
              <w:spacing w:line="240" w:lineRule="auto"/>
              <w:jc w:val="center"/>
              <w:rPr>
                <w:rFonts w:ascii="Lato" w:hAnsi="Lato" w:cs="Calibri"/>
                <w:color w:val="000000" w:themeColor="text1"/>
                <w:sz w:val="22"/>
                <w:szCs w:val="22"/>
              </w:rPr>
            </w:pPr>
            <w:r w:rsidRPr="00AA22C4">
              <w:rPr>
                <w:rFonts w:ascii="Lato" w:hAnsi="Lato" w:cs="Calibri"/>
                <w:color w:val="000000" w:themeColor="text1"/>
                <w:sz w:val="22"/>
                <w:szCs w:val="22"/>
              </w:rPr>
              <w:t>25</w:t>
            </w:r>
          </w:p>
        </w:tc>
        <w:tc>
          <w:tcPr>
            <w:tcW w:w="6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8DB8E" w14:textId="77777777" w:rsidR="005E347E" w:rsidRPr="00AA22C4" w:rsidRDefault="005E347E" w:rsidP="00775DDD">
            <w:pPr>
              <w:spacing w:line="240" w:lineRule="auto"/>
              <w:rPr>
                <w:rFonts w:ascii="Lato" w:hAnsi="Lato" w:cs="Calibri"/>
                <w:color w:val="000000" w:themeColor="text1"/>
                <w:sz w:val="22"/>
                <w:szCs w:val="22"/>
              </w:rPr>
            </w:pPr>
            <w:proofErr w:type="spellStart"/>
            <w:r w:rsidRPr="00AA22C4">
              <w:rPr>
                <w:rFonts w:ascii="Lato" w:hAnsi="Lato" w:cs="Calibri"/>
                <w:color w:val="000000" w:themeColor="text1"/>
                <w:sz w:val="22"/>
                <w:szCs w:val="22"/>
              </w:rPr>
              <w:t>Acyduria</w:t>
            </w:r>
            <w:proofErr w:type="spellEnd"/>
            <w:r w:rsidRPr="00AA22C4">
              <w:rPr>
                <w:rFonts w:ascii="Lato" w:hAnsi="Lato" w:cs="Calibri"/>
                <w:color w:val="000000" w:themeColor="text1"/>
                <w:sz w:val="22"/>
                <w:szCs w:val="22"/>
              </w:rPr>
              <w:t xml:space="preserve"> propionowa</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B93F4"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PA</w:t>
            </w:r>
          </w:p>
        </w:tc>
      </w:tr>
      <w:tr w:rsidR="00B3776C" w:rsidRPr="00B3776C" w14:paraId="3AC90578" w14:textId="77777777" w:rsidTr="00775DD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D05D00" w14:textId="77777777" w:rsidR="005E347E" w:rsidRPr="00AA22C4" w:rsidRDefault="005E347E" w:rsidP="00775DDD">
            <w:pPr>
              <w:spacing w:line="240" w:lineRule="auto"/>
              <w:jc w:val="center"/>
              <w:rPr>
                <w:rFonts w:ascii="Lato" w:hAnsi="Lato" w:cs="Calibri"/>
                <w:color w:val="000000" w:themeColor="text1"/>
                <w:sz w:val="22"/>
                <w:szCs w:val="22"/>
              </w:rPr>
            </w:pPr>
            <w:r w:rsidRPr="00AA22C4">
              <w:rPr>
                <w:rFonts w:ascii="Lato" w:hAnsi="Lato" w:cs="Calibri"/>
                <w:color w:val="000000" w:themeColor="text1"/>
                <w:sz w:val="22"/>
                <w:szCs w:val="22"/>
              </w:rPr>
              <w:t>26</w:t>
            </w:r>
          </w:p>
        </w:tc>
        <w:tc>
          <w:tcPr>
            <w:tcW w:w="6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8CC8AE" w14:textId="77777777" w:rsidR="005E347E" w:rsidRPr="00AA22C4" w:rsidRDefault="005E347E" w:rsidP="00775DDD">
            <w:pPr>
              <w:spacing w:line="240" w:lineRule="auto"/>
              <w:rPr>
                <w:rFonts w:ascii="Lato" w:hAnsi="Lato" w:cs="Calibri"/>
                <w:color w:val="000000" w:themeColor="text1"/>
                <w:sz w:val="22"/>
                <w:szCs w:val="22"/>
              </w:rPr>
            </w:pPr>
            <w:proofErr w:type="spellStart"/>
            <w:r w:rsidRPr="00AA22C4">
              <w:rPr>
                <w:rFonts w:ascii="Lato" w:hAnsi="Lato" w:cs="Calibri"/>
                <w:color w:val="000000" w:themeColor="text1"/>
                <w:sz w:val="22"/>
                <w:szCs w:val="22"/>
              </w:rPr>
              <w:t>Acyduria</w:t>
            </w:r>
            <w:proofErr w:type="spellEnd"/>
            <w:r w:rsidRPr="00AA22C4">
              <w:rPr>
                <w:rFonts w:ascii="Lato" w:hAnsi="Lato" w:cs="Calibri"/>
                <w:color w:val="000000" w:themeColor="text1"/>
                <w:sz w:val="22"/>
                <w:szCs w:val="22"/>
              </w:rPr>
              <w:t xml:space="preserve"> </w:t>
            </w:r>
            <w:proofErr w:type="spellStart"/>
            <w:r w:rsidRPr="00AA22C4">
              <w:rPr>
                <w:rFonts w:ascii="Lato" w:hAnsi="Lato" w:cs="Calibri"/>
                <w:color w:val="000000" w:themeColor="text1"/>
                <w:sz w:val="22"/>
                <w:szCs w:val="22"/>
              </w:rPr>
              <w:t>metylomalonowa</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B8278"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MMA</w:t>
            </w:r>
          </w:p>
        </w:tc>
      </w:tr>
      <w:tr w:rsidR="00B3776C" w:rsidRPr="00B3776C" w14:paraId="1F7FAD3F" w14:textId="77777777" w:rsidTr="00775DD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39832" w14:textId="77777777" w:rsidR="005E347E" w:rsidRPr="00AA22C4" w:rsidRDefault="005E347E" w:rsidP="00775DDD">
            <w:pPr>
              <w:spacing w:line="240" w:lineRule="auto"/>
              <w:jc w:val="center"/>
              <w:rPr>
                <w:rFonts w:ascii="Lato" w:hAnsi="Lato" w:cs="Calibri"/>
                <w:color w:val="000000" w:themeColor="text1"/>
                <w:sz w:val="22"/>
                <w:szCs w:val="22"/>
              </w:rPr>
            </w:pPr>
            <w:r w:rsidRPr="00AA22C4">
              <w:rPr>
                <w:rFonts w:ascii="Lato" w:hAnsi="Lato" w:cs="Calibri"/>
                <w:color w:val="000000" w:themeColor="text1"/>
                <w:sz w:val="22"/>
                <w:szCs w:val="22"/>
              </w:rPr>
              <w:t>27</w:t>
            </w:r>
          </w:p>
        </w:tc>
        <w:tc>
          <w:tcPr>
            <w:tcW w:w="6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529A91" w14:textId="77777777" w:rsidR="005E347E" w:rsidRPr="00AA22C4" w:rsidRDefault="005E347E" w:rsidP="00775DDD">
            <w:pPr>
              <w:spacing w:line="240" w:lineRule="auto"/>
              <w:rPr>
                <w:rFonts w:ascii="Lato" w:hAnsi="Lato" w:cs="Calibri"/>
                <w:color w:val="000000" w:themeColor="text1"/>
                <w:sz w:val="22"/>
                <w:szCs w:val="22"/>
              </w:rPr>
            </w:pPr>
            <w:proofErr w:type="spellStart"/>
            <w:r w:rsidRPr="00AA22C4">
              <w:rPr>
                <w:rFonts w:ascii="Lato" w:hAnsi="Lato" w:cs="Calibri"/>
                <w:color w:val="000000" w:themeColor="text1"/>
                <w:sz w:val="22"/>
                <w:szCs w:val="22"/>
              </w:rPr>
              <w:t>Acyduria</w:t>
            </w:r>
            <w:proofErr w:type="spellEnd"/>
            <w:r w:rsidRPr="00AA22C4">
              <w:rPr>
                <w:rFonts w:ascii="Lato" w:hAnsi="Lato" w:cs="Calibri"/>
                <w:color w:val="000000" w:themeColor="text1"/>
                <w:sz w:val="22"/>
                <w:szCs w:val="22"/>
              </w:rPr>
              <w:t xml:space="preserve"> </w:t>
            </w:r>
            <w:proofErr w:type="spellStart"/>
            <w:r w:rsidRPr="00AA22C4">
              <w:rPr>
                <w:rFonts w:ascii="Lato" w:hAnsi="Lato" w:cs="Calibri"/>
                <w:color w:val="000000" w:themeColor="text1"/>
                <w:sz w:val="22"/>
                <w:szCs w:val="22"/>
              </w:rPr>
              <w:t>izowalerianowa</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0095CD"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IVA</w:t>
            </w:r>
          </w:p>
        </w:tc>
      </w:tr>
      <w:tr w:rsidR="00B3776C" w:rsidRPr="00B3776C" w14:paraId="31D6CC82" w14:textId="77777777" w:rsidTr="00775DD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260037" w14:textId="77777777" w:rsidR="005E347E" w:rsidRPr="00AA22C4" w:rsidRDefault="005E347E" w:rsidP="00775DDD">
            <w:pPr>
              <w:spacing w:line="240" w:lineRule="auto"/>
              <w:jc w:val="center"/>
              <w:rPr>
                <w:rFonts w:ascii="Lato" w:hAnsi="Lato" w:cs="Calibri"/>
                <w:color w:val="000000" w:themeColor="text1"/>
                <w:sz w:val="22"/>
                <w:szCs w:val="22"/>
              </w:rPr>
            </w:pPr>
            <w:r w:rsidRPr="00AA22C4">
              <w:rPr>
                <w:rFonts w:ascii="Lato" w:hAnsi="Lato" w:cs="Calibri"/>
                <w:color w:val="000000" w:themeColor="text1"/>
                <w:sz w:val="22"/>
                <w:szCs w:val="22"/>
              </w:rPr>
              <w:t>28</w:t>
            </w:r>
          </w:p>
        </w:tc>
        <w:tc>
          <w:tcPr>
            <w:tcW w:w="6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2E58B"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3-metylokrotonyloglicynuria</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8CDBBE"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MCC</w:t>
            </w:r>
          </w:p>
        </w:tc>
      </w:tr>
      <w:tr w:rsidR="00B3776C" w:rsidRPr="00B3776C" w14:paraId="46B2DAF6" w14:textId="77777777" w:rsidTr="00775DD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071D1" w14:textId="77777777" w:rsidR="005E347E" w:rsidRPr="00AA22C4" w:rsidRDefault="005E347E" w:rsidP="00775DDD">
            <w:pPr>
              <w:spacing w:line="240" w:lineRule="auto"/>
              <w:jc w:val="center"/>
              <w:rPr>
                <w:rFonts w:ascii="Lato" w:hAnsi="Lato" w:cs="Calibri"/>
                <w:color w:val="000000" w:themeColor="text1"/>
                <w:sz w:val="22"/>
                <w:szCs w:val="22"/>
              </w:rPr>
            </w:pPr>
            <w:r w:rsidRPr="00AA22C4">
              <w:rPr>
                <w:rFonts w:ascii="Lato" w:hAnsi="Lato" w:cs="Calibri"/>
                <w:color w:val="000000" w:themeColor="text1"/>
                <w:sz w:val="22"/>
                <w:szCs w:val="22"/>
              </w:rPr>
              <w:t>29</w:t>
            </w:r>
          </w:p>
        </w:tc>
        <w:tc>
          <w:tcPr>
            <w:tcW w:w="6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B298E"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Deficyt wielu karboksylaz</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060322"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MCD</w:t>
            </w:r>
          </w:p>
        </w:tc>
      </w:tr>
      <w:tr w:rsidR="00B83AA3" w:rsidRPr="00AA22C4" w14:paraId="3E2A7408" w14:textId="77777777" w:rsidTr="00775DD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86DE44" w14:textId="77777777" w:rsidR="005E347E" w:rsidRPr="00AA22C4" w:rsidRDefault="005E347E" w:rsidP="00775DDD">
            <w:pPr>
              <w:spacing w:line="240" w:lineRule="auto"/>
              <w:jc w:val="center"/>
              <w:rPr>
                <w:rFonts w:ascii="Lato" w:hAnsi="Lato" w:cs="Calibri"/>
                <w:color w:val="000000" w:themeColor="text1"/>
                <w:sz w:val="22"/>
                <w:szCs w:val="22"/>
              </w:rPr>
            </w:pPr>
            <w:r w:rsidRPr="00AA22C4">
              <w:rPr>
                <w:rFonts w:ascii="Lato" w:hAnsi="Lato" w:cs="Calibri"/>
                <w:color w:val="000000" w:themeColor="text1"/>
                <w:sz w:val="22"/>
                <w:szCs w:val="22"/>
              </w:rPr>
              <w:t>30</w:t>
            </w:r>
          </w:p>
        </w:tc>
        <w:tc>
          <w:tcPr>
            <w:tcW w:w="6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09BAD0"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Deficyt liazy 3-hydroksy-3-metyloglutarylo-CoA</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506474" w14:textId="77777777" w:rsidR="005E347E" w:rsidRPr="00AA22C4" w:rsidRDefault="005E347E" w:rsidP="00775DDD">
            <w:pPr>
              <w:spacing w:line="240" w:lineRule="auto"/>
              <w:rPr>
                <w:rFonts w:ascii="Lato" w:hAnsi="Lato" w:cs="Calibri"/>
                <w:color w:val="000000" w:themeColor="text1"/>
                <w:sz w:val="22"/>
                <w:szCs w:val="22"/>
              </w:rPr>
            </w:pPr>
            <w:r w:rsidRPr="00AA22C4">
              <w:rPr>
                <w:rFonts w:ascii="Lato" w:hAnsi="Lato" w:cs="Calibri"/>
                <w:color w:val="000000" w:themeColor="text1"/>
                <w:sz w:val="22"/>
                <w:szCs w:val="22"/>
              </w:rPr>
              <w:t>3-HMG</w:t>
            </w:r>
          </w:p>
        </w:tc>
      </w:tr>
    </w:tbl>
    <w:p w14:paraId="7DB23218" w14:textId="77777777" w:rsidR="005E347E" w:rsidRPr="00AA22C4" w:rsidRDefault="005E347E" w:rsidP="005E347E">
      <w:pPr>
        <w:rPr>
          <w:rFonts w:ascii="Lato" w:hAnsi="Lato"/>
          <w:color w:val="000000" w:themeColor="text1"/>
          <w:sz w:val="22"/>
          <w:szCs w:val="22"/>
          <w:lang w:eastAsia="ar-SA"/>
        </w:rPr>
      </w:pPr>
    </w:p>
    <w:p w14:paraId="3838B5BC" w14:textId="77777777" w:rsidR="005E347E" w:rsidRPr="00AA22C4" w:rsidRDefault="005E347E" w:rsidP="005E347E">
      <w:pPr>
        <w:pStyle w:val="Nagwek3"/>
        <w:rPr>
          <w:rFonts w:ascii="Lato" w:hAnsi="Lato"/>
          <w:color w:val="000000" w:themeColor="text1"/>
          <w:sz w:val="22"/>
          <w:szCs w:val="22"/>
          <w:lang w:eastAsia="ar-SA"/>
        </w:rPr>
      </w:pPr>
      <w:bookmarkStart w:id="3" w:name="_1.1.1._Choroby_objęte"/>
      <w:bookmarkEnd w:id="3"/>
      <w:r w:rsidRPr="00AA22C4">
        <w:rPr>
          <w:rFonts w:ascii="Lato" w:hAnsi="Lato"/>
          <w:color w:val="000000" w:themeColor="text1"/>
          <w:sz w:val="22"/>
          <w:szCs w:val="22"/>
          <w:lang w:eastAsia="ar-SA"/>
        </w:rPr>
        <w:t>1.1.1. Choroby objęte programem badań przesiewowym noworodków</w:t>
      </w:r>
    </w:p>
    <w:p w14:paraId="72A0C03D" w14:textId="386131C6" w:rsidR="005E347E" w:rsidRPr="00AA22C4" w:rsidRDefault="005E347E" w:rsidP="005E347E">
      <w:pPr>
        <w:suppressAutoHyphens/>
        <w:spacing w:before="120" w:after="120"/>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lang w:eastAsia="ar-SA"/>
        </w:rPr>
        <w:t>Poniżej przedstawiono skrótową charakterystykę każdej z chorób objętej badaniami przesiewowymi w Rzecz</w:t>
      </w:r>
      <w:r w:rsidR="000A5AEA" w:rsidRPr="00AA22C4">
        <w:rPr>
          <w:rFonts w:ascii="Lato" w:eastAsia="Arial Unicode MS" w:hAnsi="Lato"/>
          <w:color w:val="000000" w:themeColor="text1"/>
          <w:kern w:val="1"/>
          <w:sz w:val="22"/>
          <w:szCs w:val="22"/>
          <w:lang w:eastAsia="ar-SA"/>
        </w:rPr>
        <w:t>y</w:t>
      </w:r>
      <w:r w:rsidRPr="00AA22C4">
        <w:rPr>
          <w:rFonts w:ascii="Lato" w:eastAsia="Arial Unicode MS" w:hAnsi="Lato"/>
          <w:color w:val="000000" w:themeColor="text1"/>
          <w:kern w:val="1"/>
          <w:sz w:val="22"/>
          <w:szCs w:val="22"/>
          <w:lang w:eastAsia="ar-SA"/>
        </w:rPr>
        <w:t xml:space="preserve">pospolitej Polskiej. </w:t>
      </w:r>
    </w:p>
    <w:p w14:paraId="1BFBE74A" w14:textId="77777777" w:rsidR="005E347E" w:rsidRPr="00AA22C4" w:rsidRDefault="005E347E" w:rsidP="005E347E">
      <w:pPr>
        <w:pStyle w:val="Akapitzlist"/>
        <w:numPr>
          <w:ilvl w:val="0"/>
          <w:numId w:val="82"/>
        </w:numPr>
        <w:ind w:hanging="513"/>
        <w:jc w:val="both"/>
        <w:rPr>
          <w:rFonts w:ascii="Lato" w:hAnsi="Lato"/>
          <w:color w:val="000000" w:themeColor="text1"/>
          <w:sz w:val="22"/>
          <w:szCs w:val="22"/>
        </w:rPr>
      </w:pPr>
      <w:r w:rsidRPr="00AA22C4">
        <w:rPr>
          <w:rFonts w:ascii="Lato" w:hAnsi="Lato"/>
          <w:b/>
          <w:bCs/>
          <w:color w:val="000000" w:themeColor="text1"/>
          <w:sz w:val="22"/>
          <w:szCs w:val="22"/>
        </w:rPr>
        <w:t xml:space="preserve">Wrodzona niedoczynność tarczycy – WNT </w:t>
      </w:r>
      <w:r w:rsidRPr="00AA22C4">
        <w:rPr>
          <w:rFonts w:ascii="Lato" w:hAnsi="Lato"/>
          <w:color w:val="000000" w:themeColor="text1"/>
          <w:sz w:val="22"/>
          <w:szCs w:val="22"/>
        </w:rPr>
        <w:t>(badanie przesiewowe całej populacji od 1995 r.)</w:t>
      </w:r>
    </w:p>
    <w:p w14:paraId="29E4B091" w14:textId="77777777" w:rsidR="005E347E" w:rsidRPr="00AA22C4" w:rsidRDefault="005E347E" w:rsidP="005E347E">
      <w:pPr>
        <w:suppressAutoHyphens/>
        <w:spacing w:before="120" w:after="120"/>
        <w:contextualSpacing/>
        <w:jc w:val="both"/>
        <w:rPr>
          <w:rFonts w:ascii="Lato" w:eastAsia="Arial Unicode MS" w:hAnsi="Lato"/>
          <w:color w:val="000000" w:themeColor="text1"/>
          <w:kern w:val="1"/>
          <w:sz w:val="22"/>
          <w:szCs w:val="22"/>
          <w:u w:val="single"/>
          <w:lang w:eastAsia="ar-SA"/>
        </w:rPr>
      </w:pPr>
      <w:r w:rsidRPr="00AA22C4">
        <w:rPr>
          <w:rFonts w:ascii="Lato" w:eastAsia="Arial Unicode MS" w:hAnsi="Lato"/>
          <w:color w:val="000000" w:themeColor="text1"/>
          <w:kern w:val="1"/>
          <w:sz w:val="22"/>
          <w:szCs w:val="22"/>
          <w:u w:val="single"/>
          <w:lang w:eastAsia="ar-SA"/>
        </w:rPr>
        <w:t>Opis:</w:t>
      </w:r>
    </w:p>
    <w:p w14:paraId="4556645F" w14:textId="77777777" w:rsidR="005E347E" w:rsidRPr="00AA22C4" w:rsidRDefault="005E347E" w:rsidP="005E347E">
      <w:pPr>
        <w:suppressAutoHyphens/>
        <w:spacing w:before="120" w:after="120"/>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lang w:eastAsia="ar-SA"/>
        </w:rPr>
        <w:t xml:space="preserve">Częstość występowania wrodzonej niedoczynności tarczycy (CH – </w:t>
      </w:r>
      <w:proofErr w:type="spellStart"/>
      <w:r w:rsidRPr="00AA22C4">
        <w:rPr>
          <w:rFonts w:ascii="Lato" w:eastAsia="Arial Unicode MS" w:hAnsi="Lato"/>
          <w:color w:val="000000" w:themeColor="text1"/>
          <w:kern w:val="1"/>
          <w:sz w:val="22"/>
          <w:szCs w:val="22"/>
          <w:lang w:eastAsia="ar-SA"/>
        </w:rPr>
        <w:t>Congenital</w:t>
      </w:r>
      <w:proofErr w:type="spellEnd"/>
      <w:r w:rsidRPr="00AA22C4">
        <w:rPr>
          <w:rFonts w:ascii="Lato" w:eastAsia="Arial Unicode MS" w:hAnsi="Lato"/>
          <w:color w:val="000000" w:themeColor="text1"/>
          <w:kern w:val="1"/>
          <w:sz w:val="22"/>
          <w:szCs w:val="22"/>
          <w:lang w:eastAsia="ar-SA"/>
        </w:rPr>
        <w:t xml:space="preserve"> </w:t>
      </w:r>
      <w:proofErr w:type="spellStart"/>
      <w:r w:rsidRPr="00AA22C4">
        <w:rPr>
          <w:rFonts w:ascii="Lato" w:eastAsia="Arial Unicode MS" w:hAnsi="Lato"/>
          <w:color w:val="000000" w:themeColor="text1"/>
          <w:kern w:val="1"/>
          <w:sz w:val="22"/>
          <w:szCs w:val="22"/>
          <w:lang w:eastAsia="ar-SA"/>
        </w:rPr>
        <w:t>Hypothyroidism</w:t>
      </w:r>
      <w:proofErr w:type="spellEnd"/>
      <w:r w:rsidRPr="00AA22C4">
        <w:rPr>
          <w:rFonts w:ascii="Lato" w:eastAsia="Arial Unicode MS" w:hAnsi="Lato"/>
          <w:color w:val="000000" w:themeColor="text1"/>
          <w:kern w:val="1"/>
          <w:sz w:val="22"/>
          <w:szCs w:val="22"/>
          <w:lang w:eastAsia="ar-SA"/>
        </w:rPr>
        <w:t xml:space="preserve">) w polskiej populacji ocenia się na około </w:t>
      </w:r>
      <w:r w:rsidRPr="00AA22C4">
        <w:rPr>
          <w:rFonts w:ascii="Lato" w:eastAsia="Arial Unicode MS" w:hAnsi="Lato"/>
          <w:bCs/>
          <w:color w:val="000000" w:themeColor="text1"/>
          <w:kern w:val="1"/>
          <w:sz w:val="22"/>
          <w:szCs w:val="22"/>
          <w:lang w:eastAsia="ar-SA"/>
        </w:rPr>
        <w:t>1:3 500 urodzeń</w:t>
      </w:r>
      <w:r w:rsidRPr="00AA22C4">
        <w:rPr>
          <w:rFonts w:ascii="Lato" w:eastAsia="Arial Unicode MS" w:hAnsi="Lato"/>
          <w:color w:val="000000" w:themeColor="text1"/>
          <w:kern w:val="1"/>
          <w:sz w:val="22"/>
          <w:szCs w:val="22"/>
          <w:lang w:eastAsia="ar-SA"/>
        </w:rPr>
        <w:t xml:space="preserve"> żywych. Niedoczynność tarczycy (</w:t>
      </w:r>
      <w:proofErr w:type="spellStart"/>
      <w:r w:rsidRPr="00AA22C4">
        <w:rPr>
          <w:rFonts w:ascii="Lato" w:eastAsia="Arial Unicode MS" w:hAnsi="Lato"/>
          <w:color w:val="000000" w:themeColor="text1"/>
          <w:kern w:val="1"/>
          <w:sz w:val="22"/>
          <w:szCs w:val="22"/>
          <w:lang w:eastAsia="ar-SA"/>
        </w:rPr>
        <w:t>hipotyreoza</w:t>
      </w:r>
      <w:proofErr w:type="spellEnd"/>
      <w:r w:rsidRPr="00AA22C4">
        <w:rPr>
          <w:rFonts w:ascii="Lato" w:eastAsia="Arial Unicode MS" w:hAnsi="Lato"/>
          <w:color w:val="000000" w:themeColor="text1"/>
          <w:kern w:val="1"/>
          <w:sz w:val="22"/>
          <w:szCs w:val="22"/>
          <w:lang w:eastAsia="ar-SA"/>
        </w:rPr>
        <w:t>) jest zespołem chorobowym wynikającym z niedoboru hormonów tarczycy. Przyczynami choroby są: zaburzenia embriogenezy tarczycy: niewykształcenie się tarczycy, nieprawidłowa budowa, przemieszczenie tarczycy oraz zaburzenia genetyczne (mutacje).</w:t>
      </w:r>
    </w:p>
    <w:p w14:paraId="1E55651C" w14:textId="77777777" w:rsidR="005E347E" w:rsidRPr="00AA22C4" w:rsidRDefault="005E347E" w:rsidP="005E347E">
      <w:pPr>
        <w:suppressAutoHyphens/>
        <w:spacing w:before="120" w:after="120"/>
        <w:contextualSpacing/>
        <w:jc w:val="both"/>
        <w:rPr>
          <w:rFonts w:ascii="Lato" w:eastAsia="Arial Unicode MS" w:hAnsi="Lato"/>
          <w:color w:val="000000" w:themeColor="text1"/>
          <w:kern w:val="1"/>
          <w:sz w:val="22"/>
          <w:szCs w:val="22"/>
          <w:u w:val="single"/>
          <w:lang w:eastAsia="ar-SA"/>
        </w:rPr>
      </w:pPr>
      <w:r w:rsidRPr="00AA22C4">
        <w:rPr>
          <w:rFonts w:ascii="Lato" w:eastAsia="Arial Unicode MS" w:hAnsi="Lato"/>
          <w:color w:val="000000" w:themeColor="text1"/>
          <w:kern w:val="1"/>
          <w:sz w:val="22"/>
          <w:szCs w:val="22"/>
          <w:u w:val="single"/>
          <w:lang w:eastAsia="ar-SA"/>
        </w:rPr>
        <w:t>Objawy:</w:t>
      </w:r>
    </w:p>
    <w:p w14:paraId="4D14996B"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eastAsia="Arial Unicode MS" w:hAnsi="Lato"/>
          <w:color w:val="000000" w:themeColor="text1"/>
          <w:kern w:val="1"/>
          <w:sz w:val="22"/>
          <w:szCs w:val="22"/>
          <w:lang w:eastAsia="ar-SA"/>
        </w:rPr>
        <w:t xml:space="preserve">Objawy kliniczne w wieku noworodkowym praktycznie nie występują, co uniemożliwia </w:t>
      </w:r>
      <w:r w:rsidRPr="00AA22C4">
        <w:rPr>
          <w:rFonts w:ascii="Lato" w:eastAsia="Arial Unicode MS" w:hAnsi="Lato"/>
          <w:color w:val="000000" w:themeColor="text1"/>
          <w:kern w:val="1"/>
          <w:sz w:val="22"/>
          <w:szCs w:val="22"/>
          <w:lang w:eastAsia="ar-SA"/>
        </w:rPr>
        <w:br/>
        <w:t>jej wykrycie kliniczne. W wieku późniejszym objawy WNT zależą od stopnia niedoboru hormonów tarczycy oraz okresu życia, w którym choroba się ujawniła (16, 17, 40).</w:t>
      </w:r>
    </w:p>
    <w:p w14:paraId="2A4E8B31" w14:textId="3199ED81"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Nieleczona niedoczynność tarczycy prowadzi do niepełnosprawności intelektualnej, często </w:t>
      </w:r>
      <w:r w:rsidRPr="00AA22C4">
        <w:rPr>
          <w:rFonts w:ascii="Lato" w:hAnsi="Lato"/>
          <w:color w:val="000000" w:themeColor="text1"/>
          <w:kern w:val="1"/>
          <w:sz w:val="22"/>
          <w:szCs w:val="22"/>
          <w:lang w:eastAsia="ar-SA"/>
        </w:rPr>
        <w:br/>
        <w:t>w stopniu głębokim</w:t>
      </w:r>
      <w:r w:rsidRPr="00AA22C4">
        <w:rPr>
          <w:rFonts w:ascii="Lato" w:hAnsi="Lato"/>
          <w:b/>
          <w:color w:val="000000" w:themeColor="text1"/>
          <w:kern w:val="1"/>
          <w:sz w:val="22"/>
          <w:szCs w:val="22"/>
          <w:lang w:eastAsia="ar-SA"/>
        </w:rPr>
        <w:t xml:space="preserve">. </w:t>
      </w:r>
      <w:r w:rsidRPr="00AA22C4">
        <w:rPr>
          <w:rFonts w:ascii="Lato" w:hAnsi="Lato"/>
          <w:color w:val="000000" w:themeColor="text1"/>
          <w:kern w:val="1"/>
          <w:sz w:val="22"/>
          <w:szCs w:val="22"/>
          <w:lang w:eastAsia="ar-SA"/>
        </w:rPr>
        <w:t xml:space="preserve">Ponadto w późniejszym wieku powoduje stopniowe narastanie wielu objawów somatycznych, takich jak: zahamowanie wzrastania, nieprawidłowe proporcje ciała: duża głowa, długi tułów, krótkie kończyny, opóźnione dojrzewanie kośćca, uszkodzenie zawiązków zębów, nietolerancja zimna, zmiany w układzie krążenia, powiększenie sylwetki serca, bradykardia, obrzęki, zmniejszenie filtracji kłębkowej w nerkach, niedokrwistość, </w:t>
      </w:r>
      <w:r w:rsidRPr="00AA22C4">
        <w:rPr>
          <w:rFonts w:ascii="Lato" w:hAnsi="Lato"/>
          <w:color w:val="000000" w:themeColor="text1"/>
          <w:kern w:val="1"/>
          <w:sz w:val="22"/>
          <w:szCs w:val="22"/>
          <w:lang w:eastAsia="ar-SA"/>
        </w:rPr>
        <w:lastRenderedPageBreak/>
        <w:t>zaburzenia gospodarki wapniowo – fosforanowej i tłuszczowej, opóźnione lub przedwczesne wystąpienie dojrzewania płciowego.</w:t>
      </w:r>
    </w:p>
    <w:p w14:paraId="223EB12B"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Wrodzonej niedoczynności tarczycy towarzyszy częstsze występowanie innych wad wrodzonych.</w:t>
      </w:r>
      <w:r w:rsidRPr="00AA22C4">
        <w:rPr>
          <w:rFonts w:ascii="Lato" w:hAnsi="Lato"/>
          <w:color w:val="000000" w:themeColor="text1"/>
          <w:kern w:val="1"/>
          <w:sz w:val="22"/>
          <w:szCs w:val="22"/>
          <w:lang w:eastAsia="ar-SA"/>
        </w:rPr>
        <w:br/>
        <w:t xml:space="preserve"> U 8 – 11% chorych opisuje się obecność wady serca, dysplazji stawów biodrowych, zespołu mnogich wad rozwojowych oraz anomalii przewodu pokarmowego. WNT jest częstą patologią współistniejącą z zespołem Downa, nawet u 15 – 30% chorych.</w:t>
      </w:r>
    </w:p>
    <w:p w14:paraId="5A1F7458" w14:textId="77777777" w:rsidR="005E347E" w:rsidRPr="00AA22C4" w:rsidRDefault="005E347E" w:rsidP="005E347E">
      <w:pPr>
        <w:suppressAutoHyphens/>
        <w:spacing w:before="120" w:after="120"/>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lang w:eastAsia="ar-SA"/>
        </w:rPr>
        <w:t xml:space="preserve">Wczesne rozpoznanie choroby i wdrożenie leczenia substytucyjnego, polegającego </w:t>
      </w:r>
      <w:r w:rsidRPr="00AA22C4">
        <w:rPr>
          <w:rFonts w:ascii="Lato" w:eastAsia="Arial Unicode MS" w:hAnsi="Lato"/>
          <w:color w:val="000000" w:themeColor="text1"/>
          <w:kern w:val="1"/>
          <w:sz w:val="22"/>
          <w:szCs w:val="22"/>
          <w:lang w:eastAsia="ar-SA"/>
        </w:rPr>
        <w:br/>
        <w:t xml:space="preserve">na doustnej podaży soli sodowej L-tyroksyny, powoduje uzyskanie przez chore dziecko prawidłowych wskaźników rozwoju somatycznego i psychicznego. Obecnie postuluje się wdrożenie leczenia substytucyjnego już w drugim tygodniu życia. </w:t>
      </w:r>
    </w:p>
    <w:p w14:paraId="03BF36E1" w14:textId="77777777" w:rsidR="005E347E" w:rsidRPr="00AA22C4" w:rsidRDefault="005E347E" w:rsidP="005E347E">
      <w:pPr>
        <w:suppressAutoHyphens/>
        <w:spacing w:before="120" w:after="120"/>
        <w:contextualSpacing/>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u w:val="single"/>
          <w:lang w:eastAsia="ar-SA"/>
        </w:rPr>
        <w:t>Diagnostyka:</w:t>
      </w:r>
    </w:p>
    <w:p w14:paraId="59A90039" w14:textId="79393C3C" w:rsidR="005E347E" w:rsidRPr="00AA22C4" w:rsidRDefault="005E347E" w:rsidP="005E347E">
      <w:pPr>
        <w:pStyle w:val="Akapitzlist"/>
        <w:numPr>
          <w:ilvl w:val="0"/>
          <w:numId w:val="69"/>
        </w:numPr>
        <w:spacing w:before="120" w:after="120" w:line="360" w:lineRule="auto"/>
        <w:jc w:val="both"/>
        <w:rPr>
          <w:rFonts w:ascii="Lato" w:hAnsi="Lato"/>
          <w:color w:val="000000" w:themeColor="text1"/>
          <w:sz w:val="22"/>
          <w:szCs w:val="22"/>
        </w:rPr>
      </w:pPr>
      <w:r w:rsidRPr="00AA22C4">
        <w:rPr>
          <w:rFonts w:ascii="Lato" w:hAnsi="Lato"/>
          <w:color w:val="000000" w:themeColor="text1"/>
          <w:sz w:val="22"/>
          <w:szCs w:val="22"/>
        </w:rPr>
        <w:t xml:space="preserve">we krwi na bibule przesiewowej: </w:t>
      </w:r>
      <w:r w:rsidRPr="00AA22C4">
        <w:rPr>
          <w:rFonts w:ascii="Arial" w:hAnsi="Arial" w:cs="Arial"/>
          <w:color w:val="000000" w:themeColor="text1"/>
          <w:sz w:val="22"/>
          <w:szCs w:val="22"/>
        </w:rPr>
        <w:t>↑</w:t>
      </w:r>
      <w:r w:rsidRPr="00AA22C4">
        <w:rPr>
          <w:rFonts w:ascii="Lato" w:hAnsi="Lato"/>
          <w:color w:val="000000" w:themeColor="text1"/>
          <w:sz w:val="22"/>
          <w:szCs w:val="22"/>
        </w:rPr>
        <w:t>-</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 Tyreotropina (TSH)</w:t>
      </w:r>
      <w:r w:rsidR="00AB466F" w:rsidRPr="00AA22C4">
        <w:rPr>
          <w:rFonts w:ascii="Lato" w:hAnsi="Lato"/>
          <w:color w:val="000000" w:themeColor="text1"/>
          <w:sz w:val="22"/>
          <w:szCs w:val="22"/>
        </w:rPr>
        <w:t>;</w:t>
      </w:r>
      <w:r w:rsidRPr="00AA22C4">
        <w:rPr>
          <w:rFonts w:ascii="Lato" w:hAnsi="Lato"/>
          <w:color w:val="000000" w:themeColor="text1"/>
          <w:sz w:val="22"/>
          <w:szCs w:val="22"/>
        </w:rPr>
        <w:t xml:space="preserve"> </w:t>
      </w:r>
    </w:p>
    <w:p w14:paraId="437A642C" w14:textId="77777777" w:rsidR="005E347E" w:rsidRPr="00AA22C4" w:rsidRDefault="005E347E" w:rsidP="005E347E">
      <w:pPr>
        <w:pStyle w:val="Akapitzlist"/>
        <w:numPr>
          <w:ilvl w:val="0"/>
          <w:numId w:val="69"/>
        </w:numPr>
        <w:spacing w:before="120" w:line="360" w:lineRule="auto"/>
        <w:jc w:val="both"/>
        <w:rPr>
          <w:rFonts w:ascii="Lato" w:hAnsi="Lato"/>
          <w:color w:val="000000" w:themeColor="text1"/>
          <w:sz w:val="22"/>
          <w:szCs w:val="22"/>
        </w:rPr>
      </w:pPr>
      <w:r w:rsidRPr="00AA22C4">
        <w:rPr>
          <w:rFonts w:ascii="Lato" w:hAnsi="Lato"/>
          <w:color w:val="000000" w:themeColor="text1"/>
          <w:sz w:val="22"/>
          <w:szCs w:val="22"/>
        </w:rPr>
        <w:t xml:space="preserve">w surowicy krwi: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 </w:t>
      </w:r>
      <w:proofErr w:type="gramStart"/>
      <w:r w:rsidRPr="00AA22C4">
        <w:rPr>
          <w:rFonts w:ascii="Lato" w:hAnsi="Lato"/>
          <w:color w:val="000000" w:themeColor="text1"/>
          <w:sz w:val="22"/>
          <w:szCs w:val="22"/>
        </w:rPr>
        <w:t>TSH  i</w:t>
      </w:r>
      <w:proofErr w:type="gramEnd"/>
      <w:r w:rsidRPr="00AA22C4">
        <w:rPr>
          <w:rFonts w:ascii="Lato" w:hAnsi="Lato"/>
          <w:color w:val="000000" w:themeColor="text1"/>
          <w:sz w:val="22"/>
          <w:szCs w:val="22"/>
        </w:rPr>
        <w:t xml:space="preserve"> </w:t>
      </w:r>
      <w:r w:rsidRPr="00AA22C4">
        <w:rPr>
          <w:rFonts w:ascii="Arial" w:hAnsi="Arial" w:cs="Arial"/>
          <w:color w:val="000000" w:themeColor="text1"/>
          <w:sz w:val="22"/>
          <w:szCs w:val="22"/>
        </w:rPr>
        <w:t>↓</w:t>
      </w:r>
      <w:r w:rsidRPr="00AA22C4">
        <w:rPr>
          <w:rFonts w:ascii="Lato" w:hAnsi="Lato"/>
          <w:color w:val="000000" w:themeColor="text1"/>
          <w:sz w:val="22"/>
          <w:szCs w:val="22"/>
        </w:rPr>
        <w:t>FT4.</w:t>
      </w:r>
    </w:p>
    <w:p w14:paraId="4961C12D" w14:textId="77777777" w:rsidR="005E347E" w:rsidRPr="00AA22C4" w:rsidRDefault="005E347E" w:rsidP="005E347E">
      <w:pPr>
        <w:pStyle w:val="Akapitzlist"/>
        <w:spacing w:before="120"/>
        <w:ind w:left="1080"/>
        <w:jc w:val="both"/>
        <w:rPr>
          <w:rFonts w:ascii="Lato" w:hAnsi="Lato"/>
          <w:color w:val="000000" w:themeColor="text1"/>
          <w:sz w:val="22"/>
          <w:szCs w:val="22"/>
        </w:rPr>
      </w:pPr>
    </w:p>
    <w:p w14:paraId="463CC958" w14:textId="77777777" w:rsidR="005E347E" w:rsidRPr="00AA22C4" w:rsidRDefault="005E347E" w:rsidP="005E347E">
      <w:pPr>
        <w:pStyle w:val="Akapitzlist"/>
        <w:numPr>
          <w:ilvl w:val="0"/>
          <w:numId w:val="82"/>
        </w:numPr>
        <w:ind w:left="1077" w:hanging="357"/>
        <w:rPr>
          <w:rFonts w:ascii="Lato" w:hAnsi="Lato"/>
          <w:b/>
          <w:i/>
          <w:color w:val="000000" w:themeColor="text1"/>
          <w:sz w:val="22"/>
          <w:szCs w:val="22"/>
        </w:rPr>
      </w:pPr>
      <w:r w:rsidRPr="00AA22C4">
        <w:rPr>
          <w:rFonts w:ascii="Lato" w:hAnsi="Lato"/>
          <w:b/>
          <w:bCs/>
          <w:color w:val="000000" w:themeColor="text1"/>
          <w:sz w:val="22"/>
          <w:szCs w:val="22"/>
        </w:rPr>
        <w:t xml:space="preserve">Wrodzony przerost nadnerczy – WPN </w:t>
      </w:r>
      <w:r w:rsidRPr="00AA22C4">
        <w:rPr>
          <w:rFonts w:ascii="Lato" w:hAnsi="Lato"/>
          <w:bCs/>
          <w:color w:val="000000" w:themeColor="text1"/>
          <w:sz w:val="22"/>
          <w:szCs w:val="22"/>
        </w:rPr>
        <w:t>(</w:t>
      </w:r>
      <w:r w:rsidRPr="00AA22C4">
        <w:rPr>
          <w:rFonts w:ascii="Lato" w:hAnsi="Lato"/>
          <w:color w:val="000000" w:themeColor="text1"/>
          <w:sz w:val="22"/>
          <w:szCs w:val="22"/>
        </w:rPr>
        <w:t>cała populacja objęta od 2017 r.)</w:t>
      </w:r>
    </w:p>
    <w:p w14:paraId="25050153" w14:textId="77777777" w:rsidR="005E347E" w:rsidRPr="00AA22C4" w:rsidRDefault="005E347E" w:rsidP="00D23264">
      <w:pPr>
        <w:suppressAutoHyphens/>
        <w:spacing w:before="120" w:after="120" w:line="480" w:lineRule="auto"/>
        <w:contextualSpacing/>
        <w:jc w:val="both"/>
        <w:rPr>
          <w:rFonts w:ascii="Lato" w:eastAsia="Arial Unicode MS" w:hAnsi="Lato"/>
          <w:color w:val="000000" w:themeColor="text1"/>
          <w:kern w:val="1"/>
          <w:sz w:val="22"/>
          <w:szCs w:val="22"/>
          <w:u w:val="single"/>
          <w:lang w:eastAsia="ar-SA"/>
        </w:rPr>
      </w:pPr>
      <w:r w:rsidRPr="00AA22C4">
        <w:rPr>
          <w:rFonts w:ascii="Lato" w:eastAsia="Arial Unicode MS" w:hAnsi="Lato"/>
          <w:color w:val="000000" w:themeColor="text1"/>
          <w:kern w:val="1"/>
          <w:sz w:val="22"/>
          <w:szCs w:val="22"/>
          <w:u w:val="single"/>
          <w:lang w:eastAsia="ar-SA"/>
        </w:rPr>
        <w:t>Opis:</w:t>
      </w:r>
    </w:p>
    <w:p w14:paraId="4C108426" w14:textId="23C8C9DA" w:rsidR="005E347E" w:rsidRPr="00AA22C4" w:rsidRDefault="005E347E" w:rsidP="005E347E">
      <w:pPr>
        <w:suppressAutoHyphens/>
        <w:spacing w:before="120" w:after="120"/>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lang w:eastAsia="ar-SA"/>
        </w:rPr>
        <w:t xml:space="preserve">Wrodzony przerost nadnerczy WPN (ang. CAH - </w:t>
      </w:r>
      <w:proofErr w:type="spellStart"/>
      <w:r w:rsidRPr="00AA22C4">
        <w:rPr>
          <w:rFonts w:ascii="Lato" w:eastAsia="Arial Unicode MS" w:hAnsi="Lato"/>
          <w:i/>
          <w:color w:val="000000" w:themeColor="text1"/>
          <w:kern w:val="1"/>
          <w:sz w:val="22"/>
          <w:szCs w:val="22"/>
          <w:lang w:eastAsia="ar-SA"/>
        </w:rPr>
        <w:t>congenital</w:t>
      </w:r>
      <w:proofErr w:type="spellEnd"/>
      <w:r w:rsidRPr="00AA22C4">
        <w:rPr>
          <w:rFonts w:ascii="Lato" w:eastAsia="Arial Unicode MS" w:hAnsi="Lato"/>
          <w:i/>
          <w:color w:val="000000" w:themeColor="text1"/>
          <w:kern w:val="1"/>
          <w:sz w:val="22"/>
          <w:szCs w:val="22"/>
          <w:lang w:eastAsia="ar-SA"/>
        </w:rPr>
        <w:t xml:space="preserve"> </w:t>
      </w:r>
      <w:proofErr w:type="spellStart"/>
      <w:r w:rsidRPr="00AA22C4">
        <w:rPr>
          <w:rFonts w:ascii="Lato" w:eastAsia="Arial Unicode MS" w:hAnsi="Lato"/>
          <w:i/>
          <w:color w:val="000000" w:themeColor="text1"/>
          <w:kern w:val="1"/>
          <w:sz w:val="22"/>
          <w:szCs w:val="22"/>
          <w:lang w:eastAsia="ar-SA"/>
        </w:rPr>
        <w:t>adrenal</w:t>
      </w:r>
      <w:proofErr w:type="spellEnd"/>
      <w:r w:rsidRPr="00AA22C4">
        <w:rPr>
          <w:rFonts w:ascii="Lato" w:eastAsia="Arial Unicode MS" w:hAnsi="Lato"/>
          <w:i/>
          <w:color w:val="000000" w:themeColor="text1"/>
          <w:kern w:val="1"/>
          <w:sz w:val="22"/>
          <w:szCs w:val="22"/>
          <w:lang w:eastAsia="ar-SA"/>
        </w:rPr>
        <w:t xml:space="preserve"> </w:t>
      </w:r>
      <w:proofErr w:type="spellStart"/>
      <w:r w:rsidRPr="00AA22C4">
        <w:rPr>
          <w:rFonts w:ascii="Lato" w:eastAsia="Arial Unicode MS" w:hAnsi="Lato"/>
          <w:i/>
          <w:color w:val="000000" w:themeColor="text1"/>
          <w:kern w:val="1"/>
          <w:sz w:val="22"/>
          <w:szCs w:val="22"/>
          <w:lang w:eastAsia="ar-SA"/>
        </w:rPr>
        <w:t>hyperplasia</w:t>
      </w:r>
      <w:proofErr w:type="spellEnd"/>
      <w:r w:rsidRPr="00AA22C4">
        <w:rPr>
          <w:rFonts w:ascii="Lato" w:eastAsia="Arial Unicode MS" w:hAnsi="Lato"/>
          <w:color w:val="000000" w:themeColor="text1"/>
          <w:kern w:val="1"/>
          <w:sz w:val="22"/>
          <w:szCs w:val="22"/>
          <w:lang w:eastAsia="ar-SA"/>
        </w:rPr>
        <w:t xml:space="preserve">) jest związany </w:t>
      </w:r>
      <w:r w:rsidRPr="00AA22C4">
        <w:rPr>
          <w:rFonts w:ascii="Lato" w:eastAsia="Arial Unicode MS" w:hAnsi="Lato"/>
          <w:color w:val="000000" w:themeColor="text1"/>
          <w:kern w:val="1"/>
          <w:sz w:val="22"/>
          <w:szCs w:val="22"/>
          <w:lang w:eastAsia="ar-SA"/>
        </w:rPr>
        <w:br/>
        <w:t xml:space="preserve">z występowaniem bloków enzymatycznych na szlaku biosyntezy hormonów kory nadnerczy (glikokortykoidów oraz </w:t>
      </w:r>
      <w:proofErr w:type="spellStart"/>
      <w:r w:rsidRPr="00AA22C4">
        <w:rPr>
          <w:rFonts w:ascii="Lato" w:eastAsia="Arial Unicode MS" w:hAnsi="Lato"/>
          <w:color w:val="000000" w:themeColor="text1"/>
          <w:kern w:val="1"/>
          <w:sz w:val="22"/>
          <w:szCs w:val="22"/>
          <w:lang w:eastAsia="ar-SA"/>
        </w:rPr>
        <w:t>mineralokortykoidów</w:t>
      </w:r>
      <w:proofErr w:type="spellEnd"/>
      <w:r w:rsidRPr="00AA22C4">
        <w:rPr>
          <w:rFonts w:ascii="Lato" w:eastAsia="Arial Unicode MS" w:hAnsi="Lato"/>
          <w:color w:val="000000" w:themeColor="text1"/>
          <w:kern w:val="1"/>
          <w:sz w:val="22"/>
          <w:szCs w:val="22"/>
          <w:lang w:eastAsia="ar-SA"/>
        </w:rPr>
        <w:t xml:space="preserve">). Zespół ten jest uwarunkowany genetycznie. Najczęściej niedobór enzymatyczny dotyczy 21-hydroksylazy, rzadziej 17-hydroksylazy, </w:t>
      </w:r>
      <w:r w:rsidRPr="00AA22C4">
        <w:rPr>
          <w:rFonts w:ascii="Lato" w:eastAsia="Arial Unicode MS" w:hAnsi="Lato"/>
          <w:color w:val="000000" w:themeColor="text1"/>
          <w:kern w:val="1"/>
          <w:sz w:val="22"/>
          <w:szCs w:val="22"/>
          <w:lang w:eastAsia="ar-SA"/>
        </w:rPr>
        <w:br/>
        <w:t xml:space="preserve">11-hydroksylazy oraz dehydrogenazy 3ß-hydroksylowej, co powoduje zachwianie równowagi hormonalnej. W rezultacie niskiego poziomu kortyzolu </w:t>
      </w:r>
      <w:r w:rsidR="00E05670" w:rsidRPr="00AA22C4">
        <w:rPr>
          <w:rFonts w:ascii="Lato" w:eastAsia="Arial Unicode MS" w:hAnsi="Lato"/>
          <w:color w:val="000000" w:themeColor="text1"/>
          <w:kern w:val="1"/>
          <w:sz w:val="22"/>
          <w:szCs w:val="22"/>
          <w:lang w:eastAsia="ar-SA"/>
        </w:rPr>
        <w:t xml:space="preserve">– </w:t>
      </w:r>
      <w:r w:rsidRPr="00AA22C4">
        <w:rPr>
          <w:rFonts w:ascii="Lato" w:eastAsia="Arial Unicode MS" w:hAnsi="Lato"/>
          <w:color w:val="000000" w:themeColor="text1"/>
          <w:kern w:val="1"/>
          <w:sz w:val="22"/>
          <w:szCs w:val="22"/>
          <w:lang w:eastAsia="ar-SA"/>
        </w:rPr>
        <w:t xml:space="preserve">nadnercza, pod wpływem hormonów przysadkowych, zwiększają nadmiernie produkcję androgenów, tj. męskich hormonów sterydowych. Podczas gdy jedna część nadnerczy wytwarza niedostateczną ilość kortyzolu </w:t>
      </w:r>
      <w:r w:rsidRPr="00AA22C4">
        <w:rPr>
          <w:rFonts w:ascii="Lato" w:eastAsia="Arial Unicode MS" w:hAnsi="Lato"/>
          <w:color w:val="000000" w:themeColor="text1"/>
          <w:kern w:val="1"/>
          <w:sz w:val="22"/>
          <w:szCs w:val="22"/>
          <w:lang w:eastAsia="ar-SA"/>
        </w:rPr>
        <w:br/>
        <w:t xml:space="preserve">i aldosteronu, druga część gruczołu produkuje zbyt dużo testosteronu. Jest to cecha różnicująca niedobór CAH związany z deficytem 21-hydroksylazy z chorobą Addisona, w której jest uogólniona dysfunkcja nadnerczy. Klasyczny przerost nadnerczy ujawnia się po porodzie lub w dzieciństwie zaburzeniami elektrolitowymi, występowaniem nadciśnienia tętniczego, oraz maskulinizacją, hirsutyzmem; u dziewczynek nieprawidłowymi zewnętrznymi narządami płciowymi. Może wymagać różnicowania z zespołem </w:t>
      </w:r>
      <w:proofErr w:type="spellStart"/>
      <w:r w:rsidRPr="00AA22C4">
        <w:rPr>
          <w:rFonts w:ascii="Lato" w:eastAsia="Arial Unicode MS" w:hAnsi="Lato"/>
          <w:color w:val="000000" w:themeColor="text1"/>
          <w:kern w:val="1"/>
          <w:sz w:val="22"/>
          <w:szCs w:val="22"/>
          <w:lang w:eastAsia="ar-SA"/>
        </w:rPr>
        <w:t>policystycznych</w:t>
      </w:r>
      <w:proofErr w:type="spellEnd"/>
      <w:r w:rsidRPr="00AA22C4">
        <w:rPr>
          <w:rFonts w:ascii="Lato" w:eastAsia="Arial Unicode MS" w:hAnsi="Lato"/>
          <w:color w:val="000000" w:themeColor="text1"/>
          <w:kern w:val="1"/>
          <w:sz w:val="22"/>
          <w:szCs w:val="22"/>
          <w:lang w:eastAsia="ar-SA"/>
        </w:rPr>
        <w:t xml:space="preserve"> jajników, a szczególnie tzw. niepełny lub opóźniony przerost nadnerczy (</w:t>
      </w:r>
      <w:proofErr w:type="spellStart"/>
      <w:r w:rsidRPr="00AA22C4">
        <w:rPr>
          <w:rFonts w:ascii="Lato" w:eastAsia="Arial Unicode MS" w:hAnsi="Lato"/>
          <w:i/>
          <w:color w:val="000000" w:themeColor="text1"/>
          <w:kern w:val="1"/>
          <w:sz w:val="22"/>
          <w:szCs w:val="22"/>
          <w:lang w:eastAsia="ar-SA"/>
        </w:rPr>
        <w:t>late</w:t>
      </w:r>
      <w:proofErr w:type="spellEnd"/>
      <w:r w:rsidRPr="00AA22C4">
        <w:rPr>
          <w:rFonts w:ascii="Lato" w:eastAsia="Arial Unicode MS" w:hAnsi="Lato"/>
          <w:i/>
          <w:color w:val="000000" w:themeColor="text1"/>
          <w:kern w:val="1"/>
          <w:sz w:val="22"/>
          <w:szCs w:val="22"/>
          <w:lang w:eastAsia="ar-SA"/>
        </w:rPr>
        <w:t>-</w:t>
      </w:r>
      <w:proofErr w:type="spellStart"/>
      <w:r w:rsidRPr="00AA22C4">
        <w:rPr>
          <w:rFonts w:ascii="Lato" w:eastAsia="Arial Unicode MS" w:hAnsi="Lato"/>
          <w:i/>
          <w:color w:val="000000" w:themeColor="text1"/>
          <w:kern w:val="1"/>
          <w:sz w:val="22"/>
          <w:szCs w:val="22"/>
          <w:lang w:eastAsia="ar-SA"/>
        </w:rPr>
        <w:t>onset</w:t>
      </w:r>
      <w:proofErr w:type="spellEnd"/>
      <w:r w:rsidRPr="00AA22C4">
        <w:rPr>
          <w:rFonts w:ascii="Lato" w:eastAsia="Arial Unicode MS" w:hAnsi="Lato"/>
          <w:i/>
          <w:color w:val="000000" w:themeColor="text1"/>
          <w:kern w:val="1"/>
          <w:sz w:val="22"/>
          <w:szCs w:val="22"/>
          <w:lang w:eastAsia="ar-SA"/>
        </w:rPr>
        <w:t>-CAH</w:t>
      </w:r>
      <w:r w:rsidRPr="00AA22C4">
        <w:rPr>
          <w:rFonts w:ascii="Lato" w:eastAsia="Arial Unicode MS" w:hAnsi="Lato"/>
          <w:color w:val="000000" w:themeColor="text1"/>
          <w:kern w:val="1"/>
          <w:sz w:val="22"/>
          <w:szCs w:val="22"/>
          <w:lang w:eastAsia="ar-SA"/>
        </w:rPr>
        <w:t xml:space="preserve">). Ujawnia się on w wieku późniejszym i nie towarzyszą mu zaburzenia w stężeniu </w:t>
      </w:r>
      <w:proofErr w:type="spellStart"/>
      <w:r w:rsidRPr="00AA22C4">
        <w:rPr>
          <w:rFonts w:ascii="Lato" w:eastAsia="Arial Unicode MS" w:hAnsi="Lato"/>
          <w:color w:val="000000" w:themeColor="text1"/>
          <w:kern w:val="1"/>
          <w:sz w:val="22"/>
          <w:szCs w:val="22"/>
          <w:lang w:eastAsia="ar-SA"/>
        </w:rPr>
        <w:t>mineralokortykoidów</w:t>
      </w:r>
      <w:proofErr w:type="spellEnd"/>
      <w:r w:rsidRPr="00AA22C4">
        <w:rPr>
          <w:rFonts w:ascii="Lato" w:eastAsia="Arial Unicode MS" w:hAnsi="Lato"/>
          <w:color w:val="000000" w:themeColor="text1"/>
          <w:kern w:val="1"/>
          <w:sz w:val="22"/>
          <w:szCs w:val="22"/>
          <w:lang w:eastAsia="ar-SA"/>
        </w:rPr>
        <w:t xml:space="preserve">. Stwierdza się natomiast hirsutyzm, </w:t>
      </w:r>
      <w:proofErr w:type="spellStart"/>
      <w:r w:rsidRPr="00AA22C4">
        <w:rPr>
          <w:rFonts w:ascii="Lato" w:eastAsia="Arial Unicode MS" w:hAnsi="Lato"/>
          <w:color w:val="000000" w:themeColor="text1"/>
          <w:kern w:val="1"/>
          <w:sz w:val="22"/>
          <w:szCs w:val="22"/>
          <w:lang w:eastAsia="ar-SA"/>
        </w:rPr>
        <w:t>oligomenorrhoea</w:t>
      </w:r>
      <w:proofErr w:type="spellEnd"/>
      <w:r w:rsidRPr="00AA22C4">
        <w:rPr>
          <w:rFonts w:ascii="Lato" w:eastAsia="Arial Unicode MS" w:hAnsi="Lato"/>
          <w:color w:val="000000" w:themeColor="text1"/>
          <w:kern w:val="1"/>
          <w:sz w:val="22"/>
          <w:szCs w:val="22"/>
          <w:lang w:eastAsia="ar-SA"/>
        </w:rPr>
        <w:t xml:space="preserve">, rzadziej przerost łechtaczki, łysienie. </w:t>
      </w:r>
    </w:p>
    <w:p w14:paraId="30AA8C15" w14:textId="68F47401" w:rsidR="005E347E" w:rsidRPr="00AA22C4" w:rsidRDefault="005E347E" w:rsidP="005E347E">
      <w:pPr>
        <w:suppressAutoHyphens/>
        <w:spacing w:before="120" w:after="120"/>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lang w:eastAsia="ar-SA"/>
        </w:rPr>
        <w:lastRenderedPageBreak/>
        <w:t xml:space="preserve">U 4 </w:t>
      </w:r>
      <w:r w:rsidR="00E05670" w:rsidRPr="00AA22C4">
        <w:rPr>
          <w:rFonts w:ascii="Lato" w:eastAsia="Arial Unicode MS" w:hAnsi="Lato"/>
          <w:color w:val="000000" w:themeColor="text1"/>
          <w:kern w:val="1"/>
          <w:sz w:val="22"/>
          <w:szCs w:val="22"/>
          <w:lang w:eastAsia="ar-SA"/>
        </w:rPr>
        <w:t xml:space="preserve">– </w:t>
      </w:r>
      <w:r w:rsidRPr="00AA22C4">
        <w:rPr>
          <w:rFonts w:ascii="Lato" w:eastAsia="Arial Unicode MS" w:hAnsi="Lato"/>
          <w:color w:val="000000" w:themeColor="text1"/>
          <w:kern w:val="1"/>
          <w:sz w:val="22"/>
          <w:szCs w:val="22"/>
          <w:lang w:eastAsia="ar-SA"/>
        </w:rPr>
        <w:t xml:space="preserve">6% pacjentek z objawami </w:t>
      </w:r>
      <w:proofErr w:type="spellStart"/>
      <w:r w:rsidRPr="00AA22C4">
        <w:rPr>
          <w:rFonts w:ascii="Lato" w:eastAsia="Arial Unicode MS" w:hAnsi="Lato"/>
          <w:color w:val="000000" w:themeColor="text1"/>
          <w:kern w:val="1"/>
          <w:sz w:val="22"/>
          <w:szCs w:val="22"/>
          <w:lang w:eastAsia="ar-SA"/>
        </w:rPr>
        <w:t>androgenizacji</w:t>
      </w:r>
      <w:proofErr w:type="spellEnd"/>
      <w:r w:rsidRPr="00AA22C4">
        <w:rPr>
          <w:rFonts w:ascii="Lato" w:eastAsia="Arial Unicode MS" w:hAnsi="Lato"/>
          <w:color w:val="000000" w:themeColor="text1"/>
          <w:kern w:val="1"/>
          <w:sz w:val="22"/>
          <w:szCs w:val="22"/>
          <w:lang w:eastAsia="ar-SA"/>
        </w:rPr>
        <w:t xml:space="preserve"> stwierdza się późno ujawniający się wrodzony przerost nadnerczy (4, 23, 24, 30, 39).</w:t>
      </w:r>
    </w:p>
    <w:p w14:paraId="19CCD926" w14:textId="77777777" w:rsidR="005E347E" w:rsidRPr="00AA22C4" w:rsidRDefault="005E347E" w:rsidP="005E347E">
      <w:pPr>
        <w:suppressAutoHyphens/>
        <w:spacing w:before="120" w:after="120"/>
        <w:jc w:val="both"/>
        <w:rPr>
          <w:rFonts w:ascii="Lato" w:eastAsia="Arial Unicode MS" w:hAnsi="Lato"/>
          <w:color w:val="000000" w:themeColor="text1"/>
          <w:kern w:val="1"/>
          <w:sz w:val="22"/>
          <w:szCs w:val="22"/>
          <w:lang w:eastAsia="ar-SA"/>
        </w:rPr>
      </w:pPr>
      <w:r w:rsidRPr="00AA22C4">
        <w:rPr>
          <w:rFonts w:ascii="Lato" w:eastAsia="Arial Unicode MS" w:hAnsi="Lato"/>
          <w:bCs/>
          <w:color w:val="000000" w:themeColor="text1"/>
          <w:kern w:val="1"/>
          <w:sz w:val="22"/>
          <w:szCs w:val="22"/>
          <w:u w:val="single"/>
          <w:lang w:eastAsia="ar-SA"/>
        </w:rPr>
        <w:t>Klasyczny niedobór 21-hydroksylazy</w:t>
      </w:r>
      <w:r w:rsidRPr="00AA22C4">
        <w:rPr>
          <w:rFonts w:ascii="Lato" w:eastAsia="Arial Unicode MS" w:hAnsi="Lato"/>
          <w:bCs/>
          <w:color w:val="000000" w:themeColor="text1"/>
          <w:kern w:val="1"/>
          <w:sz w:val="22"/>
          <w:szCs w:val="22"/>
          <w:lang w:eastAsia="ar-SA"/>
        </w:rPr>
        <w:t xml:space="preserve">: </w:t>
      </w:r>
      <w:r w:rsidRPr="00AA22C4">
        <w:rPr>
          <w:rFonts w:ascii="Lato" w:eastAsia="Arial Unicode MS" w:hAnsi="Lato"/>
          <w:color w:val="000000" w:themeColor="text1"/>
          <w:kern w:val="1"/>
          <w:sz w:val="22"/>
          <w:szCs w:val="22"/>
          <w:lang w:eastAsia="ar-SA"/>
        </w:rPr>
        <w:t>3/4 pacjentów z poważnym niedoborem zarówno kortyzolu jak i aldosteronu jest narażonych na nadczynność kory nadnerczy powodującą odwodnienie i wstrząs lub nawet śmierć w przypadku, gdy nie zostaną odpowiednio zdiagnozowane i leczone. U dzieci z klasycznym przypadkiem CAH-21 nadmierna produkcja androgenów w nadnerczach zaczyna się już we wczesnym okresie płodowym i powoduje nieprawidłowy przerost łechtaczki i maskulinizację układu moczowo-płciowego u dziewczynek.</w:t>
      </w:r>
    </w:p>
    <w:p w14:paraId="62B34046" w14:textId="77777777" w:rsidR="005E347E" w:rsidRPr="00AA22C4" w:rsidRDefault="005E347E" w:rsidP="005E347E">
      <w:pPr>
        <w:suppressAutoHyphens/>
        <w:spacing w:before="120" w:after="120"/>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lang w:eastAsia="ar-SA"/>
        </w:rPr>
        <w:t>Dziewczynki z pełnoobjawowym WPN często są klasyfikowane po porodzie jako chłopcy. Wczesne wykrycie choroby umożliwia szybkie włączenie leczenia oraz wykonanie zabiegów chirurgicznych pozwalających odtworzyć kobiece narządy płciowe u noworodków płci żeńskiej już kilkanaście miesięcy po urodzeniu. Natomiast chłopcy z tym schorzeniem nie mają zniekształconych narządów płciowych przy urodzeniu, a ciągły nadmiar androgenów powoduje nietypowo szybkie wzrastanie. Przyspieszone dojrzewanie płciowe powoduje, że dziecko zbyt wcześnie przestaje rosnąć i osiąga niski wzrost ostateczny. Odpowiednie leczenie przywraca prawidłową równowagę hormonalną i umożliwia niemal normalny wzrost i prawidłowy cykl dojrzewania.</w:t>
      </w:r>
    </w:p>
    <w:p w14:paraId="11B5A37C" w14:textId="77777777" w:rsidR="005E347E" w:rsidRPr="00AA22C4" w:rsidRDefault="005E347E" w:rsidP="005E347E">
      <w:pPr>
        <w:suppressAutoHyphens/>
        <w:spacing w:before="120" w:after="120"/>
        <w:jc w:val="both"/>
        <w:rPr>
          <w:rFonts w:ascii="Lato" w:eastAsia="Arial Unicode MS" w:hAnsi="Lato"/>
          <w:bCs/>
          <w:color w:val="000000" w:themeColor="text1"/>
          <w:kern w:val="1"/>
          <w:sz w:val="22"/>
          <w:szCs w:val="22"/>
          <w:u w:val="single"/>
          <w:lang w:eastAsia="ar-SA"/>
        </w:rPr>
      </w:pPr>
      <w:r w:rsidRPr="00AA22C4">
        <w:rPr>
          <w:rFonts w:ascii="Lato" w:eastAsia="Arial Unicode MS" w:hAnsi="Lato"/>
          <w:bCs/>
          <w:color w:val="000000" w:themeColor="text1"/>
          <w:kern w:val="1"/>
          <w:sz w:val="22"/>
          <w:szCs w:val="22"/>
          <w:u w:val="single"/>
          <w:lang w:eastAsia="ar-SA"/>
        </w:rPr>
        <w:t>Diagnostyka:</w:t>
      </w:r>
    </w:p>
    <w:p w14:paraId="004D8EAA" w14:textId="7EDC4367" w:rsidR="005E347E" w:rsidRPr="00AA22C4" w:rsidRDefault="005E347E" w:rsidP="005E347E">
      <w:pPr>
        <w:suppressAutoHyphens/>
        <w:spacing w:before="120" w:after="120"/>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lang w:eastAsia="ar-SA"/>
        </w:rPr>
        <w:t xml:space="preserve">W większości krajów Unii Europejskiej oraz USA, Australii i Kanadzie wykonuje się badania przesiewowe noworodków w kierunku WPN w ramach rutynowego programu przesiewowego, z tych samych próbek krwi pobranych na bibułę. Potrzebę wykonywania testów w kierunku WPN u noworodków uzasadnia fakt, że śmiertelność spowodowana nadczynnością nadnerczy, głównie wśród noworodków płci męskiej, które nie mają zewnętrznych objawów choroby, jest wysoka, </w:t>
      </w:r>
      <w:r w:rsidR="00895A8C" w:rsidRPr="00AA22C4">
        <w:rPr>
          <w:rFonts w:ascii="Lato" w:eastAsia="Arial Unicode MS" w:hAnsi="Lato"/>
          <w:color w:val="000000" w:themeColor="text1"/>
          <w:kern w:val="1"/>
          <w:sz w:val="22"/>
          <w:szCs w:val="22"/>
          <w:lang w:eastAsia="ar-SA"/>
        </w:rPr>
        <w:t>a zapobiec</w:t>
      </w:r>
      <w:r w:rsidRPr="00AA22C4">
        <w:rPr>
          <w:rFonts w:ascii="Lato" w:eastAsia="Arial Unicode MS" w:hAnsi="Lato"/>
          <w:color w:val="000000" w:themeColor="text1"/>
          <w:kern w:val="1"/>
          <w:sz w:val="22"/>
          <w:szCs w:val="22"/>
          <w:lang w:eastAsia="ar-SA"/>
        </w:rPr>
        <w:t xml:space="preserve"> temu może wczesne zdiagnozowanie i szybko podjęte leczenie. Szacuje się, że na całym świecie 1 na 5 000 noworodków płci męskiej rodzi się z klasycznym WPN (lub 1 na 10 000 wszystkich noworodków), stąd wczesna diagnostyka przesiewowa ukierunkowana na WPN jest bardzo ważna - pozwala zapobiec zgonom dzieci płci męskiej obciążonych tym zespołem.</w:t>
      </w:r>
    </w:p>
    <w:p w14:paraId="3A66AF3A" w14:textId="77777777" w:rsidR="005E347E" w:rsidRPr="00AA22C4" w:rsidRDefault="005E347E" w:rsidP="005E347E">
      <w:pPr>
        <w:suppressAutoHyphens/>
        <w:spacing w:before="120" w:after="120"/>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lang w:eastAsia="ar-SA"/>
        </w:rPr>
        <w:t xml:space="preserve">Dzięki rozpowszechnieniu technologii genetyki molekularnej, możemy obecnie badać geny pacjentów z WPN oraz członków ich rodzin. Ten rodzaj badań ma zastosowanie w badaniach prenatalnych i noworodków, w poradnictwie genetycznym oraz przy potwierdzaniu diagnozy w niejasnych przypadkach. Diagnoza molekularna nie jest jeszcze dostępna jako test we wszystkich laboratoriach, można jednak te analizy wykonać w wyspecjalizowanych </w:t>
      </w:r>
      <w:r w:rsidRPr="00AA22C4">
        <w:rPr>
          <w:rFonts w:ascii="Lato" w:eastAsia="Arial Unicode MS" w:hAnsi="Lato"/>
          <w:color w:val="000000" w:themeColor="text1"/>
          <w:kern w:val="1"/>
          <w:sz w:val="22"/>
          <w:szCs w:val="22"/>
          <w:lang w:eastAsia="ar-SA"/>
        </w:rPr>
        <w:lastRenderedPageBreak/>
        <w:t>laboratoriach medycznych. Badania genetyczne mogą pomóc w przypadku niejasności, związanych z testami hormonalnymi oraz umożliwiają dostarczenie rodzicom pacjentów z WPN dokładnych informacji na temat ryzyka urodzenia kolejnego dziecka z tą chorobą już w czasie pierwszych tygodni ciąży.</w:t>
      </w:r>
    </w:p>
    <w:p w14:paraId="105D2901" w14:textId="77777777" w:rsidR="005E347E" w:rsidRPr="00AA22C4" w:rsidRDefault="005E347E" w:rsidP="00D23264">
      <w:pPr>
        <w:suppressAutoHyphens/>
        <w:spacing w:before="120" w:after="120" w:line="480" w:lineRule="auto"/>
        <w:contextualSpacing/>
        <w:jc w:val="both"/>
        <w:rPr>
          <w:rFonts w:ascii="Lato" w:eastAsia="Arial Unicode MS" w:hAnsi="Lato"/>
          <w:bCs/>
          <w:color w:val="000000" w:themeColor="text1"/>
          <w:kern w:val="1"/>
          <w:sz w:val="22"/>
          <w:szCs w:val="22"/>
          <w:u w:val="single"/>
          <w:lang w:eastAsia="ar-SA"/>
        </w:rPr>
      </w:pPr>
      <w:r w:rsidRPr="00AA22C4">
        <w:rPr>
          <w:rFonts w:ascii="Lato" w:eastAsia="Arial Unicode MS" w:hAnsi="Lato"/>
          <w:bCs/>
          <w:color w:val="000000" w:themeColor="text1"/>
          <w:kern w:val="1"/>
          <w:sz w:val="22"/>
          <w:szCs w:val="22"/>
          <w:u w:val="single"/>
          <w:lang w:eastAsia="ar-SA"/>
        </w:rPr>
        <w:t>Leczenie:</w:t>
      </w:r>
    </w:p>
    <w:p w14:paraId="60FAC090" w14:textId="77777777" w:rsidR="005E347E" w:rsidRPr="00AA22C4" w:rsidRDefault="005E347E" w:rsidP="005E347E">
      <w:pPr>
        <w:suppressAutoHyphens/>
        <w:spacing w:before="120" w:after="120"/>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lang w:eastAsia="ar-SA"/>
        </w:rPr>
        <w:t xml:space="preserve">W chwili obecnej standardowe leczenie medyczne polega na podawaniu glikokortykoidu, leku sterydowego podobnego do kortyzolu, na przykład doustnego </w:t>
      </w:r>
      <w:proofErr w:type="spellStart"/>
      <w:r w:rsidRPr="00AA22C4">
        <w:rPr>
          <w:rFonts w:ascii="Lato" w:eastAsia="Arial Unicode MS" w:hAnsi="Lato"/>
          <w:color w:val="000000" w:themeColor="text1"/>
          <w:kern w:val="1"/>
          <w:sz w:val="22"/>
          <w:szCs w:val="22"/>
          <w:lang w:eastAsia="ar-SA"/>
        </w:rPr>
        <w:t>hydrokortyzonu</w:t>
      </w:r>
      <w:proofErr w:type="spellEnd"/>
      <w:r w:rsidRPr="00AA22C4">
        <w:rPr>
          <w:rFonts w:ascii="Lato" w:eastAsia="Arial Unicode MS" w:hAnsi="Lato"/>
          <w:color w:val="000000" w:themeColor="text1"/>
          <w:kern w:val="1"/>
          <w:sz w:val="22"/>
          <w:szCs w:val="22"/>
          <w:lang w:eastAsia="ar-SA"/>
        </w:rPr>
        <w:t xml:space="preserve"> </w:t>
      </w:r>
      <w:r w:rsidRPr="00AA22C4">
        <w:rPr>
          <w:rFonts w:ascii="Lato" w:eastAsia="Arial Unicode MS" w:hAnsi="Lato"/>
          <w:color w:val="000000" w:themeColor="text1"/>
          <w:kern w:val="1"/>
          <w:sz w:val="22"/>
          <w:szCs w:val="22"/>
          <w:lang w:eastAsia="ar-SA"/>
        </w:rPr>
        <w:br/>
        <w:t xml:space="preserve">w przypadku dzieci oraz </w:t>
      </w:r>
      <w:proofErr w:type="spellStart"/>
      <w:r w:rsidRPr="00AA22C4">
        <w:rPr>
          <w:rFonts w:ascii="Lato" w:eastAsia="Arial Unicode MS" w:hAnsi="Lato"/>
          <w:color w:val="000000" w:themeColor="text1"/>
          <w:kern w:val="1"/>
          <w:sz w:val="22"/>
          <w:szCs w:val="22"/>
          <w:lang w:eastAsia="ar-SA"/>
        </w:rPr>
        <w:t>prednisonu</w:t>
      </w:r>
      <w:proofErr w:type="spellEnd"/>
      <w:r w:rsidRPr="00AA22C4">
        <w:rPr>
          <w:rFonts w:ascii="Lato" w:eastAsia="Arial Unicode MS" w:hAnsi="Lato"/>
          <w:color w:val="000000" w:themeColor="text1"/>
          <w:kern w:val="1"/>
          <w:sz w:val="22"/>
          <w:szCs w:val="22"/>
          <w:lang w:eastAsia="ar-SA"/>
        </w:rPr>
        <w:t xml:space="preserve"> lub </w:t>
      </w:r>
      <w:proofErr w:type="spellStart"/>
      <w:r w:rsidRPr="00AA22C4">
        <w:rPr>
          <w:rFonts w:ascii="Lato" w:eastAsia="Arial Unicode MS" w:hAnsi="Lato"/>
          <w:color w:val="000000" w:themeColor="text1"/>
          <w:kern w:val="1"/>
          <w:sz w:val="22"/>
          <w:szCs w:val="22"/>
          <w:lang w:eastAsia="ar-SA"/>
        </w:rPr>
        <w:t>dexametazonu</w:t>
      </w:r>
      <w:proofErr w:type="spellEnd"/>
      <w:r w:rsidRPr="00AA22C4">
        <w:rPr>
          <w:rFonts w:ascii="Lato" w:eastAsia="Arial Unicode MS" w:hAnsi="Lato"/>
          <w:color w:val="000000" w:themeColor="text1"/>
          <w:kern w:val="1"/>
          <w:sz w:val="22"/>
          <w:szCs w:val="22"/>
          <w:lang w:eastAsia="ar-SA"/>
        </w:rPr>
        <w:t xml:space="preserve"> w przypadku starszych pacjentów. Dodatkowo osoby z niedoborem aldosteronu w wyniku ciągłej utraty jonów sodowych (NaCl) potrzebują dodatkowego leku, </w:t>
      </w:r>
      <w:proofErr w:type="spellStart"/>
      <w:r w:rsidRPr="00AA22C4">
        <w:rPr>
          <w:rFonts w:ascii="Lato" w:eastAsia="Arial Unicode MS" w:hAnsi="Lato"/>
          <w:color w:val="000000" w:themeColor="text1"/>
          <w:kern w:val="1"/>
          <w:sz w:val="22"/>
          <w:szCs w:val="22"/>
          <w:lang w:eastAsia="ar-SA"/>
        </w:rPr>
        <w:t>fludrokortizonu</w:t>
      </w:r>
      <w:proofErr w:type="spellEnd"/>
      <w:r w:rsidRPr="00AA22C4">
        <w:rPr>
          <w:rFonts w:ascii="Lato" w:eastAsia="Arial Unicode MS" w:hAnsi="Lato"/>
          <w:color w:val="000000" w:themeColor="text1"/>
          <w:kern w:val="1"/>
          <w:sz w:val="22"/>
          <w:szCs w:val="22"/>
          <w:lang w:eastAsia="ar-SA"/>
        </w:rPr>
        <w:t xml:space="preserve">, który zastępuje aldosteron nie pozwalając </w:t>
      </w:r>
      <w:r w:rsidRPr="00AA22C4">
        <w:rPr>
          <w:rFonts w:ascii="Lato" w:eastAsia="Arial Unicode MS" w:hAnsi="Lato"/>
          <w:color w:val="000000" w:themeColor="text1"/>
          <w:kern w:val="1"/>
          <w:sz w:val="22"/>
          <w:szCs w:val="22"/>
          <w:lang w:eastAsia="ar-SA"/>
        </w:rPr>
        <w:br/>
        <w:t xml:space="preserve">na ucieczkę jonów sodowych. Niemowlęta i małe dzieci mogą również przyjmować sól  </w:t>
      </w:r>
      <w:r w:rsidRPr="00AA22C4">
        <w:rPr>
          <w:rFonts w:ascii="Lato" w:eastAsia="Arial Unicode MS" w:hAnsi="Lato"/>
          <w:color w:val="000000" w:themeColor="text1"/>
          <w:kern w:val="1"/>
          <w:sz w:val="22"/>
          <w:szCs w:val="22"/>
          <w:lang w:eastAsia="ar-SA"/>
        </w:rPr>
        <w:br/>
        <w:t xml:space="preserve">w tabletkach, jako uzupełnienie diety, natomiast starsi pacjenci mogą spożywać posiłki bogate w sól. Pacjenci z nieklasycznym WPN, jeśli wymagają terapii, zwykle skutecznie są leczeni przy użyciu jedynie </w:t>
      </w:r>
      <w:proofErr w:type="spellStart"/>
      <w:r w:rsidRPr="00AA22C4">
        <w:rPr>
          <w:rFonts w:ascii="Lato" w:eastAsia="Arial Unicode MS" w:hAnsi="Lato"/>
          <w:color w:val="000000" w:themeColor="text1"/>
          <w:kern w:val="1"/>
          <w:sz w:val="22"/>
          <w:szCs w:val="22"/>
          <w:lang w:eastAsia="ar-SA"/>
        </w:rPr>
        <w:t>hydrokortyzonu</w:t>
      </w:r>
      <w:proofErr w:type="spellEnd"/>
      <w:r w:rsidRPr="00AA22C4">
        <w:rPr>
          <w:rFonts w:ascii="Lato" w:eastAsia="Arial Unicode MS" w:hAnsi="Lato"/>
          <w:color w:val="000000" w:themeColor="text1"/>
          <w:kern w:val="1"/>
          <w:sz w:val="22"/>
          <w:szCs w:val="22"/>
          <w:lang w:eastAsia="ar-SA"/>
        </w:rPr>
        <w:t xml:space="preserve"> (dzieci) lub </w:t>
      </w:r>
      <w:proofErr w:type="spellStart"/>
      <w:r w:rsidRPr="00AA22C4">
        <w:rPr>
          <w:rFonts w:ascii="Lato" w:eastAsia="Arial Unicode MS" w:hAnsi="Lato"/>
          <w:color w:val="000000" w:themeColor="text1"/>
          <w:kern w:val="1"/>
          <w:sz w:val="22"/>
          <w:szCs w:val="22"/>
          <w:lang w:eastAsia="ar-SA"/>
        </w:rPr>
        <w:t>prednisonu</w:t>
      </w:r>
      <w:proofErr w:type="spellEnd"/>
      <w:r w:rsidRPr="00AA22C4">
        <w:rPr>
          <w:rFonts w:ascii="Lato" w:eastAsia="Arial Unicode MS" w:hAnsi="Lato"/>
          <w:color w:val="000000" w:themeColor="text1"/>
          <w:kern w:val="1"/>
          <w:sz w:val="22"/>
          <w:szCs w:val="22"/>
          <w:lang w:eastAsia="ar-SA"/>
        </w:rPr>
        <w:t xml:space="preserve"> (dorośli). Nie wymagają oni operacji narządów płciowych.</w:t>
      </w:r>
    </w:p>
    <w:p w14:paraId="0EBA2CCE" w14:textId="051332F8" w:rsidR="005E347E" w:rsidRPr="00AA22C4" w:rsidRDefault="005E347E" w:rsidP="005E347E">
      <w:pPr>
        <w:suppressAutoHyphens/>
        <w:spacing w:before="120" w:after="120"/>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lang w:eastAsia="ar-SA"/>
        </w:rPr>
        <w:t xml:space="preserve">Ponieważ WPN jest chorobą autosomalną recesywną, szanse na to, że dziecko odziedziczy zmutowany gen od każdego z rodziców </w:t>
      </w:r>
      <w:r w:rsidR="00CC3339" w:rsidRPr="00AA22C4">
        <w:rPr>
          <w:rFonts w:ascii="Lato" w:eastAsia="Arial Unicode MS" w:hAnsi="Lato"/>
          <w:color w:val="000000" w:themeColor="text1"/>
          <w:kern w:val="1"/>
          <w:sz w:val="22"/>
          <w:szCs w:val="22"/>
          <w:lang w:eastAsia="ar-SA"/>
        </w:rPr>
        <w:t xml:space="preserve">– </w:t>
      </w:r>
      <w:r w:rsidRPr="00AA22C4">
        <w:rPr>
          <w:rFonts w:ascii="Lato" w:eastAsia="Arial Unicode MS" w:hAnsi="Lato"/>
          <w:color w:val="000000" w:themeColor="text1"/>
          <w:kern w:val="1"/>
          <w:sz w:val="22"/>
          <w:szCs w:val="22"/>
          <w:lang w:eastAsia="ar-SA"/>
        </w:rPr>
        <w:t xml:space="preserve">nosicieli wynosi 50%, a ryzyko urodzenia dziecka </w:t>
      </w:r>
      <w:r w:rsidRPr="00AA22C4">
        <w:rPr>
          <w:rFonts w:ascii="Lato" w:eastAsia="Arial Unicode MS" w:hAnsi="Lato"/>
          <w:color w:val="000000" w:themeColor="text1"/>
          <w:kern w:val="1"/>
          <w:sz w:val="22"/>
          <w:szCs w:val="22"/>
          <w:lang w:eastAsia="ar-SA"/>
        </w:rPr>
        <w:br/>
        <w:t>z WPN wynosi 25% w każdej ciąży. W rodzinach, w których wykryto WPN u jednego z dzieci, rodzice mogą korzystać z porad genetycznych, dzięki którym dowiedzą się, w jaki sposób choroba jest dziedziczona i jakie są możliwości postępowania podczas następnych ciąż.</w:t>
      </w:r>
    </w:p>
    <w:p w14:paraId="1755A22C"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Badanie przesiewowe noworodków w kierunku wrodzonego przerostu nadnerczy jest w pełni uzasadnione, ponieważ umożliwia wczesną diagnostykę i leczenie, zapobiega w wielu przypadkach śmierci w okresie noworodkowym, pomaga w prawidłowym określeniu płci dziecka i umożliwia wczesną korektę chirurgiczną.</w:t>
      </w:r>
    </w:p>
    <w:p w14:paraId="4B3B2276" w14:textId="77777777" w:rsidR="005E347E" w:rsidRPr="00AA22C4" w:rsidRDefault="005E347E" w:rsidP="005E347E">
      <w:pPr>
        <w:pStyle w:val="Akapitzlist"/>
        <w:numPr>
          <w:ilvl w:val="0"/>
          <w:numId w:val="82"/>
        </w:numPr>
        <w:spacing w:before="120" w:after="120"/>
        <w:jc w:val="both"/>
        <w:rPr>
          <w:rFonts w:ascii="Lato" w:hAnsi="Lato"/>
          <w:color w:val="000000" w:themeColor="text1"/>
          <w:sz w:val="22"/>
          <w:szCs w:val="22"/>
        </w:rPr>
      </w:pPr>
      <w:r w:rsidRPr="00AA22C4">
        <w:rPr>
          <w:rFonts w:ascii="Lato" w:hAnsi="Lato"/>
          <w:b/>
          <w:bCs/>
          <w:color w:val="000000" w:themeColor="text1"/>
          <w:sz w:val="22"/>
          <w:szCs w:val="22"/>
        </w:rPr>
        <w:t xml:space="preserve">Mukowiscydoza – CF </w:t>
      </w:r>
      <w:r w:rsidRPr="00AA22C4">
        <w:rPr>
          <w:rFonts w:ascii="Lato" w:hAnsi="Lato"/>
          <w:color w:val="000000" w:themeColor="text1"/>
          <w:sz w:val="22"/>
          <w:szCs w:val="22"/>
        </w:rPr>
        <w:t>(Badanie przesiewowe całej populacji od 01.01. 2009 r.)</w:t>
      </w:r>
    </w:p>
    <w:p w14:paraId="36A5F6B7" w14:textId="77777777" w:rsidR="005E347E" w:rsidRPr="00AA22C4" w:rsidRDefault="005E347E" w:rsidP="005E347E">
      <w:pPr>
        <w:suppressAutoHyphens/>
        <w:spacing w:before="120" w:after="120"/>
        <w:contextualSpacing/>
        <w:jc w:val="both"/>
        <w:rPr>
          <w:rFonts w:ascii="Lato" w:eastAsia="Arial Unicode MS" w:hAnsi="Lato"/>
          <w:color w:val="000000" w:themeColor="text1"/>
          <w:kern w:val="1"/>
          <w:sz w:val="22"/>
          <w:szCs w:val="22"/>
          <w:u w:val="single"/>
          <w:lang w:eastAsia="ar-SA"/>
        </w:rPr>
      </w:pPr>
      <w:r w:rsidRPr="00AA22C4">
        <w:rPr>
          <w:rFonts w:ascii="Lato" w:eastAsia="Arial Unicode MS" w:hAnsi="Lato"/>
          <w:color w:val="000000" w:themeColor="text1"/>
          <w:kern w:val="1"/>
          <w:sz w:val="22"/>
          <w:szCs w:val="22"/>
          <w:u w:val="single"/>
          <w:lang w:eastAsia="ar-SA"/>
        </w:rPr>
        <w:t>Opis:</w:t>
      </w:r>
    </w:p>
    <w:p w14:paraId="17F688E6" w14:textId="77777777" w:rsidR="005E347E" w:rsidRPr="00AA22C4" w:rsidRDefault="005E347E" w:rsidP="005E347E">
      <w:pPr>
        <w:suppressAutoHyphens/>
        <w:spacing w:before="120" w:after="120"/>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lang w:eastAsia="ar-SA"/>
        </w:rPr>
        <w:t>Częstość występowania w populacji polskiej wynosi ok 1:4 000. Mukowiscydoza (</w:t>
      </w:r>
      <w:r w:rsidRPr="00AA22C4">
        <w:rPr>
          <w:rFonts w:ascii="Lato" w:eastAsia="Arial Unicode MS" w:hAnsi="Lato"/>
          <w:i/>
          <w:color w:val="000000" w:themeColor="text1"/>
          <w:kern w:val="1"/>
          <w:sz w:val="22"/>
          <w:szCs w:val="22"/>
          <w:lang w:eastAsia="ar-SA"/>
        </w:rPr>
        <w:t xml:space="preserve">CF - </w:t>
      </w:r>
      <w:proofErr w:type="spellStart"/>
      <w:r w:rsidRPr="00AA22C4">
        <w:rPr>
          <w:rFonts w:ascii="Lato" w:eastAsia="Arial Unicode MS" w:hAnsi="Lato"/>
          <w:i/>
          <w:color w:val="000000" w:themeColor="text1"/>
          <w:kern w:val="1"/>
          <w:sz w:val="22"/>
          <w:szCs w:val="22"/>
          <w:lang w:eastAsia="ar-SA"/>
        </w:rPr>
        <w:t>Cystic</w:t>
      </w:r>
      <w:proofErr w:type="spellEnd"/>
      <w:r w:rsidRPr="00AA22C4">
        <w:rPr>
          <w:rFonts w:ascii="Lato" w:eastAsia="Arial Unicode MS" w:hAnsi="Lato"/>
          <w:i/>
          <w:color w:val="000000" w:themeColor="text1"/>
          <w:kern w:val="1"/>
          <w:sz w:val="22"/>
          <w:szCs w:val="22"/>
          <w:lang w:eastAsia="ar-SA"/>
        </w:rPr>
        <w:t xml:space="preserve"> </w:t>
      </w:r>
      <w:proofErr w:type="spellStart"/>
      <w:r w:rsidRPr="00AA22C4">
        <w:rPr>
          <w:rFonts w:ascii="Lato" w:eastAsia="Arial Unicode MS" w:hAnsi="Lato"/>
          <w:i/>
          <w:color w:val="000000" w:themeColor="text1"/>
          <w:kern w:val="1"/>
          <w:sz w:val="22"/>
          <w:szCs w:val="22"/>
          <w:lang w:eastAsia="ar-SA"/>
        </w:rPr>
        <w:t>Fibrosis</w:t>
      </w:r>
      <w:proofErr w:type="spellEnd"/>
      <w:r w:rsidRPr="00AA22C4">
        <w:rPr>
          <w:rFonts w:ascii="Lato" w:eastAsia="Arial Unicode MS" w:hAnsi="Lato"/>
          <w:color w:val="000000" w:themeColor="text1"/>
          <w:kern w:val="1"/>
          <w:sz w:val="22"/>
          <w:szCs w:val="22"/>
          <w:lang w:eastAsia="ar-SA"/>
        </w:rPr>
        <w:t xml:space="preserve">) jest wieloukładową chorobą </w:t>
      </w:r>
      <w:proofErr w:type="spellStart"/>
      <w:r w:rsidRPr="00AA22C4">
        <w:rPr>
          <w:rFonts w:ascii="Lato" w:eastAsia="Arial Unicode MS" w:hAnsi="Lato"/>
          <w:color w:val="000000" w:themeColor="text1"/>
          <w:kern w:val="1"/>
          <w:sz w:val="22"/>
          <w:szCs w:val="22"/>
          <w:lang w:eastAsia="ar-SA"/>
        </w:rPr>
        <w:t>monogenową</w:t>
      </w:r>
      <w:proofErr w:type="spellEnd"/>
      <w:r w:rsidRPr="00AA22C4">
        <w:rPr>
          <w:rFonts w:ascii="Lato" w:eastAsia="Arial Unicode MS" w:hAnsi="Lato"/>
          <w:color w:val="000000" w:themeColor="text1"/>
          <w:kern w:val="1"/>
          <w:sz w:val="22"/>
          <w:szCs w:val="22"/>
          <w:lang w:eastAsia="ar-SA"/>
        </w:rPr>
        <w:t>, dziedziczoną jako cecha autosomalna, recesywna (17, 20, 21, 28).</w:t>
      </w:r>
    </w:p>
    <w:p w14:paraId="67EE9ECB" w14:textId="77777777" w:rsidR="005E347E" w:rsidRPr="00AA22C4" w:rsidRDefault="005E347E" w:rsidP="005E347E">
      <w:pPr>
        <w:suppressAutoHyphens/>
        <w:spacing w:before="120" w:after="120"/>
        <w:contextualSpacing/>
        <w:jc w:val="both"/>
        <w:rPr>
          <w:rFonts w:ascii="Lato" w:eastAsia="Arial Unicode MS" w:hAnsi="Lato"/>
          <w:color w:val="000000" w:themeColor="text1"/>
          <w:kern w:val="1"/>
          <w:sz w:val="22"/>
          <w:szCs w:val="22"/>
          <w:u w:val="single"/>
          <w:lang w:eastAsia="ar-SA"/>
        </w:rPr>
      </w:pPr>
      <w:r w:rsidRPr="00AA22C4">
        <w:rPr>
          <w:rFonts w:ascii="Lato" w:eastAsia="Arial Unicode MS" w:hAnsi="Lato"/>
          <w:color w:val="000000" w:themeColor="text1"/>
          <w:kern w:val="1"/>
          <w:sz w:val="22"/>
          <w:szCs w:val="22"/>
          <w:u w:val="single"/>
          <w:lang w:eastAsia="ar-SA"/>
        </w:rPr>
        <w:t>Objawy:</w:t>
      </w:r>
    </w:p>
    <w:p w14:paraId="484EB746" w14:textId="4C96F716" w:rsidR="005E347E" w:rsidRPr="00AA22C4" w:rsidRDefault="005E347E" w:rsidP="005E347E">
      <w:pPr>
        <w:suppressAutoHyphens/>
        <w:spacing w:before="120" w:after="120"/>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lang w:eastAsia="ar-SA"/>
        </w:rPr>
        <w:t xml:space="preserve">Mukowiscydoza charakteryzuje się głównie objawami ze strony układu oddechowego </w:t>
      </w:r>
      <w:r w:rsidRPr="00AA22C4">
        <w:rPr>
          <w:rFonts w:ascii="Lato" w:eastAsia="Arial Unicode MS" w:hAnsi="Lato"/>
          <w:color w:val="000000" w:themeColor="text1"/>
          <w:kern w:val="1"/>
          <w:sz w:val="22"/>
          <w:szCs w:val="22"/>
          <w:lang w:eastAsia="ar-SA"/>
        </w:rPr>
        <w:br/>
        <w:t xml:space="preserve">i pokarmowego. Są to przewlekłe zmiany obturacyjne oskrzeli i infekcje dróg oddechowych oraz zaburzenia procesów trawienia i ich konsekwencje. Heterogenność objawów klinicznych ze </w:t>
      </w:r>
      <w:r w:rsidRPr="00AA22C4">
        <w:rPr>
          <w:rFonts w:ascii="Lato" w:eastAsia="Arial Unicode MS" w:hAnsi="Lato"/>
          <w:color w:val="000000" w:themeColor="text1"/>
          <w:kern w:val="1"/>
          <w:sz w:val="22"/>
          <w:szCs w:val="22"/>
          <w:lang w:eastAsia="ar-SA"/>
        </w:rPr>
        <w:lastRenderedPageBreak/>
        <w:t>strony różnych narządów i układów (zwłaszcza oddechowego i pokarmowego) oraz ich pojawianie się w poszczególnych okresach życia z różnym nasileniem, bardzo utrudnia i opóźnia rozpoznanie kliniczne (w Rzecz</w:t>
      </w:r>
      <w:r w:rsidR="007A48CA" w:rsidRPr="00AA22C4">
        <w:rPr>
          <w:rFonts w:ascii="Lato" w:eastAsia="Arial Unicode MS" w:hAnsi="Lato"/>
          <w:color w:val="000000" w:themeColor="text1"/>
          <w:kern w:val="1"/>
          <w:sz w:val="22"/>
          <w:szCs w:val="22"/>
          <w:lang w:eastAsia="ar-SA"/>
        </w:rPr>
        <w:t>y</w:t>
      </w:r>
      <w:r w:rsidRPr="00AA22C4">
        <w:rPr>
          <w:rFonts w:ascii="Lato" w:eastAsia="Arial Unicode MS" w:hAnsi="Lato"/>
          <w:color w:val="000000" w:themeColor="text1"/>
          <w:kern w:val="1"/>
          <w:sz w:val="22"/>
          <w:szCs w:val="22"/>
          <w:lang w:eastAsia="ar-SA"/>
        </w:rPr>
        <w:t xml:space="preserve">pospolitej Polskiej średni wiek w momencie rozpoznania wynosił przed wprowadzeniem przesiewu 3,5 </w:t>
      </w:r>
      <w:r w:rsidR="00CC3339" w:rsidRPr="00AA22C4">
        <w:rPr>
          <w:rFonts w:ascii="Lato" w:eastAsia="Arial Unicode MS" w:hAnsi="Lato"/>
          <w:color w:val="000000" w:themeColor="text1"/>
          <w:kern w:val="1"/>
          <w:sz w:val="22"/>
          <w:szCs w:val="22"/>
          <w:lang w:eastAsia="ar-SA"/>
        </w:rPr>
        <w:t xml:space="preserve">– </w:t>
      </w:r>
      <w:r w:rsidRPr="00AA22C4">
        <w:rPr>
          <w:rFonts w:ascii="Lato" w:eastAsia="Arial Unicode MS" w:hAnsi="Lato"/>
          <w:color w:val="000000" w:themeColor="text1"/>
          <w:kern w:val="1"/>
          <w:sz w:val="22"/>
          <w:szCs w:val="22"/>
          <w:lang w:eastAsia="ar-SA"/>
        </w:rPr>
        <w:t xml:space="preserve">5 lat). Konsekwencją późnego rozpoznania są: liczne hospitalizacje bez ustalenia właściwego rozpoznania, ciężkie niedożywienie, obturacyjna choroba płuc, zakażenia układu oddechowego, uraz psychiczny rodziców. Rozpoznanie mukowiscydozy we wczesnym okresie niemowlęcym umożliwia: </w:t>
      </w:r>
    </w:p>
    <w:p w14:paraId="0ED9D6FE" w14:textId="5691DA29" w:rsidR="005E347E" w:rsidRPr="00AA22C4" w:rsidRDefault="00B319FA" w:rsidP="00AA22C4">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1) </w:t>
      </w:r>
      <w:r w:rsidR="005E347E" w:rsidRPr="00AA22C4">
        <w:rPr>
          <w:rFonts w:ascii="Lato" w:hAnsi="Lato"/>
          <w:color w:val="000000" w:themeColor="text1"/>
          <w:kern w:val="1"/>
          <w:sz w:val="22"/>
          <w:szCs w:val="22"/>
          <w:lang w:eastAsia="ar-SA"/>
        </w:rPr>
        <w:t xml:space="preserve">wczesne wykrycie i leczenie niewydolności </w:t>
      </w:r>
      <w:proofErr w:type="spellStart"/>
      <w:r w:rsidR="005E347E" w:rsidRPr="00AA22C4">
        <w:rPr>
          <w:rFonts w:ascii="Lato" w:hAnsi="Lato"/>
          <w:color w:val="000000" w:themeColor="text1"/>
          <w:kern w:val="1"/>
          <w:sz w:val="22"/>
          <w:szCs w:val="22"/>
          <w:lang w:eastAsia="ar-SA"/>
        </w:rPr>
        <w:t>zewnątrzwydzielniczej</w:t>
      </w:r>
      <w:proofErr w:type="spellEnd"/>
      <w:r w:rsidR="005E347E" w:rsidRPr="00AA22C4">
        <w:rPr>
          <w:rFonts w:ascii="Lato" w:hAnsi="Lato"/>
          <w:color w:val="000000" w:themeColor="text1"/>
          <w:kern w:val="1"/>
          <w:sz w:val="22"/>
          <w:szCs w:val="22"/>
          <w:lang w:eastAsia="ar-SA"/>
        </w:rPr>
        <w:t xml:space="preserve"> trzustki zapobiegające niedoborom żywieniowym, osiągnięcie prawidłowego rozwoju somatycznego przez chore dzieci (masa ciała i wzrost), podjęcie szerokiej profilaktyki chorób zakaźnych (szczepienia obowiązkowe i zalecane), zmniejszenie liczby hospitalizacji oraz skrócenie długości leczenia szpitalnego wydłużenie okresu życia chorych, a przede wszystkim poprawa jakości życia</w:t>
      </w:r>
      <w:r w:rsidRPr="00AA22C4">
        <w:rPr>
          <w:rFonts w:ascii="Lato" w:hAnsi="Lato"/>
          <w:color w:val="000000" w:themeColor="text1"/>
          <w:kern w:val="1"/>
          <w:sz w:val="22"/>
          <w:szCs w:val="22"/>
          <w:lang w:eastAsia="ar-SA"/>
        </w:rPr>
        <w:t>;</w:t>
      </w:r>
    </w:p>
    <w:p w14:paraId="56198A97" w14:textId="12CB84D9" w:rsidR="005E347E" w:rsidRPr="00AA22C4" w:rsidRDefault="00B319FA" w:rsidP="00AA22C4">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2) </w:t>
      </w:r>
      <w:r w:rsidR="005E347E" w:rsidRPr="00AA22C4">
        <w:rPr>
          <w:rFonts w:ascii="Lato" w:hAnsi="Lato"/>
          <w:color w:val="000000" w:themeColor="text1"/>
          <w:kern w:val="1"/>
          <w:sz w:val="22"/>
          <w:szCs w:val="22"/>
          <w:lang w:eastAsia="ar-SA"/>
        </w:rPr>
        <w:t xml:space="preserve">zdobycie zawodu przez wielu chorych i osiągnięcie samodzielności życiowej </w:t>
      </w:r>
      <w:r w:rsidR="00CC3339" w:rsidRPr="00AA22C4">
        <w:rPr>
          <w:rFonts w:ascii="Lato" w:hAnsi="Lato"/>
          <w:color w:val="000000" w:themeColor="text1"/>
          <w:kern w:val="1"/>
          <w:sz w:val="22"/>
          <w:szCs w:val="22"/>
          <w:lang w:eastAsia="ar-SA"/>
        </w:rPr>
        <w:t xml:space="preserve">– </w:t>
      </w:r>
      <w:r w:rsidR="005E347E" w:rsidRPr="00AA22C4">
        <w:rPr>
          <w:rFonts w:ascii="Lato" w:hAnsi="Lato"/>
          <w:color w:val="000000" w:themeColor="text1"/>
          <w:kern w:val="1"/>
          <w:sz w:val="22"/>
          <w:szCs w:val="22"/>
          <w:lang w:eastAsia="ar-SA"/>
        </w:rPr>
        <w:t>mniejszy odsetek chorych pozostaje bez pracy i wymaga zaopatrzenia rentowego</w:t>
      </w:r>
      <w:r w:rsidRPr="00AA22C4">
        <w:rPr>
          <w:rFonts w:ascii="Lato" w:hAnsi="Lato"/>
          <w:color w:val="000000" w:themeColor="text1"/>
          <w:kern w:val="1"/>
          <w:sz w:val="22"/>
          <w:szCs w:val="22"/>
          <w:lang w:eastAsia="ar-SA"/>
        </w:rPr>
        <w:t>;</w:t>
      </w:r>
    </w:p>
    <w:p w14:paraId="2CE6A52A" w14:textId="4E9DF54D" w:rsidR="005E347E" w:rsidRPr="00AA22C4" w:rsidRDefault="00B319FA" w:rsidP="00AA22C4">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3) </w:t>
      </w:r>
      <w:r w:rsidR="005E347E" w:rsidRPr="00AA22C4">
        <w:rPr>
          <w:rFonts w:ascii="Lato" w:hAnsi="Lato"/>
          <w:color w:val="000000" w:themeColor="text1"/>
          <w:kern w:val="1"/>
          <w:sz w:val="22"/>
          <w:szCs w:val="22"/>
          <w:lang w:eastAsia="ar-SA"/>
        </w:rPr>
        <w:t>udzielenie porady genetycznej rodzicom dziecka i podejmowania świadomych decyzji prokreacyjnych w przypadku występowania mutacji w genie CFTR.</w:t>
      </w:r>
    </w:p>
    <w:p w14:paraId="275AFBB9" w14:textId="77777777" w:rsidR="005E347E" w:rsidRPr="00AA22C4" w:rsidRDefault="005E347E" w:rsidP="00D23264">
      <w:pPr>
        <w:suppressAutoHyphens/>
        <w:spacing w:before="120" w:after="120"/>
        <w:contextualSpacing/>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u w:val="single"/>
          <w:lang w:eastAsia="ar-SA"/>
        </w:rPr>
        <w:t>Diagnostyka:</w:t>
      </w:r>
    </w:p>
    <w:p w14:paraId="6877BC46" w14:textId="77777777" w:rsidR="005E347E" w:rsidRPr="00AA22C4" w:rsidRDefault="005E347E" w:rsidP="005E347E">
      <w:pPr>
        <w:suppressAutoHyphens/>
        <w:spacing w:before="120" w:after="120"/>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lang w:eastAsia="ar-SA"/>
        </w:rPr>
        <w:t xml:space="preserve">W badaniu przesiewowym oznaczanie immunoreaktywnego </w:t>
      </w:r>
      <w:proofErr w:type="spellStart"/>
      <w:r w:rsidRPr="00AA22C4">
        <w:rPr>
          <w:rFonts w:ascii="Lato" w:eastAsia="Arial Unicode MS" w:hAnsi="Lato"/>
          <w:color w:val="000000" w:themeColor="text1"/>
          <w:kern w:val="1"/>
          <w:sz w:val="22"/>
          <w:szCs w:val="22"/>
          <w:lang w:eastAsia="ar-SA"/>
        </w:rPr>
        <w:t>trypsynogenu</w:t>
      </w:r>
      <w:proofErr w:type="spellEnd"/>
      <w:r w:rsidRPr="00AA22C4">
        <w:rPr>
          <w:rFonts w:ascii="Lato" w:eastAsia="Arial Unicode MS" w:hAnsi="Lato"/>
          <w:color w:val="000000" w:themeColor="text1"/>
          <w:kern w:val="1"/>
          <w:sz w:val="22"/>
          <w:szCs w:val="22"/>
          <w:lang w:eastAsia="ar-SA"/>
        </w:rPr>
        <w:t xml:space="preserve"> (IRT) i w drugim etapie badanie mutacji w genie </w:t>
      </w:r>
      <w:r w:rsidRPr="00AA22C4">
        <w:rPr>
          <w:rFonts w:ascii="Lato" w:eastAsia="Arial Unicode MS" w:hAnsi="Lato"/>
          <w:i/>
          <w:color w:val="000000" w:themeColor="text1"/>
          <w:kern w:val="1"/>
          <w:sz w:val="22"/>
          <w:szCs w:val="22"/>
          <w:lang w:eastAsia="ar-SA"/>
        </w:rPr>
        <w:t>CFTR</w:t>
      </w:r>
      <w:r w:rsidRPr="00AA22C4">
        <w:rPr>
          <w:rFonts w:ascii="Lato" w:eastAsia="Arial Unicode MS" w:hAnsi="Lato"/>
          <w:color w:val="000000" w:themeColor="text1"/>
          <w:kern w:val="1"/>
          <w:sz w:val="22"/>
          <w:szCs w:val="22"/>
          <w:lang w:eastAsia="ar-SA"/>
        </w:rPr>
        <w:t xml:space="preserve">. Badanie potwierdzające: oznaczanie chlorków w pocie metodą </w:t>
      </w:r>
      <w:proofErr w:type="spellStart"/>
      <w:r w:rsidRPr="00AA22C4">
        <w:rPr>
          <w:rFonts w:ascii="Lato" w:eastAsia="Arial Unicode MS" w:hAnsi="Lato"/>
          <w:color w:val="000000" w:themeColor="text1"/>
          <w:kern w:val="1"/>
          <w:sz w:val="22"/>
          <w:szCs w:val="22"/>
          <w:lang w:eastAsia="ar-SA"/>
        </w:rPr>
        <w:t>Nanogen</w:t>
      </w:r>
      <w:proofErr w:type="spellEnd"/>
      <w:r w:rsidRPr="00AA22C4">
        <w:rPr>
          <w:rFonts w:ascii="Lato" w:eastAsia="Arial Unicode MS" w:hAnsi="Lato"/>
          <w:color w:val="000000" w:themeColor="text1"/>
          <w:kern w:val="1"/>
          <w:sz w:val="22"/>
          <w:szCs w:val="22"/>
          <w:lang w:eastAsia="ar-SA"/>
        </w:rPr>
        <w:t xml:space="preserve"> dla noworodków.</w:t>
      </w:r>
    </w:p>
    <w:p w14:paraId="547EC1FD" w14:textId="77777777" w:rsidR="005E347E" w:rsidRPr="00AA22C4" w:rsidRDefault="005E347E" w:rsidP="005E347E">
      <w:pPr>
        <w:suppressAutoHyphens/>
        <w:spacing w:before="120" w:after="120"/>
        <w:contextualSpacing/>
        <w:jc w:val="both"/>
        <w:rPr>
          <w:rFonts w:ascii="Lato" w:eastAsia="Arial Unicode MS" w:hAnsi="Lato"/>
          <w:color w:val="000000" w:themeColor="text1"/>
          <w:kern w:val="1"/>
          <w:sz w:val="22"/>
          <w:szCs w:val="22"/>
          <w:u w:val="single"/>
          <w:lang w:eastAsia="ar-SA"/>
        </w:rPr>
      </w:pPr>
      <w:r w:rsidRPr="00AA22C4">
        <w:rPr>
          <w:rFonts w:ascii="Lato" w:eastAsia="Arial Unicode MS" w:hAnsi="Lato"/>
          <w:color w:val="000000" w:themeColor="text1"/>
          <w:kern w:val="1"/>
          <w:sz w:val="22"/>
          <w:szCs w:val="22"/>
          <w:u w:val="single"/>
          <w:lang w:eastAsia="ar-SA"/>
        </w:rPr>
        <w:t xml:space="preserve">Leczenie: </w:t>
      </w:r>
    </w:p>
    <w:p w14:paraId="1DE4EAB8" w14:textId="24B425B7" w:rsidR="005E347E" w:rsidRPr="00AA22C4" w:rsidRDefault="005E347E" w:rsidP="005E347E">
      <w:pPr>
        <w:suppressAutoHyphens/>
        <w:spacing w:before="120" w:after="120"/>
        <w:contextualSpacing/>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lang w:eastAsia="ar-SA"/>
        </w:rPr>
        <w:t xml:space="preserve">Leczenie odbywa się wyłącznie w specjalistycznych klinikach, realizujących program lekowy „Leczenie chorych na mukowiscydozę”, który aktualnie jest zakontraktowany i może być realizowany w 19 ośrodkach na terenie </w:t>
      </w:r>
      <w:r w:rsidR="00B16F0F" w:rsidRPr="00AA22C4">
        <w:rPr>
          <w:rFonts w:ascii="Lato" w:eastAsia="Arial Unicode MS" w:hAnsi="Lato"/>
          <w:color w:val="000000" w:themeColor="text1"/>
          <w:kern w:val="1"/>
          <w:sz w:val="22"/>
          <w:szCs w:val="22"/>
          <w:lang w:eastAsia="ar-SA"/>
        </w:rPr>
        <w:t>kraju</w:t>
      </w:r>
      <w:r w:rsidRPr="00AA22C4">
        <w:rPr>
          <w:rFonts w:ascii="Lato" w:eastAsia="Arial Unicode MS" w:hAnsi="Lato"/>
          <w:color w:val="000000" w:themeColor="text1"/>
          <w:kern w:val="1"/>
          <w:sz w:val="22"/>
          <w:szCs w:val="22"/>
          <w:lang w:eastAsia="ar-SA"/>
        </w:rPr>
        <w:t>. W ramach programu lekowego pacjentom podawane są:</w:t>
      </w:r>
    </w:p>
    <w:p w14:paraId="720D4638" w14:textId="77777777" w:rsidR="005E347E" w:rsidRPr="00AA22C4" w:rsidRDefault="005E347E" w:rsidP="005E347E">
      <w:pPr>
        <w:pStyle w:val="Akapitzlist"/>
        <w:numPr>
          <w:ilvl w:val="1"/>
          <w:numId w:val="43"/>
        </w:numPr>
        <w:spacing w:before="120" w:after="120" w:line="360" w:lineRule="auto"/>
        <w:jc w:val="both"/>
        <w:rPr>
          <w:rFonts w:ascii="Lato" w:hAnsi="Lato"/>
          <w:b/>
          <w:color w:val="000000" w:themeColor="text1"/>
          <w:kern w:val="28"/>
          <w:sz w:val="22"/>
          <w:szCs w:val="22"/>
        </w:rPr>
      </w:pPr>
      <w:proofErr w:type="spellStart"/>
      <w:r w:rsidRPr="00AA22C4">
        <w:rPr>
          <w:rFonts w:ascii="Lato" w:hAnsi="Lato"/>
          <w:b/>
          <w:color w:val="000000" w:themeColor="text1"/>
          <w:kern w:val="28"/>
          <w:sz w:val="22"/>
          <w:szCs w:val="22"/>
        </w:rPr>
        <w:t>iwakaftor</w:t>
      </w:r>
      <w:proofErr w:type="spellEnd"/>
    </w:p>
    <w:p w14:paraId="024BC716" w14:textId="77777777" w:rsidR="005E347E" w:rsidRPr="00AA22C4" w:rsidRDefault="005E347E" w:rsidP="005E347E">
      <w:pPr>
        <w:pStyle w:val="Akapitzlist"/>
        <w:numPr>
          <w:ilvl w:val="1"/>
          <w:numId w:val="43"/>
        </w:numPr>
        <w:spacing w:before="120" w:after="120" w:line="360" w:lineRule="auto"/>
        <w:jc w:val="both"/>
        <w:rPr>
          <w:rFonts w:ascii="Lato" w:hAnsi="Lato"/>
          <w:b/>
          <w:color w:val="000000" w:themeColor="text1"/>
          <w:kern w:val="28"/>
          <w:sz w:val="22"/>
          <w:szCs w:val="22"/>
        </w:rPr>
      </w:pPr>
      <w:proofErr w:type="spellStart"/>
      <w:r w:rsidRPr="00AA22C4">
        <w:rPr>
          <w:rFonts w:ascii="Lato" w:hAnsi="Lato"/>
          <w:b/>
          <w:color w:val="000000" w:themeColor="text1"/>
          <w:kern w:val="28"/>
          <w:sz w:val="22"/>
          <w:szCs w:val="22"/>
        </w:rPr>
        <w:t>iwakaftor</w:t>
      </w:r>
      <w:proofErr w:type="spellEnd"/>
      <w:r w:rsidRPr="00AA22C4">
        <w:rPr>
          <w:rFonts w:ascii="Lato" w:hAnsi="Lato"/>
          <w:b/>
          <w:color w:val="000000" w:themeColor="text1"/>
          <w:kern w:val="28"/>
          <w:sz w:val="22"/>
          <w:szCs w:val="22"/>
        </w:rPr>
        <w:t xml:space="preserve"> z </w:t>
      </w:r>
      <w:proofErr w:type="spellStart"/>
      <w:r w:rsidRPr="00AA22C4">
        <w:rPr>
          <w:rFonts w:ascii="Lato" w:hAnsi="Lato"/>
          <w:b/>
          <w:color w:val="000000" w:themeColor="text1"/>
          <w:kern w:val="28"/>
          <w:sz w:val="22"/>
          <w:szCs w:val="22"/>
        </w:rPr>
        <w:t>tezakaftorem</w:t>
      </w:r>
      <w:proofErr w:type="spellEnd"/>
    </w:p>
    <w:p w14:paraId="30214A78" w14:textId="77777777" w:rsidR="005E347E" w:rsidRPr="00AA22C4" w:rsidRDefault="005E347E" w:rsidP="005E347E">
      <w:pPr>
        <w:pStyle w:val="Akapitzlist"/>
        <w:numPr>
          <w:ilvl w:val="1"/>
          <w:numId w:val="43"/>
        </w:numPr>
        <w:spacing w:before="120" w:after="120" w:line="360" w:lineRule="auto"/>
        <w:jc w:val="both"/>
        <w:rPr>
          <w:rFonts w:ascii="Lato" w:hAnsi="Lato"/>
          <w:b/>
          <w:color w:val="000000" w:themeColor="text1"/>
          <w:kern w:val="28"/>
          <w:sz w:val="22"/>
          <w:szCs w:val="22"/>
        </w:rPr>
      </w:pPr>
      <w:proofErr w:type="spellStart"/>
      <w:r w:rsidRPr="00AA22C4">
        <w:rPr>
          <w:rFonts w:ascii="Lato" w:hAnsi="Lato"/>
          <w:b/>
          <w:color w:val="000000" w:themeColor="text1"/>
          <w:kern w:val="28"/>
          <w:sz w:val="22"/>
          <w:szCs w:val="22"/>
        </w:rPr>
        <w:t>iwakaftor</w:t>
      </w:r>
      <w:proofErr w:type="spellEnd"/>
      <w:r w:rsidRPr="00AA22C4">
        <w:rPr>
          <w:rFonts w:ascii="Lato" w:hAnsi="Lato"/>
          <w:b/>
          <w:color w:val="000000" w:themeColor="text1"/>
          <w:kern w:val="28"/>
          <w:sz w:val="22"/>
          <w:szCs w:val="22"/>
        </w:rPr>
        <w:t xml:space="preserve"> z </w:t>
      </w:r>
      <w:proofErr w:type="spellStart"/>
      <w:r w:rsidRPr="00AA22C4">
        <w:rPr>
          <w:rFonts w:ascii="Lato" w:hAnsi="Lato"/>
          <w:b/>
          <w:color w:val="000000" w:themeColor="text1"/>
          <w:kern w:val="28"/>
          <w:sz w:val="22"/>
          <w:szCs w:val="22"/>
        </w:rPr>
        <w:t>lumakaftorem</w:t>
      </w:r>
      <w:proofErr w:type="spellEnd"/>
    </w:p>
    <w:p w14:paraId="0832AF46" w14:textId="77777777" w:rsidR="005E347E" w:rsidRPr="00AA22C4" w:rsidRDefault="005E347E" w:rsidP="005E347E">
      <w:pPr>
        <w:pStyle w:val="Akapitzlist"/>
        <w:numPr>
          <w:ilvl w:val="1"/>
          <w:numId w:val="43"/>
        </w:numPr>
        <w:spacing w:before="120" w:after="120" w:line="360" w:lineRule="auto"/>
        <w:jc w:val="both"/>
        <w:rPr>
          <w:rFonts w:ascii="Lato" w:hAnsi="Lato"/>
          <w:b/>
          <w:color w:val="000000" w:themeColor="text1"/>
          <w:kern w:val="28"/>
          <w:sz w:val="22"/>
          <w:szCs w:val="22"/>
        </w:rPr>
      </w:pPr>
      <w:proofErr w:type="spellStart"/>
      <w:r w:rsidRPr="00AA22C4">
        <w:rPr>
          <w:rFonts w:ascii="Lato" w:hAnsi="Lato"/>
          <w:b/>
          <w:color w:val="000000" w:themeColor="text1"/>
          <w:kern w:val="28"/>
          <w:sz w:val="22"/>
          <w:szCs w:val="22"/>
        </w:rPr>
        <w:t>iwakaftor</w:t>
      </w:r>
      <w:proofErr w:type="spellEnd"/>
      <w:r w:rsidRPr="00AA22C4">
        <w:rPr>
          <w:rFonts w:ascii="Lato" w:hAnsi="Lato"/>
          <w:b/>
          <w:color w:val="000000" w:themeColor="text1"/>
          <w:kern w:val="28"/>
          <w:sz w:val="22"/>
          <w:szCs w:val="22"/>
        </w:rPr>
        <w:t xml:space="preserve"> z </w:t>
      </w:r>
      <w:proofErr w:type="spellStart"/>
      <w:r w:rsidRPr="00AA22C4">
        <w:rPr>
          <w:rFonts w:ascii="Lato" w:hAnsi="Lato"/>
          <w:b/>
          <w:color w:val="000000" w:themeColor="text1"/>
          <w:kern w:val="28"/>
          <w:sz w:val="22"/>
          <w:szCs w:val="22"/>
        </w:rPr>
        <w:t>tezakaftorem</w:t>
      </w:r>
      <w:proofErr w:type="spellEnd"/>
      <w:r w:rsidRPr="00AA22C4">
        <w:rPr>
          <w:rFonts w:ascii="Lato" w:hAnsi="Lato"/>
          <w:b/>
          <w:color w:val="000000" w:themeColor="text1"/>
          <w:kern w:val="28"/>
          <w:sz w:val="22"/>
          <w:szCs w:val="22"/>
        </w:rPr>
        <w:t xml:space="preserve"> i </w:t>
      </w:r>
      <w:proofErr w:type="spellStart"/>
      <w:r w:rsidRPr="00AA22C4">
        <w:rPr>
          <w:rFonts w:ascii="Lato" w:hAnsi="Lato"/>
          <w:b/>
          <w:color w:val="000000" w:themeColor="text1"/>
          <w:kern w:val="28"/>
          <w:sz w:val="22"/>
          <w:szCs w:val="22"/>
        </w:rPr>
        <w:t>eleksakaftorem</w:t>
      </w:r>
      <w:proofErr w:type="spellEnd"/>
    </w:p>
    <w:p w14:paraId="1B7AB419" w14:textId="77777777" w:rsidR="005E347E" w:rsidRPr="00AA22C4" w:rsidRDefault="005E347E" w:rsidP="005E347E">
      <w:pPr>
        <w:suppressAutoHyphens/>
        <w:spacing w:before="120" w:after="120"/>
        <w:contextualSpacing/>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lang w:eastAsia="ar-SA"/>
        </w:rPr>
        <w:t xml:space="preserve">Dla pacjentów dostępne jest również leczenie w programie lekowym „Leczenie przewlekłych zakażeń płuc u świadczeniobiorców z mukowiscydozą”. </w:t>
      </w:r>
    </w:p>
    <w:p w14:paraId="4D5BE83E" w14:textId="77777777" w:rsidR="005E347E" w:rsidRPr="00AA22C4" w:rsidRDefault="005E347E" w:rsidP="005E347E">
      <w:pPr>
        <w:suppressAutoHyphens/>
        <w:spacing w:before="120" w:after="120"/>
        <w:contextualSpacing/>
        <w:jc w:val="both"/>
        <w:rPr>
          <w:rFonts w:ascii="Lato" w:eastAsia="Arial Unicode MS" w:hAnsi="Lato"/>
          <w:color w:val="000000" w:themeColor="text1"/>
          <w:kern w:val="1"/>
          <w:sz w:val="22"/>
          <w:szCs w:val="22"/>
          <w:lang w:eastAsia="ar-SA"/>
        </w:rPr>
      </w:pPr>
    </w:p>
    <w:p w14:paraId="59E95F19" w14:textId="77777777" w:rsidR="005E347E" w:rsidRPr="00AA22C4" w:rsidRDefault="005E347E" w:rsidP="005E347E">
      <w:pPr>
        <w:suppressAutoHyphens/>
        <w:spacing w:before="120" w:after="120"/>
        <w:contextualSpacing/>
        <w:jc w:val="both"/>
        <w:rPr>
          <w:rFonts w:ascii="Lato" w:eastAsia="Arial Unicode MS" w:hAnsi="Lato"/>
          <w:color w:val="000000" w:themeColor="text1"/>
          <w:kern w:val="1"/>
          <w:sz w:val="22"/>
          <w:szCs w:val="22"/>
          <w:lang w:eastAsia="ar-SA"/>
        </w:rPr>
      </w:pPr>
    </w:p>
    <w:p w14:paraId="68F23458" w14:textId="77777777" w:rsidR="005E347E" w:rsidRPr="00AA22C4" w:rsidRDefault="005E347E" w:rsidP="005E347E">
      <w:pPr>
        <w:pStyle w:val="Akapitzlist"/>
        <w:numPr>
          <w:ilvl w:val="0"/>
          <w:numId w:val="82"/>
        </w:numPr>
        <w:rPr>
          <w:rFonts w:ascii="Lato" w:hAnsi="Lato"/>
          <w:color w:val="000000" w:themeColor="text1"/>
          <w:sz w:val="22"/>
          <w:szCs w:val="22"/>
        </w:rPr>
      </w:pPr>
      <w:r w:rsidRPr="00AA22C4">
        <w:rPr>
          <w:rFonts w:ascii="Lato" w:hAnsi="Lato"/>
          <w:b/>
          <w:bCs/>
          <w:color w:val="000000" w:themeColor="text1"/>
          <w:sz w:val="22"/>
          <w:szCs w:val="22"/>
        </w:rPr>
        <w:lastRenderedPageBreak/>
        <w:t xml:space="preserve">Fenyloketonuria - PKU </w:t>
      </w:r>
      <w:r w:rsidRPr="00AA22C4">
        <w:rPr>
          <w:rFonts w:ascii="Lato" w:hAnsi="Lato"/>
          <w:color w:val="000000" w:themeColor="text1"/>
          <w:sz w:val="22"/>
          <w:szCs w:val="22"/>
        </w:rPr>
        <w:t>(Badanie przesiewowe całej populacji od około 1985 r.)</w:t>
      </w:r>
    </w:p>
    <w:p w14:paraId="2ECF143F" w14:textId="77777777" w:rsidR="005E347E" w:rsidRPr="00AA22C4" w:rsidRDefault="005E347E" w:rsidP="005E347E">
      <w:pPr>
        <w:suppressAutoHyphens/>
        <w:spacing w:before="120" w:after="120"/>
        <w:contextualSpacing/>
        <w:jc w:val="both"/>
        <w:rPr>
          <w:rFonts w:ascii="Lato" w:eastAsia="Arial Unicode MS" w:hAnsi="Lato"/>
          <w:color w:val="000000" w:themeColor="text1"/>
          <w:kern w:val="1"/>
          <w:sz w:val="22"/>
          <w:szCs w:val="22"/>
          <w:u w:val="single"/>
          <w:lang w:eastAsia="ar-SA"/>
        </w:rPr>
      </w:pPr>
      <w:r w:rsidRPr="00AA22C4">
        <w:rPr>
          <w:rFonts w:ascii="Lato" w:eastAsia="Arial Unicode MS" w:hAnsi="Lato"/>
          <w:color w:val="000000" w:themeColor="text1"/>
          <w:kern w:val="1"/>
          <w:sz w:val="22"/>
          <w:szCs w:val="22"/>
          <w:u w:val="single"/>
          <w:lang w:eastAsia="ar-SA"/>
        </w:rPr>
        <w:t>Opis:</w:t>
      </w:r>
    </w:p>
    <w:p w14:paraId="59488D87" w14:textId="77777777" w:rsidR="005E347E" w:rsidRPr="00AA22C4" w:rsidRDefault="005E347E" w:rsidP="005E347E">
      <w:pPr>
        <w:suppressAutoHyphens/>
        <w:spacing w:before="120" w:after="120"/>
        <w:jc w:val="both"/>
        <w:rPr>
          <w:rFonts w:ascii="Lato" w:eastAsia="Arial Unicode MS" w:hAnsi="Lato"/>
          <w:b/>
          <w:bCs/>
          <w:color w:val="000000" w:themeColor="text1"/>
          <w:kern w:val="1"/>
          <w:sz w:val="22"/>
          <w:szCs w:val="22"/>
          <w:lang w:eastAsia="ar-SA"/>
        </w:rPr>
      </w:pPr>
      <w:r w:rsidRPr="00AA22C4">
        <w:rPr>
          <w:rFonts w:ascii="Lato" w:eastAsia="Arial Unicode MS" w:hAnsi="Lato"/>
          <w:color w:val="000000" w:themeColor="text1"/>
          <w:kern w:val="1"/>
          <w:sz w:val="22"/>
          <w:szCs w:val="22"/>
          <w:lang w:eastAsia="ar-SA"/>
        </w:rPr>
        <w:t xml:space="preserve">Częstość występowania fenyloketonurii klasycznej w polskiej populacji szacuje się na około </w:t>
      </w:r>
      <w:r w:rsidRPr="00AA22C4">
        <w:rPr>
          <w:rFonts w:ascii="Lato" w:eastAsia="Arial Unicode MS" w:hAnsi="Lato"/>
          <w:bCs/>
          <w:color w:val="000000" w:themeColor="text1"/>
          <w:kern w:val="1"/>
          <w:sz w:val="22"/>
          <w:szCs w:val="22"/>
          <w:lang w:eastAsia="ar-SA"/>
        </w:rPr>
        <w:t xml:space="preserve">1:8 000. (9,10,18,19,44). </w:t>
      </w:r>
      <w:r w:rsidRPr="00AA22C4">
        <w:rPr>
          <w:rFonts w:ascii="Lato" w:eastAsia="Arial Unicode MS" w:hAnsi="Lato"/>
          <w:color w:val="000000" w:themeColor="text1"/>
          <w:kern w:val="1"/>
          <w:sz w:val="22"/>
          <w:szCs w:val="22"/>
          <w:lang w:eastAsia="ar-SA"/>
        </w:rPr>
        <w:t>Fenyloketonuria (</w:t>
      </w:r>
      <w:r w:rsidRPr="00AA22C4">
        <w:rPr>
          <w:rFonts w:ascii="Lato" w:eastAsia="Arial Unicode MS" w:hAnsi="Lato"/>
          <w:i/>
          <w:color w:val="000000" w:themeColor="text1"/>
          <w:kern w:val="1"/>
          <w:sz w:val="22"/>
          <w:szCs w:val="22"/>
          <w:lang w:eastAsia="ar-SA"/>
        </w:rPr>
        <w:t xml:space="preserve">PKU, ang. </w:t>
      </w:r>
      <w:proofErr w:type="spellStart"/>
      <w:r w:rsidRPr="00AA22C4">
        <w:rPr>
          <w:rFonts w:ascii="Lato" w:eastAsia="Arial Unicode MS" w:hAnsi="Lato"/>
          <w:i/>
          <w:color w:val="000000" w:themeColor="text1"/>
          <w:kern w:val="1"/>
          <w:sz w:val="22"/>
          <w:szCs w:val="22"/>
          <w:lang w:eastAsia="ar-SA"/>
        </w:rPr>
        <w:t>Phenylketonuria</w:t>
      </w:r>
      <w:proofErr w:type="spellEnd"/>
      <w:r w:rsidRPr="00AA22C4">
        <w:rPr>
          <w:rFonts w:ascii="Lato" w:eastAsia="Arial Unicode MS" w:hAnsi="Lato"/>
          <w:color w:val="000000" w:themeColor="text1"/>
          <w:kern w:val="1"/>
          <w:sz w:val="22"/>
          <w:szCs w:val="22"/>
          <w:lang w:eastAsia="ar-SA"/>
        </w:rPr>
        <w:t xml:space="preserve">) jest </w:t>
      </w:r>
      <w:proofErr w:type="spellStart"/>
      <w:r w:rsidRPr="00AA22C4">
        <w:rPr>
          <w:rFonts w:ascii="Lato" w:eastAsia="Arial Unicode MS" w:hAnsi="Lato"/>
          <w:color w:val="000000" w:themeColor="text1"/>
          <w:kern w:val="1"/>
          <w:sz w:val="22"/>
          <w:szCs w:val="22"/>
          <w:lang w:eastAsia="ar-SA"/>
        </w:rPr>
        <w:t>monogenową</w:t>
      </w:r>
      <w:proofErr w:type="spellEnd"/>
      <w:r w:rsidRPr="00AA22C4">
        <w:rPr>
          <w:rFonts w:ascii="Lato" w:eastAsia="Arial Unicode MS" w:hAnsi="Lato"/>
          <w:color w:val="000000" w:themeColor="text1"/>
          <w:kern w:val="1"/>
          <w:sz w:val="22"/>
          <w:szCs w:val="22"/>
          <w:lang w:eastAsia="ar-SA"/>
        </w:rPr>
        <w:t xml:space="preserve"> dziedziczoną autosomalnie recesywnie wrodzoną wadą metabolizmu spowodowaną defektem enzymatycznym hydroksylazy </w:t>
      </w:r>
      <w:proofErr w:type="spellStart"/>
      <w:r w:rsidRPr="00AA22C4">
        <w:rPr>
          <w:rFonts w:ascii="Lato" w:eastAsia="Arial Unicode MS" w:hAnsi="Lato"/>
          <w:color w:val="000000" w:themeColor="text1"/>
          <w:kern w:val="1"/>
          <w:sz w:val="22"/>
          <w:szCs w:val="22"/>
          <w:lang w:eastAsia="ar-SA"/>
        </w:rPr>
        <w:t>fenyloalaninowej</w:t>
      </w:r>
      <w:proofErr w:type="spellEnd"/>
      <w:r w:rsidRPr="00AA22C4">
        <w:rPr>
          <w:rFonts w:ascii="Lato" w:eastAsia="Arial Unicode MS" w:hAnsi="Lato"/>
          <w:color w:val="000000" w:themeColor="text1"/>
          <w:kern w:val="1"/>
          <w:sz w:val="22"/>
          <w:szCs w:val="22"/>
          <w:lang w:eastAsia="ar-SA"/>
        </w:rPr>
        <w:t xml:space="preserve">. Gromadzenie fenyloalaniny, w następstwie zahamowania przemiany tego aminokwasu, powoduje zaburzenia równowagi aminokwasowej organizmu, których najpoważniejszą konsekwencją jest uszkodzenie ośrodkowego układu nerwowego, co klinicznie manifestuje się ciężką niepełnosprawnością intelektualną. Wykrycie podwyższonego stężenia fenyloalaniny zawsze wymaga różnicowania fenyloketonurii klasycznej z innymi postaciami </w:t>
      </w:r>
      <w:proofErr w:type="spellStart"/>
      <w:r w:rsidRPr="00AA22C4">
        <w:rPr>
          <w:rFonts w:ascii="Lato" w:eastAsia="Arial Unicode MS" w:hAnsi="Lato"/>
          <w:color w:val="000000" w:themeColor="text1"/>
          <w:kern w:val="1"/>
          <w:sz w:val="22"/>
          <w:szCs w:val="22"/>
          <w:lang w:eastAsia="ar-SA"/>
        </w:rPr>
        <w:t>hiperfenyloalaninemii</w:t>
      </w:r>
      <w:proofErr w:type="spellEnd"/>
      <w:r w:rsidRPr="00AA22C4">
        <w:rPr>
          <w:rFonts w:ascii="Lato" w:eastAsia="Arial Unicode MS" w:hAnsi="Lato"/>
          <w:color w:val="000000" w:themeColor="text1"/>
          <w:kern w:val="1"/>
          <w:sz w:val="22"/>
          <w:szCs w:val="22"/>
          <w:lang w:eastAsia="ar-SA"/>
        </w:rPr>
        <w:t xml:space="preserve"> (HPU). </w:t>
      </w:r>
    </w:p>
    <w:p w14:paraId="4F6A4950" w14:textId="77777777" w:rsidR="005E347E" w:rsidRPr="00AA22C4" w:rsidRDefault="005E347E" w:rsidP="005E347E">
      <w:pPr>
        <w:suppressAutoHyphens/>
        <w:spacing w:before="120" w:after="120"/>
        <w:contextualSpacing/>
        <w:jc w:val="both"/>
        <w:rPr>
          <w:rFonts w:ascii="Lato" w:eastAsia="Arial Unicode MS" w:hAnsi="Lato"/>
          <w:bCs/>
          <w:color w:val="000000" w:themeColor="text1"/>
          <w:kern w:val="1"/>
          <w:sz w:val="22"/>
          <w:szCs w:val="22"/>
          <w:u w:val="single"/>
          <w:lang w:eastAsia="ar-SA"/>
        </w:rPr>
      </w:pPr>
      <w:r w:rsidRPr="00AA22C4">
        <w:rPr>
          <w:rFonts w:ascii="Lato" w:eastAsia="Arial Unicode MS" w:hAnsi="Lato"/>
          <w:bCs/>
          <w:color w:val="000000" w:themeColor="text1"/>
          <w:kern w:val="1"/>
          <w:sz w:val="22"/>
          <w:szCs w:val="22"/>
          <w:u w:val="single"/>
          <w:lang w:eastAsia="ar-SA"/>
        </w:rPr>
        <w:t>Objawy:</w:t>
      </w:r>
    </w:p>
    <w:p w14:paraId="3B8B50AA" w14:textId="2E17AFC1"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Noworodek rodzi się pozornie zdrowy, bez charakterystycznych objawów mogących sugerować fenyloketonurię. W okresie niemowlęcym u około 50% chorych dzieci stwierdza się niespecyficzne zmiany skórne przypominające wysypki występujące na tle alergicznym lub zapalnym (o różnym nasileniu) i skłonność do wymiotów. Z wiekiem dziecka na plan pierwszy w obrazie choroby wysuwa się opóźnienie rozwoju umysłowego z małogłowiem</w:t>
      </w:r>
      <w:r w:rsidRPr="00AA22C4">
        <w:rPr>
          <w:rFonts w:ascii="Lato" w:hAnsi="Lato"/>
          <w:b/>
          <w:color w:val="000000" w:themeColor="text1"/>
          <w:kern w:val="1"/>
          <w:sz w:val="22"/>
          <w:szCs w:val="22"/>
          <w:lang w:eastAsia="ar-SA"/>
        </w:rPr>
        <w:t xml:space="preserve">. </w:t>
      </w:r>
      <w:r w:rsidRPr="00AA22C4">
        <w:rPr>
          <w:rFonts w:ascii="Lato" w:hAnsi="Lato"/>
          <w:color w:val="000000" w:themeColor="text1"/>
          <w:kern w:val="1"/>
          <w:sz w:val="22"/>
          <w:szCs w:val="22"/>
          <w:lang w:eastAsia="ar-SA"/>
        </w:rPr>
        <w:t xml:space="preserve">U większości pacjentów niepełnosprawność intelektualna odpowiada wartościom charakterystycznym dla opóźnienia w stopniu głębokim (iloraz inteligencji 20 – 40). W 30% przypadków przed ukończeniem 1 </w:t>
      </w:r>
      <w:proofErr w:type="spellStart"/>
      <w:r w:rsidR="007611BB" w:rsidRPr="00AA22C4">
        <w:rPr>
          <w:rFonts w:ascii="Lato" w:hAnsi="Lato"/>
          <w:color w:val="000000" w:themeColor="text1"/>
          <w:kern w:val="1"/>
          <w:sz w:val="22"/>
          <w:szCs w:val="22"/>
          <w:lang w:eastAsia="ar-SA"/>
        </w:rPr>
        <w:t>r.</w:t>
      </w:r>
      <w:proofErr w:type="gramStart"/>
      <w:r w:rsidR="007611BB" w:rsidRPr="00AA22C4">
        <w:rPr>
          <w:rFonts w:ascii="Lato" w:hAnsi="Lato"/>
          <w:color w:val="000000" w:themeColor="text1"/>
          <w:kern w:val="1"/>
          <w:sz w:val="22"/>
          <w:szCs w:val="22"/>
          <w:lang w:eastAsia="ar-SA"/>
        </w:rPr>
        <w:t>ż.</w:t>
      </w:r>
      <w:r w:rsidRPr="00AA22C4">
        <w:rPr>
          <w:rFonts w:ascii="Lato" w:hAnsi="Lato"/>
          <w:color w:val="000000" w:themeColor="text1"/>
          <w:kern w:val="1"/>
          <w:sz w:val="22"/>
          <w:szCs w:val="22"/>
          <w:lang w:eastAsia="ar-SA"/>
        </w:rPr>
        <w:t>występują</w:t>
      </w:r>
      <w:proofErr w:type="spellEnd"/>
      <w:proofErr w:type="gramEnd"/>
      <w:r w:rsidRPr="00AA22C4">
        <w:rPr>
          <w:rFonts w:ascii="Lato" w:hAnsi="Lato"/>
          <w:color w:val="000000" w:themeColor="text1"/>
          <w:kern w:val="1"/>
          <w:sz w:val="22"/>
          <w:szCs w:val="22"/>
          <w:lang w:eastAsia="ar-SA"/>
        </w:rPr>
        <w:t xml:space="preserve"> drgawki z tendencją do zmniejszania się z wiekiem częstości napadów. </w:t>
      </w:r>
    </w:p>
    <w:p w14:paraId="6AA251FD"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Wczesne rozpoznanie choroby oraz wdrożenie odpowiedniego postępowania terapeutycznego, polegające na stosowaniu diety </w:t>
      </w:r>
      <w:proofErr w:type="spellStart"/>
      <w:r w:rsidRPr="00AA22C4">
        <w:rPr>
          <w:rFonts w:ascii="Lato" w:hAnsi="Lato"/>
          <w:color w:val="000000" w:themeColor="text1"/>
          <w:kern w:val="1"/>
          <w:sz w:val="22"/>
          <w:szCs w:val="22"/>
          <w:lang w:eastAsia="ar-SA"/>
        </w:rPr>
        <w:t>ubogofenyloalaninowej</w:t>
      </w:r>
      <w:proofErr w:type="spellEnd"/>
      <w:r w:rsidRPr="00AA22C4">
        <w:rPr>
          <w:rFonts w:ascii="Lato" w:hAnsi="Lato"/>
          <w:color w:val="000000" w:themeColor="text1"/>
          <w:kern w:val="1"/>
          <w:sz w:val="22"/>
          <w:szCs w:val="22"/>
          <w:lang w:eastAsia="ar-SA"/>
        </w:rPr>
        <w:t xml:space="preserve"> zapobiega uszkodzeniu ośrodkowego układu nerwowego, przez co umożliwia prawidłowy rozwój dziecka. Warunkiem pozytywnych efektów leczenia jest wprowadzenie właściwej diety już w okresie noworodkowym.</w:t>
      </w:r>
    </w:p>
    <w:p w14:paraId="046080B3" w14:textId="5DBE4385" w:rsidR="005E347E" w:rsidRPr="00AA22C4" w:rsidRDefault="005E347E" w:rsidP="00AA22C4">
      <w:pPr>
        <w:suppressAutoHyphens/>
        <w:spacing w:before="120" w:after="120"/>
        <w:contextualSpacing/>
        <w:jc w:val="both"/>
        <w:rPr>
          <w:rFonts w:ascii="Lato" w:hAnsi="Lato"/>
          <w:color w:val="000000" w:themeColor="text1"/>
          <w:sz w:val="22"/>
          <w:szCs w:val="22"/>
        </w:rPr>
      </w:pPr>
      <w:r w:rsidRPr="00AA22C4">
        <w:rPr>
          <w:rFonts w:ascii="Lato" w:hAnsi="Lato"/>
          <w:bCs/>
          <w:color w:val="000000" w:themeColor="text1"/>
          <w:kern w:val="1"/>
          <w:sz w:val="22"/>
          <w:szCs w:val="22"/>
          <w:u w:val="single"/>
          <w:lang w:eastAsia="ar-SA"/>
        </w:rPr>
        <w:t xml:space="preserve">Diagnostyka: </w:t>
      </w:r>
      <w:r w:rsidR="002C3DD8" w:rsidRPr="00AA22C4">
        <w:rPr>
          <w:rFonts w:ascii="Lato" w:hAnsi="Lato"/>
          <w:color w:val="000000" w:themeColor="text1"/>
          <w:sz w:val="22"/>
          <w:szCs w:val="22"/>
        </w:rPr>
        <w:t xml:space="preserve">1) </w:t>
      </w:r>
      <w:r w:rsidRPr="00AA22C4">
        <w:rPr>
          <w:rFonts w:ascii="Lato" w:hAnsi="Lato"/>
          <w:color w:val="000000" w:themeColor="text1"/>
          <w:sz w:val="22"/>
          <w:szCs w:val="22"/>
        </w:rPr>
        <w:t>we krwi na bibule przesiewowej metodą MS/</w:t>
      </w:r>
      <w:proofErr w:type="gramStart"/>
      <w:r w:rsidRPr="00AA22C4">
        <w:rPr>
          <w:rFonts w:ascii="Lato" w:hAnsi="Lato"/>
          <w:color w:val="000000" w:themeColor="text1"/>
          <w:sz w:val="22"/>
          <w:szCs w:val="22"/>
        </w:rPr>
        <w:t>MS:</w:t>
      </w:r>
      <w:r w:rsidRPr="00AA22C4">
        <w:rPr>
          <w:rFonts w:ascii="Arial" w:hAnsi="Arial" w:cs="Arial" w:hint="eastAsia"/>
          <w:color w:val="000000" w:themeColor="text1"/>
          <w:sz w:val="22"/>
          <w:szCs w:val="22"/>
        </w:rPr>
        <w:t>↑</w:t>
      </w:r>
      <w:proofErr w:type="gramEnd"/>
      <w:r w:rsidRPr="00AA22C4">
        <w:rPr>
          <w:rFonts w:ascii="Lato" w:hAnsi="Lato"/>
          <w:color w:val="000000" w:themeColor="text1"/>
          <w:sz w:val="22"/>
          <w:szCs w:val="22"/>
        </w:rPr>
        <w:t>-</w:t>
      </w:r>
      <w:r w:rsidRPr="00AA22C4">
        <w:rPr>
          <w:rFonts w:ascii="Arial" w:hAnsi="Arial" w:cs="Arial" w:hint="eastAsia"/>
          <w:color w:val="000000" w:themeColor="text1"/>
          <w:sz w:val="22"/>
          <w:szCs w:val="22"/>
        </w:rPr>
        <w:t>↑↑</w:t>
      </w:r>
      <w:r w:rsidRPr="00AA22C4">
        <w:rPr>
          <w:rFonts w:ascii="Lato" w:hAnsi="Lato"/>
          <w:color w:val="000000" w:themeColor="text1"/>
          <w:sz w:val="22"/>
          <w:szCs w:val="22"/>
        </w:rPr>
        <w:t xml:space="preserve"> Fenyloalanina (</w:t>
      </w:r>
      <w:proofErr w:type="spellStart"/>
      <w:r w:rsidRPr="00AA22C4">
        <w:rPr>
          <w:rFonts w:ascii="Lato" w:hAnsi="Lato"/>
          <w:color w:val="000000" w:themeColor="text1"/>
          <w:sz w:val="22"/>
          <w:szCs w:val="22"/>
        </w:rPr>
        <w:t>Phe</w:t>
      </w:r>
      <w:proofErr w:type="spellEnd"/>
      <w:r w:rsidRPr="00AA22C4">
        <w:rPr>
          <w:rFonts w:ascii="Lato" w:hAnsi="Lato"/>
          <w:color w:val="000000" w:themeColor="text1"/>
          <w:sz w:val="22"/>
          <w:szCs w:val="22"/>
        </w:rPr>
        <w:t xml:space="preserve">) i N </w:t>
      </w:r>
      <w:proofErr w:type="spellStart"/>
      <w:r w:rsidRPr="00AA22C4">
        <w:rPr>
          <w:rFonts w:ascii="Lato" w:hAnsi="Lato"/>
          <w:color w:val="000000" w:themeColor="text1"/>
          <w:sz w:val="22"/>
          <w:szCs w:val="22"/>
        </w:rPr>
        <w:t>lub</w:t>
      </w:r>
      <w:r w:rsidRPr="00AA22C4">
        <w:rPr>
          <w:rFonts w:ascii="Arial" w:hAnsi="Arial" w:cs="Arial" w:hint="eastAsia"/>
          <w:color w:val="000000" w:themeColor="text1"/>
          <w:sz w:val="22"/>
          <w:szCs w:val="22"/>
        </w:rPr>
        <w:t>↓</w:t>
      </w:r>
      <w:r w:rsidRPr="00AA22C4">
        <w:rPr>
          <w:rFonts w:ascii="Lato" w:hAnsi="Lato"/>
          <w:color w:val="000000" w:themeColor="text1"/>
          <w:sz w:val="22"/>
          <w:szCs w:val="22"/>
        </w:rPr>
        <w:t>Tyrozyna</w:t>
      </w:r>
      <w:proofErr w:type="spellEnd"/>
      <w:r w:rsidRPr="00AA22C4">
        <w:rPr>
          <w:rFonts w:ascii="Lato" w:hAnsi="Lato"/>
          <w:color w:val="000000" w:themeColor="text1"/>
          <w:sz w:val="22"/>
          <w:szCs w:val="22"/>
        </w:rPr>
        <w:t xml:space="preserve"> (Tyr), </w:t>
      </w:r>
      <w:r w:rsidRPr="00AA22C4">
        <w:rPr>
          <w:rFonts w:ascii="Arial" w:hAnsi="Arial" w:cs="Arial" w:hint="eastAsia"/>
          <w:color w:val="000000" w:themeColor="text1"/>
          <w:sz w:val="22"/>
          <w:szCs w:val="22"/>
        </w:rPr>
        <w:t>↑</w:t>
      </w:r>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Phe</w:t>
      </w:r>
      <w:proofErr w:type="spellEnd"/>
      <w:r w:rsidRPr="00AA22C4">
        <w:rPr>
          <w:rFonts w:ascii="Lato" w:hAnsi="Lato"/>
          <w:color w:val="000000" w:themeColor="text1"/>
          <w:sz w:val="22"/>
          <w:szCs w:val="22"/>
        </w:rPr>
        <w:t>/Tyr;</w:t>
      </w:r>
    </w:p>
    <w:p w14:paraId="05361618" w14:textId="7146E316" w:rsidR="005E347E" w:rsidRPr="00AA22C4" w:rsidRDefault="002C3DD8" w:rsidP="00AA22C4">
      <w:pPr>
        <w:spacing w:before="120" w:after="120"/>
        <w:ind w:left="360"/>
        <w:jc w:val="both"/>
        <w:rPr>
          <w:rFonts w:ascii="Lato" w:hAnsi="Lato"/>
          <w:color w:val="000000" w:themeColor="text1"/>
          <w:sz w:val="22"/>
          <w:szCs w:val="22"/>
        </w:rPr>
      </w:pPr>
      <w:r w:rsidRPr="00AA22C4">
        <w:rPr>
          <w:rFonts w:ascii="Lato" w:hAnsi="Lato"/>
          <w:color w:val="000000" w:themeColor="text1"/>
          <w:sz w:val="22"/>
          <w:szCs w:val="22"/>
        </w:rPr>
        <w:t xml:space="preserve">2) </w:t>
      </w:r>
      <w:r w:rsidR="005E347E" w:rsidRPr="00AA22C4">
        <w:rPr>
          <w:rFonts w:ascii="Lato" w:hAnsi="Lato"/>
          <w:color w:val="000000" w:themeColor="text1"/>
          <w:sz w:val="22"/>
          <w:szCs w:val="22"/>
        </w:rPr>
        <w:t xml:space="preserve">w osoczu krwi analiza aminokwasów metodą </w:t>
      </w:r>
      <w:proofErr w:type="gramStart"/>
      <w:r w:rsidR="005E347E" w:rsidRPr="00AA22C4">
        <w:rPr>
          <w:rFonts w:ascii="Lato" w:hAnsi="Lato"/>
          <w:color w:val="000000" w:themeColor="text1"/>
          <w:sz w:val="22"/>
          <w:szCs w:val="22"/>
        </w:rPr>
        <w:t>HPLC:</w:t>
      </w:r>
      <w:r w:rsidR="005E347E" w:rsidRPr="00AA22C4">
        <w:rPr>
          <w:rFonts w:ascii="Arial" w:hAnsi="Arial" w:cs="Arial" w:hint="eastAsia"/>
          <w:color w:val="000000" w:themeColor="text1"/>
          <w:sz w:val="22"/>
          <w:szCs w:val="22"/>
        </w:rPr>
        <w:t>↑</w:t>
      </w:r>
      <w:proofErr w:type="gramEnd"/>
      <w:r w:rsidR="005E347E" w:rsidRPr="00AA22C4">
        <w:rPr>
          <w:rFonts w:ascii="Lato" w:hAnsi="Lato"/>
          <w:color w:val="000000" w:themeColor="text1"/>
          <w:sz w:val="22"/>
          <w:szCs w:val="22"/>
        </w:rPr>
        <w:t>-</w:t>
      </w:r>
      <w:r w:rsidR="005E347E" w:rsidRPr="00AA22C4">
        <w:rPr>
          <w:rFonts w:ascii="Arial" w:hAnsi="Arial" w:cs="Arial" w:hint="eastAsia"/>
          <w:color w:val="000000" w:themeColor="text1"/>
          <w:sz w:val="22"/>
          <w:szCs w:val="22"/>
        </w:rPr>
        <w:t>↑↑</w:t>
      </w:r>
      <w:r w:rsidR="005E347E" w:rsidRPr="00AA22C4">
        <w:rPr>
          <w:rFonts w:ascii="Lato" w:hAnsi="Lato"/>
          <w:color w:val="000000" w:themeColor="text1"/>
          <w:sz w:val="22"/>
          <w:szCs w:val="22"/>
        </w:rPr>
        <w:t xml:space="preserve"> Fenyloalanina (</w:t>
      </w:r>
      <w:proofErr w:type="spellStart"/>
      <w:r w:rsidR="005E347E" w:rsidRPr="00AA22C4">
        <w:rPr>
          <w:rFonts w:ascii="Lato" w:hAnsi="Lato"/>
          <w:color w:val="000000" w:themeColor="text1"/>
          <w:sz w:val="22"/>
          <w:szCs w:val="22"/>
        </w:rPr>
        <w:t>Phe</w:t>
      </w:r>
      <w:proofErr w:type="spellEnd"/>
      <w:r w:rsidR="005E347E" w:rsidRPr="00AA22C4">
        <w:rPr>
          <w:rFonts w:ascii="Lato" w:hAnsi="Lato"/>
          <w:color w:val="000000" w:themeColor="text1"/>
          <w:sz w:val="22"/>
          <w:szCs w:val="22"/>
        </w:rPr>
        <w:t xml:space="preserve">) i N lub </w:t>
      </w:r>
      <w:r w:rsidR="005E347E" w:rsidRPr="00AA22C4">
        <w:rPr>
          <w:rFonts w:ascii="Arial" w:hAnsi="Arial" w:cs="Arial" w:hint="eastAsia"/>
          <w:color w:val="000000" w:themeColor="text1"/>
          <w:sz w:val="22"/>
          <w:szCs w:val="22"/>
        </w:rPr>
        <w:t>↓</w:t>
      </w:r>
      <w:r w:rsidR="005E347E" w:rsidRPr="00AA22C4">
        <w:rPr>
          <w:rFonts w:ascii="Lato" w:hAnsi="Lato"/>
          <w:color w:val="000000" w:themeColor="text1"/>
          <w:sz w:val="22"/>
          <w:szCs w:val="22"/>
        </w:rPr>
        <w:t xml:space="preserve">Tyrozyna (Tyr), </w:t>
      </w:r>
      <w:r w:rsidR="005E347E" w:rsidRPr="00AA22C4">
        <w:rPr>
          <w:rFonts w:ascii="Arial" w:hAnsi="Arial" w:cs="Arial" w:hint="eastAsia"/>
          <w:color w:val="000000" w:themeColor="text1"/>
          <w:sz w:val="22"/>
          <w:szCs w:val="22"/>
        </w:rPr>
        <w:t>↑</w:t>
      </w:r>
      <w:r w:rsidR="005E347E" w:rsidRPr="00AA22C4">
        <w:rPr>
          <w:rFonts w:ascii="Lato" w:hAnsi="Lato"/>
          <w:color w:val="000000" w:themeColor="text1"/>
          <w:sz w:val="22"/>
          <w:szCs w:val="22"/>
        </w:rPr>
        <w:t xml:space="preserve"> </w:t>
      </w:r>
      <w:proofErr w:type="spellStart"/>
      <w:r w:rsidR="005E347E" w:rsidRPr="00AA22C4">
        <w:rPr>
          <w:rFonts w:ascii="Lato" w:hAnsi="Lato"/>
          <w:color w:val="000000" w:themeColor="text1"/>
          <w:sz w:val="22"/>
          <w:szCs w:val="22"/>
        </w:rPr>
        <w:t>Phe</w:t>
      </w:r>
      <w:proofErr w:type="spellEnd"/>
      <w:r w:rsidR="005E347E" w:rsidRPr="00AA22C4">
        <w:rPr>
          <w:rFonts w:ascii="Lato" w:hAnsi="Lato"/>
          <w:color w:val="000000" w:themeColor="text1"/>
          <w:sz w:val="22"/>
          <w:szCs w:val="22"/>
        </w:rPr>
        <w:t>/Tyr;</w:t>
      </w:r>
    </w:p>
    <w:p w14:paraId="06FA39A4" w14:textId="3AF21682" w:rsidR="005E347E" w:rsidRPr="00AA22C4" w:rsidRDefault="002C3DD8" w:rsidP="00AA22C4">
      <w:pPr>
        <w:spacing w:before="120" w:after="120"/>
        <w:ind w:left="360"/>
        <w:jc w:val="both"/>
        <w:rPr>
          <w:rFonts w:ascii="Lato" w:hAnsi="Lato"/>
          <w:color w:val="000000" w:themeColor="text1"/>
          <w:sz w:val="22"/>
          <w:szCs w:val="22"/>
        </w:rPr>
      </w:pPr>
      <w:r w:rsidRPr="00AA22C4">
        <w:rPr>
          <w:rFonts w:ascii="Lato" w:hAnsi="Lato"/>
          <w:color w:val="000000" w:themeColor="text1"/>
          <w:sz w:val="22"/>
          <w:szCs w:val="22"/>
        </w:rPr>
        <w:t xml:space="preserve">3) </w:t>
      </w:r>
      <w:r w:rsidR="005E347E" w:rsidRPr="00AA22C4">
        <w:rPr>
          <w:rFonts w:ascii="Lato" w:hAnsi="Lato"/>
          <w:color w:val="000000" w:themeColor="text1"/>
          <w:sz w:val="22"/>
          <w:szCs w:val="22"/>
        </w:rPr>
        <w:t>diagnostyka różnicowa: test z BH4, oznaczenie aktywności DHPR w krwi pobranej na bibułę;</w:t>
      </w:r>
    </w:p>
    <w:p w14:paraId="4881EE6B" w14:textId="32C0B0C8" w:rsidR="005E347E" w:rsidRPr="00AA22C4" w:rsidRDefault="002C3DD8" w:rsidP="00AA22C4">
      <w:pPr>
        <w:spacing w:before="120" w:after="120"/>
        <w:ind w:left="360"/>
        <w:jc w:val="both"/>
        <w:rPr>
          <w:rFonts w:ascii="Lato" w:hAnsi="Lato"/>
          <w:color w:val="000000" w:themeColor="text1"/>
          <w:sz w:val="22"/>
          <w:szCs w:val="22"/>
        </w:rPr>
      </w:pPr>
      <w:r w:rsidRPr="00AA22C4">
        <w:rPr>
          <w:rFonts w:ascii="Lato" w:hAnsi="Lato"/>
          <w:color w:val="000000" w:themeColor="text1"/>
          <w:sz w:val="22"/>
          <w:szCs w:val="22"/>
        </w:rPr>
        <w:t xml:space="preserve">4) </w:t>
      </w:r>
      <w:r w:rsidR="005E347E" w:rsidRPr="00AA22C4">
        <w:rPr>
          <w:rFonts w:ascii="Lato" w:hAnsi="Lato"/>
          <w:color w:val="000000" w:themeColor="text1"/>
          <w:sz w:val="22"/>
          <w:szCs w:val="22"/>
        </w:rPr>
        <w:t xml:space="preserve">w moczu – oznaczenie profilu </w:t>
      </w:r>
      <w:proofErr w:type="spellStart"/>
      <w:r w:rsidR="005E347E" w:rsidRPr="00AA22C4">
        <w:rPr>
          <w:rFonts w:ascii="Lato" w:hAnsi="Lato"/>
          <w:color w:val="000000" w:themeColor="text1"/>
          <w:sz w:val="22"/>
          <w:szCs w:val="22"/>
        </w:rPr>
        <w:t>pteryn</w:t>
      </w:r>
      <w:proofErr w:type="spellEnd"/>
      <w:r w:rsidR="005E347E" w:rsidRPr="00AA22C4">
        <w:rPr>
          <w:rFonts w:ascii="Lato" w:hAnsi="Lato"/>
          <w:color w:val="000000" w:themeColor="text1"/>
          <w:sz w:val="22"/>
          <w:szCs w:val="22"/>
        </w:rPr>
        <w:t>;</w:t>
      </w:r>
    </w:p>
    <w:p w14:paraId="3BA44E4C" w14:textId="2BE9164D" w:rsidR="005E347E" w:rsidRPr="00AA22C4" w:rsidRDefault="002C3DD8" w:rsidP="00AA22C4">
      <w:pPr>
        <w:spacing w:before="120" w:after="120"/>
        <w:ind w:left="360"/>
        <w:jc w:val="both"/>
        <w:rPr>
          <w:rFonts w:ascii="Lato" w:hAnsi="Lato"/>
          <w:color w:val="000000" w:themeColor="text1"/>
          <w:sz w:val="22"/>
          <w:szCs w:val="22"/>
        </w:rPr>
      </w:pPr>
      <w:r w:rsidRPr="00AA22C4">
        <w:rPr>
          <w:rFonts w:ascii="Lato" w:hAnsi="Lato"/>
          <w:color w:val="000000" w:themeColor="text1"/>
          <w:sz w:val="22"/>
          <w:szCs w:val="22"/>
        </w:rPr>
        <w:t xml:space="preserve">5) </w:t>
      </w:r>
      <w:r w:rsidR="005E347E" w:rsidRPr="00AA22C4">
        <w:rPr>
          <w:rFonts w:ascii="Lato" w:hAnsi="Lato"/>
          <w:color w:val="000000" w:themeColor="text1"/>
          <w:sz w:val="22"/>
          <w:szCs w:val="22"/>
        </w:rPr>
        <w:t xml:space="preserve">analiza DNA: badanie mutacji w genie </w:t>
      </w:r>
      <w:r w:rsidR="005E347E" w:rsidRPr="00AA22C4">
        <w:rPr>
          <w:rFonts w:ascii="Lato" w:hAnsi="Lato"/>
          <w:i/>
          <w:color w:val="000000" w:themeColor="text1"/>
          <w:sz w:val="22"/>
          <w:szCs w:val="22"/>
        </w:rPr>
        <w:t>PAH</w:t>
      </w:r>
      <w:r w:rsidR="005E347E" w:rsidRPr="00AA22C4">
        <w:rPr>
          <w:rFonts w:ascii="Lato" w:hAnsi="Lato"/>
          <w:color w:val="000000" w:themeColor="text1"/>
          <w:sz w:val="22"/>
          <w:szCs w:val="22"/>
        </w:rPr>
        <w:t xml:space="preserve">: </w:t>
      </w:r>
      <w:proofErr w:type="gramStart"/>
      <w:r w:rsidR="005E347E" w:rsidRPr="00AA22C4">
        <w:rPr>
          <w:rFonts w:ascii="Lato" w:hAnsi="Lato"/>
          <w:color w:val="000000" w:themeColor="text1"/>
          <w:sz w:val="22"/>
          <w:szCs w:val="22"/>
        </w:rPr>
        <w:t>p.Arg</w:t>
      </w:r>
      <w:proofErr w:type="gramEnd"/>
      <w:r w:rsidR="005E347E" w:rsidRPr="00AA22C4">
        <w:rPr>
          <w:rFonts w:ascii="Lato" w:hAnsi="Lato"/>
          <w:color w:val="000000" w:themeColor="text1"/>
          <w:sz w:val="22"/>
          <w:szCs w:val="22"/>
        </w:rPr>
        <w:t xml:space="preserve">408Trp, p.Arg158Gln, c.1315+1G&gt;A, </w:t>
      </w:r>
      <w:r w:rsidR="005E347E" w:rsidRPr="00AA22C4">
        <w:rPr>
          <w:rFonts w:ascii="Lato" w:hAnsi="Lato"/>
          <w:color w:val="000000" w:themeColor="text1"/>
          <w:sz w:val="22"/>
          <w:szCs w:val="22"/>
        </w:rPr>
        <w:lastRenderedPageBreak/>
        <w:t xml:space="preserve">c.1066-11G&gt;A oraz inne rzadkie mutacje w </w:t>
      </w:r>
      <w:proofErr w:type="spellStart"/>
      <w:r w:rsidR="005E347E" w:rsidRPr="00AA22C4">
        <w:rPr>
          <w:rFonts w:ascii="Lato" w:hAnsi="Lato"/>
          <w:color w:val="000000" w:themeColor="text1"/>
          <w:sz w:val="22"/>
          <w:szCs w:val="22"/>
        </w:rPr>
        <w:t>eksonach</w:t>
      </w:r>
      <w:proofErr w:type="spellEnd"/>
      <w:r w:rsidR="005E347E" w:rsidRPr="00AA22C4">
        <w:rPr>
          <w:rFonts w:ascii="Lato" w:hAnsi="Lato"/>
          <w:color w:val="000000" w:themeColor="text1"/>
          <w:sz w:val="22"/>
          <w:szCs w:val="22"/>
        </w:rPr>
        <w:t xml:space="preserve"> 5 i 12 genu </w:t>
      </w:r>
      <w:r w:rsidR="005E347E" w:rsidRPr="00AA22C4">
        <w:rPr>
          <w:rFonts w:ascii="Lato" w:hAnsi="Lato"/>
          <w:i/>
          <w:color w:val="000000" w:themeColor="text1"/>
          <w:sz w:val="22"/>
          <w:szCs w:val="22"/>
        </w:rPr>
        <w:t>PAH</w:t>
      </w:r>
      <w:r w:rsidR="005E347E" w:rsidRPr="00AA22C4">
        <w:rPr>
          <w:rFonts w:ascii="Lato" w:hAnsi="Lato"/>
          <w:color w:val="000000" w:themeColor="text1"/>
          <w:sz w:val="22"/>
          <w:szCs w:val="22"/>
        </w:rPr>
        <w:t xml:space="preserve"> - pierwszy etap procedury diagnostycznej;</w:t>
      </w:r>
    </w:p>
    <w:p w14:paraId="295C81C4" w14:textId="5B5D5918" w:rsidR="005E347E" w:rsidRPr="00AA22C4" w:rsidRDefault="002C3DD8" w:rsidP="00AA22C4">
      <w:pPr>
        <w:spacing w:before="120" w:after="120"/>
        <w:ind w:left="360"/>
        <w:jc w:val="both"/>
        <w:rPr>
          <w:rFonts w:ascii="Lato" w:hAnsi="Lato"/>
          <w:color w:val="000000" w:themeColor="text1"/>
          <w:sz w:val="22"/>
          <w:szCs w:val="22"/>
          <w:u w:val="single"/>
        </w:rPr>
      </w:pPr>
      <w:r w:rsidRPr="00AA22C4">
        <w:rPr>
          <w:rFonts w:ascii="Lato" w:hAnsi="Lato"/>
          <w:color w:val="000000" w:themeColor="text1"/>
          <w:sz w:val="22"/>
          <w:szCs w:val="22"/>
        </w:rPr>
        <w:t xml:space="preserve">6) </w:t>
      </w:r>
      <w:r w:rsidR="005E347E" w:rsidRPr="00AA22C4">
        <w:rPr>
          <w:rFonts w:ascii="Lato" w:hAnsi="Lato"/>
          <w:color w:val="000000" w:themeColor="text1"/>
          <w:sz w:val="22"/>
          <w:szCs w:val="22"/>
        </w:rPr>
        <w:t xml:space="preserve">badanie mutacji w </w:t>
      </w:r>
      <w:proofErr w:type="spellStart"/>
      <w:r w:rsidR="005E347E" w:rsidRPr="00AA22C4">
        <w:rPr>
          <w:rFonts w:ascii="Lato" w:hAnsi="Lato"/>
          <w:color w:val="000000" w:themeColor="text1"/>
          <w:sz w:val="22"/>
          <w:szCs w:val="22"/>
        </w:rPr>
        <w:t>eksonach</w:t>
      </w:r>
      <w:proofErr w:type="spellEnd"/>
      <w:r w:rsidR="005E347E" w:rsidRPr="00AA22C4">
        <w:rPr>
          <w:rFonts w:ascii="Lato" w:hAnsi="Lato"/>
          <w:color w:val="000000" w:themeColor="text1"/>
          <w:sz w:val="22"/>
          <w:szCs w:val="22"/>
        </w:rPr>
        <w:t xml:space="preserve"> 2, 3, 6, 7, 11 genu </w:t>
      </w:r>
      <w:r w:rsidR="005E347E" w:rsidRPr="00AA22C4">
        <w:rPr>
          <w:rFonts w:ascii="Lato" w:hAnsi="Lato"/>
          <w:i/>
          <w:color w:val="000000" w:themeColor="text1"/>
          <w:sz w:val="22"/>
          <w:szCs w:val="22"/>
        </w:rPr>
        <w:t>PAH</w:t>
      </w:r>
      <w:r w:rsidR="005E347E" w:rsidRPr="00AA22C4">
        <w:rPr>
          <w:rFonts w:ascii="Lato" w:hAnsi="Lato"/>
          <w:color w:val="000000" w:themeColor="text1"/>
          <w:sz w:val="22"/>
          <w:szCs w:val="22"/>
        </w:rPr>
        <w:t xml:space="preserve"> - drugi etap procedury diagnostycznej.</w:t>
      </w:r>
    </w:p>
    <w:p w14:paraId="5CEB12F8"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Leczenie:</w:t>
      </w:r>
    </w:p>
    <w:p w14:paraId="41439AF8"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Dieta ze znacznym ograniczeniem fenyloalaniny z niezbędnym regularnym monitorowaniem stężeń fenyloalaniny. Pacjenci mają dostęp do środków spożywczych specjalnego przeznaczenia medycznego dostępnych za odpłatnością ryczałtową w aptece na receptę.</w:t>
      </w:r>
    </w:p>
    <w:p w14:paraId="599D04FE" w14:textId="77777777" w:rsidR="005E347E" w:rsidRPr="00AA22C4" w:rsidRDefault="005E347E" w:rsidP="005E347E">
      <w:pPr>
        <w:pStyle w:val="Akapitzlist"/>
        <w:numPr>
          <w:ilvl w:val="0"/>
          <w:numId w:val="82"/>
        </w:numPr>
        <w:spacing w:before="240" w:after="120"/>
        <w:ind w:left="1077" w:hanging="357"/>
        <w:jc w:val="both"/>
        <w:rPr>
          <w:rFonts w:ascii="Lato" w:hAnsi="Lato"/>
          <w:bCs/>
          <w:color w:val="000000" w:themeColor="text1"/>
          <w:sz w:val="22"/>
          <w:szCs w:val="22"/>
        </w:rPr>
      </w:pPr>
      <w:r w:rsidRPr="00AA22C4">
        <w:rPr>
          <w:rFonts w:ascii="Lato" w:hAnsi="Lato"/>
          <w:b/>
          <w:bCs/>
          <w:color w:val="000000" w:themeColor="text1"/>
          <w:sz w:val="22"/>
          <w:szCs w:val="22"/>
        </w:rPr>
        <w:t xml:space="preserve">Rdzeniowy zanik mięśni – SMA </w:t>
      </w:r>
      <w:r w:rsidRPr="00AA22C4">
        <w:rPr>
          <w:rFonts w:ascii="Lato" w:hAnsi="Lato"/>
          <w:bCs/>
          <w:color w:val="000000" w:themeColor="text1"/>
          <w:sz w:val="22"/>
          <w:szCs w:val="22"/>
        </w:rPr>
        <w:t>(badanie przesiewowe całej populacji od kwietnia 2022 r.)</w:t>
      </w:r>
    </w:p>
    <w:p w14:paraId="77D56980" w14:textId="77777777" w:rsidR="005E347E" w:rsidRPr="00AA22C4" w:rsidRDefault="005E347E" w:rsidP="005E347E">
      <w:pPr>
        <w:suppressAutoHyphens/>
        <w:spacing w:before="120" w:after="120"/>
        <w:jc w:val="both"/>
        <w:rPr>
          <w:rFonts w:ascii="Lato" w:hAnsi="Lato"/>
          <w:color w:val="000000" w:themeColor="text1"/>
          <w:sz w:val="22"/>
          <w:szCs w:val="22"/>
        </w:rPr>
      </w:pPr>
      <w:r w:rsidRPr="00AA22C4">
        <w:rPr>
          <w:rFonts w:ascii="Lato" w:hAnsi="Lato"/>
          <w:color w:val="000000" w:themeColor="text1"/>
          <w:sz w:val="22"/>
          <w:szCs w:val="22"/>
          <w:u w:val="single"/>
        </w:rPr>
        <w:t>Opis</w:t>
      </w:r>
      <w:r w:rsidRPr="00AA22C4">
        <w:rPr>
          <w:rFonts w:ascii="Lato" w:hAnsi="Lato"/>
          <w:color w:val="000000" w:themeColor="text1"/>
          <w:sz w:val="22"/>
          <w:szCs w:val="22"/>
        </w:rPr>
        <w:t xml:space="preserve">: </w:t>
      </w:r>
    </w:p>
    <w:p w14:paraId="513D3C8C" w14:textId="77777777" w:rsidR="005E347E" w:rsidRPr="00AA22C4" w:rsidRDefault="005E347E" w:rsidP="005E347E">
      <w:pPr>
        <w:suppressAutoHyphens/>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Rdzeniowy zanik mięśni </w:t>
      </w:r>
      <w:r w:rsidRPr="00AA22C4">
        <w:rPr>
          <w:rFonts w:ascii="Lato" w:hAnsi="Lato"/>
          <w:i/>
          <w:iCs/>
          <w:color w:val="000000" w:themeColor="text1"/>
          <w:sz w:val="22"/>
          <w:szCs w:val="22"/>
        </w:rPr>
        <w:t xml:space="preserve">(SMA- </w:t>
      </w:r>
      <w:proofErr w:type="spellStart"/>
      <w:r w:rsidRPr="00AA22C4">
        <w:rPr>
          <w:rFonts w:ascii="Lato" w:hAnsi="Lato"/>
          <w:i/>
          <w:iCs/>
          <w:color w:val="000000" w:themeColor="text1"/>
          <w:sz w:val="22"/>
          <w:szCs w:val="22"/>
        </w:rPr>
        <w:t>spinal</w:t>
      </w:r>
      <w:proofErr w:type="spellEnd"/>
      <w:r w:rsidRPr="00AA22C4">
        <w:rPr>
          <w:rFonts w:ascii="Lato" w:hAnsi="Lato"/>
          <w:i/>
          <w:iCs/>
          <w:color w:val="000000" w:themeColor="text1"/>
          <w:sz w:val="22"/>
          <w:szCs w:val="22"/>
        </w:rPr>
        <w:t xml:space="preserve"> </w:t>
      </w:r>
      <w:proofErr w:type="spellStart"/>
      <w:r w:rsidRPr="00AA22C4">
        <w:rPr>
          <w:rFonts w:ascii="Lato" w:hAnsi="Lato"/>
          <w:i/>
          <w:iCs/>
          <w:color w:val="000000" w:themeColor="text1"/>
          <w:sz w:val="22"/>
          <w:szCs w:val="22"/>
        </w:rPr>
        <w:t>muscular</w:t>
      </w:r>
      <w:proofErr w:type="spellEnd"/>
      <w:r w:rsidRPr="00AA22C4">
        <w:rPr>
          <w:rFonts w:ascii="Lato" w:hAnsi="Lato"/>
          <w:i/>
          <w:iCs/>
          <w:color w:val="000000" w:themeColor="text1"/>
          <w:sz w:val="22"/>
          <w:szCs w:val="22"/>
        </w:rPr>
        <w:t xml:space="preserve"> </w:t>
      </w:r>
      <w:proofErr w:type="spellStart"/>
      <w:r w:rsidRPr="00AA22C4">
        <w:rPr>
          <w:rFonts w:ascii="Lato" w:hAnsi="Lato"/>
          <w:i/>
          <w:iCs/>
          <w:color w:val="000000" w:themeColor="text1"/>
          <w:sz w:val="22"/>
          <w:szCs w:val="22"/>
        </w:rPr>
        <w:t>atrophy</w:t>
      </w:r>
      <w:proofErr w:type="spellEnd"/>
      <w:r w:rsidRPr="00AA22C4">
        <w:rPr>
          <w:rFonts w:ascii="Lato" w:hAnsi="Lato"/>
          <w:i/>
          <w:iCs/>
          <w:color w:val="000000" w:themeColor="text1"/>
          <w:sz w:val="22"/>
          <w:szCs w:val="22"/>
        </w:rPr>
        <w:t>)</w:t>
      </w:r>
      <w:r w:rsidRPr="00AA22C4">
        <w:rPr>
          <w:rStyle w:val="hgkelc"/>
          <w:rFonts w:ascii="Lato" w:hAnsi="Lato"/>
          <w:color w:val="000000" w:themeColor="text1"/>
        </w:rPr>
        <w:t xml:space="preserve"> </w:t>
      </w:r>
      <w:r w:rsidRPr="00AA22C4">
        <w:rPr>
          <w:rFonts w:ascii="Lato" w:hAnsi="Lato"/>
          <w:color w:val="000000" w:themeColor="text1"/>
          <w:sz w:val="22"/>
          <w:szCs w:val="22"/>
        </w:rPr>
        <w:t xml:space="preserve">związany z mutacjami genu SMN1 (SMA5q) jest chorobą genetycznie uwarunkowaną, dziedziczoną jako cecha autosomalna recesywna. W przebiegu choroby dochodzi do obumierania </w:t>
      </w:r>
      <w:proofErr w:type="spellStart"/>
      <w:r w:rsidRPr="00AA22C4">
        <w:rPr>
          <w:rFonts w:ascii="Lato" w:hAnsi="Lato"/>
          <w:color w:val="000000" w:themeColor="text1"/>
          <w:sz w:val="22"/>
          <w:szCs w:val="22"/>
        </w:rPr>
        <w:t>motoneuronów</w:t>
      </w:r>
      <w:proofErr w:type="spellEnd"/>
      <w:r w:rsidRPr="00AA22C4">
        <w:rPr>
          <w:rFonts w:ascii="Lato" w:hAnsi="Lato"/>
          <w:color w:val="000000" w:themeColor="text1"/>
          <w:sz w:val="22"/>
          <w:szCs w:val="22"/>
        </w:rPr>
        <w:t xml:space="preserve"> rdzenia kręgowego, co w konsekwencji prowadzi do osłabienia i zaniku mięśni. Jest to ciężka i postępująca choroba, doprowadzająca w większości przypadków do unieruchomienia i niewydolności oddechowej. Pomimo poprawy standardów opieki nadal stanowi ona jedną z najczęstszych przyczyn zgonów dzieci wśród chorób uwarunkowanych genetycznie. </w:t>
      </w:r>
    </w:p>
    <w:p w14:paraId="3548BA2D" w14:textId="77777777" w:rsidR="005E347E" w:rsidRPr="00AA22C4" w:rsidRDefault="005E347E" w:rsidP="005E347E">
      <w:pPr>
        <w:suppressAutoHyphens/>
        <w:spacing w:before="120" w:after="120"/>
        <w:jc w:val="both"/>
        <w:rPr>
          <w:rFonts w:ascii="Lato" w:hAnsi="Lato"/>
          <w:color w:val="000000" w:themeColor="text1"/>
          <w:sz w:val="22"/>
          <w:szCs w:val="22"/>
        </w:rPr>
      </w:pPr>
      <w:r w:rsidRPr="00AA22C4">
        <w:rPr>
          <w:rFonts w:ascii="Lato" w:hAnsi="Lato"/>
          <w:color w:val="000000" w:themeColor="text1"/>
          <w:sz w:val="22"/>
          <w:szCs w:val="22"/>
        </w:rPr>
        <w:t>Rdzeniowy zanik mięśni charakteryzuje bardzo szerokie spektrum wieku zachorowania, nasilenia objawów, ciężkości przebiegu i występujących powikłań.</w:t>
      </w:r>
    </w:p>
    <w:p w14:paraId="421B18BB" w14:textId="77777777" w:rsidR="005E347E" w:rsidRPr="00AA22C4" w:rsidRDefault="005E347E" w:rsidP="005E347E">
      <w:pPr>
        <w:suppressAutoHyphens/>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Częstość występowania 1: 7 000 – 1: 8 000. </w:t>
      </w:r>
    </w:p>
    <w:p w14:paraId="2490833F" w14:textId="77777777" w:rsidR="005E347E" w:rsidRPr="00AA22C4" w:rsidRDefault="005E347E" w:rsidP="005E347E">
      <w:pPr>
        <w:suppressAutoHyphens/>
        <w:spacing w:before="120" w:after="120"/>
        <w:jc w:val="both"/>
        <w:rPr>
          <w:rFonts w:ascii="Lato" w:hAnsi="Lato"/>
          <w:color w:val="000000" w:themeColor="text1"/>
          <w:sz w:val="22"/>
          <w:szCs w:val="22"/>
          <w:u w:val="single"/>
        </w:rPr>
      </w:pPr>
      <w:r w:rsidRPr="00AA22C4">
        <w:rPr>
          <w:rFonts w:ascii="Lato" w:hAnsi="Lato"/>
          <w:color w:val="000000" w:themeColor="text1"/>
          <w:sz w:val="22"/>
          <w:szCs w:val="22"/>
          <w:u w:val="single"/>
        </w:rPr>
        <w:t>Dane epidemiologiczne:</w:t>
      </w:r>
    </w:p>
    <w:p w14:paraId="5707BC09" w14:textId="77777777" w:rsidR="005E347E" w:rsidRPr="00AA22C4" w:rsidRDefault="005E347E" w:rsidP="005E347E">
      <w:pPr>
        <w:suppressAutoHyphens/>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SMA jest jedną z najczęstszych chorób genetycznie uwarunkowanych, o zachorowalności porównywalnej z fenyloketonurią, objętą od lat badaniami przesiewowymi noworodków. </w:t>
      </w:r>
    </w:p>
    <w:p w14:paraId="5EC58F4B" w14:textId="77777777" w:rsidR="005E347E" w:rsidRPr="00AA22C4" w:rsidRDefault="005E347E" w:rsidP="005E347E">
      <w:pPr>
        <w:suppressAutoHyphens/>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Największe jak dotąd badania nad epidemiologią SMA, przeprowadzone w USA na wieloetnicznej grupie 68 478 osób, wskazują na zapadalność około 1 na 11 000 urodzeń oraz częstość nosicielstwa SMA w populacji ogólnej 1:54 osoby (69). W badaniach tych obserwowano duże różnice częstości nosicielstwa w zależności od rasy – najwyższą w rasie kaukaskiej (2,02%), najniższą wśród Afroamerykanów (0,98%). </w:t>
      </w:r>
    </w:p>
    <w:p w14:paraId="5C170AE8" w14:textId="67313F4C" w:rsidR="005E347E" w:rsidRPr="00AA22C4" w:rsidRDefault="005E347E" w:rsidP="005E347E">
      <w:pPr>
        <w:suppressAutoHyphens/>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W Europie choroba występuje częściej. Niedawno opublikowane badania nad epidemiologią SMA w Europie wskazują na częstość zachorowania na SMA wynoszącą około 1 na 8400 urodzeń (11.9/100000; 70). W okresie 2011 – 2015 zdiagnozowano w Europie 4653 pacjentów, w samym tylko 2015 </w:t>
      </w:r>
      <w:r w:rsidR="00B01154" w:rsidRPr="00AA22C4">
        <w:rPr>
          <w:rFonts w:ascii="Lato" w:hAnsi="Lato"/>
          <w:color w:val="000000" w:themeColor="text1"/>
          <w:sz w:val="22"/>
          <w:szCs w:val="22"/>
        </w:rPr>
        <w:t xml:space="preserve">r. </w:t>
      </w:r>
      <w:r w:rsidRPr="00AA22C4">
        <w:rPr>
          <w:rFonts w:ascii="Lato" w:hAnsi="Lato"/>
          <w:color w:val="000000" w:themeColor="text1"/>
          <w:sz w:val="22"/>
          <w:szCs w:val="22"/>
        </w:rPr>
        <w:t xml:space="preserve">– 992. Nowe dane uzyskane z pilotażowych badań przesiewowych </w:t>
      </w:r>
      <w:r w:rsidRPr="00AA22C4">
        <w:rPr>
          <w:rFonts w:ascii="Lato" w:hAnsi="Lato"/>
          <w:color w:val="000000" w:themeColor="text1"/>
          <w:sz w:val="22"/>
          <w:szCs w:val="22"/>
        </w:rPr>
        <w:lastRenderedPageBreak/>
        <w:t xml:space="preserve">noworodków w Niemczech i Belgii, sugerują jeszcze wyższą częstość zachorowania w naszym obszarze, która szacowana jest na około 1:7000 urodzeń (50, 71). </w:t>
      </w:r>
    </w:p>
    <w:p w14:paraId="7B0A5E3D" w14:textId="723DFE5F" w:rsidR="005E347E" w:rsidRPr="00AA22C4" w:rsidRDefault="005E347E" w:rsidP="005E347E">
      <w:pPr>
        <w:suppressAutoHyphens/>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W Polsce zachorowalność na SMA jest podobna. Badania, obejmujące okres 2011 </w:t>
      </w:r>
      <w:r w:rsidR="00CC3339" w:rsidRPr="00AA22C4">
        <w:rPr>
          <w:rFonts w:ascii="Lato" w:hAnsi="Lato"/>
          <w:color w:val="000000" w:themeColor="text1"/>
          <w:sz w:val="22"/>
          <w:szCs w:val="22"/>
        </w:rPr>
        <w:t xml:space="preserve">– </w:t>
      </w:r>
      <w:r w:rsidRPr="00AA22C4">
        <w:rPr>
          <w:rFonts w:ascii="Lato" w:hAnsi="Lato"/>
          <w:color w:val="000000" w:themeColor="text1"/>
          <w:sz w:val="22"/>
          <w:szCs w:val="22"/>
        </w:rPr>
        <w:t>2015, wykazały zachorowalność na poziomie około 1: 8300 (12: 100.000) (70). Zdiagnozowano w tym okresie 240 przypadków SMA. W 2015 r. rdzeniowy zanik mięśni rozpoznano u 54 pacjentów. Nadal nie jest znana liczba chorych, którzy nie uzyskali diagnozy. Starsze badania epidemiologiczne nad SMA, obejmujące okres 1998 – 2005, a opublikowane w 2010 r</w:t>
      </w:r>
      <w:r w:rsidR="00B01154" w:rsidRPr="00AA22C4">
        <w:rPr>
          <w:rFonts w:ascii="Lato" w:hAnsi="Lato"/>
          <w:color w:val="000000" w:themeColor="text1"/>
          <w:sz w:val="22"/>
          <w:szCs w:val="22"/>
        </w:rPr>
        <w:t>.</w:t>
      </w:r>
      <w:r w:rsidRPr="00AA22C4">
        <w:rPr>
          <w:rFonts w:ascii="Lato" w:hAnsi="Lato"/>
          <w:color w:val="000000" w:themeColor="text1"/>
          <w:sz w:val="22"/>
          <w:szCs w:val="22"/>
        </w:rPr>
        <w:t xml:space="preserve">, wskazywały na częstość zachorowania na 1: 9320 w skali kraju i 1: 7127 w Warszawie. Uzyskane wówczas dane sugerowały, że część pacjentów z SMA nie jest właściwie diagnozowana (63). </w:t>
      </w:r>
    </w:p>
    <w:p w14:paraId="57CE42F2" w14:textId="77777777" w:rsidR="005E347E" w:rsidRPr="00AA22C4" w:rsidRDefault="005E347E" w:rsidP="005E347E">
      <w:pPr>
        <w:suppressAutoHyphens/>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W przeciwieństwie do częstości zachorowania, oszacowanie chorobowości SMA jest trudniejsze. Wynika to ze zmienności wieku zachorowania, przebiegu oraz znacznie skróconej przeżywalności w ostrej formie choroby. Dodatkowo chorobowość jest modyfikowana obecnie przez wprowadzone leczenie. W przybliżeniu szacuje się, że w Polsce żyje około 1000 pacjentów z SMA. W Rejestrze Pacjentów z Rdzeniowym Zanikiem Mięśni, prowadzonym przy Klinice Neurologii Warszawskiego Uniwersytetu Medycznego od 2015 r. w ramach projektu TREAT-NMD, do końca 2019 r. zapisanych było 790 pacjentów, w tym 173 z SMA1, 218 z SMA2, 393 z SMA3 oraz 6 chorych na SMA4. Do programu leczenia </w:t>
      </w:r>
      <w:proofErr w:type="spellStart"/>
      <w:r w:rsidRPr="00AA22C4">
        <w:rPr>
          <w:rFonts w:ascii="Lato" w:hAnsi="Lato"/>
          <w:color w:val="000000" w:themeColor="text1"/>
          <w:sz w:val="22"/>
          <w:szCs w:val="22"/>
        </w:rPr>
        <w:t>Nusinersenem</w:t>
      </w:r>
      <w:proofErr w:type="spellEnd"/>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Spinrazą</w:t>
      </w:r>
      <w:proofErr w:type="spellEnd"/>
      <w:r w:rsidRPr="00AA22C4">
        <w:rPr>
          <w:rFonts w:ascii="Lato" w:hAnsi="Lato"/>
          <w:color w:val="000000" w:themeColor="text1"/>
          <w:sz w:val="22"/>
          <w:szCs w:val="22"/>
        </w:rPr>
        <w:t xml:space="preserve">) do końca 2020 r. zakwalifikowanych było blisko 700 pacjentów, a u ponad 650 rozpoczęto leczenie. </w:t>
      </w:r>
    </w:p>
    <w:p w14:paraId="1EEB1043" w14:textId="77777777" w:rsidR="005E347E" w:rsidRPr="00AA22C4" w:rsidRDefault="005E347E" w:rsidP="005E347E">
      <w:pPr>
        <w:suppressAutoHyphens/>
        <w:spacing w:before="120" w:after="120"/>
        <w:jc w:val="both"/>
        <w:rPr>
          <w:rFonts w:ascii="Lato" w:hAnsi="Lato"/>
          <w:color w:val="000000" w:themeColor="text1"/>
          <w:sz w:val="22"/>
          <w:szCs w:val="22"/>
          <w:u w:val="single"/>
        </w:rPr>
      </w:pPr>
      <w:r w:rsidRPr="00AA22C4">
        <w:rPr>
          <w:rFonts w:ascii="Lato" w:eastAsia="Arial Unicode MS" w:hAnsi="Lato"/>
          <w:bCs/>
          <w:color w:val="000000" w:themeColor="text1"/>
          <w:kern w:val="1"/>
          <w:sz w:val="22"/>
          <w:szCs w:val="22"/>
          <w:u w:val="single"/>
          <w:lang w:eastAsia="ar-SA"/>
        </w:rPr>
        <w:t>Objawy:</w:t>
      </w:r>
      <w:r w:rsidRPr="00AA22C4">
        <w:rPr>
          <w:rFonts w:ascii="Lato" w:hAnsi="Lato"/>
          <w:color w:val="000000" w:themeColor="text1"/>
          <w:sz w:val="22"/>
          <w:szCs w:val="22"/>
          <w:u w:val="single"/>
        </w:rPr>
        <w:t xml:space="preserve"> </w:t>
      </w:r>
    </w:p>
    <w:p w14:paraId="3ADBA5B8" w14:textId="77777777" w:rsidR="005E347E" w:rsidRPr="00AA22C4" w:rsidRDefault="005E347E" w:rsidP="005E347E">
      <w:pPr>
        <w:overflowPunct w:val="0"/>
        <w:adjustRightInd w:val="0"/>
        <w:ind w:firstLine="360"/>
        <w:jc w:val="both"/>
        <w:rPr>
          <w:rFonts w:ascii="Lato" w:hAnsi="Lato"/>
          <w:color w:val="000000" w:themeColor="text1"/>
          <w:sz w:val="22"/>
          <w:szCs w:val="22"/>
        </w:rPr>
      </w:pPr>
      <w:r w:rsidRPr="00AA22C4">
        <w:rPr>
          <w:rFonts w:ascii="Lato" w:hAnsi="Lato"/>
          <w:color w:val="000000" w:themeColor="text1"/>
          <w:sz w:val="22"/>
          <w:szCs w:val="22"/>
        </w:rPr>
        <w:t xml:space="preserve">W przebiegu rdzeniowego zaniku mięśni obserwuje się postępujące osłabienie siły mięśniowej i zanik mięśni, stopniowo obejmujące wszystkie grupy mięśniowe, także mięśnie oddechowe. Choroba charakteryzuje bardzo szerokim spektrum wieku zachorowania, nasilenia objawów, ciężkości przebiegu i występujących powikłań. Według aktualnej klasyfikacji przyjmuje się podział na 5 form: SMA0, 1, 2, 3 i 4 (57): </w:t>
      </w:r>
    </w:p>
    <w:p w14:paraId="17715358" w14:textId="4F547E5E" w:rsidR="005E347E" w:rsidRPr="00AA22C4" w:rsidRDefault="005E347E" w:rsidP="005E347E">
      <w:pPr>
        <w:pStyle w:val="Akapitzlist"/>
        <w:numPr>
          <w:ilvl w:val="0"/>
          <w:numId w:val="42"/>
        </w:numPr>
        <w:spacing w:before="120" w:after="120" w:line="360" w:lineRule="auto"/>
        <w:ind w:left="777" w:hanging="357"/>
        <w:jc w:val="both"/>
        <w:rPr>
          <w:rFonts w:ascii="Lato" w:hAnsi="Lato"/>
          <w:bCs/>
          <w:color w:val="000000" w:themeColor="text1"/>
          <w:sz w:val="22"/>
          <w:szCs w:val="22"/>
        </w:rPr>
      </w:pPr>
      <w:r w:rsidRPr="00AA22C4">
        <w:rPr>
          <w:rFonts w:ascii="Lato" w:hAnsi="Lato"/>
          <w:color w:val="000000" w:themeColor="text1"/>
          <w:sz w:val="22"/>
          <w:szCs w:val="22"/>
        </w:rPr>
        <w:t xml:space="preserve">SMA0 </w:t>
      </w:r>
      <w:r w:rsidR="00CC3339" w:rsidRPr="00AA22C4">
        <w:rPr>
          <w:rFonts w:ascii="Lato" w:hAnsi="Lato"/>
          <w:color w:val="000000" w:themeColor="text1"/>
          <w:sz w:val="22"/>
          <w:szCs w:val="22"/>
        </w:rPr>
        <w:t xml:space="preserve">– </w:t>
      </w:r>
      <w:r w:rsidRPr="00AA22C4">
        <w:rPr>
          <w:rFonts w:ascii="Lato" w:hAnsi="Lato"/>
          <w:color w:val="000000" w:themeColor="text1"/>
          <w:sz w:val="22"/>
          <w:szCs w:val="22"/>
        </w:rPr>
        <w:t xml:space="preserve">postać wrodzona z objawami w okresie prenatalnym. Ta postać jest najrzadsza. Pierwsze symptomy choroby obecne są </w:t>
      </w:r>
      <w:proofErr w:type="spellStart"/>
      <w:r w:rsidRPr="00AA22C4">
        <w:rPr>
          <w:rFonts w:ascii="Lato" w:hAnsi="Lato"/>
          <w:color w:val="000000" w:themeColor="text1"/>
          <w:sz w:val="22"/>
          <w:szCs w:val="22"/>
        </w:rPr>
        <w:t>pre</w:t>
      </w:r>
      <w:proofErr w:type="spellEnd"/>
      <w:r w:rsidRPr="00AA22C4">
        <w:rPr>
          <w:rFonts w:ascii="Lato" w:hAnsi="Lato"/>
          <w:color w:val="000000" w:themeColor="text1"/>
          <w:sz w:val="22"/>
          <w:szCs w:val="22"/>
        </w:rPr>
        <w:t xml:space="preserve">- lub </w:t>
      </w:r>
      <w:proofErr w:type="spellStart"/>
      <w:r w:rsidRPr="00AA22C4">
        <w:rPr>
          <w:rFonts w:ascii="Lato" w:hAnsi="Lato"/>
          <w:color w:val="000000" w:themeColor="text1"/>
          <w:sz w:val="22"/>
          <w:szCs w:val="22"/>
        </w:rPr>
        <w:t>okołonatalnie</w:t>
      </w:r>
      <w:proofErr w:type="spellEnd"/>
      <w:r w:rsidRPr="00AA22C4">
        <w:rPr>
          <w:rFonts w:ascii="Lato" w:hAnsi="Lato"/>
          <w:color w:val="000000" w:themeColor="text1"/>
          <w:sz w:val="22"/>
          <w:szCs w:val="22"/>
        </w:rPr>
        <w:t xml:space="preserve">. W tej formie choroby dzieci od urodzenia prezentują skrajną wiotkość, brak ruchów czynnych, brak odruchów głębokich i noworodkowych, niewydolność oddechową, brak odruchu ssania i połykania. Mogą współwystępować przykurcze, wnętrostwo u chłopców, wrodzone wady serca. Rokowanie jest bardzo złe. Większość dzieci </w:t>
      </w:r>
      <w:r w:rsidR="00E02794" w:rsidRPr="00AA22C4">
        <w:rPr>
          <w:rFonts w:ascii="Lato" w:hAnsi="Lato"/>
          <w:color w:val="000000" w:themeColor="text1"/>
          <w:sz w:val="22"/>
          <w:szCs w:val="22"/>
        </w:rPr>
        <w:t xml:space="preserve">umiera </w:t>
      </w:r>
      <w:r w:rsidRPr="00AA22C4">
        <w:rPr>
          <w:rFonts w:ascii="Lato" w:hAnsi="Lato"/>
          <w:color w:val="000000" w:themeColor="text1"/>
          <w:sz w:val="22"/>
          <w:szCs w:val="22"/>
        </w:rPr>
        <w:t>w pierwszych dniach</w:t>
      </w:r>
      <w:r w:rsidR="00AA22C4">
        <w:rPr>
          <w:rFonts w:ascii="Lato" w:hAnsi="Lato"/>
          <w:color w:val="000000" w:themeColor="text1"/>
          <w:sz w:val="22"/>
          <w:szCs w:val="22"/>
        </w:rPr>
        <w:t xml:space="preserve">, </w:t>
      </w:r>
      <w:r w:rsidRPr="00AA22C4">
        <w:rPr>
          <w:rFonts w:ascii="Lato" w:hAnsi="Lato"/>
          <w:color w:val="000000" w:themeColor="text1"/>
          <w:sz w:val="22"/>
          <w:szCs w:val="22"/>
        </w:rPr>
        <w:t>tygodniach życia w przebiegu niewydolności oddechowej lub jej powikłań;</w:t>
      </w:r>
    </w:p>
    <w:p w14:paraId="71972617" w14:textId="77777777" w:rsidR="005E347E" w:rsidRPr="00AA22C4" w:rsidRDefault="005E347E" w:rsidP="005E347E">
      <w:pPr>
        <w:pStyle w:val="Akapitzlist"/>
        <w:spacing w:before="120" w:after="120" w:line="360" w:lineRule="auto"/>
        <w:ind w:left="777"/>
        <w:jc w:val="both"/>
        <w:rPr>
          <w:rFonts w:ascii="Lato" w:hAnsi="Lato"/>
          <w:bCs/>
          <w:color w:val="000000" w:themeColor="text1"/>
          <w:sz w:val="22"/>
          <w:szCs w:val="22"/>
        </w:rPr>
      </w:pPr>
    </w:p>
    <w:p w14:paraId="4E9D395D" w14:textId="5DF699F8" w:rsidR="005E347E" w:rsidRPr="00AA22C4" w:rsidRDefault="005E347E" w:rsidP="005E347E">
      <w:pPr>
        <w:pStyle w:val="Akapitzlist"/>
        <w:numPr>
          <w:ilvl w:val="0"/>
          <w:numId w:val="42"/>
        </w:numPr>
        <w:spacing w:before="120" w:after="120" w:line="360" w:lineRule="auto"/>
        <w:ind w:left="777" w:hanging="357"/>
        <w:jc w:val="both"/>
        <w:rPr>
          <w:rFonts w:ascii="Lato" w:hAnsi="Lato"/>
          <w:bCs/>
          <w:color w:val="000000" w:themeColor="text1"/>
          <w:sz w:val="22"/>
          <w:szCs w:val="22"/>
        </w:rPr>
      </w:pPr>
      <w:r w:rsidRPr="00AA22C4">
        <w:rPr>
          <w:rFonts w:ascii="Lato" w:hAnsi="Lato"/>
          <w:bCs/>
          <w:color w:val="000000" w:themeColor="text1"/>
          <w:sz w:val="22"/>
          <w:szCs w:val="22"/>
        </w:rPr>
        <w:t xml:space="preserve">SMA1 (choroba </w:t>
      </w:r>
      <w:proofErr w:type="spellStart"/>
      <w:r w:rsidRPr="00AA22C4">
        <w:rPr>
          <w:rFonts w:ascii="Lato" w:hAnsi="Lato"/>
          <w:bCs/>
          <w:color w:val="000000" w:themeColor="text1"/>
          <w:sz w:val="22"/>
          <w:szCs w:val="22"/>
        </w:rPr>
        <w:t>Werdniga</w:t>
      </w:r>
      <w:proofErr w:type="spellEnd"/>
      <w:r w:rsidRPr="00AA22C4">
        <w:rPr>
          <w:rFonts w:ascii="Lato" w:hAnsi="Lato"/>
          <w:bCs/>
          <w:color w:val="000000" w:themeColor="text1"/>
          <w:sz w:val="22"/>
          <w:szCs w:val="22"/>
        </w:rPr>
        <w:t>-Hoffmanna) – jest formą najczęstszą i stanowi około 50%-</w:t>
      </w:r>
      <w:r w:rsidRPr="00AA22C4">
        <w:rPr>
          <w:rFonts w:ascii="Lato" w:hAnsi="Lato"/>
          <w:bCs/>
          <w:color w:val="000000" w:themeColor="text1"/>
          <w:sz w:val="22"/>
          <w:szCs w:val="22"/>
        </w:rPr>
        <w:lastRenderedPageBreak/>
        <w:t>60% wszystkich zachorowań na SMA.</w:t>
      </w:r>
      <w:r w:rsidRPr="00AA22C4">
        <w:rPr>
          <w:rFonts w:ascii="Lato" w:hAnsi="Lato"/>
          <w:color w:val="000000" w:themeColor="text1"/>
          <w:sz w:val="22"/>
          <w:szCs w:val="22"/>
        </w:rPr>
        <w:t xml:space="preserve"> Dzieci z postacią SMA1 zaczynają chorować przed 6 </w:t>
      </w:r>
      <w:proofErr w:type="spellStart"/>
      <w:r w:rsidRPr="00AA22C4">
        <w:rPr>
          <w:rFonts w:ascii="Lato" w:hAnsi="Lato"/>
          <w:color w:val="000000" w:themeColor="text1"/>
          <w:sz w:val="22"/>
          <w:szCs w:val="22"/>
        </w:rPr>
        <w:t>m.ż</w:t>
      </w:r>
      <w:proofErr w:type="spellEnd"/>
      <w:r w:rsidRPr="00AA22C4">
        <w:rPr>
          <w:rFonts w:ascii="Lato" w:hAnsi="Lato"/>
          <w:color w:val="000000" w:themeColor="text1"/>
          <w:sz w:val="22"/>
          <w:szCs w:val="22"/>
        </w:rPr>
        <w:t xml:space="preserve">. (zwykle w 2-3 </w:t>
      </w:r>
      <w:proofErr w:type="spellStart"/>
      <w:r w:rsidRPr="00AA22C4">
        <w:rPr>
          <w:rFonts w:ascii="Lato" w:hAnsi="Lato"/>
          <w:color w:val="000000" w:themeColor="text1"/>
          <w:sz w:val="22"/>
          <w:szCs w:val="22"/>
        </w:rPr>
        <w:t>m.ż</w:t>
      </w:r>
      <w:proofErr w:type="spellEnd"/>
      <w:r w:rsidRPr="00AA22C4">
        <w:rPr>
          <w:rFonts w:ascii="Lato" w:hAnsi="Lato"/>
          <w:color w:val="000000" w:themeColor="text1"/>
          <w:sz w:val="22"/>
          <w:szCs w:val="22"/>
        </w:rPr>
        <w:t>.) i bez leczenia farmakologicznego nigdy nie osiągają zdolności samodzielnego siedzenia. Zwykle przebieg ciąży, okres okołoporodowy i noworodkowy przebiegają bez powikłań. Pierwsze objawy rozpoznawane są najczęściej w drugim lub trzecim miesiącu życia, choć dane uzyskane z pierwszych badań przesiewowych noworodków sugerują obecność symptomów już w pierwszych tygodniach życia (</w:t>
      </w:r>
      <w:r w:rsidRPr="00AA22C4">
        <w:rPr>
          <w:rFonts w:ascii="Lato" w:eastAsia="Times New Roman" w:hAnsi="Lato"/>
          <w:color w:val="000000" w:themeColor="text1"/>
          <w:kern w:val="24"/>
          <w:sz w:val="22"/>
          <w:szCs w:val="22"/>
        </w:rPr>
        <w:t>71</w:t>
      </w:r>
      <w:r w:rsidRPr="00AA22C4">
        <w:rPr>
          <w:rFonts w:ascii="Lato" w:hAnsi="Lato"/>
          <w:color w:val="000000" w:themeColor="text1"/>
          <w:sz w:val="22"/>
          <w:szCs w:val="22"/>
        </w:rPr>
        <w:t xml:space="preserve">, </w:t>
      </w:r>
      <w:r w:rsidRPr="00AA22C4">
        <w:rPr>
          <w:rFonts w:ascii="Lato" w:eastAsia="Times New Roman" w:hAnsi="Lato"/>
          <w:color w:val="000000" w:themeColor="text1"/>
          <w:kern w:val="24"/>
          <w:sz w:val="22"/>
          <w:szCs w:val="22"/>
        </w:rPr>
        <w:t>65</w:t>
      </w:r>
      <w:r w:rsidRPr="00AA22C4">
        <w:rPr>
          <w:rFonts w:ascii="Lato" w:hAnsi="Lato"/>
          <w:color w:val="000000" w:themeColor="text1"/>
          <w:sz w:val="22"/>
          <w:szCs w:val="22"/>
        </w:rPr>
        <w:t>). Dziecko jest wiotkie, słabiej kopie nogami, męczy się przy jedzeniu, cicho płacze, nie dźwiga głowy. Choroba ma gwałtownie postępujący charakter.</w:t>
      </w:r>
      <w:r w:rsidRPr="00AA22C4">
        <w:rPr>
          <w:rFonts w:ascii="Lato" w:hAnsi="Lato"/>
          <w:b/>
          <w:color w:val="000000" w:themeColor="text1"/>
          <w:sz w:val="22"/>
          <w:szCs w:val="22"/>
        </w:rPr>
        <w:t xml:space="preserve"> </w:t>
      </w:r>
      <w:r w:rsidRPr="00AA22C4">
        <w:rPr>
          <w:rFonts w:ascii="Lato" w:hAnsi="Lato"/>
          <w:color w:val="000000" w:themeColor="text1"/>
          <w:sz w:val="22"/>
          <w:szCs w:val="22"/>
        </w:rPr>
        <w:t xml:space="preserve">Wiotkość i osłabienie mięśni narastają szybko, dziecko nie unosi nóżek w stawach biodrowych (pozycja żaby). Narasta wysiłek oddechowy, dziecko słabiej przybiera na wadze, nawracają infekcje dróg oddechowych, pojawia się dzwonowata klatka piersiowa. W badaniu klinicznym dominuje uogólniona wiotkość, pozycja żaby, brak kontroli głowy, brak odruchów głębokich, bardzo ograniczone ruchy czynne- czasem do dystalnych części kończyn, fibrylacje na języku. Zwraca uwagę pełna mimika twarzy i bardzo dobry kontakt emocjonalny. Niedowład obejmujący początkowo kończyny dolne, stopniowo obejmuje także kończyny górne i mięśnie tułowia, włącznie z mięśniami oddechowymi. W naturalnym przebiegu choroba w krótkim czasie prowadzi do </w:t>
      </w:r>
      <w:proofErr w:type="spellStart"/>
      <w:r w:rsidRPr="00AA22C4">
        <w:rPr>
          <w:rFonts w:ascii="Lato" w:hAnsi="Lato"/>
          <w:color w:val="000000" w:themeColor="text1"/>
          <w:sz w:val="22"/>
          <w:szCs w:val="22"/>
        </w:rPr>
        <w:t>tetraparezy</w:t>
      </w:r>
      <w:proofErr w:type="spellEnd"/>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teraplegii</w:t>
      </w:r>
      <w:proofErr w:type="spellEnd"/>
      <w:r w:rsidRPr="00AA22C4">
        <w:rPr>
          <w:rFonts w:ascii="Lato" w:hAnsi="Lato"/>
          <w:color w:val="000000" w:themeColor="text1"/>
          <w:sz w:val="22"/>
          <w:szCs w:val="22"/>
        </w:rPr>
        <w:t xml:space="preserve"> wiotkiej (pełne unieruchomienie- brak ruchów czynnych lub ruchy ograniczone do dłoni), niewydolności oddechowej, zaburzeń ssania i połykania. Dzieci wymagają </w:t>
      </w:r>
      <w:proofErr w:type="spellStart"/>
      <w:r w:rsidRPr="00AA22C4">
        <w:rPr>
          <w:rFonts w:ascii="Lato" w:hAnsi="Lato"/>
          <w:color w:val="000000" w:themeColor="text1"/>
          <w:sz w:val="22"/>
          <w:szCs w:val="22"/>
        </w:rPr>
        <w:t>respiratoterapii</w:t>
      </w:r>
      <w:proofErr w:type="spellEnd"/>
      <w:r w:rsidRPr="00AA22C4">
        <w:rPr>
          <w:rFonts w:ascii="Lato" w:hAnsi="Lato"/>
          <w:color w:val="000000" w:themeColor="text1"/>
          <w:sz w:val="22"/>
          <w:szCs w:val="22"/>
        </w:rPr>
        <w:t xml:space="preserve"> i gastrostomii. Mediana wieku przeżycia lub wieku wprowadzenia sztucznej wentylacji (&gt;16 godzin na dobę) dla SMA1 wynosi 13,5 miesiąca (59). Według badań australijskich szansa przeżycia 1,2, 4 i 10 lat dla dzieci z SMA1 wynosi odpowiednio 40%, 25%, 6% i 0% (58). Polsko – niemieckie badania z 2002 r</w:t>
      </w:r>
      <w:r w:rsidR="00B01154" w:rsidRPr="00AA22C4">
        <w:rPr>
          <w:rFonts w:ascii="Lato" w:hAnsi="Lato"/>
          <w:color w:val="000000" w:themeColor="text1"/>
          <w:sz w:val="22"/>
          <w:szCs w:val="22"/>
        </w:rPr>
        <w:t>.</w:t>
      </w:r>
      <w:r w:rsidRPr="00AA22C4">
        <w:rPr>
          <w:rFonts w:ascii="Lato" w:hAnsi="Lato"/>
          <w:color w:val="000000" w:themeColor="text1"/>
          <w:sz w:val="22"/>
          <w:szCs w:val="22"/>
        </w:rPr>
        <w:t xml:space="preserve"> wskazywały z kolei, że około 10% pacjentów z SMA1 dożywa do 5 </w:t>
      </w:r>
      <w:proofErr w:type="gramStart"/>
      <w:r w:rsidR="00E02794" w:rsidRPr="00AA22C4">
        <w:rPr>
          <w:rFonts w:ascii="Lato" w:hAnsi="Lato"/>
          <w:color w:val="000000" w:themeColor="text1"/>
          <w:sz w:val="22"/>
          <w:szCs w:val="22"/>
        </w:rPr>
        <w:t>r.ż.</w:t>
      </w:r>
      <w:r w:rsidRPr="00AA22C4">
        <w:rPr>
          <w:rFonts w:ascii="Lato" w:hAnsi="Lato"/>
          <w:color w:val="000000" w:themeColor="text1"/>
          <w:sz w:val="22"/>
          <w:szCs w:val="22"/>
        </w:rPr>
        <w:t>(</w:t>
      </w:r>
      <w:proofErr w:type="gramEnd"/>
      <w:r w:rsidRPr="00AA22C4">
        <w:rPr>
          <w:rFonts w:ascii="Lato" w:hAnsi="Lato"/>
          <w:color w:val="000000" w:themeColor="text1"/>
          <w:sz w:val="22"/>
          <w:szCs w:val="22"/>
        </w:rPr>
        <w:t xml:space="preserve">51). Większość dzieci umiera lub rozwija pełną zależność od respiratora do 2 r. ż., kilka procent przeżywa wiele lat, nawet bez wsparcia oddechu. Wsparcie oddechu i żywienia wydłuża okres przeżycia o miesiące i lata za cenę pełnej zależności oddechu wspomaganego oraz od gastrostomii (NIV/IV), przy braku poprawy funkcji motorycznych (49); </w:t>
      </w:r>
    </w:p>
    <w:p w14:paraId="00AE8C1E" w14:textId="7CE733C4" w:rsidR="005E347E" w:rsidRPr="00AA22C4" w:rsidRDefault="005E347E" w:rsidP="005E347E">
      <w:pPr>
        <w:pStyle w:val="Akapitzlist"/>
        <w:numPr>
          <w:ilvl w:val="0"/>
          <w:numId w:val="42"/>
        </w:numPr>
        <w:spacing w:before="120" w:after="120" w:line="360" w:lineRule="auto"/>
        <w:ind w:left="777" w:hanging="357"/>
        <w:jc w:val="both"/>
        <w:rPr>
          <w:rFonts w:ascii="Lato" w:hAnsi="Lato"/>
          <w:bCs/>
          <w:color w:val="000000" w:themeColor="text1"/>
          <w:sz w:val="22"/>
          <w:szCs w:val="22"/>
        </w:rPr>
      </w:pPr>
      <w:r w:rsidRPr="00AA22C4">
        <w:rPr>
          <w:rFonts w:ascii="Lato" w:hAnsi="Lato"/>
          <w:color w:val="000000" w:themeColor="text1"/>
          <w:sz w:val="22"/>
          <w:szCs w:val="22"/>
        </w:rPr>
        <w:t xml:space="preserve">SMA2 - stanowi około 20% przypadków SMA. </w:t>
      </w:r>
      <w:r w:rsidRPr="00AA22C4">
        <w:rPr>
          <w:rFonts w:ascii="Lato" w:eastAsia="Times New Roman" w:hAnsi="Lato"/>
          <w:color w:val="000000" w:themeColor="text1"/>
          <w:kern w:val="24"/>
          <w:sz w:val="22"/>
          <w:szCs w:val="22"/>
        </w:rPr>
        <w:t xml:space="preserve">Dzieci z SMA2 zaczynają siedzieć, ale nigdy nie osiągają zdolności samodzielnego chodzenia. </w:t>
      </w:r>
      <w:r w:rsidRPr="00AA22C4">
        <w:rPr>
          <w:rFonts w:ascii="Lato" w:hAnsi="Lato"/>
          <w:color w:val="000000" w:themeColor="text1"/>
          <w:sz w:val="22"/>
          <w:szCs w:val="22"/>
        </w:rPr>
        <w:t xml:space="preserve">Początek objawów przypada zwykle na 6 – 18 m. ż. W pierwszych kilku miesiącach życia rozwój wydaje się prawidłowy, dziecko osiąga zdolność samodzielnego siedzenia o czasie lub z nieznacznym opóźnieniem. Część chorych zaczyna raczkować, wstawać przy sprzętach. W tym okresie rozwój ruchowy zostaje zahamowany, dziecko słabnie, nie osiąga zdolności chodzenia. W badaniu dominuje proksymalne osłabienie, bardziej nasilone w </w:t>
      </w:r>
      <w:r w:rsidRPr="00AA22C4">
        <w:rPr>
          <w:rFonts w:ascii="Lato" w:hAnsi="Lato"/>
          <w:color w:val="000000" w:themeColor="text1"/>
          <w:sz w:val="22"/>
          <w:szCs w:val="22"/>
        </w:rPr>
        <w:lastRenderedPageBreak/>
        <w:t xml:space="preserve">kończynach dolnych, nasilona wiotkość. Bardzo charakterystyczne dla tej postaci jest drżenie paluszków i bardzo wiotkie dłonie. Z czasem osłabienie siły mięśniowej narasta, doprowadzając do ciężkiej </w:t>
      </w:r>
      <w:proofErr w:type="spellStart"/>
      <w:r w:rsidRPr="00AA22C4">
        <w:rPr>
          <w:rFonts w:ascii="Lato" w:hAnsi="Lato"/>
          <w:color w:val="000000" w:themeColor="text1"/>
          <w:sz w:val="22"/>
          <w:szCs w:val="22"/>
        </w:rPr>
        <w:t>teraparezy</w:t>
      </w:r>
      <w:proofErr w:type="spellEnd"/>
      <w:r w:rsidRPr="00AA22C4">
        <w:rPr>
          <w:rFonts w:ascii="Lato" w:hAnsi="Lato"/>
          <w:color w:val="000000" w:themeColor="text1"/>
          <w:sz w:val="22"/>
          <w:szCs w:val="22"/>
        </w:rPr>
        <w:t xml:space="preserve"> wiotkiej. Pacjent traci zdolność samodzielnego siedzenia, nie przekręca się na boki, wymaga pełnej pomocy w czynnościach dnia codziennego. Szybko dochodzi do powikłań w układzie ruchowym: narastają przykurcze wielostawowe, wcześnie rozwija się skolioza. </w:t>
      </w:r>
      <w:r w:rsidRPr="00AA22C4">
        <w:rPr>
          <w:rFonts w:ascii="Lato" w:hAnsi="Lato"/>
          <w:bCs/>
          <w:color w:val="000000" w:themeColor="text1"/>
          <w:sz w:val="22"/>
          <w:szCs w:val="22"/>
        </w:rPr>
        <w:t>Rokowanie co do życia dla pacjentów z postacią 2 jest znacznie lepsze. Około 93% chorych dożywa 25</w:t>
      </w:r>
      <w:r w:rsidR="00E02794" w:rsidRPr="00AA22C4">
        <w:rPr>
          <w:rFonts w:ascii="Lato" w:hAnsi="Lato"/>
          <w:bCs/>
          <w:color w:val="000000" w:themeColor="text1"/>
          <w:sz w:val="22"/>
          <w:szCs w:val="22"/>
        </w:rPr>
        <w:t xml:space="preserve"> r.ż.</w:t>
      </w:r>
      <w:r w:rsidRPr="00AA22C4">
        <w:rPr>
          <w:rFonts w:ascii="Lato" w:hAnsi="Lato"/>
          <w:bCs/>
          <w:color w:val="000000" w:themeColor="text1"/>
          <w:sz w:val="22"/>
          <w:szCs w:val="22"/>
        </w:rPr>
        <w:t>, a około 52% - 40</w:t>
      </w:r>
      <w:r w:rsidR="00E02794" w:rsidRPr="00AA22C4">
        <w:rPr>
          <w:rFonts w:ascii="Lato" w:hAnsi="Lato"/>
          <w:bCs/>
          <w:color w:val="000000" w:themeColor="text1"/>
          <w:sz w:val="22"/>
          <w:szCs w:val="22"/>
        </w:rPr>
        <w:t xml:space="preserve"> r.ż.</w:t>
      </w:r>
      <w:r w:rsidRPr="00AA22C4">
        <w:rPr>
          <w:rFonts w:ascii="Lato" w:hAnsi="Lato"/>
          <w:bCs/>
          <w:color w:val="000000" w:themeColor="text1"/>
          <w:sz w:val="22"/>
          <w:szCs w:val="22"/>
        </w:rPr>
        <w:t xml:space="preserve"> (58). Stopień niepełnosprawności ruchowej jest jednak bardzo głęboki, z czasem ruchy ograniczone są do ruchów w obrębie dłoni. Pacjenci są w pełni uzależnieni od pomocy osób trzecich. Wymagają całkowitej pomocy w czynnościach dnia codziennego, przy w pełni zachowanej sprawności intelektualnej;</w:t>
      </w:r>
    </w:p>
    <w:p w14:paraId="4341FA85" w14:textId="77777777" w:rsidR="005E347E" w:rsidRPr="00AA22C4" w:rsidRDefault="005E347E" w:rsidP="005E347E">
      <w:pPr>
        <w:pStyle w:val="Akapitzlist"/>
        <w:numPr>
          <w:ilvl w:val="0"/>
          <w:numId w:val="42"/>
        </w:numPr>
        <w:spacing w:before="120" w:after="120" w:line="360" w:lineRule="auto"/>
        <w:ind w:left="777" w:hanging="357"/>
        <w:jc w:val="both"/>
        <w:rPr>
          <w:rFonts w:ascii="Lato" w:hAnsi="Lato"/>
          <w:color w:val="000000" w:themeColor="text1"/>
          <w:sz w:val="22"/>
          <w:szCs w:val="22"/>
        </w:rPr>
      </w:pPr>
      <w:r w:rsidRPr="00AA22C4">
        <w:rPr>
          <w:rFonts w:ascii="Lato" w:hAnsi="Lato"/>
          <w:color w:val="000000" w:themeColor="text1"/>
          <w:sz w:val="22"/>
          <w:szCs w:val="22"/>
        </w:rPr>
        <w:t xml:space="preserve">SMA3 (choroba </w:t>
      </w:r>
      <w:proofErr w:type="spellStart"/>
      <w:r w:rsidRPr="00AA22C4">
        <w:rPr>
          <w:rFonts w:ascii="Lato" w:hAnsi="Lato"/>
          <w:color w:val="000000" w:themeColor="text1"/>
          <w:sz w:val="22"/>
          <w:szCs w:val="22"/>
        </w:rPr>
        <w:t>Kugelberga-Welander</w:t>
      </w:r>
      <w:proofErr w:type="spellEnd"/>
      <w:r w:rsidRPr="00AA22C4">
        <w:rPr>
          <w:rFonts w:ascii="Lato" w:hAnsi="Lato"/>
          <w:color w:val="000000" w:themeColor="text1"/>
          <w:sz w:val="22"/>
          <w:szCs w:val="22"/>
        </w:rPr>
        <w:t xml:space="preserve">) - stanowi około 30% zachorowań na SMA i jest bardzo zmienna w swoim przebiegu. </w:t>
      </w:r>
      <w:r w:rsidRPr="00AA22C4">
        <w:rPr>
          <w:rFonts w:ascii="Lato" w:eastAsia="Times New Roman" w:hAnsi="Lato"/>
          <w:bCs/>
          <w:color w:val="000000" w:themeColor="text1"/>
          <w:kern w:val="24"/>
          <w:sz w:val="22"/>
          <w:szCs w:val="22"/>
        </w:rPr>
        <w:t>Pacjenci z postacią 3 zaczynają</w:t>
      </w:r>
      <w:r w:rsidRPr="00AA22C4">
        <w:rPr>
          <w:rFonts w:ascii="Lato" w:eastAsia="Times New Roman" w:hAnsi="Lato"/>
          <w:b/>
          <w:color w:val="000000" w:themeColor="text1"/>
          <w:kern w:val="24"/>
          <w:sz w:val="22"/>
          <w:szCs w:val="22"/>
        </w:rPr>
        <w:t xml:space="preserve"> </w:t>
      </w:r>
      <w:r w:rsidRPr="00AA22C4">
        <w:rPr>
          <w:rFonts w:ascii="Lato" w:eastAsia="Times New Roman" w:hAnsi="Lato"/>
          <w:bCs/>
          <w:color w:val="000000" w:themeColor="text1"/>
          <w:kern w:val="24"/>
          <w:sz w:val="22"/>
          <w:szCs w:val="22"/>
        </w:rPr>
        <w:t>samodzielnie chodzić. W pewnym w</w:t>
      </w:r>
      <w:r w:rsidRPr="00AA22C4">
        <w:rPr>
          <w:rFonts w:ascii="Lato" w:eastAsia="Times New Roman" w:hAnsi="Lato"/>
          <w:color w:val="000000" w:themeColor="text1"/>
          <w:kern w:val="24"/>
          <w:sz w:val="22"/>
          <w:szCs w:val="22"/>
        </w:rPr>
        <w:t xml:space="preserve">ieku (poniżej 3 r.ż. w postaci 3a i powyżej 3 r.ż. w postaci 3b) pojawia się osłabienie siły mięśniowej, które stopniowo postępuje. </w:t>
      </w:r>
      <w:r w:rsidRPr="00AA22C4">
        <w:rPr>
          <w:rFonts w:ascii="Lato" w:hAnsi="Lato"/>
          <w:color w:val="000000" w:themeColor="text1"/>
          <w:sz w:val="22"/>
          <w:szCs w:val="22"/>
        </w:rPr>
        <w:t xml:space="preserve">Dzieci z SMA3a od początku chodzą źle, nie biegają, często się przewracają, mają problemy z wchodzeniem po schodach. Relatywnie szybko tracą także zdolność samodzielnego chodzenia, większość rozwija skoliozę. W przypadku zachorowania po 3 r. ż. mówi się o tzw. postaci SMA3b. U tych chorych może być obecny rzekomy przerost łydek. Niezależnie od wieku pierwszych objawów choroba ma przebieg stale postępujący. Wbrew nazwie tej postaci, przebieg naturalny wcale nie jest łagodny. Zwłaszcza postać 3a po wielu latach może doprowadzić do pełnego unieruchomienia z brakiem możliwości zmiany pozycji, z ruchami czynnymi ograniczonymi do zgięcia w stawie łokciowym i ruchów palców dłoni. </w:t>
      </w:r>
      <w:r w:rsidRPr="00AA22C4">
        <w:rPr>
          <w:rFonts w:ascii="Lato" w:eastAsia="Times New Roman" w:hAnsi="Lato"/>
          <w:color w:val="000000" w:themeColor="text1"/>
          <w:kern w:val="24"/>
          <w:sz w:val="22"/>
          <w:szCs w:val="22"/>
        </w:rPr>
        <w:t>W wieku dojrzewania wielu chorych traci zdolność samodzielnego chodzenia. S</w:t>
      </w:r>
      <w:r w:rsidRPr="00AA22C4">
        <w:rPr>
          <w:rFonts w:ascii="Lato" w:eastAsia="Times New Roman" w:hAnsi="Lato"/>
          <w:color w:val="000000" w:themeColor="text1"/>
          <w:sz w:val="22"/>
          <w:szCs w:val="22"/>
          <w:lang w:eastAsia="pl-PL"/>
        </w:rPr>
        <w:t>topień niepełnosprawności ruchowej pacjentów z SMA3 jest znaczny</w:t>
      </w:r>
      <w:r w:rsidRPr="00AA22C4">
        <w:rPr>
          <w:rFonts w:ascii="Lato" w:hAnsi="Lato"/>
          <w:color w:val="000000" w:themeColor="text1"/>
          <w:sz w:val="22"/>
          <w:szCs w:val="22"/>
        </w:rPr>
        <w:t>.</w:t>
      </w:r>
      <w:r w:rsidRPr="00AA22C4">
        <w:rPr>
          <w:rFonts w:ascii="Lato" w:eastAsia="Times New Roman" w:hAnsi="Lato"/>
          <w:color w:val="000000" w:themeColor="text1"/>
          <w:sz w:val="22"/>
          <w:szCs w:val="22"/>
          <w:lang w:eastAsia="pl-PL"/>
        </w:rPr>
        <w:t xml:space="preserve"> </w:t>
      </w:r>
      <w:r w:rsidRPr="00AA22C4">
        <w:rPr>
          <w:rFonts w:ascii="Lato" w:hAnsi="Lato"/>
          <w:color w:val="000000" w:themeColor="text1"/>
          <w:sz w:val="22"/>
          <w:szCs w:val="22"/>
        </w:rPr>
        <w:t xml:space="preserve">Pomimo dobrego rokowania, </w:t>
      </w:r>
      <w:r w:rsidRPr="00AA22C4">
        <w:rPr>
          <w:rFonts w:ascii="Lato" w:eastAsia="Times New Roman" w:hAnsi="Lato"/>
          <w:color w:val="000000" w:themeColor="text1"/>
          <w:sz w:val="22"/>
          <w:szCs w:val="22"/>
          <w:lang w:eastAsia="pl-PL"/>
        </w:rPr>
        <w:t xml:space="preserve">większość z nich wymaga pomocy w czynnościach dnia codziennego, takich jak ubieranie, mycie, korzystanie z toalety czy nawet zmiana pozycji ciała w trakcie snu. </w:t>
      </w:r>
      <w:r w:rsidRPr="00AA22C4">
        <w:rPr>
          <w:rFonts w:ascii="Lato" w:hAnsi="Lato"/>
          <w:color w:val="000000" w:themeColor="text1"/>
          <w:sz w:val="22"/>
          <w:szCs w:val="22"/>
        </w:rPr>
        <w:t>Prawdopodobieństwo zachowania zdolności samodzielnego chodzenia po 10, 20 i 40 latach trwania choroby wynosi odpowiednio 73%, 44% i 34% dla grupy 3a oraz 97%, 89% i 67% dla grupy 3b (74);</w:t>
      </w:r>
    </w:p>
    <w:p w14:paraId="55348CD2" w14:textId="44E0D8DD" w:rsidR="005E347E" w:rsidRPr="00AA22C4" w:rsidRDefault="005E347E" w:rsidP="005E347E">
      <w:pPr>
        <w:pStyle w:val="Akapitzlist"/>
        <w:numPr>
          <w:ilvl w:val="0"/>
          <w:numId w:val="42"/>
        </w:numPr>
        <w:spacing w:before="120" w:after="120" w:line="360" w:lineRule="auto"/>
        <w:ind w:left="777" w:hanging="357"/>
        <w:jc w:val="both"/>
        <w:rPr>
          <w:rFonts w:ascii="Lato" w:hAnsi="Lato"/>
          <w:bCs/>
          <w:color w:val="000000" w:themeColor="text1"/>
          <w:sz w:val="22"/>
          <w:szCs w:val="22"/>
        </w:rPr>
      </w:pPr>
      <w:r w:rsidRPr="00AA22C4">
        <w:rPr>
          <w:rFonts w:ascii="Lato" w:hAnsi="Lato"/>
          <w:color w:val="000000" w:themeColor="text1"/>
          <w:sz w:val="22"/>
          <w:szCs w:val="22"/>
        </w:rPr>
        <w:t>SMA4 (postać dorosłych) - występuje bardzo rzadko. Pierwsze objawy choroby pod postacią osłabienia mięśni obręczy biodrowej pojawiają się w wieku dorosłym (po 18</w:t>
      </w:r>
      <w:r w:rsidR="003F6D17" w:rsidRPr="00AA22C4">
        <w:rPr>
          <w:rFonts w:ascii="Lato" w:hAnsi="Lato"/>
          <w:color w:val="000000" w:themeColor="text1"/>
          <w:sz w:val="22"/>
          <w:szCs w:val="22"/>
        </w:rPr>
        <w:t xml:space="preserve"> r.ż.</w:t>
      </w:r>
      <w:r w:rsidRPr="00AA22C4">
        <w:rPr>
          <w:rFonts w:ascii="Lato" w:hAnsi="Lato"/>
          <w:color w:val="000000" w:themeColor="text1"/>
          <w:sz w:val="22"/>
          <w:szCs w:val="22"/>
        </w:rPr>
        <w:t xml:space="preserve">). Pacjent ma problemy z chodzeniem po schodach, wstawaniem z pozycji </w:t>
      </w:r>
      <w:proofErr w:type="spellStart"/>
      <w:r w:rsidRPr="00AA22C4">
        <w:rPr>
          <w:rFonts w:ascii="Lato" w:hAnsi="Lato"/>
          <w:color w:val="000000" w:themeColor="text1"/>
          <w:sz w:val="22"/>
          <w:szCs w:val="22"/>
        </w:rPr>
        <w:t>kucznej</w:t>
      </w:r>
      <w:proofErr w:type="spellEnd"/>
      <w:r w:rsidRPr="00AA22C4">
        <w:rPr>
          <w:rFonts w:ascii="Lato" w:hAnsi="Lato"/>
          <w:color w:val="000000" w:themeColor="text1"/>
          <w:sz w:val="22"/>
          <w:szCs w:val="22"/>
        </w:rPr>
        <w:t xml:space="preserve">, pojawia się męczliwość. Choroba ma charakter postępujący. Skraca się dystans, który pacjent może przejść. Pojawia się tendencja do częstych niekontrolowanych upadków </w:t>
      </w:r>
      <w:r w:rsidRPr="00AA22C4">
        <w:rPr>
          <w:rFonts w:ascii="Lato" w:hAnsi="Lato"/>
          <w:color w:val="000000" w:themeColor="text1"/>
          <w:sz w:val="22"/>
          <w:szCs w:val="22"/>
        </w:rPr>
        <w:lastRenderedPageBreak/>
        <w:t>oraz osłabienie mięśni obręczy barkowej. Narasta niedowład wiotki. Choroba rzadko jednak doprowadza do utraty zdolności chodzenia.</w:t>
      </w:r>
    </w:p>
    <w:p w14:paraId="5C0B24B0" w14:textId="77777777" w:rsidR="005E347E" w:rsidRPr="00AA22C4" w:rsidRDefault="005E347E" w:rsidP="005E347E">
      <w:pPr>
        <w:spacing w:before="120" w:after="120"/>
        <w:jc w:val="both"/>
        <w:rPr>
          <w:rFonts w:ascii="Lato" w:eastAsia="Arial Unicode MS" w:hAnsi="Lato"/>
          <w:bCs/>
          <w:color w:val="000000" w:themeColor="text1"/>
          <w:sz w:val="22"/>
          <w:szCs w:val="22"/>
          <w:u w:val="single"/>
        </w:rPr>
      </w:pPr>
      <w:r w:rsidRPr="00AA22C4">
        <w:rPr>
          <w:rFonts w:ascii="Lato" w:eastAsia="Arial Unicode MS" w:hAnsi="Lato"/>
          <w:bCs/>
          <w:color w:val="000000" w:themeColor="text1"/>
          <w:sz w:val="22"/>
          <w:szCs w:val="22"/>
          <w:u w:val="single"/>
        </w:rPr>
        <w:t>Diagnostyka:</w:t>
      </w:r>
    </w:p>
    <w:p w14:paraId="328B49F5" w14:textId="77777777" w:rsidR="005E347E" w:rsidRPr="00AA22C4" w:rsidRDefault="005E347E" w:rsidP="005E347E">
      <w:pPr>
        <w:spacing w:before="120" w:after="120"/>
        <w:jc w:val="both"/>
        <w:rPr>
          <w:rFonts w:ascii="Lato" w:hAnsi="Lato"/>
          <w:color w:val="000000" w:themeColor="text1"/>
          <w:kern w:val="28"/>
          <w:sz w:val="22"/>
          <w:szCs w:val="22"/>
        </w:rPr>
      </w:pPr>
      <w:r w:rsidRPr="00AA22C4">
        <w:rPr>
          <w:rFonts w:ascii="Lato" w:hAnsi="Lato"/>
          <w:color w:val="000000" w:themeColor="text1"/>
          <w:kern w:val="28"/>
          <w:sz w:val="22"/>
          <w:szCs w:val="22"/>
        </w:rPr>
        <w:t xml:space="preserve">Najczęściej stosuje się test z wykorzystaniem techniki MLPA, który daje informację o liczbie kopii genu </w:t>
      </w:r>
      <w:r w:rsidRPr="00AA22C4">
        <w:rPr>
          <w:rFonts w:ascii="Lato" w:hAnsi="Lato"/>
          <w:i/>
          <w:color w:val="000000" w:themeColor="text1"/>
          <w:kern w:val="28"/>
          <w:sz w:val="22"/>
          <w:szCs w:val="22"/>
        </w:rPr>
        <w:t>SMN1</w:t>
      </w:r>
      <w:r w:rsidRPr="00AA22C4">
        <w:rPr>
          <w:rFonts w:ascii="Lato" w:hAnsi="Lato"/>
          <w:color w:val="000000" w:themeColor="text1"/>
          <w:kern w:val="28"/>
          <w:sz w:val="22"/>
          <w:szCs w:val="22"/>
        </w:rPr>
        <w:t xml:space="preserve"> i </w:t>
      </w:r>
      <w:r w:rsidRPr="00AA22C4">
        <w:rPr>
          <w:rFonts w:ascii="Lato" w:hAnsi="Lato"/>
          <w:i/>
          <w:color w:val="000000" w:themeColor="text1"/>
          <w:kern w:val="28"/>
          <w:sz w:val="22"/>
          <w:szCs w:val="22"/>
        </w:rPr>
        <w:t>SMN2</w:t>
      </w:r>
      <w:r w:rsidRPr="00AA22C4">
        <w:rPr>
          <w:rFonts w:ascii="Lato" w:hAnsi="Lato"/>
          <w:color w:val="000000" w:themeColor="text1"/>
          <w:kern w:val="28"/>
          <w:sz w:val="22"/>
          <w:szCs w:val="22"/>
        </w:rPr>
        <w:t xml:space="preserve">. Brak obu alleli </w:t>
      </w:r>
      <w:r w:rsidRPr="00AA22C4">
        <w:rPr>
          <w:rFonts w:ascii="Lato" w:hAnsi="Lato"/>
          <w:i/>
          <w:color w:val="000000" w:themeColor="text1"/>
          <w:kern w:val="28"/>
          <w:sz w:val="22"/>
          <w:szCs w:val="22"/>
        </w:rPr>
        <w:t>SMN1</w:t>
      </w:r>
      <w:r w:rsidRPr="00AA22C4">
        <w:rPr>
          <w:rFonts w:ascii="Lato" w:hAnsi="Lato"/>
          <w:color w:val="000000" w:themeColor="text1"/>
          <w:kern w:val="28"/>
          <w:sz w:val="22"/>
          <w:szCs w:val="22"/>
        </w:rPr>
        <w:t xml:space="preserve"> potwierdza rozpoznanie kliniczne choroby, podczas gdy obecność jednej kopii jest wskazówką do dalszych badań, celem ewentualnej identyfikacji mutacji punktowej (64). Liczba kopii </w:t>
      </w:r>
      <w:r w:rsidRPr="00AA22C4">
        <w:rPr>
          <w:rFonts w:ascii="Lato" w:hAnsi="Lato"/>
          <w:i/>
          <w:color w:val="000000" w:themeColor="text1"/>
          <w:kern w:val="28"/>
          <w:sz w:val="22"/>
          <w:szCs w:val="22"/>
        </w:rPr>
        <w:t>SMN2</w:t>
      </w:r>
      <w:r w:rsidRPr="00AA22C4">
        <w:rPr>
          <w:rFonts w:ascii="Lato" w:hAnsi="Lato"/>
          <w:color w:val="000000" w:themeColor="text1"/>
          <w:kern w:val="28"/>
          <w:sz w:val="22"/>
          <w:szCs w:val="22"/>
        </w:rPr>
        <w:t xml:space="preserve"> jest rutynowo oceniana jako główny modyfikator fenotypu (52). W przypadku badań przesiewowych stosowany jest jako pierwszy test umożliwiający identyfikację </w:t>
      </w:r>
      <w:proofErr w:type="spellStart"/>
      <w:r w:rsidRPr="00AA22C4">
        <w:rPr>
          <w:rFonts w:ascii="Lato" w:hAnsi="Lato"/>
          <w:color w:val="000000" w:themeColor="text1"/>
          <w:kern w:val="28"/>
          <w:sz w:val="22"/>
          <w:szCs w:val="22"/>
        </w:rPr>
        <w:t>homozygotyczej</w:t>
      </w:r>
      <w:proofErr w:type="spellEnd"/>
      <w:r w:rsidRPr="00AA22C4">
        <w:rPr>
          <w:rFonts w:ascii="Lato" w:hAnsi="Lato"/>
          <w:color w:val="000000" w:themeColor="text1"/>
          <w:kern w:val="28"/>
          <w:sz w:val="22"/>
          <w:szCs w:val="22"/>
        </w:rPr>
        <w:t xml:space="preserve"> delecji genu </w:t>
      </w:r>
      <w:r w:rsidRPr="00AA22C4">
        <w:rPr>
          <w:rFonts w:ascii="Lato" w:hAnsi="Lato"/>
          <w:i/>
          <w:iCs/>
          <w:color w:val="000000" w:themeColor="text1"/>
          <w:kern w:val="28"/>
          <w:sz w:val="22"/>
          <w:szCs w:val="22"/>
        </w:rPr>
        <w:t>SMN1</w:t>
      </w:r>
      <w:r w:rsidRPr="00AA22C4">
        <w:rPr>
          <w:rFonts w:ascii="Lato" w:hAnsi="Lato"/>
          <w:color w:val="000000" w:themeColor="text1"/>
          <w:kern w:val="28"/>
          <w:sz w:val="22"/>
          <w:szCs w:val="22"/>
        </w:rPr>
        <w:t xml:space="preserve"> stwierdzanej u 95-98% pacjentów z SMA, a następnie test MLPA.</w:t>
      </w:r>
    </w:p>
    <w:p w14:paraId="24A10390" w14:textId="77777777" w:rsidR="005E347E" w:rsidRPr="00AA22C4" w:rsidRDefault="005E347E" w:rsidP="005E347E">
      <w:pPr>
        <w:spacing w:before="120" w:after="120"/>
        <w:jc w:val="both"/>
        <w:rPr>
          <w:rFonts w:ascii="Lato" w:eastAsia="Arial Unicode MS" w:hAnsi="Lato"/>
          <w:bCs/>
          <w:color w:val="000000" w:themeColor="text1"/>
          <w:sz w:val="22"/>
          <w:szCs w:val="22"/>
          <w:u w:val="single"/>
        </w:rPr>
      </w:pPr>
      <w:r w:rsidRPr="00AA22C4">
        <w:rPr>
          <w:rFonts w:ascii="Lato" w:eastAsia="Arial Unicode MS" w:hAnsi="Lato"/>
          <w:bCs/>
          <w:color w:val="000000" w:themeColor="text1"/>
          <w:sz w:val="22"/>
          <w:szCs w:val="22"/>
          <w:u w:val="single"/>
        </w:rPr>
        <w:t>Leczenie (68, 72):</w:t>
      </w:r>
    </w:p>
    <w:p w14:paraId="501270B2" w14:textId="77777777" w:rsidR="005E347E" w:rsidRPr="00AA22C4" w:rsidRDefault="005E347E" w:rsidP="005E347E">
      <w:pPr>
        <w:pStyle w:val="Akapitzlist"/>
        <w:numPr>
          <w:ilvl w:val="0"/>
          <w:numId w:val="43"/>
        </w:numPr>
        <w:spacing w:before="120" w:after="120" w:line="360" w:lineRule="auto"/>
        <w:ind w:left="714" w:hanging="357"/>
        <w:jc w:val="both"/>
        <w:rPr>
          <w:rFonts w:ascii="Lato" w:hAnsi="Lato"/>
          <w:b/>
          <w:color w:val="000000" w:themeColor="text1"/>
          <w:kern w:val="28"/>
          <w:sz w:val="22"/>
          <w:szCs w:val="22"/>
        </w:rPr>
      </w:pPr>
      <w:r w:rsidRPr="00AA22C4">
        <w:rPr>
          <w:rFonts w:ascii="Lato" w:hAnsi="Lato"/>
          <w:bCs/>
          <w:color w:val="000000" w:themeColor="text1"/>
          <w:kern w:val="28"/>
          <w:sz w:val="22"/>
          <w:szCs w:val="22"/>
        </w:rPr>
        <w:t xml:space="preserve">Leczenie farmakologiczne z wykorzystaniem: </w:t>
      </w:r>
    </w:p>
    <w:p w14:paraId="6E7A3E25" w14:textId="46F2B410" w:rsidR="005E347E" w:rsidRPr="00AA22C4" w:rsidRDefault="005E347E" w:rsidP="005E347E">
      <w:pPr>
        <w:pStyle w:val="Akapitzlist"/>
        <w:numPr>
          <w:ilvl w:val="1"/>
          <w:numId w:val="70"/>
        </w:numPr>
        <w:spacing w:before="120" w:after="120" w:line="360" w:lineRule="auto"/>
        <w:jc w:val="both"/>
        <w:rPr>
          <w:rFonts w:ascii="Lato" w:hAnsi="Lato"/>
          <w:b/>
          <w:color w:val="000000" w:themeColor="text1"/>
          <w:kern w:val="28"/>
          <w:sz w:val="22"/>
          <w:szCs w:val="22"/>
        </w:rPr>
      </w:pPr>
      <w:proofErr w:type="spellStart"/>
      <w:r w:rsidRPr="00AA22C4">
        <w:rPr>
          <w:rFonts w:ascii="Lato" w:hAnsi="Lato"/>
          <w:b/>
          <w:color w:val="000000" w:themeColor="text1"/>
          <w:kern w:val="28"/>
          <w:sz w:val="22"/>
          <w:szCs w:val="22"/>
        </w:rPr>
        <w:t>nusinersen</w:t>
      </w:r>
      <w:proofErr w:type="spellEnd"/>
      <w:r w:rsidRPr="00AA22C4">
        <w:rPr>
          <w:rFonts w:ascii="Lato" w:hAnsi="Lato"/>
          <w:b/>
          <w:color w:val="000000" w:themeColor="text1"/>
          <w:kern w:val="28"/>
          <w:sz w:val="22"/>
          <w:szCs w:val="22"/>
        </w:rPr>
        <w:t xml:space="preserve"> - </w:t>
      </w:r>
      <w:r w:rsidRPr="00AA22C4">
        <w:rPr>
          <w:rFonts w:ascii="Lato" w:eastAsia="Times New Roman" w:hAnsi="Lato"/>
          <w:color w:val="000000" w:themeColor="text1"/>
          <w:kern w:val="28"/>
          <w:sz w:val="22"/>
          <w:szCs w:val="22"/>
          <w:lang w:eastAsia="pl-PL"/>
        </w:rPr>
        <w:t>od stycznia 2019 r. terapia jest refundowana w ramach programu lekowego w Rzecz</w:t>
      </w:r>
      <w:r w:rsidR="007A48CA" w:rsidRPr="00AA22C4">
        <w:rPr>
          <w:rFonts w:ascii="Lato" w:eastAsia="Times New Roman" w:hAnsi="Lato"/>
          <w:color w:val="000000" w:themeColor="text1"/>
          <w:kern w:val="28"/>
          <w:sz w:val="22"/>
          <w:szCs w:val="22"/>
          <w:lang w:eastAsia="pl-PL"/>
        </w:rPr>
        <w:t>y</w:t>
      </w:r>
      <w:r w:rsidRPr="00AA22C4">
        <w:rPr>
          <w:rFonts w:ascii="Lato" w:eastAsia="Times New Roman" w:hAnsi="Lato"/>
          <w:color w:val="000000" w:themeColor="text1"/>
          <w:kern w:val="28"/>
          <w:sz w:val="22"/>
          <w:szCs w:val="22"/>
          <w:lang w:eastAsia="pl-PL"/>
        </w:rPr>
        <w:t xml:space="preserve">pospolitej Polskiej dla całej populacji pacjentów z SMA, niezależnie od typu i zaawansowania choroby. </w:t>
      </w:r>
      <w:proofErr w:type="spellStart"/>
      <w:r w:rsidRPr="00AA22C4">
        <w:rPr>
          <w:rFonts w:ascii="Lato" w:hAnsi="Lato"/>
          <w:bCs/>
          <w:color w:val="000000" w:themeColor="text1"/>
          <w:kern w:val="28"/>
          <w:sz w:val="22"/>
          <w:szCs w:val="22"/>
        </w:rPr>
        <w:t>Nusinersen</w:t>
      </w:r>
      <w:proofErr w:type="spellEnd"/>
      <w:r w:rsidRPr="00AA22C4">
        <w:rPr>
          <w:rFonts w:ascii="Lato" w:eastAsia="Times New Roman" w:hAnsi="Lato"/>
          <w:color w:val="000000" w:themeColor="text1"/>
          <w:kern w:val="28"/>
          <w:sz w:val="22"/>
          <w:szCs w:val="22"/>
          <w:lang w:eastAsia="pl-PL"/>
        </w:rPr>
        <w:t xml:space="preserve"> jest syntetycznym </w:t>
      </w:r>
      <w:proofErr w:type="spellStart"/>
      <w:r w:rsidRPr="00AA22C4">
        <w:rPr>
          <w:rFonts w:ascii="Lato" w:eastAsia="Times New Roman" w:hAnsi="Lato"/>
          <w:color w:val="000000" w:themeColor="text1"/>
          <w:kern w:val="28"/>
          <w:sz w:val="22"/>
          <w:szCs w:val="22"/>
          <w:lang w:eastAsia="pl-PL"/>
        </w:rPr>
        <w:t>antysensownym</w:t>
      </w:r>
      <w:proofErr w:type="spellEnd"/>
      <w:r w:rsidRPr="00AA22C4">
        <w:rPr>
          <w:rFonts w:ascii="Lato" w:eastAsia="Times New Roman" w:hAnsi="Lato"/>
          <w:color w:val="000000" w:themeColor="text1"/>
          <w:kern w:val="28"/>
          <w:sz w:val="22"/>
          <w:szCs w:val="22"/>
          <w:lang w:eastAsia="pl-PL"/>
        </w:rPr>
        <w:t xml:space="preserve"> </w:t>
      </w:r>
      <w:proofErr w:type="spellStart"/>
      <w:r w:rsidRPr="00AA22C4">
        <w:rPr>
          <w:rFonts w:ascii="Lato" w:eastAsia="Times New Roman" w:hAnsi="Lato"/>
          <w:color w:val="000000" w:themeColor="text1"/>
          <w:kern w:val="28"/>
          <w:sz w:val="22"/>
          <w:szCs w:val="22"/>
          <w:lang w:eastAsia="pl-PL"/>
        </w:rPr>
        <w:t>oligonukleotydem</w:t>
      </w:r>
      <w:proofErr w:type="spellEnd"/>
      <w:r w:rsidRPr="00AA22C4">
        <w:rPr>
          <w:rFonts w:ascii="Lato" w:eastAsia="Times New Roman" w:hAnsi="Lato"/>
          <w:color w:val="000000" w:themeColor="text1"/>
          <w:kern w:val="28"/>
          <w:sz w:val="22"/>
          <w:szCs w:val="22"/>
          <w:lang w:eastAsia="pl-PL"/>
        </w:rPr>
        <w:t>. Jej działanie polega na zmianie składania (</w:t>
      </w:r>
      <w:proofErr w:type="spellStart"/>
      <w:r w:rsidRPr="00AA22C4">
        <w:rPr>
          <w:rFonts w:ascii="Lato" w:eastAsia="Times New Roman" w:hAnsi="Lato"/>
          <w:color w:val="000000" w:themeColor="text1"/>
          <w:kern w:val="28"/>
          <w:sz w:val="22"/>
          <w:szCs w:val="22"/>
          <w:lang w:eastAsia="pl-PL"/>
        </w:rPr>
        <w:t>splicingu</w:t>
      </w:r>
      <w:proofErr w:type="spellEnd"/>
      <w:r w:rsidRPr="00AA22C4">
        <w:rPr>
          <w:rFonts w:ascii="Lato" w:eastAsia="Times New Roman" w:hAnsi="Lato"/>
          <w:color w:val="000000" w:themeColor="text1"/>
          <w:kern w:val="28"/>
          <w:sz w:val="22"/>
          <w:szCs w:val="22"/>
          <w:lang w:eastAsia="pl-PL"/>
        </w:rPr>
        <w:t xml:space="preserve">) genu </w:t>
      </w:r>
      <w:r w:rsidRPr="00AA22C4">
        <w:rPr>
          <w:rFonts w:ascii="Lato" w:eastAsia="Times New Roman" w:hAnsi="Lato"/>
          <w:i/>
          <w:color w:val="000000" w:themeColor="text1"/>
          <w:kern w:val="28"/>
          <w:sz w:val="22"/>
          <w:szCs w:val="22"/>
          <w:lang w:eastAsia="pl-PL"/>
        </w:rPr>
        <w:t>SMN2</w:t>
      </w:r>
      <w:r w:rsidRPr="00AA22C4">
        <w:rPr>
          <w:rFonts w:ascii="Lato" w:eastAsia="Times New Roman" w:hAnsi="Lato"/>
          <w:color w:val="000000" w:themeColor="text1"/>
          <w:kern w:val="28"/>
          <w:sz w:val="22"/>
          <w:szCs w:val="22"/>
          <w:lang w:eastAsia="pl-PL"/>
        </w:rPr>
        <w:t xml:space="preserve"> na poziomie mRNA, tak by </w:t>
      </w:r>
      <w:proofErr w:type="spellStart"/>
      <w:r w:rsidRPr="00AA22C4">
        <w:rPr>
          <w:rFonts w:ascii="Lato" w:eastAsia="Times New Roman" w:hAnsi="Lato"/>
          <w:color w:val="000000" w:themeColor="text1"/>
          <w:kern w:val="28"/>
          <w:sz w:val="22"/>
          <w:szCs w:val="22"/>
          <w:lang w:eastAsia="pl-PL"/>
        </w:rPr>
        <w:t>ekson</w:t>
      </w:r>
      <w:proofErr w:type="spellEnd"/>
      <w:r w:rsidRPr="00AA22C4">
        <w:rPr>
          <w:rFonts w:ascii="Lato" w:eastAsia="Times New Roman" w:hAnsi="Lato"/>
          <w:color w:val="000000" w:themeColor="text1"/>
          <w:kern w:val="28"/>
          <w:sz w:val="22"/>
          <w:szCs w:val="22"/>
          <w:lang w:eastAsia="pl-PL"/>
        </w:rPr>
        <w:t xml:space="preserve"> 7 nie był wycinany </w:t>
      </w:r>
      <w:r w:rsidRPr="00AA22C4">
        <w:rPr>
          <w:rFonts w:ascii="Lato" w:eastAsia="Times New Roman" w:hAnsi="Lato"/>
          <w:color w:val="000000" w:themeColor="text1"/>
          <w:kern w:val="28"/>
          <w:sz w:val="22"/>
          <w:szCs w:val="22"/>
          <w:lang w:eastAsia="pl-PL"/>
        </w:rPr>
        <w:br/>
        <w:t xml:space="preserve">z </w:t>
      </w:r>
      <w:proofErr w:type="spellStart"/>
      <w:r w:rsidRPr="00AA22C4">
        <w:rPr>
          <w:rFonts w:ascii="Lato" w:eastAsia="Times New Roman" w:hAnsi="Lato"/>
          <w:color w:val="000000" w:themeColor="text1"/>
          <w:kern w:val="28"/>
          <w:sz w:val="22"/>
          <w:szCs w:val="22"/>
          <w:lang w:eastAsia="pl-PL"/>
        </w:rPr>
        <w:t>transkryptu</w:t>
      </w:r>
      <w:proofErr w:type="spellEnd"/>
      <w:r w:rsidRPr="00AA22C4">
        <w:rPr>
          <w:rFonts w:ascii="Lato" w:eastAsia="Times New Roman" w:hAnsi="Lato"/>
          <w:color w:val="000000" w:themeColor="text1"/>
          <w:kern w:val="28"/>
          <w:sz w:val="22"/>
          <w:szCs w:val="22"/>
          <w:lang w:eastAsia="pl-PL"/>
        </w:rPr>
        <w:t xml:space="preserve"> (53, 60). W efekcie podwyższony zostaje poziom pełnowartościowego białka SMN.</w:t>
      </w:r>
    </w:p>
    <w:p w14:paraId="62AEF758" w14:textId="562AD0AE" w:rsidR="005E347E" w:rsidRPr="00AA22C4" w:rsidRDefault="005E347E" w:rsidP="005E347E">
      <w:pPr>
        <w:pStyle w:val="Akapitzlist"/>
        <w:numPr>
          <w:ilvl w:val="1"/>
          <w:numId w:val="70"/>
        </w:numPr>
        <w:spacing w:before="120" w:after="120" w:line="360" w:lineRule="auto"/>
        <w:jc w:val="both"/>
        <w:rPr>
          <w:rFonts w:ascii="Lato" w:hAnsi="Lato"/>
          <w:bCs/>
          <w:color w:val="000000" w:themeColor="text1"/>
          <w:kern w:val="28"/>
          <w:sz w:val="22"/>
          <w:szCs w:val="22"/>
        </w:rPr>
      </w:pPr>
      <w:proofErr w:type="spellStart"/>
      <w:r w:rsidRPr="00AA22C4">
        <w:rPr>
          <w:rFonts w:ascii="Lato" w:hAnsi="Lato"/>
          <w:b/>
          <w:color w:val="000000" w:themeColor="text1"/>
          <w:kern w:val="28"/>
          <w:sz w:val="22"/>
          <w:szCs w:val="22"/>
        </w:rPr>
        <w:t>onasemnogen</w:t>
      </w:r>
      <w:proofErr w:type="spellEnd"/>
      <w:r w:rsidRPr="00AA22C4">
        <w:rPr>
          <w:rFonts w:ascii="Lato" w:hAnsi="Lato"/>
          <w:b/>
          <w:color w:val="000000" w:themeColor="text1"/>
          <w:kern w:val="28"/>
          <w:sz w:val="22"/>
          <w:szCs w:val="22"/>
        </w:rPr>
        <w:t xml:space="preserve"> </w:t>
      </w:r>
      <w:proofErr w:type="spellStart"/>
      <w:r w:rsidRPr="00AA22C4">
        <w:rPr>
          <w:rFonts w:ascii="Lato" w:hAnsi="Lato"/>
          <w:b/>
          <w:color w:val="000000" w:themeColor="text1"/>
          <w:kern w:val="28"/>
          <w:sz w:val="22"/>
          <w:szCs w:val="22"/>
        </w:rPr>
        <w:t>abeparwowek</w:t>
      </w:r>
      <w:proofErr w:type="spellEnd"/>
      <w:r w:rsidRPr="00AA22C4">
        <w:rPr>
          <w:rFonts w:ascii="Lato" w:hAnsi="Lato"/>
          <w:b/>
          <w:color w:val="000000" w:themeColor="text1"/>
          <w:kern w:val="28"/>
          <w:sz w:val="22"/>
          <w:szCs w:val="22"/>
        </w:rPr>
        <w:t xml:space="preserve"> - </w:t>
      </w:r>
      <w:r w:rsidRPr="00AA22C4">
        <w:rPr>
          <w:rFonts w:ascii="Lato" w:hAnsi="Lato"/>
          <w:color w:val="000000" w:themeColor="text1"/>
          <w:sz w:val="22"/>
          <w:szCs w:val="22"/>
        </w:rPr>
        <w:t xml:space="preserve">jest to terapia genowa, polegająca na jednorazowym dożylnym podaniu fragmentu DNA zawierającego sekwencję kodującą genu </w:t>
      </w:r>
      <w:r w:rsidRPr="00AA22C4">
        <w:rPr>
          <w:rFonts w:ascii="Lato" w:hAnsi="Lato"/>
          <w:i/>
          <w:color w:val="000000" w:themeColor="text1"/>
          <w:sz w:val="22"/>
          <w:szCs w:val="22"/>
        </w:rPr>
        <w:t>SMN1</w:t>
      </w:r>
      <w:r w:rsidRPr="00AA22C4">
        <w:rPr>
          <w:rFonts w:ascii="Lato" w:hAnsi="Lato"/>
          <w:color w:val="000000" w:themeColor="text1"/>
          <w:sz w:val="22"/>
          <w:szCs w:val="22"/>
        </w:rPr>
        <w:t xml:space="preserve"> wprowadzoną do </w:t>
      </w:r>
      <w:proofErr w:type="spellStart"/>
      <w:r w:rsidRPr="00AA22C4">
        <w:rPr>
          <w:rFonts w:ascii="Lato" w:hAnsi="Lato"/>
          <w:color w:val="000000" w:themeColor="text1"/>
          <w:sz w:val="22"/>
          <w:szCs w:val="22"/>
        </w:rPr>
        <w:t>kapsydu</w:t>
      </w:r>
      <w:proofErr w:type="spellEnd"/>
      <w:r w:rsidRPr="00AA22C4">
        <w:rPr>
          <w:rFonts w:ascii="Lato" w:hAnsi="Lato"/>
          <w:color w:val="000000" w:themeColor="text1"/>
          <w:sz w:val="22"/>
          <w:szCs w:val="22"/>
        </w:rPr>
        <w:t xml:space="preserve"> wirusa AAV9, użytego jako nośnika. Lek ten został zarejestrowany w USA w maju 2019 r. dla dzieci z SMA1 poniżej 2</w:t>
      </w:r>
      <w:r w:rsidR="003F6D17" w:rsidRPr="00AA22C4">
        <w:rPr>
          <w:rFonts w:ascii="Lato" w:hAnsi="Lato"/>
          <w:color w:val="000000" w:themeColor="text1"/>
          <w:sz w:val="22"/>
          <w:szCs w:val="22"/>
        </w:rPr>
        <w:t>r.ż.</w:t>
      </w:r>
      <w:r w:rsidRPr="00AA22C4">
        <w:rPr>
          <w:rFonts w:ascii="Lato" w:hAnsi="Lato"/>
          <w:color w:val="000000" w:themeColor="text1"/>
          <w:sz w:val="22"/>
          <w:szCs w:val="22"/>
        </w:rPr>
        <w:t xml:space="preserve">, zaś w maju 2020 został warunkowo dopuszczony do stosowania w Unii Europejskiej (48), od 1 września dostępny w Polsce w ramach programu lekowego dla pacjentów do 6 m. ż. z rozpoznaniem SMA 5q z </w:t>
      </w:r>
      <w:proofErr w:type="spellStart"/>
      <w:r w:rsidRPr="00AA22C4">
        <w:rPr>
          <w:rFonts w:ascii="Lato" w:hAnsi="Lato"/>
          <w:color w:val="000000" w:themeColor="text1"/>
          <w:sz w:val="22"/>
          <w:szCs w:val="22"/>
        </w:rPr>
        <w:t>bialleliczną</w:t>
      </w:r>
      <w:proofErr w:type="spellEnd"/>
      <w:r w:rsidRPr="00AA22C4">
        <w:rPr>
          <w:rFonts w:ascii="Lato" w:hAnsi="Lato"/>
          <w:color w:val="000000" w:themeColor="text1"/>
          <w:sz w:val="22"/>
          <w:szCs w:val="22"/>
        </w:rPr>
        <w:t xml:space="preserve"> mutacją genu SMN1 i z nie więcej niż 3 kopiami genu SMN2, u których uprzednio nie zostało zastosowane jakiekolwiek leczenie. </w:t>
      </w:r>
    </w:p>
    <w:p w14:paraId="6D53C601" w14:textId="630CFDA0" w:rsidR="005E347E" w:rsidRPr="00AA22C4" w:rsidRDefault="005E347E" w:rsidP="005E347E">
      <w:pPr>
        <w:pStyle w:val="Akapitzlist"/>
        <w:numPr>
          <w:ilvl w:val="1"/>
          <w:numId w:val="70"/>
        </w:numPr>
        <w:spacing w:before="120" w:after="120" w:line="360" w:lineRule="auto"/>
        <w:jc w:val="both"/>
        <w:rPr>
          <w:rFonts w:ascii="Lato" w:hAnsi="Lato"/>
          <w:bCs/>
          <w:color w:val="000000" w:themeColor="text1"/>
          <w:kern w:val="28"/>
          <w:sz w:val="22"/>
          <w:szCs w:val="22"/>
        </w:rPr>
      </w:pPr>
      <w:proofErr w:type="spellStart"/>
      <w:r w:rsidRPr="00AA22C4">
        <w:rPr>
          <w:rFonts w:ascii="Lato" w:hAnsi="Lato"/>
          <w:b/>
          <w:color w:val="000000" w:themeColor="text1"/>
          <w:kern w:val="28"/>
          <w:sz w:val="22"/>
          <w:szCs w:val="22"/>
        </w:rPr>
        <w:t>risdiplam</w:t>
      </w:r>
      <w:proofErr w:type="spellEnd"/>
      <w:r w:rsidRPr="00AA22C4">
        <w:rPr>
          <w:rFonts w:ascii="Lato" w:hAnsi="Lato"/>
          <w:b/>
          <w:color w:val="000000" w:themeColor="text1"/>
          <w:kern w:val="28"/>
          <w:sz w:val="22"/>
          <w:szCs w:val="22"/>
        </w:rPr>
        <w:t xml:space="preserve"> - </w:t>
      </w:r>
      <w:r w:rsidRPr="00AA22C4">
        <w:rPr>
          <w:rFonts w:ascii="Lato" w:hAnsi="Lato"/>
          <w:bCs/>
          <w:color w:val="000000" w:themeColor="text1"/>
          <w:kern w:val="28"/>
          <w:sz w:val="22"/>
          <w:szCs w:val="22"/>
        </w:rPr>
        <w:t>mikromolekuła podawana doustnie, zmieniająca składanie (</w:t>
      </w:r>
      <w:proofErr w:type="spellStart"/>
      <w:r w:rsidRPr="00AA22C4">
        <w:rPr>
          <w:rFonts w:ascii="Lato" w:hAnsi="Lato"/>
          <w:bCs/>
          <w:color w:val="000000" w:themeColor="text1"/>
          <w:kern w:val="28"/>
          <w:sz w:val="22"/>
          <w:szCs w:val="22"/>
        </w:rPr>
        <w:t>splicing</w:t>
      </w:r>
      <w:proofErr w:type="spellEnd"/>
      <w:r w:rsidRPr="00AA22C4">
        <w:rPr>
          <w:rFonts w:ascii="Lato" w:hAnsi="Lato"/>
          <w:bCs/>
          <w:color w:val="000000" w:themeColor="text1"/>
          <w:kern w:val="28"/>
          <w:sz w:val="22"/>
          <w:szCs w:val="22"/>
        </w:rPr>
        <w:t xml:space="preserve">) </w:t>
      </w:r>
      <w:r w:rsidRPr="00AA22C4">
        <w:rPr>
          <w:rFonts w:ascii="Lato" w:hAnsi="Lato"/>
          <w:bCs/>
          <w:i/>
          <w:iCs/>
          <w:color w:val="000000" w:themeColor="text1"/>
          <w:kern w:val="28"/>
          <w:sz w:val="22"/>
          <w:szCs w:val="22"/>
        </w:rPr>
        <w:t>SMN2</w:t>
      </w:r>
      <w:r w:rsidRPr="00AA22C4">
        <w:rPr>
          <w:rFonts w:ascii="Lato" w:hAnsi="Lato"/>
          <w:bCs/>
          <w:color w:val="000000" w:themeColor="text1"/>
          <w:kern w:val="28"/>
          <w:sz w:val="22"/>
          <w:szCs w:val="22"/>
        </w:rPr>
        <w:t xml:space="preserve">. Dopuszczony do leczenia w USA i Europie, w Polsce </w:t>
      </w:r>
      <w:r w:rsidRPr="00AA22C4">
        <w:rPr>
          <w:rFonts w:ascii="Lato" w:hAnsi="Lato"/>
          <w:color w:val="000000" w:themeColor="text1"/>
          <w:sz w:val="22"/>
          <w:szCs w:val="22"/>
        </w:rPr>
        <w:t xml:space="preserve">od 1 września dostępny w ramach programu lekowego leczenia dla pacjentów powyżej 2 </w:t>
      </w:r>
      <w:proofErr w:type="spellStart"/>
      <w:r w:rsidR="003F6D17" w:rsidRPr="00AA22C4">
        <w:rPr>
          <w:rFonts w:ascii="Lato" w:hAnsi="Lato"/>
          <w:color w:val="000000" w:themeColor="text1"/>
          <w:sz w:val="22"/>
          <w:szCs w:val="22"/>
        </w:rPr>
        <w:t>m.ż</w:t>
      </w:r>
      <w:proofErr w:type="spellEnd"/>
      <w:r w:rsidR="003F6D17" w:rsidRPr="00AA22C4">
        <w:rPr>
          <w:rFonts w:ascii="Lato" w:hAnsi="Lato"/>
          <w:color w:val="000000" w:themeColor="text1"/>
          <w:sz w:val="22"/>
          <w:szCs w:val="22"/>
        </w:rPr>
        <w:t>.</w:t>
      </w:r>
      <w:r w:rsidRPr="00AA22C4">
        <w:rPr>
          <w:rFonts w:ascii="Lato" w:hAnsi="Lato"/>
          <w:color w:val="000000" w:themeColor="text1"/>
          <w:sz w:val="22"/>
          <w:szCs w:val="22"/>
        </w:rPr>
        <w:t xml:space="preserve">, u których stwierdzone zostały przeciwwskazania do leczenia </w:t>
      </w:r>
      <w:proofErr w:type="spellStart"/>
      <w:r w:rsidRPr="00AA22C4">
        <w:rPr>
          <w:rFonts w:ascii="Lato" w:hAnsi="Lato"/>
          <w:color w:val="000000" w:themeColor="text1"/>
          <w:sz w:val="22"/>
          <w:szCs w:val="22"/>
        </w:rPr>
        <w:t>nusinersenem</w:t>
      </w:r>
      <w:proofErr w:type="spellEnd"/>
      <w:r w:rsidRPr="00AA22C4">
        <w:rPr>
          <w:rFonts w:ascii="Lato" w:hAnsi="Lato"/>
          <w:color w:val="000000" w:themeColor="text1"/>
          <w:sz w:val="22"/>
          <w:szCs w:val="22"/>
        </w:rPr>
        <w:t>, z klinicznym rozpoznaniem SMA typu 1, typu 2 lub typu 3 lub posiadający od jednej do czterech kopii genu SMN2</w:t>
      </w:r>
      <w:r w:rsidRPr="00AA22C4">
        <w:rPr>
          <w:rFonts w:ascii="Lato" w:hAnsi="Lato"/>
          <w:bCs/>
          <w:color w:val="000000" w:themeColor="text1"/>
          <w:kern w:val="28"/>
          <w:sz w:val="22"/>
          <w:szCs w:val="22"/>
        </w:rPr>
        <w:t>.</w:t>
      </w:r>
    </w:p>
    <w:p w14:paraId="4ABE84CD" w14:textId="77777777" w:rsidR="005E347E" w:rsidRPr="00AA22C4" w:rsidRDefault="005E347E" w:rsidP="00D23264">
      <w:pPr>
        <w:pStyle w:val="Akapitzlist"/>
        <w:widowControl/>
        <w:numPr>
          <w:ilvl w:val="0"/>
          <w:numId w:val="82"/>
        </w:numPr>
        <w:spacing w:before="120" w:after="360" w:line="259" w:lineRule="auto"/>
        <w:ind w:left="1077" w:hanging="357"/>
        <w:rPr>
          <w:rFonts w:ascii="Lato" w:hAnsi="Lato"/>
          <w:b/>
          <w:color w:val="000000" w:themeColor="text1"/>
          <w:sz w:val="22"/>
          <w:szCs w:val="22"/>
        </w:rPr>
      </w:pPr>
      <w:r w:rsidRPr="00AA22C4">
        <w:rPr>
          <w:rFonts w:ascii="Lato" w:hAnsi="Lato"/>
          <w:b/>
          <w:color w:val="000000" w:themeColor="text1"/>
          <w:sz w:val="22"/>
          <w:szCs w:val="22"/>
        </w:rPr>
        <w:lastRenderedPageBreak/>
        <w:t>Deficyt biotynidazy - BIOT</w:t>
      </w:r>
    </w:p>
    <w:p w14:paraId="62D62E05" w14:textId="77777777" w:rsidR="00895A8C" w:rsidRPr="00AA22C4" w:rsidRDefault="005E347E" w:rsidP="005E347E">
      <w:pPr>
        <w:suppressAutoHyphens/>
        <w:spacing w:before="120" w:after="120"/>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 xml:space="preserve">Opis: </w:t>
      </w:r>
    </w:p>
    <w:p w14:paraId="09F98EA2" w14:textId="6312C9D7" w:rsidR="005E347E" w:rsidRPr="00AA22C4" w:rsidRDefault="005E347E" w:rsidP="005E347E">
      <w:pPr>
        <w:suppressAutoHyphens/>
        <w:spacing w:before="120" w:after="120"/>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lang w:eastAsia="ar-SA"/>
        </w:rPr>
        <w:t>Jest to wrodzona wada metabolizmu biotyny dziedziczona autosomalnie recesywnie</w:t>
      </w:r>
    </w:p>
    <w:p w14:paraId="45E18E61"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Częstość występowania choroby szacuje się na około 1:60 000 (25, 26, 27).</w:t>
      </w:r>
    </w:p>
    <w:p w14:paraId="791FFB8C" w14:textId="77777777" w:rsidR="005E347E" w:rsidRPr="00AA22C4" w:rsidRDefault="005E347E" w:rsidP="005E347E">
      <w:pPr>
        <w:suppressAutoHyphens/>
        <w:spacing w:before="120" w:after="120"/>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 xml:space="preserve">Objawy: </w:t>
      </w:r>
    </w:p>
    <w:p w14:paraId="5B0221AB"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Drgawki (często lekooporne), hipotonia, ataksja, opóźnienie rozwoju psychoruchowego, wysypki skórne, łysienie, kwasica metaboliczna, zaburzenia immunologiczne.</w:t>
      </w:r>
    </w:p>
    <w:p w14:paraId="7BD2880A"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Deficyt biotynidazy: ujawnia się zwykle w wieku niemowlęcym i </w:t>
      </w:r>
      <w:proofErr w:type="spellStart"/>
      <w:r w:rsidRPr="00AA22C4">
        <w:rPr>
          <w:rFonts w:ascii="Lato" w:hAnsi="Lato"/>
          <w:color w:val="000000" w:themeColor="text1"/>
          <w:kern w:val="1"/>
          <w:sz w:val="22"/>
          <w:szCs w:val="22"/>
          <w:lang w:eastAsia="ar-SA"/>
        </w:rPr>
        <w:t>poniemowlęcym</w:t>
      </w:r>
      <w:proofErr w:type="spellEnd"/>
      <w:r w:rsidRPr="00AA22C4">
        <w:rPr>
          <w:rFonts w:ascii="Lato" w:hAnsi="Lato"/>
          <w:color w:val="000000" w:themeColor="text1"/>
          <w:kern w:val="1"/>
          <w:sz w:val="22"/>
          <w:szCs w:val="22"/>
          <w:lang w:eastAsia="ar-SA"/>
        </w:rPr>
        <w:t>, często podstępny początek. Przy późno włączonym leczeniu: część powikłań (w tym niedosłuch, retinopatia) ma charakter trwały, nieodwracalny. Rokowanie jest dobre gdy leczenie wczesne (przedobjawowe).</w:t>
      </w:r>
    </w:p>
    <w:p w14:paraId="56B9EF8D" w14:textId="77777777" w:rsidR="005E347E" w:rsidRPr="00AA22C4" w:rsidRDefault="005E347E" w:rsidP="005E347E">
      <w:pPr>
        <w:suppressAutoHyphens/>
        <w:spacing w:before="120" w:after="120"/>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Diagnostyka:</w:t>
      </w:r>
    </w:p>
    <w:p w14:paraId="3627E13F" w14:textId="0EC6C54A" w:rsidR="005E347E" w:rsidRPr="00AA22C4" w:rsidRDefault="0055555B" w:rsidP="00AA22C4">
      <w:pPr>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1) </w:t>
      </w:r>
      <w:r w:rsidR="005E347E" w:rsidRPr="00AA22C4">
        <w:rPr>
          <w:rFonts w:ascii="Lato" w:hAnsi="Lato"/>
          <w:color w:val="000000" w:themeColor="text1"/>
          <w:sz w:val="22"/>
          <w:szCs w:val="22"/>
        </w:rPr>
        <w:t xml:space="preserve">we krwi na bibule przesiewowej: </w:t>
      </w:r>
      <w:r w:rsidR="005E347E" w:rsidRPr="00AA22C4">
        <w:rPr>
          <w:rFonts w:ascii="Arial" w:hAnsi="Arial" w:cs="Arial" w:hint="eastAsia"/>
          <w:color w:val="000000" w:themeColor="text1"/>
          <w:sz w:val="22"/>
          <w:szCs w:val="22"/>
        </w:rPr>
        <w:t>↓</w:t>
      </w:r>
      <w:r w:rsidR="005E347E" w:rsidRPr="00AA22C4">
        <w:rPr>
          <w:rFonts w:ascii="Lato" w:hAnsi="Lato"/>
          <w:color w:val="000000" w:themeColor="text1"/>
          <w:sz w:val="22"/>
          <w:szCs w:val="22"/>
        </w:rPr>
        <w:t>-</w:t>
      </w:r>
      <w:r w:rsidR="005E347E" w:rsidRPr="00AA22C4">
        <w:rPr>
          <w:rFonts w:ascii="Arial" w:hAnsi="Arial" w:cs="Arial" w:hint="eastAsia"/>
          <w:color w:val="000000" w:themeColor="text1"/>
          <w:sz w:val="22"/>
          <w:szCs w:val="22"/>
        </w:rPr>
        <w:t>↓↓</w:t>
      </w:r>
      <w:r w:rsidR="005E347E" w:rsidRPr="00AA22C4">
        <w:rPr>
          <w:rFonts w:ascii="Lato" w:hAnsi="Lato"/>
          <w:color w:val="000000" w:themeColor="text1"/>
          <w:sz w:val="22"/>
          <w:szCs w:val="22"/>
        </w:rPr>
        <w:t xml:space="preserve"> aktywno</w:t>
      </w:r>
      <w:r w:rsidR="005E347E" w:rsidRPr="00AA22C4">
        <w:rPr>
          <w:rFonts w:ascii="Lato" w:hAnsi="Lato" w:cs="Lato"/>
          <w:color w:val="000000" w:themeColor="text1"/>
          <w:sz w:val="22"/>
          <w:szCs w:val="22"/>
        </w:rPr>
        <w:t>ść</w:t>
      </w:r>
      <w:r w:rsidR="005E347E" w:rsidRPr="00AA22C4">
        <w:rPr>
          <w:rFonts w:ascii="Lato" w:hAnsi="Lato"/>
          <w:color w:val="000000" w:themeColor="text1"/>
          <w:sz w:val="22"/>
          <w:szCs w:val="22"/>
        </w:rPr>
        <w:t xml:space="preserve"> biotynidazy;</w:t>
      </w:r>
    </w:p>
    <w:p w14:paraId="32F8EC61" w14:textId="3AA14075" w:rsidR="005E347E" w:rsidRPr="00AA22C4" w:rsidRDefault="0055555B" w:rsidP="00AA22C4">
      <w:pPr>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2) </w:t>
      </w:r>
      <w:r w:rsidR="005E347E" w:rsidRPr="00AA22C4">
        <w:rPr>
          <w:rFonts w:ascii="Lato" w:hAnsi="Lato"/>
          <w:color w:val="000000" w:themeColor="text1"/>
          <w:sz w:val="22"/>
          <w:szCs w:val="22"/>
        </w:rPr>
        <w:t>badanie enzymatyczne- ilościowe oznaczenie biotynidazy w surowicy</w:t>
      </w:r>
      <w:r w:rsidRPr="00AA22C4">
        <w:rPr>
          <w:rFonts w:ascii="Lato" w:hAnsi="Lato"/>
          <w:color w:val="000000" w:themeColor="text1"/>
          <w:sz w:val="22"/>
          <w:szCs w:val="22"/>
        </w:rPr>
        <w:t>;</w:t>
      </w:r>
      <w:r w:rsidR="005E347E" w:rsidRPr="00AA22C4">
        <w:rPr>
          <w:rFonts w:ascii="Lato" w:hAnsi="Lato"/>
          <w:color w:val="000000" w:themeColor="text1"/>
          <w:sz w:val="22"/>
          <w:szCs w:val="22"/>
        </w:rPr>
        <w:t xml:space="preserve"> </w:t>
      </w:r>
    </w:p>
    <w:p w14:paraId="12910B73" w14:textId="3D962394" w:rsidR="005E347E" w:rsidRPr="00AA22C4" w:rsidRDefault="0055555B" w:rsidP="00AA22C4">
      <w:pPr>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3) </w:t>
      </w:r>
      <w:r w:rsidR="005E347E" w:rsidRPr="00AA22C4">
        <w:rPr>
          <w:rFonts w:ascii="Lato" w:hAnsi="Lato"/>
          <w:color w:val="000000" w:themeColor="text1"/>
          <w:sz w:val="22"/>
          <w:szCs w:val="22"/>
        </w:rPr>
        <w:t xml:space="preserve">w moczu analiza kwasów organicznych metodą GC/MS: kwasy 3-OH-izowalerianowy, </w:t>
      </w:r>
      <w:proofErr w:type="spellStart"/>
      <w:r w:rsidR="005E347E" w:rsidRPr="00AA22C4">
        <w:rPr>
          <w:rFonts w:ascii="Lato" w:hAnsi="Lato"/>
          <w:color w:val="000000" w:themeColor="text1"/>
          <w:sz w:val="22"/>
          <w:szCs w:val="22"/>
        </w:rPr>
        <w:t>metylokrotonyloglicyna</w:t>
      </w:r>
      <w:proofErr w:type="spellEnd"/>
      <w:r w:rsidR="005E347E" w:rsidRPr="00AA22C4">
        <w:rPr>
          <w:rFonts w:ascii="Lato" w:hAnsi="Lato"/>
          <w:color w:val="000000" w:themeColor="text1"/>
          <w:sz w:val="22"/>
          <w:szCs w:val="22"/>
        </w:rPr>
        <w:t xml:space="preserve">, kwas </w:t>
      </w:r>
      <w:proofErr w:type="spellStart"/>
      <w:r w:rsidR="005E347E" w:rsidRPr="00AA22C4">
        <w:rPr>
          <w:rFonts w:ascii="Lato" w:hAnsi="Lato"/>
          <w:color w:val="000000" w:themeColor="text1"/>
          <w:sz w:val="22"/>
          <w:szCs w:val="22"/>
        </w:rPr>
        <w:t>metylocytrynowy</w:t>
      </w:r>
      <w:proofErr w:type="spellEnd"/>
      <w:r w:rsidR="005E347E" w:rsidRPr="00AA22C4">
        <w:rPr>
          <w:rFonts w:ascii="Lato" w:hAnsi="Lato"/>
          <w:color w:val="000000" w:themeColor="text1"/>
          <w:sz w:val="22"/>
          <w:szCs w:val="22"/>
        </w:rPr>
        <w:t>, itp.;</w:t>
      </w:r>
    </w:p>
    <w:p w14:paraId="6170F5D2" w14:textId="24FC8862" w:rsidR="005E347E" w:rsidRPr="00AA22C4" w:rsidRDefault="0055555B" w:rsidP="00AA22C4">
      <w:pPr>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4) </w:t>
      </w:r>
      <w:r w:rsidR="005E347E" w:rsidRPr="00AA22C4">
        <w:rPr>
          <w:rFonts w:ascii="Lato" w:hAnsi="Lato"/>
          <w:color w:val="000000" w:themeColor="text1"/>
          <w:sz w:val="22"/>
          <w:szCs w:val="22"/>
        </w:rPr>
        <w:t xml:space="preserve">badania molekularne: analiza genu </w:t>
      </w:r>
      <w:r w:rsidR="005E347E" w:rsidRPr="00AA22C4">
        <w:rPr>
          <w:rFonts w:ascii="Lato" w:hAnsi="Lato"/>
          <w:i/>
          <w:iCs/>
          <w:color w:val="000000" w:themeColor="text1"/>
          <w:sz w:val="22"/>
          <w:szCs w:val="22"/>
        </w:rPr>
        <w:t>BTD</w:t>
      </w:r>
      <w:r w:rsidR="005E347E" w:rsidRPr="00AA22C4">
        <w:rPr>
          <w:rFonts w:ascii="Lato" w:hAnsi="Lato"/>
          <w:color w:val="000000" w:themeColor="text1"/>
          <w:sz w:val="22"/>
          <w:szCs w:val="22"/>
        </w:rPr>
        <w:t xml:space="preserve"> (kodującego </w:t>
      </w:r>
      <w:proofErr w:type="spellStart"/>
      <w:r w:rsidR="005E347E" w:rsidRPr="00AA22C4">
        <w:rPr>
          <w:rFonts w:ascii="Lato" w:hAnsi="Lato"/>
          <w:color w:val="000000" w:themeColor="text1"/>
          <w:sz w:val="22"/>
          <w:szCs w:val="22"/>
        </w:rPr>
        <w:t>biotynidazę</w:t>
      </w:r>
      <w:proofErr w:type="spellEnd"/>
      <w:r w:rsidR="005E347E" w:rsidRPr="00AA22C4">
        <w:rPr>
          <w:rFonts w:ascii="Lato" w:hAnsi="Lato"/>
          <w:color w:val="000000" w:themeColor="text1"/>
          <w:sz w:val="22"/>
          <w:szCs w:val="22"/>
        </w:rPr>
        <w:t>, enzym umożliwiający wykorzystanie biotyny);</w:t>
      </w:r>
    </w:p>
    <w:p w14:paraId="45935839" w14:textId="7780BFBA" w:rsidR="005E347E" w:rsidRPr="00AA22C4" w:rsidRDefault="005E347E" w:rsidP="005E347E">
      <w:pPr>
        <w:pStyle w:val="Akapitzlist"/>
        <w:numPr>
          <w:ilvl w:val="1"/>
          <w:numId w:val="71"/>
        </w:numPr>
        <w:spacing w:before="120" w:after="120" w:line="360" w:lineRule="auto"/>
        <w:jc w:val="both"/>
        <w:rPr>
          <w:rFonts w:ascii="Lato" w:hAnsi="Lato"/>
          <w:color w:val="000000" w:themeColor="text1"/>
          <w:sz w:val="22"/>
          <w:szCs w:val="22"/>
        </w:rPr>
      </w:pPr>
      <w:r w:rsidRPr="00AA22C4">
        <w:rPr>
          <w:rFonts w:ascii="Lato" w:hAnsi="Lato"/>
          <w:color w:val="000000" w:themeColor="text1"/>
          <w:sz w:val="22"/>
          <w:szCs w:val="22"/>
        </w:rPr>
        <w:t xml:space="preserve">I etap badania: badanie mutacji </w:t>
      </w:r>
      <w:proofErr w:type="gramStart"/>
      <w:r w:rsidRPr="00AA22C4">
        <w:rPr>
          <w:rFonts w:ascii="Lato" w:hAnsi="Lato"/>
          <w:color w:val="000000" w:themeColor="text1"/>
          <w:sz w:val="22"/>
          <w:szCs w:val="22"/>
        </w:rPr>
        <w:t>p.Cys</w:t>
      </w:r>
      <w:proofErr w:type="gramEnd"/>
      <w:r w:rsidRPr="00AA22C4">
        <w:rPr>
          <w:rFonts w:ascii="Lato" w:hAnsi="Lato"/>
          <w:color w:val="000000" w:themeColor="text1"/>
          <w:sz w:val="22"/>
          <w:szCs w:val="22"/>
        </w:rPr>
        <w:t xml:space="preserve">33Phefs*36, p.Arg538Cys, p.Gln456His, p.Asp444His  oraz innych rzadkich mutacji w </w:t>
      </w:r>
      <w:proofErr w:type="spellStart"/>
      <w:r w:rsidRPr="00AA22C4">
        <w:rPr>
          <w:rFonts w:ascii="Lato" w:hAnsi="Lato"/>
          <w:color w:val="000000" w:themeColor="text1"/>
          <w:sz w:val="22"/>
          <w:szCs w:val="22"/>
        </w:rPr>
        <w:t>eksonach</w:t>
      </w:r>
      <w:proofErr w:type="spellEnd"/>
      <w:r w:rsidRPr="00AA22C4">
        <w:rPr>
          <w:rFonts w:ascii="Lato" w:hAnsi="Lato"/>
          <w:color w:val="000000" w:themeColor="text1"/>
          <w:sz w:val="22"/>
          <w:szCs w:val="22"/>
        </w:rPr>
        <w:t xml:space="preserve"> 2 i 4 genu </w:t>
      </w:r>
      <w:r w:rsidRPr="00AA22C4">
        <w:rPr>
          <w:rFonts w:ascii="Lato" w:hAnsi="Lato"/>
          <w:i/>
          <w:iCs/>
          <w:color w:val="000000" w:themeColor="text1"/>
          <w:sz w:val="22"/>
          <w:szCs w:val="22"/>
        </w:rPr>
        <w:t>BTD</w:t>
      </w:r>
      <w:r w:rsidR="0055555B" w:rsidRPr="00AA22C4">
        <w:rPr>
          <w:rFonts w:ascii="Lato" w:hAnsi="Lato"/>
          <w:color w:val="000000" w:themeColor="text1"/>
          <w:sz w:val="22"/>
          <w:szCs w:val="22"/>
        </w:rPr>
        <w:t>,</w:t>
      </w:r>
    </w:p>
    <w:p w14:paraId="40AC61DE" w14:textId="77777777" w:rsidR="005E347E" w:rsidRPr="00AA22C4" w:rsidRDefault="005E347E" w:rsidP="005E347E">
      <w:pPr>
        <w:pStyle w:val="Akapitzlist"/>
        <w:numPr>
          <w:ilvl w:val="1"/>
          <w:numId w:val="71"/>
        </w:numPr>
        <w:spacing w:before="120" w:after="120" w:line="360" w:lineRule="auto"/>
        <w:jc w:val="both"/>
        <w:rPr>
          <w:rFonts w:ascii="Lato" w:hAnsi="Lato"/>
          <w:color w:val="000000" w:themeColor="text1"/>
          <w:sz w:val="22"/>
          <w:szCs w:val="22"/>
        </w:rPr>
      </w:pPr>
      <w:r w:rsidRPr="00AA22C4">
        <w:rPr>
          <w:rFonts w:ascii="Lato" w:hAnsi="Lato"/>
          <w:color w:val="000000" w:themeColor="text1"/>
          <w:sz w:val="22"/>
          <w:szCs w:val="22"/>
        </w:rPr>
        <w:t xml:space="preserve">II etap badania: badanie pozostałych </w:t>
      </w:r>
      <w:proofErr w:type="spellStart"/>
      <w:r w:rsidRPr="00AA22C4">
        <w:rPr>
          <w:rFonts w:ascii="Lato" w:hAnsi="Lato"/>
          <w:color w:val="000000" w:themeColor="text1"/>
          <w:sz w:val="22"/>
          <w:szCs w:val="22"/>
        </w:rPr>
        <w:t>eksonów</w:t>
      </w:r>
      <w:proofErr w:type="spellEnd"/>
      <w:r w:rsidRPr="00AA22C4">
        <w:rPr>
          <w:rFonts w:ascii="Lato" w:hAnsi="Lato"/>
          <w:color w:val="000000" w:themeColor="text1"/>
          <w:sz w:val="22"/>
          <w:szCs w:val="22"/>
        </w:rPr>
        <w:t>;</w:t>
      </w:r>
    </w:p>
    <w:p w14:paraId="30334F5A" w14:textId="264B396D" w:rsidR="005E347E" w:rsidRPr="00AA22C4" w:rsidRDefault="0055555B" w:rsidP="00AA22C4">
      <w:pPr>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5) </w:t>
      </w:r>
      <w:r w:rsidR="005E347E" w:rsidRPr="00AA22C4">
        <w:rPr>
          <w:rFonts w:ascii="Lato" w:hAnsi="Lato"/>
          <w:color w:val="000000" w:themeColor="text1"/>
          <w:sz w:val="22"/>
          <w:szCs w:val="22"/>
        </w:rPr>
        <w:t>diagnostyka różnicowa: defekty pojedynczych karboksylaz.</w:t>
      </w:r>
    </w:p>
    <w:p w14:paraId="3B77F109" w14:textId="77777777" w:rsidR="005E347E" w:rsidRPr="00AA22C4" w:rsidRDefault="005E347E" w:rsidP="005E347E">
      <w:pPr>
        <w:suppressAutoHyphens/>
        <w:spacing w:before="120" w:after="120"/>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Leczenie:</w:t>
      </w:r>
    </w:p>
    <w:p w14:paraId="0366A8BC"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Leczenie podlega na podawaniu pacjentom biotyny w dawkach farmakologicznych.</w:t>
      </w:r>
    </w:p>
    <w:p w14:paraId="586900F8" w14:textId="77777777" w:rsidR="005E347E" w:rsidRDefault="005E347E" w:rsidP="005E347E">
      <w:pPr>
        <w:suppressAutoHyphens/>
        <w:spacing w:before="120" w:after="120"/>
        <w:contextualSpacing/>
        <w:jc w:val="both"/>
        <w:rPr>
          <w:rFonts w:ascii="Lato" w:hAnsi="Lato"/>
          <w:b/>
          <w:bCs/>
          <w:color w:val="000000" w:themeColor="text1"/>
          <w:kern w:val="1"/>
          <w:sz w:val="22"/>
          <w:szCs w:val="22"/>
          <w:lang w:eastAsia="ar-SA"/>
        </w:rPr>
      </w:pPr>
    </w:p>
    <w:p w14:paraId="04B03FA1" w14:textId="77777777" w:rsidR="00D23264" w:rsidRPr="00AA22C4" w:rsidRDefault="00D23264" w:rsidP="005E347E">
      <w:pPr>
        <w:suppressAutoHyphens/>
        <w:spacing w:before="120" w:after="120"/>
        <w:contextualSpacing/>
        <w:jc w:val="both"/>
        <w:rPr>
          <w:rFonts w:ascii="Lato" w:hAnsi="Lato"/>
          <w:b/>
          <w:bCs/>
          <w:color w:val="000000" w:themeColor="text1"/>
          <w:kern w:val="1"/>
          <w:sz w:val="22"/>
          <w:szCs w:val="22"/>
          <w:lang w:eastAsia="ar-SA"/>
        </w:rPr>
      </w:pPr>
    </w:p>
    <w:p w14:paraId="4F571CE2" w14:textId="77777777" w:rsidR="005E347E" w:rsidRPr="00AA22C4" w:rsidRDefault="005E347E" w:rsidP="005E347E">
      <w:pPr>
        <w:suppressAutoHyphens/>
        <w:spacing w:before="120" w:after="120"/>
        <w:contextualSpacing/>
        <w:jc w:val="both"/>
        <w:rPr>
          <w:rFonts w:ascii="Lato" w:hAnsi="Lato"/>
          <w:b/>
          <w:bCs/>
          <w:color w:val="000000" w:themeColor="text1"/>
          <w:kern w:val="1"/>
          <w:sz w:val="22"/>
          <w:szCs w:val="22"/>
          <w:lang w:eastAsia="ar-SA"/>
        </w:rPr>
      </w:pPr>
    </w:p>
    <w:p w14:paraId="5BFBEE6E" w14:textId="77777777" w:rsidR="005E347E" w:rsidRPr="00AA22C4" w:rsidRDefault="005E347E" w:rsidP="005E347E">
      <w:pPr>
        <w:suppressAutoHyphens/>
        <w:spacing w:before="120" w:after="120"/>
        <w:contextualSpacing/>
        <w:jc w:val="both"/>
        <w:rPr>
          <w:rFonts w:ascii="Lato" w:hAnsi="Lato"/>
          <w:b/>
          <w:bCs/>
          <w:color w:val="000000" w:themeColor="text1"/>
          <w:kern w:val="1"/>
          <w:sz w:val="22"/>
          <w:szCs w:val="22"/>
          <w:lang w:eastAsia="ar-SA"/>
        </w:rPr>
      </w:pPr>
    </w:p>
    <w:p w14:paraId="6AF6D41D" w14:textId="77777777" w:rsidR="005E347E" w:rsidRPr="00AA22C4" w:rsidRDefault="005E347E" w:rsidP="005E347E">
      <w:pPr>
        <w:suppressAutoHyphens/>
        <w:spacing w:before="120" w:after="120"/>
        <w:contextualSpacing/>
        <w:jc w:val="both"/>
        <w:rPr>
          <w:rFonts w:ascii="Lato" w:hAnsi="Lato"/>
          <w:b/>
          <w:bCs/>
          <w:color w:val="000000" w:themeColor="text1"/>
          <w:kern w:val="1"/>
          <w:sz w:val="22"/>
          <w:szCs w:val="22"/>
          <w:lang w:eastAsia="ar-SA"/>
        </w:rPr>
      </w:pPr>
    </w:p>
    <w:p w14:paraId="1A345ACB" w14:textId="77777777" w:rsidR="005E347E" w:rsidRPr="00AA22C4" w:rsidRDefault="005E347E" w:rsidP="005E347E">
      <w:pPr>
        <w:suppressAutoHyphens/>
        <w:spacing w:before="120" w:after="120"/>
        <w:contextualSpacing/>
        <w:jc w:val="both"/>
        <w:rPr>
          <w:rFonts w:ascii="Lato" w:hAnsi="Lato"/>
          <w:b/>
          <w:bCs/>
          <w:color w:val="000000" w:themeColor="text1"/>
          <w:kern w:val="1"/>
          <w:sz w:val="22"/>
          <w:szCs w:val="22"/>
          <w:lang w:eastAsia="ar-SA"/>
        </w:rPr>
      </w:pPr>
    </w:p>
    <w:p w14:paraId="658BD3C4" w14:textId="77777777" w:rsidR="005E347E" w:rsidRPr="00AA22C4" w:rsidRDefault="005E347E" w:rsidP="005E347E">
      <w:pPr>
        <w:suppressAutoHyphens/>
        <w:spacing w:before="120" w:after="120"/>
        <w:contextualSpacing/>
        <w:jc w:val="both"/>
        <w:rPr>
          <w:rFonts w:ascii="Lato" w:eastAsia="Arial Unicode MS" w:hAnsi="Lato"/>
          <w:color w:val="000000" w:themeColor="text1"/>
          <w:kern w:val="1"/>
          <w:sz w:val="22"/>
          <w:szCs w:val="22"/>
          <w:lang w:eastAsia="ar-SA"/>
        </w:rPr>
      </w:pPr>
      <w:r w:rsidRPr="00AA22C4">
        <w:rPr>
          <w:rFonts w:ascii="Lato" w:hAnsi="Lato"/>
          <w:b/>
          <w:bCs/>
          <w:color w:val="000000" w:themeColor="text1"/>
          <w:kern w:val="1"/>
          <w:sz w:val="22"/>
          <w:szCs w:val="22"/>
          <w:lang w:eastAsia="ar-SA"/>
        </w:rPr>
        <w:lastRenderedPageBreak/>
        <w:t xml:space="preserve">Inne rzadkie wrodzone wady metabolizmu – WWM </w:t>
      </w:r>
      <w:r w:rsidRPr="00AA22C4">
        <w:rPr>
          <w:rFonts w:ascii="Lato" w:hAnsi="Lato"/>
          <w:bCs/>
          <w:color w:val="000000" w:themeColor="text1"/>
          <w:kern w:val="1"/>
          <w:sz w:val="22"/>
          <w:szCs w:val="22"/>
          <w:lang w:eastAsia="ar-SA"/>
        </w:rPr>
        <w:t>(</w:t>
      </w:r>
      <w:r w:rsidRPr="00AA22C4">
        <w:rPr>
          <w:rFonts w:ascii="Lato" w:eastAsia="Arial Unicode MS" w:hAnsi="Lato"/>
          <w:color w:val="000000" w:themeColor="text1"/>
          <w:kern w:val="1"/>
          <w:sz w:val="22"/>
          <w:szCs w:val="22"/>
          <w:lang w:eastAsia="ar-SA"/>
        </w:rPr>
        <w:t>badanie przesiewowe całej populacji od dnia 1 stycznia 2014 r).</w:t>
      </w:r>
    </w:p>
    <w:p w14:paraId="404804FB" w14:textId="77777777" w:rsidR="005E347E" w:rsidRPr="00AA22C4" w:rsidRDefault="005E347E" w:rsidP="005E347E">
      <w:pPr>
        <w:suppressAutoHyphens/>
        <w:spacing w:before="120" w:after="120"/>
        <w:contextualSpacing/>
        <w:jc w:val="both"/>
        <w:rPr>
          <w:rFonts w:ascii="Lato" w:eastAsia="Arial Unicode MS" w:hAnsi="Lato"/>
          <w:color w:val="000000" w:themeColor="text1"/>
          <w:kern w:val="1"/>
          <w:sz w:val="22"/>
          <w:szCs w:val="22"/>
          <w:lang w:eastAsia="ar-SA"/>
        </w:rPr>
      </w:pPr>
    </w:p>
    <w:p w14:paraId="25F3F7EA" w14:textId="77777777" w:rsidR="005E347E" w:rsidRPr="00AA22C4" w:rsidRDefault="005E347E" w:rsidP="005E347E">
      <w:pPr>
        <w:suppressAutoHyphens/>
        <w:spacing w:before="120" w:after="120"/>
        <w:contextualSpacing/>
        <w:jc w:val="center"/>
        <w:rPr>
          <w:rFonts w:ascii="Lato" w:eastAsia="Arial Unicode MS" w:hAnsi="Lato"/>
          <w:b/>
          <w:color w:val="000000" w:themeColor="text1"/>
          <w:kern w:val="1"/>
          <w:sz w:val="22"/>
          <w:szCs w:val="22"/>
          <w:lang w:eastAsia="ar-SA"/>
        </w:rPr>
      </w:pPr>
      <w:r w:rsidRPr="00AA22C4">
        <w:rPr>
          <w:rFonts w:ascii="Lato" w:eastAsia="Arial Unicode MS" w:hAnsi="Lato"/>
          <w:b/>
          <w:color w:val="000000" w:themeColor="text1"/>
          <w:kern w:val="1"/>
          <w:sz w:val="22"/>
          <w:szCs w:val="22"/>
          <w:lang w:eastAsia="ar-SA"/>
        </w:rPr>
        <w:t>ZABURZENIA   AMINOKWASÓW (7, 8, 9, 10, 41)</w:t>
      </w:r>
    </w:p>
    <w:p w14:paraId="1B7A809C" w14:textId="77777777" w:rsidR="005E347E" w:rsidRPr="00AA22C4" w:rsidRDefault="005E347E" w:rsidP="005E347E">
      <w:pPr>
        <w:suppressAutoHyphens/>
        <w:spacing w:before="120" w:after="120"/>
        <w:contextualSpacing/>
        <w:jc w:val="center"/>
        <w:rPr>
          <w:rFonts w:ascii="Lato" w:eastAsia="Arial Unicode MS" w:hAnsi="Lato"/>
          <w:b/>
          <w:color w:val="000000" w:themeColor="text1"/>
          <w:kern w:val="1"/>
          <w:sz w:val="22"/>
          <w:szCs w:val="22"/>
          <w:lang w:eastAsia="ar-SA"/>
        </w:rPr>
      </w:pPr>
    </w:p>
    <w:p w14:paraId="45A4A7C7" w14:textId="77777777" w:rsidR="005E347E" w:rsidRPr="00AA22C4" w:rsidRDefault="005E347E" w:rsidP="00D23264">
      <w:pPr>
        <w:pStyle w:val="Akapitzlist"/>
        <w:numPr>
          <w:ilvl w:val="0"/>
          <w:numId w:val="82"/>
        </w:numPr>
        <w:spacing w:before="120" w:after="360"/>
        <w:ind w:left="1077" w:hanging="357"/>
        <w:jc w:val="both"/>
        <w:rPr>
          <w:rFonts w:ascii="Lato" w:hAnsi="Lato"/>
          <w:b/>
          <w:bCs/>
          <w:color w:val="000000" w:themeColor="text1"/>
          <w:sz w:val="22"/>
          <w:szCs w:val="22"/>
        </w:rPr>
      </w:pPr>
      <w:r w:rsidRPr="00AA22C4">
        <w:rPr>
          <w:rFonts w:ascii="Lato" w:hAnsi="Lato"/>
          <w:b/>
          <w:bCs/>
          <w:color w:val="000000" w:themeColor="text1"/>
          <w:sz w:val="22"/>
          <w:szCs w:val="22"/>
        </w:rPr>
        <w:t>Choroba syropu klonowego – MSUD</w:t>
      </w:r>
    </w:p>
    <w:p w14:paraId="58C56598" w14:textId="77777777" w:rsidR="005E347E" w:rsidRPr="00AA22C4" w:rsidRDefault="005E347E" w:rsidP="005E347E">
      <w:pPr>
        <w:suppressAutoHyphens/>
        <w:spacing w:before="120" w:after="120"/>
        <w:contextualSpacing/>
        <w:jc w:val="both"/>
        <w:rPr>
          <w:rFonts w:ascii="Lato" w:eastAsia="Arial Unicode MS" w:hAnsi="Lato"/>
          <w:bCs/>
          <w:color w:val="000000" w:themeColor="text1"/>
          <w:kern w:val="1"/>
          <w:sz w:val="22"/>
          <w:szCs w:val="22"/>
          <w:lang w:eastAsia="ar-SA"/>
        </w:rPr>
      </w:pPr>
      <w:r w:rsidRPr="00AA22C4">
        <w:rPr>
          <w:rFonts w:ascii="Lato" w:eastAsia="Arial Unicode MS" w:hAnsi="Lato"/>
          <w:bCs/>
          <w:color w:val="000000" w:themeColor="text1"/>
          <w:kern w:val="1"/>
          <w:sz w:val="22"/>
          <w:szCs w:val="22"/>
          <w:u w:val="single"/>
          <w:lang w:eastAsia="ar-SA"/>
        </w:rPr>
        <w:t>Opis:</w:t>
      </w:r>
    </w:p>
    <w:p w14:paraId="27D74C11" w14:textId="77777777" w:rsidR="005E347E" w:rsidRPr="00AA22C4" w:rsidRDefault="005E347E" w:rsidP="005E347E">
      <w:pPr>
        <w:suppressAutoHyphens/>
        <w:spacing w:before="120" w:after="120"/>
        <w:jc w:val="both"/>
        <w:rPr>
          <w:rFonts w:ascii="Lato" w:eastAsia="Arial Unicode MS" w:hAnsi="Lato"/>
          <w:bCs/>
          <w:color w:val="000000" w:themeColor="text1"/>
          <w:kern w:val="1"/>
          <w:sz w:val="22"/>
          <w:szCs w:val="22"/>
          <w:lang w:eastAsia="ar-SA"/>
        </w:rPr>
      </w:pPr>
      <w:r w:rsidRPr="00AA22C4">
        <w:rPr>
          <w:rFonts w:ascii="Lato" w:eastAsia="Arial Unicode MS" w:hAnsi="Lato"/>
          <w:bCs/>
          <w:color w:val="000000" w:themeColor="text1"/>
          <w:kern w:val="1"/>
          <w:sz w:val="22"/>
          <w:szCs w:val="22"/>
          <w:lang w:eastAsia="ar-SA"/>
        </w:rPr>
        <w:t>Częstość występowania choroby syropu klonowego (</w:t>
      </w:r>
      <w:r w:rsidRPr="00AA22C4">
        <w:rPr>
          <w:rFonts w:ascii="Lato" w:eastAsia="Arial Unicode MS" w:hAnsi="Lato"/>
          <w:bCs/>
          <w:i/>
          <w:color w:val="000000" w:themeColor="text1"/>
          <w:kern w:val="1"/>
          <w:sz w:val="22"/>
          <w:szCs w:val="22"/>
          <w:lang w:eastAsia="ar-SA"/>
        </w:rPr>
        <w:t xml:space="preserve">MSUD – </w:t>
      </w:r>
      <w:proofErr w:type="spellStart"/>
      <w:r w:rsidRPr="00AA22C4">
        <w:rPr>
          <w:rFonts w:ascii="Lato" w:eastAsia="Arial Unicode MS" w:hAnsi="Lato"/>
          <w:bCs/>
          <w:i/>
          <w:color w:val="000000" w:themeColor="text1"/>
          <w:kern w:val="1"/>
          <w:sz w:val="22"/>
          <w:szCs w:val="22"/>
          <w:lang w:eastAsia="ar-SA"/>
        </w:rPr>
        <w:t>Maple</w:t>
      </w:r>
      <w:proofErr w:type="spellEnd"/>
      <w:r w:rsidRPr="00AA22C4">
        <w:rPr>
          <w:rFonts w:ascii="Lato" w:eastAsia="Arial Unicode MS" w:hAnsi="Lato"/>
          <w:bCs/>
          <w:i/>
          <w:color w:val="000000" w:themeColor="text1"/>
          <w:kern w:val="1"/>
          <w:sz w:val="22"/>
          <w:szCs w:val="22"/>
          <w:lang w:eastAsia="ar-SA"/>
        </w:rPr>
        <w:t xml:space="preserve"> </w:t>
      </w:r>
      <w:proofErr w:type="spellStart"/>
      <w:r w:rsidRPr="00AA22C4">
        <w:rPr>
          <w:rFonts w:ascii="Lato" w:eastAsia="Arial Unicode MS" w:hAnsi="Lato"/>
          <w:bCs/>
          <w:i/>
          <w:color w:val="000000" w:themeColor="text1"/>
          <w:kern w:val="1"/>
          <w:sz w:val="22"/>
          <w:szCs w:val="22"/>
          <w:lang w:eastAsia="ar-SA"/>
        </w:rPr>
        <w:t>Syrup</w:t>
      </w:r>
      <w:proofErr w:type="spellEnd"/>
      <w:r w:rsidRPr="00AA22C4">
        <w:rPr>
          <w:rFonts w:ascii="Lato" w:eastAsia="Arial Unicode MS" w:hAnsi="Lato"/>
          <w:bCs/>
          <w:i/>
          <w:color w:val="000000" w:themeColor="text1"/>
          <w:kern w:val="1"/>
          <w:sz w:val="22"/>
          <w:szCs w:val="22"/>
          <w:lang w:eastAsia="ar-SA"/>
        </w:rPr>
        <w:t xml:space="preserve"> </w:t>
      </w:r>
      <w:proofErr w:type="spellStart"/>
      <w:r w:rsidRPr="00AA22C4">
        <w:rPr>
          <w:rFonts w:ascii="Lato" w:eastAsia="Arial Unicode MS" w:hAnsi="Lato"/>
          <w:bCs/>
          <w:i/>
          <w:color w:val="000000" w:themeColor="text1"/>
          <w:kern w:val="1"/>
          <w:sz w:val="22"/>
          <w:szCs w:val="22"/>
          <w:lang w:eastAsia="ar-SA"/>
        </w:rPr>
        <w:t>Urine</w:t>
      </w:r>
      <w:proofErr w:type="spellEnd"/>
      <w:r w:rsidRPr="00AA22C4">
        <w:rPr>
          <w:rFonts w:ascii="Lato" w:eastAsia="Arial Unicode MS" w:hAnsi="Lato"/>
          <w:bCs/>
          <w:i/>
          <w:color w:val="000000" w:themeColor="text1"/>
          <w:kern w:val="1"/>
          <w:sz w:val="22"/>
          <w:szCs w:val="22"/>
          <w:lang w:eastAsia="ar-SA"/>
        </w:rPr>
        <w:t xml:space="preserve"> </w:t>
      </w:r>
      <w:proofErr w:type="spellStart"/>
      <w:r w:rsidRPr="00AA22C4">
        <w:rPr>
          <w:rFonts w:ascii="Lato" w:eastAsia="Arial Unicode MS" w:hAnsi="Lato"/>
          <w:bCs/>
          <w:i/>
          <w:color w:val="000000" w:themeColor="text1"/>
          <w:kern w:val="1"/>
          <w:sz w:val="22"/>
          <w:szCs w:val="22"/>
          <w:lang w:eastAsia="ar-SA"/>
        </w:rPr>
        <w:t>Disease</w:t>
      </w:r>
      <w:proofErr w:type="spellEnd"/>
      <w:r w:rsidRPr="00AA22C4">
        <w:rPr>
          <w:rFonts w:ascii="Lato" w:eastAsia="Arial Unicode MS" w:hAnsi="Lato"/>
          <w:bCs/>
          <w:color w:val="000000" w:themeColor="text1"/>
          <w:kern w:val="1"/>
          <w:sz w:val="22"/>
          <w:szCs w:val="22"/>
          <w:lang w:eastAsia="ar-SA"/>
        </w:rPr>
        <w:t xml:space="preserve">) szacuje się na około 1:100 000 – 1:200 000. Choroba dziedziczona autosomalnie recesywnie. MSUD jest zaburzeniem metabolizmu aminokwasów rozgałęzionych, tj. leucyny, izoleucyny i waliny. Spowodowane deficytem dehydrogenazy aminokwasów rozgałęzionych i </w:t>
      </w:r>
      <w:r w:rsidRPr="00AA22C4">
        <w:rPr>
          <w:rFonts w:ascii="Calibri" w:eastAsia="Arial Unicode MS" w:hAnsi="Calibri" w:cs="Calibri"/>
          <w:color w:val="000000" w:themeColor="text1"/>
          <w:kern w:val="1"/>
          <w:sz w:val="22"/>
          <w:szCs w:val="22"/>
          <w:lang w:eastAsia="ar-SA"/>
        </w:rPr>
        <w:t>α</w:t>
      </w:r>
      <w:r w:rsidRPr="00AA22C4">
        <w:rPr>
          <w:rFonts w:ascii="Lato" w:eastAsia="Arial Unicode MS" w:hAnsi="Lato"/>
          <w:color w:val="000000" w:themeColor="text1"/>
          <w:kern w:val="1"/>
          <w:sz w:val="22"/>
          <w:szCs w:val="22"/>
          <w:lang w:eastAsia="ar-SA"/>
        </w:rPr>
        <w:noBreakHyphen/>
      </w:r>
      <w:proofErr w:type="spellStart"/>
      <w:r w:rsidRPr="00AA22C4">
        <w:rPr>
          <w:rFonts w:ascii="Lato" w:eastAsia="Arial Unicode MS" w:hAnsi="Lato"/>
          <w:bCs/>
          <w:color w:val="000000" w:themeColor="text1"/>
          <w:kern w:val="1"/>
          <w:sz w:val="22"/>
          <w:szCs w:val="22"/>
          <w:lang w:eastAsia="ar-SA"/>
        </w:rPr>
        <w:t>ketokwasów</w:t>
      </w:r>
      <w:proofErr w:type="spellEnd"/>
      <w:r w:rsidRPr="00AA22C4">
        <w:rPr>
          <w:rFonts w:ascii="Lato" w:eastAsia="Arial Unicode MS" w:hAnsi="Lato"/>
          <w:bCs/>
          <w:color w:val="000000" w:themeColor="text1"/>
          <w:kern w:val="1"/>
          <w:sz w:val="22"/>
          <w:szCs w:val="22"/>
          <w:lang w:eastAsia="ar-SA"/>
        </w:rPr>
        <w:t>.</w:t>
      </w:r>
    </w:p>
    <w:p w14:paraId="098DE579" w14:textId="77777777" w:rsidR="005E347E" w:rsidRPr="00AA22C4" w:rsidRDefault="005E347E" w:rsidP="005E347E">
      <w:pPr>
        <w:suppressAutoHyphens/>
        <w:spacing w:before="120" w:after="120"/>
        <w:contextualSpacing/>
        <w:jc w:val="both"/>
        <w:rPr>
          <w:rFonts w:ascii="Lato" w:eastAsia="Arial Unicode MS" w:hAnsi="Lato"/>
          <w:bCs/>
          <w:color w:val="000000" w:themeColor="text1"/>
          <w:kern w:val="1"/>
          <w:sz w:val="22"/>
          <w:szCs w:val="22"/>
          <w:u w:val="single"/>
          <w:lang w:eastAsia="ar-SA"/>
        </w:rPr>
      </w:pPr>
      <w:r w:rsidRPr="00AA22C4">
        <w:rPr>
          <w:rFonts w:ascii="Lato" w:eastAsia="Arial Unicode MS" w:hAnsi="Lato"/>
          <w:bCs/>
          <w:color w:val="000000" w:themeColor="text1"/>
          <w:kern w:val="1"/>
          <w:sz w:val="22"/>
          <w:szCs w:val="22"/>
          <w:u w:val="single"/>
          <w:lang w:eastAsia="ar-SA"/>
        </w:rPr>
        <w:t>Objawy:</w:t>
      </w:r>
    </w:p>
    <w:p w14:paraId="23A8F666" w14:textId="77777777" w:rsidR="005E347E" w:rsidRPr="00AA22C4" w:rsidRDefault="005E347E" w:rsidP="005E347E">
      <w:pPr>
        <w:suppressAutoHyphens/>
        <w:spacing w:before="120" w:after="120"/>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lang w:eastAsia="ar-SA"/>
        </w:rPr>
        <w:t xml:space="preserve">Obraz kliniczny choroby z moczem o zapachu syropu klonowego, podobnie jak w innych </w:t>
      </w:r>
      <w:proofErr w:type="spellStart"/>
      <w:r w:rsidRPr="00AA22C4">
        <w:rPr>
          <w:rFonts w:ascii="Lato" w:eastAsia="Arial Unicode MS" w:hAnsi="Lato"/>
          <w:color w:val="000000" w:themeColor="text1"/>
          <w:kern w:val="1"/>
          <w:sz w:val="22"/>
          <w:szCs w:val="22"/>
          <w:lang w:eastAsia="ar-SA"/>
        </w:rPr>
        <w:t>aminoacydopatiach</w:t>
      </w:r>
      <w:proofErr w:type="spellEnd"/>
      <w:r w:rsidRPr="00AA22C4">
        <w:rPr>
          <w:rFonts w:ascii="Lato" w:eastAsia="Arial Unicode MS" w:hAnsi="Lato"/>
          <w:color w:val="000000" w:themeColor="text1"/>
          <w:kern w:val="1"/>
          <w:sz w:val="22"/>
          <w:szCs w:val="22"/>
          <w:lang w:eastAsia="ar-SA"/>
        </w:rPr>
        <w:t xml:space="preserve">, jest spowodowany toksycznym działaniem swoistych metabolitów (szczególnie leucyny i kwasu 2-oksoizokapronowego). Odmiennie niż w klasycznych </w:t>
      </w:r>
      <w:proofErr w:type="spellStart"/>
      <w:r w:rsidRPr="00AA22C4">
        <w:rPr>
          <w:rFonts w:ascii="Lato" w:eastAsia="Arial Unicode MS" w:hAnsi="Lato"/>
          <w:color w:val="000000" w:themeColor="text1"/>
          <w:kern w:val="1"/>
          <w:sz w:val="22"/>
          <w:szCs w:val="22"/>
          <w:lang w:eastAsia="ar-SA"/>
        </w:rPr>
        <w:t>acyduriach</w:t>
      </w:r>
      <w:proofErr w:type="spellEnd"/>
      <w:r w:rsidRPr="00AA22C4">
        <w:rPr>
          <w:rFonts w:ascii="Lato" w:eastAsia="Arial Unicode MS" w:hAnsi="Lato"/>
          <w:color w:val="000000" w:themeColor="text1"/>
          <w:kern w:val="1"/>
          <w:sz w:val="22"/>
          <w:szCs w:val="22"/>
          <w:lang w:eastAsia="ar-SA"/>
        </w:rPr>
        <w:t xml:space="preserve"> organicznych nie występuje nagromadzenie pochodnych </w:t>
      </w:r>
      <w:proofErr w:type="spellStart"/>
      <w:r w:rsidRPr="00AA22C4">
        <w:rPr>
          <w:rFonts w:ascii="Lato" w:eastAsia="Arial Unicode MS" w:hAnsi="Lato"/>
          <w:color w:val="000000" w:themeColor="text1"/>
          <w:kern w:val="1"/>
          <w:sz w:val="22"/>
          <w:szCs w:val="22"/>
          <w:lang w:eastAsia="ar-SA"/>
        </w:rPr>
        <w:t>CoA</w:t>
      </w:r>
      <w:proofErr w:type="spellEnd"/>
      <w:r w:rsidRPr="00AA22C4">
        <w:rPr>
          <w:rFonts w:ascii="Lato" w:eastAsia="Arial Unicode MS" w:hAnsi="Lato"/>
          <w:color w:val="000000" w:themeColor="text1"/>
          <w:kern w:val="1"/>
          <w:sz w:val="22"/>
          <w:szCs w:val="22"/>
          <w:lang w:eastAsia="ar-SA"/>
        </w:rPr>
        <w:t xml:space="preserve"> (ani typowych </w:t>
      </w:r>
      <w:proofErr w:type="spellStart"/>
      <w:r w:rsidRPr="00AA22C4">
        <w:rPr>
          <w:rFonts w:ascii="Lato" w:eastAsia="Arial Unicode MS" w:hAnsi="Lato"/>
          <w:color w:val="000000" w:themeColor="text1"/>
          <w:kern w:val="1"/>
          <w:sz w:val="22"/>
          <w:szCs w:val="22"/>
          <w:lang w:eastAsia="ar-SA"/>
        </w:rPr>
        <w:t>acylokarnityn</w:t>
      </w:r>
      <w:proofErr w:type="spellEnd"/>
      <w:r w:rsidRPr="00AA22C4">
        <w:rPr>
          <w:rFonts w:ascii="Lato" w:eastAsia="Arial Unicode MS" w:hAnsi="Lato"/>
          <w:color w:val="000000" w:themeColor="text1"/>
          <w:kern w:val="1"/>
          <w:sz w:val="22"/>
          <w:szCs w:val="22"/>
          <w:lang w:eastAsia="ar-SA"/>
        </w:rPr>
        <w:t xml:space="preserve">), a kwasica </w:t>
      </w:r>
      <w:proofErr w:type="gramStart"/>
      <w:r w:rsidRPr="00AA22C4">
        <w:rPr>
          <w:rFonts w:ascii="Lato" w:eastAsia="Arial Unicode MS" w:hAnsi="Lato"/>
          <w:color w:val="000000" w:themeColor="text1"/>
          <w:kern w:val="1"/>
          <w:sz w:val="22"/>
          <w:szCs w:val="22"/>
          <w:lang w:eastAsia="ar-SA"/>
        </w:rPr>
        <w:t>i  </w:t>
      </w:r>
      <w:proofErr w:type="spellStart"/>
      <w:r w:rsidRPr="00AA22C4">
        <w:rPr>
          <w:rFonts w:ascii="Lato" w:eastAsia="Arial Unicode MS" w:hAnsi="Lato"/>
          <w:color w:val="000000" w:themeColor="text1"/>
          <w:kern w:val="1"/>
          <w:sz w:val="22"/>
          <w:szCs w:val="22"/>
          <w:lang w:eastAsia="ar-SA"/>
        </w:rPr>
        <w:t>hiperamonemia</w:t>
      </w:r>
      <w:proofErr w:type="spellEnd"/>
      <w:proofErr w:type="gramEnd"/>
      <w:r w:rsidRPr="00AA22C4">
        <w:rPr>
          <w:rFonts w:ascii="Lato" w:eastAsia="Arial Unicode MS" w:hAnsi="Lato"/>
          <w:color w:val="000000" w:themeColor="text1"/>
          <w:kern w:val="1"/>
          <w:sz w:val="22"/>
          <w:szCs w:val="22"/>
          <w:lang w:eastAsia="ar-SA"/>
        </w:rPr>
        <w:t xml:space="preserve"> nie należą do zasadniczych objawów choroby.</w:t>
      </w:r>
    </w:p>
    <w:p w14:paraId="24017DAC" w14:textId="77777777" w:rsidR="005E347E" w:rsidRPr="00AA22C4" w:rsidRDefault="005E347E" w:rsidP="005E347E">
      <w:pPr>
        <w:suppressAutoHyphens/>
        <w:spacing w:before="120" w:after="120"/>
        <w:jc w:val="both"/>
        <w:rPr>
          <w:rFonts w:ascii="Lato" w:eastAsia="Arial Unicode MS" w:hAnsi="Lato"/>
          <w:color w:val="000000" w:themeColor="text1"/>
          <w:kern w:val="1"/>
          <w:sz w:val="22"/>
          <w:szCs w:val="22"/>
          <w:u w:val="single"/>
          <w:lang w:eastAsia="ar-SA"/>
        </w:rPr>
      </w:pPr>
      <w:r w:rsidRPr="00AA22C4">
        <w:rPr>
          <w:rFonts w:ascii="Lato" w:eastAsia="Arial Unicode MS" w:hAnsi="Lato"/>
          <w:color w:val="000000" w:themeColor="text1"/>
          <w:kern w:val="1"/>
          <w:sz w:val="22"/>
          <w:szCs w:val="22"/>
          <w:u w:val="single"/>
          <w:lang w:eastAsia="ar-SA"/>
        </w:rPr>
        <w:t>Postaci choroby:</w:t>
      </w:r>
    </w:p>
    <w:p w14:paraId="683F086C" w14:textId="77777777" w:rsidR="005E347E" w:rsidRPr="00AA22C4" w:rsidRDefault="005E347E" w:rsidP="005E347E">
      <w:pPr>
        <w:numPr>
          <w:ilvl w:val="0"/>
          <w:numId w:val="18"/>
        </w:numPr>
        <w:suppressAutoHyphens/>
        <w:spacing w:before="120" w:after="120"/>
        <w:ind w:left="284" w:hanging="207"/>
        <w:contextualSpacing/>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lang w:eastAsia="ar-SA"/>
        </w:rPr>
        <w:t xml:space="preserve"> postać ciężka (najczęstsza): postępująca encefalopatia z zespołem intoksykacji (zatrucie endogenne) od 3-10 dnia życia, problemy z karmieniem, senność, śpiączka, obrzęk mózgu;</w:t>
      </w:r>
    </w:p>
    <w:p w14:paraId="55330860" w14:textId="77777777" w:rsidR="005E347E" w:rsidRPr="00AA22C4" w:rsidRDefault="005E347E" w:rsidP="005E347E">
      <w:pPr>
        <w:numPr>
          <w:ilvl w:val="0"/>
          <w:numId w:val="18"/>
        </w:numPr>
        <w:suppressAutoHyphens/>
        <w:spacing w:before="120" w:after="120"/>
        <w:ind w:left="284" w:hanging="207"/>
        <w:contextualSpacing/>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lang w:eastAsia="ar-SA"/>
        </w:rPr>
        <w:t xml:space="preserve"> postać pośrednia: opóźnienie rozwoju psychoruchowego, objawy neurologiczne, nawracająca dekompensacja z </w:t>
      </w:r>
      <w:proofErr w:type="spellStart"/>
      <w:r w:rsidRPr="00AA22C4">
        <w:rPr>
          <w:rFonts w:ascii="Lato" w:eastAsia="Arial Unicode MS" w:hAnsi="Lato"/>
          <w:color w:val="000000" w:themeColor="text1"/>
          <w:kern w:val="1"/>
          <w:sz w:val="22"/>
          <w:szCs w:val="22"/>
          <w:lang w:eastAsia="ar-SA"/>
        </w:rPr>
        <w:t>ketokwasicą</w:t>
      </w:r>
      <w:proofErr w:type="spellEnd"/>
      <w:r w:rsidRPr="00AA22C4">
        <w:rPr>
          <w:rFonts w:ascii="Lato" w:eastAsia="Arial Unicode MS" w:hAnsi="Lato"/>
          <w:color w:val="000000" w:themeColor="text1"/>
          <w:kern w:val="1"/>
          <w:sz w:val="22"/>
          <w:szCs w:val="22"/>
          <w:lang w:eastAsia="ar-SA"/>
        </w:rPr>
        <w:t xml:space="preserve"> i powikłaniami neurologicznymi;</w:t>
      </w:r>
    </w:p>
    <w:p w14:paraId="21D52F5B" w14:textId="77777777" w:rsidR="005E347E" w:rsidRPr="00AA22C4" w:rsidRDefault="005E347E" w:rsidP="005E347E">
      <w:pPr>
        <w:numPr>
          <w:ilvl w:val="0"/>
          <w:numId w:val="18"/>
        </w:numPr>
        <w:suppressAutoHyphens/>
        <w:spacing w:before="120" w:after="120"/>
        <w:ind w:left="284" w:hanging="207"/>
        <w:contextualSpacing/>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lang w:eastAsia="ar-SA"/>
        </w:rPr>
        <w:t xml:space="preserve"> postać przepuszczająca: objawy chorobowe występują tylko okresowo;</w:t>
      </w:r>
    </w:p>
    <w:p w14:paraId="0A867FCB" w14:textId="77777777" w:rsidR="005E347E" w:rsidRPr="00AA22C4" w:rsidRDefault="005E347E" w:rsidP="005E347E">
      <w:pPr>
        <w:numPr>
          <w:ilvl w:val="0"/>
          <w:numId w:val="18"/>
        </w:numPr>
        <w:suppressAutoHyphens/>
        <w:spacing w:before="120" w:after="120"/>
        <w:ind w:left="284" w:hanging="207"/>
        <w:contextualSpacing/>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lang w:eastAsia="ar-SA"/>
        </w:rPr>
        <w:t xml:space="preserve"> postać z deficytem podjednostki E3: ciężkie objawy kliniczne z kwasicą mleczanową </w:t>
      </w:r>
      <w:r w:rsidRPr="00AA22C4">
        <w:rPr>
          <w:rFonts w:ascii="Lato" w:eastAsia="Arial Unicode MS" w:hAnsi="Lato"/>
          <w:color w:val="000000" w:themeColor="text1"/>
          <w:kern w:val="1"/>
          <w:sz w:val="22"/>
          <w:szCs w:val="22"/>
          <w:lang w:eastAsia="ar-SA"/>
        </w:rPr>
        <w:br/>
        <w:t>u noworodka.</w:t>
      </w:r>
    </w:p>
    <w:p w14:paraId="64E13808" w14:textId="77777777" w:rsidR="005E347E" w:rsidRPr="00AA22C4" w:rsidRDefault="005E347E" w:rsidP="005E347E">
      <w:pPr>
        <w:suppressAutoHyphens/>
        <w:spacing w:before="120" w:after="120"/>
        <w:contextualSpacing/>
        <w:jc w:val="both"/>
        <w:rPr>
          <w:rFonts w:ascii="Lato" w:eastAsia="Arial Unicode MS" w:hAnsi="Lato"/>
          <w:color w:val="000000" w:themeColor="text1"/>
          <w:kern w:val="1"/>
          <w:sz w:val="22"/>
          <w:szCs w:val="22"/>
          <w:u w:val="single"/>
          <w:lang w:eastAsia="ar-SA"/>
        </w:rPr>
      </w:pPr>
      <w:r w:rsidRPr="00AA22C4">
        <w:rPr>
          <w:rFonts w:ascii="Lato" w:eastAsia="Arial Unicode MS" w:hAnsi="Lato"/>
          <w:color w:val="000000" w:themeColor="text1"/>
          <w:kern w:val="1"/>
          <w:sz w:val="22"/>
          <w:szCs w:val="22"/>
          <w:u w:val="single"/>
          <w:lang w:eastAsia="ar-SA"/>
        </w:rPr>
        <w:t>Diagnostyka:</w:t>
      </w:r>
    </w:p>
    <w:p w14:paraId="2F2F67F8" w14:textId="77777777" w:rsidR="005E347E" w:rsidRPr="00AA22C4" w:rsidRDefault="005E347E" w:rsidP="005E347E">
      <w:pPr>
        <w:pStyle w:val="Akapitzlist"/>
        <w:numPr>
          <w:ilvl w:val="0"/>
          <w:numId w:val="61"/>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we krwi na bibule przesiewowej: MS/MS: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 walina,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 leucyna z izoleucyn</w:t>
      </w:r>
      <w:r w:rsidRPr="00AA22C4">
        <w:rPr>
          <w:rFonts w:ascii="Lato" w:hAnsi="Lato" w:cs="Lato"/>
          <w:color w:val="000000" w:themeColor="text1"/>
          <w:sz w:val="22"/>
          <w:szCs w:val="22"/>
        </w:rPr>
        <w:t>ą</w:t>
      </w:r>
      <w:r w:rsidRPr="00AA22C4">
        <w:rPr>
          <w:rFonts w:ascii="Lato" w:hAnsi="Lato"/>
          <w:color w:val="000000" w:themeColor="text1"/>
          <w:sz w:val="22"/>
          <w:szCs w:val="22"/>
        </w:rPr>
        <w:t>;</w:t>
      </w:r>
    </w:p>
    <w:p w14:paraId="48B45F7F" w14:textId="77777777" w:rsidR="005E347E" w:rsidRPr="00AA22C4" w:rsidRDefault="005E347E" w:rsidP="005E347E">
      <w:pPr>
        <w:pStyle w:val="Akapitzlist"/>
        <w:numPr>
          <w:ilvl w:val="0"/>
          <w:numId w:val="61"/>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 osoczu krwi analiza aminokwasów metodą HPLC: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walina,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leucyna, izoleucyna, </w:t>
      </w:r>
      <w:r w:rsidRPr="00AA22C4">
        <w:rPr>
          <w:rFonts w:ascii="Arial" w:hAnsi="Arial" w:cs="Arial"/>
          <w:color w:val="000000" w:themeColor="text1"/>
          <w:sz w:val="22"/>
          <w:szCs w:val="22"/>
        </w:rPr>
        <w:t>↑</w:t>
      </w:r>
      <w:proofErr w:type="spellStart"/>
      <w:r w:rsidRPr="00AA22C4">
        <w:rPr>
          <w:rFonts w:ascii="Lato" w:hAnsi="Lato"/>
          <w:color w:val="000000" w:themeColor="text1"/>
          <w:sz w:val="22"/>
          <w:szCs w:val="22"/>
        </w:rPr>
        <w:t>alloizoleucyna</w:t>
      </w:r>
      <w:proofErr w:type="spellEnd"/>
      <w:r w:rsidRPr="00AA22C4">
        <w:rPr>
          <w:rFonts w:ascii="Lato" w:hAnsi="Lato"/>
          <w:color w:val="000000" w:themeColor="text1"/>
          <w:sz w:val="22"/>
          <w:szCs w:val="22"/>
        </w:rPr>
        <w:t xml:space="preserve"> (diagnostyczna);</w:t>
      </w:r>
    </w:p>
    <w:p w14:paraId="4AC07323" w14:textId="77777777" w:rsidR="005E347E" w:rsidRPr="00AA22C4" w:rsidRDefault="005E347E" w:rsidP="005E347E">
      <w:pPr>
        <w:pStyle w:val="Akapitzlist"/>
        <w:numPr>
          <w:ilvl w:val="0"/>
          <w:numId w:val="61"/>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w moczu analiza kwasów organicznych metodą GC/</w:t>
      </w:r>
      <w:proofErr w:type="gramStart"/>
      <w:r w:rsidRPr="00AA22C4">
        <w:rPr>
          <w:rFonts w:ascii="Lato" w:hAnsi="Lato"/>
          <w:color w:val="000000" w:themeColor="text1"/>
          <w:sz w:val="22"/>
          <w:szCs w:val="22"/>
        </w:rPr>
        <w:t>MS:</w:t>
      </w:r>
      <w:r w:rsidRPr="00AA22C4">
        <w:rPr>
          <w:rFonts w:ascii="Arial" w:hAnsi="Arial" w:cs="Arial"/>
          <w:color w:val="000000" w:themeColor="text1"/>
          <w:sz w:val="22"/>
          <w:szCs w:val="22"/>
        </w:rPr>
        <w:t>↑</w:t>
      </w:r>
      <w:proofErr w:type="gramEnd"/>
      <w:r w:rsidRPr="00AA22C4">
        <w:rPr>
          <w:rFonts w:ascii="Lato" w:hAnsi="Lato"/>
          <w:color w:val="000000" w:themeColor="text1"/>
          <w:sz w:val="22"/>
          <w:szCs w:val="22"/>
        </w:rPr>
        <w:t xml:space="preserve"> rozga</w:t>
      </w:r>
      <w:r w:rsidRPr="00AA22C4">
        <w:rPr>
          <w:rFonts w:ascii="Lato" w:hAnsi="Lato" w:cs="Lato"/>
          <w:color w:val="000000" w:themeColor="text1"/>
          <w:sz w:val="22"/>
          <w:szCs w:val="22"/>
        </w:rPr>
        <w:t>łę</w:t>
      </w:r>
      <w:r w:rsidRPr="00AA22C4">
        <w:rPr>
          <w:rFonts w:ascii="Lato" w:hAnsi="Lato"/>
          <w:color w:val="000000" w:themeColor="text1"/>
          <w:sz w:val="22"/>
          <w:szCs w:val="22"/>
        </w:rPr>
        <w:t xml:space="preserve">zione </w:t>
      </w:r>
      <w:r w:rsidRPr="00AA22C4">
        <w:rPr>
          <w:rFonts w:ascii="Lato" w:hAnsi="Lato"/>
          <w:color w:val="000000" w:themeColor="text1"/>
          <w:sz w:val="22"/>
          <w:szCs w:val="22"/>
        </w:rPr>
        <w:br/>
      </w:r>
      <w:proofErr w:type="spellStart"/>
      <w:r w:rsidRPr="00AA22C4">
        <w:rPr>
          <w:rFonts w:ascii="Lato" w:hAnsi="Lato"/>
          <w:color w:val="000000" w:themeColor="text1"/>
          <w:sz w:val="22"/>
          <w:szCs w:val="22"/>
        </w:rPr>
        <w:t>okso</w:t>
      </w:r>
      <w:proofErr w:type="spellEnd"/>
      <w:r w:rsidRPr="00AA22C4">
        <w:rPr>
          <w:rFonts w:ascii="Lato" w:hAnsi="Lato"/>
          <w:color w:val="000000" w:themeColor="text1"/>
          <w:sz w:val="22"/>
          <w:szCs w:val="22"/>
        </w:rPr>
        <w:t>-</w:t>
      </w:r>
      <w:r w:rsidRPr="00AA22C4">
        <w:rPr>
          <w:rFonts w:ascii="Lato" w:hAnsi="Lato" w:cs="Lato"/>
          <w:color w:val="000000" w:themeColor="text1"/>
          <w:sz w:val="22"/>
          <w:szCs w:val="22"/>
        </w:rPr>
        <w:t> </w:t>
      </w:r>
      <w:r w:rsidRPr="00AA22C4">
        <w:rPr>
          <w:rFonts w:ascii="Lato" w:hAnsi="Lato"/>
          <w:color w:val="000000" w:themeColor="text1"/>
          <w:sz w:val="22"/>
          <w:szCs w:val="22"/>
        </w:rPr>
        <w:t>i hydroksykwasy np. kwas 2-OH-izowalerianowy, kwas 2-oksoizokapronowy.</w:t>
      </w:r>
    </w:p>
    <w:p w14:paraId="45F36F64" w14:textId="77777777" w:rsidR="00D23264" w:rsidRDefault="00D23264" w:rsidP="005E347E">
      <w:pPr>
        <w:suppressAutoHyphens/>
        <w:spacing w:before="120" w:after="120"/>
        <w:contextualSpacing/>
        <w:jc w:val="both"/>
        <w:rPr>
          <w:rFonts w:ascii="Lato" w:hAnsi="Lato"/>
          <w:color w:val="000000" w:themeColor="text1"/>
          <w:kern w:val="1"/>
          <w:sz w:val="22"/>
          <w:szCs w:val="22"/>
          <w:u w:val="single"/>
          <w:lang w:eastAsia="ar-SA"/>
        </w:rPr>
      </w:pPr>
    </w:p>
    <w:p w14:paraId="33F29480" w14:textId="7C4D8BA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lastRenderedPageBreak/>
        <w:t>Leczenie:</w:t>
      </w:r>
    </w:p>
    <w:p w14:paraId="7C37BACD"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W stanie ostrym: natychmiastowa hospitalizacja, eliminacja białka z diety, stężona glukoza dożylnie (ew. z insuliną); cel – promować anabolizm i unikać wtórnego niedoboru izoleucyny </w:t>
      </w:r>
      <w:r w:rsidRPr="00AA22C4">
        <w:rPr>
          <w:rFonts w:ascii="Lato" w:hAnsi="Lato"/>
          <w:color w:val="000000" w:themeColor="text1"/>
          <w:kern w:val="1"/>
          <w:sz w:val="22"/>
          <w:szCs w:val="22"/>
          <w:lang w:eastAsia="ar-SA"/>
        </w:rPr>
        <w:br/>
        <w:t xml:space="preserve">i waliny; czasem niezbędna detoksykacja </w:t>
      </w:r>
      <w:proofErr w:type="spellStart"/>
      <w:r w:rsidRPr="00AA22C4">
        <w:rPr>
          <w:rFonts w:ascii="Lato" w:hAnsi="Lato"/>
          <w:color w:val="000000" w:themeColor="text1"/>
          <w:kern w:val="1"/>
          <w:sz w:val="22"/>
          <w:szCs w:val="22"/>
          <w:lang w:eastAsia="ar-SA"/>
        </w:rPr>
        <w:t>zewnątrzustrojowa</w:t>
      </w:r>
      <w:proofErr w:type="spellEnd"/>
      <w:r w:rsidRPr="00AA22C4">
        <w:rPr>
          <w:rFonts w:ascii="Lato" w:hAnsi="Lato"/>
          <w:color w:val="000000" w:themeColor="text1"/>
          <w:kern w:val="1"/>
          <w:sz w:val="22"/>
          <w:szCs w:val="22"/>
          <w:lang w:eastAsia="ar-SA"/>
        </w:rPr>
        <w:t>.</w:t>
      </w:r>
    </w:p>
    <w:p w14:paraId="0106558B"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Przewlekłe: Dieta z ograniczeniem aminokwasów rozgałęzionych z monitorowaniem </w:t>
      </w:r>
      <w:r w:rsidRPr="00AA22C4">
        <w:rPr>
          <w:rFonts w:ascii="Lato" w:hAnsi="Lato"/>
          <w:color w:val="000000" w:themeColor="text1"/>
          <w:kern w:val="1"/>
          <w:sz w:val="22"/>
          <w:szCs w:val="22"/>
          <w:lang w:eastAsia="ar-SA"/>
        </w:rPr>
        <w:br/>
        <w:t>ich stężeń.</w:t>
      </w:r>
    </w:p>
    <w:p w14:paraId="6B0C6DC4" w14:textId="77777777" w:rsidR="005E347E" w:rsidRPr="00AA22C4" w:rsidRDefault="005E347E" w:rsidP="00D23264">
      <w:pPr>
        <w:pStyle w:val="Akapitzlist"/>
        <w:numPr>
          <w:ilvl w:val="0"/>
          <w:numId w:val="82"/>
        </w:numPr>
        <w:spacing w:before="360" w:after="120"/>
        <w:ind w:left="1077" w:hanging="357"/>
        <w:jc w:val="both"/>
        <w:rPr>
          <w:rFonts w:ascii="Lato" w:hAnsi="Lato"/>
          <w:b/>
          <w:bCs/>
          <w:color w:val="000000" w:themeColor="text1"/>
          <w:sz w:val="22"/>
          <w:szCs w:val="22"/>
        </w:rPr>
      </w:pPr>
      <w:proofErr w:type="spellStart"/>
      <w:r w:rsidRPr="00AA22C4">
        <w:rPr>
          <w:rFonts w:ascii="Lato" w:hAnsi="Lato"/>
          <w:b/>
          <w:bCs/>
          <w:color w:val="000000" w:themeColor="text1"/>
          <w:sz w:val="22"/>
          <w:szCs w:val="22"/>
        </w:rPr>
        <w:t>Hipermetioninemia</w:t>
      </w:r>
      <w:proofErr w:type="spellEnd"/>
      <w:r w:rsidRPr="00AA22C4">
        <w:rPr>
          <w:rFonts w:ascii="Lato" w:hAnsi="Lato"/>
          <w:b/>
          <w:bCs/>
          <w:color w:val="000000" w:themeColor="text1"/>
          <w:sz w:val="22"/>
          <w:szCs w:val="22"/>
        </w:rPr>
        <w:t xml:space="preserve">/ </w:t>
      </w:r>
      <w:proofErr w:type="spellStart"/>
      <w:r w:rsidRPr="00AA22C4">
        <w:rPr>
          <w:rFonts w:ascii="Lato" w:hAnsi="Lato"/>
          <w:b/>
          <w:bCs/>
          <w:color w:val="000000" w:themeColor="text1"/>
          <w:sz w:val="22"/>
          <w:szCs w:val="22"/>
        </w:rPr>
        <w:t>homocystynuria</w:t>
      </w:r>
      <w:proofErr w:type="spellEnd"/>
      <w:r w:rsidRPr="00AA22C4">
        <w:rPr>
          <w:rFonts w:ascii="Lato" w:hAnsi="Lato"/>
          <w:b/>
          <w:bCs/>
          <w:color w:val="000000" w:themeColor="text1"/>
          <w:sz w:val="22"/>
          <w:szCs w:val="22"/>
        </w:rPr>
        <w:t xml:space="preserve"> - HCY</w:t>
      </w:r>
    </w:p>
    <w:p w14:paraId="56DBE1DA" w14:textId="77777777" w:rsidR="005E347E" w:rsidRPr="00AA22C4" w:rsidRDefault="005E347E" w:rsidP="005E347E">
      <w:pPr>
        <w:suppressAutoHyphens/>
        <w:spacing w:before="120" w:after="120"/>
        <w:contextualSpacing/>
        <w:jc w:val="both"/>
        <w:rPr>
          <w:rFonts w:ascii="Lato" w:eastAsia="Arial Unicode MS" w:hAnsi="Lato"/>
          <w:bCs/>
          <w:color w:val="000000" w:themeColor="text1"/>
          <w:kern w:val="1"/>
          <w:sz w:val="22"/>
          <w:szCs w:val="22"/>
          <w:lang w:eastAsia="ar-SA"/>
        </w:rPr>
      </w:pPr>
      <w:r w:rsidRPr="00AA22C4">
        <w:rPr>
          <w:rFonts w:ascii="Lato" w:eastAsia="Arial Unicode MS" w:hAnsi="Lato"/>
          <w:bCs/>
          <w:color w:val="000000" w:themeColor="text1"/>
          <w:kern w:val="1"/>
          <w:sz w:val="22"/>
          <w:szCs w:val="22"/>
          <w:u w:val="single"/>
          <w:lang w:eastAsia="ar-SA"/>
        </w:rPr>
        <w:t>Opis:</w:t>
      </w:r>
    </w:p>
    <w:p w14:paraId="4C7451EB" w14:textId="77777777" w:rsidR="005E347E" w:rsidRPr="00AA22C4" w:rsidRDefault="005E347E" w:rsidP="005E347E">
      <w:pPr>
        <w:suppressAutoHyphens/>
        <w:spacing w:before="120" w:after="120"/>
        <w:jc w:val="both"/>
        <w:rPr>
          <w:rFonts w:ascii="Lato" w:eastAsia="Arial Unicode MS" w:hAnsi="Lato"/>
          <w:bCs/>
          <w:color w:val="000000" w:themeColor="text1"/>
          <w:kern w:val="1"/>
          <w:sz w:val="22"/>
          <w:szCs w:val="22"/>
          <w:lang w:eastAsia="ar-SA"/>
        </w:rPr>
      </w:pPr>
      <w:r w:rsidRPr="00AA22C4">
        <w:rPr>
          <w:rFonts w:ascii="Lato" w:eastAsia="Arial Unicode MS" w:hAnsi="Lato"/>
          <w:bCs/>
          <w:color w:val="000000" w:themeColor="text1"/>
          <w:kern w:val="1"/>
          <w:sz w:val="22"/>
          <w:szCs w:val="22"/>
          <w:lang w:eastAsia="ar-SA"/>
        </w:rPr>
        <w:t xml:space="preserve">Częstość występowania klasycznej </w:t>
      </w:r>
      <w:proofErr w:type="spellStart"/>
      <w:r w:rsidRPr="00AA22C4">
        <w:rPr>
          <w:rFonts w:ascii="Lato" w:eastAsia="Arial Unicode MS" w:hAnsi="Lato"/>
          <w:bCs/>
          <w:color w:val="000000" w:themeColor="text1"/>
          <w:kern w:val="1"/>
          <w:sz w:val="22"/>
          <w:szCs w:val="22"/>
          <w:lang w:eastAsia="ar-SA"/>
        </w:rPr>
        <w:t>homocystynurii</w:t>
      </w:r>
      <w:proofErr w:type="spellEnd"/>
      <w:r w:rsidRPr="00AA22C4">
        <w:rPr>
          <w:rFonts w:ascii="Lato" w:eastAsia="Arial Unicode MS" w:hAnsi="Lato"/>
          <w:bCs/>
          <w:color w:val="000000" w:themeColor="text1"/>
          <w:kern w:val="1"/>
          <w:sz w:val="22"/>
          <w:szCs w:val="22"/>
          <w:lang w:eastAsia="ar-SA"/>
        </w:rPr>
        <w:t xml:space="preserve"> (HCY) szacuje się na około 1:100 000-200 000 należy do zaburzeń metabolizmu aminokwasów siarkowych i jest spowodowana deficytem beta - </w:t>
      </w:r>
      <w:proofErr w:type="spellStart"/>
      <w:r w:rsidRPr="00AA22C4">
        <w:rPr>
          <w:rFonts w:ascii="Lato" w:eastAsia="Arial Unicode MS" w:hAnsi="Lato"/>
          <w:bCs/>
          <w:color w:val="000000" w:themeColor="text1"/>
          <w:kern w:val="1"/>
          <w:sz w:val="22"/>
          <w:szCs w:val="22"/>
          <w:lang w:eastAsia="ar-SA"/>
        </w:rPr>
        <w:t>syntazy</w:t>
      </w:r>
      <w:proofErr w:type="spellEnd"/>
      <w:r w:rsidRPr="00AA22C4">
        <w:rPr>
          <w:rFonts w:ascii="Lato" w:eastAsia="Arial Unicode MS" w:hAnsi="Lato"/>
          <w:bCs/>
          <w:color w:val="000000" w:themeColor="text1"/>
          <w:kern w:val="1"/>
          <w:sz w:val="22"/>
          <w:szCs w:val="22"/>
          <w:lang w:eastAsia="ar-SA"/>
        </w:rPr>
        <w:t xml:space="preserve"> </w:t>
      </w:r>
      <w:proofErr w:type="spellStart"/>
      <w:r w:rsidRPr="00AA22C4">
        <w:rPr>
          <w:rFonts w:ascii="Lato" w:eastAsia="Arial Unicode MS" w:hAnsi="Lato"/>
          <w:bCs/>
          <w:color w:val="000000" w:themeColor="text1"/>
          <w:kern w:val="1"/>
          <w:sz w:val="22"/>
          <w:szCs w:val="22"/>
          <w:lang w:eastAsia="ar-SA"/>
        </w:rPr>
        <w:t>cystatoniny</w:t>
      </w:r>
      <w:proofErr w:type="spellEnd"/>
      <w:r w:rsidRPr="00AA22C4">
        <w:rPr>
          <w:rFonts w:ascii="Lato" w:eastAsia="Arial Unicode MS" w:hAnsi="Lato"/>
          <w:bCs/>
          <w:color w:val="000000" w:themeColor="text1"/>
          <w:kern w:val="1"/>
          <w:sz w:val="22"/>
          <w:szCs w:val="22"/>
          <w:lang w:eastAsia="ar-SA"/>
        </w:rPr>
        <w:t xml:space="preserve"> (CBS).</w:t>
      </w:r>
    </w:p>
    <w:p w14:paraId="25778987" w14:textId="77777777" w:rsidR="005E347E" w:rsidRPr="00AA22C4" w:rsidRDefault="005E347E" w:rsidP="005E347E">
      <w:pPr>
        <w:suppressAutoHyphens/>
        <w:spacing w:before="120" w:after="120"/>
        <w:contextualSpacing/>
        <w:jc w:val="both"/>
        <w:rPr>
          <w:rFonts w:ascii="Lato" w:eastAsia="Arial Unicode MS" w:hAnsi="Lato"/>
          <w:bCs/>
          <w:color w:val="000000" w:themeColor="text1"/>
          <w:kern w:val="1"/>
          <w:sz w:val="22"/>
          <w:szCs w:val="22"/>
          <w:u w:val="single"/>
          <w:lang w:eastAsia="ar-SA"/>
        </w:rPr>
      </w:pPr>
      <w:r w:rsidRPr="00AA22C4">
        <w:rPr>
          <w:rFonts w:ascii="Lato" w:eastAsia="Arial Unicode MS" w:hAnsi="Lato"/>
          <w:bCs/>
          <w:color w:val="000000" w:themeColor="text1"/>
          <w:kern w:val="1"/>
          <w:sz w:val="22"/>
          <w:szCs w:val="22"/>
          <w:u w:val="single"/>
          <w:lang w:eastAsia="ar-SA"/>
        </w:rPr>
        <w:t>Objawy:</w:t>
      </w:r>
    </w:p>
    <w:p w14:paraId="75E3BBC2" w14:textId="77777777" w:rsidR="005E347E" w:rsidRPr="00AA22C4" w:rsidRDefault="005E347E" w:rsidP="005E347E">
      <w:pPr>
        <w:suppressAutoHyphens/>
        <w:spacing w:before="120" w:after="120"/>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lang w:eastAsia="ar-SA"/>
        </w:rPr>
        <w:t xml:space="preserve">Wygląd </w:t>
      </w:r>
      <w:proofErr w:type="spellStart"/>
      <w:r w:rsidRPr="00AA22C4">
        <w:rPr>
          <w:rFonts w:ascii="Lato" w:eastAsia="Arial Unicode MS" w:hAnsi="Lato"/>
          <w:color w:val="000000" w:themeColor="text1"/>
          <w:kern w:val="1"/>
          <w:sz w:val="22"/>
          <w:szCs w:val="22"/>
          <w:lang w:eastAsia="ar-SA"/>
        </w:rPr>
        <w:t>Marfano</w:t>
      </w:r>
      <w:proofErr w:type="spellEnd"/>
      <w:r w:rsidRPr="00AA22C4">
        <w:rPr>
          <w:rFonts w:ascii="Lato" w:eastAsia="Arial Unicode MS" w:hAnsi="Lato"/>
          <w:color w:val="000000" w:themeColor="text1"/>
          <w:kern w:val="1"/>
          <w:sz w:val="22"/>
          <w:szCs w:val="22"/>
          <w:lang w:eastAsia="ar-SA"/>
        </w:rPr>
        <w:t xml:space="preserve"> - podobny, padaczka, niepełnosprawność intelektualna, postępująca wysoka krótkowzroczność (wczesne objawy), zwichnięcie soczewek, osteoporoza, zmiany zakrzepowo-zatorowe zagrażające życiu, zaburzenia psychiatryczne. Postać pirydoksyno-zależna i pirydoksyno-niezależna (o gorszym rokowaniu).</w:t>
      </w:r>
    </w:p>
    <w:p w14:paraId="3CA6F8C3" w14:textId="77777777" w:rsidR="005E347E" w:rsidRPr="00AA22C4" w:rsidRDefault="005E347E" w:rsidP="005E347E">
      <w:pPr>
        <w:suppressAutoHyphens/>
        <w:spacing w:before="120" w:after="120"/>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lang w:eastAsia="ar-SA"/>
        </w:rPr>
        <w:t>Choroba o podstępnym przebiegu, pierwsze objawy kliniczne zwykle w wieku szkolnym.</w:t>
      </w:r>
    </w:p>
    <w:p w14:paraId="6CA23145" w14:textId="77777777" w:rsidR="005E347E" w:rsidRPr="00AA22C4" w:rsidRDefault="005E347E" w:rsidP="005E347E">
      <w:pPr>
        <w:suppressAutoHyphens/>
        <w:spacing w:before="120" w:after="120"/>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lang w:eastAsia="ar-SA"/>
        </w:rPr>
        <w:t>Enzym: Beta-</w:t>
      </w:r>
      <w:proofErr w:type="spellStart"/>
      <w:r w:rsidRPr="00AA22C4">
        <w:rPr>
          <w:rFonts w:ascii="Lato" w:eastAsia="Arial Unicode MS" w:hAnsi="Lato"/>
          <w:color w:val="000000" w:themeColor="text1"/>
          <w:kern w:val="1"/>
          <w:sz w:val="22"/>
          <w:szCs w:val="22"/>
          <w:lang w:eastAsia="ar-SA"/>
        </w:rPr>
        <w:t>syntaza</w:t>
      </w:r>
      <w:proofErr w:type="spellEnd"/>
      <w:r w:rsidRPr="00AA22C4">
        <w:rPr>
          <w:rFonts w:ascii="Lato" w:eastAsia="Arial Unicode MS" w:hAnsi="Lato"/>
          <w:color w:val="000000" w:themeColor="text1"/>
          <w:kern w:val="1"/>
          <w:sz w:val="22"/>
          <w:szCs w:val="22"/>
          <w:lang w:eastAsia="ar-SA"/>
        </w:rPr>
        <w:t xml:space="preserve"> </w:t>
      </w:r>
      <w:proofErr w:type="spellStart"/>
      <w:r w:rsidRPr="00AA22C4">
        <w:rPr>
          <w:rFonts w:ascii="Lato" w:eastAsia="Arial Unicode MS" w:hAnsi="Lato"/>
          <w:color w:val="000000" w:themeColor="text1"/>
          <w:kern w:val="1"/>
          <w:sz w:val="22"/>
          <w:szCs w:val="22"/>
          <w:lang w:eastAsia="ar-SA"/>
        </w:rPr>
        <w:t>cystatoniny</w:t>
      </w:r>
      <w:proofErr w:type="spellEnd"/>
      <w:r w:rsidRPr="00AA22C4">
        <w:rPr>
          <w:rFonts w:ascii="Lato" w:eastAsia="Arial Unicode MS" w:hAnsi="Lato"/>
          <w:color w:val="000000" w:themeColor="text1"/>
          <w:kern w:val="1"/>
          <w:sz w:val="22"/>
          <w:szCs w:val="22"/>
          <w:lang w:eastAsia="ar-SA"/>
        </w:rPr>
        <w:t xml:space="preserve"> (CBS)</w:t>
      </w:r>
    </w:p>
    <w:p w14:paraId="25491B81" w14:textId="77777777" w:rsidR="005E347E" w:rsidRPr="00AA22C4" w:rsidRDefault="005E347E" w:rsidP="005E347E">
      <w:pPr>
        <w:suppressAutoHyphens/>
        <w:spacing w:before="120" w:after="120"/>
        <w:contextualSpacing/>
        <w:jc w:val="both"/>
        <w:rPr>
          <w:rFonts w:ascii="Lato" w:eastAsia="Arial Unicode MS" w:hAnsi="Lato"/>
          <w:color w:val="000000" w:themeColor="text1"/>
          <w:kern w:val="1"/>
          <w:sz w:val="22"/>
          <w:szCs w:val="22"/>
          <w:u w:val="single"/>
          <w:lang w:eastAsia="ar-SA"/>
        </w:rPr>
      </w:pPr>
      <w:r w:rsidRPr="00AA22C4">
        <w:rPr>
          <w:rFonts w:ascii="Lato" w:eastAsia="Arial Unicode MS" w:hAnsi="Lato"/>
          <w:color w:val="000000" w:themeColor="text1"/>
          <w:kern w:val="1"/>
          <w:sz w:val="22"/>
          <w:szCs w:val="22"/>
          <w:u w:val="single"/>
          <w:lang w:eastAsia="ar-SA"/>
        </w:rPr>
        <w:t>Diagnostyka:</w:t>
      </w:r>
    </w:p>
    <w:p w14:paraId="00B0EC06" w14:textId="165ADDC0" w:rsidR="005E347E" w:rsidRPr="00AA22C4" w:rsidRDefault="002460F0" w:rsidP="00AA22C4">
      <w:pPr>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1) </w:t>
      </w:r>
      <w:r w:rsidR="005E347E" w:rsidRPr="00AA22C4">
        <w:rPr>
          <w:rFonts w:ascii="Lato" w:hAnsi="Lato"/>
          <w:color w:val="000000" w:themeColor="text1"/>
          <w:sz w:val="22"/>
          <w:szCs w:val="22"/>
        </w:rPr>
        <w:t>we krwi na bibule przesiewowej metodą MS/</w:t>
      </w:r>
      <w:proofErr w:type="gramStart"/>
      <w:r w:rsidR="005E347E" w:rsidRPr="00AA22C4">
        <w:rPr>
          <w:rFonts w:ascii="Lato" w:hAnsi="Lato"/>
          <w:color w:val="000000" w:themeColor="text1"/>
          <w:sz w:val="22"/>
          <w:szCs w:val="22"/>
        </w:rPr>
        <w:t>MS:</w:t>
      </w:r>
      <w:r w:rsidR="005E347E" w:rsidRPr="00AA22C4">
        <w:rPr>
          <w:rFonts w:ascii="Arial" w:hAnsi="Arial" w:cs="Arial" w:hint="eastAsia"/>
          <w:color w:val="000000" w:themeColor="text1"/>
          <w:sz w:val="22"/>
          <w:szCs w:val="22"/>
        </w:rPr>
        <w:t>↑</w:t>
      </w:r>
      <w:proofErr w:type="gramEnd"/>
      <w:r w:rsidR="005E347E" w:rsidRPr="00AA22C4">
        <w:rPr>
          <w:rFonts w:ascii="Lato" w:hAnsi="Lato"/>
          <w:color w:val="000000" w:themeColor="text1"/>
          <w:sz w:val="22"/>
          <w:szCs w:val="22"/>
        </w:rPr>
        <w:t xml:space="preserve">Met, </w:t>
      </w:r>
      <w:r w:rsidR="005E347E" w:rsidRPr="00AA22C4">
        <w:rPr>
          <w:rFonts w:ascii="Arial" w:hAnsi="Arial" w:cs="Arial" w:hint="eastAsia"/>
          <w:color w:val="000000" w:themeColor="text1"/>
          <w:sz w:val="22"/>
          <w:szCs w:val="22"/>
        </w:rPr>
        <w:t>↑</w:t>
      </w:r>
      <w:r w:rsidR="005E347E" w:rsidRPr="00AA22C4">
        <w:rPr>
          <w:rFonts w:ascii="Lato" w:hAnsi="Lato"/>
          <w:color w:val="000000" w:themeColor="text1"/>
          <w:sz w:val="22"/>
          <w:szCs w:val="22"/>
        </w:rPr>
        <w:t xml:space="preserve"> </w:t>
      </w:r>
      <w:proofErr w:type="spellStart"/>
      <w:r w:rsidR="005E347E" w:rsidRPr="00AA22C4">
        <w:rPr>
          <w:rFonts w:ascii="Lato" w:hAnsi="Lato"/>
          <w:color w:val="000000" w:themeColor="text1"/>
          <w:sz w:val="22"/>
          <w:szCs w:val="22"/>
        </w:rPr>
        <w:t>Hcy</w:t>
      </w:r>
      <w:proofErr w:type="spellEnd"/>
      <w:r w:rsidR="005E347E" w:rsidRPr="00AA22C4">
        <w:rPr>
          <w:rFonts w:ascii="Lato" w:hAnsi="Lato"/>
          <w:color w:val="000000" w:themeColor="text1"/>
          <w:sz w:val="22"/>
          <w:szCs w:val="22"/>
        </w:rPr>
        <w:t xml:space="preserve"> (</w:t>
      </w:r>
      <w:r w:rsidR="005E347E" w:rsidRPr="00AA22C4">
        <w:rPr>
          <w:rFonts w:ascii="Lato" w:hAnsi="Lato" w:cs="Lato"/>
          <w:color w:val="000000" w:themeColor="text1"/>
          <w:sz w:val="22"/>
          <w:szCs w:val="22"/>
        </w:rPr>
        <w:t>„</w:t>
      </w:r>
      <w:proofErr w:type="spellStart"/>
      <w:r w:rsidR="005E347E" w:rsidRPr="00AA22C4">
        <w:rPr>
          <w:rFonts w:ascii="Lato" w:hAnsi="Lato"/>
          <w:color w:val="000000" w:themeColor="text1"/>
          <w:sz w:val="22"/>
          <w:szCs w:val="22"/>
        </w:rPr>
        <w:t>second</w:t>
      </w:r>
      <w:proofErr w:type="spellEnd"/>
      <w:r w:rsidR="005E347E" w:rsidRPr="00AA22C4">
        <w:rPr>
          <w:rFonts w:ascii="Lato" w:hAnsi="Lato"/>
          <w:color w:val="000000" w:themeColor="text1"/>
          <w:sz w:val="22"/>
          <w:szCs w:val="22"/>
        </w:rPr>
        <w:t xml:space="preserve"> </w:t>
      </w:r>
      <w:proofErr w:type="spellStart"/>
      <w:r w:rsidR="005E347E" w:rsidRPr="00AA22C4">
        <w:rPr>
          <w:rFonts w:ascii="Lato" w:hAnsi="Lato"/>
          <w:color w:val="000000" w:themeColor="text1"/>
          <w:sz w:val="22"/>
          <w:szCs w:val="22"/>
        </w:rPr>
        <w:t>tier</w:t>
      </w:r>
      <w:proofErr w:type="spellEnd"/>
      <w:r w:rsidR="005E347E" w:rsidRPr="00AA22C4">
        <w:rPr>
          <w:rFonts w:ascii="Lato" w:hAnsi="Lato" w:cs="Lato"/>
          <w:color w:val="000000" w:themeColor="text1"/>
          <w:sz w:val="22"/>
          <w:szCs w:val="22"/>
        </w:rPr>
        <w:t>”</w:t>
      </w:r>
      <w:r w:rsidR="005E347E" w:rsidRPr="00AA22C4">
        <w:rPr>
          <w:rFonts w:ascii="Lato" w:hAnsi="Lato"/>
          <w:color w:val="000000" w:themeColor="text1"/>
          <w:sz w:val="22"/>
          <w:szCs w:val="22"/>
        </w:rPr>
        <w:t xml:space="preserve"> test);</w:t>
      </w:r>
    </w:p>
    <w:p w14:paraId="1E5B5296" w14:textId="7D8975FB" w:rsidR="005E347E" w:rsidRPr="00AA22C4" w:rsidRDefault="002460F0" w:rsidP="00AA22C4">
      <w:pPr>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2) </w:t>
      </w:r>
      <w:r w:rsidR="005E347E" w:rsidRPr="00AA22C4">
        <w:rPr>
          <w:rFonts w:ascii="Lato" w:hAnsi="Lato"/>
          <w:color w:val="000000" w:themeColor="text1"/>
          <w:sz w:val="22"/>
          <w:szCs w:val="22"/>
        </w:rPr>
        <w:t xml:space="preserve">w osoczu krwi analiza aminokwasów metodą HPLC: </w:t>
      </w:r>
      <w:r w:rsidR="005E347E" w:rsidRPr="00AA22C4">
        <w:rPr>
          <w:rFonts w:ascii="Arial" w:hAnsi="Arial" w:cs="Arial" w:hint="eastAsia"/>
          <w:color w:val="000000" w:themeColor="text1"/>
          <w:sz w:val="22"/>
          <w:szCs w:val="22"/>
        </w:rPr>
        <w:t>↑</w:t>
      </w:r>
      <w:r w:rsidR="005E347E" w:rsidRPr="00AA22C4">
        <w:rPr>
          <w:rFonts w:ascii="Lato" w:hAnsi="Lato"/>
          <w:color w:val="000000" w:themeColor="text1"/>
          <w:sz w:val="22"/>
          <w:szCs w:val="22"/>
        </w:rPr>
        <w:t xml:space="preserve">Met, </w:t>
      </w:r>
      <w:r w:rsidR="005E347E" w:rsidRPr="00AA22C4">
        <w:rPr>
          <w:rFonts w:ascii="Arial" w:hAnsi="Arial" w:cs="Arial" w:hint="eastAsia"/>
          <w:color w:val="000000" w:themeColor="text1"/>
          <w:sz w:val="22"/>
          <w:szCs w:val="22"/>
        </w:rPr>
        <w:t>↑↑</w:t>
      </w:r>
      <w:r w:rsidR="005E347E" w:rsidRPr="00AA22C4">
        <w:rPr>
          <w:rFonts w:ascii="Lato" w:hAnsi="Lato"/>
          <w:color w:val="000000" w:themeColor="text1"/>
          <w:sz w:val="22"/>
          <w:szCs w:val="22"/>
        </w:rPr>
        <w:t xml:space="preserve"> </w:t>
      </w:r>
      <w:proofErr w:type="spellStart"/>
      <w:r w:rsidR="005E347E" w:rsidRPr="00AA22C4">
        <w:rPr>
          <w:rFonts w:ascii="Lato" w:hAnsi="Lato"/>
          <w:color w:val="000000" w:themeColor="text1"/>
          <w:sz w:val="22"/>
          <w:szCs w:val="22"/>
        </w:rPr>
        <w:t>Hcy</w:t>
      </w:r>
      <w:proofErr w:type="spellEnd"/>
      <w:r w:rsidR="005E347E" w:rsidRPr="00AA22C4">
        <w:rPr>
          <w:rFonts w:ascii="Lato" w:hAnsi="Lato"/>
          <w:color w:val="000000" w:themeColor="text1"/>
          <w:sz w:val="22"/>
          <w:szCs w:val="22"/>
        </w:rPr>
        <w:t xml:space="preserve">, </w:t>
      </w:r>
      <w:r w:rsidR="005E347E" w:rsidRPr="00AA22C4">
        <w:rPr>
          <w:rFonts w:ascii="Arial" w:hAnsi="Arial" w:cs="Arial" w:hint="eastAsia"/>
          <w:color w:val="000000" w:themeColor="text1"/>
          <w:sz w:val="22"/>
          <w:szCs w:val="22"/>
        </w:rPr>
        <w:t>↓</w:t>
      </w:r>
      <w:proofErr w:type="spellStart"/>
      <w:r w:rsidR="005E347E" w:rsidRPr="00AA22C4">
        <w:rPr>
          <w:rFonts w:ascii="Lato" w:hAnsi="Lato"/>
          <w:color w:val="000000" w:themeColor="text1"/>
          <w:sz w:val="22"/>
          <w:szCs w:val="22"/>
        </w:rPr>
        <w:t>Cys</w:t>
      </w:r>
      <w:proofErr w:type="spellEnd"/>
      <w:r w:rsidR="005E347E" w:rsidRPr="00AA22C4">
        <w:rPr>
          <w:rFonts w:ascii="Lato" w:hAnsi="Lato"/>
          <w:color w:val="000000" w:themeColor="text1"/>
          <w:sz w:val="22"/>
          <w:szCs w:val="22"/>
        </w:rPr>
        <w:t xml:space="preserve">. </w:t>
      </w:r>
    </w:p>
    <w:p w14:paraId="307C0502"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Leczenie:</w:t>
      </w:r>
    </w:p>
    <w:p w14:paraId="20D8EBC4"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Dieta z ograniczeniem metioniny. Podawanie pirydoksyny oraz betainy bezwodnej, dostępnej bezpłatnie w ramach programu lekowego „Leczenie ciężkich wrodzonych </w:t>
      </w:r>
      <w:proofErr w:type="spellStart"/>
      <w:r w:rsidRPr="00AA22C4">
        <w:rPr>
          <w:rFonts w:ascii="Lato" w:hAnsi="Lato"/>
          <w:color w:val="000000" w:themeColor="text1"/>
          <w:kern w:val="1"/>
          <w:sz w:val="22"/>
          <w:szCs w:val="22"/>
          <w:lang w:eastAsia="ar-SA"/>
        </w:rPr>
        <w:t>hiperhomocysteinemii</w:t>
      </w:r>
      <w:proofErr w:type="spellEnd"/>
      <w:r w:rsidRPr="00AA22C4">
        <w:rPr>
          <w:rFonts w:ascii="Lato" w:hAnsi="Lato"/>
          <w:color w:val="000000" w:themeColor="text1"/>
          <w:kern w:val="1"/>
          <w:sz w:val="22"/>
          <w:szCs w:val="22"/>
          <w:lang w:eastAsia="ar-SA"/>
        </w:rPr>
        <w:t>”.</w:t>
      </w:r>
    </w:p>
    <w:p w14:paraId="3CD98BB8" w14:textId="77777777" w:rsidR="005E347E" w:rsidRPr="00AA22C4" w:rsidRDefault="005E347E" w:rsidP="00D23264">
      <w:pPr>
        <w:pStyle w:val="Akapitzlist"/>
        <w:numPr>
          <w:ilvl w:val="0"/>
          <w:numId w:val="82"/>
        </w:numPr>
        <w:spacing w:before="360" w:after="120"/>
        <w:ind w:left="1077" w:hanging="357"/>
        <w:jc w:val="both"/>
        <w:rPr>
          <w:rFonts w:ascii="Lato" w:hAnsi="Lato"/>
          <w:bCs/>
          <w:color w:val="000000" w:themeColor="text1"/>
          <w:sz w:val="22"/>
          <w:szCs w:val="22"/>
        </w:rPr>
      </w:pPr>
      <w:proofErr w:type="spellStart"/>
      <w:r w:rsidRPr="00AA22C4">
        <w:rPr>
          <w:rFonts w:ascii="Lato" w:hAnsi="Lato"/>
          <w:b/>
          <w:bCs/>
          <w:color w:val="000000" w:themeColor="text1"/>
          <w:sz w:val="22"/>
          <w:szCs w:val="22"/>
        </w:rPr>
        <w:t>Acyduria</w:t>
      </w:r>
      <w:proofErr w:type="spellEnd"/>
      <w:r w:rsidRPr="00AA22C4">
        <w:rPr>
          <w:rFonts w:ascii="Lato" w:hAnsi="Lato"/>
          <w:b/>
          <w:bCs/>
          <w:color w:val="000000" w:themeColor="text1"/>
          <w:sz w:val="22"/>
          <w:szCs w:val="22"/>
        </w:rPr>
        <w:t xml:space="preserve"> </w:t>
      </w:r>
      <w:proofErr w:type="spellStart"/>
      <w:r w:rsidRPr="00AA22C4">
        <w:rPr>
          <w:rFonts w:ascii="Lato" w:hAnsi="Lato"/>
          <w:b/>
          <w:bCs/>
          <w:color w:val="000000" w:themeColor="text1"/>
          <w:sz w:val="22"/>
          <w:szCs w:val="22"/>
        </w:rPr>
        <w:t>argininowo-bursztynianowa</w:t>
      </w:r>
      <w:proofErr w:type="spellEnd"/>
      <w:r w:rsidRPr="00AA22C4">
        <w:rPr>
          <w:rFonts w:ascii="Lato" w:hAnsi="Lato"/>
          <w:b/>
          <w:bCs/>
          <w:color w:val="000000" w:themeColor="text1"/>
          <w:sz w:val="22"/>
          <w:szCs w:val="22"/>
        </w:rPr>
        <w:t xml:space="preserve"> – ASA</w:t>
      </w:r>
    </w:p>
    <w:p w14:paraId="00D1D4F2"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u w:val="single"/>
          <w:lang w:eastAsia="ar-SA"/>
        </w:rPr>
        <w:t>Opis:</w:t>
      </w:r>
    </w:p>
    <w:p w14:paraId="0CE30176" w14:textId="77777777" w:rsidR="005E347E" w:rsidRPr="00AA22C4" w:rsidRDefault="005E347E" w:rsidP="005E347E">
      <w:pPr>
        <w:suppressAutoHyphens/>
        <w:spacing w:before="120" w:after="120"/>
        <w:jc w:val="both"/>
        <w:rPr>
          <w:rFonts w:ascii="Lato" w:eastAsia="Arial Unicode MS" w:hAnsi="Lato"/>
          <w:color w:val="000000" w:themeColor="text1"/>
          <w:kern w:val="1"/>
          <w:sz w:val="22"/>
          <w:szCs w:val="22"/>
          <w:u w:val="single"/>
          <w:lang w:eastAsia="ar-SA"/>
        </w:rPr>
      </w:pPr>
      <w:r w:rsidRPr="00AA22C4">
        <w:rPr>
          <w:rFonts w:ascii="Lato" w:eastAsia="Arial Unicode MS" w:hAnsi="Lato"/>
          <w:bCs/>
          <w:color w:val="000000" w:themeColor="text1"/>
          <w:kern w:val="1"/>
          <w:sz w:val="22"/>
          <w:szCs w:val="22"/>
          <w:lang w:eastAsia="ar-SA"/>
        </w:rPr>
        <w:t>Częstość występowania choroby szacuje się na około 1:100 000 - 1:200 000.</w:t>
      </w:r>
      <w:r w:rsidRPr="00AA22C4">
        <w:rPr>
          <w:rFonts w:ascii="Lato" w:eastAsia="Arial Unicode MS" w:hAnsi="Lato"/>
          <w:color w:val="000000" w:themeColor="text1"/>
          <w:kern w:val="1"/>
          <w:sz w:val="22"/>
          <w:szCs w:val="22"/>
          <w:lang w:eastAsia="ar-SA"/>
        </w:rPr>
        <w:t xml:space="preserve"> Jest spowodowana niedoborem enzymu ASL w fibroblastach.</w:t>
      </w:r>
    </w:p>
    <w:p w14:paraId="7BBBD286" w14:textId="77777777" w:rsidR="005E347E" w:rsidRPr="00AA22C4" w:rsidRDefault="005E347E" w:rsidP="005E347E">
      <w:pPr>
        <w:suppressAutoHyphens/>
        <w:spacing w:before="120" w:after="120"/>
        <w:contextualSpacing/>
        <w:jc w:val="both"/>
        <w:rPr>
          <w:rFonts w:ascii="Lato" w:eastAsia="Arial Unicode MS" w:hAnsi="Lato"/>
          <w:color w:val="000000" w:themeColor="text1"/>
          <w:kern w:val="1"/>
          <w:sz w:val="22"/>
          <w:szCs w:val="22"/>
          <w:u w:val="single"/>
          <w:lang w:eastAsia="ar-SA"/>
        </w:rPr>
      </w:pPr>
      <w:r w:rsidRPr="00AA22C4">
        <w:rPr>
          <w:rFonts w:ascii="Lato" w:eastAsia="Arial Unicode MS" w:hAnsi="Lato"/>
          <w:color w:val="000000" w:themeColor="text1"/>
          <w:kern w:val="1"/>
          <w:sz w:val="22"/>
          <w:szCs w:val="22"/>
          <w:u w:val="single"/>
          <w:lang w:eastAsia="ar-SA"/>
        </w:rPr>
        <w:t>Objawy:</w:t>
      </w:r>
    </w:p>
    <w:p w14:paraId="6F884F08" w14:textId="77777777" w:rsidR="005E347E" w:rsidRPr="00AA22C4" w:rsidRDefault="005E347E" w:rsidP="005E347E">
      <w:pPr>
        <w:suppressAutoHyphens/>
        <w:spacing w:before="120" w:after="120"/>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lang w:eastAsia="ar-SA"/>
        </w:rPr>
        <w:t xml:space="preserve">Występują albo wkrótce po urodzeniu, z ciężką śpiączką przebiegającą z </w:t>
      </w:r>
      <w:proofErr w:type="spellStart"/>
      <w:r w:rsidRPr="00AA22C4">
        <w:rPr>
          <w:rFonts w:ascii="Lato" w:eastAsia="Arial Unicode MS" w:hAnsi="Lato"/>
          <w:color w:val="000000" w:themeColor="text1"/>
          <w:kern w:val="1"/>
          <w:sz w:val="22"/>
          <w:szCs w:val="22"/>
          <w:lang w:eastAsia="ar-SA"/>
        </w:rPr>
        <w:t>hiperamonemią</w:t>
      </w:r>
      <w:proofErr w:type="spellEnd"/>
      <w:r w:rsidRPr="00AA22C4">
        <w:rPr>
          <w:rFonts w:ascii="Lato" w:eastAsia="Arial Unicode MS" w:hAnsi="Lato"/>
          <w:color w:val="000000" w:themeColor="text1"/>
          <w:kern w:val="1"/>
          <w:sz w:val="22"/>
          <w:szCs w:val="22"/>
          <w:lang w:eastAsia="ar-SA"/>
        </w:rPr>
        <w:t xml:space="preserve"> często </w:t>
      </w:r>
      <w:r w:rsidRPr="00AA22C4">
        <w:rPr>
          <w:rFonts w:ascii="Lato" w:eastAsia="Arial Unicode MS" w:hAnsi="Lato"/>
          <w:color w:val="000000" w:themeColor="text1"/>
          <w:kern w:val="1"/>
          <w:sz w:val="22"/>
          <w:szCs w:val="22"/>
          <w:lang w:eastAsia="ar-SA"/>
        </w:rPr>
        <w:lastRenderedPageBreak/>
        <w:t xml:space="preserve">zakończoną zgonem, albo w okresie dzieciństwa z </w:t>
      </w:r>
      <w:proofErr w:type="spellStart"/>
      <w:r w:rsidRPr="00AA22C4">
        <w:rPr>
          <w:rFonts w:ascii="Lato" w:eastAsia="Arial Unicode MS" w:hAnsi="Lato"/>
          <w:color w:val="000000" w:themeColor="text1"/>
          <w:kern w:val="1"/>
          <w:sz w:val="22"/>
          <w:szCs w:val="22"/>
          <w:lang w:eastAsia="ar-SA"/>
        </w:rPr>
        <w:t>hepatomegalią</w:t>
      </w:r>
      <w:proofErr w:type="spellEnd"/>
      <w:r w:rsidRPr="00AA22C4">
        <w:rPr>
          <w:rFonts w:ascii="Lato" w:eastAsia="Arial Unicode MS" w:hAnsi="Lato"/>
          <w:color w:val="000000" w:themeColor="text1"/>
          <w:kern w:val="1"/>
          <w:sz w:val="22"/>
          <w:szCs w:val="22"/>
          <w:lang w:eastAsia="ar-SA"/>
        </w:rPr>
        <w:t xml:space="preserve"> i niepełnosprawnością intelektualną. Przebiega z </w:t>
      </w:r>
      <w:proofErr w:type="spellStart"/>
      <w:r w:rsidRPr="00AA22C4">
        <w:rPr>
          <w:rFonts w:ascii="Lato" w:eastAsia="Arial Unicode MS" w:hAnsi="Lato"/>
          <w:color w:val="000000" w:themeColor="text1"/>
          <w:kern w:val="1"/>
          <w:sz w:val="22"/>
          <w:szCs w:val="22"/>
          <w:lang w:eastAsia="ar-SA"/>
        </w:rPr>
        <w:t>hiperamonemią</w:t>
      </w:r>
      <w:proofErr w:type="spellEnd"/>
      <w:r w:rsidRPr="00AA22C4">
        <w:rPr>
          <w:rFonts w:ascii="Lato" w:eastAsia="Arial Unicode MS" w:hAnsi="Lato"/>
          <w:color w:val="000000" w:themeColor="text1"/>
          <w:kern w:val="1"/>
          <w:sz w:val="22"/>
          <w:szCs w:val="22"/>
          <w:lang w:eastAsia="ar-SA"/>
        </w:rPr>
        <w:t xml:space="preserve"> i niedoborem argininy.</w:t>
      </w:r>
    </w:p>
    <w:p w14:paraId="5B4CE129" w14:textId="77777777" w:rsidR="005E347E" w:rsidRPr="00AA22C4" w:rsidRDefault="005E347E" w:rsidP="005E347E">
      <w:pPr>
        <w:suppressAutoHyphens/>
        <w:spacing w:before="120" w:after="120"/>
        <w:contextualSpacing/>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u w:val="single"/>
          <w:lang w:eastAsia="ar-SA"/>
        </w:rPr>
        <w:t>Diagnostyka</w:t>
      </w:r>
      <w:r w:rsidRPr="00AA22C4">
        <w:rPr>
          <w:rFonts w:ascii="Lato" w:eastAsia="Arial Unicode MS" w:hAnsi="Lato"/>
          <w:color w:val="000000" w:themeColor="text1"/>
          <w:kern w:val="1"/>
          <w:sz w:val="22"/>
          <w:szCs w:val="22"/>
          <w:lang w:eastAsia="ar-SA"/>
        </w:rPr>
        <w:t xml:space="preserve">: </w:t>
      </w:r>
    </w:p>
    <w:p w14:paraId="2F66DA75" w14:textId="77777777" w:rsidR="005E347E" w:rsidRPr="00AA22C4" w:rsidRDefault="005E347E" w:rsidP="005E347E">
      <w:pPr>
        <w:pStyle w:val="Akapitzlist"/>
        <w:numPr>
          <w:ilvl w:val="0"/>
          <w:numId w:val="47"/>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we krwi na bibule przesiewowej metodą MS/MS: </w:t>
      </w:r>
      <w:r w:rsidRPr="00AA22C4">
        <w:rPr>
          <w:rFonts w:ascii="Arial" w:hAnsi="Arial" w:cs="Arial"/>
          <w:color w:val="000000" w:themeColor="text1"/>
          <w:sz w:val="22"/>
          <w:szCs w:val="22"/>
        </w:rPr>
        <w:t>↑</w:t>
      </w:r>
      <w:proofErr w:type="spellStart"/>
      <w:r w:rsidRPr="00AA22C4">
        <w:rPr>
          <w:rFonts w:ascii="Lato" w:hAnsi="Lato"/>
          <w:color w:val="000000" w:themeColor="text1"/>
          <w:sz w:val="22"/>
          <w:szCs w:val="22"/>
        </w:rPr>
        <w:t>Cyt</w:t>
      </w:r>
      <w:proofErr w:type="spellEnd"/>
      <w:r w:rsidRPr="00AA22C4">
        <w:rPr>
          <w:rFonts w:ascii="Lato" w:hAnsi="Lato"/>
          <w:color w:val="000000" w:themeColor="text1"/>
          <w:sz w:val="22"/>
          <w:szCs w:val="22"/>
        </w:rPr>
        <w:t xml:space="preserve">, </w:t>
      </w:r>
      <w:r w:rsidRPr="00AA22C4">
        <w:rPr>
          <w:rFonts w:ascii="Arial" w:hAnsi="Arial" w:cs="Arial"/>
          <w:color w:val="000000" w:themeColor="text1"/>
          <w:sz w:val="22"/>
          <w:szCs w:val="22"/>
        </w:rPr>
        <w:t>↓</w:t>
      </w:r>
      <w:proofErr w:type="spellStart"/>
      <w:r w:rsidRPr="00AA22C4">
        <w:rPr>
          <w:rFonts w:ascii="Lato" w:hAnsi="Lato"/>
          <w:color w:val="000000" w:themeColor="text1"/>
          <w:sz w:val="22"/>
          <w:szCs w:val="22"/>
        </w:rPr>
        <w:t>Arg</w:t>
      </w:r>
      <w:proofErr w:type="spellEnd"/>
      <w:r w:rsidRPr="00AA22C4">
        <w:rPr>
          <w:rFonts w:ascii="Lato" w:hAnsi="Lato"/>
          <w:color w:val="000000" w:themeColor="text1"/>
          <w:sz w:val="22"/>
          <w:szCs w:val="22"/>
        </w:rPr>
        <w:t>,</w:t>
      </w:r>
      <w:r w:rsidRPr="00AA22C4">
        <w:rPr>
          <w:rFonts w:ascii="Lato" w:hAnsi="Lato" w:cs="Lato"/>
          <w:color w:val="000000" w:themeColor="text1"/>
          <w:sz w:val="22"/>
          <w:szCs w:val="22"/>
        </w:rPr>
        <w:t> </w:t>
      </w:r>
      <w:r w:rsidRPr="00AA22C4">
        <w:rPr>
          <w:rFonts w:ascii="Arial" w:hAnsi="Arial" w:cs="Arial"/>
          <w:color w:val="000000" w:themeColor="text1"/>
          <w:sz w:val="22"/>
          <w:szCs w:val="22"/>
        </w:rPr>
        <w:t>↑</w:t>
      </w:r>
      <w:r w:rsidRPr="00AA22C4">
        <w:rPr>
          <w:rFonts w:ascii="Lato" w:hAnsi="Lato"/>
          <w:color w:val="000000" w:themeColor="text1"/>
          <w:sz w:val="22"/>
          <w:szCs w:val="22"/>
        </w:rPr>
        <w:t>ASA;</w:t>
      </w:r>
    </w:p>
    <w:p w14:paraId="17D777F3" w14:textId="77777777" w:rsidR="005E347E" w:rsidRPr="00AA22C4" w:rsidRDefault="005E347E" w:rsidP="005E347E">
      <w:pPr>
        <w:pStyle w:val="Akapitzlist"/>
        <w:numPr>
          <w:ilvl w:val="0"/>
          <w:numId w:val="47"/>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 osoczu analiza aminokwasów: </w:t>
      </w:r>
      <w:r w:rsidRPr="00AA22C4">
        <w:rPr>
          <w:rFonts w:ascii="Arial" w:hAnsi="Arial" w:cs="Arial"/>
          <w:color w:val="000000" w:themeColor="text1"/>
          <w:sz w:val="22"/>
          <w:szCs w:val="22"/>
        </w:rPr>
        <w:t>↑</w:t>
      </w:r>
      <w:proofErr w:type="spellStart"/>
      <w:r w:rsidRPr="00AA22C4">
        <w:rPr>
          <w:rFonts w:ascii="Lato" w:hAnsi="Lato"/>
          <w:color w:val="000000" w:themeColor="text1"/>
          <w:sz w:val="22"/>
          <w:szCs w:val="22"/>
        </w:rPr>
        <w:t>Cyt</w:t>
      </w:r>
      <w:proofErr w:type="spellEnd"/>
      <w:r w:rsidRPr="00AA22C4">
        <w:rPr>
          <w:rFonts w:ascii="Lato" w:hAnsi="Lato"/>
          <w:color w:val="000000" w:themeColor="text1"/>
          <w:sz w:val="22"/>
          <w:szCs w:val="22"/>
        </w:rPr>
        <w:t xml:space="preserve">, </w:t>
      </w:r>
      <w:r w:rsidRPr="00AA22C4">
        <w:rPr>
          <w:rFonts w:ascii="Arial" w:hAnsi="Arial" w:cs="Arial"/>
          <w:color w:val="000000" w:themeColor="text1"/>
          <w:sz w:val="22"/>
          <w:szCs w:val="22"/>
        </w:rPr>
        <w:t>↓</w:t>
      </w:r>
      <w:proofErr w:type="spellStart"/>
      <w:r w:rsidRPr="00AA22C4">
        <w:rPr>
          <w:rFonts w:ascii="Lato" w:hAnsi="Lato"/>
          <w:color w:val="000000" w:themeColor="text1"/>
          <w:sz w:val="22"/>
          <w:szCs w:val="22"/>
        </w:rPr>
        <w:t>Arg</w:t>
      </w:r>
      <w:proofErr w:type="spellEnd"/>
      <w:r w:rsidRPr="00AA22C4">
        <w:rPr>
          <w:rFonts w:ascii="Lato" w:hAnsi="Lato"/>
          <w:color w:val="000000" w:themeColor="text1"/>
          <w:sz w:val="22"/>
          <w:szCs w:val="22"/>
        </w:rPr>
        <w:t>;</w:t>
      </w:r>
    </w:p>
    <w:p w14:paraId="402156A8" w14:textId="77777777" w:rsidR="005E347E" w:rsidRPr="00AA22C4" w:rsidRDefault="005E347E" w:rsidP="005E347E">
      <w:pPr>
        <w:pStyle w:val="Akapitzlist"/>
        <w:numPr>
          <w:ilvl w:val="0"/>
          <w:numId w:val="47"/>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 moczu analiza kwasów organicznych metodą GC/MS: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 kwas </w:t>
      </w:r>
      <w:proofErr w:type="spellStart"/>
      <w:r w:rsidRPr="00AA22C4">
        <w:rPr>
          <w:rFonts w:ascii="Lato" w:hAnsi="Lato"/>
          <w:color w:val="000000" w:themeColor="text1"/>
          <w:sz w:val="22"/>
          <w:szCs w:val="22"/>
        </w:rPr>
        <w:t>argininobursztynianowy</w:t>
      </w:r>
      <w:proofErr w:type="spellEnd"/>
      <w:r w:rsidRPr="00AA22C4">
        <w:rPr>
          <w:rFonts w:ascii="Lato" w:hAnsi="Lato"/>
          <w:color w:val="000000" w:themeColor="text1"/>
          <w:sz w:val="22"/>
          <w:szCs w:val="22"/>
        </w:rPr>
        <w:t xml:space="preserve">, kwas </w:t>
      </w:r>
      <w:proofErr w:type="spellStart"/>
      <w:r w:rsidRPr="00AA22C4">
        <w:rPr>
          <w:rFonts w:ascii="Lato" w:hAnsi="Lato"/>
          <w:color w:val="000000" w:themeColor="text1"/>
          <w:sz w:val="22"/>
          <w:szCs w:val="22"/>
        </w:rPr>
        <w:t>orotowy</w:t>
      </w:r>
      <w:proofErr w:type="spellEnd"/>
      <w:r w:rsidRPr="00AA22C4">
        <w:rPr>
          <w:rFonts w:ascii="Lato" w:hAnsi="Lato"/>
          <w:color w:val="000000" w:themeColor="text1"/>
          <w:sz w:val="22"/>
          <w:szCs w:val="22"/>
        </w:rPr>
        <w:t>.</w:t>
      </w:r>
    </w:p>
    <w:p w14:paraId="5A063968"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u w:val="single"/>
          <w:lang w:eastAsia="ar-SA"/>
        </w:rPr>
        <w:t xml:space="preserve">Leczenie: </w:t>
      </w:r>
      <w:r w:rsidRPr="00AA22C4">
        <w:rPr>
          <w:rFonts w:ascii="Lato" w:hAnsi="Lato"/>
          <w:color w:val="000000" w:themeColor="text1"/>
          <w:kern w:val="1"/>
          <w:sz w:val="22"/>
          <w:szCs w:val="22"/>
          <w:lang w:eastAsia="ar-SA"/>
        </w:rPr>
        <w:t>Dieta z ograniczeniem białka naturalnego. Suplementacja argininy.</w:t>
      </w:r>
    </w:p>
    <w:p w14:paraId="3BD52479" w14:textId="77777777" w:rsidR="005E347E" w:rsidRPr="00AA22C4" w:rsidRDefault="005E347E" w:rsidP="00D23264">
      <w:pPr>
        <w:pStyle w:val="Akapitzlist"/>
        <w:numPr>
          <w:ilvl w:val="0"/>
          <w:numId w:val="82"/>
        </w:numPr>
        <w:spacing w:before="360" w:after="120"/>
        <w:ind w:left="1077" w:hanging="357"/>
        <w:jc w:val="both"/>
        <w:rPr>
          <w:rFonts w:ascii="Lato" w:hAnsi="Lato"/>
          <w:b/>
          <w:bCs/>
          <w:color w:val="000000" w:themeColor="text1"/>
          <w:sz w:val="22"/>
          <w:szCs w:val="22"/>
        </w:rPr>
      </w:pPr>
      <w:proofErr w:type="spellStart"/>
      <w:r w:rsidRPr="00AA22C4">
        <w:rPr>
          <w:rFonts w:ascii="Lato" w:hAnsi="Lato"/>
          <w:b/>
          <w:bCs/>
          <w:color w:val="000000" w:themeColor="text1"/>
          <w:sz w:val="22"/>
          <w:szCs w:val="22"/>
        </w:rPr>
        <w:t>Cytrulinemia</w:t>
      </w:r>
      <w:proofErr w:type="spellEnd"/>
      <w:r w:rsidRPr="00AA22C4">
        <w:rPr>
          <w:rFonts w:ascii="Lato" w:hAnsi="Lato"/>
          <w:b/>
          <w:bCs/>
          <w:color w:val="000000" w:themeColor="text1"/>
          <w:sz w:val="22"/>
          <w:szCs w:val="22"/>
        </w:rPr>
        <w:t xml:space="preserve"> A typu I - CIT I</w:t>
      </w:r>
    </w:p>
    <w:p w14:paraId="7AE4F9B0" w14:textId="77777777" w:rsidR="005E347E" w:rsidRPr="00AA22C4" w:rsidRDefault="005E347E" w:rsidP="005E347E">
      <w:pPr>
        <w:suppressAutoHyphens/>
        <w:spacing w:before="120" w:after="120"/>
        <w:contextualSpacing/>
        <w:jc w:val="both"/>
        <w:rPr>
          <w:rFonts w:ascii="Lato" w:hAnsi="Lato"/>
          <w:bCs/>
          <w:color w:val="000000" w:themeColor="text1"/>
          <w:kern w:val="1"/>
          <w:sz w:val="22"/>
          <w:szCs w:val="22"/>
          <w:lang w:eastAsia="ar-SA"/>
        </w:rPr>
      </w:pPr>
      <w:r w:rsidRPr="00AA22C4">
        <w:rPr>
          <w:rFonts w:ascii="Lato" w:hAnsi="Lato"/>
          <w:bCs/>
          <w:color w:val="000000" w:themeColor="text1"/>
          <w:kern w:val="1"/>
          <w:sz w:val="22"/>
          <w:szCs w:val="22"/>
          <w:u w:val="single"/>
          <w:lang w:eastAsia="ar-SA"/>
        </w:rPr>
        <w:t>Opis:</w:t>
      </w:r>
    </w:p>
    <w:p w14:paraId="3D4BDCEF" w14:textId="77777777" w:rsidR="005E347E" w:rsidRPr="00AA22C4" w:rsidRDefault="005E347E" w:rsidP="005E347E">
      <w:pPr>
        <w:suppressAutoHyphens/>
        <w:spacing w:before="120" w:after="120"/>
        <w:jc w:val="both"/>
        <w:rPr>
          <w:rFonts w:ascii="Lato" w:hAnsi="Lato"/>
          <w:bCs/>
          <w:color w:val="000000" w:themeColor="text1"/>
          <w:kern w:val="1"/>
          <w:sz w:val="22"/>
          <w:szCs w:val="22"/>
          <w:lang w:eastAsia="ar-SA"/>
        </w:rPr>
      </w:pPr>
      <w:r w:rsidRPr="00AA22C4">
        <w:rPr>
          <w:rFonts w:ascii="Lato" w:eastAsia="Arial Unicode MS" w:hAnsi="Lato"/>
          <w:bCs/>
          <w:color w:val="000000" w:themeColor="text1"/>
          <w:kern w:val="1"/>
          <w:sz w:val="22"/>
          <w:szCs w:val="22"/>
          <w:lang w:eastAsia="ar-SA"/>
        </w:rPr>
        <w:t xml:space="preserve">Częstość występowania </w:t>
      </w:r>
      <w:proofErr w:type="spellStart"/>
      <w:r w:rsidRPr="00AA22C4">
        <w:rPr>
          <w:rFonts w:ascii="Lato" w:eastAsia="Arial Unicode MS" w:hAnsi="Lato"/>
          <w:bCs/>
          <w:color w:val="000000" w:themeColor="text1"/>
          <w:kern w:val="1"/>
          <w:sz w:val="22"/>
          <w:szCs w:val="22"/>
          <w:lang w:eastAsia="ar-SA"/>
        </w:rPr>
        <w:t>cytrulinemii</w:t>
      </w:r>
      <w:proofErr w:type="spellEnd"/>
      <w:r w:rsidRPr="00AA22C4">
        <w:rPr>
          <w:rFonts w:ascii="Lato" w:eastAsia="Arial Unicode MS" w:hAnsi="Lato"/>
          <w:bCs/>
          <w:color w:val="000000" w:themeColor="text1"/>
          <w:kern w:val="1"/>
          <w:sz w:val="22"/>
          <w:szCs w:val="22"/>
          <w:lang w:eastAsia="ar-SA"/>
        </w:rPr>
        <w:t xml:space="preserve"> typu I (CIT I) szacuje się na około 1:57 000. Choroba należy </w:t>
      </w:r>
      <w:r w:rsidRPr="00AA22C4">
        <w:rPr>
          <w:rFonts w:ascii="Lato" w:eastAsia="Arial Unicode MS" w:hAnsi="Lato"/>
          <w:bCs/>
          <w:color w:val="000000" w:themeColor="text1"/>
          <w:kern w:val="1"/>
          <w:sz w:val="22"/>
          <w:szCs w:val="22"/>
          <w:lang w:eastAsia="ar-SA"/>
        </w:rPr>
        <w:br/>
        <w:t xml:space="preserve">do zaburzeń cyklu mocznikowego i jest spowodowana deficytem syntetazy </w:t>
      </w:r>
      <w:proofErr w:type="spellStart"/>
      <w:r w:rsidRPr="00AA22C4">
        <w:rPr>
          <w:rFonts w:ascii="Lato" w:eastAsia="Arial Unicode MS" w:hAnsi="Lato"/>
          <w:bCs/>
          <w:color w:val="000000" w:themeColor="text1"/>
          <w:kern w:val="1"/>
          <w:sz w:val="22"/>
          <w:szCs w:val="22"/>
          <w:lang w:eastAsia="ar-SA"/>
        </w:rPr>
        <w:t>argininobursztynianu</w:t>
      </w:r>
      <w:proofErr w:type="spellEnd"/>
      <w:r w:rsidRPr="00AA22C4">
        <w:rPr>
          <w:rFonts w:ascii="Lato" w:eastAsia="Arial Unicode MS" w:hAnsi="Lato"/>
          <w:bCs/>
          <w:color w:val="000000" w:themeColor="text1"/>
          <w:kern w:val="1"/>
          <w:sz w:val="22"/>
          <w:szCs w:val="22"/>
          <w:lang w:eastAsia="ar-SA"/>
        </w:rPr>
        <w:t xml:space="preserve"> (ASS).</w:t>
      </w:r>
    </w:p>
    <w:p w14:paraId="22678A61" w14:textId="77777777" w:rsidR="005E347E" w:rsidRPr="00AA22C4" w:rsidRDefault="005E347E" w:rsidP="005E347E">
      <w:pPr>
        <w:suppressAutoHyphens/>
        <w:spacing w:before="120" w:after="120"/>
        <w:contextualSpacing/>
        <w:jc w:val="both"/>
        <w:rPr>
          <w:rFonts w:ascii="Lato" w:hAnsi="Lato"/>
          <w:bCs/>
          <w:color w:val="000000" w:themeColor="text1"/>
          <w:kern w:val="1"/>
          <w:sz w:val="22"/>
          <w:szCs w:val="22"/>
          <w:u w:val="single"/>
          <w:lang w:eastAsia="ar-SA"/>
        </w:rPr>
      </w:pPr>
      <w:r w:rsidRPr="00AA22C4">
        <w:rPr>
          <w:rFonts w:ascii="Lato" w:hAnsi="Lato"/>
          <w:bCs/>
          <w:color w:val="000000" w:themeColor="text1"/>
          <w:kern w:val="1"/>
          <w:sz w:val="22"/>
          <w:szCs w:val="22"/>
          <w:u w:val="single"/>
          <w:lang w:eastAsia="ar-SA"/>
        </w:rPr>
        <w:t>Objawy:</w:t>
      </w:r>
    </w:p>
    <w:p w14:paraId="79345EA3"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Wczesne objawy ciężkiej </w:t>
      </w:r>
      <w:proofErr w:type="spellStart"/>
      <w:r w:rsidRPr="00AA22C4">
        <w:rPr>
          <w:rFonts w:ascii="Lato" w:hAnsi="Lato"/>
          <w:color w:val="000000" w:themeColor="text1"/>
          <w:kern w:val="1"/>
          <w:sz w:val="22"/>
          <w:szCs w:val="22"/>
          <w:lang w:eastAsia="ar-SA"/>
        </w:rPr>
        <w:t>hiperamonemii</w:t>
      </w:r>
      <w:proofErr w:type="spellEnd"/>
      <w:r w:rsidRPr="00AA22C4">
        <w:rPr>
          <w:rFonts w:ascii="Lato" w:hAnsi="Lato"/>
          <w:color w:val="000000" w:themeColor="text1"/>
          <w:kern w:val="1"/>
          <w:sz w:val="22"/>
          <w:szCs w:val="22"/>
          <w:lang w:eastAsia="ar-SA"/>
        </w:rPr>
        <w:t xml:space="preserve"> wymagają </w:t>
      </w:r>
      <w:proofErr w:type="spellStart"/>
      <w:r w:rsidRPr="00AA22C4">
        <w:rPr>
          <w:rFonts w:ascii="Lato" w:hAnsi="Lato"/>
          <w:color w:val="000000" w:themeColor="text1"/>
          <w:kern w:val="1"/>
          <w:sz w:val="22"/>
          <w:szCs w:val="22"/>
          <w:lang w:eastAsia="ar-SA"/>
        </w:rPr>
        <w:t>zewnątrzustrojowej</w:t>
      </w:r>
      <w:proofErr w:type="spellEnd"/>
      <w:r w:rsidRPr="00AA22C4">
        <w:rPr>
          <w:rFonts w:ascii="Lato" w:hAnsi="Lato"/>
          <w:color w:val="000000" w:themeColor="text1"/>
          <w:kern w:val="1"/>
          <w:sz w:val="22"/>
          <w:szCs w:val="22"/>
          <w:lang w:eastAsia="ar-SA"/>
        </w:rPr>
        <w:t xml:space="preserve"> detoksykacji. Przebieg łagodny z ujawnieniem po okresie noworodkowym (7, 8, 9).</w:t>
      </w:r>
    </w:p>
    <w:p w14:paraId="691F8448"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Enzym: Syntetaza </w:t>
      </w:r>
      <w:proofErr w:type="spellStart"/>
      <w:r w:rsidRPr="00AA22C4">
        <w:rPr>
          <w:rFonts w:ascii="Lato" w:hAnsi="Lato"/>
          <w:color w:val="000000" w:themeColor="text1"/>
          <w:kern w:val="1"/>
          <w:sz w:val="22"/>
          <w:szCs w:val="22"/>
          <w:lang w:eastAsia="ar-SA"/>
        </w:rPr>
        <w:t>argininobursztynianu</w:t>
      </w:r>
      <w:proofErr w:type="spellEnd"/>
      <w:r w:rsidRPr="00AA22C4">
        <w:rPr>
          <w:rFonts w:ascii="Lato" w:hAnsi="Lato"/>
          <w:color w:val="000000" w:themeColor="text1"/>
          <w:kern w:val="1"/>
          <w:sz w:val="22"/>
          <w:szCs w:val="22"/>
          <w:lang w:eastAsia="ar-SA"/>
        </w:rPr>
        <w:t xml:space="preserve"> (ASS).</w:t>
      </w:r>
    </w:p>
    <w:p w14:paraId="79229BBD"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Diagnostyka:</w:t>
      </w:r>
    </w:p>
    <w:p w14:paraId="3FBD9CD8" w14:textId="77777777" w:rsidR="005E347E" w:rsidRPr="00AA22C4" w:rsidRDefault="005E347E" w:rsidP="005E347E">
      <w:pPr>
        <w:pStyle w:val="Akapitzlist"/>
        <w:numPr>
          <w:ilvl w:val="0"/>
          <w:numId w:val="63"/>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we krwi na bibule przesiewowej metodą MS/MS: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Cit</w:t>
      </w:r>
      <w:proofErr w:type="spellEnd"/>
      <w:r w:rsidRPr="00AA22C4">
        <w:rPr>
          <w:rFonts w:ascii="Lato" w:hAnsi="Lato"/>
          <w:color w:val="000000" w:themeColor="text1"/>
          <w:sz w:val="22"/>
          <w:szCs w:val="22"/>
        </w:rPr>
        <w:t xml:space="preserve">, </w:t>
      </w:r>
      <w:r w:rsidRPr="00AA22C4">
        <w:rPr>
          <w:rFonts w:ascii="Arial" w:hAnsi="Arial" w:cs="Arial"/>
          <w:color w:val="000000" w:themeColor="text1"/>
          <w:sz w:val="22"/>
          <w:szCs w:val="22"/>
        </w:rPr>
        <w:t>↓</w:t>
      </w:r>
      <w:proofErr w:type="spellStart"/>
      <w:r w:rsidRPr="00AA22C4">
        <w:rPr>
          <w:rFonts w:ascii="Lato" w:hAnsi="Lato"/>
          <w:color w:val="000000" w:themeColor="text1"/>
          <w:sz w:val="22"/>
          <w:szCs w:val="22"/>
        </w:rPr>
        <w:t>Arg</w:t>
      </w:r>
      <w:proofErr w:type="spellEnd"/>
      <w:r w:rsidRPr="00AA22C4">
        <w:rPr>
          <w:rFonts w:ascii="Lato" w:hAnsi="Lato"/>
          <w:color w:val="000000" w:themeColor="text1"/>
          <w:sz w:val="22"/>
          <w:szCs w:val="22"/>
        </w:rPr>
        <w:t>;</w:t>
      </w:r>
    </w:p>
    <w:p w14:paraId="6836D59F" w14:textId="77777777" w:rsidR="005E347E" w:rsidRPr="00AA22C4" w:rsidRDefault="005E347E" w:rsidP="005E347E">
      <w:pPr>
        <w:pStyle w:val="Akapitzlist"/>
        <w:numPr>
          <w:ilvl w:val="0"/>
          <w:numId w:val="63"/>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 osoczu krwi analiza aminokwasów metodą HPLC: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Cit</w:t>
      </w:r>
      <w:proofErr w:type="spellEnd"/>
      <w:r w:rsidRPr="00AA22C4">
        <w:rPr>
          <w:rFonts w:ascii="Lato" w:hAnsi="Lato"/>
          <w:color w:val="000000" w:themeColor="text1"/>
          <w:sz w:val="22"/>
          <w:szCs w:val="22"/>
        </w:rPr>
        <w:t xml:space="preserve">, </w:t>
      </w:r>
      <w:r w:rsidRPr="00AA22C4">
        <w:rPr>
          <w:rFonts w:ascii="Arial" w:hAnsi="Arial" w:cs="Arial"/>
          <w:color w:val="000000" w:themeColor="text1"/>
          <w:sz w:val="22"/>
          <w:szCs w:val="22"/>
        </w:rPr>
        <w:t>↓</w:t>
      </w:r>
      <w:proofErr w:type="spellStart"/>
      <w:r w:rsidRPr="00AA22C4">
        <w:rPr>
          <w:rFonts w:ascii="Lato" w:hAnsi="Lato"/>
          <w:color w:val="000000" w:themeColor="text1"/>
          <w:sz w:val="22"/>
          <w:szCs w:val="22"/>
        </w:rPr>
        <w:t>Arg</w:t>
      </w:r>
      <w:proofErr w:type="spellEnd"/>
      <w:r w:rsidRPr="00AA22C4">
        <w:rPr>
          <w:rFonts w:ascii="Lato" w:hAnsi="Lato"/>
          <w:color w:val="000000" w:themeColor="text1"/>
          <w:sz w:val="22"/>
          <w:szCs w:val="22"/>
        </w:rPr>
        <w:t>;</w:t>
      </w:r>
    </w:p>
    <w:p w14:paraId="1AAE15B9" w14:textId="77777777" w:rsidR="005E347E" w:rsidRPr="00AA22C4" w:rsidRDefault="005E347E" w:rsidP="005E347E">
      <w:pPr>
        <w:pStyle w:val="Akapitzlist"/>
        <w:numPr>
          <w:ilvl w:val="0"/>
          <w:numId w:val="63"/>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 moczu analiza kwasów organicznych metodą GC/MS: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 kwas </w:t>
      </w:r>
      <w:proofErr w:type="spellStart"/>
      <w:r w:rsidRPr="00AA22C4">
        <w:rPr>
          <w:rFonts w:ascii="Lato" w:hAnsi="Lato"/>
          <w:color w:val="000000" w:themeColor="text1"/>
          <w:sz w:val="22"/>
          <w:szCs w:val="22"/>
        </w:rPr>
        <w:t>orotowy</w:t>
      </w:r>
      <w:proofErr w:type="spellEnd"/>
      <w:r w:rsidRPr="00AA22C4">
        <w:rPr>
          <w:rFonts w:ascii="Lato" w:hAnsi="Lato"/>
          <w:color w:val="000000" w:themeColor="text1"/>
          <w:sz w:val="22"/>
          <w:szCs w:val="22"/>
        </w:rPr>
        <w:t xml:space="preserve"> (mocz). </w:t>
      </w:r>
    </w:p>
    <w:p w14:paraId="23840F55"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Leczenie:</w:t>
      </w:r>
    </w:p>
    <w:p w14:paraId="1C4D0167"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W stanie ostrym: jak MSUD.</w:t>
      </w:r>
    </w:p>
    <w:p w14:paraId="513B97DF"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Przewlekle: Dieta z ograniczeniem białka naturalnego, leki detoksyfikujące.</w:t>
      </w:r>
    </w:p>
    <w:p w14:paraId="763E1C7A" w14:textId="77777777" w:rsidR="005E347E" w:rsidRPr="00AA22C4" w:rsidRDefault="005E347E" w:rsidP="00D23264">
      <w:pPr>
        <w:pStyle w:val="Akapitzlist"/>
        <w:numPr>
          <w:ilvl w:val="0"/>
          <w:numId w:val="82"/>
        </w:numPr>
        <w:spacing w:before="360" w:after="120"/>
        <w:ind w:left="1077" w:hanging="357"/>
        <w:jc w:val="both"/>
        <w:rPr>
          <w:rFonts w:ascii="Lato" w:hAnsi="Lato"/>
          <w:b/>
          <w:bCs/>
          <w:color w:val="000000" w:themeColor="text1"/>
          <w:sz w:val="22"/>
          <w:szCs w:val="22"/>
          <w:u w:val="single"/>
        </w:rPr>
      </w:pPr>
      <w:proofErr w:type="spellStart"/>
      <w:r w:rsidRPr="00AA22C4">
        <w:rPr>
          <w:rFonts w:ascii="Lato" w:hAnsi="Lato"/>
          <w:b/>
          <w:bCs/>
          <w:color w:val="000000" w:themeColor="text1"/>
          <w:sz w:val="22"/>
          <w:szCs w:val="22"/>
        </w:rPr>
        <w:t>Cytrulinemia</w:t>
      </w:r>
      <w:proofErr w:type="spellEnd"/>
      <w:r w:rsidRPr="00AA22C4">
        <w:rPr>
          <w:rFonts w:ascii="Lato" w:hAnsi="Lato"/>
          <w:b/>
          <w:bCs/>
          <w:color w:val="000000" w:themeColor="text1"/>
          <w:sz w:val="22"/>
          <w:szCs w:val="22"/>
        </w:rPr>
        <w:t xml:space="preserve"> typu II - CIT II (deficyt cytryny) </w:t>
      </w:r>
    </w:p>
    <w:p w14:paraId="47D765B0" w14:textId="77777777" w:rsidR="005E347E" w:rsidRPr="00AA22C4" w:rsidRDefault="005E347E" w:rsidP="005E347E">
      <w:pPr>
        <w:suppressAutoHyphens/>
        <w:spacing w:before="120" w:after="120"/>
        <w:contextualSpacing/>
        <w:jc w:val="both"/>
        <w:rPr>
          <w:rFonts w:ascii="Lato" w:hAnsi="Lato"/>
          <w:bCs/>
          <w:color w:val="000000" w:themeColor="text1"/>
          <w:kern w:val="1"/>
          <w:sz w:val="22"/>
          <w:szCs w:val="22"/>
          <w:lang w:eastAsia="ar-SA"/>
        </w:rPr>
      </w:pPr>
      <w:r w:rsidRPr="00AA22C4">
        <w:rPr>
          <w:rFonts w:ascii="Lato" w:hAnsi="Lato"/>
          <w:bCs/>
          <w:color w:val="000000" w:themeColor="text1"/>
          <w:kern w:val="1"/>
          <w:sz w:val="22"/>
          <w:szCs w:val="22"/>
          <w:u w:val="single"/>
          <w:lang w:eastAsia="ar-SA"/>
        </w:rPr>
        <w:t>Opis:</w:t>
      </w:r>
    </w:p>
    <w:p w14:paraId="2D64E409" w14:textId="77777777" w:rsidR="005E347E" w:rsidRPr="00AA22C4" w:rsidRDefault="005E347E" w:rsidP="005E347E">
      <w:pPr>
        <w:suppressAutoHyphens/>
        <w:spacing w:before="120" w:after="120"/>
        <w:jc w:val="both"/>
        <w:rPr>
          <w:rFonts w:ascii="Lato" w:hAnsi="Lato"/>
          <w:color w:val="000000" w:themeColor="text1"/>
          <w:kern w:val="1"/>
          <w:sz w:val="22"/>
          <w:szCs w:val="22"/>
          <w:u w:val="single"/>
          <w:lang w:eastAsia="ar-SA"/>
        </w:rPr>
      </w:pPr>
      <w:proofErr w:type="spellStart"/>
      <w:r w:rsidRPr="00AA22C4">
        <w:rPr>
          <w:rFonts w:ascii="Lato" w:eastAsia="Arial Unicode MS" w:hAnsi="Lato"/>
          <w:bCs/>
          <w:color w:val="000000" w:themeColor="text1"/>
          <w:kern w:val="1"/>
          <w:sz w:val="22"/>
          <w:szCs w:val="22"/>
          <w:lang w:eastAsia="ar-SA"/>
        </w:rPr>
        <w:t>Cytrulinemia</w:t>
      </w:r>
      <w:proofErr w:type="spellEnd"/>
      <w:r w:rsidRPr="00AA22C4">
        <w:rPr>
          <w:rFonts w:ascii="Lato" w:eastAsia="Arial Unicode MS" w:hAnsi="Lato"/>
          <w:bCs/>
          <w:color w:val="000000" w:themeColor="text1"/>
          <w:kern w:val="1"/>
          <w:sz w:val="22"/>
          <w:szCs w:val="22"/>
          <w:lang w:eastAsia="ar-SA"/>
        </w:rPr>
        <w:t xml:space="preserve"> typu II (CIT II) w populacji kaukaskiej występuje wyjątkowo rzadko, natomiast jest częsta w Azji. Jest spowodowana deficytem </w:t>
      </w:r>
      <w:r w:rsidRPr="00AA22C4">
        <w:rPr>
          <w:rFonts w:ascii="Lato" w:hAnsi="Lato"/>
          <w:color w:val="000000" w:themeColor="text1"/>
          <w:kern w:val="1"/>
          <w:sz w:val="22"/>
          <w:szCs w:val="22"/>
          <w:lang w:eastAsia="ar-SA"/>
        </w:rPr>
        <w:t xml:space="preserve">mitochondrialnego białka transportowego </w:t>
      </w:r>
      <w:proofErr w:type="spellStart"/>
      <w:r w:rsidRPr="00AA22C4">
        <w:rPr>
          <w:rFonts w:ascii="Lato" w:hAnsi="Lato"/>
          <w:color w:val="000000" w:themeColor="text1"/>
          <w:kern w:val="1"/>
          <w:sz w:val="22"/>
          <w:szCs w:val="22"/>
          <w:lang w:eastAsia="ar-SA"/>
        </w:rPr>
        <w:t>Asp-Glu</w:t>
      </w:r>
      <w:proofErr w:type="spellEnd"/>
      <w:r w:rsidRPr="00AA22C4">
        <w:rPr>
          <w:rFonts w:ascii="Lato" w:hAnsi="Lato"/>
          <w:color w:val="000000" w:themeColor="text1"/>
          <w:kern w:val="1"/>
          <w:sz w:val="22"/>
          <w:szCs w:val="22"/>
          <w:lang w:eastAsia="ar-SA"/>
        </w:rPr>
        <w:t xml:space="preserve"> zwanego też deficytem cytryny.</w:t>
      </w:r>
    </w:p>
    <w:p w14:paraId="0764B57B" w14:textId="77777777" w:rsidR="00D23264" w:rsidRDefault="00D23264" w:rsidP="005E347E">
      <w:pPr>
        <w:suppressAutoHyphens/>
        <w:spacing w:before="120" w:after="120"/>
        <w:contextualSpacing/>
        <w:jc w:val="both"/>
        <w:rPr>
          <w:rFonts w:ascii="Lato" w:hAnsi="Lato"/>
          <w:color w:val="000000" w:themeColor="text1"/>
          <w:kern w:val="1"/>
          <w:sz w:val="22"/>
          <w:szCs w:val="22"/>
          <w:u w:val="single"/>
          <w:lang w:eastAsia="ar-SA"/>
        </w:rPr>
      </w:pPr>
    </w:p>
    <w:p w14:paraId="128CF19B" w14:textId="7F9161DF" w:rsidR="005E347E" w:rsidRPr="00AA22C4" w:rsidRDefault="005E347E" w:rsidP="005E347E">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u w:val="single"/>
          <w:lang w:eastAsia="ar-SA"/>
        </w:rPr>
        <w:lastRenderedPageBreak/>
        <w:t>Objawy:</w:t>
      </w:r>
    </w:p>
    <w:p w14:paraId="441D93F6" w14:textId="77777777" w:rsidR="005E347E" w:rsidRPr="00AA22C4" w:rsidRDefault="005E347E" w:rsidP="005E347E">
      <w:pPr>
        <w:suppressAutoHyphens/>
        <w:spacing w:before="120" w:after="120"/>
        <w:jc w:val="both"/>
        <w:rPr>
          <w:rFonts w:ascii="Lato" w:hAnsi="Lato"/>
          <w:b/>
          <w:color w:val="000000" w:themeColor="text1"/>
          <w:kern w:val="1"/>
          <w:sz w:val="22"/>
          <w:szCs w:val="22"/>
          <w:lang w:eastAsia="ar-SA"/>
        </w:rPr>
      </w:pPr>
      <w:r w:rsidRPr="00AA22C4">
        <w:rPr>
          <w:rFonts w:ascii="Lato" w:hAnsi="Lato"/>
          <w:color w:val="000000" w:themeColor="text1"/>
          <w:kern w:val="1"/>
          <w:sz w:val="22"/>
          <w:szCs w:val="22"/>
          <w:lang w:eastAsia="ar-SA"/>
        </w:rPr>
        <w:t xml:space="preserve">U dzieci: ostra dysfunkcja wątroby – zwykle noworodkowa </w:t>
      </w:r>
      <w:proofErr w:type="spellStart"/>
      <w:r w:rsidRPr="00AA22C4">
        <w:rPr>
          <w:rFonts w:ascii="Lato" w:hAnsi="Lato"/>
          <w:color w:val="000000" w:themeColor="text1"/>
          <w:kern w:val="1"/>
          <w:sz w:val="22"/>
          <w:szCs w:val="22"/>
          <w:lang w:eastAsia="ar-SA"/>
        </w:rPr>
        <w:t>cholestaza</w:t>
      </w:r>
      <w:proofErr w:type="spellEnd"/>
      <w:r w:rsidRPr="00AA22C4">
        <w:rPr>
          <w:rFonts w:ascii="Lato" w:hAnsi="Lato"/>
          <w:color w:val="000000" w:themeColor="text1"/>
          <w:kern w:val="1"/>
          <w:sz w:val="22"/>
          <w:szCs w:val="22"/>
          <w:lang w:eastAsia="ar-SA"/>
        </w:rPr>
        <w:t xml:space="preserve"> wewnątrzwątrobowa, czasem prowadząca do ostrej niewydolności wątroby. U dorosłych: objawy encefalopatii związanej z </w:t>
      </w:r>
      <w:proofErr w:type="spellStart"/>
      <w:r w:rsidRPr="00AA22C4">
        <w:rPr>
          <w:rFonts w:ascii="Lato" w:hAnsi="Lato"/>
          <w:color w:val="000000" w:themeColor="text1"/>
          <w:kern w:val="1"/>
          <w:sz w:val="22"/>
          <w:szCs w:val="22"/>
          <w:lang w:eastAsia="ar-SA"/>
        </w:rPr>
        <w:t>hiperamonemią</w:t>
      </w:r>
      <w:proofErr w:type="spellEnd"/>
      <w:r w:rsidRPr="00AA22C4">
        <w:rPr>
          <w:rFonts w:ascii="Lato" w:hAnsi="Lato"/>
          <w:bCs/>
          <w:color w:val="000000" w:themeColor="text1"/>
          <w:kern w:val="1"/>
          <w:sz w:val="22"/>
          <w:szCs w:val="22"/>
          <w:lang w:eastAsia="ar-SA"/>
        </w:rPr>
        <w:t xml:space="preserve"> (7, 8, 9).</w:t>
      </w:r>
    </w:p>
    <w:p w14:paraId="3DC2173D"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Diagnostyka:</w:t>
      </w:r>
    </w:p>
    <w:p w14:paraId="5A0254F4" w14:textId="77777777" w:rsidR="005E347E" w:rsidRPr="00AA22C4" w:rsidRDefault="005E347E" w:rsidP="005E347E">
      <w:pPr>
        <w:pStyle w:val="Akapitzlist"/>
        <w:numPr>
          <w:ilvl w:val="0"/>
          <w:numId w:val="64"/>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we krwi na bibule przesiewowej metodą MS/MS: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Cit</w:t>
      </w:r>
      <w:proofErr w:type="spellEnd"/>
      <w:r w:rsidRPr="00AA22C4">
        <w:rPr>
          <w:rFonts w:ascii="Lato" w:hAnsi="Lato"/>
          <w:color w:val="000000" w:themeColor="text1"/>
          <w:sz w:val="22"/>
          <w:szCs w:val="22"/>
        </w:rPr>
        <w:t>, Met i Tyr;</w:t>
      </w:r>
    </w:p>
    <w:p w14:paraId="2681EDA8" w14:textId="77777777" w:rsidR="005E347E" w:rsidRPr="00AA22C4" w:rsidRDefault="005E347E" w:rsidP="005E347E">
      <w:pPr>
        <w:pStyle w:val="Akapitzlist"/>
        <w:numPr>
          <w:ilvl w:val="0"/>
          <w:numId w:val="64"/>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 osoczu krwi analiza aminokwasów metodą HPLC: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Cit</w:t>
      </w:r>
      <w:proofErr w:type="spellEnd"/>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Tre</w:t>
      </w:r>
      <w:proofErr w:type="spellEnd"/>
      <w:r w:rsidRPr="00AA22C4">
        <w:rPr>
          <w:rFonts w:ascii="Lato" w:hAnsi="Lato"/>
          <w:color w:val="000000" w:themeColor="text1"/>
          <w:sz w:val="22"/>
          <w:szCs w:val="22"/>
        </w:rPr>
        <w:t>, Met i Tyr.</w:t>
      </w:r>
    </w:p>
    <w:p w14:paraId="618717C7"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Leczenie:</w:t>
      </w:r>
    </w:p>
    <w:p w14:paraId="16A80DA7"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Dieta z ograniczeniem węglowodanów na rzecz białka. Monitorowanie stężenia amoniaku.</w:t>
      </w:r>
    </w:p>
    <w:p w14:paraId="482089C6" w14:textId="77777777" w:rsidR="005E347E" w:rsidRPr="00AA22C4" w:rsidRDefault="005E347E" w:rsidP="00D23264">
      <w:pPr>
        <w:pStyle w:val="Akapitzlist"/>
        <w:numPr>
          <w:ilvl w:val="0"/>
          <w:numId w:val="82"/>
        </w:numPr>
        <w:spacing w:before="360" w:after="120"/>
        <w:ind w:left="1077" w:hanging="357"/>
        <w:jc w:val="both"/>
        <w:rPr>
          <w:rFonts w:ascii="Lato" w:hAnsi="Lato"/>
          <w:b/>
          <w:bCs/>
          <w:color w:val="000000" w:themeColor="text1"/>
          <w:sz w:val="22"/>
          <w:szCs w:val="22"/>
        </w:rPr>
      </w:pPr>
      <w:proofErr w:type="spellStart"/>
      <w:r w:rsidRPr="00AA22C4">
        <w:rPr>
          <w:rFonts w:ascii="Lato" w:hAnsi="Lato"/>
          <w:b/>
          <w:bCs/>
          <w:color w:val="000000" w:themeColor="text1"/>
          <w:sz w:val="22"/>
          <w:szCs w:val="22"/>
        </w:rPr>
        <w:t>Tyrozynemia</w:t>
      </w:r>
      <w:proofErr w:type="spellEnd"/>
      <w:r w:rsidRPr="00AA22C4">
        <w:rPr>
          <w:rFonts w:ascii="Lato" w:hAnsi="Lato"/>
          <w:b/>
          <w:bCs/>
          <w:color w:val="000000" w:themeColor="text1"/>
          <w:sz w:val="22"/>
          <w:szCs w:val="22"/>
        </w:rPr>
        <w:t xml:space="preserve"> typu I - TYR I</w:t>
      </w:r>
    </w:p>
    <w:p w14:paraId="23523D0F" w14:textId="77777777" w:rsidR="005E347E" w:rsidRPr="00AA22C4" w:rsidRDefault="005E347E" w:rsidP="005E347E">
      <w:pPr>
        <w:suppressAutoHyphens/>
        <w:spacing w:before="120" w:after="120"/>
        <w:contextualSpacing/>
        <w:jc w:val="both"/>
        <w:rPr>
          <w:rFonts w:ascii="Lato" w:hAnsi="Lato"/>
          <w:bCs/>
          <w:color w:val="000000" w:themeColor="text1"/>
          <w:kern w:val="1"/>
          <w:sz w:val="22"/>
          <w:szCs w:val="22"/>
          <w:lang w:eastAsia="ar-SA"/>
        </w:rPr>
      </w:pPr>
      <w:r w:rsidRPr="00AA22C4">
        <w:rPr>
          <w:rFonts w:ascii="Lato" w:hAnsi="Lato"/>
          <w:bCs/>
          <w:color w:val="000000" w:themeColor="text1"/>
          <w:kern w:val="1"/>
          <w:sz w:val="22"/>
          <w:szCs w:val="22"/>
          <w:u w:val="single"/>
          <w:lang w:eastAsia="ar-SA"/>
        </w:rPr>
        <w:t>Opis:</w:t>
      </w:r>
    </w:p>
    <w:p w14:paraId="24FD30E8"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eastAsia="Arial Unicode MS" w:hAnsi="Lato"/>
          <w:bCs/>
          <w:color w:val="000000" w:themeColor="text1"/>
          <w:kern w:val="1"/>
          <w:sz w:val="22"/>
          <w:szCs w:val="22"/>
          <w:lang w:eastAsia="ar-SA"/>
        </w:rPr>
        <w:t xml:space="preserve">Częstość występowania </w:t>
      </w:r>
      <w:proofErr w:type="spellStart"/>
      <w:r w:rsidRPr="00AA22C4">
        <w:rPr>
          <w:rFonts w:ascii="Lato" w:eastAsia="Arial Unicode MS" w:hAnsi="Lato"/>
          <w:bCs/>
          <w:color w:val="000000" w:themeColor="text1"/>
          <w:kern w:val="1"/>
          <w:sz w:val="22"/>
          <w:szCs w:val="22"/>
          <w:lang w:eastAsia="ar-SA"/>
        </w:rPr>
        <w:t>tyrozynemii</w:t>
      </w:r>
      <w:proofErr w:type="spellEnd"/>
      <w:r w:rsidRPr="00AA22C4">
        <w:rPr>
          <w:rFonts w:ascii="Lato" w:eastAsia="Arial Unicode MS" w:hAnsi="Lato"/>
          <w:bCs/>
          <w:color w:val="000000" w:themeColor="text1"/>
          <w:kern w:val="1"/>
          <w:sz w:val="22"/>
          <w:szCs w:val="22"/>
          <w:lang w:eastAsia="ar-SA"/>
        </w:rPr>
        <w:t xml:space="preserve"> typu I (TYR I) szacuje się na około 1:100 000 urodzeń. Charakteryzuje się defektem enzymatycznym (deficyt enzymu </w:t>
      </w:r>
      <w:proofErr w:type="spellStart"/>
      <w:r w:rsidRPr="00AA22C4">
        <w:rPr>
          <w:rFonts w:ascii="Lato" w:hAnsi="Lato"/>
          <w:color w:val="000000" w:themeColor="text1"/>
          <w:kern w:val="1"/>
          <w:sz w:val="22"/>
          <w:szCs w:val="22"/>
          <w:lang w:eastAsia="ar-SA"/>
        </w:rPr>
        <w:t>fumaryloacetoacetazy</w:t>
      </w:r>
      <w:proofErr w:type="spellEnd"/>
      <w:r w:rsidRPr="00AA22C4">
        <w:rPr>
          <w:rFonts w:ascii="Lato" w:hAnsi="Lato"/>
          <w:color w:val="000000" w:themeColor="text1"/>
          <w:kern w:val="1"/>
          <w:sz w:val="22"/>
          <w:szCs w:val="22"/>
          <w:lang w:eastAsia="ar-SA"/>
        </w:rPr>
        <w:t xml:space="preserve">, tj. </w:t>
      </w:r>
      <w:proofErr w:type="spellStart"/>
      <w:r w:rsidRPr="00AA22C4">
        <w:rPr>
          <w:rFonts w:ascii="Lato" w:hAnsi="Lato"/>
          <w:color w:val="000000" w:themeColor="text1"/>
          <w:kern w:val="1"/>
          <w:sz w:val="22"/>
          <w:szCs w:val="22"/>
          <w:lang w:eastAsia="ar-SA"/>
        </w:rPr>
        <w:t>liaza</w:t>
      </w:r>
      <w:proofErr w:type="spellEnd"/>
      <w:r w:rsidRPr="00AA22C4">
        <w:rPr>
          <w:rFonts w:ascii="Lato" w:hAnsi="Lato"/>
          <w:color w:val="000000" w:themeColor="text1"/>
          <w:kern w:val="1"/>
          <w:sz w:val="22"/>
          <w:szCs w:val="22"/>
          <w:lang w:eastAsia="ar-SA"/>
        </w:rPr>
        <w:t xml:space="preserve"> </w:t>
      </w:r>
      <w:proofErr w:type="spellStart"/>
      <w:r w:rsidRPr="00AA22C4">
        <w:rPr>
          <w:rFonts w:ascii="Lato" w:hAnsi="Lato"/>
          <w:color w:val="000000" w:themeColor="text1"/>
          <w:kern w:val="1"/>
          <w:sz w:val="22"/>
          <w:szCs w:val="22"/>
          <w:lang w:eastAsia="ar-SA"/>
        </w:rPr>
        <w:t>fumaryloacetooctanu</w:t>
      </w:r>
      <w:proofErr w:type="spellEnd"/>
      <w:r w:rsidRPr="00AA22C4">
        <w:rPr>
          <w:rFonts w:ascii="Lato" w:hAnsi="Lato"/>
          <w:color w:val="000000" w:themeColor="text1"/>
          <w:kern w:val="1"/>
          <w:sz w:val="22"/>
          <w:szCs w:val="22"/>
          <w:lang w:eastAsia="ar-SA"/>
        </w:rPr>
        <w:t xml:space="preserve">) </w:t>
      </w:r>
      <w:r w:rsidRPr="00AA22C4">
        <w:rPr>
          <w:rFonts w:ascii="Lato" w:eastAsia="Arial Unicode MS" w:hAnsi="Lato"/>
          <w:bCs/>
          <w:color w:val="000000" w:themeColor="text1"/>
          <w:kern w:val="1"/>
          <w:sz w:val="22"/>
          <w:szCs w:val="22"/>
          <w:lang w:eastAsia="ar-SA"/>
        </w:rPr>
        <w:t>na ostatnim etapie szlaku metabolizmu fenyloalaniny</w:t>
      </w:r>
      <w:r w:rsidRPr="00AA22C4">
        <w:rPr>
          <w:rFonts w:ascii="Lato" w:hAnsi="Lato"/>
          <w:color w:val="000000" w:themeColor="text1"/>
          <w:kern w:val="1"/>
          <w:sz w:val="22"/>
          <w:szCs w:val="22"/>
          <w:lang w:eastAsia="ar-SA"/>
        </w:rPr>
        <w:t>.</w:t>
      </w:r>
    </w:p>
    <w:p w14:paraId="204A008F"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u w:val="single"/>
          <w:lang w:eastAsia="ar-SA"/>
        </w:rPr>
        <w:t>Objawy:</w:t>
      </w:r>
    </w:p>
    <w:p w14:paraId="52044457"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Postać ostra (u noworodka/niemowlęcia): ciężka niewydolność wątroby, wymioty, krwawienia, hipoglikemia, </w:t>
      </w:r>
      <w:proofErr w:type="spellStart"/>
      <w:r w:rsidRPr="00AA22C4">
        <w:rPr>
          <w:rFonts w:ascii="Lato" w:hAnsi="Lato"/>
          <w:color w:val="000000" w:themeColor="text1"/>
          <w:kern w:val="1"/>
          <w:sz w:val="22"/>
          <w:szCs w:val="22"/>
          <w:lang w:eastAsia="ar-SA"/>
        </w:rPr>
        <w:t>tubulopatia</w:t>
      </w:r>
      <w:proofErr w:type="spellEnd"/>
      <w:r w:rsidRPr="00AA22C4">
        <w:rPr>
          <w:rFonts w:ascii="Lato" w:hAnsi="Lato"/>
          <w:color w:val="000000" w:themeColor="text1"/>
          <w:kern w:val="1"/>
          <w:sz w:val="22"/>
          <w:szCs w:val="22"/>
          <w:lang w:eastAsia="ar-SA"/>
        </w:rPr>
        <w:t xml:space="preserve"> (zespół </w:t>
      </w:r>
      <w:proofErr w:type="spellStart"/>
      <w:r w:rsidRPr="00AA22C4">
        <w:rPr>
          <w:rFonts w:ascii="Lato" w:hAnsi="Lato"/>
          <w:color w:val="000000" w:themeColor="text1"/>
          <w:kern w:val="1"/>
          <w:sz w:val="22"/>
          <w:szCs w:val="22"/>
          <w:lang w:eastAsia="ar-SA"/>
        </w:rPr>
        <w:t>Fanconi'ego</w:t>
      </w:r>
      <w:proofErr w:type="spellEnd"/>
      <w:r w:rsidRPr="00AA22C4">
        <w:rPr>
          <w:rFonts w:ascii="Lato" w:hAnsi="Lato"/>
          <w:color w:val="000000" w:themeColor="text1"/>
          <w:kern w:val="1"/>
          <w:sz w:val="22"/>
          <w:szCs w:val="22"/>
          <w:lang w:eastAsia="ar-SA"/>
        </w:rPr>
        <w:t>) (7, 8, 9).</w:t>
      </w:r>
    </w:p>
    <w:p w14:paraId="08BEA802"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Postać przewlekła: </w:t>
      </w:r>
      <w:proofErr w:type="spellStart"/>
      <w:r w:rsidRPr="00AA22C4">
        <w:rPr>
          <w:rFonts w:ascii="Lato" w:hAnsi="Lato"/>
          <w:color w:val="000000" w:themeColor="text1"/>
          <w:kern w:val="1"/>
          <w:sz w:val="22"/>
          <w:szCs w:val="22"/>
          <w:lang w:eastAsia="ar-SA"/>
        </w:rPr>
        <w:t>hepatomegalia</w:t>
      </w:r>
      <w:proofErr w:type="spellEnd"/>
      <w:r w:rsidRPr="00AA22C4">
        <w:rPr>
          <w:rFonts w:ascii="Lato" w:hAnsi="Lato"/>
          <w:color w:val="000000" w:themeColor="text1"/>
          <w:kern w:val="1"/>
          <w:sz w:val="22"/>
          <w:szCs w:val="22"/>
          <w:lang w:eastAsia="ar-SA"/>
        </w:rPr>
        <w:t xml:space="preserve">, marskość wątroby, opóźnienie wzrastania, krzywica </w:t>
      </w:r>
      <w:r w:rsidRPr="00AA22C4">
        <w:rPr>
          <w:rFonts w:ascii="Lato" w:hAnsi="Lato"/>
          <w:color w:val="000000" w:themeColor="text1"/>
          <w:kern w:val="1"/>
          <w:sz w:val="22"/>
          <w:szCs w:val="22"/>
          <w:lang w:eastAsia="ar-SA"/>
        </w:rPr>
        <w:br/>
      </w:r>
      <w:proofErr w:type="spellStart"/>
      <w:r w:rsidRPr="00AA22C4">
        <w:rPr>
          <w:rFonts w:ascii="Lato" w:hAnsi="Lato"/>
          <w:color w:val="000000" w:themeColor="text1"/>
          <w:kern w:val="1"/>
          <w:sz w:val="22"/>
          <w:szCs w:val="22"/>
          <w:lang w:eastAsia="ar-SA"/>
        </w:rPr>
        <w:t>wit</w:t>
      </w:r>
      <w:proofErr w:type="spellEnd"/>
      <w:r w:rsidRPr="00AA22C4">
        <w:rPr>
          <w:rFonts w:ascii="Lato" w:hAnsi="Lato"/>
          <w:color w:val="000000" w:themeColor="text1"/>
          <w:kern w:val="1"/>
          <w:sz w:val="22"/>
          <w:szCs w:val="22"/>
          <w:lang w:eastAsia="ar-SA"/>
        </w:rPr>
        <w:t xml:space="preserve">. D-oporna, </w:t>
      </w:r>
      <w:proofErr w:type="spellStart"/>
      <w:r w:rsidRPr="00AA22C4">
        <w:rPr>
          <w:rFonts w:ascii="Lato" w:hAnsi="Lato"/>
          <w:color w:val="000000" w:themeColor="text1"/>
          <w:kern w:val="1"/>
          <w:sz w:val="22"/>
          <w:szCs w:val="22"/>
          <w:lang w:eastAsia="ar-SA"/>
        </w:rPr>
        <w:t>tubulopatia</w:t>
      </w:r>
      <w:proofErr w:type="spellEnd"/>
      <w:r w:rsidRPr="00AA22C4">
        <w:rPr>
          <w:rFonts w:ascii="Lato" w:hAnsi="Lato"/>
          <w:color w:val="000000" w:themeColor="text1"/>
          <w:kern w:val="1"/>
          <w:sz w:val="22"/>
          <w:szCs w:val="22"/>
          <w:lang w:eastAsia="ar-SA"/>
        </w:rPr>
        <w:t>, neuropatia, kryzy neurologiczne przypominające porfirie.</w:t>
      </w:r>
    </w:p>
    <w:p w14:paraId="15400582"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u w:val="single"/>
          <w:lang w:eastAsia="ar-SA"/>
        </w:rPr>
        <w:t>Diagnostyka:</w:t>
      </w:r>
    </w:p>
    <w:p w14:paraId="54200938" w14:textId="21482BC6" w:rsidR="005E347E" w:rsidRPr="00AA22C4" w:rsidRDefault="005E347E" w:rsidP="005E347E">
      <w:pPr>
        <w:pStyle w:val="Akapitzlist"/>
        <w:numPr>
          <w:ilvl w:val="0"/>
          <w:numId w:val="65"/>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we krwi na bibule przesiewowej metodą MS/MS: (n-)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Tyr,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Met, </w:t>
      </w:r>
      <w:r w:rsidRPr="00AA22C4">
        <w:rPr>
          <w:rFonts w:ascii="Arial" w:hAnsi="Arial" w:cs="Arial"/>
          <w:color w:val="000000" w:themeColor="text1"/>
          <w:sz w:val="22"/>
          <w:szCs w:val="22"/>
        </w:rPr>
        <w:t>↑</w:t>
      </w:r>
      <w:proofErr w:type="spellStart"/>
      <w:r w:rsidRPr="00AA22C4">
        <w:rPr>
          <w:rFonts w:ascii="Lato" w:hAnsi="Lato"/>
          <w:color w:val="000000" w:themeColor="text1"/>
          <w:sz w:val="22"/>
          <w:szCs w:val="22"/>
        </w:rPr>
        <w:t>Phe</w:t>
      </w:r>
      <w:proofErr w:type="spellEnd"/>
      <w:r w:rsidRPr="00AA22C4">
        <w:rPr>
          <w:rFonts w:ascii="Lato" w:hAnsi="Lato"/>
          <w:color w:val="000000" w:themeColor="text1"/>
          <w:sz w:val="22"/>
          <w:szCs w:val="22"/>
        </w:rPr>
        <w:t xml:space="preserve"> </w:t>
      </w:r>
      <w:r w:rsidRPr="00AA22C4">
        <w:rPr>
          <w:rFonts w:ascii="Arial" w:hAnsi="Arial" w:cs="Arial"/>
          <w:color w:val="000000" w:themeColor="text1"/>
          <w:sz w:val="22"/>
          <w:szCs w:val="22"/>
        </w:rPr>
        <w:t>↑</w:t>
      </w:r>
      <w:proofErr w:type="spellStart"/>
      <w:r w:rsidRPr="00AA22C4">
        <w:rPr>
          <w:rFonts w:ascii="Lato" w:hAnsi="Lato"/>
          <w:color w:val="000000" w:themeColor="text1"/>
          <w:sz w:val="22"/>
          <w:szCs w:val="22"/>
        </w:rPr>
        <w:t>bursztynyloaceton</w:t>
      </w:r>
      <w:proofErr w:type="spellEnd"/>
      <w:r w:rsidRPr="00AA22C4">
        <w:rPr>
          <w:rFonts w:ascii="Lato" w:hAnsi="Lato"/>
          <w:color w:val="000000" w:themeColor="text1"/>
          <w:sz w:val="22"/>
          <w:szCs w:val="22"/>
        </w:rPr>
        <w:t xml:space="preserve"> (II etap);</w:t>
      </w:r>
    </w:p>
    <w:p w14:paraId="6C0E7DA3" w14:textId="77777777" w:rsidR="005E347E" w:rsidRPr="00AA22C4" w:rsidRDefault="005E347E" w:rsidP="005E347E">
      <w:pPr>
        <w:pStyle w:val="Akapitzlist"/>
        <w:numPr>
          <w:ilvl w:val="0"/>
          <w:numId w:val="65"/>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 moczu analiza kwasów organicznych metodą GC/MS: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bursztynyloaceton</w:t>
      </w:r>
      <w:proofErr w:type="spellEnd"/>
      <w:r w:rsidRPr="00AA22C4">
        <w:rPr>
          <w:rFonts w:ascii="Lato" w:hAnsi="Lato"/>
          <w:color w:val="000000" w:themeColor="text1"/>
          <w:sz w:val="22"/>
          <w:szCs w:val="22"/>
        </w:rPr>
        <w:t xml:space="preserve"> (diagnostyczny),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 4-OH-fenylo-pochodne; porfiryny;</w:t>
      </w:r>
    </w:p>
    <w:p w14:paraId="02F6BD52" w14:textId="77777777" w:rsidR="005E347E" w:rsidRPr="00AA22C4" w:rsidRDefault="005E347E" w:rsidP="005E347E">
      <w:pPr>
        <w:pStyle w:val="Akapitzlist"/>
        <w:numPr>
          <w:ilvl w:val="0"/>
          <w:numId w:val="65"/>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 osoczu krwi analiza aminokwasów metodą HPLC: (n-)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 Tyr,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 Met;</w:t>
      </w:r>
    </w:p>
    <w:p w14:paraId="4EC9A3DE" w14:textId="77777777" w:rsidR="005E347E" w:rsidRPr="00AA22C4" w:rsidRDefault="005E347E" w:rsidP="005E347E">
      <w:pPr>
        <w:pStyle w:val="Akapitzlist"/>
        <w:numPr>
          <w:ilvl w:val="0"/>
          <w:numId w:val="65"/>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 osoczu krwi analiza aminokwasów metodą ELISA: </w:t>
      </w:r>
      <w:r w:rsidRPr="00AA22C4">
        <w:rPr>
          <w:rFonts w:ascii="Arial" w:hAnsi="Arial" w:cs="Arial"/>
          <w:color w:val="000000" w:themeColor="text1"/>
          <w:sz w:val="22"/>
          <w:szCs w:val="22"/>
        </w:rPr>
        <w:t>↑α</w:t>
      </w:r>
      <w:r w:rsidRPr="00AA22C4">
        <w:rPr>
          <w:rFonts w:ascii="Lato" w:hAnsi="Lato"/>
          <w:color w:val="000000" w:themeColor="text1"/>
          <w:sz w:val="22"/>
          <w:szCs w:val="22"/>
        </w:rPr>
        <w:t>-</w:t>
      </w:r>
      <w:proofErr w:type="spellStart"/>
      <w:r w:rsidRPr="00AA22C4">
        <w:rPr>
          <w:rFonts w:ascii="Lato" w:hAnsi="Lato"/>
          <w:color w:val="000000" w:themeColor="text1"/>
          <w:sz w:val="22"/>
          <w:szCs w:val="22"/>
        </w:rPr>
        <w:t>fetoproteina</w:t>
      </w:r>
      <w:proofErr w:type="spellEnd"/>
      <w:r w:rsidRPr="00AA22C4">
        <w:rPr>
          <w:rFonts w:ascii="Lato" w:hAnsi="Lato"/>
          <w:color w:val="000000" w:themeColor="text1"/>
          <w:sz w:val="22"/>
          <w:szCs w:val="22"/>
        </w:rPr>
        <w:t xml:space="preserve">. </w:t>
      </w:r>
    </w:p>
    <w:p w14:paraId="28A05484"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Leczenie:</w:t>
      </w:r>
    </w:p>
    <w:p w14:paraId="29D726C5" w14:textId="77777777" w:rsidR="005E347E"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Dieta z ograniczeniem Fen i Tyr z monitorowaniem ich stężeń oraz </w:t>
      </w:r>
      <w:proofErr w:type="spellStart"/>
      <w:r w:rsidRPr="00AA22C4">
        <w:rPr>
          <w:rFonts w:ascii="Lato" w:hAnsi="Lato"/>
          <w:b/>
          <w:bCs/>
          <w:color w:val="000000" w:themeColor="text1"/>
          <w:kern w:val="1"/>
          <w:sz w:val="22"/>
          <w:szCs w:val="22"/>
          <w:lang w:eastAsia="ar-SA"/>
        </w:rPr>
        <w:t>nityzynon</w:t>
      </w:r>
      <w:proofErr w:type="spellEnd"/>
      <w:r w:rsidRPr="00AA22C4">
        <w:rPr>
          <w:rFonts w:ascii="Lato" w:hAnsi="Lato"/>
          <w:color w:val="000000" w:themeColor="text1"/>
          <w:kern w:val="1"/>
          <w:sz w:val="22"/>
          <w:szCs w:val="22"/>
          <w:lang w:eastAsia="ar-SA"/>
        </w:rPr>
        <w:t xml:space="preserve"> – inhibitor </w:t>
      </w:r>
      <w:proofErr w:type="spellStart"/>
      <w:r w:rsidRPr="00AA22C4">
        <w:rPr>
          <w:rFonts w:ascii="Lato" w:hAnsi="Lato"/>
          <w:color w:val="000000" w:themeColor="text1"/>
          <w:kern w:val="1"/>
          <w:sz w:val="22"/>
          <w:szCs w:val="22"/>
          <w:lang w:eastAsia="ar-SA"/>
        </w:rPr>
        <w:t>dioksygenazy</w:t>
      </w:r>
      <w:proofErr w:type="spellEnd"/>
      <w:r w:rsidRPr="00AA22C4">
        <w:rPr>
          <w:rFonts w:ascii="Lato" w:hAnsi="Lato"/>
          <w:color w:val="000000" w:themeColor="text1"/>
          <w:kern w:val="1"/>
          <w:sz w:val="22"/>
          <w:szCs w:val="22"/>
          <w:lang w:eastAsia="ar-SA"/>
        </w:rPr>
        <w:t xml:space="preserve"> 4-OH-fenylopirogronianu, który blokuje akumulację toksycznych metabolitów, dostępny dla pacjentów w ramach programu lekowego „Leczenie </w:t>
      </w:r>
      <w:proofErr w:type="spellStart"/>
      <w:r w:rsidRPr="00AA22C4">
        <w:rPr>
          <w:rFonts w:ascii="Lato" w:hAnsi="Lato"/>
          <w:color w:val="000000" w:themeColor="text1"/>
          <w:kern w:val="1"/>
          <w:sz w:val="22"/>
          <w:szCs w:val="22"/>
          <w:lang w:eastAsia="ar-SA"/>
        </w:rPr>
        <w:t>tyrozynemii</w:t>
      </w:r>
      <w:proofErr w:type="spellEnd"/>
      <w:r w:rsidRPr="00AA22C4">
        <w:rPr>
          <w:rFonts w:ascii="Lato" w:hAnsi="Lato"/>
          <w:color w:val="000000" w:themeColor="text1"/>
          <w:kern w:val="1"/>
          <w:sz w:val="22"/>
          <w:szCs w:val="22"/>
          <w:lang w:eastAsia="ar-SA"/>
        </w:rPr>
        <w:t xml:space="preserve"> typu 1 (HT-1)”</w:t>
      </w:r>
    </w:p>
    <w:p w14:paraId="17CB9477" w14:textId="77777777" w:rsidR="00D23264" w:rsidRPr="00AA22C4" w:rsidRDefault="00D23264" w:rsidP="005E347E">
      <w:pPr>
        <w:suppressAutoHyphens/>
        <w:spacing w:before="120" w:after="120"/>
        <w:jc w:val="both"/>
        <w:rPr>
          <w:rFonts w:ascii="Lato" w:hAnsi="Lato"/>
          <w:color w:val="000000" w:themeColor="text1"/>
          <w:kern w:val="1"/>
          <w:sz w:val="22"/>
          <w:szCs w:val="22"/>
          <w:lang w:eastAsia="ar-SA"/>
        </w:rPr>
      </w:pPr>
    </w:p>
    <w:p w14:paraId="3DF70CBD" w14:textId="77777777" w:rsidR="005E347E" w:rsidRPr="00AA22C4" w:rsidRDefault="005E347E" w:rsidP="00D23264">
      <w:pPr>
        <w:pStyle w:val="Akapitzlist"/>
        <w:numPr>
          <w:ilvl w:val="0"/>
          <w:numId w:val="82"/>
        </w:numPr>
        <w:spacing w:before="120" w:after="240"/>
        <w:ind w:left="1077" w:hanging="357"/>
        <w:jc w:val="both"/>
        <w:rPr>
          <w:rFonts w:ascii="Lato" w:hAnsi="Lato"/>
          <w:b/>
          <w:bCs/>
          <w:color w:val="000000" w:themeColor="text1"/>
          <w:sz w:val="22"/>
          <w:szCs w:val="22"/>
        </w:rPr>
      </w:pPr>
      <w:proofErr w:type="spellStart"/>
      <w:r w:rsidRPr="00AA22C4">
        <w:rPr>
          <w:rFonts w:ascii="Lato" w:hAnsi="Lato"/>
          <w:b/>
          <w:bCs/>
          <w:color w:val="000000" w:themeColor="text1"/>
          <w:sz w:val="22"/>
          <w:szCs w:val="22"/>
        </w:rPr>
        <w:lastRenderedPageBreak/>
        <w:t>Tyrozynemia</w:t>
      </w:r>
      <w:proofErr w:type="spellEnd"/>
      <w:r w:rsidRPr="00AA22C4">
        <w:rPr>
          <w:rFonts w:ascii="Lato" w:hAnsi="Lato"/>
          <w:b/>
          <w:bCs/>
          <w:color w:val="000000" w:themeColor="text1"/>
          <w:sz w:val="22"/>
          <w:szCs w:val="22"/>
        </w:rPr>
        <w:t xml:space="preserve"> typu II - TYR II</w:t>
      </w:r>
    </w:p>
    <w:p w14:paraId="49B078D7" w14:textId="77777777" w:rsidR="005E347E" w:rsidRPr="00AA22C4" w:rsidRDefault="005E347E" w:rsidP="005E347E">
      <w:pPr>
        <w:suppressAutoHyphens/>
        <w:spacing w:before="120" w:after="120"/>
        <w:contextualSpacing/>
        <w:jc w:val="both"/>
        <w:rPr>
          <w:rFonts w:ascii="Lato" w:hAnsi="Lato"/>
          <w:bCs/>
          <w:color w:val="000000" w:themeColor="text1"/>
          <w:kern w:val="1"/>
          <w:sz w:val="22"/>
          <w:szCs w:val="22"/>
          <w:lang w:eastAsia="ar-SA"/>
        </w:rPr>
      </w:pPr>
      <w:r w:rsidRPr="00AA22C4">
        <w:rPr>
          <w:rFonts w:ascii="Lato" w:hAnsi="Lato"/>
          <w:bCs/>
          <w:color w:val="000000" w:themeColor="text1"/>
          <w:kern w:val="1"/>
          <w:sz w:val="22"/>
          <w:szCs w:val="22"/>
          <w:u w:val="single"/>
          <w:lang w:eastAsia="ar-SA"/>
        </w:rPr>
        <w:t>Opis:</w:t>
      </w:r>
    </w:p>
    <w:p w14:paraId="1218A334" w14:textId="77777777" w:rsidR="005E347E"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eastAsia="Arial Unicode MS" w:hAnsi="Lato"/>
          <w:bCs/>
          <w:color w:val="000000" w:themeColor="text1"/>
          <w:kern w:val="1"/>
          <w:sz w:val="22"/>
          <w:szCs w:val="22"/>
          <w:lang w:eastAsia="ar-SA"/>
        </w:rPr>
        <w:t>Jest spowodowana deficytem e</w:t>
      </w:r>
      <w:r w:rsidRPr="00AA22C4">
        <w:rPr>
          <w:rFonts w:ascii="Lato" w:hAnsi="Lato"/>
          <w:color w:val="000000" w:themeColor="text1"/>
          <w:kern w:val="1"/>
          <w:sz w:val="22"/>
          <w:szCs w:val="22"/>
          <w:lang w:eastAsia="ar-SA"/>
        </w:rPr>
        <w:t xml:space="preserve">nzymu </w:t>
      </w:r>
      <w:proofErr w:type="spellStart"/>
      <w:r w:rsidRPr="00AA22C4">
        <w:rPr>
          <w:rFonts w:ascii="Lato" w:hAnsi="Lato"/>
          <w:color w:val="000000" w:themeColor="text1"/>
          <w:kern w:val="1"/>
          <w:sz w:val="22"/>
          <w:szCs w:val="22"/>
          <w:lang w:eastAsia="ar-SA"/>
        </w:rPr>
        <w:t>cytozolowej</w:t>
      </w:r>
      <w:proofErr w:type="spellEnd"/>
      <w:r w:rsidRPr="00AA22C4">
        <w:rPr>
          <w:rFonts w:ascii="Lato" w:hAnsi="Lato"/>
          <w:color w:val="000000" w:themeColor="text1"/>
          <w:kern w:val="1"/>
          <w:sz w:val="22"/>
          <w:szCs w:val="22"/>
          <w:lang w:eastAsia="ar-SA"/>
        </w:rPr>
        <w:t xml:space="preserve"> aminotransferazy tyrozyny na szlaku metabolizmu fenyloalaniny.</w:t>
      </w:r>
    </w:p>
    <w:p w14:paraId="4411714F" w14:textId="77777777" w:rsidR="00D23264" w:rsidRPr="00AA22C4" w:rsidRDefault="00D23264" w:rsidP="005E347E">
      <w:pPr>
        <w:suppressAutoHyphens/>
        <w:spacing w:before="120" w:after="120"/>
        <w:jc w:val="both"/>
        <w:rPr>
          <w:rFonts w:ascii="Lato" w:hAnsi="Lato"/>
          <w:b/>
          <w:bCs/>
          <w:color w:val="000000" w:themeColor="text1"/>
          <w:kern w:val="1"/>
          <w:sz w:val="22"/>
          <w:szCs w:val="22"/>
          <w:lang w:eastAsia="ar-SA"/>
        </w:rPr>
      </w:pPr>
    </w:p>
    <w:p w14:paraId="5639C639"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 xml:space="preserve">Objawy: </w:t>
      </w:r>
    </w:p>
    <w:p w14:paraId="01766BBA"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Bolesne uszkodzenia rogówki (łzawienie, fotofobia, blizny), hiperkeratoza (podeszwy stopy </w:t>
      </w:r>
      <w:r w:rsidRPr="00AA22C4">
        <w:rPr>
          <w:rFonts w:ascii="Lato" w:hAnsi="Lato"/>
          <w:color w:val="000000" w:themeColor="text1"/>
          <w:kern w:val="1"/>
          <w:sz w:val="22"/>
          <w:szCs w:val="22"/>
          <w:lang w:eastAsia="ar-SA"/>
        </w:rPr>
        <w:br/>
        <w:t>i dłonie), łagodna niepełnosprawność intelektualna (7, 8, 9).</w:t>
      </w:r>
    </w:p>
    <w:p w14:paraId="370F6B14"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Diagnostyka:</w:t>
      </w:r>
    </w:p>
    <w:p w14:paraId="658BB40F" w14:textId="77777777" w:rsidR="005E347E" w:rsidRPr="00AA22C4" w:rsidRDefault="005E347E" w:rsidP="005E347E">
      <w:pPr>
        <w:pStyle w:val="Akapitzlist"/>
        <w:numPr>
          <w:ilvl w:val="0"/>
          <w:numId w:val="66"/>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we krwi na bibule przesiewowej metodą MS/MS: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 Tyr,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Phe</w:t>
      </w:r>
      <w:proofErr w:type="spellEnd"/>
      <w:r w:rsidRPr="00AA22C4">
        <w:rPr>
          <w:rFonts w:ascii="Lato" w:hAnsi="Lato"/>
          <w:color w:val="000000" w:themeColor="text1"/>
          <w:sz w:val="22"/>
          <w:szCs w:val="22"/>
        </w:rPr>
        <w:t>;</w:t>
      </w:r>
    </w:p>
    <w:p w14:paraId="3B8787EE" w14:textId="42262BE7" w:rsidR="005E347E" w:rsidRPr="00AA22C4" w:rsidRDefault="005E347E" w:rsidP="005E347E">
      <w:pPr>
        <w:pStyle w:val="Akapitzlist"/>
        <w:numPr>
          <w:ilvl w:val="0"/>
          <w:numId w:val="66"/>
        </w:numPr>
        <w:spacing w:before="120" w:after="120" w:line="360" w:lineRule="auto"/>
        <w:ind w:left="714" w:hanging="357"/>
        <w:jc w:val="both"/>
        <w:rPr>
          <w:rFonts w:ascii="Lato" w:hAnsi="Lato" w:cs="Arial"/>
          <w:color w:val="000000" w:themeColor="text1"/>
          <w:sz w:val="22"/>
          <w:szCs w:val="22"/>
        </w:rPr>
      </w:pPr>
      <w:r w:rsidRPr="00AA22C4">
        <w:rPr>
          <w:rFonts w:ascii="Lato" w:hAnsi="Lato"/>
          <w:color w:val="000000" w:themeColor="text1"/>
          <w:sz w:val="22"/>
          <w:szCs w:val="22"/>
        </w:rPr>
        <w:t>w moczu analiza kwasów organicznych metodą GC/MS:</w:t>
      </w:r>
      <w:r w:rsidR="003F6D17" w:rsidRPr="00AA22C4">
        <w:rPr>
          <w:rFonts w:ascii="Lato" w:hAnsi="Lato"/>
          <w:color w:val="000000" w:themeColor="text1"/>
          <w:sz w:val="22"/>
          <w:szCs w:val="22"/>
        </w:rPr>
        <w:t xml:space="preserve"> kwas 4-OH-fenylopirogronowy, </w:t>
      </w:r>
      <w:r w:rsidR="00F50613" w:rsidRPr="00AA22C4">
        <w:rPr>
          <w:rFonts w:ascii="Lato" w:hAnsi="Lato"/>
          <w:color w:val="000000" w:themeColor="text1"/>
          <w:sz w:val="22"/>
          <w:szCs w:val="22"/>
        </w:rPr>
        <w:t xml:space="preserve">kwas </w:t>
      </w:r>
      <w:r w:rsidR="003F6D17" w:rsidRPr="00AA22C4">
        <w:rPr>
          <w:rFonts w:ascii="Lato" w:hAnsi="Lato"/>
          <w:color w:val="000000" w:themeColor="text1"/>
          <w:sz w:val="22"/>
          <w:szCs w:val="22"/>
        </w:rPr>
        <w:t xml:space="preserve">4-OH-fenylomlekowy i </w:t>
      </w:r>
      <w:r w:rsidR="00F50613" w:rsidRPr="00AA22C4">
        <w:rPr>
          <w:rFonts w:ascii="Lato" w:hAnsi="Lato"/>
          <w:color w:val="000000" w:themeColor="text1"/>
          <w:sz w:val="22"/>
          <w:szCs w:val="22"/>
        </w:rPr>
        <w:t xml:space="preserve">kwas </w:t>
      </w:r>
      <w:r w:rsidR="003F6D17" w:rsidRPr="00AA22C4">
        <w:rPr>
          <w:rFonts w:ascii="Lato" w:hAnsi="Lato"/>
          <w:color w:val="000000" w:themeColor="text1"/>
          <w:sz w:val="22"/>
          <w:szCs w:val="22"/>
        </w:rPr>
        <w:t>4-OH-fenylooctowy</w:t>
      </w:r>
      <w:r w:rsidRPr="00AA22C4">
        <w:rPr>
          <w:rFonts w:ascii="Lato" w:hAnsi="Lato"/>
          <w:color w:val="000000" w:themeColor="text1"/>
          <w:sz w:val="22"/>
          <w:szCs w:val="22"/>
        </w:rPr>
        <w:t xml:space="preserve"> </w:t>
      </w:r>
    </w:p>
    <w:p w14:paraId="59767F30"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Leczenie:</w:t>
      </w:r>
    </w:p>
    <w:p w14:paraId="31FA4A73"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Dieta z ograniczeniem Fen i Tyr z monitorowaniem ich stężeń. </w:t>
      </w:r>
    </w:p>
    <w:p w14:paraId="6A06FAD6" w14:textId="77777777" w:rsidR="005E347E" w:rsidRPr="00AA22C4" w:rsidRDefault="005E347E" w:rsidP="00D23264">
      <w:pPr>
        <w:widowControl/>
        <w:spacing w:before="360" w:after="240"/>
        <w:jc w:val="center"/>
        <w:rPr>
          <w:rFonts w:ascii="Lato" w:eastAsia="Arial Unicode MS" w:hAnsi="Lato"/>
          <w:b/>
          <w:color w:val="000000" w:themeColor="text1"/>
          <w:kern w:val="1"/>
          <w:sz w:val="22"/>
          <w:szCs w:val="22"/>
          <w:lang w:eastAsia="ar-SA"/>
        </w:rPr>
      </w:pPr>
      <w:r w:rsidRPr="00AA22C4">
        <w:rPr>
          <w:rFonts w:ascii="Lato" w:eastAsia="Arial Unicode MS" w:hAnsi="Lato"/>
          <w:b/>
          <w:color w:val="000000" w:themeColor="text1"/>
          <w:kern w:val="1"/>
          <w:sz w:val="22"/>
          <w:szCs w:val="22"/>
          <w:lang w:eastAsia="ar-SA"/>
        </w:rPr>
        <w:t>ZABURZENIA UTLENIANIA KWASÓW TŁUSZCZOWYCH</w:t>
      </w:r>
    </w:p>
    <w:p w14:paraId="28D1D483" w14:textId="77777777" w:rsidR="005E347E" w:rsidRDefault="005E347E" w:rsidP="005E347E">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Zaburzenia utleniania kwasów tłuszczowych i </w:t>
      </w:r>
      <w:proofErr w:type="spellStart"/>
      <w:r w:rsidRPr="00AA22C4">
        <w:rPr>
          <w:rFonts w:ascii="Lato" w:hAnsi="Lato"/>
          <w:color w:val="000000" w:themeColor="text1"/>
          <w:kern w:val="1"/>
          <w:sz w:val="22"/>
          <w:szCs w:val="22"/>
          <w:lang w:eastAsia="ar-SA"/>
        </w:rPr>
        <w:t>ketogenezy</w:t>
      </w:r>
      <w:proofErr w:type="spellEnd"/>
      <w:r w:rsidRPr="00AA22C4">
        <w:rPr>
          <w:rFonts w:ascii="Lato" w:hAnsi="Lato"/>
          <w:color w:val="000000" w:themeColor="text1"/>
          <w:kern w:val="1"/>
          <w:sz w:val="22"/>
          <w:szCs w:val="22"/>
          <w:lang w:eastAsia="ar-SA"/>
        </w:rPr>
        <w:t xml:space="preserve"> to grupa kilkunastu defektów, które łączy wspólny patomechanizm. Niewystarczająca produkcja ciał ketonowych w połączeniu </w:t>
      </w:r>
      <w:r w:rsidRPr="00AA22C4">
        <w:rPr>
          <w:rFonts w:ascii="Lato" w:hAnsi="Lato"/>
          <w:color w:val="000000" w:themeColor="text1"/>
          <w:kern w:val="1"/>
          <w:sz w:val="22"/>
          <w:szCs w:val="22"/>
          <w:lang w:eastAsia="ar-SA"/>
        </w:rPr>
        <w:br/>
        <w:t xml:space="preserve">z inhibicją </w:t>
      </w:r>
      <w:proofErr w:type="spellStart"/>
      <w:r w:rsidRPr="00AA22C4">
        <w:rPr>
          <w:rFonts w:ascii="Lato" w:hAnsi="Lato"/>
          <w:color w:val="000000" w:themeColor="text1"/>
          <w:kern w:val="1"/>
          <w:sz w:val="22"/>
          <w:szCs w:val="22"/>
          <w:lang w:eastAsia="ar-SA"/>
        </w:rPr>
        <w:t>glukoneogenezy</w:t>
      </w:r>
      <w:proofErr w:type="spellEnd"/>
      <w:r w:rsidRPr="00AA22C4">
        <w:rPr>
          <w:rFonts w:ascii="Lato" w:hAnsi="Lato"/>
          <w:color w:val="000000" w:themeColor="text1"/>
          <w:kern w:val="1"/>
          <w:sz w:val="22"/>
          <w:szCs w:val="22"/>
          <w:lang w:eastAsia="ar-SA"/>
        </w:rPr>
        <w:t xml:space="preserve"> przez zmniejszenie poziomu </w:t>
      </w:r>
      <w:proofErr w:type="spellStart"/>
      <w:r w:rsidRPr="00AA22C4">
        <w:rPr>
          <w:rFonts w:ascii="Lato" w:hAnsi="Lato"/>
          <w:color w:val="000000" w:themeColor="text1"/>
          <w:kern w:val="1"/>
          <w:sz w:val="22"/>
          <w:szCs w:val="22"/>
          <w:lang w:eastAsia="ar-SA"/>
        </w:rPr>
        <w:t>acetylo-CoA</w:t>
      </w:r>
      <w:proofErr w:type="spellEnd"/>
      <w:r w:rsidRPr="00AA22C4">
        <w:rPr>
          <w:rFonts w:ascii="Lato" w:hAnsi="Lato"/>
          <w:color w:val="000000" w:themeColor="text1"/>
          <w:kern w:val="1"/>
          <w:sz w:val="22"/>
          <w:szCs w:val="22"/>
          <w:lang w:eastAsia="ar-SA"/>
        </w:rPr>
        <w:t xml:space="preserve"> prowadzi w stanach katabolizmu (przedłużone głodzenie, operacja, infekcja) do śpiączki, która przebiega z uszkodzeniem wątroby, hipoglikemią </w:t>
      </w:r>
      <w:proofErr w:type="spellStart"/>
      <w:r w:rsidRPr="00AA22C4">
        <w:rPr>
          <w:rFonts w:ascii="Lato" w:hAnsi="Lato"/>
          <w:color w:val="000000" w:themeColor="text1"/>
          <w:kern w:val="1"/>
          <w:sz w:val="22"/>
          <w:szCs w:val="22"/>
          <w:lang w:eastAsia="ar-SA"/>
        </w:rPr>
        <w:t>hypoketotyczną</w:t>
      </w:r>
      <w:proofErr w:type="spellEnd"/>
      <w:r w:rsidRPr="00AA22C4">
        <w:rPr>
          <w:rFonts w:ascii="Lato" w:hAnsi="Lato"/>
          <w:color w:val="000000" w:themeColor="text1"/>
          <w:kern w:val="1"/>
          <w:sz w:val="22"/>
          <w:szCs w:val="22"/>
          <w:lang w:eastAsia="ar-SA"/>
        </w:rPr>
        <w:t xml:space="preserve"> i </w:t>
      </w:r>
      <w:proofErr w:type="spellStart"/>
      <w:r w:rsidRPr="00AA22C4">
        <w:rPr>
          <w:rFonts w:ascii="Lato" w:hAnsi="Lato"/>
          <w:color w:val="000000" w:themeColor="text1"/>
          <w:kern w:val="1"/>
          <w:sz w:val="22"/>
          <w:szCs w:val="22"/>
          <w:lang w:eastAsia="ar-SA"/>
        </w:rPr>
        <w:t>hiperamonemią</w:t>
      </w:r>
      <w:proofErr w:type="spellEnd"/>
      <w:r w:rsidRPr="00AA22C4">
        <w:rPr>
          <w:rFonts w:ascii="Lato" w:hAnsi="Lato"/>
          <w:color w:val="000000" w:themeColor="text1"/>
          <w:kern w:val="1"/>
          <w:sz w:val="22"/>
          <w:szCs w:val="22"/>
          <w:lang w:eastAsia="ar-SA"/>
        </w:rPr>
        <w:t xml:space="preserve">. Pierwszy epizod występuje zwykle u starszych niemowląt. Kumulacja toksycznych </w:t>
      </w:r>
      <w:proofErr w:type="spellStart"/>
      <w:r w:rsidRPr="00AA22C4">
        <w:rPr>
          <w:rFonts w:ascii="Lato" w:hAnsi="Lato"/>
          <w:color w:val="000000" w:themeColor="text1"/>
          <w:kern w:val="1"/>
          <w:sz w:val="22"/>
          <w:szCs w:val="22"/>
          <w:lang w:eastAsia="ar-SA"/>
        </w:rPr>
        <w:t>acylokarnityn</w:t>
      </w:r>
      <w:proofErr w:type="spellEnd"/>
      <w:r w:rsidRPr="00AA22C4">
        <w:rPr>
          <w:rFonts w:ascii="Lato" w:hAnsi="Lato"/>
          <w:color w:val="000000" w:themeColor="text1"/>
          <w:kern w:val="1"/>
          <w:sz w:val="22"/>
          <w:szCs w:val="22"/>
          <w:lang w:eastAsia="ar-SA"/>
        </w:rPr>
        <w:t xml:space="preserve"> o długim łańcuchu w zaburzeniach utleniania długołańcuchowych kwasów tłuszczowych może powodować ciężkie objawy u noworodka, takie jak postępująca dysfunkcja wątroby i zaburzenia rytmu serca, zagrażające życiu. Inne defekty utleniania kwasów tłuszczowych i transportu karnityny mogą ujawniać się u młodzieży i dorosłych przewlekłym osłabieniem z bólami mięśniowymi i nawracającą </w:t>
      </w:r>
      <w:proofErr w:type="spellStart"/>
      <w:r w:rsidRPr="00AA22C4">
        <w:rPr>
          <w:rFonts w:ascii="Lato" w:hAnsi="Lato"/>
          <w:color w:val="000000" w:themeColor="text1"/>
          <w:kern w:val="1"/>
          <w:sz w:val="22"/>
          <w:szCs w:val="22"/>
          <w:lang w:eastAsia="ar-SA"/>
        </w:rPr>
        <w:t>rabdomiolizą</w:t>
      </w:r>
      <w:proofErr w:type="spellEnd"/>
      <w:r w:rsidRPr="00AA22C4">
        <w:rPr>
          <w:rFonts w:ascii="Lato" w:hAnsi="Lato"/>
          <w:color w:val="000000" w:themeColor="text1"/>
          <w:kern w:val="1"/>
          <w:sz w:val="22"/>
          <w:szCs w:val="22"/>
          <w:lang w:eastAsia="ar-SA"/>
        </w:rPr>
        <w:t xml:space="preserve"> albo ostrą lub przewlekłą </w:t>
      </w:r>
      <w:proofErr w:type="spellStart"/>
      <w:r w:rsidRPr="00AA22C4">
        <w:rPr>
          <w:rFonts w:ascii="Lato" w:hAnsi="Lato"/>
          <w:color w:val="000000" w:themeColor="text1"/>
          <w:kern w:val="1"/>
          <w:sz w:val="22"/>
          <w:szCs w:val="22"/>
          <w:lang w:eastAsia="ar-SA"/>
        </w:rPr>
        <w:t>kardiomiopatią</w:t>
      </w:r>
      <w:proofErr w:type="spellEnd"/>
      <w:r w:rsidRPr="00AA22C4">
        <w:rPr>
          <w:rFonts w:ascii="Lato" w:hAnsi="Lato"/>
          <w:color w:val="000000" w:themeColor="text1"/>
          <w:kern w:val="1"/>
          <w:sz w:val="22"/>
          <w:szCs w:val="22"/>
          <w:lang w:eastAsia="ar-SA"/>
        </w:rPr>
        <w:t xml:space="preserve">. Jedynym defektem z grupy zaburzeń utleniania kwasów tłuszczowych manifestującym się objawami neurologicznymi jest deficyt dehydrogenazy </w:t>
      </w:r>
      <w:proofErr w:type="spellStart"/>
      <w:r w:rsidRPr="00AA22C4">
        <w:rPr>
          <w:rFonts w:ascii="Lato" w:hAnsi="Lato"/>
          <w:color w:val="000000" w:themeColor="text1"/>
          <w:kern w:val="1"/>
          <w:sz w:val="22"/>
          <w:szCs w:val="22"/>
          <w:lang w:eastAsia="ar-SA"/>
        </w:rPr>
        <w:t>acylo</w:t>
      </w:r>
      <w:proofErr w:type="spellEnd"/>
      <w:r w:rsidRPr="00AA22C4">
        <w:rPr>
          <w:rFonts w:ascii="Lato" w:hAnsi="Lato"/>
          <w:color w:val="000000" w:themeColor="text1"/>
          <w:kern w:val="1"/>
          <w:sz w:val="22"/>
          <w:szCs w:val="22"/>
          <w:lang w:eastAsia="ar-SA"/>
        </w:rPr>
        <w:t xml:space="preserve">-koenzymu A krótkołańcuchowych kwasów tłuszczowych (SCAD). Produkcja dużych ilości </w:t>
      </w:r>
      <w:proofErr w:type="spellStart"/>
      <w:r w:rsidRPr="00AA22C4">
        <w:rPr>
          <w:rFonts w:ascii="Lato" w:hAnsi="Lato"/>
          <w:color w:val="000000" w:themeColor="text1"/>
          <w:kern w:val="1"/>
          <w:sz w:val="22"/>
          <w:szCs w:val="22"/>
          <w:lang w:eastAsia="ar-SA"/>
        </w:rPr>
        <w:t>acylokarnityn</w:t>
      </w:r>
      <w:proofErr w:type="spellEnd"/>
      <w:r w:rsidRPr="00AA22C4">
        <w:rPr>
          <w:rFonts w:ascii="Lato" w:hAnsi="Lato"/>
          <w:color w:val="000000" w:themeColor="text1"/>
          <w:kern w:val="1"/>
          <w:sz w:val="22"/>
          <w:szCs w:val="22"/>
          <w:lang w:eastAsia="ar-SA"/>
        </w:rPr>
        <w:t xml:space="preserve"> prowadzi do wtórnych niedoborów karnityny wolnej. Wszystkie choroby z tej grupy dziedziczą się w sposób autosomalny recesywny (33, 34, 35, 36, 37, 38, 41).</w:t>
      </w:r>
    </w:p>
    <w:p w14:paraId="5A0C99F2" w14:textId="77777777" w:rsidR="00D23264" w:rsidRPr="00AA22C4" w:rsidRDefault="00D23264" w:rsidP="005E347E">
      <w:pPr>
        <w:suppressAutoHyphens/>
        <w:spacing w:before="120" w:after="120"/>
        <w:contextualSpacing/>
        <w:jc w:val="both"/>
        <w:rPr>
          <w:rFonts w:ascii="Lato" w:hAnsi="Lato"/>
          <w:color w:val="000000" w:themeColor="text1"/>
          <w:kern w:val="1"/>
          <w:sz w:val="22"/>
          <w:szCs w:val="22"/>
          <w:lang w:eastAsia="ar-SA"/>
        </w:rPr>
      </w:pPr>
    </w:p>
    <w:p w14:paraId="14D2673B" w14:textId="77777777" w:rsidR="005E347E" w:rsidRPr="00AA22C4" w:rsidRDefault="005E347E" w:rsidP="005E347E">
      <w:pPr>
        <w:pStyle w:val="Akapitzlist"/>
        <w:numPr>
          <w:ilvl w:val="0"/>
          <w:numId w:val="82"/>
        </w:numPr>
        <w:spacing w:before="120" w:after="120"/>
        <w:jc w:val="both"/>
        <w:rPr>
          <w:rFonts w:ascii="Lato" w:hAnsi="Lato"/>
          <w:b/>
          <w:bCs/>
          <w:color w:val="000000" w:themeColor="text1"/>
          <w:sz w:val="22"/>
          <w:szCs w:val="22"/>
        </w:rPr>
      </w:pPr>
      <w:r w:rsidRPr="00AA22C4">
        <w:rPr>
          <w:rFonts w:ascii="Lato" w:hAnsi="Lato"/>
          <w:b/>
          <w:bCs/>
          <w:color w:val="000000" w:themeColor="text1"/>
          <w:sz w:val="22"/>
          <w:szCs w:val="22"/>
        </w:rPr>
        <w:lastRenderedPageBreak/>
        <w:t xml:space="preserve">Deficyt dehydrogenazy </w:t>
      </w:r>
      <w:proofErr w:type="spellStart"/>
      <w:r w:rsidRPr="00AA22C4">
        <w:rPr>
          <w:rFonts w:ascii="Lato" w:hAnsi="Lato"/>
          <w:b/>
          <w:bCs/>
          <w:color w:val="000000" w:themeColor="text1"/>
          <w:sz w:val="22"/>
          <w:szCs w:val="22"/>
        </w:rPr>
        <w:t>acylo-CoA</w:t>
      </w:r>
      <w:proofErr w:type="spellEnd"/>
      <w:r w:rsidRPr="00AA22C4">
        <w:rPr>
          <w:rFonts w:ascii="Lato" w:hAnsi="Lato"/>
          <w:b/>
          <w:bCs/>
          <w:color w:val="000000" w:themeColor="text1"/>
          <w:sz w:val="22"/>
          <w:szCs w:val="22"/>
        </w:rPr>
        <w:t xml:space="preserve"> </w:t>
      </w:r>
      <w:proofErr w:type="spellStart"/>
      <w:r w:rsidRPr="00AA22C4">
        <w:rPr>
          <w:rFonts w:ascii="Lato" w:hAnsi="Lato"/>
          <w:b/>
          <w:bCs/>
          <w:color w:val="000000" w:themeColor="text1"/>
          <w:sz w:val="22"/>
          <w:szCs w:val="22"/>
        </w:rPr>
        <w:t>średniołańcuchowych</w:t>
      </w:r>
      <w:proofErr w:type="spellEnd"/>
      <w:r w:rsidRPr="00AA22C4">
        <w:rPr>
          <w:rFonts w:ascii="Lato" w:hAnsi="Lato"/>
          <w:b/>
          <w:bCs/>
          <w:color w:val="000000" w:themeColor="text1"/>
          <w:sz w:val="22"/>
          <w:szCs w:val="22"/>
        </w:rPr>
        <w:t xml:space="preserve"> kwasów tłuszczowych - MCADD</w:t>
      </w:r>
    </w:p>
    <w:p w14:paraId="66CEFA67"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Opis:</w:t>
      </w:r>
    </w:p>
    <w:p w14:paraId="2D69358F"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Deficyt MCAD jest najczęściej występującym w północnej Europie zaburzeniem utleniania kwasów tłuszczowych (występowanie: 1:6 000 - 1:20 000). </w:t>
      </w:r>
    </w:p>
    <w:p w14:paraId="6943DD51"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Objawy:</w:t>
      </w:r>
    </w:p>
    <w:p w14:paraId="6B8E4B0F" w14:textId="4D6F0B38"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Objawy kliniczne występują w każdym wieku, najczęściej od 4 </w:t>
      </w:r>
      <w:proofErr w:type="spellStart"/>
      <w:r w:rsidR="000518C7" w:rsidRPr="00AA22C4">
        <w:rPr>
          <w:rFonts w:ascii="Lato" w:hAnsi="Lato"/>
          <w:color w:val="000000" w:themeColor="text1"/>
          <w:kern w:val="1"/>
          <w:sz w:val="22"/>
          <w:szCs w:val="22"/>
          <w:lang w:eastAsia="ar-SA"/>
        </w:rPr>
        <w:t>m.ż.</w:t>
      </w:r>
      <w:r w:rsidRPr="00AA22C4">
        <w:rPr>
          <w:rFonts w:ascii="Lato" w:hAnsi="Lato"/>
          <w:color w:val="000000" w:themeColor="text1"/>
          <w:kern w:val="1"/>
          <w:sz w:val="22"/>
          <w:szCs w:val="22"/>
          <w:lang w:eastAsia="ar-SA"/>
        </w:rPr>
        <w:t>do</w:t>
      </w:r>
      <w:proofErr w:type="spellEnd"/>
      <w:r w:rsidRPr="00AA22C4">
        <w:rPr>
          <w:rFonts w:ascii="Lato" w:hAnsi="Lato"/>
          <w:color w:val="000000" w:themeColor="text1"/>
          <w:kern w:val="1"/>
          <w:sz w:val="22"/>
          <w:szCs w:val="22"/>
          <w:lang w:eastAsia="ar-SA"/>
        </w:rPr>
        <w:t xml:space="preserve"> 3 r. ż., czasem </w:t>
      </w:r>
      <w:r w:rsidRPr="00AA22C4">
        <w:rPr>
          <w:rFonts w:ascii="Lato" w:hAnsi="Lato"/>
          <w:color w:val="000000" w:themeColor="text1"/>
          <w:kern w:val="1"/>
          <w:sz w:val="22"/>
          <w:szCs w:val="22"/>
          <w:lang w:eastAsia="ar-SA"/>
        </w:rPr>
        <w:br/>
        <w:t xml:space="preserve">już u noworodków, podobne do zespołu </w:t>
      </w:r>
      <w:proofErr w:type="spellStart"/>
      <w:r w:rsidRPr="00AA22C4">
        <w:rPr>
          <w:rFonts w:ascii="Lato" w:hAnsi="Lato"/>
          <w:color w:val="000000" w:themeColor="text1"/>
          <w:kern w:val="1"/>
          <w:sz w:val="22"/>
          <w:szCs w:val="22"/>
          <w:lang w:eastAsia="ar-SA"/>
        </w:rPr>
        <w:t>Reye'a</w:t>
      </w:r>
      <w:proofErr w:type="spellEnd"/>
      <w:r w:rsidRPr="00AA22C4">
        <w:rPr>
          <w:rFonts w:ascii="Lato" w:hAnsi="Lato"/>
          <w:color w:val="000000" w:themeColor="text1"/>
          <w:kern w:val="1"/>
          <w:sz w:val="22"/>
          <w:szCs w:val="22"/>
          <w:lang w:eastAsia="ar-SA"/>
        </w:rPr>
        <w:t>, często gwałtownie postępująca dekompensacja metaboliczna po przedłużonym głodzeniu, np. w czasie nawet banalnych infekcji, po szczepieniu, operacji. Rozpoczyna się zwykle wymiotami (często z prawidłowym poziomem glukozy), nadmierną sennością, szybko postępującą do śpiączki, drgawkami, zatrzymaniem akcji serca. W pierwszym epizodzie przebieg może być letalny u co czwartego dziecka, a u co drugiego dorosłego. Rokowanie po ustaleniu rozpoznania jest bardzo dobre, o ile przestrzegane są zalecenia (7, 8, 9, 14).</w:t>
      </w:r>
    </w:p>
    <w:p w14:paraId="4CE26819"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Diagnostyka:</w:t>
      </w:r>
    </w:p>
    <w:p w14:paraId="24C0656B" w14:textId="77777777" w:rsidR="005E347E" w:rsidRPr="00AA22C4" w:rsidRDefault="005E347E" w:rsidP="005E347E">
      <w:pPr>
        <w:pStyle w:val="Akapitzlist"/>
        <w:numPr>
          <w:ilvl w:val="0"/>
          <w:numId w:val="49"/>
        </w:numPr>
        <w:spacing w:before="120" w:after="120" w:line="360" w:lineRule="auto"/>
        <w:jc w:val="both"/>
        <w:rPr>
          <w:rFonts w:ascii="Lato" w:hAnsi="Lato"/>
          <w:color w:val="000000" w:themeColor="text1"/>
          <w:sz w:val="22"/>
          <w:szCs w:val="22"/>
        </w:rPr>
      </w:pPr>
      <w:r w:rsidRPr="00AA22C4">
        <w:rPr>
          <w:rFonts w:ascii="Lato" w:hAnsi="Lato"/>
          <w:color w:val="000000" w:themeColor="text1"/>
          <w:sz w:val="22"/>
          <w:szCs w:val="22"/>
        </w:rPr>
        <w:t xml:space="preserve">we krwi na bibule przesiewowej metodą MS/MS: </w:t>
      </w:r>
      <w:proofErr w:type="spellStart"/>
      <w:r w:rsidRPr="00AA22C4">
        <w:rPr>
          <w:rFonts w:ascii="Lato" w:hAnsi="Lato"/>
          <w:color w:val="000000" w:themeColor="text1"/>
          <w:sz w:val="22"/>
          <w:szCs w:val="22"/>
        </w:rPr>
        <w:t>Acylokarnityny</w:t>
      </w:r>
      <w:proofErr w:type="spellEnd"/>
      <w:r w:rsidRPr="00AA22C4">
        <w:rPr>
          <w:rFonts w:ascii="Lato" w:hAnsi="Lato"/>
          <w:color w:val="000000" w:themeColor="text1"/>
          <w:sz w:val="22"/>
          <w:szCs w:val="22"/>
        </w:rPr>
        <w:t xml:space="preserve"> </w:t>
      </w:r>
      <w:r w:rsidRPr="00AA22C4">
        <w:rPr>
          <w:rFonts w:ascii="Arial" w:hAnsi="Arial" w:cs="Arial"/>
          <w:color w:val="000000" w:themeColor="text1"/>
          <w:sz w:val="22"/>
          <w:szCs w:val="22"/>
        </w:rPr>
        <w:t>↑</w:t>
      </w:r>
      <w:r w:rsidRPr="00AA22C4">
        <w:rPr>
          <w:rFonts w:ascii="Lato" w:hAnsi="Lato"/>
          <w:color w:val="000000" w:themeColor="text1"/>
          <w:sz w:val="22"/>
          <w:szCs w:val="22"/>
        </w:rPr>
        <w:t>C</w:t>
      </w:r>
      <w:proofErr w:type="gramStart"/>
      <w:r w:rsidRPr="00AA22C4">
        <w:rPr>
          <w:rFonts w:ascii="Lato" w:hAnsi="Lato"/>
          <w:color w:val="000000" w:themeColor="text1"/>
          <w:sz w:val="22"/>
          <w:szCs w:val="22"/>
        </w:rPr>
        <w:t xml:space="preserve">8,  </w:t>
      </w:r>
      <w:r w:rsidRPr="00AA22C4">
        <w:rPr>
          <w:rFonts w:ascii="Arial" w:hAnsi="Arial" w:cs="Arial"/>
          <w:color w:val="000000" w:themeColor="text1"/>
          <w:sz w:val="22"/>
          <w:szCs w:val="22"/>
        </w:rPr>
        <w:t>↑</w:t>
      </w:r>
      <w:proofErr w:type="gramEnd"/>
      <w:r w:rsidRPr="00AA22C4">
        <w:rPr>
          <w:rFonts w:ascii="Lato" w:hAnsi="Lato"/>
          <w:color w:val="000000" w:themeColor="text1"/>
          <w:sz w:val="22"/>
          <w:szCs w:val="22"/>
        </w:rPr>
        <w:t xml:space="preserve">C6,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 stosunek C8/C10;</w:t>
      </w:r>
    </w:p>
    <w:p w14:paraId="03FF87A7" w14:textId="77777777" w:rsidR="005E347E" w:rsidRPr="00AA22C4" w:rsidRDefault="005E347E" w:rsidP="005E347E">
      <w:pPr>
        <w:pStyle w:val="Akapitzlist"/>
        <w:numPr>
          <w:ilvl w:val="0"/>
          <w:numId w:val="49"/>
        </w:numPr>
        <w:spacing w:before="120" w:after="120" w:line="360" w:lineRule="auto"/>
        <w:jc w:val="both"/>
        <w:rPr>
          <w:rFonts w:ascii="Lato" w:hAnsi="Lato"/>
          <w:color w:val="000000" w:themeColor="text1"/>
          <w:sz w:val="22"/>
          <w:szCs w:val="22"/>
        </w:rPr>
      </w:pPr>
      <w:r w:rsidRPr="00AA22C4">
        <w:rPr>
          <w:rFonts w:ascii="Lato" w:hAnsi="Lato"/>
          <w:color w:val="000000" w:themeColor="text1"/>
          <w:sz w:val="22"/>
          <w:szCs w:val="22"/>
        </w:rPr>
        <w:t xml:space="preserve">w moczu analiza kwasów organicznych metodą GC/MS: kwasy dwukarboksylowe C6-C10, </w:t>
      </w:r>
      <w:proofErr w:type="spellStart"/>
      <w:r w:rsidRPr="00AA22C4">
        <w:rPr>
          <w:rFonts w:ascii="Lato" w:hAnsi="Lato"/>
          <w:color w:val="000000" w:themeColor="text1"/>
          <w:sz w:val="22"/>
          <w:szCs w:val="22"/>
        </w:rPr>
        <w:t>suberyloglicyna</w:t>
      </w:r>
      <w:proofErr w:type="spellEnd"/>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heksanoiloglicyna</w:t>
      </w:r>
      <w:proofErr w:type="spellEnd"/>
      <w:r w:rsidRPr="00AA22C4">
        <w:rPr>
          <w:rFonts w:ascii="Lato" w:hAnsi="Lato"/>
          <w:color w:val="000000" w:themeColor="text1"/>
          <w:sz w:val="22"/>
          <w:szCs w:val="22"/>
        </w:rPr>
        <w:t>.</w:t>
      </w:r>
    </w:p>
    <w:p w14:paraId="7D03B39B"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u w:val="single"/>
          <w:lang w:eastAsia="ar-SA"/>
        </w:rPr>
        <w:t>Leczenie:</w:t>
      </w:r>
    </w:p>
    <w:p w14:paraId="120E4C61"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Postępowaniem z wyboru są regularne posiłki z unikaniem przedłużonego głodzenia. W ramach programu lekowego „Leczenie uzupełniające L-karnityną w wybranych chorobach metabolicznych” podaje się także karnitynę.</w:t>
      </w:r>
    </w:p>
    <w:p w14:paraId="4994DD82" w14:textId="77777777" w:rsidR="005E347E" w:rsidRPr="00AA22C4" w:rsidRDefault="005E347E" w:rsidP="00D23264">
      <w:pPr>
        <w:pStyle w:val="Akapitzlist"/>
        <w:numPr>
          <w:ilvl w:val="0"/>
          <w:numId w:val="82"/>
        </w:numPr>
        <w:spacing w:before="360" w:after="120"/>
        <w:ind w:left="1077" w:hanging="357"/>
        <w:jc w:val="both"/>
        <w:rPr>
          <w:rFonts w:ascii="Lato" w:hAnsi="Lato"/>
          <w:b/>
          <w:bCs/>
          <w:color w:val="000000" w:themeColor="text1"/>
          <w:sz w:val="22"/>
          <w:szCs w:val="22"/>
        </w:rPr>
      </w:pPr>
      <w:r w:rsidRPr="00AA22C4">
        <w:rPr>
          <w:rFonts w:ascii="Lato" w:hAnsi="Lato"/>
          <w:b/>
          <w:bCs/>
          <w:color w:val="000000" w:themeColor="text1"/>
          <w:sz w:val="22"/>
          <w:szCs w:val="22"/>
        </w:rPr>
        <w:t>Deficyt dehydrogenazy 3-hydroksyacylo-CoA długołańcuchowych kwasów tłuszczowych – LCHADD</w:t>
      </w:r>
    </w:p>
    <w:p w14:paraId="6F02ADDF" w14:textId="77777777" w:rsidR="005E347E" w:rsidRPr="00AA22C4" w:rsidRDefault="005E347E" w:rsidP="005E347E">
      <w:pPr>
        <w:suppressAutoHyphens/>
        <w:spacing w:before="120" w:after="120"/>
        <w:contextualSpacing/>
        <w:jc w:val="both"/>
        <w:rPr>
          <w:rFonts w:ascii="Lato" w:hAnsi="Lato"/>
          <w:b/>
          <w:bCs/>
          <w:color w:val="000000" w:themeColor="text1"/>
          <w:kern w:val="1"/>
          <w:sz w:val="22"/>
          <w:szCs w:val="22"/>
          <w:lang w:eastAsia="ar-SA"/>
        </w:rPr>
      </w:pPr>
      <w:r w:rsidRPr="00AA22C4">
        <w:rPr>
          <w:rFonts w:ascii="Lato" w:hAnsi="Lato"/>
          <w:b/>
          <w:bCs/>
          <w:color w:val="000000" w:themeColor="text1"/>
          <w:kern w:val="1"/>
          <w:sz w:val="22"/>
          <w:szCs w:val="22"/>
          <w:lang w:eastAsia="ar-SA"/>
        </w:rPr>
        <w:t xml:space="preserve"> </w:t>
      </w:r>
      <w:r w:rsidRPr="00AA22C4">
        <w:rPr>
          <w:rFonts w:ascii="Lato" w:hAnsi="Lato"/>
          <w:color w:val="000000" w:themeColor="text1"/>
          <w:kern w:val="1"/>
          <w:sz w:val="22"/>
          <w:szCs w:val="22"/>
          <w:u w:val="single"/>
          <w:lang w:eastAsia="ar-SA"/>
        </w:rPr>
        <w:t>Opis:</w:t>
      </w:r>
    </w:p>
    <w:p w14:paraId="54D5488F"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Białko trójfunkcyjne (MTP) składa się z podjednostek </w:t>
      </w:r>
      <w:r w:rsidRPr="00AA22C4">
        <w:rPr>
          <w:rFonts w:ascii="Calibri" w:hAnsi="Calibri" w:cs="Calibri"/>
          <w:color w:val="000000" w:themeColor="text1"/>
          <w:kern w:val="1"/>
          <w:sz w:val="22"/>
          <w:szCs w:val="22"/>
          <w:lang w:eastAsia="ar-SA"/>
        </w:rPr>
        <w:t>α</w:t>
      </w:r>
      <w:r w:rsidRPr="00AA22C4">
        <w:rPr>
          <w:rFonts w:ascii="Lato" w:hAnsi="Lato"/>
          <w:color w:val="000000" w:themeColor="text1"/>
          <w:kern w:val="1"/>
          <w:sz w:val="22"/>
          <w:szCs w:val="22"/>
          <w:lang w:eastAsia="ar-SA"/>
        </w:rPr>
        <w:t xml:space="preserve"> i </w:t>
      </w:r>
      <w:r w:rsidRPr="00AA22C4">
        <w:rPr>
          <w:rFonts w:ascii="Calibri" w:hAnsi="Calibri" w:cs="Calibri"/>
          <w:color w:val="000000" w:themeColor="text1"/>
          <w:kern w:val="1"/>
          <w:sz w:val="22"/>
          <w:szCs w:val="22"/>
          <w:lang w:eastAsia="ar-SA"/>
        </w:rPr>
        <w:t>β</w:t>
      </w:r>
      <w:r w:rsidRPr="00AA22C4">
        <w:rPr>
          <w:rFonts w:ascii="Lato" w:hAnsi="Lato"/>
          <w:color w:val="000000" w:themeColor="text1"/>
          <w:kern w:val="1"/>
          <w:sz w:val="22"/>
          <w:szCs w:val="22"/>
          <w:lang w:eastAsia="ar-SA"/>
        </w:rPr>
        <w:t xml:space="preserve"> kodowanych przez dwa r</w:t>
      </w:r>
      <w:r w:rsidRPr="00AA22C4">
        <w:rPr>
          <w:rFonts w:ascii="Lato" w:hAnsi="Lato" w:cs="Lato"/>
          <w:color w:val="000000" w:themeColor="text1"/>
          <w:kern w:val="1"/>
          <w:sz w:val="22"/>
          <w:szCs w:val="22"/>
          <w:lang w:eastAsia="ar-SA"/>
        </w:rPr>
        <w:t>óż</w:t>
      </w:r>
      <w:r w:rsidRPr="00AA22C4">
        <w:rPr>
          <w:rFonts w:ascii="Lato" w:hAnsi="Lato"/>
          <w:color w:val="000000" w:themeColor="text1"/>
          <w:kern w:val="1"/>
          <w:sz w:val="22"/>
          <w:szCs w:val="22"/>
          <w:lang w:eastAsia="ar-SA"/>
        </w:rPr>
        <w:t>ne geny; odpowiada za aktywno</w:t>
      </w:r>
      <w:r w:rsidRPr="00AA22C4">
        <w:rPr>
          <w:rFonts w:ascii="Lato" w:hAnsi="Lato" w:cs="Lato"/>
          <w:color w:val="000000" w:themeColor="text1"/>
          <w:kern w:val="1"/>
          <w:sz w:val="22"/>
          <w:szCs w:val="22"/>
          <w:lang w:eastAsia="ar-SA"/>
        </w:rPr>
        <w:t>ść</w:t>
      </w:r>
      <w:r w:rsidRPr="00AA22C4">
        <w:rPr>
          <w:rFonts w:ascii="Lato" w:hAnsi="Lato"/>
          <w:color w:val="000000" w:themeColor="text1"/>
          <w:kern w:val="1"/>
          <w:sz w:val="22"/>
          <w:szCs w:val="22"/>
          <w:lang w:eastAsia="ar-SA"/>
        </w:rPr>
        <w:t xml:space="preserve"> </w:t>
      </w:r>
      <w:proofErr w:type="spellStart"/>
      <w:r w:rsidRPr="00AA22C4">
        <w:rPr>
          <w:rFonts w:ascii="Lato" w:hAnsi="Lato"/>
          <w:color w:val="000000" w:themeColor="text1"/>
          <w:kern w:val="1"/>
          <w:sz w:val="22"/>
          <w:szCs w:val="22"/>
          <w:lang w:eastAsia="ar-SA"/>
        </w:rPr>
        <w:t>hydratazy</w:t>
      </w:r>
      <w:proofErr w:type="spellEnd"/>
      <w:r w:rsidRPr="00AA22C4">
        <w:rPr>
          <w:rFonts w:ascii="Lato" w:hAnsi="Lato"/>
          <w:color w:val="000000" w:themeColor="text1"/>
          <w:kern w:val="1"/>
          <w:sz w:val="22"/>
          <w:szCs w:val="22"/>
          <w:lang w:eastAsia="ar-SA"/>
        </w:rPr>
        <w:t xml:space="preserve"> (LCEH), dehydrogenazy</w:t>
      </w:r>
      <w:r w:rsidRPr="00AA22C4">
        <w:rPr>
          <w:rFonts w:ascii="Lato" w:hAnsi="Lato"/>
          <w:b/>
          <w:bCs/>
          <w:color w:val="000000" w:themeColor="text1"/>
          <w:kern w:val="1"/>
          <w:sz w:val="22"/>
          <w:szCs w:val="22"/>
          <w:lang w:eastAsia="ar-SA"/>
        </w:rPr>
        <w:t xml:space="preserve"> </w:t>
      </w:r>
      <w:r w:rsidRPr="00AA22C4">
        <w:rPr>
          <w:rFonts w:ascii="Lato" w:hAnsi="Lato"/>
          <w:bCs/>
          <w:color w:val="000000" w:themeColor="text1"/>
          <w:kern w:val="1"/>
          <w:sz w:val="22"/>
          <w:szCs w:val="22"/>
          <w:lang w:eastAsia="ar-SA"/>
        </w:rPr>
        <w:t>(LCHAD)</w:t>
      </w:r>
      <w:r w:rsidRPr="00AA22C4">
        <w:rPr>
          <w:rFonts w:ascii="Lato" w:hAnsi="Lato"/>
          <w:color w:val="000000" w:themeColor="text1"/>
          <w:kern w:val="1"/>
          <w:sz w:val="22"/>
          <w:szCs w:val="22"/>
          <w:lang w:eastAsia="ar-SA"/>
        </w:rPr>
        <w:t xml:space="preserve"> i </w:t>
      </w:r>
      <w:proofErr w:type="spellStart"/>
      <w:r w:rsidRPr="00AA22C4">
        <w:rPr>
          <w:rFonts w:ascii="Lato" w:hAnsi="Lato"/>
          <w:color w:val="000000" w:themeColor="text1"/>
          <w:kern w:val="1"/>
          <w:sz w:val="22"/>
          <w:szCs w:val="22"/>
          <w:lang w:eastAsia="ar-SA"/>
        </w:rPr>
        <w:t>oksotiolazy</w:t>
      </w:r>
      <w:proofErr w:type="spellEnd"/>
      <w:r w:rsidRPr="00AA22C4">
        <w:rPr>
          <w:rFonts w:ascii="Lato" w:hAnsi="Lato"/>
          <w:color w:val="000000" w:themeColor="text1"/>
          <w:kern w:val="1"/>
          <w:sz w:val="22"/>
          <w:szCs w:val="22"/>
          <w:lang w:eastAsia="ar-SA"/>
        </w:rPr>
        <w:t xml:space="preserve"> (LCKAT). U większości pacjentów funkcja LCHAD jest pierwotnie uszkodzona (powszechna mutacja E510Q, gen HADHA). W populacji polskiej najczęściej występuje deficyt LCHAD – średnia częstość występowania w Polsce ok. 1:118 000 urodzeń, a w regionie kaszubskim – ok. 1:17 000 urodzeń.</w:t>
      </w:r>
    </w:p>
    <w:p w14:paraId="154D7C3B"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 xml:space="preserve">Objawy: </w:t>
      </w:r>
    </w:p>
    <w:p w14:paraId="58A39496" w14:textId="77777777" w:rsidR="005E347E" w:rsidRPr="00AA22C4" w:rsidRDefault="005E347E" w:rsidP="005E347E">
      <w:pPr>
        <w:suppressAutoHyphens/>
        <w:spacing w:before="120" w:after="120"/>
        <w:jc w:val="both"/>
        <w:rPr>
          <w:rFonts w:ascii="Lato" w:hAnsi="Lato"/>
          <w:b/>
          <w:bCs/>
          <w:color w:val="000000" w:themeColor="text1"/>
          <w:kern w:val="1"/>
          <w:sz w:val="22"/>
          <w:szCs w:val="22"/>
          <w:lang w:eastAsia="ar-SA"/>
        </w:rPr>
      </w:pPr>
      <w:proofErr w:type="spellStart"/>
      <w:r w:rsidRPr="00AA22C4">
        <w:rPr>
          <w:rFonts w:ascii="Lato" w:hAnsi="Lato"/>
          <w:color w:val="000000" w:themeColor="text1"/>
          <w:kern w:val="1"/>
          <w:sz w:val="22"/>
          <w:szCs w:val="22"/>
          <w:lang w:eastAsia="ar-SA"/>
        </w:rPr>
        <w:t>Kardiomiopatia</w:t>
      </w:r>
      <w:proofErr w:type="spellEnd"/>
      <w:r w:rsidRPr="00AA22C4">
        <w:rPr>
          <w:rFonts w:ascii="Lato" w:hAnsi="Lato"/>
          <w:color w:val="000000" w:themeColor="text1"/>
          <w:kern w:val="1"/>
          <w:sz w:val="22"/>
          <w:szCs w:val="22"/>
          <w:lang w:eastAsia="ar-SA"/>
        </w:rPr>
        <w:t xml:space="preserve">, uszkodzenie wątroby, hipotonia mięśniowa, neuropatia, retinopatia; </w:t>
      </w:r>
      <w:r w:rsidRPr="00AA22C4">
        <w:rPr>
          <w:rFonts w:ascii="Lato" w:hAnsi="Lato"/>
          <w:color w:val="000000" w:themeColor="text1"/>
          <w:kern w:val="1"/>
          <w:sz w:val="22"/>
          <w:szCs w:val="22"/>
          <w:lang w:eastAsia="ar-SA"/>
        </w:rPr>
        <w:lastRenderedPageBreak/>
        <w:t xml:space="preserve">nawracająca </w:t>
      </w:r>
      <w:proofErr w:type="spellStart"/>
      <w:r w:rsidRPr="00AA22C4">
        <w:rPr>
          <w:rFonts w:ascii="Lato" w:hAnsi="Lato"/>
          <w:color w:val="000000" w:themeColor="text1"/>
          <w:kern w:val="1"/>
          <w:sz w:val="22"/>
          <w:szCs w:val="22"/>
          <w:lang w:eastAsia="ar-SA"/>
        </w:rPr>
        <w:t>rabdomioliza</w:t>
      </w:r>
      <w:proofErr w:type="spellEnd"/>
      <w:r w:rsidRPr="00AA22C4">
        <w:rPr>
          <w:rFonts w:ascii="Lato" w:hAnsi="Lato"/>
          <w:color w:val="000000" w:themeColor="text1"/>
          <w:kern w:val="1"/>
          <w:sz w:val="22"/>
          <w:szCs w:val="22"/>
          <w:lang w:eastAsia="ar-SA"/>
        </w:rPr>
        <w:t xml:space="preserve"> o późnym początku; matki płodów z defektem mogą rozwijać w czasie ciąży </w:t>
      </w:r>
      <w:r w:rsidRPr="00AA22C4">
        <w:rPr>
          <w:rFonts w:ascii="Lato" w:hAnsi="Lato"/>
          <w:bCs/>
          <w:color w:val="000000" w:themeColor="text1"/>
          <w:kern w:val="1"/>
          <w:sz w:val="22"/>
          <w:szCs w:val="22"/>
          <w:lang w:eastAsia="ar-SA"/>
        </w:rPr>
        <w:t>zespół HELLP lub AFLP (7,8,9,10).</w:t>
      </w:r>
    </w:p>
    <w:p w14:paraId="16881E54"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Diagnostyka:</w:t>
      </w:r>
    </w:p>
    <w:p w14:paraId="7F003C33" w14:textId="77777777" w:rsidR="005E347E" w:rsidRPr="00AA22C4" w:rsidRDefault="005E347E" w:rsidP="005E347E">
      <w:pPr>
        <w:pStyle w:val="Akapitzlist"/>
        <w:numPr>
          <w:ilvl w:val="0"/>
          <w:numId w:val="50"/>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we krwi na bibule przesiewowej metodą MS/MS: </w:t>
      </w:r>
      <w:proofErr w:type="spellStart"/>
      <w:r w:rsidRPr="00AA22C4">
        <w:rPr>
          <w:rFonts w:ascii="Lato" w:hAnsi="Lato"/>
          <w:color w:val="000000" w:themeColor="text1"/>
          <w:sz w:val="22"/>
          <w:szCs w:val="22"/>
        </w:rPr>
        <w:t>Acylokarnityny</w:t>
      </w:r>
      <w:proofErr w:type="spellEnd"/>
      <w:r w:rsidRPr="00AA22C4">
        <w:rPr>
          <w:rFonts w:ascii="Lato" w:hAnsi="Lato"/>
          <w:color w:val="000000" w:themeColor="text1"/>
          <w:sz w:val="22"/>
          <w:szCs w:val="22"/>
        </w:rPr>
        <w:t xml:space="preserve">: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Hydroksypochodne</w:t>
      </w:r>
      <w:proofErr w:type="spellEnd"/>
      <w:r w:rsidRPr="00AA22C4">
        <w:rPr>
          <w:rFonts w:ascii="Lato" w:hAnsi="Lato"/>
          <w:color w:val="000000" w:themeColor="text1"/>
          <w:sz w:val="22"/>
          <w:szCs w:val="22"/>
        </w:rPr>
        <w:t xml:space="preserve"> C14-OH, C16-OH, C18-OH, C18:1-OH;</w:t>
      </w:r>
    </w:p>
    <w:p w14:paraId="47127FDD" w14:textId="77777777" w:rsidR="005E347E" w:rsidRPr="00AA22C4" w:rsidRDefault="005E347E" w:rsidP="005E347E">
      <w:pPr>
        <w:pStyle w:val="Akapitzlist"/>
        <w:numPr>
          <w:ilvl w:val="0"/>
          <w:numId w:val="50"/>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w moczu analiza kwasów organicznych metodą GC/MS: kwasy (</w:t>
      </w:r>
      <w:proofErr w:type="spellStart"/>
      <w:r w:rsidRPr="00AA22C4">
        <w:rPr>
          <w:rFonts w:ascii="Lato" w:hAnsi="Lato"/>
          <w:color w:val="000000" w:themeColor="text1"/>
          <w:sz w:val="22"/>
          <w:szCs w:val="22"/>
        </w:rPr>
        <w:t>hydroksy</w:t>
      </w:r>
      <w:proofErr w:type="spellEnd"/>
      <w:r w:rsidRPr="00AA22C4">
        <w:rPr>
          <w:rFonts w:ascii="Lato" w:hAnsi="Lato"/>
          <w:color w:val="000000" w:themeColor="text1"/>
          <w:sz w:val="22"/>
          <w:szCs w:val="22"/>
        </w:rPr>
        <w:t>-) dwukarboksylowe C6-C14;</w:t>
      </w:r>
    </w:p>
    <w:p w14:paraId="2BC02D8F" w14:textId="77777777" w:rsidR="005E347E" w:rsidRPr="00AA22C4" w:rsidRDefault="005E347E" w:rsidP="005E347E">
      <w:pPr>
        <w:pStyle w:val="Akapitzlist"/>
        <w:numPr>
          <w:ilvl w:val="0"/>
          <w:numId w:val="50"/>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badania molekularne: analiza genu </w:t>
      </w:r>
      <w:r w:rsidRPr="00AA22C4">
        <w:rPr>
          <w:rFonts w:ascii="Lato" w:hAnsi="Lato"/>
          <w:i/>
          <w:color w:val="000000" w:themeColor="text1"/>
          <w:sz w:val="22"/>
          <w:szCs w:val="22"/>
        </w:rPr>
        <w:t>HADHA</w:t>
      </w:r>
      <w:r w:rsidRPr="00AA22C4">
        <w:rPr>
          <w:rFonts w:ascii="Lato" w:hAnsi="Lato"/>
          <w:color w:val="000000" w:themeColor="text1"/>
          <w:sz w:val="22"/>
          <w:szCs w:val="22"/>
        </w:rPr>
        <w:t xml:space="preserve"> (koduje podjednostkę mitochondrialnego trójfunkcyjnego kompleksu białkowego o aktywności dehydrogenazy 3-hydroksyacylo-CoA długołańcuchowych kwasów tłuszczowych).  Mutacja c.1528G&gt;C w obrębie </w:t>
      </w:r>
      <w:proofErr w:type="spellStart"/>
      <w:r w:rsidRPr="00AA22C4">
        <w:rPr>
          <w:rFonts w:ascii="Lato" w:hAnsi="Lato"/>
          <w:color w:val="000000" w:themeColor="text1"/>
          <w:sz w:val="22"/>
          <w:szCs w:val="22"/>
        </w:rPr>
        <w:t>eksonu</w:t>
      </w:r>
      <w:proofErr w:type="spellEnd"/>
      <w:r w:rsidRPr="00AA22C4">
        <w:rPr>
          <w:rFonts w:ascii="Lato" w:hAnsi="Lato"/>
          <w:color w:val="000000" w:themeColor="text1"/>
          <w:sz w:val="22"/>
          <w:szCs w:val="22"/>
        </w:rPr>
        <w:t xml:space="preserve"> 15 genu </w:t>
      </w:r>
      <w:r w:rsidRPr="00AA22C4">
        <w:rPr>
          <w:rFonts w:ascii="Lato" w:hAnsi="Lato"/>
          <w:i/>
          <w:iCs/>
          <w:color w:val="000000" w:themeColor="text1"/>
          <w:sz w:val="22"/>
          <w:szCs w:val="22"/>
        </w:rPr>
        <w:t>HADHA</w:t>
      </w:r>
      <w:r w:rsidRPr="00AA22C4">
        <w:rPr>
          <w:rFonts w:ascii="Lato" w:hAnsi="Lato"/>
          <w:color w:val="000000" w:themeColor="text1"/>
          <w:sz w:val="22"/>
          <w:szCs w:val="22"/>
        </w:rPr>
        <w:t xml:space="preserve"> prowadząca do zmiany aminokwasowej </w:t>
      </w:r>
      <w:proofErr w:type="gramStart"/>
      <w:r w:rsidRPr="00AA22C4">
        <w:rPr>
          <w:rFonts w:ascii="Lato" w:hAnsi="Lato"/>
          <w:color w:val="000000" w:themeColor="text1"/>
          <w:sz w:val="22"/>
          <w:szCs w:val="22"/>
        </w:rPr>
        <w:t>p.Glu</w:t>
      </w:r>
      <w:proofErr w:type="gramEnd"/>
      <w:r w:rsidRPr="00AA22C4">
        <w:rPr>
          <w:rFonts w:ascii="Lato" w:hAnsi="Lato"/>
          <w:color w:val="000000" w:themeColor="text1"/>
          <w:sz w:val="22"/>
          <w:szCs w:val="22"/>
        </w:rPr>
        <w:t xml:space="preserve">510Gln  jest identyfikowana nawet w 88% alleli pacjentów z deficytem LCHAD. </w:t>
      </w:r>
    </w:p>
    <w:p w14:paraId="06A08C7D"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u w:val="single"/>
          <w:lang w:eastAsia="ar-SA"/>
        </w:rPr>
        <w:t>Leczenie:</w:t>
      </w:r>
    </w:p>
    <w:p w14:paraId="583A3A1A"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Dieta ze znacznym ograniczeniem długołańcuchowych kwasów tłuszczowych na rzecz średnio-łańcuchowych kwasów tłuszczowych. Dodatkowo podawanie karnityny w ramach programu lekowego „Leczenie uzupełniające L-karnityną w wybranych chorobach metabolicznych”.</w:t>
      </w:r>
    </w:p>
    <w:p w14:paraId="4CD3D51B" w14:textId="77777777" w:rsidR="005E347E" w:rsidRPr="00AA22C4" w:rsidRDefault="005E347E" w:rsidP="00D23264">
      <w:pPr>
        <w:pStyle w:val="Akapitzlist"/>
        <w:numPr>
          <w:ilvl w:val="0"/>
          <w:numId w:val="82"/>
        </w:numPr>
        <w:spacing w:before="360" w:after="120"/>
        <w:ind w:left="1077" w:hanging="357"/>
        <w:jc w:val="both"/>
        <w:rPr>
          <w:rFonts w:ascii="Lato" w:hAnsi="Lato"/>
          <w:b/>
          <w:bCs/>
          <w:color w:val="000000" w:themeColor="text1"/>
          <w:sz w:val="22"/>
          <w:szCs w:val="22"/>
        </w:rPr>
      </w:pPr>
      <w:r w:rsidRPr="00AA22C4">
        <w:rPr>
          <w:rFonts w:ascii="Lato" w:hAnsi="Lato"/>
          <w:b/>
          <w:bCs/>
          <w:color w:val="000000" w:themeColor="text1"/>
          <w:sz w:val="22"/>
          <w:szCs w:val="22"/>
        </w:rPr>
        <w:t>Deficyt mitochondrialnego białka trójfunkcyjnego – MTP</w:t>
      </w:r>
    </w:p>
    <w:p w14:paraId="75A34898" w14:textId="77777777" w:rsidR="005E347E" w:rsidRPr="00AA22C4" w:rsidRDefault="005E347E" w:rsidP="005E347E">
      <w:pPr>
        <w:spacing w:before="120" w:after="120"/>
        <w:jc w:val="both"/>
        <w:rPr>
          <w:rFonts w:ascii="Lato" w:hAnsi="Lato"/>
          <w:color w:val="000000" w:themeColor="text1"/>
          <w:sz w:val="22"/>
          <w:szCs w:val="22"/>
          <w:u w:val="single"/>
        </w:rPr>
      </w:pPr>
      <w:r w:rsidRPr="00AA22C4">
        <w:rPr>
          <w:rFonts w:ascii="Lato" w:hAnsi="Lato"/>
          <w:color w:val="000000" w:themeColor="text1"/>
          <w:sz w:val="22"/>
          <w:szCs w:val="22"/>
          <w:u w:val="single"/>
        </w:rPr>
        <w:t>Opis:</w:t>
      </w:r>
    </w:p>
    <w:p w14:paraId="1424DC9E" w14:textId="77777777" w:rsidR="005E347E" w:rsidRPr="00AA22C4" w:rsidRDefault="005E347E" w:rsidP="005E347E">
      <w:pPr>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Deficyt białka trójfunkcyjnego jest spowodowany jednoczesnym brakiem aktywności 3 enzymów: </w:t>
      </w:r>
      <w:proofErr w:type="spellStart"/>
      <w:r w:rsidRPr="00AA22C4">
        <w:rPr>
          <w:rFonts w:ascii="Lato" w:hAnsi="Lato"/>
          <w:color w:val="000000" w:themeColor="text1"/>
          <w:kern w:val="1"/>
          <w:sz w:val="22"/>
          <w:szCs w:val="22"/>
          <w:lang w:eastAsia="ar-SA"/>
        </w:rPr>
        <w:t>hydratazy</w:t>
      </w:r>
      <w:proofErr w:type="spellEnd"/>
      <w:r w:rsidRPr="00AA22C4">
        <w:rPr>
          <w:rFonts w:ascii="Lato" w:hAnsi="Lato"/>
          <w:color w:val="000000" w:themeColor="text1"/>
          <w:kern w:val="1"/>
          <w:sz w:val="22"/>
          <w:szCs w:val="22"/>
          <w:lang w:eastAsia="ar-SA"/>
        </w:rPr>
        <w:t xml:space="preserve"> (LCEH), dehydrogenazy</w:t>
      </w:r>
      <w:r w:rsidRPr="00AA22C4">
        <w:rPr>
          <w:rFonts w:ascii="Lato" w:hAnsi="Lato"/>
          <w:b/>
          <w:bCs/>
          <w:color w:val="000000" w:themeColor="text1"/>
          <w:kern w:val="1"/>
          <w:sz w:val="22"/>
          <w:szCs w:val="22"/>
          <w:lang w:eastAsia="ar-SA"/>
        </w:rPr>
        <w:t xml:space="preserve"> </w:t>
      </w:r>
      <w:r w:rsidRPr="00AA22C4">
        <w:rPr>
          <w:rFonts w:ascii="Lato" w:hAnsi="Lato"/>
          <w:bCs/>
          <w:color w:val="000000" w:themeColor="text1"/>
          <w:kern w:val="1"/>
          <w:sz w:val="22"/>
          <w:szCs w:val="22"/>
          <w:lang w:eastAsia="ar-SA"/>
        </w:rPr>
        <w:t>(LCHAD)</w:t>
      </w:r>
      <w:r w:rsidRPr="00AA22C4">
        <w:rPr>
          <w:rFonts w:ascii="Lato" w:hAnsi="Lato"/>
          <w:color w:val="000000" w:themeColor="text1"/>
          <w:kern w:val="1"/>
          <w:sz w:val="22"/>
          <w:szCs w:val="22"/>
          <w:lang w:eastAsia="ar-SA"/>
        </w:rPr>
        <w:t xml:space="preserve"> i </w:t>
      </w:r>
      <w:proofErr w:type="spellStart"/>
      <w:r w:rsidRPr="00AA22C4">
        <w:rPr>
          <w:rFonts w:ascii="Lato" w:hAnsi="Lato"/>
          <w:color w:val="000000" w:themeColor="text1"/>
          <w:kern w:val="1"/>
          <w:sz w:val="22"/>
          <w:szCs w:val="22"/>
          <w:lang w:eastAsia="ar-SA"/>
        </w:rPr>
        <w:t>oksotiolazy</w:t>
      </w:r>
      <w:proofErr w:type="spellEnd"/>
      <w:r w:rsidRPr="00AA22C4">
        <w:rPr>
          <w:rFonts w:ascii="Lato" w:hAnsi="Lato"/>
          <w:color w:val="000000" w:themeColor="text1"/>
          <w:kern w:val="1"/>
          <w:sz w:val="22"/>
          <w:szCs w:val="22"/>
          <w:lang w:eastAsia="ar-SA"/>
        </w:rPr>
        <w:t xml:space="preserve"> (LCKAT).</w:t>
      </w:r>
    </w:p>
    <w:p w14:paraId="6530545D" w14:textId="77777777" w:rsidR="005E347E" w:rsidRPr="00AA22C4" w:rsidRDefault="005E347E" w:rsidP="005E347E">
      <w:pPr>
        <w:spacing w:before="120" w:after="120"/>
        <w:jc w:val="both"/>
        <w:rPr>
          <w:rFonts w:ascii="Lato" w:hAnsi="Lato"/>
          <w:color w:val="000000" w:themeColor="text1"/>
          <w:sz w:val="22"/>
          <w:szCs w:val="22"/>
          <w:u w:val="single"/>
        </w:rPr>
      </w:pPr>
      <w:r w:rsidRPr="00AA22C4">
        <w:rPr>
          <w:rFonts w:ascii="Lato" w:hAnsi="Lato"/>
          <w:color w:val="000000" w:themeColor="text1"/>
          <w:sz w:val="22"/>
          <w:szCs w:val="22"/>
          <w:u w:val="single"/>
        </w:rPr>
        <w:t xml:space="preserve">Objawy: </w:t>
      </w:r>
    </w:p>
    <w:p w14:paraId="0A21721E" w14:textId="143CF209" w:rsidR="005E347E" w:rsidRPr="00AA22C4" w:rsidRDefault="005E347E" w:rsidP="005E347E">
      <w:pPr>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Wyróżniamy 3 grupy fenotypowe: </w:t>
      </w:r>
      <w:proofErr w:type="spellStart"/>
      <w:r w:rsidRPr="00AA22C4">
        <w:rPr>
          <w:rFonts w:ascii="Lato" w:hAnsi="Lato"/>
          <w:color w:val="000000" w:themeColor="text1"/>
          <w:sz w:val="22"/>
          <w:szCs w:val="22"/>
        </w:rPr>
        <w:t>kardiomiopatię</w:t>
      </w:r>
      <w:proofErr w:type="spellEnd"/>
      <w:r w:rsidRPr="00AA22C4">
        <w:rPr>
          <w:rFonts w:ascii="Lato" w:hAnsi="Lato"/>
          <w:color w:val="000000" w:themeColor="text1"/>
          <w:sz w:val="22"/>
          <w:szCs w:val="22"/>
        </w:rPr>
        <w:t xml:space="preserve"> o wczesnym początku związaną z wczesną śmiercią, postać pośrednią z nawracającą hipoglikemią </w:t>
      </w:r>
      <w:proofErr w:type="spellStart"/>
      <w:r w:rsidRPr="00AA22C4">
        <w:rPr>
          <w:rFonts w:ascii="Lato" w:hAnsi="Lato"/>
          <w:color w:val="000000" w:themeColor="text1"/>
          <w:sz w:val="22"/>
          <w:szCs w:val="22"/>
        </w:rPr>
        <w:t>hipoketotyczną</w:t>
      </w:r>
      <w:proofErr w:type="spellEnd"/>
      <w:r w:rsidRPr="00AA22C4">
        <w:rPr>
          <w:rFonts w:ascii="Lato" w:hAnsi="Lato"/>
          <w:color w:val="000000" w:themeColor="text1"/>
          <w:sz w:val="22"/>
          <w:szCs w:val="22"/>
        </w:rPr>
        <w:t xml:space="preserve"> oraz neuropatię czuciowo-ruchową z epizodyczną </w:t>
      </w:r>
      <w:proofErr w:type="spellStart"/>
      <w:r w:rsidRPr="00AA22C4">
        <w:rPr>
          <w:rFonts w:ascii="Lato" w:hAnsi="Lato"/>
          <w:color w:val="000000" w:themeColor="text1"/>
          <w:sz w:val="22"/>
          <w:szCs w:val="22"/>
        </w:rPr>
        <w:t>rabdomiolizą</w:t>
      </w:r>
      <w:proofErr w:type="spellEnd"/>
      <w:r w:rsidRPr="00AA22C4">
        <w:rPr>
          <w:rFonts w:ascii="Lato" w:hAnsi="Lato"/>
          <w:color w:val="000000" w:themeColor="text1"/>
          <w:sz w:val="22"/>
          <w:szCs w:val="22"/>
        </w:rPr>
        <w:t xml:space="preserve"> i niedoczynnością przytarczyc. Nasilenie objawów choroby jest powiązane ze stopniem niedoboru enzymu MTP. Najczęściej obserwowaną </w:t>
      </w:r>
      <w:proofErr w:type="spellStart"/>
      <w:r w:rsidRPr="00AA22C4">
        <w:rPr>
          <w:rFonts w:ascii="Lato" w:hAnsi="Lato"/>
          <w:color w:val="000000" w:themeColor="text1"/>
          <w:sz w:val="22"/>
          <w:szCs w:val="22"/>
        </w:rPr>
        <w:t>kardiomiopatią</w:t>
      </w:r>
      <w:proofErr w:type="spellEnd"/>
      <w:r w:rsidRPr="00AA22C4">
        <w:rPr>
          <w:rFonts w:ascii="Lato" w:hAnsi="Lato"/>
          <w:color w:val="000000" w:themeColor="text1"/>
          <w:sz w:val="22"/>
          <w:szCs w:val="22"/>
        </w:rPr>
        <w:t xml:space="preserve"> była </w:t>
      </w:r>
      <w:proofErr w:type="spellStart"/>
      <w:r w:rsidRPr="00AA22C4">
        <w:rPr>
          <w:rFonts w:ascii="Lato" w:hAnsi="Lato"/>
          <w:color w:val="000000" w:themeColor="text1"/>
          <w:sz w:val="22"/>
          <w:szCs w:val="22"/>
        </w:rPr>
        <w:t>kardiomiopatia</w:t>
      </w:r>
      <w:proofErr w:type="spellEnd"/>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rozstrzeniowa</w:t>
      </w:r>
      <w:proofErr w:type="spellEnd"/>
      <w:r w:rsidRPr="00AA22C4">
        <w:rPr>
          <w:rFonts w:ascii="Lato" w:hAnsi="Lato"/>
          <w:color w:val="000000" w:themeColor="text1"/>
          <w:sz w:val="22"/>
          <w:szCs w:val="22"/>
        </w:rPr>
        <w:t xml:space="preserve">, która mogła rozwijać się przez całe życie. Jednakże najcięższą postacią </w:t>
      </w:r>
      <w:proofErr w:type="spellStart"/>
      <w:r w:rsidRPr="00AA22C4">
        <w:rPr>
          <w:rFonts w:ascii="Lato" w:hAnsi="Lato"/>
          <w:color w:val="000000" w:themeColor="text1"/>
          <w:sz w:val="22"/>
          <w:szCs w:val="22"/>
        </w:rPr>
        <w:t>kardiomiopatii</w:t>
      </w:r>
      <w:proofErr w:type="spellEnd"/>
      <w:r w:rsidRPr="00AA22C4">
        <w:rPr>
          <w:rFonts w:ascii="Lato" w:hAnsi="Lato"/>
          <w:color w:val="000000" w:themeColor="text1"/>
          <w:sz w:val="22"/>
          <w:szCs w:val="22"/>
        </w:rPr>
        <w:t xml:space="preserve"> była szybko postępująca </w:t>
      </w:r>
      <w:proofErr w:type="spellStart"/>
      <w:r w:rsidRPr="00AA22C4">
        <w:rPr>
          <w:rFonts w:ascii="Lato" w:hAnsi="Lato"/>
          <w:color w:val="000000" w:themeColor="text1"/>
          <w:sz w:val="22"/>
          <w:szCs w:val="22"/>
        </w:rPr>
        <w:t>kardiomiopatia</w:t>
      </w:r>
      <w:proofErr w:type="spellEnd"/>
      <w:r w:rsidRPr="00AA22C4">
        <w:rPr>
          <w:rFonts w:ascii="Lato" w:hAnsi="Lato"/>
          <w:color w:val="000000" w:themeColor="text1"/>
          <w:sz w:val="22"/>
          <w:szCs w:val="22"/>
        </w:rPr>
        <w:t xml:space="preserve"> noworodkowa, występująca w wieku około 3</w:t>
      </w:r>
      <w:proofErr w:type="gramStart"/>
      <w:r w:rsidR="000518C7" w:rsidRPr="00AA22C4">
        <w:rPr>
          <w:rFonts w:ascii="Lato" w:hAnsi="Lato"/>
          <w:color w:val="000000" w:themeColor="text1"/>
          <w:sz w:val="22"/>
          <w:szCs w:val="22"/>
        </w:rPr>
        <w:t>m.ż.</w:t>
      </w:r>
      <w:r w:rsidRPr="00AA22C4">
        <w:rPr>
          <w:rFonts w:ascii="Lato" w:hAnsi="Lato"/>
          <w:color w:val="000000" w:themeColor="text1"/>
          <w:sz w:val="22"/>
          <w:szCs w:val="22"/>
        </w:rPr>
        <w:t>.</w:t>
      </w:r>
      <w:proofErr w:type="gramEnd"/>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Rabdomioliza</w:t>
      </w:r>
      <w:proofErr w:type="spellEnd"/>
      <w:r w:rsidRPr="00AA22C4">
        <w:rPr>
          <w:rFonts w:ascii="Lato" w:hAnsi="Lato"/>
          <w:color w:val="000000" w:themeColor="text1"/>
          <w:sz w:val="22"/>
          <w:szCs w:val="22"/>
        </w:rPr>
        <w:t xml:space="preserve"> w niedoborze MTP była zwykle spowodowana przedłużoną aktywnością, narażeniem na zimno lub infekcją. </w:t>
      </w:r>
    </w:p>
    <w:p w14:paraId="4023A5D1" w14:textId="77777777" w:rsidR="005E347E" w:rsidRPr="00AA22C4" w:rsidRDefault="005E347E" w:rsidP="005E347E">
      <w:pPr>
        <w:spacing w:before="120" w:after="120"/>
        <w:jc w:val="both"/>
        <w:rPr>
          <w:rFonts w:ascii="Lato" w:hAnsi="Lato"/>
          <w:color w:val="000000" w:themeColor="text1"/>
          <w:sz w:val="22"/>
          <w:szCs w:val="22"/>
          <w:u w:val="single"/>
        </w:rPr>
      </w:pPr>
      <w:r w:rsidRPr="00AA22C4">
        <w:rPr>
          <w:rFonts w:ascii="Lato" w:hAnsi="Lato"/>
          <w:color w:val="000000" w:themeColor="text1"/>
          <w:sz w:val="22"/>
          <w:szCs w:val="22"/>
          <w:u w:val="single"/>
        </w:rPr>
        <w:t>Diagnostyka:</w:t>
      </w:r>
    </w:p>
    <w:p w14:paraId="329D1041" w14:textId="7BC32C8B" w:rsidR="005E347E" w:rsidRPr="00AA22C4" w:rsidRDefault="005E347E" w:rsidP="005E347E">
      <w:pPr>
        <w:pStyle w:val="Akapitzlist"/>
        <w:numPr>
          <w:ilvl w:val="0"/>
          <w:numId w:val="80"/>
        </w:numPr>
        <w:spacing w:before="120" w:after="120" w:line="360" w:lineRule="auto"/>
        <w:jc w:val="both"/>
        <w:rPr>
          <w:rFonts w:ascii="Lato" w:hAnsi="Lato"/>
          <w:color w:val="000000" w:themeColor="text1"/>
          <w:sz w:val="22"/>
          <w:szCs w:val="22"/>
        </w:rPr>
      </w:pPr>
      <w:r w:rsidRPr="00AA22C4">
        <w:rPr>
          <w:rFonts w:ascii="Lato" w:hAnsi="Lato"/>
          <w:color w:val="000000" w:themeColor="text1"/>
          <w:sz w:val="22"/>
          <w:szCs w:val="22"/>
        </w:rPr>
        <w:t xml:space="preserve">oznaczenie krwi na bibule przesiewowej metodą MS/MS: </w:t>
      </w:r>
      <w:proofErr w:type="spellStart"/>
      <w:proofErr w:type="gramStart"/>
      <w:r w:rsidRPr="00AA22C4">
        <w:rPr>
          <w:rFonts w:ascii="Lato" w:hAnsi="Lato"/>
          <w:color w:val="000000" w:themeColor="text1"/>
          <w:sz w:val="22"/>
          <w:szCs w:val="22"/>
        </w:rPr>
        <w:t>Acylokarnityny</w:t>
      </w:r>
      <w:proofErr w:type="spellEnd"/>
      <w:r w:rsidRPr="00AA22C4">
        <w:rPr>
          <w:rFonts w:ascii="Lato" w:hAnsi="Lato"/>
          <w:color w:val="000000" w:themeColor="text1"/>
          <w:sz w:val="22"/>
          <w:szCs w:val="22"/>
        </w:rPr>
        <w:t>:</w:t>
      </w:r>
      <w:r w:rsidRPr="00AA22C4">
        <w:rPr>
          <w:rFonts w:ascii="Arial" w:hAnsi="Arial" w:cs="Arial"/>
          <w:color w:val="000000" w:themeColor="text1"/>
          <w:sz w:val="22"/>
          <w:szCs w:val="22"/>
        </w:rPr>
        <w:t>↑</w:t>
      </w:r>
      <w:proofErr w:type="gramEnd"/>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Hydroksypochodne</w:t>
      </w:r>
      <w:proofErr w:type="spellEnd"/>
      <w:r w:rsidRPr="00AA22C4">
        <w:rPr>
          <w:rFonts w:ascii="Lato" w:hAnsi="Lato"/>
          <w:color w:val="000000" w:themeColor="text1"/>
          <w:sz w:val="22"/>
          <w:szCs w:val="22"/>
        </w:rPr>
        <w:t xml:space="preserve"> C14-OH, C16-OH, C18-OH, C18:1-OH- obraz podobny do deficytu </w:t>
      </w:r>
      <w:r w:rsidRPr="00AA22C4">
        <w:rPr>
          <w:rFonts w:ascii="Lato" w:hAnsi="Lato"/>
          <w:color w:val="000000" w:themeColor="text1"/>
          <w:sz w:val="22"/>
          <w:szCs w:val="22"/>
        </w:rPr>
        <w:lastRenderedPageBreak/>
        <w:t>LCHAD</w:t>
      </w:r>
      <w:r w:rsidR="00BA6907" w:rsidRPr="00AA22C4">
        <w:rPr>
          <w:rFonts w:ascii="Lato" w:hAnsi="Lato"/>
          <w:color w:val="000000" w:themeColor="text1"/>
          <w:sz w:val="22"/>
          <w:szCs w:val="22"/>
        </w:rPr>
        <w:t>;</w:t>
      </w:r>
    </w:p>
    <w:p w14:paraId="4E855279" w14:textId="6CF75B20" w:rsidR="005E347E" w:rsidRPr="00AA22C4" w:rsidRDefault="005E347E" w:rsidP="005E347E">
      <w:pPr>
        <w:pStyle w:val="Akapitzlist"/>
        <w:numPr>
          <w:ilvl w:val="0"/>
          <w:numId w:val="80"/>
        </w:numPr>
        <w:spacing w:before="120" w:after="120"/>
        <w:jc w:val="both"/>
        <w:rPr>
          <w:rFonts w:ascii="Lato" w:hAnsi="Lato"/>
          <w:color w:val="000000" w:themeColor="text1"/>
          <w:sz w:val="22"/>
          <w:szCs w:val="22"/>
        </w:rPr>
      </w:pPr>
      <w:r w:rsidRPr="00AA22C4">
        <w:rPr>
          <w:rFonts w:ascii="Lato" w:hAnsi="Lato"/>
          <w:color w:val="000000" w:themeColor="text1"/>
          <w:sz w:val="22"/>
          <w:szCs w:val="22"/>
        </w:rPr>
        <w:t>oznaczenie aktywności enzymatycznej w fibroblastach- nie jest wykonywane w Polsce oraz badanie molekularne</w:t>
      </w:r>
      <w:r w:rsidR="006B6C3B" w:rsidRPr="00AA22C4">
        <w:rPr>
          <w:rFonts w:ascii="Lato" w:hAnsi="Lato"/>
          <w:color w:val="000000" w:themeColor="text1"/>
          <w:sz w:val="22"/>
          <w:szCs w:val="22"/>
        </w:rPr>
        <w:t>.</w:t>
      </w:r>
    </w:p>
    <w:p w14:paraId="30BF282B"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u w:val="single"/>
          <w:lang w:eastAsia="ar-SA"/>
        </w:rPr>
        <w:t>Leczenie:</w:t>
      </w:r>
    </w:p>
    <w:p w14:paraId="3074C0F4" w14:textId="77777777" w:rsidR="005E347E" w:rsidRPr="00AA22C4" w:rsidRDefault="005E347E" w:rsidP="005E347E">
      <w:pPr>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przestrzeganie diety niskotłuszczowej z ograniczeniem spożywania długołańcuchowych kwasów tłuszczowych i ich zastąpienie </w:t>
      </w:r>
      <w:proofErr w:type="spellStart"/>
      <w:r w:rsidRPr="00AA22C4">
        <w:rPr>
          <w:rFonts w:ascii="Lato" w:hAnsi="Lato"/>
          <w:color w:val="000000" w:themeColor="text1"/>
          <w:sz w:val="22"/>
          <w:szCs w:val="22"/>
        </w:rPr>
        <w:t>średniołańcuchowymi</w:t>
      </w:r>
      <w:proofErr w:type="spellEnd"/>
      <w:r w:rsidRPr="00AA22C4">
        <w:rPr>
          <w:rFonts w:ascii="Lato" w:hAnsi="Lato"/>
          <w:color w:val="000000" w:themeColor="text1"/>
          <w:sz w:val="22"/>
          <w:szCs w:val="22"/>
        </w:rPr>
        <w:t xml:space="preserve"> kwasami tłuszczowymi. Unikanie okresów przebywania na czczo (głodówki) i narażenia na ciężki wysiłek fizyczny.</w:t>
      </w:r>
    </w:p>
    <w:p w14:paraId="0A1B277C" w14:textId="77777777" w:rsidR="005E347E" w:rsidRPr="00AA22C4" w:rsidRDefault="005E347E" w:rsidP="00D23264">
      <w:pPr>
        <w:pStyle w:val="Akapitzlist"/>
        <w:numPr>
          <w:ilvl w:val="0"/>
          <w:numId w:val="82"/>
        </w:numPr>
        <w:spacing w:before="360" w:after="120"/>
        <w:ind w:left="1077" w:hanging="357"/>
        <w:jc w:val="both"/>
        <w:rPr>
          <w:rFonts w:ascii="Lato" w:hAnsi="Lato"/>
          <w:b/>
          <w:bCs/>
          <w:color w:val="000000" w:themeColor="text1"/>
          <w:sz w:val="22"/>
          <w:szCs w:val="22"/>
        </w:rPr>
      </w:pPr>
      <w:r w:rsidRPr="00AA22C4">
        <w:rPr>
          <w:rFonts w:ascii="Lato" w:hAnsi="Lato"/>
          <w:b/>
          <w:bCs/>
          <w:color w:val="000000" w:themeColor="text1"/>
          <w:sz w:val="22"/>
          <w:szCs w:val="22"/>
        </w:rPr>
        <w:t xml:space="preserve">Deficyt dehydrogenazy </w:t>
      </w:r>
      <w:proofErr w:type="spellStart"/>
      <w:r w:rsidRPr="00AA22C4">
        <w:rPr>
          <w:rFonts w:ascii="Lato" w:hAnsi="Lato"/>
          <w:b/>
          <w:bCs/>
          <w:color w:val="000000" w:themeColor="text1"/>
          <w:sz w:val="22"/>
          <w:szCs w:val="22"/>
        </w:rPr>
        <w:t>acylo-CoA</w:t>
      </w:r>
      <w:proofErr w:type="spellEnd"/>
      <w:r w:rsidRPr="00AA22C4">
        <w:rPr>
          <w:rFonts w:ascii="Lato" w:hAnsi="Lato"/>
          <w:b/>
          <w:bCs/>
          <w:color w:val="000000" w:themeColor="text1"/>
          <w:sz w:val="22"/>
          <w:szCs w:val="22"/>
        </w:rPr>
        <w:t xml:space="preserve"> (bardzo) długołańcuchowych kwasów tłuszczowych - VLCADD</w:t>
      </w:r>
    </w:p>
    <w:p w14:paraId="4EC68787" w14:textId="77777777" w:rsidR="005E347E" w:rsidRPr="00AA22C4" w:rsidRDefault="005E347E" w:rsidP="005E347E">
      <w:pPr>
        <w:suppressAutoHyphens/>
        <w:spacing w:before="120" w:after="120"/>
        <w:contextualSpacing/>
        <w:jc w:val="both"/>
        <w:rPr>
          <w:rFonts w:ascii="Lato" w:hAnsi="Lato"/>
          <w:b/>
          <w:bCs/>
          <w:color w:val="000000" w:themeColor="text1"/>
          <w:kern w:val="1"/>
          <w:sz w:val="22"/>
          <w:szCs w:val="22"/>
          <w:lang w:eastAsia="ar-SA"/>
        </w:rPr>
      </w:pPr>
      <w:r w:rsidRPr="00AA22C4">
        <w:rPr>
          <w:rFonts w:ascii="Lato" w:hAnsi="Lato"/>
          <w:color w:val="000000" w:themeColor="text1"/>
          <w:kern w:val="1"/>
          <w:sz w:val="22"/>
          <w:szCs w:val="22"/>
          <w:u w:val="single"/>
          <w:lang w:eastAsia="ar-SA"/>
        </w:rPr>
        <w:t>Opis:</w:t>
      </w:r>
    </w:p>
    <w:p w14:paraId="314A2AD3"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Deficyt VLCAD jest często wykrywanym w badaniach przesiewowych noworodków zaburzeniem utleniania kwasów tłuszczowych. Częstość występowania 1:85 000.</w:t>
      </w:r>
    </w:p>
    <w:p w14:paraId="05599FE5"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u w:val="single"/>
          <w:lang w:eastAsia="ar-SA"/>
        </w:rPr>
        <w:t>Objawy:</w:t>
      </w:r>
    </w:p>
    <w:p w14:paraId="5A57D35B"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proofErr w:type="spellStart"/>
      <w:r w:rsidRPr="00AA22C4">
        <w:rPr>
          <w:rFonts w:ascii="Lato" w:hAnsi="Lato"/>
          <w:color w:val="000000" w:themeColor="text1"/>
          <w:kern w:val="1"/>
          <w:sz w:val="22"/>
          <w:szCs w:val="22"/>
          <w:lang w:eastAsia="ar-SA"/>
        </w:rPr>
        <w:t>Kardiomiopatia</w:t>
      </w:r>
      <w:proofErr w:type="spellEnd"/>
      <w:r w:rsidRPr="00AA22C4">
        <w:rPr>
          <w:rFonts w:ascii="Lato" w:hAnsi="Lato"/>
          <w:color w:val="000000" w:themeColor="text1"/>
          <w:kern w:val="1"/>
          <w:sz w:val="22"/>
          <w:szCs w:val="22"/>
          <w:lang w:eastAsia="ar-SA"/>
        </w:rPr>
        <w:t xml:space="preserve">, zaburzenia rytmu serca, dysfunkcja wątroby, </w:t>
      </w:r>
      <w:proofErr w:type="spellStart"/>
      <w:r w:rsidRPr="00AA22C4">
        <w:rPr>
          <w:rFonts w:ascii="Lato" w:hAnsi="Lato"/>
          <w:color w:val="000000" w:themeColor="text1"/>
          <w:kern w:val="1"/>
          <w:sz w:val="22"/>
          <w:szCs w:val="22"/>
          <w:lang w:eastAsia="ar-SA"/>
        </w:rPr>
        <w:t>hepatomegalia</w:t>
      </w:r>
      <w:proofErr w:type="spellEnd"/>
      <w:r w:rsidRPr="00AA22C4">
        <w:rPr>
          <w:rFonts w:ascii="Lato" w:hAnsi="Lato"/>
          <w:color w:val="000000" w:themeColor="text1"/>
          <w:kern w:val="1"/>
          <w:sz w:val="22"/>
          <w:szCs w:val="22"/>
          <w:lang w:eastAsia="ar-SA"/>
        </w:rPr>
        <w:t xml:space="preserve">, SIDS, nawracająca </w:t>
      </w:r>
      <w:proofErr w:type="spellStart"/>
      <w:r w:rsidRPr="00AA22C4">
        <w:rPr>
          <w:rFonts w:ascii="Lato" w:hAnsi="Lato"/>
          <w:color w:val="000000" w:themeColor="text1"/>
          <w:kern w:val="1"/>
          <w:sz w:val="22"/>
          <w:szCs w:val="22"/>
          <w:lang w:eastAsia="ar-SA"/>
        </w:rPr>
        <w:t>rabdomioliza</w:t>
      </w:r>
      <w:proofErr w:type="spellEnd"/>
      <w:r w:rsidRPr="00AA22C4">
        <w:rPr>
          <w:rFonts w:ascii="Lato" w:hAnsi="Lato"/>
          <w:color w:val="000000" w:themeColor="text1"/>
          <w:kern w:val="1"/>
          <w:sz w:val="22"/>
          <w:szCs w:val="22"/>
          <w:lang w:eastAsia="ar-SA"/>
        </w:rPr>
        <w:t xml:space="preserve"> o późnym początku. (7,8,22).</w:t>
      </w:r>
    </w:p>
    <w:p w14:paraId="7654289D"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Diagnostyka:</w:t>
      </w:r>
    </w:p>
    <w:p w14:paraId="15A71815" w14:textId="77777777" w:rsidR="005E347E" w:rsidRPr="00AA22C4" w:rsidRDefault="005E347E" w:rsidP="005E347E">
      <w:pPr>
        <w:pStyle w:val="Akapitzlist"/>
        <w:numPr>
          <w:ilvl w:val="0"/>
          <w:numId w:val="51"/>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we krwi na bibule przesiewowej metodą MS/MS: </w:t>
      </w:r>
      <w:proofErr w:type="spellStart"/>
      <w:r w:rsidRPr="00AA22C4">
        <w:rPr>
          <w:rFonts w:ascii="Lato" w:hAnsi="Lato"/>
          <w:color w:val="000000" w:themeColor="text1"/>
          <w:sz w:val="22"/>
          <w:szCs w:val="22"/>
        </w:rPr>
        <w:t>Acylokarnityny</w:t>
      </w:r>
      <w:proofErr w:type="spellEnd"/>
      <w:r w:rsidRPr="00AA22C4">
        <w:rPr>
          <w:rFonts w:ascii="Lato" w:hAnsi="Lato"/>
          <w:color w:val="000000" w:themeColor="text1"/>
          <w:sz w:val="22"/>
          <w:szCs w:val="22"/>
        </w:rPr>
        <w:t xml:space="preserve">: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 C14:1, stosunek C14/C12:1;</w:t>
      </w:r>
    </w:p>
    <w:p w14:paraId="465399A5" w14:textId="77777777" w:rsidR="005E347E" w:rsidRPr="00AA22C4" w:rsidRDefault="005E347E" w:rsidP="005E347E">
      <w:pPr>
        <w:pStyle w:val="Akapitzlist"/>
        <w:numPr>
          <w:ilvl w:val="0"/>
          <w:numId w:val="51"/>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w moczu analiza kwasów organicznych metodą GC/MS: kwasy dwukarboksylowe C6-C14;</w:t>
      </w:r>
    </w:p>
    <w:p w14:paraId="103A3BBE" w14:textId="77777777" w:rsidR="005E347E" w:rsidRPr="00AA22C4" w:rsidRDefault="005E347E" w:rsidP="005E347E">
      <w:pPr>
        <w:pStyle w:val="Akapitzlist"/>
        <w:numPr>
          <w:ilvl w:val="0"/>
          <w:numId w:val="51"/>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enzym: VLCAD w leukocytach.</w:t>
      </w:r>
    </w:p>
    <w:p w14:paraId="2512919C"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u w:val="single"/>
          <w:lang w:eastAsia="ar-SA"/>
        </w:rPr>
        <w:t>Leczenie:</w:t>
      </w:r>
    </w:p>
    <w:p w14:paraId="5468E03E"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Dieta ze znacznym ograniczeniem długołańcuchowych kwasów tłuszczowych na rzecz średnio-łańcuchowych kwasów tłuszczowych. Dodatkowo podawanie karnityny w ramach programu lekowego „Leczenie uzupełniające L-karnityną w wybranych chorobach metabolicznych”.</w:t>
      </w:r>
    </w:p>
    <w:p w14:paraId="566F8ACE" w14:textId="77777777" w:rsidR="005E347E" w:rsidRPr="00AA22C4" w:rsidRDefault="005E347E" w:rsidP="00D23264">
      <w:pPr>
        <w:pStyle w:val="Akapitzlist"/>
        <w:numPr>
          <w:ilvl w:val="0"/>
          <w:numId w:val="82"/>
        </w:numPr>
        <w:spacing w:before="360" w:after="120"/>
        <w:ind w:left="1077" w:hanging="357"/>
        <w:jc w:val="both"/>
        <w:rPr>
          <w:rFonts w:ascii="Lato" w:hAnsi="Lato"/>
          <w:b/>
          <w:bCs/>
          <w:color w:val="000000" w:themeColor="text1"/>
          <w:sz w:val="22"/>
          <w:szCs w:val="22"/>
        </w:rPr>
      </w:pPr>
      <w:r w:rsidRPr="00AA22C4">
        <w:rPr>
          <w:rFonts w:ascii="Lato" w:hAnsi="Lato"/>
          <w:b/>
          <w:bCs/>
          <w:color w:val="000000" w:themeColor="text1"/>
          <w:sz w:val="22"/>
          <w:szCs w:val="22"/>
        </w:rPr>
        <w:t>Deficyt transferazy karnityno-palmitynowej, typu I - CPT 1</w:t>
      </w:r>
    </w:p>
    <w:p w14:paraId="102CEA57"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u w:val="single"/>
          <w:lang w:eastAsia="ar-SA"/>
        </w:rPr>
        <w:t>Opis:</w:t>
      </w:r>
    </w:p>
    <w:p w14:paraId="2626B57E" w14:textId="77777777" w:rsidR="005E347E" w:rsidRPr="00AA22C4" w:rsidRDefault="005E347E" w:rsidP="005E347E">
      <w:pPr>
        <w:suppressAutoHyphens/>
        <w:spacing w:before="120" w:after="120"/>
        <w:jc w:val="both"/>
        <w:rPr>
          <w:rFonts w:ascii="Lato" w:hAnsi="Lato"/>
          <w:color w:val="000000" w:themeColor="text1"/>
          <w:kern w:val="1"/>
          <w:sz w:val="22"/>
          <w:szCs w:val="22"/>
          <w:u w:val="single"/>
          <w:lang w:eastAsia="ar-SA"/>
        </w:rPr>
      </w:pPr>
      <w:r w:rsidRPr="00AA22C4">
        <w:rPr>
          <w:rFonts w:ascii="Lato" w:eastAsia="Arial Unicode MS" w:hAnsi="Lato"/>
          <w:bCs/>
          <w:color w:val="000000" w:themeColor="text1"/>
          <w:kern w:val="1"/>
          <w:sz w:val="22"/>
          <w:szCs w:val="22"/>
          <w:lang w:eastAsia="ar-SA"/>
        </w:rPr>
        <w:t>Częstość występowania choroby szacuje się na około 1:200 000, jest ona spowodowana deficytem e</w:t>
      </w:r>
      <w:r w:rsidRPr="00AA22C4">
        <w:rPr>
          <w:rFonts w:ascii="Lato" w:hAnsi="Lato"/>
          <w:color w:val="000000" w:themeColor="text1"/>
          <w:kern w:val="1"/>
          <w:sz w:val="22"/>
          <w:szCs w:val="22"/>
          <w:lang w:eastAsia="ar-SA"/>
        </w:rPr>
        <w:t>nzymu CPT1 w fibroblastach lub leukocytach.</w:t>
      </w:r>
    </w:p>
    <w:p w14:paraId="360D6ADB"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Objawy:</w:t>
      </w:r>
    </w:p>
    <w:p w14:paraId="3BC9235C" w14:textId="77777777" w:rsidR="005E347E"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Ciężkie objawy ze strony wątroby, nerkowa kwasica kanalikowa.</w:t>
      </w:r>
    </w:p>
    <w:p w14:paraId="52AC028E" w14:textId="77777777" w:rsidR="00D23264" w:rsidRPr="00AA22C4" w:rsidRDefault="00D23264" w:rsidP="005E347E">
      <w:pPr>
        <w:suppressAutoHyphens/>
        <w:spacing w:before="120" w:after="120"/>
        <w:jc w:val="both"/>
        <w:rPr>
          <w:rFonts w:ascii="Lato" w:hAnsi="Lato"/>
          <w:color w:val="000000" w:themeColor="text1"/>
          <w:kern w:val="1"/>
          <w:sz w:val="22"/>
          <w:szCs w:val="22"/>
          <w:lang w:eastAsia="ar-SA"/>
        </w:rPr>
      </w:pPr>
    </w:p>
    <w:p w14:paraId="2E5E450F"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lastRenderedPageBreak/>
        <w:t>Diagnostyka:</w:t>
      </w:r>
    </w:p>
    <w:p w14:paraId="718C129C" w14:textId="77777777" w:rsidR="005E347E" w:rsidRPr="00AA22C4" w:rsidRDefault="005E347E" w:rsidP="005E347E">
      <w:pPr>
        <w:pStyle w:val="Akapitzlist"/>
        <w:numPr>
          <w:ilvl w:val="0"/>
          <w:numId w:val="53"/>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we krwi na bibule przesiewowej metodą MS/MS: </w:t>
      </w:r>
      <w:proofErr w:type="spellStart"/>
      <w:r w:rsidRPr="00AA22C4">
        <w:rPr>
          <w:rFonts w:ascii="Lato" w:hAnsi="Lato"/>
          <w:color w:val="000000" w:themeColor="text1"/>
          <w:sz w:val="22"/>
          <w:szCs w:val="22"/>
        </w:rPr>
        <w:t>Acylokarnityny</w:t>
      </w:r>
      <w:proofErr w:type="spellEnd"/>
      <w:r w:rsidRPr="00AA22C4">
        <w:rPr>
          <w:rFonts w:ascii="Lato" w:hAnsi="Lato"/>
          <w:color w:val="000000" w:themeColor="text1"/>
          <w:sz w:val="22"/>
          <w:szCs w:val="22"/>
        </w:rPr>
        <w:t xml:space="preserve">: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C0,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C2,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C0/C16+C18; </w:t>
      </w:r>
      <w:r w:rsidRPr="00AA22C4">
        <w:rPr>
          <w:rFonts w:ascii="Arial" w:hAnsi="Arial" w:cs="Arial"/>
          <w:color w:val="000000" w:themeColor="text1"/>
          <w:sz w:val="22"/>
          <w:szCs w:val="22"/>
        </w:rPr>
        <w:t>↓</w:t>
      </w:r>
      <w:r w:rsidRPr="00AA22C4">
        <w:rPr>
          <w:rFonts w:ascii="Lato" w:hAnsi="Lato"/>
          <w:color w:val="000000" w:themeColor="text1"/>
          <w:sz w:val="22"/>
          <w:szCs w:val="22"/>
        </w:rPr>
        <w:t>C16, C18, C18:1;</w:t>
      </w:r>
    </w:p>
    <w:p w14:paraId="25B2D36C" w14:textId="77777777" w:rsidR="005E347E" w:rsidRPr="00AA22C4" w:rsidRDefault="005E347E" w:rsidP="005E347E">
      <w:pPr>
        <w:pStyle w:val="Akapitzlist"/>
        <w:numPr>
          <w:ilvl w:val="0"/>
          <w:numId w:val="53"/>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 moczu analiza kwasów organicznych metodą GC/MS: Kwasy organiczne: brak </w:t>
      </w:r>
      <w:proofErr w:type="spellStart"/>
      <w:r w:rsidRPr="00AA22C4">
        <w:rPr>
          <w:rFonts w:ascii="Lato" w:hAnsi="Lato"/>
          <w:color w:val="000000" w:themeColor="text1"/>
          <w:sz w:val="22"/>
          <w:szCs w:val="22"/>
        </w:rPr>
        <w:t>acydurii</w:t>
      </w:r>
      <w:proofErr w:type="spellEnd"/>
      <w:r w:rsidRPr="00AA22C4">
        <w:rPr>
          <w:rFonts w:ascii="Lato" w:hAnsi="Lato"/>
          <w:color w:val="000000" w:themeColor="text1"/>
          <w:sz w:val="22"/>
          <w:szCs w:val="22"/>
        </w:rPr>
        <w:t xml:space="preserve"> dwukarboksylowej.</w:t>
      </w:r>
    </w:p>
    <w:p w14:paraId="5865ADAD"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Leczenie:</w:t>
      </w:r>
    </w:p>
    <w:p w14:paraId="4FC49EB6"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Regularne posiłki, unikanie przedłużonego głodzenia.</w:t>
      </w:r>
    </w:p>
    <w:p w14:paraId="4509964A" w14:textId="77777777" w:rsidR="005E347E" w:rsidRPr="00AA22C4" w:rsidRDefault="005E347E" w:rsidP="00D23264">
      <w:pPr>
        <w:pStyle w:val="Akapitzlist"/>
        <w:numPr>
          <w:ilvl w:val="0"/>
          <w:numId w:val="82"/>
        </w:numPr>
        <w:spacing w:before="360" w:after="120"/>
        <w:ind w:left="1077" w:hanging="357"/>
        <w:jc w:val="both"/>
        <w:rPr>
          <w:rFonts w:ascii="Lato" w:hAnsi="Lato"/>
          <w:b/>
          <w:bCs/>
          <w:color w:val="000000" w:themeColor="text1"/>
          <w:sz w:val="22"/>
          <w:szCs w:val="22"/>
        </w:rPr>
      </w:pPr>
      <w:r w:rsidRPr="00AA22C4">
        <w:rPr>
          <w:rFonts w:ascii="Lato" w:hAnsi="Lato"/>
          <w:b/>
          <w:bCs/>
          <w:color w:val="000000" w:themeColor="text1"/>
          <w:sz w:val="22"/>
          <w:szCs w:val="22"/>
        </w:rPr>
        <w:t>Deficyt transferazy karnityno-palmitynowej, typu II - CPT 2</w:t>
      </w:r>
    </w:p>
    <w:p w14:paraId="1BD77D7C"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u w:val="single"/>
          <w:lang w:eastAsia="ar-SA"/>
        </w:rPr>
        <w:t>Opis:</w:t>
      </w:r>
    </w:p>
    <w:p w14:paraId="34F5C767" w14:textId="77777777" w:rsidR="005E347E" w:rsidRPr="00AA22C4" w:rsidRDefault="005E347E" w:rsidP="005E347E">
      <w:pPr>
        <w:suppressAutoHyphens/>
        <w:spacing w:before="120" w:after="120"/>
        <w:jc w:val="both"/>
        <w:rPr>
          <w:rFonts w:ascii="Lato" w:hAnsi="Lato"/>
          <w:color w:val="000000" w:themeColor="text1"/>
          <w:kern w:val="1"/>
          <w:sz w:val="22"/>
          <w:szCs w:val="22"/>
          <w:u w:val="single"/>
          <w:lang w:eastAsia="ar-SA"/>
        </w:rPr>
      </w:pPr>
      <w:r w:rsidRPr="00AA22C4">
        <w:rPr>
          <w:rFonts w:ascii="Lato" w:eastAsia="Arial Unicode MS" w:hAnsi="Lato"/>
          <w:bCs/>
          <w:color w:val="000000" w:themeColor="text1"/>
          <w:kern w:val="1"/>
          <w:sz w:val="22"/>
          <w:szCs w:val="22"/>
          <w:lang w:eastAsia="ar-SA"/>
        </w:rPr>
        <w:t>Częstość występowania choroby szacuje się na około 1:300 000, ale choroba ujawnia się częściej u młodych mężczyzn (efekt powszechnej mutacji). Jest ona spowodowana deficytem e</w:t>
      </w:r>
      <w:r w:rsidRPr="00AA22C4">
        <w:rPr>
          <w:rFonts w:ascii="Lato" w:hAnsi="Lato"/>
          <w:color w:val="000000" w:themeColor="text1"/>
          <w:kern w:val="1"/>
          <w:sz w:val="22"/>
          <w:szCs w:val="22"/>
          <w:lang w:eastAsia="ar-SA"/>
        </w:rPr>
        <w:t xml:space="preserve">nzymu CPT2 w fibroblastach lub leukocytach. Profil </w:t>
      </w:r>
      <w:proofErr w:type="spellStart"/>
      <w:r w:rsidRPr="00AA22C4">
        <w:rPr>
          <w:rFonts w:ascii="Lato" w:hAnsi="Lato"/>
          <w:color w:val="000000" w:themeColor="text1"/>
          <w:kern w:val="1"/>
          <w:sz w:val="22"/>
          <w:szCs w:val="22"/>
          <w:lang w:eastAsia="ar-SA"/>
        </w:rPr>
        <w:t>acylokarnityn</w:t>
      </w:r>
      <w:proofErr w:type="spellEnd"/>
      <w:r w:rsidRPr="00AA22C4">
        <w:rPr>
          <w:rFonts w:ascii="Lato" w:hAnsi="Lato"/>
          <w:color w:val="000000" w:themeColor="text1"/>
          <w:kern w:val="1"/>
          <w:sz w:val="22"/>
          <w:szCs w:val="22"/>
          <w:lang w:eastAsia="ar-SA"/>
        </w:rPr>
        <w:t xml:space="preserve"> w bibule przesiewowej nie różnicuje CPT2 i CACT.</w:t>
      </w:r>
    </w:p>
    <w:p w14:paraId="53EF8D96"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Objawy:</w:t>
      </w:r>
    </w:p>
    <w:p w14:paraId="2817A529"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proofErr w:type="spellStart"/>
      <w:r w:rsidRPr="00AA22C4">
        <w:rPr>
          <w:rFonts w:ascii="Lato" w:hAnsi="Lato"/>
          <w:color w:val="000000" w:themeColor="text1"/>
          <w:kern w:val="1"/>
          <w:sz w:val="22"/>
          <w:szCs w:val="22"/>
          <w:lang w:eastAsia="ar-SA"/>
        </w:rPr>
        <w:t>Kardiomiopatia</w:t>
      </w:r>
      <w:proofErr w:type="spellEnd"/>
      <w:r w:rsidRPr="00AA22C4">
        <w:rPr>
          <w:rFonts w:ascii="Lato" w:hAnsi="Lato"/>
          <w:color w:val="000000" w:themeColor="text1"/>
          <w:kern w:val="1"/>
          <w:sz w:val="22"/>
          <w:szCs w:val="22"/>
          <w:lang w:eastAsia="ar-SA"/>
        </w:rPr>
        <w:t xml:space="preserve">, dysfunkcja wątroby. Postać łagodna (wiek &gt; 15 lat) głównie u młodych mężczyzn (mimo autosomalnie recesywnego trybu dziedziczenia) z epizodami osłabienia mięśniowego z </w:t>
      </w:r>
      <w:proofErr w:type="spellStart"/>
      <w:r w:rsidRPr="00AA22C4">
        <w:rPr>
          <w:rFonts w:ascii="Lato" w:hAnsi="Lato"/>
          <w:color w:val="000000" w:themeColor="text1"/>
          <w:kern w:val="1"/>
          <w:sz w:val="22"/>
          <w:szCs w:val="22"/>
          <w:lang w:eastAsia="ar-SA"/>
        </w:rPr>
        <w:t>rabdomiolizą</w:t>
      </w:r>
      <w:proofErr w:type="spellEnd"/>
      <w:r w:rsidRPr="00AA22C4">
        <w:rPr>
          <w:rFonts w:ascii="Lato" w:hAnsi="Lato"/>
          <w:color w:val="000000" w:themeColor="text1"/>
          <w:kern w:val="1"/>
          <w:sz w:val="22"/>
          <w:szCs w:val="22"/>
          <w:lang w:eastAsia="ar-SA"/>
        </w:rPr>
        <w:t xml:space="preserve"> </w:t>
      </w:r>
      <w:proofErr w:type="gramStart"/>
      <w:r w:rsidRPr="00AA22C4">
        <w:rPr>
          <w:rFonts w:ascii="Lato" w:hAnsi="Lato"/>
          <w:color w:val="000000" w:themeColor="text1"/>
          <w:kern w:val="1"/>
          <w:sz w:val="22"/>
          <w:szCs w:val="22"/>
          <w:lang w:eastAsia="ar-SA"/>
        </w:rPr>
        <w:t>( w</w:t>
      </w:r>
      <w:proofErr w:type="gramEnd"/>
      <w:r w:rsidRPr="00AA22C4">
        <w:rPr>
          <w:rFonts w:ascii="Lato" w:hAnsi="Lato"/>
          <w:color w:val="000000" w:themeColor="text1"/>
          <w:kern w:val="1"/>
          <w:sz w:val="22"/>
          <w:szCs w:val="22"/>
          <w:lang w:eastAsia="ar-SA"/>
        </w:rPr>
        <w:t xml:space="preserve"> stanach katabolizmu).</w:t>
      </w:r>
    </w:p>
    <w:p w14:paraId="2E27DE6D"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Diagnostyka:</w:t>
      </w:r>
    </w:p>
    <w:p w14:paraId="4A8CCED8" w14:textId="77777777" w:rsidR="005E347E" w:rsidRPr="00AA22C4" w:rsidRDefault="005E347E" w:rsidP="005E347E">
      <w:pPr>
        <w:pStyle w:val="Akapitzlist"/>
        <w:numPr>
          <w:ilvl w:val="0"/>
          <w:numId w:val="54"/>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we krwi na bibule przesiewowej metodą MS/MS: </w:t>
      </w:r>
      <w:r w:rsidRPr="00AA22C4">
        <w:rPr>
          <w:rFonts w:ascii="Arial" w:hAnsi="Arial" w:cs="Arial"/>
          <w:color w:val="000000" w:themeColor="text1"/>
          <w:sz w:val="22"/>
          <w:szCs w:val="22"/>
        </w:rPr>
        <w:t>↓</w:t>
      </w:r>
      <w:r w:rsidRPr="00AA22C4">
        <w:rPr>
          <w:rFonts w:ascii="Lato" w:hAnsi="Lato"/>
          <w:color w:val="000000" w:themeColor="text1"/>
          <w:sz w:val="22"/>
          <w:szCs w:val="22"/>
        </w:rPr>
        <w:t>Ca</w:t>
      </w:r>
      <w:r w:rsidRPr="00AA22C4">
        <w:rPr>
          <w:rFonts w:ascii="Lato" w:hAnsi="Lato" w:cs="Lato"/>
          <w:color w:val="000000" w:themeColor="text1"/>
          <w:sz w:val="22"/>
          <w:szCs w:val="22"/>
        </w:rPr>
        <w:t>ł</w:t>
      </w:r>
      <w:r w:rsidRPr="00AA22C4">
        <w:rPr>
          <w:rFonts w:ascii="Lato" w:hAnsi="Lato"/>
          <w:color w:val="000000" w:themeColor="text1"/>
          <w:sz w:val="22"/>
          <w:szCs w:val="22"/>
        </w:rPr>
        <w:t xml:space="preserve">kowita karnityna,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C2 40-80% </w:t>
      </w:r>
      <w:proofErr w:type="spellStart"/>
      <w:r w:rsidRPr="00AA22C4">
        <w:rPr>
          <w:rFonts w:ascii="Lato" w:hAnsi="Lato"/>
          <w:color w:val="000000" w:themeColor="text1"/>
          <w:sz w:val="22"/>
          <w:szCs w:val="22"/>
        </w:rPr>
        <w:t>acylokarnityn</w:t>
      </w:r>
      <w:proofErr w:type="spellEnd"/>
      <w:r w:rsidRPr="00AA22C4">
        <w:rPr>
          <w:rFonts w:ascii="Lato" w:hAnsi="Lato"/>
          <w:color w:val="000000" w:themeColor="text1"/>
          <w:sz w:val="22"/>
          <w:szCs w:val="22"/>
        </w:rPr>
        <w:t xml:space="preserve">; </w:t>
      </w:r>
      <w:r w:rsidRPr="00AA22C4">
        <w:rPr>
          <w:rFonts w:ascii="Arial" w:hAnsi="Arial" w:cs="Arial"/>
          <w:color w:val="000000" w:themeColor="text1"/>
          <w:sz w:val="22"/>
          <w:szCs w:val="22"/>
        </w:rPr>
        <w:t>↑</w:t>
      </w:r>
      <w:r w:rsidRPr="00AA22C4">
        <w:rPr>
          <w:rFonts w:ascii="Lato" w:hAnsi="Lato"/>
          <w:color w:val="000000" w:themeColor="text1"/>
          <w:sz w:val="22"/>
          <w:szCs w:val="22"/>
        </w:rPr>
        <w:t>stosunek (C16+C</w:t>
      </w:r>
      <w:proofErr w:type="gramStart"/>
      <w:r w:rsidRPr="00AA22C4">
        <w:rPr>
          <w:rFonts w:ascii="Lato" w:hAnsi="Lato"/>
          <w:color w:val="000000" w:themeColor="text1"/>
          <w:sz w:val="22"/>
          <w:szCs w:val="22"/>
        </w:rPr>
        <w:t>18)/</w:t>
      </w:r>
      <w:proofErr w:type="gramEnd"/>
      <w:r w:rsidRPr="00AA22C4">
        <w:rPr>
          <w:rFonts w:ascii="Lato" w:hAnsi="Lato"/>
          <w:color w:val="000000" w:themeColor="text1"/>
          <w:sz w:val="22"/>
          <w:szCs w:val="22"/>
        </w:rPr>
        <w:t>C2;</w:t>
      </w:r>
    </w:p>
    <w:p w14:paraId="16E806BE" w14:textId="77777777" w:rsidR="005E347E" w:rsidRPr="00AA22C4" w:rsidRDefault="005E347E" w:rsidP="005E347E">
      <w:pPr>
        <w:pStyle w:val="Akapitzlist"/>
        <w:numPr>
          <w:ilvl w:val="0"/>
          <w:numId w:val="54"/>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 moczu analiza kwasów organicznych metodą GC/MS: brak zmian/nieswoista </w:t>
      </w:r>
      <w:proofErr w:type="spellStart"/>
      <w:r w:rsidRPr="00AA22C4">
        <w:rPr>
          <w:rFonts w:ascii="Lato" w:hAnsi="Lato"/>
          <w:color w:val="000000" w:themeColor="text1"/>
          <w:sz w:val="22"/>
          <w:szCs w:val="22"/>
        </w:rPr>
        <w:t>acyduria</w:t>
      </w:r>
      <w:proofErr w:type="spellEnd"/>
      <w:r w:rsidRPr="00AA22C4">
        <w:rPr>
          <w:rFonts w:ascii="Lato" w:hAnsi="Lato"/>
          <w:color w:val="000000" w:themeColor="text1"/>
          <w:sz w:val="22"/>
          <w:szCs w:val="22"/>
        </w:rPr>
        <w:t xml:space="preserve"> dwukarboksylowa;</w:t>
      </w:r>
    </w:p>
    <w:p w14:paraId="5E576B6E" w14:textId="77777777" w:rsidR="005E347E" w:rsidRPr="00AA22C4" w:rsidRDefault="005E347E" w:rsidP="005E347E">
      <w:pPr>
        <w:pStyle w:val="Akapitzlist"/>
        <w:numPr>
          <w:ilvl w:val="0"/>
          <w:numId w:val="54"/>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badania molekularne: Analiza genu </w:t>
      </w:r>
      <w:r w:rsidRPr="00AA22C4">
        <w:rPr>
          <w:rFonts w:ascii="Lato" w:hAnsi="Lato"/>
          <w:i/>
          <w:color w:val="000000" w:themeColor="text1"/>
          <w:sz w:val="22"/>
          <w:szCs w:val="22"/>
        </w:rPr>
        <w:t>CPT2</w:t>
      </w:r>
      <w:r w:rsidRPr="00AA22C4">
        <w:rPr>
          <w:rFonts w:ascii="Lato" w:hAnsi="Lato"/>
          <w:color w:val="000000" w:themeColor="text1"/>
          <w:sz w:val="22"/>
          <w:szCs w:val="22"/>
        </w:rPr>
        <w:t xml:space="preserve"> (transferazy karnityno-palmitynowej typu II) z częstą mutacją </w:t>
      </w:r>
      <w:proofErr w:type="gramStart"/>
      <w:r w:rsidRPr="00AA22C4">
        <w:rPr>
          <w:rFonts w:ascii="Lato" w:hAnsi="Lato"/>
          <w:color w:val="000000" w:themeColor="text1"/>
          <w:sz w:val="22"/>
          <w:szCs w:val="22"/>
        </w:rPr>
        <w:t>p.Ser</w:t>
      </w:r>
      <w:proofErr w:type="gramEnd"/>
      <w:r w:rsidRPr="00AA22C4">
        <w:rPr>
          <w:rFonts w:ascii="Lato" w:hAnsi="Lato"/>
          <w:color w:val="000000" w:themeColor="text1"/>
          <w:sz w:val="22"/>
          <w:szCs w:val="22"/>
        </w:rPr>
        <w:t>113Leu, pozostałe mutacje występują sporadycznie.</w:t>
      </w:r>
    </w:p>
    <w:p w14:paraId="5AC154F1"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Leczenie:</w:t>
      </w:r>
    </w:p>
    <w:p w14:paraId="45E496AA"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Regularne posiłki, unikanie przedłużonego głodzenia. Suplementacja karnityną w ramach programu lekowego „Leczenie uzupełniające L-karnityną w wybranych chorobach metabolicznych”.</w:t>
      </w:r>
    </w:p>
    <w:p w14:paraId="6D74CDEC" w14:textId="77777777" w:rsidR="005E347E" w:rsidRPr="00AA22C4" w:rsidRDefault="005E347E" w:rsidP="00D23264">
      <w:pPr>
        <w:pStyle w:val="Akapitzlist"/>
        <w:numPr>
          <w:ilvl w:val="0"/>
          <w:numId w:val="82"/>
        </w:numPr>
        <w:spacing w:before="360" w:after="120"/>
        <w:ind w:left="1077" w:hanging="357"/>
        <w:jc w:val="both"/>
        <w:rPr>
          <w:rFonts w:ascii="Lato" w:hAnsi="Lato"/>
          <w:b/>
          <w:bCs/>
          <w:color w:val="000000" w:themeColor="text1"/>
          <w:sz w:val="22"/>
          <w:szCs w:val="22"/>
        </w:rPr>
      </w:pPr>
      <w:r w:rsidRPr="00AA22C4">
        <w:rPr>
          <w:rFonts w:ascii="Lato" w:hAnsi="Lato"/>
          <w:b/>
          <w:bCs/>
          <w:color w:val="000000" w:themeColor="text1"/>
          <w:sz w:val="22"/>
          <w:szCs w:val="22"/>
        </w:rPr>
        <w:t xml:space="preserve">Deficyt </w:t>
      </w:r>
      <w:proofErr w:type="spellStart"/>
      <w:r w:rsidRPr="00AA22C4">
        <w:rPr>
          <w:rFonts w:ascii="Lato" w:hAnsi="Lato"/>
          <w:b/>
          <w:bCs/>
          <w:color w:val="000000" w:themeColor="text1"/>
          <w:sz w:val="22"/>
          <w:szCs w:val="22"/>
        </w:rPr>
        <w:t>translokazy</w:t>
      </w:r>
      <w:proofErr w:type="spellEnd"/>
      <w:r w:rsidRPr="00AA22C4">
        <w:rPr>
          <w:rFonts w:ascii="Lato" w:hAnsi="Lato"/>
          <w:b/>
          <w:bCs/>
          <w:color w:val="000000" w:themeColor="text1"/>
          <w:sz w:val="22"/>
          <w:szCs w:val="22"/>
        </w:rPr>
        <w:t xml:space="preserve"> karnityny (nośnik </w:t>
      </w:r>
      <w:proofErr w:type="spellStart"/>
      <w:proofErr w:type="gramStart"/>
      <w:r w:rsidRPr="00AA22C4">
        <w:rPr>
          <w:rFonts w:ascii="Lato" w:hAnsi="Lato"/>
          <w:b/>
          <w:bCs/>
          <w:color w:val="000000" w:themeColor="text1"/>
          <w:sz w:val="22"/>
          <w:szCs w:val="22"/>
        </w:rPr>
        <w:t>karnityna:acylokarnityna</w:t>
      </w:r>
      <w:proofErr w:type="spellEnd"/>
      <w:proofErr w:type="gramEnd"/>
      <w:r w:rsidRPr="00AA22C4">
        <w:rPr>
          <w:rFonts w:ascii="Lato" w:hAnsi="Lato"/>
          <w:b/>
          <w:bCs/>
          <w:color w:val="000000" w:themeColor="text1"/>
          <w:sz w:val="22"/>
          <w:szCs w:val="22"/>
        </w:rPr>
        <w:t>) - CACT</w:t>
      </w:r>
    </w:p>
    <w:p w14:paraId="350CD298"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u w:val="single"/>
          <w:lang w:eastAsia="ar-SA"/>
        </w:rPr>
        <w:t>Opis:</w:t>
      </w:r>
    </w:p>
    <w:p w14:paraId="47F7CE6F" w14:textId="77777777" w:rsidR="005E347E" w:rsidRPr="00AA22C4" w:rsidRDefault="005E347E" w:rsidP="005E347E">
      <w:pPr>
        <w:suppressAutoHyphens/>
        <w:spacing w:before="120" w:after="120"/>
        <w:jc w:val="both"/>
        <w:rPr>
          <w:rFonts w:ascii="Lato" w:hAnsi="Lato"/>
          <w:color w:val="000000" w:themeColor="text1"/>
          <w:kern w:val="1"/>
          <w:sz w:val="22"/>
          <w:szCs w:val="22"/>
          <w:u w:val="single"/>
          <w:lang w:eastAsia="ar-SA"/>
        </w:rPr>
      </w:pPr>
      <w:r w:rsidRPr="00AA22C4">
        <w:rPr>
          <w:rFonts w:ascii="Lato" w:eastAsia="Arial Unicode MS" w:hAnsi="Lato"/>
          <w:bCs/>
          <w:color w:val="000000" w:themeColor="text1"/>
          <w:kern w:val="1"/>
          <w:sz w:val="22"/>
          <w:szCs w:val="22"/>
          <w:lang w:eastAsia="ar-SA"/>
        </w:rPr>
        <w:t xml:space="preserve">Częstość: występuje wyjątkowo rzadko. </w:t>
      </w:r>
      <w:r w:rsidRPr="00AA22C4">
        <w:rPr>
          <w:rFonts w:ascii="Lato" w:hAnsi="Lato"/>
          <w:color w:val="000000" w:themeColor="text1"/>
          <w:kern w:val="1"/>
          <w:sz w:val="22"/>
          <w:szCs w:val="22"/>
          <w:lang w:eastAsia="ar-SA"/>
        </w:rPr>
        <w:t xml:space="preserve">Profil </w:t>
      </w:r>
      <w:proofErr w:type="spellStart"/>
      <w:r w:rsidRPr="00AA22C4">
        <w:rPr>
          <w:rFonts w:ascii="Lato" w:hAnsi="Lato"/>
          <w:color w:val="000000" w:themeColor="text1"/>
          <w:kern w:val="1"/>
          <w:sz w:val="22"/>
          <w:szCs w:val="22"/>
          <w:lang w:eastAsia="ar-SA"/>
        </w:rPr>
        <w:t>acylokarnityn</w:t>
      </w:r>
      <w:proofErr w:type="spellEnd"/>
      <w:r w:rsidRPr="00AA22C4">
        <w:rPr>
          <w:rFonts w:ascii="Lato" w:hAnsi="Lato"/>
          <w:color w:val="000000" w:themeColor="text1"/>
          <w:kern w:val="1"/>
          <w:sz w:val="22"/>
          <w:szCs w:val="22"/>
          <w:lang w:eastAsia="ar-SA"/>
        </w:rPr>
        <w:t xml:space="preserve"> w bibule przesiewowej nie </w:t>
      </w:r>
      <w:r w:rsidRPr="00AA22C4">
        <w:rPr>
          <w:rFonts w:ascii="Lato" w:hAnsi="Lato"/>
          <w:color w:val="000000" w:themeColor="text1"/>
          <w:kern w:val="1"/>
          <w:sz w:val="22"/>
          <w:szCs w:val="22"/>
          <w:lang w:eastAsia="ar-SA"/>
        </w:rPr>
        <w:lastRenderedPageBreak/>
        <w:t>różnicuje CPT2 i CACT.</w:t>
      </w:r>
    </w:p>
    <w:p w14:paraId="08B76187"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Objawy:</w:t>
      </w:r>
    </w:p>
    <w:p w14:paraId="7E252C6A"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Ciężka </w:t>
      </w:r>
      <w:proofErr w:type="spellStart"/>
      <w:r w:rsidRPr="00AA22C4">
        <w:rPr>
          <w:rFonts w:ascii="Lato" w:hAnsi="Lato"/>
          <w:color w:val="000000" w:themeColor="text1"/>
          <w:kern w:val="1"/>
          <w:sz w:val="22"/>
          <w:szCs w:val="22"/>
          <w:lang w:eastAsia="ar-SA"/>
        </w:rPr>
        <w:t>kardiomiopatia</w:t>
      </w:r>
      <w:proofErr w:type="spellEnd"/>
      <w:r w:rsidRPr="00AA22C4">
        <w:rPr>
          <w:rFonts w:ascii="Lato" w:hAnsi="Lato"/>
          <w:color w:val="000000" w:themeColor="text1"/>
          <w:kern w:val="1"/>
          <w:sz w:val="22"/>
          <w:szCs w:val="22"/>
          <w:lang w:eastAsia="ar-SA"/>
        </w:rPr>
        <w:t>, zaburzenia rytmu serca, dysfunkcja wątroby.</w:t>
      </w:r>
    </w:p>
    <w:p w14:paraId="7325DD6F"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Diagnostyka:</w:t>
      </w:r>
    </w:p>
    <w:p w14:paraId="0EACE024" w14:textId="77777777" w:rsidR="005E347E" w:rsidRPr="00AA22C4" w:rsidRDefault="005E347E" w:rsidP="005E347E">
      <w:pPr>
        <w:pStyle w:val="Akapitzlist"/>
        <w:numPr>
          <w:ilvl w:val="0"/>
          <w:numId w:val="55"/>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we krwi na bibule przesiewowej metodą MS/MS: </w:t>
      </w:r>
      <w:r w:rsidRPr="00AA22C4">
        <w:rPr>
          <w:rFonts w:ascii="Arial" w:hAnsi="Arial" w:cs="Arial"/>
          <w:color w:val="000000" w:themeColor="text1"/>
          <w:sz w:val="22"/>
          <w:szCs w:val="22"/>
        </w:rPr>
        <w:t>↓↓</w:t>
      </w:r>
      <w:r w:rsidRPr="00AA22C4">
        <w:rPr>
          <w:rFonts w:ascii="Lato" w:hAnsi="Lato"/>
          <w:color w:val="000000" w:themeColor="text1"/>
          <w:sz w:val="22"/>
          <w:szCs w:val="22"/>
        </w:rPr>
        <w:t>Ca</w:t>
      </w:r>
      <w:r w:rsidRPr="00AA22C4">
        <w:rPr>
          <w:rFonts w:ascii="Lato" w:hAnsi="Lato" w:cs="Lato"/>
          <w:color w:val="000000" w:themeColor="text1"/>
          <w:sz w:val="22"/>
          <w:szCs w:val="22"/>
        </w:rPr>
        <w:t>ł</w:t>
      </w:r>
      <w:r w:rsidRPr="00AA22C4">
        <w:rPr>
          <w:rFonts w:ascii="Lato" w:hAnsi="Lato"/>
          <w:color w:val="000000" w:themeColor="text1"/>
          <w:sz w:val="22"/>
          <w:szCs w:val="22"/>
        </w:rPr>
        <w:t xml:space="preserve">kowita karnityna, </w:t>
      </w:r>
      <w:proofErr w:type="spellStart"/>
      <w:r w:rsidRPr="00AA22C4">
        <w:rPr>
          <w:rFonts w:ascii="Lato" w:hAnsi="Lato"/>
          <w:color w:val="000000" w:themeColor="text1"/>
          <w:sz w:val="22"/>
          <w:szCs w:val="22"/>
        </w:rPr>
        <w:t>acylokarnityny</w:t>
      </w:r>
      <w:proofErr w:type="spellEnd"/>
      <w:r w:rsidRPr="00AA22C4">
        <w:rPr>
          <w:rFonts w:ascii="Lato" w:hAnsi="Lato"/>
          <w:color w:val="000000" w:themeColor="text1"/>
          <w:sz w:val="22"/>
          <w:szCs w:val="22"/>
        </w:rPr>
        <w:t xml:space="preserve">: </w:t>
      </w:r>
      <w:r w:rsidRPr="00AA22C4">
        <w:rPr>
          <w:rFonts w:ascii="Arial" w:hAnsi="Arial" w:cs="Arial"/>
          <w:color w:val="000000" w:themeColor="text1"/>
          <w:sz w:val="22"/>
          <w:szCs w:val="22"/>
        </w:rPr>
        <w:t>↑↑</w:t>
      </w:r>
      <w:r w:rsidRPr="00AA22C4">
        <w:rPr>
          <w:rFonts w:ascii="Lato" w:hAnsi="Lato" w:cs="Lato"/>
          <w:color w:val="000000" w:themeColor="text1"/>
          <w:sz w:val="22"/>
          <w:szCs w:val="22"/>
        </w:rPr>
        <w:t> </w:t>
      </w:r>
      <w:r w:rsidRPr="00AA22C4">
        <w:rPr>
          <w:rFonts w:ascii="Lato" w:hAnsi="Lato"/>
          <w:color w:val="000000" w:themeColor="text1"/>
          <w:sz w:val="22"/>
          <w:szCs w:val="22"/>
        </w:rPr>
        <w:t xml:space="preserve">C16, C18, C18:1, </w:t>
      </w:r>
      <w:r w:rsidRPr="00AA22C4">
        <w:rPr>
          <w:rFonts w:ascii="Arial" w:hAnsi="Arial" w:cs="Arial"/>
          <w:color w:val="000000" w:themeColor="text1"/>
          <w:sz w:val="22"/>
          <w:szCs w:val="22"/>
        </w:rPr>
        <w:t>↓</w:t>
      </w:r>
      <w:r w:rsidRPr="00AA22C4">
        <w:rPr>
          <w:rFonts w:ascii="Lato" w:hAnsi="Lato"/>
          <w:color w:val="000000" w:themeColor="text1"/>
          <w:sz w:val="22"/>
          <w:szCs w:val="22"/>
        </w:rPr>
        <w:t>wolna karnityna;</w:t>
      </w:r>
    </w:p>
    <w:p w14:paraId="191F7F73" w14:textId="77777777" w:rsidR="005E347E" w:rsidRPr="00AA22C4" w:rsidRDefault="005E347E" w:rsidP="005E347E">
      <w:pPr>
        <w:pStyle w:val="Akapitzlist"/>
        <w:numPr>
          <w:ilvl w:val="0"/>
          <w:numId w:val="55"/>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 moczu analiza kwasów organicznych metodą GC/MS: ew. </w:t>
      </w:r>
      <w:proofErr w:type="spellStart"/>
      <w:r w:rsidRPr="00AA22C4">
        <w:rPr>
          <w:rFonts w:ascii="Lato" w:hAnsi="Lato"/>
          <w:color w:val="000000" w:themeColor="text1"/>
          <w:sz w:val="22"/>
          <w:szCs w:val="22"/>
        </w:rPr>
        <w:t>acyduria</w:t>
      </w:r>
      <w:proofErr w:type="spellEnd"/>
      <w:r w:rsidRPr="00AA22C4">
        <w:rPr>
          <w:rFonts w:ascii="Lato" w:hAnsi="Lato"/>
          <w:color w:val="000000" w:themeColor="text1"/>
          <w:sz w:val="22"/>
          <w:szCs w:val="22"/>
        </w:rPr>
        <w:t xml:space="preserve"> dwukarboksylowa.</w:t>
      </w:r>
    </w:p>
    <w:p w14:paraId="6869255C"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Leczenie:</w:t>
      </w:r>
    </w:p>
    <w:p w14:paraId="24CB184F"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Regularne posiłki i unikanie przedłużonego głodzenia. Dodatkowo podawanie karnityny w ramach programu lekowego „Leczenie uzupełniające L-karnityną w wybranych chorobach metabolicznych”.</w:t>
      </w:r>
    </w:p>
    <w:p w14:paraId="1E705908" w14:textId="77777777" w:rsidR="005E347E" w:rsidRPr="00AA22C4" w:rsidRDefault="005E347E" w:rsidP="00D23264">
      <w:pPr>
        <w:pStyle w:val="Akapitzlist"/>
        <w:numPr>
          <w:ilvl w:val="0"/>
          <w:numId w:val="82"/>
        </w:numPr>
        <w:spacing w:before="360" w:after="120"/>
        <w:ind w:left="1077" w:hanging="357"/>
        <w:jc w:val="both"/>
        <w:rPr>
          <w:rFonts w:ascii="Lato" w:hAnsi="Lato"/>
          <w:b/>
          <w:bCs/>
          <w:color w:val="000000" w:themeColor="text1"/>
          <w:sz w:val="22"/>
          <w:szCs w:val="22"/>
        </w:rPr>
      </w:pPr>
      <w:r w:rsidRPr="00AA22C4">
        <w:rPr>
          <w:rFonts w:ascii="Lato" w:hAnsi="Lato"/>
          <w:b/>
          <w:bCs/>
          <w:color w:val="000000" w:themeColor="text1"/>
          <w:sz w:val="22"/>
          <w:szCs w:val="22"/>
        </w:rPr>
        <w:t>Deficyt transportera karnityny (pierwotny deficyt karnityny, defekt wychwytu karnityny) - CTD, CUD</w:t>
      </w:r>
    </w:p>
    <w:p w14:paraId="57144293" w14:textId="77777777" w:rsidR="005E347E" w:rsidRPr="00AA22C4" w:rsidRDefault="005E347E" w:rsidP="005E347E">
      <w:pPr>
        <w:suppressAutoHyphens/>
        <w:spacing w:before="120" w:after="120"/>
        <w:contextualSpacing/>
        <w:jc w:val="both"/>
        <w:rPr>
          <w:rFonts w:ascii="Lato" w:eastAsia="Arial Unicode MS" w:hAnsi="Lato"/>
          <w:bCs/>
          <w:color w:val="000000" w:themeColor="text1"/>
          <w:kern w:val="1"/>
          <w:sz w:val="22"/>
          <w:szCs w:val="22"/>
          <w:lang w:eastAsia="ar-SA"/>
        </w:rPr>
      </w:pPr>
      <w:r w:rsidRPr="00AA22C4">
        <w:rPr>
          <w:rFonts w:ascii="Lato" w:eastAsia="Arial Unicode MS" w:hAnsi="Lato"/>
          <w:bCs/>
          <w:color w:val="000000" w:themeColor="text1"/>
          <w:kern w:val="1"/>
          <w:sz w:val="22"/>
          <w:szCs w:val="22"/>
          <w:u w:val="single"/>
          <w:lang w:eastAsia="ar-SA"/>
        </w:rPr>
        <w:t>Opis</w:t>
      </w:r>
      <w:r w:rsidRPr="00AA22C4">
        <w:rPr>
          <w:rFonts w:ascii="Lato" w:eastAsia="Arial Unicode MS" w:hAnsi="Lato"/>
          <w:bCs/>
          <w:color w:val="000000" w:themeColor="text1"/>
          <w:kern w:val="1"/>
          <w:sz w:val="22"/>
          <w:szCs w:val="22"/>
          <w:lang w:eastAsia="ar-SA"/>
        </w:rPr>
        <w:t>:</w:t>
      </w:r>
    </w:p>
    <w:p w14:paraId="3F4AE3DC" w14:textId="77777777" w:rsidR="005E347E" w:rsidRPr="00AA22C4" w:rsidRDefault="005E347E" w:rsidP="005E347E">
      <w:pPr>
        <w:suppressAutoHyphens/>
        <w:spacing w:before="120" w:after="120"/>
        <w:jc w:val="both"/>
        <w:rPr>
          <w:rFonts w:ascii="Lato" w:hAnsi="Lato"/>
          <w:color w:val="000000" w:themeColor="text1"/>
          <w:kern w:val="1"/>
          <w:sz w:val="22"/>
          <w:szCs w:val="22"/>
          <w:u w:val="single"/>
          <w:lang w:eastAsia="ar-SA"/>
        </w:rPr>
      </w:pPr>
      <w:r w:rsidRPr="00AA22C4">
        <w:rPr>
          <w:rFonts w:ascii="Lato" w:eastAsia="Arial Unicode MS" w:hAnsi="Lato"/>
          <w:bCs/>
          <w:color w:val="000000" w:themeColor="text1"/>
          <w:kern w:val="1"/>
          <w:sz w:val="22"/>
          <w:szCs w:val="22"/>
          <w:lang w:eastAsia="ar-SA"/>
        </w:rPr>
        <w:t xml:space="preserve">Częstość występowania choroby szacuje się na ok. 1:40 000, która wyraźnie wzrosła wraz </w:t>
      </w:r>
      <w:r w:rsidRPr="00AA22C4">
        <w:rPr>
          <w:rFonts w:ascii="Lato" w:eastAsia="Arial Unicode MS" w:hAnsi="Lato"/>
          <w:bCs/>
          <w:color w:val="000000" w:themeColor="text1"/>
          <w:kern w:val="1"/>
          <w:sz w:val="22"/>
          <w:szCs w:val="22"/>
          <w:lang w:eastAsia="ar-SA"/>
        </w:rPr>
        <w:br/>
        <w:t>z wprowadzeniem przesiewu met. MS/MS – defekt wykrywany u matek badanych noworodków.</w:t>
      </w:r>
    </w:p>
    <w:p w14:paraId="37143C53"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 xml:space="preserve">Objawy: </w:t>
      </w:r>
    </w:p>
    <w:p w14:paraId="1E5B07FB"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lang w:eastAsia="ar-SA"/>
        </w:rPr>
      </w:pPr>
      <w:proofErr w:type="spellStart"/>
      <w:r w:rsidRPr="00AA22C4">
        <w:rPr>
          <w:rFonts w:ascii="Lato" w:hAnsi="Lato"/>
          <w:color w:val="000000" w:themeColor="text1"/>
          <w:kern w:val="1"/>
          <w:sz w:val="22"/>
          <w:szCs w:val="22"/>
          <w:lang w:eastAsia="ar-SA"/>
        </w:rPr>
        <w:t>Kardiomiopatia</w:t>
      </w:r>
      <w:proofErr w:type="spellEnd"/>
      <w:r w:rsidRPr="00AA22C4">
        <w:rPr>
          <w:rFonts w:ascii="Lato" w:hAnsi="Lato"/>
          <w:color w:val="000000" w:themeColor="text1"/>
          <w:kern w:val="1"/>
          <w:sz w:val="22"/>
          <w:szCs w:val="22"/>
          <w:lang w:eastAsia="ar-SA"/>
        </w:rPr>
        <w:t>, niewydolność serca, słabość mięśni, objawy wątrobowe.</w:t>
      </w:r>
    </w:p>
    <w:p w14:paraId="254DFB22"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Niedobór karnityny wewnątrzkomórkowej (mięśnie), utrata karnityny związana z niedostateczną </w:t>
      </w:r>
      <w:proofErr w:type="spellStart"/>
      <w:r w:rsidRPr="00AA22C4">
        <w:rPr>
          <w:rFonts w:ascii="Lato" w:hAnsi="Lato"/>
          <w:color w:val="000000" w:themeColor="text1"/>
          <w:kern w:val="1"/>
          <w:sz w:val="22"/>
          <w:szCs w:val="22"/>
          <w:lang w:eastAsia="ar-SA"/>
        </w:rPr>
        <w:t>reabsorpcją</w:t>
      </w:r>
      <w:proofErr w:type="spellEnd"/>
      <w:r w:rsidRPr="00AA22C4">
        <w:rPr>
          <w:rFonts w:ascii="Lato" w:hAnsi="Lato"/>
          <w:color w:val="000000" w:themeColor="text1"/>
          <w:kern w:val="1"/>
          <w:sz w:val="22"/>
          <w:szCs w:val="22"/>
          <w:lang w:eastAsia="ar-SA"/>
        </w:rPr>
        <w:t xml:space="preserve"> zwrotną w nerce.</w:t>
      </w:r>
    </w:p>
    <w:p w14:paraId="3BA7FDC0"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Diagnostyka:</w:t>
      </w:r>
    </w:p>
    <w:p w14:paraId="36BE83A5" w14:textId="77777777" w:rsidR="005E347E" w:rsidRPr="00AA22C4" w:rsidRDefault="005E347E" w:rsidP="005E347E">
      <w:pPr>
        <w:pStyle w:val="Akapitzlist"/>
        <w:numPr>
          <w:ilvl w:val="0"/>
          <w:numId w:val="56"/>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we krwi na bibule przesiewowej metodą MS/MS: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karnityna, </w:t>
      </w:r>
      <w:proofErr w:type="spellStart"/>
      <w:r w:rsidRPr="00AA22C4">
        <w:rPr>
          <w:rFonts w:ascii="Lato" w:hAnsi="Lato"/>
          <w:color w:val="000000" w:themeColor="text1"/>
          <w:sz w:val="22"/>
          <w:szCs w:val="22"/>
        </w:rPr>
        <w:t>acylokarnityny</w:t>
      </w:r>
      <w:proofErr w:type="spellEnd"/>
      <w:r w:rsidRPr="00AA22C4">
        <w:rPr>
          <w:rFonts w:ascii="Lato" w:hAnsi="Lato"/>
          <w:color w:val="000000" w:themeColor="text1"/>
          <w:sz w:val="22"/>
          <w:szCs w:val="22"/>
        </w:rPr>
        <w:t xml:space="preserve">: (zwykle </w:t>
      </w:r>
      <w:r w:rsidRPr="00AA22C4">
        <w:rPr>
          <w:rFonts w:ascii="Arial" w:hAnsi="Arial" w:cs="Arial"/>
          <w:color w:val="000000" w:themeColor="text1"/>
          <w:sz w:val="22"/>
          <w:szCs w:val="22"/>
        </w:rPr>
        <w:t>↓↓</w:t>
      </w:r>
      <w:r w:rsidRPr="00AA22C4">
        <w:rPr>
          <w:rFonts w:ascii="Lato" w:hAnsi="Lato"/>
          <w:color w:val="000000" w:themeColor="text1"/>
          <w:sz w:val="22"/>
          <w:szCs w:val="22"/>
        </w:rPr>
        <w:t>wszystkie pochodne);</w:t>
      </w:r>
    </w:p>
    <w:p w14:paraId="45CD2310" w14:textId="77777777" w:rsidR="005E347E" w:rsidRPr="00AA22C4" w:rsidRDefault="005E347E" w:rsidP="005E347E">
      <w:pPr>
        <w:pStyle w:val="Akapitzlist"/>
        <w:numPr>
          <w:ilvl w:val="0"/>
          <w:numId w:val="56"/>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w moczu analiza kwasów organicznych metodą GC/MS: brak (lub mało) kwasów dwukarboksylowych;</w:t>
      </w:r>
    </w:p>
    <w:p w14:paraId="69C6F9A5" w14:textId="77777777" w:rsidR="005E347E" w:rsidRPr="00AA22C4" w:rsidRDefault="005E347E" w:rsidP="005E347E">
      <w:pPr>
        <w:pStyle w:val="Akapitzlist"/>
        <w:numPr>
          <w:ilvl w:val="0"/>
          <w:numId w:val="56"/>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 surowicy analiza aminokwasów: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 wolna i ca</w:t>
      </w:r>
      <w:r w:rsidRPr="00AA22C4">
        <w:rPr>
          <w:rFonts w:ascii="Lato" w:hAnsi="Lato" w:cs="Lato"/>
          <w:color w:val="000000" w:themeColor="text1"/>
          <w:sz w:val="22"/>
          <w:szCs w:val="22"/>
        </w:rPr>
        <w:t>ł</w:t>
      </w:r>
      <w:r w:rsidRPr="00AA22C4">
        <w:rPr>
          <w:rFonts w:ascii="Lato" w:hAnsi="Lato"/>
          <w:color w:val="000000" w:themeColor="text1"/>
          <w:sz w:val="22"/>
          <w:szCs w:val="22"/>
        </w:rPr>
        <w:t>kowita karnityna (&lt;5-10% normy).</w:t>
      </w:r>
    </w:p>
    <w:p w14:paraId="1164312C"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Leczenie:</w:t>
      </w:r>
    </w:p>
    <w:p w14:paraId="4BBF0C9F"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Suplementacja karnityną w dużych dawkach. Dla CUD w ramach programu lekowego „Leczenie uzupełniające L-karnityną w wybranych chorobach metabolicznych”.</w:t>
      </w:r>
    </w:p>
    <w:p w14:paraId="27F90B2A" w14:textId="77777777" w:rsidR="00D23264" w:rsidRDefault="00D23264" w:rsidP="005E347E">
      <w:pPr>
        <w:suppressAutoHyphens/>
        <w:spacing w:before="360" w:after="240"/>
        <w:jc w:val="center"/>
        <w:rPr>
          <w:rFonts w:ascii="Lato" w:eastAsia="Arial Unicode MS" w:hAnsi="Lato"/>
          <w:b/>
          <w:caps/>
          <w:color w:val="000000" w:themeColor="text1"/>
          <w:kern w:val="24"/>
          <w:sz w:val="22"/>
          <w:szCs w:val="22"/>
          <w:lang w:eastAsia="ar-SA"/>
        </w:rPr>
      </w:pPr>
    </w:p>
    <w:p w14:paraId="7B540CF8" w14:textId="64AEFBA6" w:rsidR="005E347E" w:rsidRPr="00AA22C4" w:rsidRDefault="005E347E" w:rsidP="005E347E">
      <w:pPr>
        <w:suppressAutoHyphens/>
        <w:spacing w:before="360" w:after="240"/>
        <w:jc w:val="center"/>
        <w:rPr>
          <w:rFonts w:ascii="Lato" w:eastAsia="Arial Unicode MS" w:hAnsi="Lato"/>
          <w:b/>
          <w:caps/>
          <w:color w:val="000000" w:themeColor="text1"/>
          <w:kern w:val="24"/>
          <w:sz w:val="22"/>
          <w:szCs w:val="22"/>
          <w:lang w:eastAsia="ar-SA"/>
        </w:rPr>
      </w:pPr>
      <w:r w:rsidRPr="00AA22C4">
        <w:rPr>
          <w:rFonts w:ascii="Lato" w:eastAsia="Arial Unicode MS" w:hAnsi="Lato"/>
          <w:b/>
          <w:caps/>
          <w:color w:val="000000" w:themeColor="text1"/>
          <w:kern w:val="24"/>
          <w:sz w:val="22"/>
          <w:szCs w:val="22"/>
          <w:lang w:eastAsia="ar-SA"/>
        </w:rPr>
        <w:lastRenderedPageBreak/>
        <w:t>Acydurie organiczne</w:t>
      </w:r>
    </w:p>
    <w:p w14:paraId="628284CC" w14:textId="77777777" w:rsidR="005E347E" w:rsidRPr="00AA22C4" w:rsidRDefault="005E347E" w:rsidP="005E347E">
      <w:pPr>
        <w:suppressAutoHyphens/>
        <w:spacing w:before="120" w:after="120"/>
        <w:jc w:val="both"/>
        <w:rPr>
          <w:rFonts w:ascii="Lato" w:eastAsia="Arial Unicode MS" w:hAnsi="Lato"/>
          <w:color w:val="000000" w:themeColor="text1"/>
          <w:kern w:val="1"/>
          <w:sz w:val="22"/>
          <w:szCs w:val="22"/>
          <w:lang w:eastAsia="ar-SA"/>
        </w:rPr>
      </w:pPr>
      <w:proofErr w:type="spellStart"/>
      <w:r w:rsidRPr="00AA22C4">
        <w:rPr>
          <w:rFonts w:ascii="Lato" w:hAnsi="Lato"/>
          <w:color w:val="000000" w:themeColor="text1"/>
          <w:kern w:val="1"/>
          <w:sz w:val="22"/>
          <w:szCs w:val="22"/>
          <w:lang w:eastAsia="ar-SA"/>
        </w:rPr>
        <w:t>Acydurie</w:t>
      </w:r>
      <w:proofErr w:type="spellEnd"/>
      <w:r w:rsidRPr="00AA22C4">
        <w:rPr>
          <w:rFonts w:ascii="Lato" w:hAnsi="Lato"/>
          <w:color w:val="000000" w:themeColor="text1"/>
          <w:kern w:val="1"/>
          <w:sz w:val="22"/>
          <w:szCs w:val="22"/>
          <w:lang w:eastAsia="ar-SA"/>
        </w:rPr>
        <w:t xml:space="preserve"> organiczne </w:t>
      </w:r>
      <w:r w:rsidRPr="00AA22C4">
        <w:rPr>
          <w:rFonts w:ascii="Lato" w:eastAsia="Arial Unicode MS" w:hAnsi="Lato"/>
          <w:color w:val="000000" w:themeColor="text1"/>
          <w:kern w:val="1"/>
          <w:sz w:val="22"/>
          <w:szCs w:val="22"/>
          <w:lang w:eastAsia="ar-SA"/>
        </w:rPr>
        <w:t xml:space="preserve">stanowią grupę rzadkich chorób wrodzonych, które ujawniają się głównie w niemowlęctwie lub wczesnym dzieciństwie. Objawy kliniczne przypominają zatrucie, szybko nasilają się i mogą prowadzić do przedwczesnego zgonu lub trwałych dysfunkcji narządowych tzw.  zespół intoksykacji endogennej. Objawy występują w okresie noworodkowym lub we wczesnym niemowlęcym i są to wymioty, zmniejszone łaknienie, wiotkość, senność, śpiączka, bezdech, zaburzenia termoregulacji, nie rzadko wczesny zgon. Często są interpretowane jako uraz okołoporodowy. W badaniach przesiewowych noworodków </w:t>
      </w:r>
      <w:proofErr w:type="spellStart"/>
      <w:r w:rsidRPr="00AA22C4">
        <w:rPr>
          <w:rFonts w:ascii="Lato" w:eastAsia="Arial Unicode MS" w:hAnsi="Lato"/>
          <w:color w:val="000000" w:themeColor="text1"/>
          <w:kern w:val="1"/>
          <w:sz w:val="22"/>
          <w:szCs w:val="22"/>
          <w:lang w:eastAsia="ar-SA"/>
        </w:rPr>
        <w:t>acydurie</w:t>
      </w:r>
      <w:proofErr w:type="spellEnd"/>
      <w:r w:rsidRPr="00AA22C4">
        <w:rPr>
          <w:rFonts w:ascii="Lato" w:eastAsia="Arial Unicode MS" w:hAnsi="Lato"/>
          <w:color w:val="000000" w:themeColor="text1"/>
          <w:kern w:val="1"/>
          <w:sz w:val="22"/>
          <w:szCs w:val="22"/>
          <w:lang w:eastAsia="ar-SA"/>
        </w:rPr>
        <w:t xml:space="preserve"> organiczne są wykrywane metodą tandemowej spektrometrii mas (MS/MS) (7, 8, 9, 10, 33, 41).</w:t>
      </w:r>
    </w:p>
    <w:p w14:paraId="442D65F1" w14:textId="77777777" w:rsidR="005E347E" w:rsidRPr="00AA22C4" w:rsidRDefault="005E347E" w:rsidP="005E347E">
      <w:pPr>
        <w:suppressAutoHyphens/>
        <w:spacing w:before="120" w:after="120"/>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lang w:eastAsia="ar-SA"/>
        </w:rPr>
        <w:t xml:space="preserve">Podejrzenie określonej </w:t>
      </w:r>
      <w:proofErr w:type="spellStart"/>
      <w:r w:rsidRPr="00AA22C4">
        <w:rPr>
          <w:rFonts w:ascii="Lato" w:eastAsia="Arial Unicode MS" w:hAnsi="Lato"/>
          <w:color w:val="000000" w:themeColor="text1"/>
          <w:kern w:val="1"/>
          <w:sz w:val="22"/>
          <w:szCs w:val="22"/>
          <w:lang w:eastAsia="ar-SA"/>
        </w:rPr>
        <w:t>acydurii</w:t>
      </w:r>
      <w:proofErr w:type="spellEnd"/>
      <w:r w:rsidRPr="00AA22C4">
        <w:rPr>
          <w:rFonts w:ascii="Lato" w:eastAsia="Arial Unicode MS" w:hAnsi="Lato"/>
          <w:color w:val="000000" w:themeColor="text1"/>
          <w:kern w:val="1"/>
          <w:sz w:val="22"/>
          <w:szCs w:val="22"/>
          <w:lang w:eastAsia="ar-SA"/>
        </w:rPr>
        <w:t xml:space="preserve"> organicznej jest ustalane na podstawie charakterystycznego profilu </w:t>
      </w:r>
      <w:proofErr w:type="spellStart"/>
      <w:r w:rsidRPr="00AA22C4">
        <w:rPr>
          <w:rFonts w:ascii="Lato" w:eastAsia="Arial Unicode MS" w:hAnsi="Lato"/>
          <w:color w:val="000000" w:themeColor="text1"/>
          <w:kern w:val="1"/>
          <w:sz w:val="22"/>
          <w:szCs w:val="22"/>
          <w:lang w:eastAsia="ar-SA"/>
        </w:rPr>
        <w:t>acylokarnityn</w:t>
      </w:r>
      <w:proofErr w:type="spellEnd"/>
      <w:r w:rsidRPr="00AA22C4">
        <w:rPr>
          <w:rFonts w:ascii="Lato" w:eastAsia="Arial Unicode MS" w:hAnsi="Lato"/>
          <w:color w:val="000000" w:themeColor="text1"/>
          <w:kern w:val="1"/>
          <w:sz w:val="22"/>
          <w:szCs w:val="22"/>
          <w:lang w:eastAsia="ar-SA"/>
        </w:rPr>
        <w:t>.</w:t>
      </w:r>
    </w:p>
    <w:p w14:paraId="1CACB49B" w14:textId="77777777" w:rsidR="005E347E" w:rsidRPr="00AA22C4" w:rsidRDefault="005E347E" w:rsidP="00D23264">
      <w:pPr>
        <w:pStyle w:val="Akapitzlist"/>
        <w:numPr>
          <w:ilvl w:val="0"/>
          <w:numId w:val="82"/>
        </w:numPr>
        <w:spacing w:before="360" w:after="120"/>
        <w:ind w:left="1077" w:hanging="357"/>
        <w:jc w:val="both"/>
        <w:rPr>
          <w:rFonts w:ascii="Lato" w:hAnsi="Lato"/>
          <w:b/>
          <w:bCs/>
          <w:color w:val="000000" w:themeColor="text1"/>
          <w:sz w:val="22"/>
          <w:szCs w:val="22"/>
        </w:rPr>
      </w:pPr>
      <w:proofErr w:type="spellStart"/>
      <w:r w:rsidRPr="00AA22C4">
        <w:rPr>
          <w:rFonts w:ascii="Lato" w:hAnsi="Lato"/>
          <w:b/>
          <w:bCs/>
          <w:color w:val="000000" w:themeColor="text1"/>
          <w:sz w:val="22"/>
          <w:szCs w:val="22"/>
        </w:rPr>
        <w:t>Acyduria</w:t>
      </w:r>
      <w:proofErr w:type="spellEnd"/>
      <w:r w:rsidRPr="00AA22C4">
        <w:rPr>
          <w:rFonts w:ascii="Lato" w:hAnsi="Lato"/>
          <w:b/>
          <w:bCs/>
          <w:color w:val="000000" w:themeColor="text1"/>
          <w:sz w:val="22"/>
          <w:szCs w:val="22"/>
        </w:rPr>
        <w:t xml:space="preserve"> </w:t>
      </w:r>
      <w:proofErr w:type="spellStart"/>
      <w:r w:rsidRPr="00AA22C4">
        <w:rPr>
          <w:rFonts w:ascii="Lato" w:hAnsi="Lato"/>
          <w:b/>
          <w:bCs/>
          <w:color w:val="000000" w:themeColor="text1"/>
          <w:sz w:val="22"/>
          <w:szCs w:val="22"/>
        </w:rPr>
        <w:t>glutarowa</w:t>
      </w:r>
      <w:proofErr w:type="spellEnd"/>
      <w:r w:rsidRPr="00AA22C4">
        <w:rPr>
          <w:rFonts w:ascii="Lato" w:hAnsi="Lato"/>
          <w:b/>
          <w:bCs/>
          <w:color w:val="000000" w:themeColor="text1"/>
          <w:sz w:val="22"/>
          <w:szCs w:val="22"/>
        </w:rPr>
        <w:t xml:space="preserve"> typu I - GA I (Deficyt dehydrogenazy </w:t>
      </w:r>
      <w:proofErr w:type="spellStart"/>
      <w:r w:rsidRPr="00AA22C4">
        <w:rPr>
          <w:rFonts w:ascii="Lato" w:hAnsi="Lato"/>
          <w:b/>
          <w:bCs/>
          <w:color w:val="000000" w:themeColor="text1"/>
          <w:sz w:val="22"/>
          <w:szCs w:val="22"/>
        </w:rPr>
        <w:t>glutarylo-CoA</w:t>
      </w:r>
      <w:proofErr w:type="spellEnd"/>
      <w:r w:rsidRPr="00AA22C4">
        <w:rPr>
          <w:rFonts w:ascii="Lato" w:hAnsi="Lato"/>
          <w:b/>
          <w:bCs/>
          <w:color w:val="000000" w:themeColor="text1"/>
          <w:sz w:val="22"/>
          <w:szCs w:val="22"/>
        </w:rPr>
        <w:t xml:space="preserve"> GCDH)</w:t>
      </w:r>
    </w:p>
    <w:p w14:paraId="289960EC"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u w:val="single"/>
          <w:lang w:eastAsia="ar-SA"/>
        </w:rPr>
        <w:t>Opis:</w:t>
      </w:r>
    </w:p>
    <w:p w14:paraId="1F280392" w14:textId="77777777" w:rsidR="005E347E" w:rsidRPr="00AA22C4" w:rsidRDefault="005E347E" w:rsidP="005E347E">
      <w:pPr>
        <w:suppressAutoHyphens/>
        <w:spacing w:before="120" w:after="120"/>
        <w:jc w:val="both"/>
        <w:rPr>
          <w:rFonts w:ascii="Lato" w:eastAsia="Arial Unicode MS" w:hAnsi="Lato"/>
          <w:bCs/>
          <w:color w:val="000000" w:themeColor="text1"/>
          <w:kern w:val="1"/>
          <w:sz w:val="22"/>
          <w:szCs w:val="22"/>
          <w:lang w:eastAsia="ar-SA"/>
        </w:rPr>
      </w:pPr>
      <w:r w:rsidRPr="00AA22C4">
        <w:rPr>
          <w:rFonts w:ascii="Lato" w:eastAsia="Arial Unicode MS" w:hAnsi="Lato"/>
          <w:bCs/>
          <w:color w:val="000000" w:themeColor="text1"/>
          <w:kern w:val="1"/>
          <w:sz w:val="22"/>
          <w:szCs w:val="22"/>
          <w:lang w:eastAsia="ar-SA"/>
        </w:rPr>
        <w:t>Częstość występowania choroby szacuje się na około występowania 1:40 000 – 1:80 000 (12,13). Jest spowodowana</w:t>
      </w:r>
      <w:r w:rsidRPr="00AA22C4">
        <w:rPr>
          <w:rFonts w:ascii="Lato" w:eastAsia="Arial Unicode MS" w:hAnsi="Lato"/>
          <w:color w:val="000000" w:themeColor="text1"/>
          <w:kern w:val="1"/>
          <w:sz w:val="22"/>
          <w:szCs w:val="22"/>
          <w:lang w:eastAsia="ar-SA"/>
        </w:rPr>
        <w:t xml:space="preserve"> deficytem enzymu </w:t>
      </w:r>
      <w:r w:rsidRPr="00AA22C4">
        <w:rPr>
          <w:rFonts w:ascii="Lato" w:eastAsia="Arial Unicode MS" w:hAnsi="Lato"/>
          <w:bCs/>
          <w:color w:val="000000" w:themeColor="text1"/>
          <w:kern w:val="1"/>
          <w:sz w:val="22"/>
          <w:szCs w:val="22"/>
          <w:lang w:eastAsia="ar-SA"/>
        </w:rPr>
        <w:t xml:space="preserve">GCDH (enzym </w:t>
      </w:r>
      <w:r w:rsidRPr="00AA22C4">
        <w:rPr>
          <w:rFonts w:ascii="Lato" w:hAnsi="Lato"/>
          <w:color w:val="000000" w:themeColor="text1"/>
          <w:kern w:val="1"/>
          <w:sz w:val="22"/>
          <w:szCs w:val="22"/>
          <w:lang w:eastAsia="ar-SA"/>
        </w:rPr>
        <w:t>w szlaku lizyny i tryptofanu).</w:t>
      </w:r>
    </w:p>
    <w:p w14:paraId="5D1DB69A"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u w:val="single"/>
          <w:lang w:eastAsia="ar-SA"/>
        </w:rPr>
        <w:t xml:space="preserve">Objawy: </w:t>
      </w:r>
    </w:p>
    <w:p w14:paraId="57F3257C" w14:textId="76AC6241"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Makrocefalia, w mózgu zanik czołowo-ciemieniowy i destrukcja prążkowa; kryzy ostrej encefalopatii (zwykle w wieku 6 - 18</w:t>
      </w:r>
      <w:r w:rsidR="000518C7" w:rsidRPr="00AA22C4">
        <w:rPr>
          <w:rFonts w:ascii="Lato" w:hAnsi="Lato"/>
          <w:color w:val="000000" w:themeColor="text1"/>
          <w:kern w:val="1"/>
          <w:sz w:val="22"/>
          <w:szCs w:val="22"/>
          <w:lang w:eastAsia="ar-SA"/>
        </w:rPr>
        <w:t xml:space="preserve"> </w:t>
      </w:r>
      <w:proofErr w:type="spellStart"/>
      <w:r w:rsidR="000518C7" w:rsidRPr="00AA22C4">
        <w:rPr>
          <w:rFonts w:ascii="Lato" w:hAnsi="Lato"/>
          <w:color w:val="000000" w:themeColor="text1"/>
          <w:kern w:val="1"/>
          <w:sz w:val="22"/>
          <w:szCs w:val="22"/>
          <w:lang w:eastAsia="ar-SA"/>
        </w:rPr>
        <w:t>m.ż</w:t>
      </w:r>
      <w:proofErr w:type="spellEnd"/>
      <w:r w:rsidR="000518C7" w:rsidRPr="00AA22C4">
        <w:rPr>
          <w:rFonts w:ascii="Lato" w:hAnsi="Lato"/>
          <w:color w:val="000000" w:themeColor="text1"/>
          <w:kern w:val="1"/>
          <w:sz w:val="22"/>
          <w:szCs w:val="22"/>
          <w:lang w:eastAsia="ar-SA"/>
        </w:rPr>
        <w:t>.</w:t>
      </w:r>
      <w:r w:rsidRPr="00AA22C4">
        <w:rPr>
          <w:rFonts w:ascii="Lato" w:hAnsi="Lato"/>
          <w:color w:val="000000" w:themeColor="text1"/>
          <w:kern w:val="1"/>
          <w:sz w:val="22"/>
          <w:szCs w:val="22"/>
          <w:lang w:eastAsia="ar-SA"/>
        </w:rPr>
        <w:t>) z następowymi ciężkimi objawami dystoniczno-</w:t>
      </w:r>
      <w:proofErr w:type="spellStart"/>
      <w:r w:rsidRPr="00AA22C4">
        <w:rPr>
          <w:rFonts w:ascii="Lato" w:hAnsi="Lato"/>
          <w:color w:val="000000" w:themeColor="text1"/>
          <w:kern w:val="1"/>
          <w:sz w:val="22"/>
          <w:szCs w:val="22"/>
          <w:lang w:eastAsia="ar-SA"/>
        </w:rPr>
        <w:t>dyskinetycznymi</w:t>
      </w:r>
      <w:proofErr w:type="spellEnd"/>
      <w:r w:rsidRPr="00AA22C4">
        <w:rPr>
          <w:rFonts w:ascii="Lato" w:hAnsi="Lato"/>
          <w:color w:val="000000" w:themeColor="text1"/>
          <w:kern w:val="1"/>
          <w:sz w:val="22"/>
          <w:szCs w:val="22"/>
          <w:lang w:eastAsia="ar-SA"/>
        </w:rPr>
        <w:t>; leukoencefalopatia u dorosłych. Występują postacie GA I z małym wydalaniem metabolitów tzw. „</w:t>
      </w:r>
      <w:proofErr w:type="spellStart"/>
      <w:r w:rsidRPr="00AA22C4">
        <w:rPr>
          <w:rFonts w:ascii="Lato" w:hAnsi="Lato"/>
          <w:i/>
          <w:color w:val="000000" w:themeColor="text1"/>
          <w:kern w:val="1"/>
          <w:sz w:val="22"/>
          <w:szCs w:val="22"/>
          <w:lang w:eastAsia="ar-SA"/>
        </w:rPr>
        <w:t>low</w:t>
      </w:r>
      <w:proofErr w:type="spellEnd"/>
      <w:r w:rsidRPr="00AA22C4">
        <w:rPr>
          <w:rFonts w:ascii="Lato" w:hAnsi="Lato"/>
          <w:i/>
          <w:color w:val="000000" w:themeColor="text1"/>
          <w:kern w:val="1"/>
          <w:sz w:val="22"/>
          <w:szCs w:val="22"/>
          <w:lang w:eastAsia="ar-SA"/>
        </w:rPr>
        <w:t xml:space="preserve"> </w:t>
      </w:r>
      <w:proofErr w:type="spellStart"/>
      <w:r w:rsidRPr="00AA22C4">
        <w:rPr>
          <w:rFonts w:ascii="Lato" w:hAnsi="Lato"/>
          <w:i/>
          <w:color w:val="000000" w:themeColor="text1"/>
          <w:kern w:val="1"/>
          <w:sz w:val="22"/>
          <w:szCs w:val="22"/>
          <w:lang w:eastAsia="ar-SA"/>
        </w:rPr>
        <w:t>excretors</w:t>
      </w:r>
      <w:proofErr w:type="spellEnd"/>
      <w:r w:rsidRPr="00AA22C4">
        <w:rPr>
          <w:rFonts w:ascii="Lato" w:hAnsi="Lato"/>
          <w:color w:val="000000" w:themeColor="text1"/>
          <w:kern w:val="1"/>
          <w:sz w:val="22"/>
          <w:szCs w:val="22"/>
          <w:lang w:eastAsia="ar-SA"/>
        </w:rPr>
        <w:t>”.</w:t>
      </w:r>
    </w:p>
    <w:p w14:paraId="25F1E356"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u w:val="single"/>
          <w:lang w:eastAsia="ar-SA"/>
        </w:rPr>
        <w:t>Diagnostyka</w:t>
      </w:r>
      <w:r w:rsidRPr="00AA22C4">
        <w:rPr>
          <w:rFonts w:ascii="Lato" w:hAnsi="Lato"/>
          <w:color w:val="000000" w:themeColor="text1"/>
          <w:kern w:val="1"/>
          <w:sz w:val="22"/>
          <w:szCs w:val="22"/>
          <w:lang w:eastAsia="ar-SA"/>
        </w:rPr>
        <w:t>:</w:t>
      </w:r>
    </w:p>
    <w:p w14:paraId="4BAB1330" w14:textId="46B79D88" w:rsidR="005E347E" w:rsidRPr="00AA22C4" w:rsidRDefault="00E957E5" w:rsidP="00AA22C4">
      <w:pPr>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1) </w:t>
      </w:r>
      <w:r w:rsidR="005E347E" w:rsidRPr="00AA22C4">
        <w:rPr>
          <w:rFonts w:ascii="Lato" w:hAnsi="Lato"/>
          <w:color w:val="000000" w:themeColor="text1"/>
          <w:sz w:val="22"/>
          <w:szCs w:val="22"/>
        </w:rPr>
        <w:t xml:space="preserve">we krwi na bibule przesiewowej metodą MS/MS: </w:t>
      </w:r>
      <w:r w:rsidR="005E347E" w:rsidRPr="00AA22C4">
        <w:rPr>
          <w:rFonts w:ascii="Arial" w:hAnsi="Arial" w:cs="Arial" w:hint="eastAsia"/>
          <w:color w:val="000000" w:themeColor="text1"/>
          <w:sz w:val="22"/>
          <w:szCs w:val="22"/>
        </w:rPr>
        <w:t>↑</w:t>
      </w:r>
      <w:r w:rsidR="005E347E" w:rsidRPr="00AA22C4">
        <w:rPr>
          <w:rFonts w:ascii="Lato" w:hAnsi="Lato"/>
          <w:color w:val="000000" w:themeColor="text1"/>
          <w:sz w:val="22"/>
          <w:szCs w:val="22"/>
        </w:rPr>
        <w:t xml:space="preserve">C5DC, </w:t>
      </w:r>
      <w:r w:rsidR="005E347E" w:rsidRPr="00AA22C4">
        <w:rPr>
          <w:rFonts w:ascii="Arial" w:hAnsi="Arial" w:cs="Arial" w:hint="eastAsia"/>
          <w:color w:val="000000" w:themeColor="text1"/>
          <w:sz w:val="22"/>
          <w:szCs w:val="22"/>
        </w:rPr>
        <w:t>↑</w:t>
      </w:r>
      <w:r w:rsidR="005E347E" w:rsidRPr="00AA22C4">
        <w:rPr>
          <w:rFonts w:ascii="Lato" w:hAnsi="Lato"/>
          <w:color w:val="000000" w:themeColor="text1"/>
          <w:sz w:val="22"/>
          <w:szCs w:val="22"/>
        </w:rPr>
        <w:t xml:space="preserve">C5-DC/C8, </w:t>
      </w:r>
      <w:r w:rsidR="005E347E" w:rsidRPr="00AA22C4">
        <w:rPr>
          <w:rFonts w:ascii="Arial" w:hAnsi="Arial" w:cs="Arial" w:hint="eastAsia"/>
          <w:color w:val="000000" w:themeColor="text1"/>
          <w:sz w:val="22"/>
          <w:szCs w:val="22"/>
        </w:rPr>
        <w:t>↓</w:t>
      </w:r>
      <w:r w:rsidR="005E347E" w:rsidRPr="00AA22C4">
        <w:rPr>
          <w:rFonts w:ascii="Lato" w:hAnsi="Lato"/>
          <w:color w:val="000000" w:themeColor="text1"/>
          <w:sz w:val="22"/>
          <w:szCs w:val="22"/>
        </w:rPr>
        <w:t>C0;</w:t>
      </w:r>
    </w:p>
    <w:p w14:paraId="7D0BF412" w14:textId="4E423F04" w:rsidR="005E347E" w:rsidRPr="00AA22C4" w:rsidRDefault="00E957E5" w:rsidP="00AA22C4">
      <w:pPr>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2) </w:t>
      </w:r>
      <w:r w:rsidR="005E347E" w:rsidRPr="00AA22C4">
        <w:rPr>
          <w:rFonts w:ascii="Lato" w:hAnsi="Lato"/>
          <w:color w:val="000000" w:themeColor="text1"/>
          <w:sz w:val="22"/>
          <w:szCs w:val="22"/>
        </w:rPr>
        <w:t xml:space="preserve">w moczu analiza kwasów organicznych metodą GC/MS: </w:t>
      </w:r>
      <w:r w:rsidR="005E347E" w:rsidRPr="00AA22C4">
        <w:rPr>
          <w:rFonts w:ascii="Arial" w:hAnsi="Arial" w:cs="Arial" w:hint="eastAsia"/>
          <w:color w:val="000000" w:themeColor="text1"/>
          <w:sz w:val="22"/>
          <w:szCs w:val="22"/>
        </w:rPr>
        <w:t>↑</w:t>
      </w:r>
      <w:r w:rsidR="005E347E" w:rsidRPr="00AA22C4">
        <w:rPr>
          <w:rFonts w:ascii="Lato" w:hAnsi="Lato"/>
          <w:color w:val="000000" w:themeColor="text1"/>
          <w:sz w:val="22"/>
          <w:szCs w:val="22"/>
        </w:rPr>
        <w:t xml:space="preserve">Kwas </w:t>
      </w:r>
      <w:proofErr w:type="spellStart"/>
      <w:r w:rsidR="005E347E" w:rsidRPr="00AA22C4">
        <w:rPr>
          <w:rFonts w:ascii="Lato" w:hAnsi="Lato"/>
          <w:color w:val="000000" w:themeColor="text1"/>
          <w:sz w:val="22"/>
          <w:szCs w:val="22"/>
        </w:rPr>
        <w:t>glutarowy</w:t>
      </w:r>
      <w:proofErr w:type="spellEnd"/>
      <w:r w:rsidR="005E347E" w:rsidRPr="00AA22C4">
        <w:rPr>
          <w:rFonts w:ascii="Lato" w:hAnsi="Lato"/>
          <w:color w:val="000000" w:themeColor="text1"/>
          <w:sz w:val="22"/>
          <w:szCs w:val="22"/>
        </w:rPr>
        <w:t xml:space="preserve">, kwas </w:t>
      </w:r>
      <w:r w:rsidR="005E347E" w:rsidRPr="00AA22C4">
        <w:rPr>
          <w:rFonts w:ascii="Lato" w:hAnsi="Lato"/>
          <w:color w:val="000000" w:themeColor="text1"/>
          <w:sz w:val="22"/>
          <w:szCs w:val="22"/>
        </w:rPr>
        <w:br/>
        <w:t>3-OH-glutarowy (diagnostyczny)</w:t>
      </w:r>
      <w:r w:rsidR="000904EF" w:rsidRPr="00AA22C4">
        <w:rPr>
          <w:rFonts w:ascii="Lato" w:hAnsi="Lato"/>
          <w:color w:val="000000" w:themeColor="text1"/>
          <w:sz w:val="22"/>
          <w:szCs w:val="22"/>
        </w:rPr>
        <w:t>;</w:t>
      </w:r>
    </w:p>
    <w:p w14:paraId="4E9F5C5C" w14:textId="6A57C154" w:rsidR="005E347E" w:rsidRPr="00AA22C4" w:rsidRDefault="00E957E5" w:rsidP="00AA22C4">
      <w:pPr>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3) </w:t>
      </w:r>
      <w:r w:rsidR="005E347E" w:rsidRPr="00AA22C4">
        <w:rPr>
          <w:rFonts w:ascii="Lato" w:hAnsi="Lato"/>
          <w:color w:val="000000" w:themeColor="text1"/>
          <w:sz w:val="22"/>
          <w:szCs w:val="22"/>
        </w:rPr>
        <w:t xml:space="preserve">diagnostyka różnicowa: deficyt wielu dehydrogenaz </w:t>
      </w:r>
      <w:proofErr w:type="spellStart"/>
      <w:r w:rsidR="005E347E" w:rsidRPr="00AA22C4">
        <w:rPr>
          <w:rFonts w:ascii="Lato" w:hAnsi="Lato"/>
          <w:color w:val="000000" w:themeColor="text1"/>
          <w:sz w:val="22"/>
          <w:szCs w:val="22"/>
        </w:rPr>
        <w:t>acylo</w:t>
      </w:r>
      <w:proofErr w:type="spellEnd"/>
      <w:r w:rsidR="005E347E" w:rsidRPr="00AA22C4">
        <w:rPr>
          <w:rFonts w:ascii="Lato" w:hAnsi="Lato"/>
          <w:color w:val="000000" w:themeColor="text1"/>
          <w:sz w:val="22"/>
          <w:szCs w:val="22"/>
        </w:rPr>
        <w:t xml:space="preserve"> </w:t>
      </w:r>
      <w:proofErr w:type="spellStart"/>
      <w:r w:rsidR="005E347E" w:rsidRPr="00AA22C4">
        <w:rPr>
          <w:rFonts w:ascii="Lato" w:hAnsi="Lato"/>
          <w:color w:val="000000" w:themeColor="text1"/>
          <w:sz w:val="22"/>
          <w:szCs w:val="22"/>
        </w:rPr>
        <w:t>CoA</w:t>
      </w:r>
      <w:proofErr w:type="spellEnd"/>
      <w:r w:rsidR="005E347E" w:rsidRPr="00AA22C4">
        <w:rPr>
          <w:rFonts w:ascii="Lato" w:hAnsi="Lato"/>
          <w:color w:val="000000" w:themeColor="text1"/>
          <w:sz w:val="22"/>
          <w:szCs w:val="22"/>
        </w:rPr>
        <w:t xml:space="preserve"> = </w:t>
      </w:r>
      <w:proofErr w:type="spellStart"/>
      <w:r w:rsidR="005E347E" w:rsidRPr="00AA22C4">
        <w:rPr>
          <w:rFonts w:ascii="Lato" w:hAnsi="Lato"/>
          <w:color w:val="000000" w:themeColor="text1"/>
          <w:sz w:val="22"/>
          <w:szCs w:val="22"/>
        </w:rPr>
        <w:t>acyduria</w:t>
      </w:r>
      <w:proofErr w:type="spellEnd"/>
      <w:r w:rsidR="005E347E" w:rsidRPr="00AA22C4">
        <w:rPr>
          <w:rFonts w:ascii="Lato" w:hAnsi="Lato"/>
          <w:color w:val="000000" w:themeColor="text1"/>
          <w:sz w:val="22"/>
          <w:szCs w:val="22"/>
        </w:rPr>
        <w:t xml:space="preserve"> </w:t>
      </w:r>
      <w:proofErr w:type="spellStart"/>
      <w:r w:rsidR="005E347E" w:rsidRPr="00AA22C4">
        <w:rPr>
          <w:rFonts w:ascii="Lato" w:hAnsi="Lato"/>
          <w:color w:val="000000" w:themeColor="text1"/>
          <w:sz w:val="22"/>
          <w:szCs w:val="22"/>
        </w:rPr>
        <w:t>glutarowa</w:t>
      </w:r>
      <w:proofErr w:type="spellEnd"/>
      <w:r w:rsidR="005E347E" w:rsidRPr="00AA22C4">
        <w:rPr>
          <w:rFonts w:ascii="Lato" w:hAnsi="Lato"/>
          <w:color w:val="000000" w:themeColor="text1"/>
          <w:sz w:val="22"/>
          <w:szCs w:val="22"/>
        </w:rPr>
        <w:t xml:space="preserve"> typu II);</w:t>
      </w:r>
    </w:p>
    <w:p w14:paraId="52A71F25" w14:textId="7318AF23" w:rsidR="005E347E" w:rsidRPr="00AA22C4" w:rsidRDefault="00E957E5" w:rsidP="00AA22C4">
      <w:pPr>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4) </w:t>
      </w:r>
      <w:r w:rsidR="005E347E" w:rsidRPr="00AA22C4">
        <w:rPr>
          <w:rFonts w:ascii="Lato" w:hAnsi="Lato"/>
          <w:color w:val="000000" w:themeColor="text1"/>
          <w:sz w:val="22"/>
          <w:szCs w:val="22"/>
        </w:rPr>
        <w:t xml:space="preserve">badania molekularne: analiza genu </w:t>
      </w:r>
      <w:r w:rsidR="005E347E" w:rsidRPr="00AA22C4">
        <w:rPr>
          <w:rFonts w:ascii="Lato" w:hAnsi="Lato"/>
          <w:i/>
          <w:color w:val="000000" w:themeColor="text1"/>
          <w:sz w:val="22"/>
          <w:szCs w:val="22"/>
        </w:rPr>
        <w:t>GCDH.</w:t>
      </w:r>
    </w:p>
    <w:p w14:paraId="7062B398"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Leczenie:</w:t>
      </w:r>
    </w:p>
    <w:p w14:paraId="1590B04E" w14:textId="77777777" w:rsidR="005E347E"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Dieta z ograniczeniem prekursorów kwasu </w:t>
      </w:r>
      <w:proofErr w:type="spellStart"/>
      <w:r w:rsidRPr="00AA22C4">
        <w:rPr>
          <w:rFonts w:ascii="Lato" w:hAnsi="Lato"/>
          <w:color w:val="000000" w:themeColor="text1"/>
          <w:kern w:val="1"/>
          <w:sz w:val="22"/>
          <w:szCs w:val="22"/>
          <w:lang w:eastAsia="ar-SA"/>
        </w:rPr>
        <w:t>glutarowego</w:t>
      </w:r>
      <w:proofErr w:type="spellEnd"/>
      <w:r w:rsidRPr="00AA22C4">
        <w:rPr>
          <w:rFonts w:ascii="Lato" w:hAnsi="Lato"/>
          <w:color w:val="000000" w:themeColor="text1"/>
          <w:kern w:val="1"/>
          <w:sz w:val="22"/>
          <w:szCs w:val="22"/>
          <w:lang w:eastAsia="ar-SA"/>
        </w:rPr>
        <w:t>, tj. lizyny, tryptofanu. Suplementacja karnityny w dużych dawkach w ramach programu lekowego „Leczenie uzupełniające L-karnityną w wybranych chorobach metabolicznych”</w:t>
      </w:r>
    </w:p>
    <w:p w14:paraId="3ED18A13" w14:textId="77777777" w:rsidR="00D23264" w:rsidRPr="00AA22C4" w:rsidRDefault="00D23264" w:rsidP="005E347E">
      <w:pPr>
        <w:suppressAutoHyphens/>
        <w:spacing w:before="120" w:after="120"/>
        <w:jc w:val="both"/>
        <w:rPr>
          <w:rFonts w:ascii="Lato" w:hAnsi="Lato"/>
          <w:color w:val="000000" w:themeColor="text1"/>
          <w:kern w:val="1"/>
          <w:sz w:val="22"/>
          <w:szCs w:val="22"/>
          <w:lang w:eastAsia="ar-SA"/>
        </w:rPr>
      </w:pPr>
    </w:p>
    <w:p w14:paraId="6AC84AF8" w14:textId="77777777" w:rsidR="005E347E" w:rsidRPr="00AA22C4" w:rsidRDefault="005E347E" w:rsidP="00D23264">
      <w:pPr>
        <w:pStyle w:val="Akapitzlist"/>
        <w:numPr>
          <w:ilvl w:val="0"/>
          <w:numId w:val="82"/>
        </w:numPr>
        <w:spacing w:before="360" w:after="240"/>
        <w:ind w:left="1077" w:hanging="357"/>
        <w:jc w:val="both"/>
        <w:rPr>
          <w:rFonts w:ascii="Lato" w:hAnsi="Lato"/>
          <w:b/>
          <w:bCs/>
          <w:color w:val="000000" w:themeColor="text1"/>
          <w:sz w:val="22"/>
          <w:szCs w:val="22"/>
        </w:rPr>
      </w:pPr>
      <w:r w:rsidRPr="00AA22C4">
        <w:rPr>
          <w:rFonts w:ascii="Lato" w:hAnsi="Lato"/>
          <w:b/>
          <w:bCs/>
          <w:color w:val="000000" w:themeColor="text1"/>
          <w:sz w:val="22"/>
          <w:szCs w:val="22"/>
        </w:rPr>
        <w:lastRenderedPageBreak/>
        <w:t xml:space="preserve">Deficyt wielu dehydrogenaz </w:t>
      </w:r>
      <w:proofErr w:type="spellStart"/>
      <w:r w:rsidRPr="00AA22C4">
        <w:rPr>
          <w:rFonts w:ascii="Lato" w:hAnsi="Lato"/>
          <w:b/>
          <w:bCs/>
          <w:color w:val="000000" w:themeColor="text1"/>
          <w:sz w:val="22"/>
          <w:szCs w:val="22"/>
        </w:rPr>
        <w:t>acylo-CoA</w:t>
      </w:r>
      <w:proofErr w:type="spellEnd"/>
      <w:r w:rsidRPr="00AA22C4">
        <w:rPr>
          <w:rFonts w:ascii="Lato" w:hAnsi="Lato"/>
          <w:b/>
          <w:bCs/>
          <w:color w:val="000000" w:themeColor="text1"/>
          <w:sz w:val="22"/>
          <w:szCs w:val="22"/>
        </w:rPr>
        <w:t xml:space="preserve"> - MADD, </w:t>
      </w:r>
      <w:proofErr w:type="spellStart"/>
      <w:r w:rsidRPr="00AA22C4">
        <w:rPr>
          <w:rFonts w:ascii="Lato" w:hAnsi="Lato"/>
          <w:b/>
          <w:bCs/>
          <w:color w:val="000000" w:themeColor="text1"/>
          <w:sz w:val="22"/>
          <w:szCs w:val="22"/>
        </w:rPr>
        <w:t>acyduria</w:t>
      </w:r>
      <w:proofErr w:type="spellEnd"/>
      <w:r w:rsidRPr="00AA22C4">
        <w:rPr>
          <w:rFonts w:ascii="Lato" w:hAnsi="Lato"/>
          <w:b/>
          <w:bCs/>
          <w:color w:val="000000" w:themeColor="text1"/>
          <w:sz w:val="22"/>
          <w:szCs w:val="22"/>
        </w:rPr>
        <w:t xml:space="preserve"> </w:t>
      </w:r>
      <w:proofErr w:type="spellStart"/>
      <w:r w:rsidRPr="00AA22C4">
        <w:rPr>
          <w:rFonts w:ascii="Lato" w:hAnsi="Lato"/>
          <w:b/>
          <w:bCs/>
          <w:color w:val="000000" w:themeColor="text1"/>
          <w:sz w:val="22"/>
          <w:szCs w:val="22"/>
        </w:rPr>
        <w:t>glutarowa</w:t>
      </w:r>
      <w:proofErr w:type="spellEnd"/>
      <w:r w:rsidRPr="00AA22C4">
        <w:rPr>
          <w:rFonts w:ascii="Lato" w:hAnsi="Lato"/>
          <w:b/>
          <w:bCs/>
          <w:color w:val="000000" w:themeColor="text1"/>
          <w:sz w:val="22"/>
          <w:szCs w:val="22"/>
        </w:rPr>
        <w:t xml:space="preserve"> typu II –GA II</w:t>
      </w:r>
    </w:p>
    <w:p w14:paraId="20F0F37F"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u w:val="single"/>
          <w:lang w:eastAsia="ar-SA"/>
        </w:rPr>
        <w:t>Opis:</w:t>
      </w:r>
    </w:p>
    <w:p w14:paraId="56BA1C16"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Zaburzony transfer elektronów z FAD-zależnych dehydrogenaz na łańcuch oddechowy spowodowany defektem flawoproteiny przenoszącej elektrony (ang. </w:t>
      </w:r>
      <w:proofErr w:type="spellStart"/>
      <w:r w:rsidRPr="00AA22C4">
        <w:rPr>
          <w:rFonts w:ascii="Lato" w:hAnsi="Lato"/>
          <w:i/>
          <w:color w:val="000000" w:themeColor="text1"/>
          <w:kern w:val="1"/>
          <w:sz w:val="22"/>
          <w:szCs w:val="22"/>
          <w:lang w:eastAsia="ar-SA"/>
        </w:rPr>
        <w:t>electron</w:t>
      </w:r>
      <w:proofErr w:type="spellEnd"/>
      <w:r w:rsidRPr="00AA22C4">
        <w:rPr>
          <w:rFonts w:ascii="Lato" w:hAnsi="Lato"/>
          <w:i/>
          <w:color w:val="000000" w:themeColor="text1"/>
          <w:kern w:val="1"/>
          <w:sz w:val="22"/>
          <w:szCs w:val="22"/>
          <w:lang w:eastAsia="ar-SA"/>
        </w:rPr>
        <w:t xml:space="preserve"> transfer </w:t>
      </w:r>
      <w:proofErr w:type="spellStart"/>
      <w:r w:rsidRPr="00AA22C4">
        <w:rPr>
          <w:rFonts w:ascii="Lato" w:hAnsi="Lato"/>
          <w:i/>
          <w:color w:val="000000" w:themeColor="text1"/>
          <w:kern w:val="1"/>
          <w:sz w:val="22"/>
          <w:szCs w:val="22"/>
          <w:lang w:eastAsia="ar-SA"/>
        </w:rPr>
        <w:t>flavoprotein</w:t>
      </w:r>
      <w:proofErr w:type="spellEnd"/>
      <w:r w:rsidRPr="00AA22C4">
        <w:rPr>
          <w:rFonts w:ascii="Lato" w:hAnsi="Lato"/>
          <w:color w:val="000000" w:themeColor="text1"/>
          <w:kern w:val="1"/>
          <w:sz w:val="22"/>
          <w:szCs w:val="22"/>
          <w:lang w:eastAsia="ar-SA"/>
        </w:rPr>
        <w:t xml:space="preserve">, ETF) lub deficytem oksydoreduktazy (ETF): koenzym Q (ETF-QO); powoduje nie tylko upośledzenie utleniania kwasów tłuszczowych, ale także zaburza funkcję dehydrogenaz w metabolizmie aminokwasów (np. walina, leucyna, izoleucyna, tyrozyna, lizyna). W postaci noworodkowej zwykle zgon w pierwszych tygodniach życia. W związku z wydalanymi metabolitami używana jest nazwa </w:t>
      </w:r>
      <w:proofErr w:type="spellStart"/>
      <w:r w:rsidRPr="00AA22C4">
        <w:rPr>
          <w:rFonts w:ascii="Lato" w:hAnsi="Lato"/>
          <w:color w:val="000000" w:themeColor="text1"/>
          <w:kern w:val="1"/>
          <w:sz w:val="22"/>
          <w:szCs w:val="22"/>
          <w:lang w:eastAsia="ar-SA"/>
        </w:rPr>
        <w:t>acyduria</w:t>
      </w:r>
      <w:proofErr w:type="spellEnd"/>
      <w:r w:rsidRPr="00AA22C4">
        <w:rPr>
          <w:rFonts w:ascii="Lato" w:hAnsi="Lato"/>
          <w:color w:val="000000" w:themeColor="text1"/>
          <w:kern w:val="1"/>
          <w:sz w:val="22"/>
          <w:szCs w:val="22"/>
          <w:lang w:eastAsia="ar-SA"/>
        </w:rPr>
        <w:t xml:space="preserve"> </w:t>
      </w:r>
      <w:proofErr w:type="spellStart"/>
      <w:r w:rsidRPr="00AA22C4">
        <w:rPr>
          <w:rFonts w:ascii="Lato" w:hAnsi="Lato"/>
          <w:color w:val="000000" w:themeColor="text1"/>
          <w:kern w:val="1"/>
          <w:sz w:val="22"/>
          <w:szCs w:val="22"/>
          <w:lang w:eastAsia="ar-SA"/>
        </w:rPr>
        <w:t>glutarowa</w:t>
      </w:r>
      <w:proofErr w:type="spellEnd"/>
      <w:r w:rsidRPr="00AA22C4">
        <w:rPr>
          <w:rFonts w:ascii="Lato" w:hAnsi="Lato"/>
          <w:color w:val="000000" w:themeColor="text1"/>
          <w:kern w:val="1"/>
          <w:sz w:val="22"/>
          <w:szCs w:val="22"/>
          <w:lang w:eastAsia="ar-SA"/>
        </w:rPr>
        <w:t xml:space="preserve"> typu II (GA II).</w:t>
      </w:r>
    </w:p>
    <w:p w14:paraId="3CD466BD"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u w:val="single"/>
          <w:lang w:eastAsia="ar-SA"/>
        </w:rPr>
        <w:t>Objawy:</w:t>
      </w:r>
    </w:p>
    <w:p w14:paraId="3B7625F8"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Postać ciężka: malformacje twarzy i mózgu, cysty w nerkach, postępująca encefalopatia, padaczka.</w:t>
      </w:r>
    </w:p>
    <w:p w14:paraId="3E9B759C"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Postać łagodna: nawracające wymioty z hipoglikemią </w:t>
      </w:r>
      <w:proofErr w:type="spellStart"/>
      <w:r w:rsidRPr="00AA22C4">
        <w:rPr>
          <w:rFonts w:ascii="Lato" w:hAnsi="Lato"/>
          <w:color w:val="000000" w:themeColor="text1"/>
          <w:kern w:val="1"/>
          <w:sz w:val="22"/>
          <w:szCs w:val="22"/>
          <w:lang w:eastAsia="ar-SA"/>
        </w:rPr>
        <w:t>hypoketotyczną</w:t>
      </w:r>
      <w:proofErr w:type="spellEnd"/>
      <w:r w:rsidRPr="00AA22C4">
        <w:rPr>
          <w:rFonts w:ascii="Lato" w:hAnsi="Lato"/>
          <w:color w:val="000000" w:themeColor="text1"/>
          <w:kern w:val="1"/>
          <w:sz w:val="22"/>
          <w:szCs w:val="22"/>
          <w:lang w:eastAsia="ar-SA"/>
        </w:rPr>
        <w:t xml:space="preserve"> i kwasicą metaboliczną.</w:t>
      </w:r>
    </w:p>
    <w:p w14:paraId="6CFBA554" w14:textId="77777777" w:rsidR="005E347E" w:rsidRPr="00AA22C4" w:rsidRDefault="005E347E" w:rsidP="005E347E">
      <w:pPr>
        <w:suppressAutoHyphens/>
        <w:spacing w:before="120" w:after="120"/>
        <w:contextualSpacing/>
        <w:jc w:val="both"/>
        <w:rPr>
          <w:rFonts w:ascii="Lato" w:hAnsi="Lato"/>
          <w:bCs/>
          <w:color w:val="000000" w:themeColor="text1"/>
          <w:kern w:val="1"/>
          <w:sz w:val="22"/>
          <w:szCs w:val="22"/>
          <w:u w:val="single"/>
          <w:lang w:eastAsia="ar-SA"/>
        </w:rPr>
      </w:pPr>
      <w:r w:rsidRPr="00AA22C4">
        <w:rPr>
          <w:rFonts w:ascii="Lato" w:hAnsi="Lato"/>
          <w:bCs/>
          <w:color w:val="000000" w:themeColor="text1"/>
          <w:kern w:val="1"/>
          <w:sz w:val="22"/>
          <w:szCs w:val="22"/>
          <w:u w:val="single"/>
          <w:lang w:eastAsia="ar-SA"/>
        </w:rPr>
        <w:t>Diagnostyka:</w:t>
      </w:r>
    </w:p>
    <w:p w14:paraId="0D02888C" w14:textId="5E7854F1" w:rsidR="005E347E" w:rsidRPr="00AA22C4" w:rsidRDefault="00DC76EA" w:rsidP="005E347E">
      <w:pPr>
        <w:pStyle w:val="Akapitzlist"/>
        <w:numPr>
          <w:ilvl w:val="0"/>
          <w:numId w:val="52"/>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w</w:t>
      </w:r>
      <w:r w:rsidR="005E347E" w:rsidRPr="00AA22C4">
        <w:rPr>
          <w:rFonts w:ascii="Lato" w:hAnsi="Lato"/>
          <w:color w:val="000000" w:themeColor="text1"/>
          <w:sz w:val="22"/>
          <w:szCs w:val="22"/>
        </w:rPr>
        <w:t xml:space="preserve">e krwi na bibule przesiewowej metodą MS/MS: </w:t>
      </w:r>
      <w:proofErr w:type="spellStart"/>
      <w:r w:rsidR="005E347E" w:rsidRPr="00AA22C4">
        <w:rPr>
          <w:rFonts w:ascii="Lato" w:hAnsi="Lato"/>
          <w:color w:val="000000" w:themeColor="text1"/>
          <w:sz w:val="22"/>
          <w:szCs w:val="22"/>
        </w:rPr>
        <w:t>Acylokarnityny</w:t>
      </w:r>
      <w:proofErr w:type="spellEnd"/>
      <w:r w:rsidR="005E347E" w:rsidRPr="00AA22C4">
        <w:rPr>
          <w:rFonts w:ascii="Lato" w:hAnsi="Lato"/>
          <w:color w:val="000000" w:themeColor="text1"/>
          <w:sz w:val="22"/>
          <w:szCs w:val="22"/>
        </w:rPr>
        <w:t xml:space="preserve">: </w:t>
      </w:r>
      <w:r w:rsidR="005E347E" w:rsidRPr="00AA22C4">
        <w:rPr>
          <w:rFonts w:ascii="Arial" w:hAnsi="Arial" w:cs="Arial"/>
          <w:color w:val="000000" w:themeColor="text1"/>
          <w:sz w:val="22"/>
          <w:szCs w:val="22"/>
        </w:rPr>
        <w:t>↑</w:t>
      </w:r>
      <w:r w:rsidR="005E347E" w:rsidRPr="00AA22C4">
        <w:rPr>
          <w:rFonts w:ascii="Lato" w:hAnsi="Lato"/>
          <w:color w:val="000000" w:themeColor="text1"/>
          <w:sz w:val="22"/>
          <w:szCs w:val="22"/>
        </w:rPr>
        <w:t>wszystkie C4-C18 pochodne;</w:t>
      </w:r>
    </w:p>
    <w:p w14:paraId="353D0E3E" w14:textId="495F8F3F" w:rsidR="005E347E" w:rsidRPr="00AA22C4" w:rsidRDefault="00DC76EA" w:rsidP="005E347E">
      <w:pPr>
        <w:pStyle w:val="Akapitzlist"/>
        <w:numPr>
          <w:ilvl w:val="0"/>
          <w:numId w:val="52"/>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w</w:t>
      </w:r>
      <w:r w:rsidR="005E347E" w:rsidRPr="00AA22C4">
        <w:rPr>
          <w:rFonts w:ascii="Lato" w:hAnsi="Lato"/>
          <w:color w:val="000000" w:themeColor="text1"/>
          <w:sz w:val="22"/>
          <w:szCs w:val="22"/>
        </w:rPr>
        <w:t xml:space="preserve"> moczu analiza kwasów organicznych metodą GC/MS: </w:t>
      </w:r>
      <w:r w:rsidR="005E347E" w:rsidRPr="00AA22C4">
        <w:rPr>
          <w:rFonts w:ascii="Arial" w:hAnsi="Arial" w:cs="Arial"/>
          <w:color w:val="000000" w:themeColor="text1"/>
          <w:sz w:val="22"/>
          <w:szCs w:val="22"/>
        </w:rPr>
        <w:t>↑</w:t>
      </w:r>
      <w:r w:rsidR="005E347E" w:rsidRPr="00AA22C4">
        <w:rPr>
          <w:rFonts w:ascii="Lato" w:hAnsi="Lato"/>
          <w:color w:val="000000" w:themeColor="text1"/>
          <w:sz w:val="22"/>
          <w:szCs w:val="22"/>
        </w:rPr>
        <w:t xml:space="preserve"> kwasy mlekowy, </w:t>
      </w:r>
      <w:proofErr w:type="spellStart"/>
      <w:r w:rsidR="005E347E" w:rsidRPr="00AA22C4">
        <w:rPr>
          <w:rFonts w:ascii="Lato" w:hAnsi="Lato"/>
          <w:color w:val="000000" w:themeColor="text1"/>
          <w:sz w:val="22"/>
          <w:szCs w:val="22"/>
        </w:rPr>
        <w:t>glutarowy</w:t>
      </w:r>
      <w:proofErr w:type="spellEnd"/>
      <w:r w:rsidR="005E347E" w:rsidRPr="00AA22C4">
        <w:rPr>
          <w:rFonts w:ascii="Lato" w:hAnsi="Lato"/>
          <w:color w:val="000000" w:themeColor="text1"/>
          <w:sz w:val="22"/>
          <w:szCs w:val="22"/>
        </w:rPr>
        <w:t xml:space="preserve">, </w:t>
      </w:r>
      <w:proofErr w:type="spellStart"/>
      <w:r w:rsidR="005E347E" w:rsidRPr="00AA22C4">
        <w:rPr>
          <w:rFonts w:ascii="Lato" w:hAnsi="Lato"/>
          <w:color w:val="000000" w:themeColor="text1"/>
          <w:sz w:val="22"/>
          <w:szCs w:val="22"/>
        </w:rPr>
        <w:t>etylomalonowy</w:t>
      </w:r>
      <w:proofErr w:type="spellEnd"/>
      <w:r w:rsidR="005E347E" w:rsidRPr="00AA22C4">
        <w:rPr>
          <w:rFonts w:ascii="Lato" w:hAnsi="Lato"/>
          <w:color w:val="000000" w:themeColor="text1"/>
          <w:sz w:val="22"/>
          <w:szCs w:val="22"/>
        </w:rPr>
        <w:t>, kwasy dwukarboksylowe.</w:t>
      </w:r>
    </w:p>
    <w:p w14:paraId="025840E3"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u w:val="single"/>
          <w:lang w:eastAsia="ar-SA"/>
        </w:rPr>
        <w:t>Leczenie:</w:t>
      </w:r>
    </w:p>
    <w:p w14:paraId="0EBDE835"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Brak skutecznego leczenia w postaci ciężkiej. W postaci łagodnej leczenie obejmuje posiłki, unikanie przedłużonego głodzenia i ryboflawina w bardzo dużych dawkach. Dodatkowo w MADD podawanie karnityny w ramach programu lekowego „Leczenie uzupełniające L-karnityną w wybranych chorobach metabolicznych”.</w:t>
      </w:r>
    </w:p>
    <w:p w14:paraId="26820563" w14:textId="77777777" w:rsidR="005E347E" w:rsidRPr="00AA22C4" w:rsidRDefault="005E347E" w:rsidP="00D23264">
      <w:pPr>
        <w:pStyle w:val="Akapitzlist"/>
        <w:numPr>
          <w:ilvl w:val="0"/>
          <w:numId w:val="82"/>
        </w:numPr>
        <w:spacing w:before="360" w:after="120"/>
        <w:ind w:left="1077" w:hanging="357"/>
        <w:jc w:val="both"/>
        <w:rPr>
          <w:rFonts w:ascii="Lato" w:hAnsi="Lato"/>
          <w:b/>
          <w:bCs/>
          <w:color w:val="000000" w:themeColor="text1"/>
          <w:sz w:val="22"/>
          <w:szCs w:val="22"/>
        </w:rPr>
      </w:pPr>
      <w:r w:rsidRPr="00AA22C4">
        <w:rPr>
          <w:rFonts w:ascii="Lato" w:hAnsi="Lato"/>
          <w:b/>
          <w:bCs/>
          <w:color w:val="000000" w:themeColor="text1"/>
          <w:sz w:val="22"/>
          <w:szCs w:val="22"/>
        </w:rPr>
        <w:t xml:space="preserve">Deficyt </w:t>
      </w:r>
      <w:r w:rsidRPr="00AA22C4">
        <w:rPr>
          <w:rFonts w:ascii="Calibri" w:hAnsi="Calibri" w:cs="Calibri"/>
          <w:b/>
          <w:bCs/>
          <w:color w:val="000000" w:themeColor="text1"/>
          <w:sz w:val="22"/>
          <w:szCs w:val="22"/>
        </w:rPr>
        <w:t>β</w:t>
      </w:r>
      <w:r w:rsidRPr="00AA22C4">
        <w:rPr>
          <w:rFonts w:ascii="Lato" w:hAnsi="Lato"/>
          <w:b/>
          <w:bCs/>
          <w:color w:val="000000" w:themeColor="text1"/>
          <w:sz w:val="22"/>
          <w:szCs w:val="22"/>
        </w:rPr>
        <w:t>-</w:t>
      </w:r>
      <w:proofErr w:type="spellStart"/>
      <w:r w:rsidRPr="00AA22C4">
        <w:rPr>
          <w:rFonts w:ascii="Lato" w:hAnsi="Lato"/>
          <w:b/>
          <w:bCs/>
          <w:color w:val="000000" w:themeColor="text1"/>
          <w:sz w:val="22"/>
          <w:szCs w:val="22"/>
        </w:rPr>
        <w:t>ketotiolazy</w:t>
      </w:r>
      <w:proofErr w:type="spellEnd"/>
      <w:r w:rsidRPr="00AA22C4">
        <w:rPr>
          <w:rFonts w:ascii="Lato" w:hAnsi="Lato"/>
          <w:b/>
          <w:bCs/>
          <w:color w:val="000000" w:themeColor="text1"/>
          <w:sz w:val="22"/>
          <w:szCs w:val="22"/>
        </w:rPr>
        <w:t>- BKT</w:t>
      </w:r>
    </w:p>
    <w:p w14:paraId="6515600F" w14:textId="77777777" w:rsidR="005E347E" w:rsidRPr="00AA22C4" w:rsidRDefault="005E347E" w:rsidP="005E347E">
      <w:pPr>
        <w:spacing w:before="120" w:after="120"/>
        <w:jc w:val="both"/>
        <w:rPr>
          <w:rFonts w:ascii="Lato" w:eastAsia="Arial Unicode MS" w:hAnsi="Lato"/>
          <w:color w:val="000000" w:themeColor="text1"/>
          <w:sz w:val="22"/>
          <w:szCs w:val="22"/>
        </w:rPr>
      </w:pPr>
      <w:r w:rsidRPr="00AA22C4">
        <w:rPr>
          <w:rFonts w:ascii="Lato" w:eastAsia="Arial Unicode MS" w:hAnsi="Lato"/>
          <w:color w:val="000000" w:themeColor="text1"/>
          <w:sz w:val="22"/>
          <w:szCs w:val="22"/>
          <w:u w:val="single"/>
        </w:rPr>
        <w:t>Opis</w:t>
      </w:r>
      <w:r w:rsidRPr="00AA22C4">
        <w:rPr>
          <w:rFonts w:ascii="Lato" w:eastAsia="Arial Unicode MS" w:hAnsi="Lato"/>
          <w:color w:val="000000" w:themeColor="text1"/>
          <w:sz w:val="22"/>
          <w:szCs w:val="22"/>
        </w:rPr>
        <w:t xml:space="preserve">: </w:t>
      </w:r>
    </w:p>
    <w:p w14:paraId="00130907" w14:textId="77777777" w:rsidR="005E347E" w:rsidRPr="00AA22C4" w:rsidRDefault="005E347E" w:rsidP="005E347E">
      <w:pPr>
        <w:spacing w:before="120" w:after="120"/>
        <w:jc w:val="both"/>
        <w:rPr>
          <w:rFonts w:ascii="Lato" w:hAnsi="Lato"/>
          <w:color w:val="000000" w:themeColor="text1"/>
          <w:sz w:val="22"/>
          <w:szCs w:val="22"/>
        </w:rPr>
      </w:pPr>
      <w:r w:rsidRPr="00AA22C4">
        <w:rPr>
          <w:rFonts w:ascii="Lato" w:eastAsia="Arial Unicode MS" w:hAnsi="Lato"/>
          <w:color w:val="000000" w:themeColor="text1"/>
          <w:sz w:val="22"/>
          <w:szCs w:val="22"/>
        </w:rPr>
        <w:t xml:space="preserve">Niedobór </w:t>
      </w:r>
      <w:r w:rsidRPr="00AA22C4">
        <w:rPr>
          <w:rFonts w:ascii="Calibri" w:eastAsia="Arial Unicode MS" w:hAnsi="Calibri" w:cs="Calibri"/>
          <w:color w:val="000000" w:themeColor="text1"/>
          <w:sz w:val="22"/>
          <w:szCs w:val="22"/>
        </w:rPr>
        <w:t>β</w:t>
      </w:r>
      <w:r w:rsidRPr="00AA22C4">
        <w:rPr>
          <w:rFonts w:ascii="Lato" w:eastAsia="Arial Unicode MS" w:hAnsi="Lato"/>
          <w:color w:val="000000" w:themeColor="text1"/>
          <w:sz w:val="22"/>
          <w:szCs w:val="22"/>
        </w:rPr>
        <w:t>-</w:t>
      </w:r>
      <w:proofErr w:type="spellStart"/>
      <w:r w:rsidRPr="00AA22C4">
        <w:rPr>
          <w:rFonts w:ascii="Lato" w:eastAsia="Arial Unicode MS" w:hAnsi="Lato"/>
          <w:color w:val="000000" w:themeColor="text1"/>
          <w:sz w:val="22"/>
          <w:szCs w:val="22"/>
        </w:rPr>
        <w:t>ketotiolazy</w:t>
      </w:r>
      <w:proofErr w:type="spellEnd"/>
      <w:r w:rsidRPr="00AA22C4">
        <w:rPr>
          <w:rFonts w:ascii="Lato" w:eastAsia="Arial Unicode MS" w:hAnsi="Lato"/>
          <w:color w:val="000000" w:themeColor="text1"/>
          <w:sz w:val="22"/>
          <w:szCs w:val="22"/>
        </w:rPr>
        <w:t xml:space="preserve"> jest dziedziczony w sposób autosomalny recesywny i jest spowodowany patogennymi wariantami genu ACAT1. </w:t>
      </w:r>
      <w:r w:rsidRPr="00AA22C4">
        <w:rPr>
          <w:rFonts w:ascii="Lato" w:hAnsi="Lato"/>
          <w:color w:val="000000" w:themeColor="text1"/>
          <w:sz w:val="22"/>
          <w:szCs w:val="22"/>
        </w:rPr>
        <w:t xml:space="preserve">Niedobór tego enzymu powoduje wrodzony defekt metabolizmu izoleucyny, co skutkuje upośledzeniem zdolności organizmu do przetwarzania ketonów – cząsteczek wytwarzanych podczas rozkładu tłuszczów. </w:t>
      </w:r>
      <w:r w:rsidRPr="00AA22C4">
        <w:rPr>
          <w:rFonts w:ascii="Lato" w:eastAsia="Arial Unicode MS" w:hAnsi="Lato"/>
          <w:color w:val="000000" w:themeColor="text1"/>
          <w:sz w:val="22"/>
          <w:szCs w:val="22"/>
        </w:rPr>
        <w:t>Częstość występowania na świecie waha się w granicach od 1:100 000 do 1:1000 000.</w:t>
      </w:r>
    </w:p>
    <w:p w14:paraId="754E0265" w14:textId="77777777" w:rsidR="005E347E" w:rsidRPr="00AA22C4" w:rsidRDefault="005E347E" w:rsidP="005E347E">
      <w:pPr>
        <w:spacing w:before="120" w:after="120"/>
        <w:jc w:val="both"/>
        <w:rPr>
          <w:rFonts w:ascii="Lato" w:hAnsi="Lato"/>
          <w:color w:val="000000" w:themeColor="text1"/>
          <w:sz w:val="22"/>
          <w:szCs w:val="22"/>
        </w:rPr>
      </w:pPr>
      <w:r w:rsidRPr="00AA22C4">
        <w:rPr>
          <w:rFonts w:ascii="Lato" w:hAnsi="Lato"/>
          <w:color w:val="000000" w:themeColor="text1"/>
          <w:sz w:val="22"/>
          <w:szCs w:val="22"/>
          <w:u w:val="single"/>
        </w:rPr>
        <w:t>Objawy</w:t>
      </w:r>
      <w:r w:rsidRPr="00AA22C4">
        <w:rPr>
          <w:rFonts w:ascii="Lato" w:hAnsi="Lato"/>
          <w:color w:val="000000" w:themeColor="text1"/>
          <w:sz w:val="22"/>
          <w:szCs w:val="22"/>
        </w:rPr>
        <w:t xml:space="preserve">: </w:t>
      </w:r>
    </w:p>
    <w:p w14:paraId="4CBEC704" w14:textId="77777777" w:rsidR="005E347E" w:rsidRPr="00AA22C4" w:rsidRDefault="005E347E" w:rsidP="005E347E">
      <w:pPr>
        <w:spacing w:before="120" w:after="120"/>
        <w:jc w:val="both"/>
        <w:rPr>
          <w:rFonts w:ascii="Lato" w:hAnsi="Lato"/>
          <w:color w:val="000000" w:themeColor="text1"/>
          <w:sz w:val="22"/>
          <w:szCs w:val="22"/>
          <w:u w:val="single"/>
        </w:rPr>
      </w:pPr>
      <w:r w:rsidRPr="00AA22C4">
        <w:rPr>
          <w:rFonts w:ascii="Lato" w:hAnsi="Lato"/>
          <w:color w:val="000000" w:themeColor="text1"/>
          <w:sz w:val="22"/>
          <w:szCs w:val="22"/>
        </w:rPr>
        <w:t xml:space="preserve">U dzieci dotkniętych chorobą występują sporadyczne epizody kwasicy ketonowej, </w:t>
      </w:r>
      <w:r w:rsidRPr="00AA22C4">
        <w:rPr>
          <w:rFonts w:ascii="Lato" w:hAnsi="Lato"/>
          <w:color w:val="000000" w:themeColor="text1"/>
          <w:sz w:val="22"/>
          <w:szCs w:val="22"/>
        </w:rPr>
        <w:lastRenderedPageBreak/>
        <w:t>charakteryzujące się wymiotami, odwodnieniem, trudnościami w oddychaniu, skrajnym zmęczeniem (letargiem), a czasami drgawkami. W ciężkich przypadkach epizody te mogą prowadzić do śpiączki.</w:t>
      </w:r>
    </w:p>
    <w:p w14:paraId="4DE5C256" w14:textId="77777777" w:rsidR="005E347E" w:rsidRPr="00AA22C4" w:rsidRDefault="005E347E" w:rsidP="005E347E">
      <w:pPr>
        <w:spacing w:before="120" w:after="120"/>
        <w:jc w:val="both"/>
        <w:rPr>
          <w:rFonts w:ascii="Lato" w:hAnsi="Lato"/>
          <w:color w:val="000000" w:themeColor="text1"/>
          <w:sz w:val="22"/>
          <w:szCs w:val="22"/>
          <w:u w:val="single"/>
        </w:rPr>
      </w:pPr>
      <w:r w:rsidRPr="00AA22C4">
        <w:rPr>
          <w:rFonts w:ascii="Lato" w:hAnsi="Lato"/>
          <w:color w:val="000000" w:themeColor="text1"/>
          <w:sz w:val="22"/>
          <w:szCs w:val="22"/>
          <w:u w:val="single"/>
        </w:rPr>
        <w:t xml:space="preserve">Diagnostyka: </w:t>
      </w:r>
    </w:p>
    <w:p w14:paraId="025D4DF0" w14:textId="17F9FC88" w:rsidR="005E347E" w:rsidRPr="00AA22C4" w:rsidRDefault="005E347E" w:rsidP="005E347E">
      <w:pPr>
        <w:pStyle w:val="Akapitzlist"/>
        <w:numPr>
          <w:ilvl w:val="0"/>
          <w:numId w:val="81"/>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we krwi na bibule przesiewowej metodą MS/MS: </w:t>
      </w:r>
      <w:proofErr w:type="spellStart"/>
      <w:r w:rsidRPr="00AA22C4">
        <w:rPr>
          <w:rFonts w:ascii="Lato" w:hAnsi="Lato"/>
          <w:color w:val="000000" w:themeColor="text1"/>
          <w:sz w:val="22"/>
          <w:szCs w:val="22"/>
        </w:rPr>
        <w:t>Acylokarnityny</w:t>
      </w:r>
      <w:proofErr w:type="spellEnd"/>
      <w:r w:rsidRPr="00AA22C4">
        <w:rPr>
          <w:rFonts w:ascii="Lato" w:hAnsi="Lato"/>
          <w:color w:val="000000" w:themeColor="text1"/>
          <w:sz w:val="22"/>
          <w:szCs w:val="22"/>
        </w:rPr>
        <w:t xml:space="preserve">: </w:t>
      </w:r>
      <w:r w:rsidRPr="00AA22C4">
        <w:rPr>
          <w:rFonts w:ascii="Arial" w:hAnsi="Arial" w:cs="Arial"/>
          <w:color w:val="000000" w:themeColor="text1"/>
          <w:sz w:val="22"/>
          <w:szCs w:val="22"/>
        </w:rPr>
        <w:t>↑</w:t>
      </w:r>
      <w:r w:rsidRPr="00AA22C4">
        <w:rPr>
          <w:rFonts w:ascii="Lato" w:hAnsi="Lato"/>
          <w:color w:val="000000" w:themeColor="text1"/>
          <w:sz w:val="22"/>
          <w:szCs w:val="22"/>
        </w:rPr>
        <w:t>C4-OH, C5:1, C5-OH</w:t>
      </w:r>
      <w:r w:rsidR="00055943" w:rsidRPr="00AA22C4">
        <w:rPr>
          <w:rFonts w:ascii="Lato" w:hAnsi="Lato"/>
          <w:color w:val="000000" w:themeColor="text1"/>
          <w:sz w:val="22"/>
          <w:szCs w:val="22"/>
        </w:rPr>
        <w:t>;</w:t>
      </w:r>
      <w:r w:rsidRPr="00AA22C4">
        <w:rPr>
          <w:rFonts w:ascii="Lato" w:hAnsi="Lato"/>
          <w:color w:val="000000" w:themeColor="text1"/>
          <w:sz w:val="22"/>
          <w:szCs w:val="22"/>
        </w:rPr>
        <w:t xml:space="preserve"> </w:t>
      </w:r>
    </w:p>
    <w:p w14:paraId="5083AADB" w14:textId="7395B6B5" w:rsidR="005E347E" w:rsidRPr="00AA22C4" w:rsidRDefault="005E347E" w:rsidP="005E347E">
      <w:pPr>
        <w:pStyle w:val="Akapitzlist"/>
        <w:numPr>
          <w:ilvl w:val="0"/>
          <w:numId w:val="81"/>
        </w:numPr>
        <w:spacing w:before="120" w:after="120" w:line="360" w:lineRule="auto"/>
        <w:ind w:left="714" w:hanging="357"/>
        <w:jc w:val="both"/>
        <w:rPr>
          <w:rFonts w:ascii="Lato" w:hAnsi="Lato"/>
          <w:color w:val="000000" w:themeColor="text1"/>
          <w:sz w:val="22"/>
          <w:szCs w:val="22"/>
          <w:u w:val="single"/>
        </w:rPr>
      </w:pPr>
      <w:r w:rsidRPr="00AA22C4">
        <w:rPr>
          <w:rFonts w:ascii="Lato" w:hAnsi="Lato"/>
          <w:color w:val="000000" w:themeColor="text1"/>
          <w:sz w:val="22"/>
          <w:szCs w:val="22"/>
        </w:rPr>
        <w:t xml:space="preserve">w moczu analiza profilu kwasów organicznych metodą GC/MS: </w:t>
      </w:r>
      <w:r w:rsidRPr="00AA22C4">
        <w:rPr>
          <w:rFonts w:ascii="Arial" w:hAnsi="Arial" w:cs="Arial"/>
          <w:color w:val="000000" w:themeColor="text1"/>
          <w:sz w:val="22"/>
          <w:szCs w:val="22"/>
        </w:rPr>
        <w:t>↑</w:t>
      </w:r>
      <w:proofErr w:type="spellStart"/>
      <w:r w:rsidRPr="00AA22C4">
        <w:rPr>
          <w:rFonts w:ascii="Lato" w:hAnsi="Lato"/>
          <w:color w:val="000000" w:themeColor="text1"/>
          <w:sz w:val="22"/>
          <w:szCs w:val="22"/>
        </w:rPr>
        <w:t>Tiglylglicyna</w:t>
      </w:r>
      <w:proofErr w:type="spellEnd"/>
      <w:r w:rsidRPr="00AA22C4">
        <w:rPr>
          <w:rFonts w:ascii="Lato" w:hAnsi="Lato"/>
          <w:color w:val="000000" w:themeColor="text1"/>
          <w:sz w:val="22"/>
          <w:szCs w:val="22"/>
        </w:rPr>
        <w:t>, kwas 2-metylo-acetooctowy, kwas 2-metylo-3-hydroksymasłowy, kwas 3-OH-izowalerianowy</w:t>
      </w:r>
      <w:r w:rsidR="00055943" w:rsidRPr="00AA22C4">
        <w:rPr>
          <w:rFonts w:ascii="Lato" w:hAnsi="Lato"/>
          <w:color w:val="000000" w:themeColor="text1"/>
          <w:sz w:val="22"/>
          <w:szCs w:val="22"/>
        </w:rPr>
        <w:t>;</w:t>
      </w:r>
    </w:p>
    <w:p w14:paraId="663E7604" w14:textId="77777777" w:rsidR="005E347E" w:rsidRPr="00AA22C4" w:rsidRDefault="005E347E" w:rsidP="005E347E">
      <w:pPr>
        <w:pStyle w:val="Akapitzlist"/>
        <w:numPr>
          <w:ilvl w:val="0"/>
          <w:numId w:val="81"/>
        </w:numPr>
        <w:spacing w:before="120" w:after="120" w:line="360" w:lineRule="auto"/>
        <w:ind w:left="714" w:hanging="357"/>
        <w:jc w:val="both"/>
        <w:rPr>
          <w:rFonts w:ascii="Lato" w:hAnsi="Lato"/>
          <w:color w:val="000000" w:themeColor="text1"/>
          <w:sz w:val="22"/>
          <w:szCs w:val="22"/>
          <w:u w:val="single"/>
        </w:rPr>
      </w:pPr>
      <w:r w:rsidRPr="00AA22C4">
        <w:rPr>
          <w:rFonts w:ascii="Lato" w:hAnsi="Lato"/>
          <w:color w:val="000000" w:themeColor="text1"/>
          <w:sz w:val="22"/>
          <w:szCs w:val="22"/>
        </w:rPr>
        <w:t>potwierdzenie molekularne.</w:t>
      </w:r>
    </w:p>
    <w:p w14:paraId="05425BDC" w14:textId="4DB06BC1" w:rsidR="005E347E" w:rsidRPr="00AA22C4" w:rsidRDefault="005E347E" w:rsidP="005E347E">
      <w:pPr>
        <w:spacing w:before="120" w:after="120"/>
        <w:jc w:val="both"/>
        <w:rPr>
          <w:rFonts w:ascii="Lato" w:hAnsi="Lato"/>
          <w:color w:val="000000" w:themeColor="text1"/>
          <w:sz w:val="22"/>
          <w:szCs w:val="22"/>
          <w:u w:val="single"/>
        </w:rPr>
      </w:pPr>
      <w:r w:rsidRPr="00AA22C4">
        <w:rPr>
          <w:rFonts w:ascii="Lato" w:hAnsi="Lato"/>
          <w:color w:val="000000" w:themeColor="text1"/>
          <w:sz w:val="22"/>
          <w:szCs w:val="22"/>
          <w:u w:val="single"/>
        </w:rPr>
        <w:t xml:space="preserve">Leczenie: </w:t>
      </w:r>
    </w:p>
    <w:p w14:paraId="5DCAC9AE" w14:textId="77777777" w:rsidR="005E347E" w:rsidRPr="00AA22C4" w:rsidRDefault="005E347E" w:rsidP="005E347E">
      <w:pPr>
        <w:spacing w:before="120" w:after="120"/>
        <w:jc w:val="both"/>
        <w:rPr>
          <w:rFonts w:ascii="Lato" w:hAnsi="Lato"/>
          <w:color w:val="000000" w:themeColor="text1"/>
          <w:sz w:val="22"/>
          <w:szCs w:val="22"/>
        </w:rPr>
      </w:pPr>
      <w:r w:rsidRPr="00AA22C4">
        <w:rPr>
          <w:rFonts w:ascii="Lato" w:hAnsi="Lato"/>
          <w:color w:val="000000" w:themeColor="text1"/>
          <w:sz w:val="22"/>
          <w:szCs w:val="22"/>
        </w:rPr>
        <w:t>Ważne jest, aby unikać długotrwałych okresów postu, ponieważ może to prowadzić do wysokiego poziomu ciał ketonowych w organizmie, powodując kwasicę ketonową. W przypadku przełomu ketonowego należy natychmiast pojechać do szpitala, podać dożylnie płyny zawierające glukozę i elektrolity oraz skonsultować się z pediatrą metabolicznym.</w:t>
      </w:r>
    </w:p>
    <w:p w14:paraId="47A81258" w14:textId="77777777" w:rsidR="005E347E" w:rsidRPr="00AA22C4" w:rsidRDefault="005E347E" w:rsidP="00D23264">
      <w:pPr>
        <w:pStyle w:val="Akapitzlist"/>
        <w:numPr>
          <w:ilvl w:val="0"/>
          <w:numId w:val="82"/>
        </w:numPr>
        <w:spacing w:before="360" w:after="120"/>
        <w:ind w:left="1077" w:hanging="357"/>
        <w:jc w:val="both"/>
        <w:rPr>
          <w:rFonts w:ascii="Lato" w:hAnsi="Lato"/>
          <w:b/>
          <w:bCs/>
          <w:color w:val="000000" w:themeColor="text1"/>
          <w:sz w:val="22"/>
          <w:szCs w:val="22"/>
        </w:rPr>
      </w:pPr>
      <w:proofErr w:type="spellStart"/>
      <w:r w:rsidRPr="00AA22C4">
        <w:rPr>
          <w:rFonts w:ascii="Lato" w:hAnsi="Lato"/>
          <w:b/>
          <w:bCs/>
          <w:color w:val="000000" w:themeColor="text1"/>
          <w:sz w:val="22"/>
          <w:szCs w:val="22"/>
        </w:rPr>
        <w:t>Acyduria</w:t>
      </w:r>
      <w:proofErr w:type="spellEnd"/>
      <w:r w:rsidRPr="00AA22C4">
        <w:rPr>
          <w:rFonts w:ascii="Lato" w:hAnsi="Lato"/>
          <w:b/>
          <w:bCs/>
          <w:color w:val="000000" w:themeColor="text1"/>
          <w:sz w:val="22"/>
          <w:szCs w:val="22"/>
        </w:rPr>
        <w:t xml:space="preserve"> propionowa - PA</w:t>
      </w:r>
    </w:p>
    <w:p w14:paraId="15D496A8"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u w:val="single"/>
          <w:lang w:eastAsia="ar-SA"/>
        </w:rPr>
        <w:t>Opis:</w:t>
      </w:r>
    </w:p>
    <w:p w14:paraId="17A478F6" w14:textId="77777777" w:rsidR="005E347E" w:rsidRPr="00AA22C4" w:rsidRDefault="005E347E" w:rsidP="005E347E">
      <w:pPr>
        <w:suppressAutoHyphens/>
        <w:spacing w:before="120" w:after="120"/>
        <w:jc w:val="both"/>
        <w:rPr>
          <w:rFonts w:ascii="Lato" w:eastAsia="Arial Unicode MS" w:hAnsi="Lato"/>
          <w:bCs/>
          <w:color w:val="000000" w:themeColor="text1"/>
          <w:kern w:val="1"/>
          <w:sz w:val="22"/>
          <w:szCs w:val="22"/>
          <w:lang w:eastAsia="ar-SA"/>
        </w:rPr>
      </w:pPr>
      <w:r w:rsidRPr="00AA22C4">
        <w:rPr>
          <w:rFonts w:ascii="Lato" w:eastAsia="Arial Unicode MS" w:hAnsi="Lato"/>
          <w:bCs/>
          <w:color w:val="000000" w:themeColor="text1"/>
          <w:kern w:val="1"/>
          <w:sz w:val="22"/>
          <w:szCs w:val="22"/>
          <w:lang w:eastAsia="ar-SA"/>
        </w:rPr>
        <w:t xml:space="preserve">Częstość występowania choroby szacuje się na około występowania 1:50 000 – 1:100 000 (7, 8, 9). </w:t>
      </w:r>
      <w:r w:rsidRPr="00AA22C4">
        <w:rPr>
          <w:rFonts w:ascii="Lato" w:eastAsia="Arial Unicode MS" w:hAnsi="Lato"/>
          <w:color w:val="000000" w:themeColor="text1"/>
          <w:kern w:val="1"/>
          <w:sz w:val="22"/>
          <w:szCs w:val="22"/>
          <w:lang w:eastAsia="ar-SA"/>
        </w:rPr>
        <w:t>Jest</w:t>
      </w:r>
      <w:r w:rsidRPr="00AA22C4" w:rsidDel="0038637C">
        <w:rPr>
          <w:rFonts w:ascii="Lato" w:eastAsia="Arial Unicode MS" w:hAnsi="Lato"/>
          <w:color w:val="000000" w:themeColor="text1"/>
          <w:kern w:val="1"/>
          <w:sz w:val="22"/>
          <w:szCs w:val="22"/>
          <w:lang w:eastAsia="ar-SA"/>
        </w:rPr>
        <w:t xml:space="preserve"> </w:t>
      </w:r>
      <w:r w:rsidRPr="00AA22C4">
        <w:rPr>
          <w:rFonts w:ascii="Lato" w:eastAsia="Arial Unicode MS" w:hAnsi="Lato"/>
          <w:color w:val="000000" w:themeColor="text1"/>
          <w:kern w:val="1"/>
          <w:sz w:val="22"/>
          <w:szCs w:val="22"/>
          <w:lang w:eastAsia="ar-SA"/>
        </w:rPr>
        <w:t xml:space="preserve">spowodowana deficytem enzymu </w:t>
      </w:r>
      <w:r w:rsidRPr="00AA22C4">
        <w:rPr>
          <w:rFonts w:ascii="Lato" w:eastAsia="Arial Unicode MS" w:hAnsi="Lato"/>
          <w:bCs/>
          <w:color w:val="000000" w:themeColor="text1"/>
          <w:kern w:val="1"/>
          <w:sz w:val="22"/>
          <w:szCs w:val="22"/>
          <w:lang w:eastAsia="ar-SA"/>
        </w:rPr>
        <w:t xml:space="preserve">karboksylazy </w:t>
      </w:r>
      <w:proofErr w:type="spellStart"/>
      <w:r w:rsidRPr="00AA22C4">
        <w:rPr>
          <w:rFonts w:ascii="Lato" w:eastAsia="Arial Unicode MS" w:hAnsi="Lato"/>
          <w:bCs/>
          <w:color w:val="000000" w:themeColor="text1"/>
          <w:kern w:val="1"/>
          <w:sz w:val="22"/>
          <w:szCs w:val="22"/>
          <w:lang w:eastAsia="ar-SA"/>
        </w:rPr>
        <w:t>propionylo-CoA</w:t>
      </w:r>
      <w:proofErr w:type="spellEnd"/>
      <w:r w:rsidRPr="00AA22C4">
        <w:rPr>
          <w:rFonts w:ascii="Lato" w:eastAsia="Arial Unicode MS" w:hAnsi="Lato"/>
          <w:bCs/>
          <w:color w:val="000000" w:themeColor="text1"/>
          <w:kern w:val="1"/>
          <w:sz w:val="22"/>
          <w:szCs w:val="22"/>
          <w:lang w:eastAsia="ar-SA"/>
        </w:rPr>
        <w:t xml:space="preserve">. </w:t>
      </w:r>
      <w:r w:rsidRPr="00AA22C4">
        <w:rPr>
          <w:rFonts w:ascii="Lato" w:hAnsi="Lato"/>
          <w:color w:val="000000" w:themeColor="text1"/>
          <w:kern w:val="1"/>
          <w:sz w:val="22"/>
          <w:szCs w:val="22"/>
          <w:lang w:eastAsia="ar-SA"/>
        </w:rPr>
        <w:t xml:space="preserve">Profil </w:t>
      </w:r>
      <w:proofErr w:type="spellStart"/>
      <w:r w:rsidRPr="00AA22C4">
        <w:rPr>
          <w:rFonts w:ascii="Lato" w:hAnsi="Lato"/>
          <w:color w:val="000000" w:themeColor="text1"/>
          <w:kern w:val="1"/>
          <w:sz w:val="22"/>
          <w:szCs w:val="22"/>
          <w:lang w:eastAsia="ar-SA"/>
        </w:rPr>
        <w:t>acylokarnityn</w:t>
      </w:r>
      <w:proofErr w:type="spellEnd"/>
      <w:r w:rsidRPr="00AA22C4">
        <w:rPr>
          <w:rFonts w:ascii="Lato" w:hAnsi="Lato"/>
          <w:color w:val="000000" w:themeColor="text1"/>
          <w:kern w:val="1"/>
          <w:sz w:val="22"/>
          <w:szCs w:val="22"/>
          <w:lang w:eastAsia="ar-SA"/>
        </w:rPr>
        <w:t xml:space="preserve"> w suchej kropli krwi nie różnicuje PA i MMA.</w:t>
      </w:r>
    </w:p>
    <w:p w14:paraId="1BC12540"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Objawy:</w:t>
      </w:r>
    </w:p>
    <w:p w14:paraId="5BBEBE59" w14:textId="77777777" w:rsidR="005E347E" w:rsidRPr="00AA22C4" w:rsidRDefault="005E347E" w:rsidP="005E347E">
      <w:pPr>
        <w:numPr>
          <w:ilvl w:val="0"/>
          <w:numId w:val="19"/>
        </w:numPr>
        <w:suppressAutoHyphens/>
        <w:spacing w:before="120" w:after="120"/>
        <w:ind w:left="426" w:hanging="284"/>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postać ostra (najczęstsza). Postępująca encefalopatia o typie zespołu intoksykacji (zatrucia endogennego) (7, 8, 10);</w:t>
      </w:r>
    </w:p>
    <w:p w14:paraId="3F993BB7" w14:textId="77777777" w:rsidR="005E347E" w:rsidRPr="00AA22C4" w:rsidRDefault="005E347E" w:rsidP="005E347E">
      <w:pPr>
        <w:numPr>
          <w:ilvl w:val="0"/>
          <w:numId w:val="19"/>
        </w:numPr>
        <w:suppressAutoHyphens/>
        <w:spacing w:before="120" w:after="120"/>
        <w:ind w:left="426" w:hanging="284"/>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postać przewlekła: </w:t>
      </w:r>
      <w:proofErr w:type="spellStart"/>
      <w:r w:rsidRPr="00AA22C4">
        <w:rPr>
          <w:rFonts w:ascii="Lato" w:hAnsi="Lato"/>
          <w:color w:val="000000" w:themeColor="text1"/>
          <w:kern w:val="1"/>
          <w:sz w:val="22"/>
          <w:szCs w:val="22"/>
          <w:lang w:eastAsia="ar-SA"/>
        </w:rPr>
        <w:t>kardiomiopatia</w:t>
      </w:r>
      <w:proofErr w:type="spellEnd"/>
      <w:r w:rsidRPr="00AA22C4">
        <w:rPr>
          <w:rFonts w:ascii="Lato" w:hAnsi="Lato"/>
          <w:color w:val="000000" w:themeColor="text1"/>
          <w:kern w:val="1"/>
          <w:sz w:val="22"/>
          <w:szCs w:val="22"/>
          <w:lang w:eastAsia="ar-SA"/>
        </w:rPr>
        <w:t>, zaburzenia rytmu serca (w tym zespół wydłużonego QT).</w:t>
      </w:r>
    </w:p>
    <w:p w14:paraId="7494BE15"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Powikłania: objawy pozapiramidowe, niepełnosprawność intelektualna, zapalenie trzustki, osteoporoza, </w:t>
      </w:r>
      <w:proofErr w:type="spellStart"/>
      <w:r w:rsidRPr="00AA22C4">
        <w:rPr>
          <w:rFonts w:ascii="Lato" w:hAnsi="Lato"/>
          <w:color w:val="000000" w:themeColor="text1"/>
          <w:kern w:val="1"/>
          <w:sz w:val="22"/>
          <w:szCs w:val="22"/>
          <w:lang w:eastAsia="ar-SA"/>
        </w:rPr>
        <w:t>kardiomiopatia</w:t>
      </w:r>
      <w:proofErr w:type="spellEnd"/>
      <w:r w:rsidRPr="00AA22C4">
        <w:rPr>
          <w:rFonts w:ascii="Lato" w:hAnsi="Lato"/>
          <w:color w:val="000000" w:themeColor="text1"/>
          <w:kern w:val="1"/>
          <w:sz w:val="22"/>
          <w:szCs w:val="22"/>
          <w:lang w:eastAsia="ar-SA"/>
        </w:rPr>
        <w:t xml:space="preserve">. </w:t>
      </w:r>
    </w:p>
    <w:p w14:paraId="094D2D55"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Diagnostyka:</w:t>
      </w:r>
    </w:p>
    <w:p w14:paraId="70D0D989" w14:textId="77777777" w:rsidR="005E347E" w:rsidRPr="00AA22C4" w:rsidRDefault="005E347E" w:rsidP="005E347E">
      <w:pPr>
        <w:pStyle w:val="Akapitzlist"/>
        <w:numPr>
          <w:ilvl w:val="0"/>
          <w:numId w:val="44"/>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we krwi na bibule przesiewowej metodą MS/MS: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wolna karnityna, (CO); </w:t>
      </w:r>
      <w:proofErr w:type="gramStart"/>
      <w:r w:rsidRPr="00AA22C4">
        <w:rPr>
          <w:rFonts w:ascii="Arial" w:hAnsi="Arial" w:cs="Arial"/>
          <w:color w:val="000000" w:themeColor="text1"/>
          <w:sz w:val="22"/>
          <w:szCs w:val="22"/>
        </w:rPr>
        <w:t>↑</w:t>
      </w:r>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propionylokarnityna</w:t>
      </w:r>
      <w:proofErr w:type="spellEnd"/>
      <w:proofErr w:type="gramEnd"/>
      <w:r w:rsidRPr="00AA22C4">
        <w:rPr>
          <w:rFonts w:ascii="Lato" w:hAnsi="Lato"/>
          <w:color w:val="000000" w:themeColor="text1"/>
          <w:sz w:val="22"/>
          <w:szCs w:val="22"/>
        </w:rPr>
        <w:t xml:space="preserve"> (C3);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C3/C2; </w:t>
      </w:r>
      <w:r w:rsidRPr="00AA22C4">
        <w:rPr>
          <w:rFonts w:ascii="Arial" w:hAnsi="Arial" w:cs="Arial"/>
          <w:color w:val="000000" w:themeColor="text1"/>
          <w:sz w:val="22"/>
          <w:szCs w:val="22"/>
        </w:rPr>
        <w:t>↑</w:t>
      </w:r>
      <w:proofErr w:type="spellStart"/>
      <w:r w:rsidRPr="00AA22C4">
        <w:rPr>
          <w:rFonts w:ascii="Lato" w:hAnsi="Lato"/>
          <w:color w:val="000000" w:themeColor="text1"/>
          <w:sz w:val="22"/>
          <w:szCs w:val="22"/>
        </w:rPr>
        <w:t>Gli</w:t>
      </w:r>
      <w:proofErr w:type="spellEnd"/>
      <w:r w:rsidRPr="00AA22C4">
        <w:rPr>
          <w:rFonts w:ascii="Lato" w:hAnsi="Lato"/>
          <w:color w:val="000000" w:themeColor="text1"/>
          <w:sz w:val="22"/>
          <w:szCs w:val="22"/>
        </w:rPr>
        <w:t xml:space="preserve">, </w:t>
      </w:r>
      <w:r w:rsidRPr="00AA22C4">
        <w:rPr>
          <w:rFonts w:ascii="Arial" w:hAnsi="Arial" w:cs="Arial"/>
          <w:color w:val="000000" w:themeColor="text1"/>
          <w:sz w:val="22"/>
          <w:szCs w:val="22"/>
        </w:rPr>
        <w:t>↑</w:t>
      </w:r>
      <w:r w:rsidRPr="00AA22C4">
        <w:rPr>
          <w:rFonts w:ascii="Lato" w:hAnsi="Lato"/>
          <w:color w:val="000000" w:themeColor="text1"/>
          <w:sz w:val="22"/>
          <w:szCs w:val="22"/>
        </w:rPr>
        <w:t>Ala;</w:t>
      </w:r>
    </w:p>
    <w:p w14:paraId="17365DCD" w14:textId="77777777" w:rsidR="005E347E" w:rsidRPr="00AA22C4" w:rsidRDefault="005E347E" w:rsidP="005E347E">
      <w:pPr>
        <w:pStyle w:val="Akapitzlist"/>
        <w:numPr>
          <w:ilvl w:val="0"/>
          <w:numId w:val="44"/>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w moczu analiza kwasów organicznych metodą GC/</w:t>
      </w:r>
      <w:proofErr w:type="gramStart"/>
      <w:r w:rsidRPr="00AA22C4">
        <w:rPr>
          <w:rFonts w:ascii="Lato" w:hAnsi="Lato"/>
          <w:color w:val="000000" w:themeColor="text1"/>
          <w:sz w:val="22"/>
          <w:szCs w:val="22"/>
        </w:rPr>
        <w:t>MS:</w:t>
      </w:r>
      <w:r w:rsidRPr="00AA22C4">
        <w:rPr>
          <w:rFonts w:ascii="Arial" w:hAnsi="Arial" w:cs="Arial"/>
          <w:color w:val="000000" w:themeColor="text1"/>
          <w:sz w:val="22"/>
          <w:szCs w:val="22"/>
        </w:rPr>
        <w:t>↑</w:t>
      </w:r>
      <w:proofErr w:type="gramEnd"/>
      <w:r w:rsidRPr="00AA22C4">
        <w:rPr>
          <w:rFonts w:ascii="Lato" w:hAnsi="Lato"/>
          <w:color w:val="000000" w:themeColor="text1"/>
          <w:sz w:val="22"/>
          <w:szCs w:val="22"/>
        </w:rPr>
        <w:t xml:space="preserve"> kwas 3-OH-propionowy i kwas </w:t>
      </w:r>
      <w:proofErr w:type="spellStart"/>
      <w:r w:rsidRPr="00AA22C4">
        <w:rPr>
          <w:rFonts w:ascii="Lato" w:hAnsi="Lato"/>
          <w:color w:val="000000" w:themeColor="text1"/>
          <w:sz w:val="22"/>
          <w:szCs w:val="22"/>
        </w:rPr>
        <w:t>metylocytrynowy</w:t>
      </w:r>
      <w:proofErr w:type="spellEnd"/>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ketonuria</w:t>
      </w:r>
      <w:proofErr w:type="spellEnd"/>
      <w:r w:rsidRPr="00AA22C4">
        <w:rPr>
          <w:rFonts w:ascii="Lato" w:hAnsi="Lato"/>
          <w:color w:val="000000" w:themeColor="text1"/>
          <w:sz w:val="22"/>
          <w:szCs w:val="22"/>
        </w:rPr>
        <w:t>;</w:t>
      </w:r>
    </w:p>
    <w:p w14:paraId="1BB92CDC" w14:textId="77777777" w:rsidR="005E347E" w:rsidRPr="00AA22C4" w:rsidRDefault="005E347E" w:rsidP="005E347E">
      <w:pPr>
        <w:pStyle w:val="Akapitzlist"/>
        <w:numPr>
          <w:ilvl w:val="0"/>
          <w:numId w:val="44"/>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 osoczu analiza aminokwasów: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Gli</w:t>
      </w:r>
      <w:proofErr w:type="spellEnd"/>
      <w:r w:rsidRPr="00AA22C4">
        <w:rPr>
          <w:rFonts w:ascii="Lato" w:hAnsi="Lato"/>
          <w:color w:val="000000" w:themeColor="text1"/>
          <w:sz w:val="22"/>
          <w:szCs w:val="22"/>
        </w:rPr>
        <w:t>, Ala;</w:t>
      </w:r>
    </w:p>
    <w:p w14:paraId="29FAADEB" w14:textId="77777777" w:rsidR="005E347E" w:rsidRPr="00AA22C4" w:rsidRDefault="005E347E" w:rsidP="005E347E">
      <w:pPr>
        <w:pStyle w:val="Akapitzlist"/>
        <w:numPr>
          <w:ilvl w:val="0"/>
          <w:numId w:val="44"/>
        </w:numPr>
        <w:spacing w:before="120" w:after="120" w:line="360" w:lineRule="auto"/>
        <w:ind w:left="714" w:hanging="357"/>
        <w:jc w:val="both"/>
        <w:rPr>
          <w:rFonts w:ascii="Lato" w:hAnsi="Lato"/>
          <w:i/>
          <w:color w:val="000000" w:themeColor="text1"/>
          <w:sz w:val="22"/>
          <w:szCs w:val="22"/>
        </w:rPr>
      </w:pPr>
      <w:r w:rsidRPr="00AA22C4">
        <w:rPr>
          <w:rFonts w:ascii="Lato" w:hAnsi="Lato"/>
          <w:color w:val="000000" w:themeColor="text1"/>
          <w:sz w:val="22"/>
          <w:szCs w:val="22"/>
        </w:rPr>
        <w:t xml:space="preserve">badania molekularne: geny </w:t>
      </w:r>
      <w:r w:rsidRPr="00AA22C4">
        <w:rPr>
          <w:rFonts w:ascii="Lato" w:hAnsi="Lato"/>
          <w:i/>
          <w:color w:val="000000" w:themeColor="text1"/>
          <w:sz w:val="22"/>
          <w:szCs w:val="22"/>
        </w:rPr>
        <w:t>PCCA</w:t>
      </w:r>
      <w:r w:rsidRPr="00AA22C4">
        <w:rPr>
          <w:rFonts w:ascii="Lato" w:hAnsi="Lato"/>
          <w:color w:val="000000" w:themeColor="text1"/>
          <w:sz w:val="22"/>
          <w:szCs w:val="22"/>
        </w:rPr>
        <w:t xml:space="preserve"> i </w:t>
      </w:r>
      <w:r w:rsidRPr="00AA22C4">
        <w:rPr>
          <w:rFonts w:ascii="Lato" w:hAnsi="Lato"/>
          <w:i/>
          <w:color w:val="000000" w:themeColor="text1"/>
          <w:sz w:val="22"/>
          <w:szCs w:val="22"/>
        </w:rPr>
        <w:t>PCCB;</w:t>
      </w:r>
    </w:p>
    <w:p w14:paraId="10EEDA7A" w14:textId="77777777" w:rsidR="005E347E" w:rsidRPr="00AA22C4" w:rsidRDefault="005E347E" w:rsidP="005E347E">
      <w:pPr>
        <w:pStyle w:val="Akapitzlist"/>
        <w:numPr>
          <w:ilvl w:val="0"/>
          <w:numId w:val="44"/>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lastRenderedPageBreak/>
        <w:t xml:space="preserve">diagnostyka różnicowa: zaburzenia metabolizmu biotyny, </w:t>
      </w:r>
      <w:proofErr w:type="spellStart"/>
      <w:r w:rsidRPr="00AA22C4">
        <w:rPr>
          <w:rFonts w:ascii="Lato" w:hAnsi="Lato"/>
          <w:color w:val="000000" w:themeColor="text1"/>
          <w:sz w:val="22"/>
          <w:szCs w:val="22"/>
        </w:rPr>
        <w:t>hiperglicynemia</w:t>
      </w:r>
      <w:proofErr w:type="spellEnd"/>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nieketotyczna</w:t>
      </w:r>
      <w:proofErr w:type="spellEnd"/>
      <w:r w:rsidRPr="00AA22C4">
        <w:rPr>
          <w:rFonts w:ascii="Lato" w:hAnsi="Lato"/>
          <w:color w:val="000000" w:themeColor="text1"/>
          <w:sz w:val="22"/>
          <w:szCs w:val="22"/>
        </w:rPr>
        <w:t>.</w:t>
      </w:r>
    </w:p>
    <w:p w14:paraId="36404673"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Leczenie:</w:t>
      </w:r>
    </w:p>
    <w:p w14:paraId="5ADB723B"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Dieta z ograniczeniem prekursorów kwasu propionowego, tj. izoleucyny, metioniny, treoniny </w:t>
      </w:r>
      <w:r w:rsidRPr="00AA22C4">
        <w:rPr>
          <w:rFonts w:ascii="Lato" w:hAnsi="Lato"/>
          <w:color w:val="000000" w:themeColor="text1"/>
          <w:kern w:val="1"/>
          <w:sz w:val="22"/>
          <w:szCs w:val="22"/>
          <w:lang w:eastAsia="ar-SA"/>
        </w:rPr>
        <w:br/>
        <w:t>i waliny. Suplementacja karnityny w ramach programu lekowego „Leczenie uzupełniające L-karnityną w wybranych chorobach metabolicznych”.</w:t>
      </w:r>
    </w:p>
    <w:p w14:paraId="2FBA3413" w14:textId="77777777" w:rsidR="005E347E" w:rsidRPr="00AA22C4" w:rsidRDefault="005E347E" w:rsidP="00D23264">
      <w:pPr>
        <w:pStyle w:val="Akapitzlist"/>
        <w:numPr>
          <w:ilvl w:val="0"/>
          <w:numId w:val="82"/>
        </w:numPr>
        <w:spacing w:before="360" w:after="120"/>
        <w:ind w:left="1077" w:hanging="357"/>
        <w:jc w:val="both"/>
        <w:rPr>
          <w:rFonts w:ascii="Lato" w:hAnsi="Lato"/>
          <w:b/>
          <w:bCs/>
          <w:color w:val="000000" w:themeColor="text1"/>
          <w:sz w:val="22"/>
          <w:szCs w:val="22"/>
        </w:rPr>
      </w:pPr>
      <w:proofErr w:type="spellStart"/>
      <w:r w:rsidRPr="00AA22C4">
        <w:rPr>
          <w:rFonts w:ascii="Lato" w:hAnsi="Lato"/>
          <w:b/>
          <w:bCs/>
          <w:color w:val="000000" w:themeColor="text1"/>
          <w:sz w:val="22"/>
          <w:szCs w:val="22"/>
        </w:rPr>
        <w:t>Acyduria</w:t>
      </w:r>
      <w:proofErr w:type="spellEnd"/>
      <w:r w:rsidRPr="00AA22C4">
        <w:rPr>
          <w:rFonts w:ascii="Lato" w:hAnsi="Lato"/>
          <w:b/>
          <w:bCs/>
          <w:color w:val="000000" w:themeColor="text1"/>
          <w:sz w:val="22"/>
          <w:szCs w:val="22"/>
        </w:rPr>
        <w:t xml:space="preserve"> </w:t>
      </w:r>
      <w:proofErr w:type="spellStart"/>
      <w:r w:rsidRPr="00AA22C4">
        <w:rPr>
          <w:rFonts w:ascii="Lato" w:hAnsi="Lato"/>
          <w:b/>
          <w:bCs/>
          <w:color w:val="000000" w:themeColor="text1"/>
          <w:sz w:val="22"/>
          <w:szCs w:val="22"/>
        </w:rPr>
        <w:t>metylomalonowa</w:t>
      </w:r>
      <w:proofErr w:type="spellEnd"/>
      <w:r w:rsidRPr="00AA22C4">
        <w:rPr>
          <w:rFonts w:ascii="Lato" w:hAnsi="Lato"/>
          <w:b/>
          <w:bCs/>
          <w:color w:val="000000" w:themeColor="text1"/>
          <w:sz w:val="22"/>
          <w:szCs w:val="22"/>
        </w:rPr>
        <w:t xml:space="preserve"> – MMA</w:t>
      </w:r>
    </w:p>
    <w:p w14:paraId="156C934C"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u w:val="single"/>
          <w:lang w:eastAsia="ar-SA"/>
        </w:rPr>
        <w:t>Opis:</w:t>
      </w:r>
    </w:p>
    <w:p w14:paraId="015B8EA6" w14:textId="77777777" w:rsidR="005E347E" w:rsidRPr="00AA22C4" w:rsidRDefault="005E347E" w:rsidP="005E347E">
      <w:pPr>
        <w:suppressAutoHyphens/>
        <w:spacing w:before="120" w:after="120"/>
        <w:jc w:val="both"/>
        <w:rPr>
          <w:rFonts w:ascii="Lato" w:eastAsia="Arial Unicode MS" w:hAnsi="Lato"/>
          <w:bCs/>
          <w:color w:val="000000" w:themeColor="text1"/>
          <w:kern w:val="1"/>
          <w:sz w:val="22"/>
          <w:szCs w:val="22"/>
          <w:lang w:eastAsia="ar-SA"/>
        </w:rPr>
      </w:pPr>
      <w:r w:rsidRPr="00AA22C4">
        <w:rPr>
          <w:rFonts w:ascii="Lato" w:eastAsia="Arial Unicode MS" w:hAnsi="Lato"/>
          <w:bCs/>
          <w:color w:val="000000" w:themeColor="text1"/>
          <w:kern w:val="1"/>
          <w:sz w:val="22"/>
          <w:szCs w:val="22"/>
          <w:lang w:eastAsia="ar-SA"/>
        </w:rPr>
        <w:t>Częstość występowania choroby szacuje się na około występowania 1:80 000 – 1:100 000 (7, 8, 9). Jest spowodowana</w:t>
      </w:r>
      <w:r w:rsidRPr="00AA22C4">
        <w:rPr>
          <w:rFonts w:ascii="Lato" w:eastAsia="Arial Unicode MS" w:hAnsi="Lato"/>
          <w:color w:val="000000" w:themeColor="text1"/>
          <w:kern w:val="1"/>
          <w:sz w:val="22"/>
          <w:szCs w:val="22"/>
          <w:lang w:eastAsia="ar-SA"/>
        </w:rPr>
        <w:t xml:space="preserve"> deficytem enzymu </w:t>
      </w:r>
      <w:proofErr w:type="spellStart"/>
      <w:r w:rsidRPr="00AA22C4">
        <w:rPr>
          <w:rFonts w:ascii="Lato" w:eastAsia="Arial Unicode MS" w:hAnsi="Lato"/>
          <w:color w:val="000000" w:themeColor="text1"/>
          <w:kern w:val="1"/>
          <w:sz w:val="22"/>
          <w:szCs w:val="22"/>
          <w:lang w:eastAsia="ar-SA"/>
        </w:rPr>
        <w:t>mutazy</w:t>
      </w:r>
      <w:proofErr w:type="spellEnd"/>
      <w:r w:rsidRPr="00AA22C4">
        <w:rPr>
          <w:rFonts w:ascii="Lato" w:eastAsia="Arial Unicode MS" w:hAnsi="Lato"/>
          <w:color w:val="000000" w:themeColor="text1"/>
          <w:kern w:val="1"/>
          <w:sz w:val="22"/>
          <w:szCs w:val="22"/>
          <w:lang w:eastAsia="ar-SA"/>
        </w:rPr>
        <w:t xml:space="preserve"> </w:t>
      </w:r>
      <w:proofErr w:type="spellStart"/>
      <w:r w:rsidRPr="00AA22C4">
        <w:rPr>
          <w:rFonts w:ascii="Lato" w:eastAsia="Arial Unicode MS" w:hAnsi="Lato"/>
          <w:color w:val="000000" w:themeColor="text1"/>
          <w:kern w:val="1"/>
          <w:sz w:val="22"/>
          <w:szCs w:val="22"/>
          <w:lang w:eastAsia="ar-SA"/>
        </w:rPr>
        <w:t>metylomalonylo-CoA</w:t>
      </w:r>
      <w:proofErr w:type="spellEnd"/>
      <w:r w:rsidRPr="00AA22C4">
        <w:rPr>
          <w:rFonts w:ascii="Lato" w:eastAsia="Arial Unicode MS" w:hAnsi="Lato"/>
          <w:color w:val="000000" w:themeColor="text1"/>
          <w:kern w:val="1"/>
          <w:sz w:val="22"/>
          <w:szCs w:val="22"/>
          <w:lang w:eastAsia="ar-SA"/>
        </w:rPr>
        <w:t xml:space="preserve"> (MCM) i innych enzymów metabolizmu kobalaminy (witaminy B12). Profil</w:t>
      </w:r>
      <w:r w:rsidRPr="00AA22C4">
        <w:rPr>
          <w:rFonts w:ascii="Lato" w:hAnsi="Lato"/>
          <w:color w:val="000000" w:themeColor="text1"/>
          <w:kern w:val="1"/>
          <w:sz w:val="22"/>
          <w:szCs w:val="22"/>
          <w:lang w:eastAsia="ar-SA"/>
        </w:rPr>
        <w:t xml:space="preserve"> </w:t>
      </w:r>
      <w:proofErr w:type="spellStart"/>
      <w:r w:rsidRPr="00AA22C4">
        <w:rPr>
          <w:rFonts w:ascii="Lato" w:hAnsi="Lato"/>
          <w:color w:val="000000" w:themeColor="text1"/>
          <w:kern w:val="1"/>
          <w:sz w:val="22"/>
          <w:szCs w:val="22"/>
          <w:lang w:eastAsia="ar-SA"/>
        </w:rPr>
        <w:t>acylokarnityn</w:t>
      </w:r>
      <w:proofErr w:type="spellEnd"/>
      <w:r w:rsidRPr="00AA22C4">
        <w:rPr>
          <w:rFonts w:ascii="Lato" w:hAnsi="Lato"/>
          <w:color w:val="000000" w:themeColor="text1"/>
          <w:kern w:val="1"/>
          <w:sz w:val="22"/>
          <w:szCs w:val="22"/>
          <w:lang w:eastAsia="ar-SA"/>
        </w:rPr>
        <w:t xml:space="preserve"> w suchej kropli krwi nie różnicuje PA i MMA.</w:t>
      </w:r>
    </w:p>
    <w:p w14:paraId="307C2716"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Objawy:</w:t>
      </w:r>
    </w:p>
    <w:p w14:paraId="25F433FD"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Postępująca encefalopatia o typie zespołu intoksykacji (zatrucia endogennego) (7, 8, 10).</w:t>
      </w:r>
    </w:p>
    <w:p w14:paraId="247B2A58"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Powikłania: niepełnosprawność intelektualna, objawy pozapiramidowe, nawracające zapalenie trzustki, osteoporoza, postępująca niewydolność nerek, zanik nerwów wzrokowych (7, 8, 9).</w:t>
      </w:r>
    </w:p>
    <w:p w14:paraId="2414415B"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Diagnostyka:</w:t>
      </w:r>
    </w:p>
    <w:p w14:paraId="381C17EA" w14:textId="77777777" w:rsidR="005E347E" w:rsidRPr="00AA22C4" w:rsidRDefault="005E347E" w:rsidP="005E347E">
      <w:pPr>
        <w:pStyle w:val="Akapitzlist"/>
        <w:numPr>
          <w:ilvl w:val="0"/>
          <w:numId w:val="45"/>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we krwi na bibule przesiewowej metodą MS/MS: </w:t>
      </w:r>
      <w:proofErr w:type="spellStart"/>
      <w:r w:rsidRPr="00AA22C4">
        <w:rPr>
          <w:rFonts w:ascii="Lato" w:hAnsi="Lato"/>
          <w:color w:val="000000" w:themeColor="text1"/>
          <w:sz w:val="22"/>
          <w:szCs w:val="22"/>
        </w:rPr>
        <w:t>propionylokarnityna</w:t>
      </w:r>
      <w:proofErr w:type="spellEnd"/>
      <w:r w:rsidRPr="00AA22C4">
        <w:rPr>
          <w:rFonts w:ascii="Lato" w:hAnsi="Lato"/>
          <w:color w:val="000000" w:themeColor="text1"/>
          <w:sz w:val="22"/>
          <w:szCs w:val="22"/>
        </w:rPr>
        <w:t xml:space="preserve"> (C3);</w:t>
      </w:r>
    </w:p>
    <w:p w14:paraId="28CE31A8" w14:textId="77777777" w:rsidR="005E347E" w:rsidRPr="00AA22C4" w:rsidRDefault="005E347E" w:rsidP="005E347E">
      <w:pPr>
        <w:pStyle w:val="Akapitzlist"/>
        <w:numPr>
          <w:ilvl w:val="0"/>
          <w:numId w:val="45"/>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w moczu analiza kwasów organicznych metodą GC/</w:t>
      </w:r>
      <w:proofErr w:type="gramStart"/>
      <w:r w:rsidRPr="00AA22C4">
        <w:rPr>
          <w:rFonts w:ascii="Lato" w:hAnsi="Lato"/>
          <w:color w:val="000000" w:themeColor="text1"/>
          <w:sz w:val="22"/>
          <w:szCs w:val="22"/>
        </w:rPr>
        <w:t>MS:</w:t>
      </w:r>
      <w:r w:rsidRPr="00AA22C4">
        <w:rPr>
          <w:rFonts w:ascii="Arial" w:hAnsi="Arial" w:cs="Arial"/>
          <w:color w:val="000000" w:themeColor="text1"/>
          <w:sz w:val="22"/>
          <w:szCs w:val="22"/>
        </w:rPr>
        <w:t>↑</w:t>
      </w:r>
      <w:proofErr w:type="gramEnd"/>
      <w:r w:rsidRPr="00AA22C4">
        <w:rPr>
          <w:rFonts w:ascii="Lato" w:hAnsi="Lato"/>
          <w:color w:val="000000" w:themeColor="text1"/>
          <w:sz w:val="22"/>
          <w:szCs w:val="22"/>
        </w:rPr>
        <w:t xml:space="preserve"> kwasy </w:t>
      </w:r>
      <w:proofErr w:type="spellStart"/>
      <w:r w:rsidRPr="00AA22C4">
        <w:rPr>
          <w:rFonts w:ascii="Lato" w:hAnsi="Lato"/>
          <w:color w:val="000000" w:themeColor="text1"/>
          <w:sz w:val="22"/>
          <w:szCs w:val="22"/>
        </w:rPr>
        <w:t>metylomalonowy</w:t>
      </w:r>
      <w:proofErr w:type="spellEnd"/>
      <w:r w:rsidRPr="00AA22C4">
        <w:rPr>
          <w:rFonts w:ascii="Lato" w:hAnsi="Lato"/>
          <w:color w:val="000000" w:themeColor="text1"/>
          <w:sz w:val="22"/>
          <w:szCs w:val="22"/>
        </w:rPr>
        <w:t xml:space="preserve">, </w:t>
      </w:r>
      <w:r w:rsidRPr="00AA22C4">
        <w:rPr>
          <w:rFonts w:ascii="Lato" w:hAnsi="Lato"/>
          <w:color w:val="000000" w:themeColor="text1"/>
          <w:sz w:val="22"/>
          <w:szCs w:val="22"/>
        </w:rPr>
        <w:br/>
        <w:t xml:space="preserve">3- OH-propionowy, </w:t>
      </w:r>
      <w:proofErr w:type="spellStart"/>
      <w:r w:rsidRPr="00AA22C4">
        <w:rPr>
          <w:rFonts w:ascii="Lato" w:hAnsi="Lato"/>
          <w:color w:val="000000" w:themeColor="text1"/>
          <w:sz w:val="22"/>
          <w:szCs w:val="22"/>
        </w:rPr>
        <w:t>metylocytrynowy</w:t>
      </w:r>
      <w:proofErr w:type="spellEnd"/>
      <w:r w:rsidRPr="00AA22C4">
        <w:rPr>
          <w:rFonts w:ascii="Lato" w:hAnsi="Lato"/>
          <w:color w:val="000000" w:themeColor="text1"/>
          <w:sz w:val="22"/>
          <w:szCs w:val="22"/>
        </w:rPr>
        <w:t>;</w:t>
      </w:r>
    </w:p>
    <w:p w14:paraId="0953BA53" w14:textId="77777777" w:rsidR="005E347E" w:rsidRPr="00AA22C4" w:rsidRDefault="005E347E" w:rsidP="005E347E">
      <w:pPr>
        <w:pStyle w:val="Akapitzlist"/>
        <w:numPr>
          <w:ilvl w:val="0"/>
          <w:numId w:val="45"/>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 osoczu analiza aminokwasów: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Gli</w:t>
      </w:r>
      <w:proofErr w:type="spellEnd"/>
      <w:r w:rsidRPr="00AA22C4">
        <w:rPr>
          <w:rFonts w:ascii="Lato" w:hAnsi="Lato"/>
          <w:color w:val="000000" w:themeColor="text1"/>
          <w:sz w:val="22"/>
          <w:szCs w:val="22"/>
        </w:rPr>
        <w:t xml:space="preserve">,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 Ala;</w:t>
      </w:r>
    </w:p>
    <w:p w14:paraId="6C1FAFC8" w14:textId="77777777" w:rsidR="005E347E" w:rsidRPr="00AA22C4" w:rsidRDefault="005E347E" w:rsidP="005E347E">
      <w:pPr>
        <w:pStyle w:val="Akapitzlist"/>
        <w:numPr>
          <w:ilvl w:val="0"/>
          <w:numId w:val="45"/>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diagnostyka różnicowa: Zaburzenia metabolizmu kobalaminy, niedobór witaminy B12.</w:t>
      </w:r>
    </w:p>
    <w:p w14:paraId="16A77D40"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Leczenie:</w:t>
      </w:r>
    </w:p>
    <w:p w14:paraId="327CC1D0"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Dieta z ograniczeniem prekursorów kwasu propionowego, tj. izoleucyny, metioniny, treoniny </w:t>
      </w:r>
      <w:r w:rsidRPr="00AA22C4">
        <w:rPr>
          <w:rFonts w:ascii="Lato" w:hAnsi="Lato"/>
          <w:color w:val="000000" w:themeColor="text1"/>
          <w:kern w:val="1"/>
          <w:sz w:val="22"/>
          <w:szCs w:val="22"/>
          <w:lang w:eastAsia="ar-SA"/>
        </w:rPr>
        <w:br/>
        <w:t xml:space="preserve">i waliny. </w:t>
      </w:r>
      <w:proofErr w:type="spellStart"/>
      <w:r w:rsidRPr="00AA22C4">
        <w:rPr>
          <w:rFonts w:ascii="Lato" w:hAnsi="Lato"/>
          <w:color w:val="000000" w:themeColor="text1"/>
          <w:kern w:val="1"/>
          <w:sz w:val="22"/>
          <w:szCs w:val="22"/>
          <w:lang w:eastAsia="ar-SA"/>
        </w:rPr>
        <w:t>Vit</w:t>
      </w:r>
      <w:proofErr w:type="spellEnd"/>
      <w:r w:rsidRPr="00AA22C4">
        <w:rPr>
          <w:rFonts w:ascii="Lato" w:hAnsi="Lato"/>
          <w:color w:val="000000" w:themeColor="text1"/>
          <w:kern w:val="1"/>
          <w:sz w:val="22"/>
          <w:szCs w:val="22"/>
          <w:lang w:eastAsia="ar-SA"/>
        </w:rPr>
        <w:t xml:space="preserve">. B12 w postaciach </w:t>
      </w:r>
      <w:proofErr w:type="spellStart"/>
      <w:r w:rsidRPr="00AA22C4">
        <w:rPr>
          <w:rFonts w:ascii="Lato" w:hAnsi="Lato"/>
          <w:color w:val="000000" w:themeColor="text1"/>
          <w:kern w:val="1"/>
          <w:sz w:val="22"/>
          <w:szCs w:val="22"/>
          <w:lang w:eastAsia="ar-SA"/>
        </w:rPr>
        <w:t>kobalaminozależnych</w:t>
      </w:r>
      <w:proofErr w:type="spellEnd"/>
      <w:r w:rsidRPr="00AA22C4">
        <w:rPr>
          <w:rFonts w:ascii="Lato" w:hAnsi="Lato"/>
          <w:color w:val="000000" w:themeColor="text1"/>
          <w:kern w:val="1"/>
          <w:sz w:val="22"/>
          <w:szCs w:val="22"/>
          <w:lang w:eastAsia="ar-SA"/>
        </w:rPr>
        <w:t>. Podawanie karnityny w ramach programu lekowego „Leczenie uzupełniające L-karnityną w wybranych chorobach metabolicznych”.</w:t>
      </w:r>
    </w:p>
    <w:p w14:paraId="77241FED" w14:textId="77777777" w:rsidR="005E347E" w:rsidRPr="00AA22C4" w:rsidRDefault="005E347E" w:rsidP="00D23264">
      <w:pPr>
        <w:pStyle w:val="Akapitzlist"/>
        <w:numPr>
          <w:ilvl w:val="0"/>
          <w:numId w:val="82"/>
        </w:numPr>
        <w:spacing w:before="360" w:after="120"/>
        <w:ind w:left="1077" w:hanging="357"/>
        <w:jc w:val="both"/>
        <w:rPr>
          <w:rFonts w:ascii="Lato" w:hAnsi="Lato"/>
          <w:b/>
          <w:bCs/>
          <w:color w:val="000000" w:themeColor="text1"/>
          <w:sz w:val="22"/>
          <w:szCs w:val="22"/>
        </w:rPr>
      </w:pPr>
      <w:proofErr w:type="spellStart"/>
      <w:r w:rsidRPr="00AA22C4">
        <w:rPr>
          <w:rFonts w:ascii="Lato" w:hAnsi="Lato"/>
          <w:b/>
          <w:bCs/>
          <w:color w:val="000000" w:themeColor="text1"/>
          <w:sz w:val="22"/>
          <w:szCs w:val="22"/>
        </w:rPr>
        <w:t>Acyduria</w:t>
      </w:r>
      <w:proofErr w:type="spellEnd"/>
      <w:r w:rsidRPr="00AA22C4">
        <w:rPr>
          <w:rFonts w:ascii="Lato" w:hAnsi="Lato"/>
          <w:b/>
          <w:bCs/>
          <w:color w:val="000000" w:themeColor="text1"/>
          <w:sz w:val="22"/>
          <w:szCs w:val="22"/>
        </w:rPr>
        <w:t xml:space="preserve"> </w:t>
      </w:r>
      <w:proofErr w:type="spellStart"/>
      <w:r w:rsidRPr="00AA22C4">
        <w:rPr>
          <w:rFonts w:ascii="Lato" w:hAnsi="Lato"/>
          <w:b/>
          <w:bCs/>
          <w:color w:val="000000" w:themeColor="text1"/>
          <w:sz w:val="22"/>
          <w:szCs w:val="22"/>
        </w:rPr>
        <w:t>izowalerianowa</w:t>
      </w:r>
      <w:proofErr w:type="spellEnd"/>
      <w:r w:rsidRPr="00AA22C4">
        <w:rPr>
          <w:rFonts w:ascii="Lato" w:hAnsi="Lato"/>
          <w:b/>
          <w:bCs/>
          <w:color w:val="000000" w:themeColor="text1"/>
          <w:sz w:val="22"/>
          <w:szCs w:val="22"/>
        </w:rPr>
        <w:t xml:space="preserve"> – IVA</w:t>
      </w:r>
    </w:p>
    <w:p w14:paraId="3FE9BF5C"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u w:val="single"/>
          <w:lang w:eastAsia="ar-SA"/>
        </w:rPr>
        <w:t>Opis:</w:t>
      </w:r>
    </w:p>
    <w:p w14:paraId="055EF46F" w14:textId="77777777" w:rsidR="005E347E" w:rsidRPr="00AA22C4" w:rsidRDefault="005E347E" w:rsidP="005E347E">
      <w:pPr>
        <w:suppressAutoHyphens/>
        <w:spacing w:before="120" w:after="120"/>
        <w:jc w:val="both"/>
        <w:rPr>
          <w:rFonts w:ascii="Lato" w:hAnsi="Lato"/>
          <w:color w:val="000000" w:themeColor="text1"/>
          <w:kern w:val="1"/>
          <w:sz w:val="22"/>
          <w:szCs w:val="22"/>
          <w:u w:val="single"/>
          <w:lang w:eastAsia="ar-SA"/>
        </w:rPr>
      </w:pPr>
      <w:r w:rsidRPr="00AA22C4">
        <w:rPr>
          <w:rFonts w:ascii="Lato" w:eastAsia="Arial Unicode MS" w:hAnsi="Lato"/>
          <w:bCs/>
          <w:color w:val="000000" w:themeColor="text1"/>
          <w:kern w:val="1"/>
          <w:sz w:val="22"/>
          <w:szCs w:val="22"/>
          <w:lang w:eastAsia="ar-SA"/>
        </w:rPr>
        <w:t>Częstość występowania choroby szacuje się na około 1:60 000 urodzeń (7, 8, 9). Jest s</w:t>
      </w:r>
      <w:r w:rsidRPr="00AA22C4">
        <w:rPr>
          <w:rFonts w:ascii="Lato" w:eastAsia="Arial Unicode MS" w:hAnsi="Lato"/>
          <w:color w:val="000000" w:themeColor="text1"/>
          <w:kern w:val="1"/>
          <w:sz w:val="22"/>
          <w:szCs w:val="22"/>
          <w:lang w:eastAsia="ar-SA"/>
        </w:rPr>
        <w:t xml:space="preserve">powodowana deficytem enzymu dehydrogenazy </w:t>
      </w:r>
      <w:proofErr w:type="spellStart"/>
      <w:r w:rsidRPr="00AA22C4">
        <w:rPr>
          <w:rFonts w:ascii="Lato" w:eastAsia="Arial Unicode MS" w:hAnsi="Lato"/>
          <w:color w:val="000000" w:themeColor="text1"/>
          <w:kern w:val="1"/>
          <w:sz w:val="22"/>
          <w:szCs w:val="22"/>
          <w:lang w:eastAsia="ar-SA"/>
        </w:rPr>
        <w:t>izowalerylo-CoA</w:t>
      </w:r>
      <w:proofErr w:type="spellEnd"/>
      <w:r w:rsidRPr="00AA22C4">
        <w:rPr>
          <w:rFonts w:ascii="Lato" w:eastAsia="Arial Unicode MS" w:hAnsi="Lato"/>
          <w:color w:val="000000" w:themeColor="text1"/>
          <w:kern w:val="1"/>
          <w:sz w:val="22"/>
          <w:szCs w:val="22"/>
          <w:lang w:eastAsia="ar-SA"/>
        </w:rPr>
        <w:t xml:space="preserve"> (IVD).</w:t>
      </w:r>
    </w:p>
    <w:p w14:paraId="19C55F74" w14:textId="77777777" w:rsidR="00D23264" w:rsidRDefault="00D23264" w:rsidP="005E347E">
      <w:pPr>
        <w:suppressAutoHyphens/>
        <w:spacing w:before="120" w:after="120"/>
        <w:contextualSpacing/>
        <w:jc w:val="both"/>
        <w:rPr>
          <w:rFonts w:ascii="Lato" w:hAnsi="Lato"/>
          <w:color w:val="000000" w:themeColor="text1"/>
          <w:kern w:val="1"/>
          <w:sz w:val="22"/>
          <w:szCs w:val="22"/>
          <w:u w:val="single"/>
          <w:lang w:eastAsia="ar-SA"/>
        </w:rPr>
      </w:pPr>
    </w:p>
    <w:p w14:paraId="26D3E8CB" w14:textId="66EFD4D8"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lastRenderedPageBreak/>
        <w:t>Objawy:</w:t>
      </w:r>
    </w:p>
    <w:p w14:paraId="2A967C81"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Postępująca encefalopatia o typie zespołu intoksykacji (zatrucia endogennego) (7, 8, 10).</w:t>
      </w:r>
    </w:p>
    <w:p w14:paraId="6A3322A6"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Diagnostyka:</w:t>
      </w:r>
    </w:p>
    <w:p w14:paraId="46C52693" w14:textId="77777777" w:rsidR="005E347E" w:rsidRPr="00AA22C4" w:rsidRDefault="005E347E" w:rsidP="005E347E">
      <w:pPr>
        <w:pStyle w:val="Akapitzlist"/>
        <w:numPr>
          <w:ilvl w:val="0"/>
          <w:numId w:val="46"/>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we krwi na bibule przesiewowej metodą MS/MS: </w:t>
      </w:r>
      <w:r w:rsidRPr="00AA22C4">
        <w:rPr>
          <w:rFonts w:ascii="Arial" w:hAnsi="Arial" w:cs="Arial"/>
          <w:color w:val="000000" w:themeColor="text1"/>
          <w:sz w:val="22"/>
          <w:szCs w:val="22"/>
        </w:rPr>
        <w:t>↑↑</w:t>
      </w:r>
      <w:r w:rsidRPr="00AA22C4">
        <w:rPr>
          <w:rFonts w:ascii="Lato" w:hAnsi="Lato"/>
          <w:color w:val="000000" w:themeColor="text1"/>
          <w:sz w:val="22"/>
          <w:szCs w:val="22"/>
        </w:rPr>
        <w:t>C</w:t>
      </w:r>
      <w:proofErr w:type="gramStart"/>
      <w:r w:rsidRPr="00AA22C4">
        <w:rPr>
          <w:rFonts w:ascii="Lato" w:hAnsi="Lato"/>
          <w:color w:val="000000" w:themeColor="text1"/>
          <w:sz w:val="22"/>
          <w:szCs w:val="22"/>
        </w:rPr>
        <w:t xml:space="preserve">5,  </w:t>
      </w:r>
      <w:r w:rsidRPr="00AA22C4">
        <w:rPr>
          <w:rFonts w:ascii="Arial" w:hAnsi="Arial" w:cs="Arial"/>
          <w:color w:val="000000" w:themeColor="text1"/>
          <w:sz w:val="22"/>
          <w:szCs w:val="22"/>
        </w:rPr>
        <w:t>↑</w:t>
      </w:r>
      <w:proofErr w:type="gramEnd"/>
      <w:r w:rsidRPr="00AA22C4">
        <w:rPr>
          <w:rFonts w:ascii="Lato" w:hAnsi="Lato"/>
          <w:color w:val="000000" w:themeColor="text1"/>
          <w:sz w:val="22"/>
          <w:szCs w:val="22"/>
        </w:rPr>
        <w:t>C5/C2;</w:t>
      </w:r>
    </w:p>
    <w:p w14:paraId="1465C14D" w14:textId="77777777" w:rsidR="005E347E" w:rsidRPr="00AA22C4" w:rsidRDefault="005E347E" w:rsidP="005E347E">
      <w:pPr>
        <w:pStyle w:val="Akapitzlist"/>
        <w:numPr>
          <w:ilvl w:val="0"/>
          <w:numId w:val="46"/>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w moczu analiza kwasów organicznych metodą GC/</w:t>
      </w:r>
      <w:proofErr w:type="gramStart"/>
      <w:r w:rsidRPr="00AA22C4">
        <w:rPr>
          <w:rFonts w:ascii="Lato" w:hAnsi="Lato"/>
          <w:color w:val="000000" w:themeColor="text1"/>
          <w:sz w:val="22"/>
          <w:szCs w:val="22"/>
        </w:rPr>
        <w:t>MS:</w:t>
      </w:r>
      <w:r w:rsidRPr="00AA22C4">
        <w:rPr>
          <w:rFonts w:ascii="Arial" w:hAnsi="Arial" w:cs="Arial"/>
          <w:color w:val="000000" w:themeColor="text1"/>
          <w:sz w:val="22"/>
          <w:szCs w:val="22"/>
        </w:rPr>
        <w:t>↑</w:t>
      </w:r>
      <w:proofErr w:type="gramEnd"/>
      <w:r w:rsidRPr="00AA22C4">
        <w:rPr>
          <w:rFonts w:ascii="Arial" w:hAnsi="Arial" w:cs="Arial"/>
          <w:color w:val="000000" w:themeColor="text1"/>
          <w:sz w:val="22"/>
          <w:szCs w:val="22"/>
        </w:rPr>
        <w:t>↑</w:t>
      </w:r>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izowaleryloglicyna</w:t>
      </w:r>
      <w:proofErr w:type="spellEnd"/>
      <w:r w:rsidRPr="00AA22C4">
        <w:rPr>
          <w:rFonts w:ascii="Lato" w:hAnsi="Lato"/>
          <w:color w:val="000000" w:themeColor="text1"/>
          <w:sz w:val="22"/>
          <w:szCs w:val="22"/>
        </w:rPr>
        <w:t xml:space="preserve">, kwas </w:t>
      </w:r>
      <w:r w:rsidRPr="00AA22C4">
        <w:rPr>
          <w:rFonts w:ascii="Lato" w:hAnsi="Lato"/>
          <w:color w:val="000000" w:themeColor="text1"/>
          <w:sz w:val="22"/>
          <w:szCs w:val="22"/>
        </w:rPr>
        <w:br/>
        <w:t>3-OH-izowalerianowy;</w:t>
      </w:r>
    </w:p>
    <w:p w14:paraId="1EB57008" w14:textId="77777777" w:rsidR="005E347E" w:rsidRDefault="005E347E" w:rsidP="005E347E">
      <w:pPr>
        <w:pStyle w:val="Akapitzlist"/>
        <w:numPr>
          <w:ilvl w:val="0"/>
          <w:numId w:val="46"/>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badania molekularne: analiza genu </w:t>
      </w:r>
      <w:r w:rsidRPr="00AA22C4">
        <w:rPr>
          <w:rFonts w:ascii="Lato" w:hAnsi="Lato"/>
          <w:i/>
          <w:color w:val="000000" w:themeColor="text1"/>
          <w:sz w:val="22"/>
          <w:szCs w:val="22"/>
        </w:rPr>
        <w:t xml:space="preserve">IVD; </w:t>
      </w:r>
      <w:r w:rsidRPr="00AA22C4">
        <w:rPr>
          <w:rFonts w:ascii="Lato" w:hAnsi="Lato"/>
          <w:color w:val="000000" w:themeColor="text1"/>
          <w:sz w:val="22"/>
          <w:szCs w:val="22"/>
        </w:rPr>
        <w:t>częsta mutacja c.932C&gt;T (</w:t>
      </w:r>
      <w:proofErr w:type="gramStart"/>
      <w:r w:rsidRPr="00AA22C4">
        <w:rPr>
          <w:rFonts w:ascii="Lato" w:hAnsi="Lato"/>
          <w:color w:val="000000" w:themeColor="text1"/>
          <w:sz w:val="22"/>
          <w:szCs w:val="22"/>
        </w:rPr>
        <w:t>p.Ala</w:t>
      </w:r>
      <w:proofErr w:type="gramEnd"/>
      <w:r w:rsidRPr="00AA22C4">
        <w:rPr>
          <w:rFonts w:ascii="Lato" w:hAnsi="Lato"/>
          <w:color w:val="000000" w:themeColor="text1"/>
          <w:sz w:val="22"/>
          <w:szCs w:val="22"/>
        </w:rPr>
        <w:t xml:space="preserve">282Val) wykrywana w  badaniach przesiewowych w 47% zmutowanych alleli. Wg aktualnych doniesień literaturowych mutacja ta jest kojarzona z łagodną, często bezobjawową postacią </w:t>
      </w:r>
      <w:proofErr w:type="spellStart"/>
      <w:r w:rsidRPr="00AA22C4">
        <w:rPr>
          <w:rFonts w:ascii="Lato" w:hAnsi="Lato"/>
          <w:color w:val="000000" w:themeColor="text1"/>
          <w:sz w:val="22"/>
          <w:szCs w:val="22"/>
        </w:rPr>
        <w:t>acydurii</w:t>
      </w:r>
      <w:proofErr w:type="spellEnd"/>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izowalerianowej</w:t>
      </w:r>
      <w:proofErr w:type="spellEnd"/>
      <w:r w:rsidRPr="00AA22C4">
        <w:rPr>
          <w:rFonts w:ascii="Lato" w:hAnsi="Lato"/>
          <w:color w:val="000000" w:themeColor="text1"/>
          <w:sz w:val="22"/>
          <w:szCs w:val="22"/>
        </w:rPr>
        <w:t>.</w:t>
      </w:r>
    </w:p>
    <w:p w14:paraId="31979A34" w14:textId="3F8F3CC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Leczenie:</w:t>
      </w:r>
    </w:p>
    <w:p w14:paraId="200398AE"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Dieta z ograniczeniem leucyny. Suplementacja gliceryny. Podawanie karnityny w ramach programu lekowego „Leczenie uzupełniające L-karnityną w wybranych chorobach metabolicznych”.</w:t>
      </w:r>
    </w:p>
    <w:p w14:paraId="4505123E" w14:textId="77777777" w:rsidR="005E347E" w:rsidRPr="00AA22C4" w:rsidRDefault="005E347E" w:rsidP="00D23264">
      <w:pPr>
        <w:pStyle w:val="Akapitzlist"/>
        <w:numPr>
          <w:ilvl w:val="0"/>
          <w:numId w:val="82"/>
        </w:numPr>
        <w:spacing w:before="360" w:after="120"/>
        <w:ind w:left="1077" w:hanging="357"/>
        <w:jc w:val="both"/>
        <w:rPr>
          <w:rFonts w:ascii="Lato" w:hAnsi="Lato"/>
          <w:b/>
          <w:bCs/>
          <w:color w:val="000000" w:themeColor="text1"/>
          <w:sz w:val="22"/>
          <w:szCs w:val="22"/>
        </w:rPr>
      </w:pPr>
      <w:r w:rsidRPr="00AA22C4">
        <w:rPr>
          <w:rFonts w:ascii="Lato" w:hAnsi="Lato"/>
          <w:b/>
          <w:bCs/>
          <w:color w:val="000000" w:themeColor="text1"/>
          <w:sz w:val="22"/>
          <w:szCs w:val="22"/>
        </w:rPr>
        <w:t xml:space="preserve">3 - </w:t>
      </w:r>
      <w:proofErr w:type="spellStart"/>
      <w:r w:rsidRPr="00AA22C4">
        <w:rPr>
          <w:rFonts w:ascii="Lato" w:hAnsi="Lato"/>
          <w:b/>
          <w:bCs/>
          <w:color w:val="000000" w:themeColor="text1"/>
          <w:sz w:val="22"/>
          <w:szCs w:val="22"/>
        </w:rPr>
        <w:t>Metylokrotonyloglicynuria</w:t>
      </w:r>
      <w:proofErr w:type="spellEnd"/>
      <w:r w:rsidRPr="00AA22C4">
        <w:rPr>
          <w:rFonts w:ascii="Lato" w:hAnsi="Lato"/>
          <w:b/>
          <w:bCs/>
          <w:color w:val="000000" w:themeColor="text1"/>
          <w:sz w:val="22"/>
          <w:szCs w:val="22"/>
        </w:rPr>
        <w:t xml:space="preserve"> –3- MCC </w:t>
      </w:r>
    </w:p>
    <w:p w14:paraId="6E99B5DA"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u w:val="single"/>
          <w:lang w:eastAsia="ar-SA"/>
        </w:rPr>
        <w:t>Opis:</w:t>
      </w:r>
    </w:p>
    <w:p w14:paraId="19E26A87" w14:textId="77777777" w:rsidR="005E347E" w:rsidRPr="00AA22C4" w:rsidRDefault="005E347E" w:rsidP="005E347E">
      <w:pPr>
        <w:suppressAutoHyphens/>
        <w:spacing w:before="120" w:after="120"/>
        <w:jc w:val="both"/>
        <w:rPr>
          <w:rFonts w:ascii="Lato" w:hAnsi="Lato"/>
          <w:color w:val="000000" w:themeColor="text1"/>
          <w:kern w:val="1"/>
          <w:sz w:val="22"/>
          <w:szCs w:val="22"/>
          <w:u w:val="single"/>
          <w:lang w:eastAsia="ar-SA"/>
        </w:rPr>
      </w:pPr>
      <w:r w:rsidRPr="00AA22C4">
        <w:rPr>
          <w:rFonts w:ascii="Lato" w:eastAsia="Arial Unicode MS" w:hAnsi="Lato"/>
          <w:bCs/>
          <w:color w:val="000000" w:themeColor="text1"/>
          <w:kern w:val="1"/>
          <w:sz w:val="22"/>
          <w:szCs w:val="22"/>
          <w:lang w:eastAsia="ar-SA"/>
        </w:rPr>
        <w:t xml:space="preserve">Jest to najczęstsza </w:t>
      </w:r>
      <w:proofErr w:type="spellStart"/>
      <w:r w:rsidRPr="00AA22C4">
        <w:rPr>
          <w:rFonts w:ascii="Lato" w:eastAsia="Arial Unicode MS" w:hAnsi="Lato"/>
          <w:bCs/>
          <w:color w:val="000000" w:themeColor="text1"/>
          <w:kern w:val="1"/>
          <w:sz w:val="22"/>
          <w:szCs w:val="22"/>
          <w:lang w:eastAsia="ar-SA"/>
        </w:rPr>
        <w:t>acyduria</w:t>
      </w:r>
      <w:proofErr w:type="spellEnd"/>
      <w:r w:rsidRPr="00AA22C4">
        <w:rPr>
          <w:rFonts w:ascii="Lato" w:eastAsia="Arial Unicode MS" w:hAnsi="Lato"/>
          <w:bCs/>
          <w:color w:val="000000" w:themeColor="text1"/>
          <w:kern w:val="1"/>
          <w:sz w:val="22"/>
          <w:szCs w:val="22"/>
          <w:lang w:eastAsia="ar-SA"/>
        </w:rPr>
        <w:t xml:space="preserve"> organiczna wykrywana w badaniach przesiewowych noworodków metodą MS/MS. Częstość występowania choroby szacuje się na około występowania 1:20 000 (7, 8, 9). Jest spowodowana</w:t>
      </w:r>
      <w:r w:rsidRPr="00AA22C4">
        <w:rPr>
          <w:rFonts w:ascii="Lato" w:eastAsia="Arial Unicode MS" w:hAnsi="Lato"/>
          <w:color w:val="000000" w:themeColor="text1"/>
          <w:kern w:val="1"/>
          <w:sz w:val="22"/>
          <w:szCs w:val="22"/>
          <w:lang w:eastAsia="ar-SA"/>
        </w:rPr>
        <w:t xml:space="preserve"> deficytem enzymu karboksylazy 3-metylokrotonylo-CoA (MCC).</w:t>
      </w:r>
    </w:p>
    <w:p w14:paraId="1E1D7A1D"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Objawy:</w:t>
      </w:r>
    </w:p>
    <w:p w14:paraId="6BE25F6F"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Objawy kliniczne ujawniają się zwykle po okresie noworodkowym dekompensacją metaboliczną w przebiegu stanów katabolizmu np. infekcji. Obraz kliniczny jest różnorodny: od skąpo-objawowego do ciężkich, zagrażających życiu epizodów pogorszenia klinicznego w postaci wymiotów, drgawek, śpiączki i zespołu przypominającego zespół </w:t>
      </w:r>
      <w:proofErr w:type="spellStart"/>
      <w:r w:rsidRPr="00AA22C4">
        <w:rPr>
          <w:rFonts w:ascii="Lato" w:hAnsi="Lato"/>
          <w:color w:val="000000" w:themeColor="text1"/>
          <w:kern w:val="1"/>
          <w:sz w:val="22"/>
          <w:szCs w:val="22"/>
          <w:lang w:eastAsia="ar-SA"/>
        </w:rPr>
        <w:t>Reye’a</w:t>
      </w:r>
      <w:proofErr w:type="spellEnd"/>
      <w:r w:rsidRPr="00AA22C4">
        <w:rPr>
          <w:rFonts w:ascii="Lato" w:hAnsi="Lato"/>
          <w:color w:val="000000" w:themeColor="text1"/>
          <w:kern w:val="1"/>
          <w:sz w:val="22"/>
          <w:szCs w:val="22"/>
          <w:lang w:eastAsia="ar-SA"/>
        </w:rPr>
        <w:t xml:space="preserve"> </w:t>
      </w:r>
      <w:r w:rsidRPr="00AA22C4">
        <w:rPr>
          <w:rFonts w:ascii="Lato" w:hAnsi="Lato"/>
          <w:bCs/>
          <w:color w:val="000000" w:themeColor="text1"/>
          <w:kern w:val="1"/>
          <w:sz w:val="22"/>
          <w:szCs w:val="22"/>
          <w:lang w:eastAsia="ar-SA"/>
        </w:rPr>
        <w:t>(7, 8, 9, 10).</w:t>
      </w:r>
    </w:p>
    <w:p w14:paraId="6674084D"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Diagnostyka:</w:t>
      </w:r>
    </w:p>
    <w:p w14:paraId="0C6F703B" w14:textId="77777777" w:rsidR="005E347E" w:rsidRPr="00AA22C4" w:rsidRDefault="005E347E" w:rsidP="005E347E">
      <w:pPr>
        <w:pStyle w:val="Akapitzlist"/>
        <w:numPr>
          <w:ilvl w:val="0"/>
          <w:numId w:val="48"/>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we krwi na bibule przesiewowej metodą MS/MS: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C5OH,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 wolna karnityna (C0);</w:t>
      </w:r>
    </w:p>
    <w:p w14:paraId="2A313D62" w14:textId="77777777" w:rsidR="005E347E" w:rsidRPr="00AA22C4" w:rsidRDefault="005E347E" w:rsidP="005E347E">
      <w:pPr>
        <w:pStyle w:val="Akapitzlist"/>
        <w:numPr>
          <w:ilvl w:val="0"/>
          <w:numId w:val="48"/>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 moczu analiza kwasów organicznych metodą GC/MS: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 kwas 3-OH-izowalerianowy, 3- </w:t>
      </w:r>
      <w:proofErr w:type="spellStart"/>
      <w:r w:rsidRPr="00AA22C4">
        <w:rPr>
          <w:rFonts w:ascii="Lato" w:hAnsi="Lato"/>
          <w:color w:val="000000" w:themeColor="text1"/>
          <w:sz w:val="22"/>
          <w:szCs w:val="22"/>
        </w:rPr>
        <w:t>metylokrotonyloglicyna</w:t>
      </w:r>
      <w:proofErr w:type="spellEnd"/>
      <w:r w:rsidRPr="00AA22C4">
        <w:rPr>
          <w:rFonts w:ascii="Lato" w:hAnsi="Lato"/>
          <w:color w:val="000000" w:themeColor="text1"/>
          <w:sz w:val="22"/>
          <w:szCs w:val="22"/>
        </w:rPr>
        <w:t xml:space="preserve">: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 karnityna.</w:t>
      </w:r>
    </w:p>
    <w:p w14:paraId="3E0CAA0D" w14:textId="77777777" w:rsidR="005E347E" w:rsidRPr="00AA22C4" w:rsidRDefault="005E347E" w:rsidP="005E347E">
      <w:pPr>
        <w:suppressAutoHyphens/>
        <w:spacing w:before="120" w:after="120"/>
        <w:contextualSpacing/>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u w:val="single"/>
          <w:lang w:eastAsia="ar-SA"/>
        </w:rPr>
        <w:t>Leczenie:</w:t>
      </w:r>
    </w:p>
    <w:p w14:paraId="06E47936" w14:textId="77777777" w:rsidR="005E347E" w:rsidRPr="00AA22C4" w:rsidRDefault="005E347E" w:rsidP="005E347E">
      <w:pPr>
        <w:suppressAutoHyphens/>
        <w:spacing w:before="120" w:after="120"/>
        <w:contextualSpacing/>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lang w:eastAsia="ar-SA"/>
        </w:rPr>
        <w:t>Ograniczenie w diecie białka naturalnego, w tym głównie leucyny. Suplementacja karnityny w ramach programu lekowego „Leczenie uzupełniające L-karnityną w wybranych chorobach metabolicznych”.</w:t>
      </w:r>
    </w:p>
    <w:p w14:paraId="060AC0D9" w14:textId="77777777" w:rsidR="005E347E" w:rsidRPr="00AA22C4" w:rsidRDefault="005E347E" w:rsidP="00D23264">
      <w:pPr>
        <w:pStyle w:val="Akapitzlist"/>
        <w:numPr>
          <w:ilvl w:val="0"/>
          <w:numId w:val="82"/>
        </w:numPr>
        <w:spacing w:before="120" w:after="240"/>
        <w:ind w:left="1077" w:hanging="357"/>
        <w:jc w:val="both"/>
        <w:rPr>
          <w:rFonts w:ascii="Lato" w:hAnsi="Lato"/>
          <w:b/>
          <w:bCs/>
          <w:color w:val="000000" w:themeColor="text1"/>
          <w:sz w:val="22"/>
          <w:szCs w:val="22"/>
        </w:rPr>
      </w:pPr>
      <w:r w:rsidRPr="00AA22C4">
        <w:rPr>
          <w:rFonts w:ascii="Lato" w:hAnsi="Lato"/>
          <w:b/>
          <w:bCs/>
          <w:color w:val="000000" w:themeColor="text1"/>
          <w:sz w:val="22"/>
          <w:szCs w:val="22"/>
        </w:rPr>
        <w:lastRenderedPageBreak/>
        <w:t>Deficyt wielu karboksylaz - MCD</w:t>
      </w:r>
    </w:p>
    <w:p w14:paraId="6594E918" w14:textId="77777777" w:rsidR="005E347E" w:rsidRPr="00AA22C4" w:rsidRDefault="005E347E" w:rsidP="005E347E">
      <w:pPr>
        <w:suppressAutoHyphens/>
        <w:spacing w:before="120" w:after="120"/>
        <w:contextualSpacing/>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u w:val="single"/>
          <w:lang w:eastAsia="ar-SA"/>
        </w:rPr>
        <w:t>Opis</w:t>
      </w:r>
      <w:r w:rsidRPr="00AA22C4">
        <w:rPr>
          <w:rFonts w:ascii="Lato" w:eastAsia="Arial Unicode MS" w:hAnsi="Lato"/>
          <w:color w:val="000000" w:themeColor="text1"/>
          <w:kern w:val="1"/>
          <w:sz w:val="22"/>
          <w:szCs w:val="22"/>
          <w:lang w:eastAsia="ar-SA"/>
        </w:rPr>
        <w:t>:</w:t>
      </w:r>
    </w:p>
    <w:p w14:paraId="1CBF3AA0"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eastAsia="Arial Unicode MS" w:hAnsi="Lato"/>
          <w:color w:val="000000" w:themeColor="text1"/>
          <w:kern w:val="1"/>
          <w:sz w:val="22"/>
          <w:szCs w:val="22"/>
          <w:lang w:eastAsia="ar-SA"/>
        </w:rPr>
        <w:t xml:space="preserve">Jest spowodowana deficytem enzymu </w:t>
      </w:r>
      <w:r w:rsidRPr="00AA22C4">
        <w:rPr>
          <w:rFonts w:ascii="Lato" w:eastAsia="Arial Unicode MS" w:hAnsi="Lato"/>
          <w:bCs/>
          <w:color w:val="000000" w:themeColor="text1"/>
          <w:kern w:val="1"/>
          <w:sz w:val="22"/>
          <w:szCs w:val="22"/>
          <w:lang w:eastAsia="ar-SA"/>
        </w:rPr>
        <w:t xml:space="preserve">HCS w limfocytach lub fibroblastach. </w:t>
      </w:r>
    </w:p>
    <w:p w14:paraId="6F38DE18"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 xml:space="preserve">Objawy: </w:t>
      </w:r>
    </w:p>
    <w:p w14:paraId="73AD33FB"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MCD o wczesnym początku – deficyt syntetazy </w:t>
      </w:r>
      <w:proofErr w:type="spellStart"/>
      <w:r w:rsidRPr="00AA22C4">
        <w:rPr>
          <w:rFonts w:ascii="Lato" w:hAnsi="Lato"/>
          <w:color w:val="000000" w:themeColor="text1"/>
          <w:kern w:val="1"/>
          <w:sz w:val="22"/>
          <w:szCs w:val="22"/>
          <w:lang w:eastAsia="ar-SA"/>
        </w:rPr>
        <w:t>holokarboksylaz</w:t>
      </w:r>
      <w:proofErr w:type="spellEnd"/>
      <w:r w:rsidRPr="00AA22C4">
        <w:rPr>
          <w:rFonts w:ascii="Lato" w:hAnsi="Lato"/>
          <w:color w:val="000000" w:themeColor="text1"/>
          <w:kern w:val="1"/>
          <w:sz w:val="22"/>
          <w:szCs w:val="22"/>
          <w:lang w:eastAsia="ar-SA"/>
        </w:rPr>
        <w:t>: drgawki, hipotonia, ataksja.</w:t>
      </w:r>
    </w:p>
    <w:p w14:paraId="56B0085D"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MCD o późnym początku – deficyt biotynidazy: drgawki, hipotonia, opóźnienie rozwoju psychoruchowego, wysypki skórne, łysienie, zaburzenia immunologiczne.</w:t>
      </w:r>
    </w:p>
    <w:p w14:paraId="3A3DAC15"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Diagnostyka:</w:t>
      </w:r>
    </w:p>
    <w:p w14:paraId="6AFF625D" w14:textId="77777777" w:rsidR="005E347E" w:rsidRPr="00AA22C4" w:rsidRDefault="005E347E" w:rsidP="005E347E">
      <w:pPr>
        <w:pStyle w:val="Akapitzlist"/>
        <w:numPr>
          <w:ilvl w:val="0"/>
          <w:numId w:val="58"/>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we krwi na bibule przesiewowej metodą MS/MS: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C5OH, </w:t>
      </w:r>
      <w:r w:rsidRPr="00AA22C4">
        <w:rPr>
          <w:rFonts w:ascii="Arial" w:hAnsi="Arial" w:cs="Arial"/>
          <w:color w:val="000000" w:themeColor="text1"/>
          <w:sz w:val="22"/>
          <w:szCs w:val="22"/>
        </w:rPr>
        <w:t>↑</w:t>
      </w:r>
      <w:r w:rsidRPr="00AA22C4">
        <w:rPr>
          <w:rFonts w:ascii="Lato" w:hAnsi="Lato"/>
          <w:color w:val="000000" w:themeColor="text1"/>
          <w:sz w:val="22"/>
          <w:szCs w:val="22"/>
        </w:rPr>
        <w:t>Ala, N-</w:t>
      </w:r>
      <w:r w:rsidRPr="00AA22C4">
        <w:rPr>
          <w:rFonts w:ascii="Arial" w:hAnsi="Arial" w:cs="Arial"/>
          <w:color w:val="000000" w:themeColor="text1"/>
          <w:sz w:val="22"/>
          <w:szCs w:val="22"/>
        </w:rPr>
        <w:t>↓</w:t>
      </w:r>
      <w:r w:rsidRPr="00AA22C4">
        <w:rPr>
          <w:rFonts w:ascii="Lato" w:hAnsi="Lato"/>
          <w:color w:val="000000" w:themeColor="text1"/>
          <w:sz w:val="22"/>
          <w:szCs w:val="22"/>
        </w:rPr>
        <w:t>C0-C16;</w:t>
      </w:r>
    </w:p>
    <w:p w14:paraId="626D8797" w14:textId="77777777" w:rsidR="005E347E" w:rsidRPr="00AA22C4" w:rsidRDefault="005E347E" w:rsidP="005E347E">
      <w:pPr>
        <w:pStyle w:val="Akapitzlist"/>
        <w:numPr>
          <w:ilvl w:val="0"/>
          <w:numId w:val="58"/>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 moczu analiza kwasów organicznych metodą GC/MS: kwas 3-OH-izowalerianowy, </w:t>
      </w:r>
      <w:r w:rsidRPr="00AA22C4">
        <w:rPr>
          <w:rFonts w:ascii="Lato" w:hAnsi="Lato"/>
          <w:color w:val="000000" w:themeColor="text1"/>
          <w:sz w:val="22"/>
          <w:szCs w:val="22"/>
        </w:rPr>
        <w:br/>
        <w:t>3-metylokrotonyloglicyna;</w:t>
      </w:r>
    </w:p>
    <w:p w14:paraId="1EF784CC" w14:textId="77777777" w:rsidR="005E347E" w:rsidRPr="00AA22C4" w:rsidRDefault="005E347E" w:rsidP="005E347E">
      <w:pPr>
        <w:pStyle w:val="Akapitzlist"/>
        <w:numPr>
          <w:ilvl w:val="0"/>
          <w:numId w:val="58"/>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 xml:space="preserve">w surowicy analiza aminokwasów: </w:t>
      </w:r>
      <w:r w:rsidRPr="00AA22C4">
        <w:rPr>
          <w:rFonts w:ascii="Arial" w:hAnsi="Arial" w:cs="Arial"/>
          <w:color w:val="000000" w:themeColor="text1"/>
          <w:sz w:val="22"/>
          <w:szCs w:val="22"/>
        </w:rPr>
        <w:t>↑</w:t>
      </w:r>
      <w:r w:rsidRPr="00AA22C4">
        <w:rPr>
          <w:rFonts w:ascii="Lato" w:hAnsi="Lato"/>
          <w:color w:val="000000" w:themeColor="text1"/>
          <w:sz w:val="22"/>
          <w:szCs w:val="22"/>
        </w:rPr>
        <w:t xml:space="preserve">Ala, </w:t>
      </w:r>
      <w:r w:rsidRPr="00AA22C4">
        <w:rPr>
          <w:rFonts w:ascii="Arial" w:hAnsi="Arial" w:cs="Arial"/>
          <w:color w:val="000000" w:themeColor="text1"/>
          <w:sz w:val="22"/>
          <w:szCs w:val="22"/>
        </w:rPr>
        <w:t>↓</w:t>
      </w:r>
      <w:r w:rsidRPr="00AA22C4">
        <w:rPr>
          <w:rFonts w:ascii="Lato" w:hAnsi="Lato"/>
          <w:color w:val="000000" w:themeColor="text1"/>
          <w:sz w:val="22"/>
          <w:szCs w:val="22"/>
        </w:rPr>
        <w:t>karnityna;</w:t>
      </w:r>
    </w:p>
    <w:p w14:paraId="18AE50E4" w14:textId="77777777" w:rsidR="005E347E" w:rsidRPr="00AA22C4" w:rsidRDefault="005E347E" w:rsidP="005E347E">
      <w:pPr>
        <w:pStyle w:val="Akapitzlist"/>
        <w:numPr>
          <w:ilvl w:val="0"/>
          <w:numId w:val="58"/>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oznaczenie biotynidazy w suchej kropli krwi lub surowicy (analiza ilościowa).</w:t>
      </w:r>
    </w:p>
    <w:p w14:paraId="7261F8F1"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Leczenie:</w:t>
      </w:r>
    </w:p>
    <w:p w14:paraId="339825A5"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Próba zastosowania biotyny w dawkach farmakologicznych.</w:t>
      </w:r>
    </w:p>
    <w:p w14:paraId="6EE8FA96" w14:textId="77777777" w:rsidR="005E347E" w:rsidRPr="00AA22C4" w:rsidRDefault="005E347E" w:rsidP="00D23264">
      <w:pPr>
        <w:pStyle w:val="Akapitzlist"/>
        <w:numPr>
          <w:ilvl w:val="0"/>
          <w:numId w:val="82"/>
        </w:numPr>
        <w:spacing w:before="360" w:after="120"/>
        <w:ind w:left="1077" w:hanging="357"/>
        <w:jc w:val="both"/>
        <w:rPr>
          <w:rFonts w:ascii="Lato" w:hAnsi="Lato"/>
          <w:b/>
          <w:bCs/>
          <w:color w:val="000000" w:themeColor="text1"/>
          <w:sz w:val="22"/>
          <w:szCs w:val="22"/>
          <w:lang w:val="en-GB"/>
        </w:rPr>
      </w:pPr>
      <w:proofErr w:type="spellStart"/>
      <w:r w:rsidRPr="00AA22C4">
        <w:rPr>
          <w:rFonts w:ascii="Lato" w:hAnsi="Lato"/>
          <w:b/>
          <w:bCs/>
          <w:color w:val="000000" w:themeColor="text1"/>
          <w:sz w:val="22"/>
          <w:szCs w:val="22"/>
          <w:lang w:val="en-GB"/>
        </w:rPr>
        <w:t>Deficyt</w:t>
      </w:r>
      <w:proofErr w:type="spellEnd"/>
      <w:r w:rsidRPr="00AA22C4">
        <w:rPr>
          <w:rFonts w:ascii="Lato" w:hAnsi="Lato"/>
          <w:b/>
          <w:bCs/>
          <w:color w:val="000000" w:themeColor="text1"/>
          <w:sz w:val="22"/>
          <w:szCs w:val="22"/>
          <w:lang w:val="en-GB"/>
        </w:rPr>
        <w:t xml:space="preserve"> </w:t>
      </w:r>
      <w:proofErr w:type="spellStart"/>
      <w:r w:rsidRPr="00AA22C4">
        <w:rPr>
          <w:rFonts w:ascii="Lato" w:hAnsi="Lato"/>
          <w:b/>
          <w:bCs/>
          <w:color w:val="000000" w:themeColor="text1"/>
          <w:sz w:val="22"/>
          <w:szCs w:val="22"/>
          <w:lang w:val="en-GB"/>
        </w:rPr>
        <w:t>liazy</w:t>
      </w:r>
      <w:proofErr w:type="spellEnd"/>
      <w:r w:rsidRPr="00AA22C4">
        <w:rPr>
          <w:rFonts w:ascii="Lato" w:hAnsi="Lato"/>
          <w:b/>
          <w:bCs/>
          <w:color w:val="000000" w:themeColor="text1"/>
          <w:sz w:val="22"/>
          <w:szCs w:val="22"/>
          <w:lang w:val="en-GB"/>
        </w:rPr>
        <w:t xml:space="preserve"> 3-HMG-CoA – 3-HMG</w:t>
      </w:r>
    </w:p>
    <w:p w14:paraId="7AE24FEA"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u w:val="single"/>
          <w:lang w:eastAsia="ar-SA"/>
        </w:rPr>
        <w:t>Opis:</w:t>
      </w:r>
    </w:p>
    <w:p w14:paraId="5720B4EC"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proofErr w:type="spellStart"/>
      <w:r w:rsidRPr="00AA22C4">
        <w:rPr>
          <w:rFonts w:ascii="Lato" w:hAnsi="Lato"/>
          <w:color w:val="000000" w:themeColor="text1"/>
          <w:kern w:val="1"/>
          <w:sz w:val="22"/>
          <w:szCs w:val="22"/>
          <w:lang w:eastAsia="ar-SA"/>
        </w:rPr>
        <w:t>Liaza</w:t>
      </w:r>
      <w:proofErr w:type="spellEnd"/>
      <w:r w:rsidRPr="00AA22C4">
        <w:rPr>
          <w:rFonts w:ascii="Lato" w:hAnsi="Lato"/>
          <w:color w:val="000000" w:themeColor="text1"/>
          <w:kern w:val="1"/>
          <w:sz w:val="22"/>
          <w:szCs w:val="22"/>
          <w:lang w:eastAsia="ar-SA"/>
        </w:rPr>
        <w:t xml:space="preserve"> 3-hydroksy-3-metyloglutaryloCoA (HMG) jest niezbędna w </w:t>
      </w:r>
      <w:proofErr w:type="spellStart"/>
      <w:r w:rsidRPr="00AA22C4">
        <w:rPr>
          <w:rFonts w:ascii="Lato" w:hAnsi="Lato"/>
          <w:color w:val="000000" w:themeColor="text1"/>
          <w:kern w:val="1"/>
          <w:sz w:val="22"/>
          <w:szCs w:val="22"/>
          <w:lang w:eastAsia="ar-SA"/>
        </w:rPr>
        <w:t>ketogenezie</w:t>
      </w:r>
      <w:proofErr w:type="spellEnd"/>
      <w:r w:rsidRPr="00AA22C4">
        <w:rPr>
          <w:rFonts w:ascii="Lato" w:hAnsi="Lato"/>
          <w:color w:val="000000" w:themeColor="text1"/>
          <w:kern w:val="1"/>
          <w:sz w:val="22"/>
          <w:szCs w:val="22"/>
          <w:lang w:eastAsia="ar-SA"/>
        </w:rPr>
        <w:t xml:space="preserve">, a także </w:t>
      </w:r>
      <w:r w:rsidRPr="00AA22C4">
        <w:rPr>
          <w:rFonts w:ascii="Lato" w:hAnsi="Lato"/>
          <w:color w:val="000000" w:themeColor="text1"/>
          <w:kern w:val="1"/>
          <w:sz w:val="22"/>
          <w:szCs w:val="22"/>
          <w:lang w:eastAsia="ar-SA"/>
        </w:rPr>
        <w:br/>
        <w:t>w ostatnim etapie katabolizmu leucyny. Wykrycie choroby może być w różnym wieku.</w:t>
      </w:r>
    </w:p>
    <w:p w14:paraId="1CC9B7C0"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Objawy:</w:t>
      </w:r>
    </w:p>
    <w:p w14:paraId="019AF774"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Ostra hipoglikemia </w:t>
      </w:r>
      <w:proofErr w:type="spellStart"/>
      <w:r w:rsidRPr="00AA22C4">
        <w:rPr>
          <w:rFonts w:ascii="Lato" w:hAnsi="Lato"/>
          <w:color w:val="000000" w:themeColor="text1"/>
          <w:kern w:val="1"/>
          <w:sz w:val="22"/>
          <w:szCs w:val="22"/>
          <w:lang w:eastAsia="ar-SA"/>
        </w:rPr>
        <w:t>hypoketotyczną</w:t>
      </w:r>
      <w:proofErr w:type="spellEnd"/>
      <w:r w:rsidRPr="00AA22C4">
        <w:rPr>
          <w:rFonts w:ascii="Lato" w:hAnsi="Lato"/>
          <w:color w:val="000000" w:themeColor="text1"/>
          <w:kern w:val="1"/>
          <w:sz w:val="22"/>
          <w:szCs w:val="22"/>
          <w:lang w:eastAsia="ar-SA"/>
        </w:rPr>
        <w:t xml:space="preserve">, kwasica metaboliczna, dysfunkcja wątroby, często zgon w przebiegu epizodu przypominającego zespół </w:t>
      </w:r>
      <w:proofErr w:type="spellStart"/>
      <w:r w:rsidRPr="00AA22C4">
        <w:rPr>
          <w:rFonts w:ascii="Lato" w:hAnsi="Lato"/>
          <w:color w:val="000000" w:themeColor="text1"/>
          <w:kern w:val="1"/>
          <w:sz w:val="22"/>
          <w:szCs w:val="22"/>
          <w:lang w:eastAsia="ar-SA"/>
        </w:rPr>
        <w:t>Reye'a</w:t>
      </w:r>
      <w:proofErr w:type="spellEnd"/>
      <w:r w:rsidRPr="00AA22C4">
        <w:rPr>
          <w:rFonts w:ascii="Lato" w:hAnsi="Lato"/>
          <w:color w:val="000000" w:themeColor="text1"/>
          <w:kern w:val="1"/>
          <w:sz w:val="22"/>
          <w:szCs w:val="22"/>
          <w:lang w:eastAsia="ar-SA"/>
        </w:rPr>
        <w:t>.</w:t>
      </w:r>
    </w:p>
    <w:p w14:paraId="3113C12F" w14:textId="77777777" w:rsidR="005E347E" w:rsidRPr="00AA22C4" w:rsidRDefault="005E347E" w:rsidP="005E347E">
      <w:pPr>
        <w:suppressAutoHyphens/>
        <w:spacing w:before="120" w:after="120"/>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Diagnostyka:</w:t>
      </w:r>
    </w:p>
    <w:p w14:paraId="5DE6E9B6" w14:textId="77777777" w:rsidR="005E347E" w:rsidRPr="00AA22C4" w:rsidRDefault="005E347E" w:rsidP="005E347E">
      <w:pPr>
        <w:pStyle w:val="Akapitzlist"/>
        <w:numPr>
          <w:ilvl w:val="0"/>
          <w:numId w:val="57"/>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we krwi na bibule przesiewowej metodą MS/MS: C5-OH, C6DC;</w:t>
      </w:r>
    </w:p>
    <w:p w14:paraId="7EA0D4F3" w14:textId="77777777" w:rsidR="005E347E" w:rsidRPr="00AA22C4" w:rsidRDefault="005E347E" w:rsidP="005E347E">
      <w:pPr>
        <w:pStyle w:val="Akapitzlist"/>
        <w:numPr>
          <w:ilvl w:val="0"/>
          <w:numId w:val="57"/>
        </w:numPr>
        <w:spacing w:before="120" w:after="120" w:line="360" w:lineRule="auto"/>
        <w:ind w:left="714" w:hanging="357"/>
        <w:jc w:val="both"/>
        <w:rPr>
          <w:rFonts w:ascii="Lato" w:hAnsi="Lato"/>
          <w:color w:val="000000" w:themeColor="text1"/>
          <w:sz w:val="22"/>
          <w:szCs w:val="22"/>
        </w:rPr>
      </w:pPr>
      <w:r w:rsidRPr="00AA22C4">
        <w:rPr>
          <w:rFonts w:ascii="Lato" w:hAnsi="Lato"/>
          <w:color w:val="000000" w:themeColor="text1"/>
          <w:sz w:val="22"/>
          <w:szCs w:val="22"/>
        </w:rPr>
        <w:t>w moczu analiza kwasów organicznych metodą GC/MS: kwas 3-hydroksy-3-metyloglutarowy, kwas 3-metyloglutakonowy.</w:t>
      </w:r>
    </w:p>
    <w:p w14:paraId="7B167119" w14:textId="77777777" w:rsidR="005E347E" w:rsidRPr="00AA22C4" w:rsidRDefault="005E347E" w:rsidP="005E347E">
      <w:pPr>
        <w:suppressAutoHyphens/>
        <w:spacing w:before="120" w:after="120"/>
        <w:contextualSpacing/>
        <w:jc w:val="both"/>
        <w:rPr>
          <w:rFonts w:ascii="Lato" w:hAnsi="Lato"/>
          <w:color w:val="000000" w:themeColor="text1"/>
          <w:kern w:val="1"/>
          <w:sz w:val="22"/>
          <w:szCs w:val="22"/>
          <w:u w:val="single"/>
          <w:lang w:eastAsia="ar-SA"/>
        </w:rPr>
      </w:pPr>
      <w:r w:rsidRPr="00AA22C4">
        <w:rPr>
          <w:rFonts w:ascii="Lato" w:hAnsi="Lato"/>
          <w:color w:val="000000" w:themeColor="text1"/>
          <w:kern w:val="1"/>
          <w:sz w:val="22"/>
          <w:szCs w:val="22"/>
          <w:u w:val="single"/>
          <w:lang w:eastAsia="ar-SA"/>
        </w:rPr>
        <w:t>Leczenie:</w:t>
      </w:r>
    </w:p>
    <w:p w14:paraId="26FDD1FB" w14:textId="77777777" w:rsidR="005E347E" w:rsidRDefault="005E347E" w:rsidP="00895A8C">
      <w:pPr>
        <w:suppressAutoHyphens/>
        <w:spacing w:after="24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Dieta z ograniczeniem białka naturalnego, regularne posiłki, unikanie przedłużonego głodzenia.</w:t>
      </w:r>
    </w:p>
    <w:p w14:paraId="65A913FA" w14:textId="77777777" w:rsidR="00D7234C" w:rsidRDefault="00D7234C" w:rsidP="00895A8C">
      <w:pPr>
        <w:suppressAutoHyphens/>
        <w:spacing w:after="240"/>
        <w:jc w:val="both"/>
        <w:rPr>
          <w:rFonts w:ascii="Lato" w:hAnsi="Lato"/>
          <w:color w:val="000000" w:themeColor="text1"/>
          <w:kern w:val="1"/>
          <w:sz w:val="22"/>
          <w:szCs w:val="22"/>
          <w:lang w:eastAsia="ar-SA"/>
        </w:rPr>
      </w:pPr>
    </w:p>
    <w:p w14:paraId="4952DAB1" w14:textId="77777777" w:rsidR="00D7234C" w:rsidRDefault="00D7234C" w:rsidP="00895A8C">
      <w:pPr>
        <w:suppressAutoHyphens/>
        <w:spacing w:after="240"/>
        <w:jc w:val="both"/>
        <w:rPr>
          <w:rFonts w:ascii="Lato" w:hAnsi="Lato"/>
          <w:color w:val="000000" w:themeColor="text1"/>
          <w:kern w:val="1"/>
          <w:sz w:val="22"/>
          <w:szCs w:val="22"/>
          <w:lang w:eastAsia="ar-SA"/>
        </w:rPr>
      </w:pPr>
    </w:p>
    <w:p w14:paraId="674D26C0" w14:textId="77777777" w:rsidR="005E347E" w:rsidRPr="00AA22C4" w:rsidRDefault="005E347E" w:rsidP="005E347E">
      <w:pPr>
        <w:pStyle w:val="Nagwek3"/>
        <w:spacing w:before="120" w:after="0"/>
        <w:rPr>
          <w:rFonts w:ascii="Lato" w:hAnsi="Lato"/>
          <w:color w:val="000000" w:themeColor="text1"/>
          <w:sz w:val="22"/>
          <w:szCs w:val="22"/>
          <w:lang w:eastAsia="ar-SA"/>
        </w:rPr>
      </w:pPr>
      <w:bookmarkStart w:id="4" w:name="_1.1.2_Choroby_objęte"/>
      <w:bookmarkEnd w:id="4"/>
      <w:r w:rsidRPr="00AA22C4">
        <w:rPr>
          <w:rFonts w:ascii="Lato" w:hAnsi="Lato"/>
          <w:color w:val="000000" w:themeColor="text1"/>
          <w:sz w:val="22"/>
          <w:szCs w:val="22"/>
          <w:lang w:eastAsia="ar-SA"/>
        </w:rPr>
        <w:lastRenderedPageBreak/>
        <w:t>1.1.2 Choroby objęte badaniem pilotażowym – planowane do wdrożenia po zakończeniu pilotażu</w:t>
      </w:r>
    </w:p>
    <w:p w14:paraId="15D47A7B" w14:textId="20628800" w:rsidR="005E347E" w:rsidRPr="00AA22C4" w:rsidRDefault="005E347E" w:rsidP="005E347E">
      <w:pPr>
        <w:pStyle w:val="NormalnyWeb"/>
        <w:spacing w:before="240" w:beforeAutospacing="0" w:after="120" w:line="360" w:lineRule="auto"/>
        <w:contextualSpacing/>
        <w:jc w:val="both"/>
        <w:rPr>
          <w:rFonts w:ascii="Lato" w:hAnsi="Lato" w:cs="Calibri"/>
          <w:color w:val="000000" w:themeColor="text1"/>
          <w:sz w:val="22"/>
          <w:szCs w:val="22"/>
        </w:rPr>
      </w:pPr>
      <w:r w:rsidRPr="00AA22C4">
        <w:rPr>
          <w:rFonts w:ascii="Lato" w:hAnsi="Lato" w:cs="Calibri"/>
          <w:color w:val="000000" w:themeColor="text1"/>
          <w:sz w:val="22"/>
          <w:szCs w:val="22"/>
        </w:rPr>
        <w:t>Wprowadzenie badań pilotażowych dla badań przesiewowych</w:t>
      </w:r>
      <w:r w:rsidR="00B31B79" w:rsidRPr="00AA22C4">
        <w:rPr>
          <w:rFonts w:ascii="Lato" w:hAnsi="Lato" w:cs="Calibri"/>
          <w:color w:val="000000" w:themeColor="text1"/>
          <w:sz w:val="22"/>
          <w:szCs w:val="22"/>
        </w:rPr>
        <w:t xml:space="preserve"> w kierunku </w:t>
      </w:r>
      <w:r w:rsidR="00B31B79" w:rsidRPr="00AA22C4">
        <w:rPr>
          <w:rFonts w:ascii="Lato" w:hAnsi="Lato" w:cs="Calibri"/>
          <w:b/>
          <w:color w:val="000000" w:themeColor="text1"/>
          <w:sz w:val="22"/>
          <w:szCs w:val="22"/>
        </w:rPr>
        <w:t>ciężkich wrodzonych niedoborów odporności</w:t>
      </w:r>
      <w:r w:rsidRPr="00AA22C4">
        <w:rPr>
          <w:rFonts w:ascii="Lato" w:hAnsi="Lato" w:cs="Calibri"/>
          <w:b/>
          <w:bCs/>
          <w:color w:val="000000" w:themeColor="text1"/>
          <w:sz w:val="22"/>
          <w:szCs w:val="22"/>
        </w:rPr>
        <w:t>, galaktozemii oraz</w:t>
      </w:r>
      <w:r w:rsidRPr="00AA22C4">
        <w:rPr>
          <w:rFonts w:ascii="Lato" w:hAnsi="Lato" w:cs="Calibri"/>
          <w:color w:val="000000" w:themeColor="text1"/>
          <w:sz w:val="22"/>
          <w:szCs w:val="22"/>
        </w:rPr>
        <w:t xml:space="preserve"> </w:t>
      </w:r>
      <w:r w:rsidRPr="00AA22C4">
        <w:rPr>
          <w:rFonts w:ascii="Lato" w:hAnsi="Lato" w:cs="Calibri"/>
          <w:b/>
          <w:bCs/>
          <w:color w:val="000000" w:themeColor="text1"/>
          <w:sz w:val="22"/>
          <w:szCs w:val="22"/>
        </w:rPr>
        <w:t>wybranych chorób lizosomalnych</w:t>
      </w:r>
      <w:r w:rsidRPr="00AA22C4">
        <w:rPr>
          <w:rFonts w:ascii="Lato" w:hAnsi="Lato" w:cs="Calibri"/>
          <w:color w:val="000000" w:themeColor="text1"/>
          <w:sz w:val="22"/>
          <w:szCs w:val="22"/>
        </w:rPr>
        <w:t xml:space="preserve"> jest szczególnie uzasadnione. </w:t>
      </w:r>
    </w:p>
    <w:p w14:paraId="136B7549" w14:textId="77777777" w:rsidR="005E347E" w:rsidRPr="00AA22C4" w:rsidRDefault="005E347E" w:rsidP="005E347E">
      <w:pPr>
        <w:pStyle w:val="NormalnyWeb"/>
        <w:spacing w:before="120" w:beforeAutospacing="0" w:after="120" w:line="360" w:lineRule="auto"/>
        <w:contextualSpacing/>
        <w:jc w:val="both"/>
        <w:rPr>
          <w:rFonts w:ascii="Lato" w:hAnsi="Lato" w:cs="Calibri"/>
          <w:color w:val="000000" w:themeColor="text1"/>
          <w:sz w:val="22"/>
          <w:szCs w:val="22"/>
        </w:rPr>
      </w:pPr>
      <w:r w:rsidRPr="00AA22C4">
        <w:rPr>
          <w:rFonts w:ascii="Lato" w:hAnsi="Lato" w:cs="Calibri"/>
          <w:color w:val="000000" w:themeColor="text1"/>
          <w:sz w:val="22"/>
          <w:szCs w:val="22"/>
        </w:rPr>
        <w:t xml:space="preserve">Po pierwsze, dostępność leczenia dla tych chorób stanowi istotny warunek dla wprowadzenia badań przesiewowych. Wczesne wykrycie tych schorzeń pozwala na wdrożenie terapii w fazie </w:t>
      </w:r>
      <w:proofErr w:type="spellStart"/>
      <w:r w:rsidRPr="00AA22C4">
        <w:rPr>
          <w:rFonts w:ascii="Lato" w:hAnsi="Lato" w:cs="Calibri"/>
          <w:color w:val="000000" w:themeColor="text1"/>
          <w:sz w:val="22"/>
          <w:szCs w:val="22"/>
        </w:rPr>
        <w:t>przedobjawowej</w:t>
      </w:r>
      <w:proofErr w:type="spellEnd"/>
      <w:r w:rsidRPr="00AA22C4">
        <w:rPr>
          <w:rFonts w:ascii="Lato" w:hAnsi="Lato" w:cs="Calibri"/>
          <w:color w:val="000000" w:themeColor="text1"/>
          <w:sz w:val="22"/>
          <w:szCs w:val="22"/>
        </w:rPr>
        <w:t>, co jest kluczowe dla poprawy prognozy oraz jakości życia pacjentów.</w:t>
      </w:r>
    </w:p>
    <w:p w14:paraId="1C7F38A1" w14:textId="220CC6C1" w:rsidR="005E347E" w:rsidRPr="00AA22C4" w:rsidRDefault="005E347E" w:rsidP="005E347E">
      <w:pPr>
        <w:pStyle w:val="NormalnyWeb"/>
        <w:spacing w:before="120" w:beforeAutospacing="0" w:after="120" w:line="360" w:lineRule="auto"/>
        <w:contextualSpacing/>
        <w:jc w:val="both"/>
        <w:rPr>
          <w:rFonts w:ascii="Lato" w:hAnsi="Lato" w:cs="Calibri"/>
          <w:color w:val="000000" w:themeColor="text1"/>
          <w:sz w:val="22"/>
          <w:szCs w:val="22"/>
        </w:rPr>
      </w:pPr>
      <w:r w:rsidRPr="00AA22C4">
        <w:rPr>
          <w:rFonts w:ascii="Lato" w:hAnsi="Lato" w:cs="Calibri"/>
          <w:color w:val="000000" w:themeColor="text1"/>
          <w:sz w:val="22"/>
          <w:szCs w:val="22"/>
        </w:rPr>
        <w:t>Po drugie, doświadczenia międzynarodowe potwierdzają skuteczność takich badań.</w:t>
      </w:r>
      <w:r w:rsidR="00D23264">
        <w:rPr>
          <w:rFonts w:ascii="Lato" w:hAnsi="Lato" w:cs="Calibri"/>
          <w:color w:val="000000" w:themeColor="text1"/>
          <w:sz w:val="22"/>
          <w:szCs w:val="22"/>
        </w:rPr>
        <w:t xml:space="preserve"> </w:t>
      </w:r>
      <w:r w:rsidR="00B31B79" w:rsidRPr="00AA22C4">
        <w:rPr>
          <w:rFonts w:ascii="Lato" w:hAnsi="Lato" w:cs="Calibri"/>
          <w:color w:val="000000" w:themeColor="text1"/>
          <w:sz w:val="22"/>
          <w:szCs w:val="22"/>
        </w:rPr>
        <w:t>Ciężkie wrodzone niedobory odporności</w:t>
      </w:r>
      <w:r w:rsidRPr="00AA22C4">
        <w:rPr>
          <w:rFonts w:ascii="Lato" w:hAnsi="Lato" w:cs="Calibri"/>
          <w:color w:val="000000" w:themeColor="text1"/>
          <w:sz w:val="22"/>
          <w:szCs w:val="22"/>
        </w:rPr>
        <w:t xml:space="preserve"> oraz galaktozemia są już objęte obowiązkowymi badaniami przesiewowymi w wielu rozwiniętych krajach, w tym w USA i większości krajów europejskich. Wprowadzenie tych badań do polskiego programu przesiewowego pozwoli na synchronizację z</w:t>
      </w:r>
      <w:r w:rsidR="007611BB" w:rsidRPr="00AA22C4">
        <w:rPr>
          <w:rFonts w:ascii="Lato" w:hAnsi="Lato" w:cs="Calibri"/>
          <w:color w:val="000000" w:themeColor="text1"/>
          <w:sz w:val="22"/>
          <w:szCs w:val="22"/>
        </w:rPr>
        <w:t> </w:t>
      </w:r>
      <w:r w:rsidRPr="00AA22C4">
        <w:rPr>
          <w:rFonts w:ascii="Lato" w:hAnsi="Lato" w:cs="Calibri"/>
          <w:color w:val="000000" w:themeColor="text1"/>
          <w:sz w:val="22"/>
          <w:szCs w:val="22"/>
        </w:rPr>
        <w:t xml:space="preserve">międzynarodowymi standardami i praktykami, co przyczyni się do podniesienia jakości opieki zdrowotnej </w:t>
      </w:r>
      <w:r w:rsidR="00D23264" w:rsidRPr="00AA22C4">
        <w:rPr>
          <w:rFonts w:ascii="Lato" w:hAnsi="Lato" w:cs="Calibri"/>
          <w:color w:val="000000" w:themeColor="text1"/>
          <w:sz w:val="22"/>
          <w:szCs w:val="22"/>
        </w:rPr>
        <w:t>w kraju</w:t>
      </w:r>
      <w:r w:rsidRPr="00AA22C4">
        <w:rPr>
          <w:rFonts w:ascii="Lato" w:hAnsi="Lato" w:cs="Calibri"/>
          <w:color w:val="000000" w:themeColor="text1"/>
          <w:sz w:val="22"/>
          <w:szCs w:val="22"/>
        </w:rPr>
        <w:t>.</w:t>
      </w:r>
    </w:p>
    <w:p w14:paraId="57AC3A6D" w14:textId="246EDE5A" w:rsidR="005E347E" w:rsidRPr="00AA22C4" w:rsidRDefault="005E347E" w:rsidP="005E347E">
      <w:pPr>
        <w:pStyle w:val="NormalnyWeb"/>
        <w:spacing w:before="120" w:beforeAutospacing="0" w:after="120" w:line="360" w:lineRule="auto"/>
        <w:contextualSpacing/>
        <w:jc w:val="both"/>
        <w:rPr>
          <w:rFonts w:ascii="Lato" w:hAnsi="Lato" w:cs="Calibri"/>
          <w:color w:val="000000" w:themeColor="text1"/>
          <w:sz w:val="22"/>
          <w:szCs w:val="22"/>
        </w:rPr>
      </w:pPr>
      <w:r w:rsidRPr="00AA22C4">
        <w:rPr>
          <w:rFonts w:ascii="Lato" w:hAnsi="Lato" w:cs="Calibri"/>
          <w:color w:val="000000" w:themeColor="text1"/>
          <w:sz w:val="22"/>
          <w:szCs w:val="22"/>
        </w:rPr>
        <w:t xml:space="preserve">Dodatkowo, przeprowadzone badania pilotażowe, w tym te realizowane w ramach programów transgranicznych, potwierdziły skuteczność i opłacalność testów przesiewowych dla </w:t>
      </w:r>
      <w:r w:rsidR="00B31B79" w:rsidRPr="00AA22C4">
        <w:rPr>
          <w:rFonts w:ascii="Lato" w:hAnsi="Lato" w:cs="Calibri"/>
          <w:color w:val="000000" w:themeColor="text1"/>
          <w:sz w:val="22"/>
          <w:szCs w:val="22"/>
        </w:rPr>
        <w:t>ciężkich wrodzonych niedoborów odporności</w:t>
      </w:r>
      <w:r w:rsidR="00E264F9">
        <w:rPr>
          <w:rFonts w:ascii="Lato" w:hAnsi="Lato" w:cs="Calibri"/>
          <w:color w:val="000000" w:themeColor="text1"/>
          <w:sz w:val="22"/>
          <w:szCs w:val="22"/>
        </w:rPr>
        <w:t xml:space="preserve"> </w:t>
      </w:r>
      <w:r w:rsidRPr="00AA22C4">
        <w:rPr>
          <w:rFonts w:ascii="Lato" w:hAnsi="Lato" w:cs="Calibri"/>
          <w:color w:val="000000" w:themeColor="text1"/>
          <w:sz w:val="22"/>
          <w:szCs w:val="22"/>
        </w:rPr>
        <w:t>i galaktozemii. Kontynuacja prac ma na celu dalsze doskonalenie testów i integrację z istniejącymi programami przesiewowymi, co pozwoli na efektywne wykorzystanie zasobów i technologii w Polsce.</w:t>
      </w:r>
    </w:p>
    <w:p w14:paraId="054A3B72" w14:textId="4C54D7F8" w:rsidR="005E347E" w:rsidRPr="00AA22C4" w:rsidRDefault="00D27D67" w:rsidP="005E347E">
      <w:pPr>
        <w:pStyle w:val="NormalnyWeb"/>
        <w:spacing w:before="120" w:beforeAutospacing="0" w:after="120" w:line="360" w:lineRule="auto"/>
        <w:contextualSpacing/>
        <w:jc w:val="both"/>
        <w:rPr>
          <w:rFonts w:ascii="Lato" w:hAnsi="Lato" w:cs="Calibri"/>
          <w:color w:val="000000" w:themeColor="text1"/>
          <w:sz w:val="22"/>
          <w:szCs w:val="22"/>
        </w:rPr>
      </w:pPr>
      <w:r w:rsidRPr="00AA22C4">
        <w:rPr>
          <w:rFonts w:ascii="Lato" w:hAnsi="Lato" w:cs="Calibri"/>
          <w:color w:val="000000" w:themeColor="text1"/>
          <w:sz w:val="22"/>
          <w:szCs w:val="22"/>
        </w:rPr>
        <w:t>IMID</w:t>
      </w:r>
      <w:r w:rsidR="005E347E" w:rsidRPr="00AA22C4">
        <w:rPr>
          <w:rFonts w:ascii="Lato" w:hAnsi="Lato" w:cs="Calibri"/>
          <w:color w:val="000000" w:themeColor="text1"/>
          <w:sz w:val="22"/>
          <w:szCs w:val="22"/>
        </w:rPr>
        <w:t xml:space="preserve"> prowadzi prace nad integracją testów przesiewowych oraz oceną dostępnych testów komercyjnych, co sprzyja wprowadzeniu badań na szerszą skalę. Planowane badania pilotażowe mają na celu dalsze doskonalenie metod i zapewnienie ich efektywności przed pełnym wdrożeniem. Dzięki temu możliwe będzie dokładne dopasowanie metod do lokalnych warunków oraz uzyskanie niezbędnych danych do ewentualnego rozszerzenia programu przesiewowego.</w:t>
      </w:r>
    </w:p>
    <w:p w14:paraId="5C00868F" w14:textId="77777777" w:rsidR="005E347E" w:rsidRPr="00AA22C4" w:rsidRDefault="005E347E" w:rsidP="005E347E">
      <w:pPr>
        <w:pStyle w:val="Akapitzlist"/>
        <w:widowControl/>
        <w:numPr>
          <w:ilvl w:val="0"/>
          <w:numId w:val="84"/>
        </w:numPr>
        <w:suppressAutoHyphens w:val="0"/>
        <w:spacing w:after="160" w:line="259" w:lineRule="auto"/>
        <w:jc w:val="both"/>
        <w:rPr>
          <w:rFonts w:ascii="Lato" w:hAnsi="Lato"/>
          <w:b/>
          <w:bCs/>
          <w:color w:val="000000" w:themeColor="text1"/>
          <w:sz w:val="22"/>
          <w:szCs w:val="22"/>
        </w:rPr>
      </w:pPr>
      <w:r w:rsidRPr="00AA22C4">
        <w:rPr>
          <w:rFonts w:ascii="Lato" w:hAnsi="Lato"/>
          <w:b/>
          <w:bCs/>
          <w:color w:val="000000" w:themeColor="text1"/>
          <w:sz w:val="22"/>
          <w:szCs w:val="22"/>
        </w:rPr>
        <w:t>Ciężkie wrodzone niedobory odporności – SCID</w:t>
      </w:r>
    </w:p>
    <w:p w14:paraId="1B36F292" w14:textId="77777777" w:rsidR="005E347E" w:rsidRPr="00AA22C4" w:rsidRDefault="005E347E" w:rsidP="002D5F47">
      <w:pPr>
        <w:spacing w:before="120" w:after="120"/>
        <w:jc w:val="both"/>
        <w:rPr>
          <w:rFonts w:ascii="Lato" w:hAnsi="Lato"/>
          <w:color w:val="000000" w:themeColor="text1"/>
          <w:sz w:val="22"/>
          <w:szCs w:val="22"/>
          <w:u w:val="single"/>
        </w:rPr>
      </w:pPr>
      <w:r w:rsidRPr="00AA22C4">
        <w:rPr>
          <w:rFonts w:ascii="Lato" w:hAnsi="Lato"/>
          <w:color w:val="000000" w:themeColor="text1"/>
          <w:sz w:val="22"/>
          <w:szCs w:val="22"/>
          <w:u w:val="single"/>
        </w:rPr>
        <w:t xml:space="preserve">Opis choroby: </w:t>
      </w:r>
    </w:p>
    <w:p w14:paraId="26047D9E" w14:textId="00934F68" w:rsidR="005E347E" w:rsidRPr="00AA22C4" w:rsidRDefault="005E347E" w:rsidP="005E347E">
      <w:pPr>
        <w:jc w:val="both"/>
        <w:rPr>
          <w:rFonts w:ascii="Lato" w:hAnsi="Lato"/>
          <w:color w:val="000000" w:themeColor="text1"/>
          <w:sz w:val="22"/>
          <w:szCs w:val="22"/>
        </w:rPr>
      </w:pPr>
      <w:r w:rsidRPr="00AA22C4">
        <w:rPr>
          <w:rFonts w:ascii="Lato" w:hAnsi="Lato"/>
          <w:color w:val="000000" w:themeColor="text1"/>
          <w:sz w:val="22"/>
          <w:szCs w:val="22"/>
        </w:rPr>
        <w:t xml:space="preserve">Wrodzone niedobory odporności (WNO, pierwotne niedobory odporności) to heterogenna grupa chorób, które zaburzają działanie komponentów układu odpornościowego, prowadząc do upośledzenia procesu odpowiedzi immunologicznej. Do tej pory opisano w tej grupie ponad 400 jednostek chorobowych, zaś częstość ich występowania szacowana jest na 1/2000-3000. Mimo coraz szerzej dostępnych badań, diagnostyka i rozpoznanie chorób z grupy wrodzonych niedoborów odporności cały czas jest znacząco opóźnione, a ukierunkowana diagnostyka jest prowadzona dopiero w momencie wystąpienia objawów klinicznych. Najcięższy problem </w:t>
      </w:r>
      <w:r w:rsidRPr="00AA22C4">
        <w:rPr>
          <w:rFonts w:ascii="Lato" w:hAnsi="Lato"/>
          <w:color w:val="000000" w:themeColor="text1"/>
          <w:sz w:val="22"/>
          <w:szCs w:val="22"/>
        </w:rPr>
        <w:lastRenderedPageBreak/>
        <w:t xml:space="preserve">kliniczny stanowią ciężkie złożone niedobory odporności (SCID). Pierwsze objawy kliniczne pojawiają się w okresie noworodkowym i ich przebieg jest dramatyczny, często dzieci wskutek infekcji umierają przed ukończeniem </w:t>
      </w:r>
      <w:r w:rsidR="00B01154" w:rsidRPr="00AA22C4">
        <w:rPr>
          <w:rFonts w:ascii="Lato" w:hAnsi="Lato"/>
          <w:color w:val="000000" w:themeColor="text1"/>
          <w:sz w:val="22"/>
          <w:szCs w:val="22"/>
        </w:rPr>
        <w:t>2</w:t>
      </w:r>
      <w:proofErr w:type="gramStart"/>
      <w:r w:rsidR="00B31B79" w:rsidRPr="00AA22C4">
        <w:rPr>
          <w:rFonts w:ascii="Lato" w:hAnsi="Lato"/>
          <w:color w:val="000000" w:themeColor="text1"/>
          <w:sz w:val="22"/>
          <w:szCs w:val="22"/>
        </w:rPr>
        <w:t>r.ż.</w:t>
      </w:r>
      <w:r w:rsidRPr="00AA22C4">
        <w:rPr>
          <w:rFonts w:ascii="Lato" w:hAnsi="Lato"/>
          <w:color w:val="000000" w:themeColor="text1"/>
          <w:sz w:val="22"/>
          <w:szCs w:val="22"/>
        </w:rPr>
        <w:t>.</w:t>
      </w:r>
      <w:proofErr w:type="gramEnd"/>
      <w:r w:rsidRPr="00AA22C4">
        <w:rPr>
          <w:rFonts w:ascii="Lato" w:hAnsi="Lato"/>
          <w:color w:val="000000" w:themeColor="text1"/>
          <w:sz w:val="22"/>
          <w:szCs w:val="22"/>
        </w:rPr>
        <w:t xml:space="preserve"> U pacjentów można stwierdzić zaburzenia dojrzewania tymocytów, nieprawidłową liczbę komórek T, B i/lub NK, lub zaburzenia ich funkcjonowania. Skutkuje to zaburzeniami odpowiedzi immunologicznej humoralnej i komórkowej. </w:t>
      </w:r>
    </w:p>
    <w:p w14:paraId="1553E12E" w14:textId="0613224B" w:rsidR="005E347E" w:rsidRPr="00AA22C4" w:rsidRDefault="005E347E" w:rsidP="005E347E">
      <w:pPr>
        <w:jc w:val="both"/>
        <w:rPr>
          <w:rFonts w:ascii="Lato" w:hAnsi="Lato"/>
          <w:color w:val="000000" w:themeColor="text1"/>
          <w:sz w:val="22"/>
          <w:szCs w:val="22"/>
        </w:rPr>
      </w:pPr>
      <w:r w:rsidRPr="00AA22C4">
        <w:rPr>
          <w:rFonts w:ascii="Lato" w:hAnsi="Lato"/>
          <w:color w:val="000000" w:themeColor="text1"/>
          <w:sz w:val="22"/>
          <w:szCs w:val="22"/>
        </w:rPr>
        <w:t xml:space="preserve">Ciężkie wrodzone niedobory odporności to grupa chorób genetycznie uwarunkowanych, spowodowanych obecnością mutacji w genach kodujących białka odpowiedzialne za prawidłowy rozwój i funkcjonowanie układu immunologicznego, w tym dojrzewanie i aktywność limfocytów B i T. W większości dziedziczą się autosomalnie recesywnie lub w sposób sprzężony z chromosomem X (np. ciężki złożony niedobór odporności T-B+ spowodowany niedoborem łańcuchów gamma). Zgodnie z najnowszą klasyfikacją IUIS z 2022, w obrębie grupy SCID można wyróżnić ok. 17 podtypów choroby w zależności od uszkodzonego genu. W przebiegu wszystkich obserwuje się zmniejszoną liczbę limfocytów T (CD3+), której może towarzyszyć limfopenia B i zmniejszenie liczby komórek NK. Zaburzenia odpowiedzi immunologicznej może wystąpić także w zespołach przebiegających z zaburzeniami dojrzewania grasicy (np. zespół CHARGE, </w:t>
      </w:r>
      <w:proofErr w:type="spellStart"/>
      <w:r w:rsidRPr="00AA22C4">
        <w:rPr>
          <w:rFonts w:ascii="Lato" w:hAnsi="Lato"/>
          <w:color w:val="000000" w:themeColor="text1"/>
          <w:sz w:val="22"/>
          <w:szCs w:val="22"/>
        </w:rPr>
        <w:t>alimfoidalna</w:t>
      </w:r>
      <w:proofErr w:type="spellEnd"/>
      <w:r w:rsidRPr="00AA22C4">
        <w:rPr>
          <w:rFonts w:ascii="Lato" w:hAnsi="Lato"/>
          <w:color w:val="000000" w:themeColor="text1"/>
          <w:sz w:val="22"/>
          <w:szCs w:val="22"/>
        </w:rPr>
        <w:t xml:space="preserve"> torbielowata dysgenezja grasicy, zespół uszno-twarzowo-szyjny, zespół </w:t>
      </w:r>
      <w:proofErr w:type="spellStart"/>
      <w:r w:rsidRPr="00AA22C4">
        <w:rPr>
          <w:rFonts w:ascii="Lato" w:hAnsi="Lato"/>
          <w:color w:val="000000" w:themeColor="text1"/>
          <w:sz w:val="22"/>
          <w:szCs w:val="22"/>
        </w:rPr>
        <w:t>mikrodelecji</w:t>
      </w:r>
      <w:proofErr w:type="spellEnd"/>
      <w:r w:rsidRPr="00AA22C4">
        <w:rPr>
          <w:rFonts w:ascii="Lato" w:hAnsi="Lato"/>
          <w:color w:val="000000" w:themeColor="text1"/>
          <w:sz w:val="22"/>
          <w:szCs w:val="22"/>
        </w:rPr>
        <w:t xml:space="preserve"> 22q11). Odrębną grupę pacjentów stanowią chorzy z agammaglobulinemią, w przebiegu której obserwuje się znaczne obniżenie poziomu przeciwciał wszystkich klas (</w:t>
      </w:r>
      <w:proofErr w:type="spellStart"/>
      <w:r w:rsidRPr="00AA22C4">
        <w:rPr>
          <w:rFonts w:ascii="Lato" w:hAnsi="Lato"/>
          <w:color w:val="000000" w:themeColor="text1"/>
          <w:sz w:val="22"/>
          <w:szCs w:val="22"/>
        </w:rPr>
        <w:t>IgG</w:t>
      </w:r>
      <w:proofErr w:type="spellEnd"/>
      <w:r w:rsidRPr="00AA22C4">
        <w:rPr>
          <w:rFonts w:ascii="Lato" w:hAnsi="Lato"/>
          <w:color w:val="000000" w:themeColor="text1"/>
          <w:sz w:val="22"/>
          <w:szCs w:val="22"/>
        </w:rPr>
        <w:t xml:space="preserve"> &lt;200mg/</w:t>
      </w:r>
      <w:proofErr w:type="spellStart"/>
      <w:r w:rsidRPr="00AA22C4">
        <w:rPr>
          <w:rFonts w:ascii="Lato" w:hAnsi="Lato"/>
          <w:color w:val="000000" w:themeColor="text1"/>
          <w:sz w:val="22"/>
          <w:szCs w:val="22"/>
        </w:rPr>
        <w:t>dL</w:t>
      </w:r>
      <w:proofErr w:type="spellEnd"/>
      <w:r w:rsidRPr="00AA22C4">
        <w:rPr>
          <w:rFonts w:ascii="Lato" w:hAnsi="Lato"/>
          <w:color w:val="000000" w:themeColor="text1"/>
          <w:sz w:val="22"/>
          <w:szCs w:val="22"/>
        </w:rPr>
        <w:t>) oraz limfopenię B (&lt;1%). W większości przypadków choroba dziedziczy się w sposób sprzężony z chromosomem X (101).</w:t>
      </w:r>
    </w:p>
    <w:p w14:paraId="665311BE" w14:textId="77777777" w:rsidR="005E347E" w:rsidRPr="00AA22C4" w:rsidRDefault="005E347E" w:rsidP="002D5F47">
      <w:pPr>
        <w:spacing w:before="120" w:after="120"/>
        <w:jc w:val="both"/>
        <w:rPr>
          <w:rFonts w:ascii="Lato" w:hAnsi="Lato"/>
          <w:color w:val="000000" w:themeColor="text1"/>
          <w:sz w:val="22"/>
          <w:szCs w:val="22"/>
          <w:u w:val="single"/>
        </w:rPr>
      </w:pPr>
      <w:r w:rsidRPr="00AA22C4">
        <w:rPr>
          <w:rFonts w:ascii="Lato" w:hAnsi="Lato"/>
          <w:color w:val="000000" w:themeColor="text1"/>
          <w:sz w:val="22"/>
          <w:szCs w:val="22"/>
          <w:u w:val="single"/>
        </w:rPr>
        <w:t xml:space="preserve">Objawy: </w:t>
      </w:r>
    </w:p>
    <w:p w14:paraId="1BDC9C0A" w14:textId="4AF33B63" w:rsidR="005E347E" w:rsidRPr="00AA22C4" w:rsidRDefault="005E347E" w:rsidP="005E347E">
      <w:pPr>
        <w:jc w:val="both"/>
        <w:rPr>
          <w:rFonts w:ascii="Lato" w:hAnsi="Lato"/>
          <w:color w:val="000000" w:themeColor="text1"/>
          <w:sz w:val="22"/>
          <w:szCs w:val="22"/>
        </w:rPr>
      </w:pPr>
      <w:r w:rsidRPr="00AA22C4">
        <w:rPr>
          <w:rFonts w:ascii="Lato" w:hAnsi="Lato"/>
          <w:color w:val="000000" w:themeColor="text1"/>
          <w:sz w:val="22"/>
          <w:szCs w:val="22"/>
        </w:rPr>
        <w:t xml:space="preserve">W przypadku ciężkich wrodzonych niedoborów odporności/agammaglobulinemii objawy w postaci nawracających infekcji, nie odpowiadających na typowe leczenie, występują już w pierwszych tygodniach lub miesiącach życia dziecka. Podanie szczepionek zawierających żywe drobnoustroje może prowadzić do uogólnionego zakażenia organizmu, zaś wykonanie transfuzji (nienaświetlane preparaty krwiopochodne) do rozwoju choroby </w:t>
      </w:r>
      <w:r w:rsidR="00FC43BD" w:rsidRPr="00AA22C4">
        <w:rPr>
          <w:rFonts w:ascii="Lato" w:hAnsi="Lato"/>
          <w:color w:val="000000" w:themeColor="text1"/>
          <w:sz w:val="22"/>
          <w:szCs w:val="22"/>
        </w:rPr>
        <w:t>„</w:t>
      </w:r>
      <w:r w:rsidRPr="00AA22C4">
        <w:rPr>
          <w:rFonts w:ascii="Lato" w:hAnsi="Lato"/>
          <w:color w:val="000000" w:themeColor="text1"/>
          <w:sz w:val="22"/>
          <w:szCs w:val="22"/>
        </w:rPr>
        <w:t>przeszczep przeciwko gospodarzowi</w:t>
      </w:r>
      <w:r w:rsidR="00FC43BD" w:rsidRPr="00AA22C4">
        <w:rPr>
          <w:rFonts w:ascii="Lato" w:hAnsi="Lato"/>
          <w:color w:val="000000" w:themeColor="text1"/>
          <w:sz w:val="22"/>
          <w:szCs w:val="22"/>
        </w:rPr>
        <w:t>”</w:t>
      </w:r>
      <w:r w:rsidRPr="00AA22C4">
        <w:rPr>
          <w:rFonts w:ascii="Lato" w:hAnsi="Lato"/>
          <w:color w:val="000000" w:themeColor="text1"/>
          <w:sz w:val="22"/>
          <w:szCs w:val="22"/>
        </w:rPr>
        <w:t xml:space="preserve">. Zakażenia prowadzą do wystąpienia objawów i ewentualnych powikłań typowych dla infekcji i dotyczą one różnych układów ciała. Wtórnie u dzieci z wrodzonymi niedoborami odporności mogą wystąpić objawy neurologiczne (zapalenie opon mózgowych, ropień mózgu), oddechowe (zapalenie płuc, zakażenia dróg oddechowych), ze strony układu pokarmowego (biegunki, zapalenie żołądka, wątroby, trzustki lub jelita cienkiego), sercowo-naczyniowe (zapalenie wsierdzia, osierdzia, naczyń krwionośnych), nerkowe (kłębuszkowe zapalenie nerek, posocznica), endokrynologiczne lub reumatologiczne. Jeśli nie zostanie </w:t>
      </w:r>
      <w:r w:rsidRPr="00AA22C4">
        <w:rPr>
          <w:rFonts w:ascii="Lato" w:hAnsi="Lato"/>
          <w:color w:val="000000" w:themeColor="text1"/>
          <w:sz w:val="22"/>
          <w:szCs w:val="22"/>
        </w:rPr>
        <w:lastRenderedPageBreak/>
        <w:t xml:space="preserve">wdrożone odpowiednie leczenie, infekcje wirusowe, bakteryjne lub grzybicze prowadzą do śmierci dziecka (100). </w:t>
      </w:r>
    </w:p>
    <w:p w14:paraId="5022EB0A" w14:textId="77777777" w:rsidR="002D5F47" w:rsidRPr="00AA22C4" w:rsidRDefault="005E347E" w:rsidP="002D5F47">
      <w:pPr>
        <w:spacing w:before="120" w:after="120"/>
        <w:rPr>
          <w:rFonts w:ascii="Lato" w:hAnsi="Lato"/>
          <w:color w:val="000000" w:themeColor="text1"/>
          <w:sz w:val="22"/>
          <w:szCs w:val="22"/>
          <w:u w:val="single"/>
        </w:rPr>
      </w:pPr>
      <w:r w:rsidRPr="00AA22C4">
        <w:rPr>
          <w:rFonts w:ascii="Lato" w:hAnsi="Lato"/>
          <w:color w:val="000000" w:themeColor="text1"/>
          <w:sz w:val="22"/>
          <w:szCs w:val="22"/>
          <w:u w:val="single"/>
        </w:rPr>
        <w:t xml:space="preserve">Częstość występowania: </w:t>
      </w:r>
    </w:p>
    <w:p w14:paraId="795AE254" w14:textId="21F85D60" w:rsidR="005E347E" w:rsidRPr="00AA22C4" w:rsidRDefault="005E347E" w:rsidP="005E347E">
      <w:pPr>
        <w:rPr>
          <w:rFonts w:ascii="Lato" w:hAnsi="Lato"/>
          <w:color w:val="000000" w:themeColor="text1"/>
          <w:sz w:val="22"/>
          <w:szCs w:val="22"/>
        </w:rPr>
      </w:pPr>
      <w:r w:rsidRPr="00AA22C4">
        <w:rPr>
          <w:rFonts w:ascii="Lato" w:hAnsi="Lato"/>
          <w:color w:val="000000" w:themeColor="text1"/>
          <w:sz w:val="22"/>
          <w:szCs w:val="22"/>
        </w:rPr>
        <w:t xml:space="preserve">SCID ≈1/55.000-60.000, należą do grupy chorób rzadkich </w:t>
      </w:r>
    </w:p>
    <w:p w14:paraId="2EA9A149" w14:textId="77777777" w:rsidR="005E347E" w:rsidRPr="00AA22C4" w:rsidRDefault="005E347E" w:rsidP="002D5F47">
      <w:pPr>
        <w:spacing w:before="120" w:after="120"/>
        <w:jc w:val="both"/>
        <w:rPr>
          <w:rFonts w:ascii="Lato" w:hAnsi="Lato"/>
          <w:color w:val="000000" w:themeColor="text1"/>
          <w:sz w:val="22"/>
          <w:szCs w:val="22"/>
          <w:u w:val="single"/>
        </w:rPr>
      </w:pPr>
      <w:r w:rsidRPr="00AA22C4">
        <w:rPr>
          <w:rFonts w:ascii="Lato" w:hAnsi="Lato"/>
          <w:color w:val="000000" w:themeColor="text1"/>
          <w:sz w:val="22"/>
          <w:szCs w:val="22"/>
          <w:u w:val="single"/>
        </w:rPr>
        <w:t xml:space="preserve">Diagnostyka: </w:t>
      </w:r>
    </w:p>
    <w:p w14:paraId="3C9D2F3B" w14:textId="703A11F3" w:rsidR="005E347E" w:rsidRPr="00AA22C4" w:rsidRDefault="005E347E" w:rsidP="005E347E">
      <w:pPr>
        <w:jc w:val="both"/>
        <w:rPr>
          <w:rFonts w:ascii="Lato" w:hAnsi="Lato"/>
          <w:color w:val="000000" w:themeColor="text1"/>
          <w:sz w:val="22"/>
          <w:szCs w:val="22"/>
        </w:rPr>
      </w:pPr>
      <w:r w:rsidRPr="00AA22C4">
        <w:rPr>
          <w:rFonts w:ascii="Lato" w:hAnsi="Lato"/>
          <w:color w:val="000000" w:themeColor="text1"/>
          <w:sz w:val="22"/>
          <w:szCs w:val="22"/>
        </w:rPr>
        <w:t xml:space="preserve">Diagnostyka wrodzonych niedoborów odporności uwzględnia szeroki, specjalistyczny panel badań laboratoryjnych, obejmujący analizę morfologii krwi obwodowej (najczęściej zmniejszenie liczby limfocytów T &lt;3000 komórek/µl i B &lt;1%), pomiar stężenia immunoglobulin w surowicy (brak własnych, swoistych przeciwciał, mogą być obecne przeciwciała </w:t>
      </w:r>
      <w:proofErr w:type="spellStart"/>
      <w:r w:rsidRPr="00AA22C4">
        <w:rPr>
          <w:rFonts w:ascii="Lato" w:hAnsi="Lato"/>
          <w:color w:val="000000" w:themeColor="text1"/>
          <w:sz w:val="22"/>
          <w:szCs w:val="22"/>
        </w:rPr>
        <w:t>IgG</w:t>
      </w:r>
      <w:proofErr w:type="spellEnd"/>
      <w:r w:rsidRPr="00AA22C4">
        <w:rPr>
          <w:rFonts w:ascii="Lato" w:hAnsi="Lato"/>
          <w:color w:val="000000" w:themeColor="text1"/>
          <w:sz w:val="22"/>
          <w:szCs w:val="22"/>
        </w:rPr>
        <w:t xml:space="preserve"> pochodzenia matczynego), ocenę populacji limfocytów T, B i NK za pomocą </w:t>
      </w:r>
      <w:proofErr w:type="spellStart"/>
      <w:r w:rsidRPr="00AA22C4">
        <w:rPr>
          <w:rFonts w:ascii="Lato" w:hAnsi="Lato"/>
          <w:color w:val="000000" w:themeColor="text1"/>
          <w:sz w:val="22"/>
          <w:szCs w:val="22"/>
        </w:rPr>
        <w:t>cytometrii</w:t>
      </w:r>
      <w:proofErr w:type="spellEnd"/>
      <w:r w:rsidRPr="00AA22C4">
        <w:rPr>
          <w:rFonts w:ascii="Lato" w:hAnsi="Lato"/>
          <w:color w:val="000000" w:themeColor="text1"/>
          <w:sz w:val="22"/>
          <w:szCs w:val="22"/>
        </w:rPr>
        <w:t xml:space="preserve"> przepływowej (</w:t>
      </w:r>
      <w:proofErr w:type="spellStart"/>
      <w:r w:rsidRPr="00AA22C4">
        <w:rPr>
          <w:rFonts w:ascii="Lato" w:hAnsi="Lato"/>
          <w:color w:val="000000" w:themeColor="text1"/>
          <w:sz w:val="22"/>
          <w:szCs w:val="22"/>
        </w:rPr>
        <w:t>immunofenotypowanie</w:t>
      </w:r>
      <w:proofErr w:type="spellEnd"/>
      <w:r w:rsidRPr="00AA22C4">
        <w:rPr>
          <w:rFonts w:ascii="Lato" w:hAnsi="Lato"/>
          <w:color w:val="000000" w:themeColor="text1"/>
          <w:sz w:val="22"/>
          <w:szCs w:val="22"/>
        </w:rPr>
        <w:t xml:space="preserve">), testy transformacji blastycznej oraz badania genetyczne, najczęściej oparte o analizę wysokoprzepustową. </w:t>
      </w:r>
    </w:p>
    <w:p w14:paraId="7529CFBC" w14:textId="5C864883" w:rsidR="005E347E" w:rsidRPr="00AA22C4" w:rsidRDefault="005E347E" w:rsidP="005E347E">
      <w:pPr>
        <w:jc w:val="both"/>
        <w:rPr>
          <w:rFonts w:ascii="Lato" w:hAnsi="Lato"/>
          <w:color w:val="000000" w:themeColor="text1"/>
          <w:sz w:val="22"/>
          <w:szCs w:val="22"/>
        </w:rPr>
      </w:pPr>
      <w:r w:rsidRPr="00AA22C4">
        <w:rPr>
          <w:rFonts w:ascii="Lato" w:hAnsi="Lato"/>
          <w:color w:val="000000" w:themeColor="text1"/>
          <w:sz w:val="22"/>
          <w:szCs w:val="22"/>
        </w:rPr>
        <w:t>Przełomem w diagnostyce wrodzonych niedoborów odporności stały się badania przesiewowe noworodków w kierunku tych schorzeń. Pierwsze badania tego typu rozpoczęły się w 2008 r</w:t>
      </w:r>
      <w:r w:rsidR="00A66D16" w:rsidRPr="00AA22C4">
        <w:rPr>
          <w:rFonts w:ascii="Lato" w:hAnsi="Lato"/>
          <w:color w:val="000000" w:themeColor="text1"/>
          <w:sz w:val="22"/>
          <w:szCs w:val="22"/>
        </w:rPr>
        <w:t>.</w:t>
      </w:r>
      <w:r w:rsidRPr="00AA22C4">
        <w:rPr>
          <w:rFonts w:ascii="Lato" w:hAnsi="Lato"/>
          <w:color w:val="000000" w:themeColor="text1"/>
          <w:sz w:val="22"/>
          <w:szCs w:val="22"/>
        </w:rPr>
        <w:t xml:space="preserve"> w Stanach Zjednoczonych, zaś w 2010</w:t>
      </w:r>
      <w:r w:rsidR="00A66D16" w:rsidRPr="00AA22C4">
        <w:rPr>
          <w:rFonts w:ascii="Lato" w:hAnsi="Lato"/>
          <w:color w:val="000000" w:themeColor="text1"/>
          <w:sz w:val="22"/>
          <w:szCs w:val="22"/>
        </w:rPr>
        <w:t xml:space="preserve"> r.</w:t>
      </w:r>
      <w:r w:rsidRPr="00AA22C4">
        <w:rPr>
          <w:rFonts w:ascii="Lato" w:hAnsi="Lato"/>
          <w:color w:val="000000" w:themeColor="text1"/>
          <w:sz w:val="22"/>
          <w:szCs w:val="22"/>
        </w:rPr>
        <w:t xml:space="preserve"> SCID został dopisany do listy RUSP (ang. </w:t>
      </w:r>
      <w:proofErr w:type="spellStart"/>
      <w:r w:rsidRPr="00AA22C4">
        <w:rPr>
          <w:rFonts w:ascii="Lato" w:hAnsi="Lato"/>
          <w:color w:val="000000" w:themeColor="text1"/>
          <w:sz w:val="22"/>
          <w:szCs w:val="22"/>
        </w:rPr>
        <w:t>Recommended</w:t>
      </w:r>
      <w:proofErr w:type="spellEnd"/>
      <w:r w:rsidRPr="00AA22C4">
        <w:rPr>
          <w:rFonts w:ascii="Lato" w:hAnsi="Lato"/>
          <w:color w:val="000000" w:themeColor="text1"/>
          <w:sz w:val="22"/>
          <w:szCs w:val="22"/>
        </w:rPr>
        <w:t xml:space="preserve"> Uniform Panel Screening). W znaczącej większości państw badanie przesiewowe są ograniczone do analizy niedoborów odporności spowodowanych niedoborem limfocytów T – analizowane są koliste cząsteczki DNA tzw. TREC (ang. T-</w:t>
      </w:r>
      <w:proofErr w:type="spellStart"/>
      <w:r w:rsidRPr="00AA22C4">
        <w:rPr>
          <w:rFonts w:ascii="Lato" w:hAnsi="Lato"/>
          <w:color w:val="000000" w:themeColor="text1"/>
          <w:sz w:val="22"/>
          <w:szCs w:val="22"/>
        </w:rPr>
        <w:t>cell</w:t>
      </w:r>
      <w:proofErr w:type="spellEnd"/>
      <w:r w:rsidRPr="00AA22C4">
        <w:rPr>
          <w:rFonts w:ascii="Lato" w:hAnsi="Lato"/>
          <w:color w:val="000000" w:themeColor="text1"/>
          <w:sz w:val="22"/>
          <w:szCs w:val="22"/>
        </w:rPr>
        <w:t xml:space="preserve"> receptor </w:t>
      </w:r>
      <w:proofErr w:type="spellStart"/>
      <w:r w:rsidRPr="00AA22C4">
        <w:rPr>
          <w:rFonts w:ascii="Lato" w:hAnsi="Lato"/>
          <w:color w:val="000000" w:themeColor="text1"/>
          <w:sz w:val="22"/>
          <w:szCs w:val="22"/>
        </w:rPr>
        <w:t>excision</w:t>
      </w:r>
      <w:proofErr w:type="spellEnd"/>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circles</w:t>
      </w:r>
      <w:proofErr w:type="spellEnd"/>
      <w:r w:rsidRPr="00AA22C4">
        <w:rPr>
          <w:rFonts w:ascii="Lato" w:hAnsi="Lato"/>
          <w:color w:val="000000" w:themeColor="text1"/>
          <w:sz w:val="22"/>
          <w:szCs w:val="22"/>
        </w:rPr>
        <w:t>) powstając</w:t>
      </w:r>
      <w:r w:rsidR="00C34BDE" w:rsidRPr="00AA22C4">
        <w:rPr>
          <w:rFonts w:ascii="Lato" w:hAnsi="Lato"/>
          <w:color w:val="000000" w:themeColor="text1"/>
          <w:sz w:val="22"/>
          <w:szCs w:val="22"/>
        </w:rPr>
        <w:t>e</w:t>
      </w:r>
      <w:r w:rsidRPr="00AA22C4">
        <w:rPr>
          <w:rFonts w:ascii="Lato" w:hAnsi="Lato"/>
          <w:color w:val="000000" w:themeColor="text1"/>
          <w:sz w:val="22"/>
          <w:szCs w:val="22"/>
        </w:rPr>
        <w:t xml:space="preserve"> w wyniku procesu </w:t>
      </w:r>
      <w:proofErr w:type="spellStart"/>
      <w:r w:rsidRPr="00AA22C4">
        <w:rPr>
          <w:rFonts w:ascii="Lato" w:hAnsi="Lato"/>
          <w:color w:val="000000" w:themeColor="text1"/>
          <w:sz w:val="22"/>
          <w:szCs w:val="22"/>
        </w:rPr>
        <w:t>rearanżacji</w:t>
      </w:r>
      <w:proofErr w:type="spellEnd"/>
      <w:r w:rsidRPr="00AA22C4">
        <w:rPr>
          <w:rFonts w:ascii="Lato" w:hAnsi="Lato"/>
          <w:color w:val="000000" w:themeColor="text1"/>
          <w:sz w:val="22"/>
          <w:szCs w:val="22"/>
        </w:rPr>
        <w:t xml:space="preserve"> genów kodujących receptory limfocytów T. Dla niektórych populacji dodatkowo </w:t>
      </w:r>
      <w:r w:rsidR="00E440CF" w:rsidRPr="00AA22C4">
        <w:rPr>
          <w:rFonts w:ascii="Lato" w:hAnsi="Lato"/>
          <w:color w:val="000000" w:themeColor="text1"/>
          <w:sz w:val="22"/>
          <w:szCs w:val="22"/>
        </w:rPr>
        <w:t xml:space="preserve">jest </w:t>
      </w:r>
      <w:r w:rsidRPr="00AA22C4">
        <w:rPr>
          <w:rFonts w:ascii="Lato" w:hAnsi="Lato"/>
          <w:color w:val="000000" w:themeColor="text1"/>
          <w:sz w:val="22"/>
          <w:szCs w:val="22"/>
        </w:rPr>
        <w:t xml:space="preserve">wykonywana analiza ilościowa cząsteczek KREC (ang. kappa </w:t>
      </w:r>
      <w:proofErr w:type="spellStart"/>
      <w:r w:rsidRPr="00AA22C4">
        <w:rPr>
          <w:rFonts w:ascii="Lato" w:hAnsi="Lato"/>
          <w:color w:val="000000" w:themeColor="text1"/>
          <w:sz w:val="22"/>
          <w:szCs w:val="22"/>
        </w:rPr>
        <w:t>recombination</w:t>
      </w:r>
      <w:proofErr w:type="spellEnd"/>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excision</w:t>
      </w:r>
      <w:proofErr w:type="spellEnd"/>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circles</w:t>
      </w:r>
      <w:proofErr w:type="spellEnd"/>
      <w:r w:rsidRPr="00AA22C4">
        <w:rPr>
          <w:rFonts w:ascii="Lato" w:hAnsi="Lato"/>
          <w:color w:val="000000" w:themeColor="text1"/>
          <w:sz w:val="22"/>
          <w:szCs w:val="22"/>
        </w:rPr>
        <w:t xml:space="preserve">), które powstają w wyniku </w:t>
      </w:r>
      <w:proofErr w:type="spellStart"/>
      <w:r w:rsidRPr="00AA22C4">
        <w:rPr>
          <w:rFonts w:ascii="Lato" w:hAnsi="Lato"/>
          <w:color w:val="000000" w:themeColor="text1"/>
          <w:sz w:val="22"/>
          <w:szCs w:val="22"/>
        </w:rPr>
        <w:t>rearanżacji</w:t>
      </w:r>
      <w:proofErr w:type="spellEnd"/>
      <w:r w:rsidRPr="00AA22C4">
        <w:rPr>
          <w:rFonts w:ascii="Lato" w:hAnsi="Lato"/>
          <w:color w:val="000000" w:themeColor="text1"/>
          <w:sz w:val="22"/>
          <w:szCs w:val="22"/>
        </w:rPr>
        <w:t xml:space="preserve"> genów kodujących przeciwciała (IG). Proces </w:t>
      </w:r>
      <w:proofErr w:type="spellStart"/>
      <w:r w:rsidRPr="00AA22C4">
        <w:rPr>
          <w:rFonts w:ascii="Lato" w:hAnsi="Lato"/>
          <w:color w:val="000000" w:themeColor="text1"/>
          <w:sz w:val="22"/>
          <w:szCs w:val="22"/>
        </w:rPr>
        <w:t>rearanżacji</w:t>
      </w:r>
      <w:proofErr w:type="spellEnd"/>
      <w:r w:rsidRPr="00AA22C4">
        <w:rPr>
          <w:rFonts w:ascii="Lato" w:hAnsi="Lato"/>
          <w:color w:val="000000" w:themeColor="text1"/>
          <w:sz w:val="22"/>
          <w:szCs w:val="22"/>
        </w:rPr>
        <w:t xml:space="preserve"> genów ma miejsce w grasicy (TCR) lub szpiku kostnym (IG) i </w:t>
      </w:r>
      <w:r w:rsidR="004C2DDA" w:rsidRPr="00AA22C4">
        <w:rPr>
          <w:rFonts w:ascii="Lato" w:hAnsi="Lato"/>
          <w:color w:val="000000" w:themeColor="text1"/>
          <w:sz w:val="22"/>
          <w:szCs w:val="22"/>
        </w:rPr>
        <w:t xml:space="preserve">jest </w:t>
      </w:r>
      <w:r w:rsidRPr="00AA22C4">
        <w:rPr>
          <w:rFonts w:ascii="Lato" w:hAnsi="Lato"/>
          <w:color w:val="000000" w:themeColor="text1"/>
          <w:sz w:val="22"/>
          <w:szCs w:val="22"/>
        </w:rPr>
        <w:t>odpowiedzialny</w:t>
      </w:r>
      <w:r w:rsidR="00420794" w:rsidRPr="00AA22C4">
        <w:rPr>
          <w:rFonts w:ascii="Lato" w:hAnsi="Lato"/>
          <w:color w:val="000000" w:themeColor="text1"/>
          <w:sz w:val="22"/>
          <w:szCs w:val="22"/>
        </w:rPr>
        <w:t xml:space="preserve"> </w:t>
      </w:r>
      <w:r w:rsidRPr="00AA22C4">
        <w:rPr>
          <w:rFonts w:ascii="Lato" w:hAnsi="Lato"/>
          <w:color w:val="000000" w:themeColor="text1"/>
          <w:sz w:val="22"/>
          <w:szCs w:val="22"/>
        </w:rPr>
        <w:t xml:space="preserve">za zwiększenie różnorodności produkowanych przeciwciał i receptorów limfocytów T, co umożliwia wszechstronną odpowiedź immunologiczną. </w:t>
      </w:r>
      <w:r w:rsidR="00E440CF" w:rsidRPr="00AA22C4">
        <w:rPr>
          <w:rFonts w:ascii="Lato" w:hAnsi="Lato"/>
          <w:color w:val="000000" w:themeColor="text1"/>
          <w:sz w:val="22"/>
          <w:szCs w:val="22"/>
        </w:rPr>
        <w:t xml:space="preserve"> </w:t>
      </w:r>
      <w:r w:rsidR="004C2DDA" w:rsidRPr="00AA22C4">
        <w:rPr>
          <w:rFonts w:ascii="Lato" w:hAnsi="Lato"/>
          <w:color w:val="000000" w:themeColor="text1"/>
          <w:sz w:val="22"/>
          <w:szCs w:val="22"/>
        </w:rPr>
        <w:t xml:space="preserve"> </w:t>
      </w:r>
    </w:p>
    <w:p w14:paraId="60134F50" w14:textId="5076BFCB" w:rsidR="005E347E" w:rsidRPr="00AA22C4" w:rsidRDefault="005E347E" w:rsidP="005E347E">
      <w:pPr>
        <w:jc w:val="both"/>
        <w:rPr>
          <w:rFonts w:ascii="Lato" w:hAnsi="Lato"/>
          <w:color w:val="000000" w:themeColor="text1"/>
          <w:sz w:val="22"/>
          <w:szCs w:val="22"/>
        </w:rPr>
      </w:pPr>
      <w:r w:rsidRPr="00AA22C4">
        <w:rPr>
          <w:rFonts w:ascii="Lato" w:hAnsi="Lato"/>
          <w:color w:val="000000" w:themeColor="text1"/>
          <w:sz w:val="22"/>
          <w:szCs w:val="22"/>
        </w:rPr>
        <w:t xml:space="preserve">Minusem testów przesiewowych opartych o analizę KREC i TREC jest możliwość identyfikacji pacjentów z limfopenią B lub T-komórkową, która może rozwinąć się wtórnie np. jako objaw określonego zespołu chorobowego lub przyjmowanie przez matkę leków immunosupresyjnych. Nie zmienia to faktu, że badanie przesiewowe identyfikuje wszystkie postaci SCID z liczbą limfocytów T niższą niż 300 komórek/µl, przypadki przepuszczającego SCID (ang. </w:t>
      </w:r>
      <w:proofErr w:type="spellStart"/>
      <w:r w:rsidRPr="00AA22C4">
        <w:rPr>
          <w:rFonts w:ascii="Lato" w:hAnsi="Lato"/>
          <w:color w:val="000000" w:themeColor="text1"/>
          <w:sz w:val="22"/>
          <w:szCs w:val="22"/>
        </w:rPr>
        <w:t>leaky</w:t>
      </w:r>
      <w:proofErr w:type="spellEnd"/>
      <w:r w:rsidRPr="00AA22C4">
        <w:rPr>
          <w:rFonts w:ascii="Lato" w:hAnsi="Lato"/>
          <w:color w:val="000000" w:themeColor="text1"/>
          <w:sz w:val="22"/>
          <w:szCs w:val="22"/>
        </w:rPr>
        <w:t xml:space="preserve"> SCID) spowodowanych obecnością mutacji </w:t>
      </w:r>
      <w:proofErr w:type="spellStart"/>
      <w:r w:rsidRPr="00AA22C4">
        <w:rPr>
          <w:rFonts w:ascii="Lato" w:hAnsi="Lato"/>
          <w:color w:val="000000" w:themeColor="text1"/>
          <w:sz w:val="22"/>
          <w:szCs w:val="22"/>
        </w:rPr>
        <w:t>hypomorpficznych</w:t>
      </w:r>
      <w:proofErr w:type="spellEnd"/>
      <w:r w:rsidRPr="00AA22C4">
        <w:rPr>
          <w:rFonts w:ascii="Lato" w:hAnsi="Lato"/>
          <w:color w:val="000000" w:themeColor="text1"/>
          <w:sz w:val="22"/>
          <w:szCs w:val="22"/>
        </w:rPr>
        <w:t xml:space="preserve"> w znanych genach związanych z patogenezą tej choroby. Zgodnie z danymi literaturowymi specyficzność testu została oszacowana na 99</w:t>
      </w:r>
      <w:r w:rsidR="000F5223" w:rsidRPr="00AA22C4">
        <w:rPr>
          <w:rFonts w:ascii="Lato" w:hAnsi="Lato"/>
          <w:color w:val="000000" w:themeColor="text1"/>
          <w:sz w:val="22"/>
          <w:szCs w:val="22"/>
        </w:rPr>
        <w:t>,</w:t>
      </w:r>
      <w:r w:rsidRPr="00AA22C4">
        <w:rPr>
          <w:rFonts w:ascii="Lato" w:hAnsi="Lato"/>
          <w:color w:val="000000" w:themeColor="text1"/>
          <w:sz w:val="22"/>
          <w:szCs w:val="22"/>
        </w:rPr>
        <w:t xml:space="preserve">98%, zaś liczba wyników fałszywie pozytywnych jest stosunkowo niska. Ewentualne wyniki fałszywie pozytywne </w:t>
      </w:r>
      <w:r w:rsidR="00782847" w:rsidRPr="00AA22C4">
        <w:rPr>
          <w:rFonts w:ascii="Lato" w:hAnsi="Lato"/>
          <w:color w:val="000000" w:themeColor="text1"/>
          <w:sz w:val="22"/>
          <w:szCs w:val="22"/>
        </w:rPr>
        <w:t xml:space="preserve">są </w:t>
      </w:r>
      <w:r w:rsidRPr="00AA22C4">
        <w:rPr>
          <w:rFonts w:ascii="Lato" w:hAnsi="Lato"/>
          <w:color w:val="000000" w:themeColor="text1"/>
          <w:sz w:val="22"/>
          <w:szCs w:val="22"/>
        </w:rPr>
        <w:t xml:space="preserve">weryfikowane w testach drugiego rzutu, które umożliwiają ostateczne potwierdzenie SCID/agammaglobulinemii.  </w:t>
      </w:r>
      <w:r w:rsidR="00782847" w:rsidRPr="00AA22C4">
        <w:rPr>
          <w:rFonts w:ascii="Lato" w:hAnsi="Lato"/>
          <w:color w:val="000000" w:themeColor="text1"/>
          <w:sz w:val="22"/>
          <w:szCs w:val="22"/>
        </w:rPr>
        <w:t xml:space="preserve"> </w:t>
      </w:r>
    </w:p>
    <w:p w14:paraId="5FD69F2E" w14:textId="41B9B8BF" w:rsidR="005E347E" w:rsidRPr="00AA22C4" w:rsidRDefault="005E347E" w:rsidP="005E347E">
      <w:pPr>
        <w:jc w:val="both"/>
        <w:rPr>
          <w:rFonts w:ascii="Lato" w:hAnsi="Lato"/>
          <w:color w:val="000000" w:themeColor="text1"/>
          <w:sz w:val="22"/>
          <w:szCs w:val="22"/>
        </w:rPr>
      </w:pPr>
      <w:r w:rsidRPr="00AA22C4">
        <w:rPr>
          <w:rFonts w:ascii="Lato" w:hAnsi="Lato"/>
          <w:color w:val="000000" w:themeColor="text1"/>
          <w:sz w:val="22"/>
          <w:szCs w:val="22"/>
        </w:rPr>
        <w:lastRenderedPageBreak/>
        <w:t>Również w wielu krajach europejskich badania w kierunku SCID stanowią badanie rutynowe. Standardowo</w:t>
      </w:r>
      <w:r w:rsidR="00FD6E51" w:rsidRPr="00AA22C4">
        <w:rPr>
          <w:color w:val="000000" w:themeColor="text1"/>
        </w:rPr>
        <w:t xml:space="preserve"> </w:t>
      </w:r>
      <w:r w:rsidR="00FD6E51" w:rsidRPr="00AA22C4">
        <w:rPr>
          <w:rFonts w:ascii="Lato" w:hAnsi="Lato"/>
          <w:color w:val="000000" w:themeColor="text1"/>
          <w:sz w:val="22"/>
          <w:szCs w:val="22"/>
        </w:rPr>
        <w:t>są</w:t>
      </w:r>
      <w:r w:rsidRPr="00AA22C4">
        <w:rPr>
          <w:rFonts w:ascii="Lato" w:hAnsi="Lato"/>
          <w:color w:val="000000" w:themeColor="text1"/>
          <w:sz w:val="22"/>
          <w:szCs w:val="22"/>
        </w:rPr>
        <w:t xml:space="preserve"> wykonywane jednocześnie z testem w kierunku rdzeniowego zaniku mięśni (SMA) dzięki zastosowaniu specjalnych zestawów diagnostycznych. W Polsce w latach 2018-2020 w ramach programu Pomerania (realizowanego przez Instytut Matki i Dziecka i Pomorski Uniwersytet Medyczny wraz z 2 partnerami niemieckimi) </w:t>
      </w:r>
      <w:r w:rsidR="00FD6E51" w:rsidRPr="00AA22C4">
        <w:rPr>
          <w:rFonts w:ascii="Lato" w:hAnsi="Lato"/>
          <w:color w:val="000000" w:themeColor="text1"/>
          <w:sz w:val="22"/>
          <w:szCs w:val="22"/>
        </w:rPr>
        <w:t xml:space="preserve">były </w:t>
      </w:r>
      <w:r w:rsidRPr="00AA22C4">
        <w:rPr>
          <w:rFonts w:ascii="Lato" w:hAnsi="Lato"/>
          <w:color w:val="000000" w:themeColor="text1"/>
          <w:sz w:val="22"/>
          <w:szCs w:val="22"/>
        </w:rPr>
        <w:t xml:space="preserve">prowadzone wstępne badania pilotażowe, które objęły populację noworodków z województwa zachodniopomorskiego i Meklemburgii. Przebadano w sumie 44 tysiące noworodków, zaś rozpoznanie SCID postawiono u 4 dzieci, u których wdrożono odpowiednie leczenie (HSCT, przetoczenie immunoglobulin). Należy podkreślić, że badania te były prowadzone z wykorzystaniem testu umożliwiającego jedynie diagnostykę wrodzonych niedoborów odporności, bez uwzględnienia możliwości diagnostyki SMA. </w:t>
      </w:r>
      <w:r w:rsidR="00FD6E51" w:rsidRPr="00AA22C4">
        <w:rPr>
          <w:rFonts w:ascii="Lato" w:hAnsi="Lato"/>
          <w:color w:val="000000" w:themeColor="text1"/>
          <w:sz w:val="22"/>
          <w:szCs w:val="22"/>
        </w:rPr>
        <w:t xml:space="preserve">  </w:t>
      </w:r>
    </w:p>
    <w:p w14:paraId="47A58FDC" w14:textId="77777777" w:rsidR="005E347E" w:rsidRPr="00AA22C4" w:rsidRDefault="005E347E" w:rsidP="002D5F47">
      <w:pPr>
        <w:spacing w:before="120" w:after="120"/>
        <w:jc w:val="both"/>
        <w:rPr>
          <w:rFonts w:ascii="Lato" w:hAnsi="Lato"/>
          <w:color w:val="000000" w:themeColor="text1"/>
          <w:sz w:val="22"/>
          <w:szCs w:val="22"/>
          <w:u w:val="single"/>
        </w:rPr>
      </w:pPr>
      <w:r w:rsidRPr="00AA22C4">
        <w:rPr>
          <w:rFonts w:ascii="Lato" w:hAnsi="Lato"/>
          <w:color w:val="000000" w:themeColor="text1"/>
          <w:sz w:val="22"/>
          <w:szCs w:val="22"/>
          <w:u w:val="single"/>
        </w:rPr>
        <w:t xml:space="preserve">Leczenie: </w:t>
      </w:r>
    </w:p>
    <w:p w14:paraId="358CD732" w14:textId="2207E143" w:rsidR="005E347E" w:rsidRPr="00AA22C4" w:rsidRDefault="005E347E" w:rsidP="005E347E">
      <w:pPr>
        <w:jc w:val="both"/>
        <w:rPr>
          <w:rFonts w:ascii="Lato" w:hAnsi="Lato"/>
          <w:color w:val="000000" w:themeColor="text1"/>
          <w:sz w:val="22"/>
          <w:szCs w:val="22"/>
        </w:rPr>
      </w:pPr>
      <w:r w:rsidRPr="00AA22C4">
        <w:rPr>
          <w:rFonts w:ascii="Lato" w:hAnsi="Lato"/>
          <w:color w:val="000000" w:themeColor="text1"/>
          <w:sz w:val="22"/>
          <w:szCs w:val="22"/>
        </w:rPr>
        <w:t xml:space="preserve">U pacjentów z wrodzonym niedoborem odporności / agammaglobulinemią kluczowe jest szybkie rozpoznanie choroby i podjęcie odpowiednich działań terapeutycznych. W pierwszej kolejności </w:t>
      </w:r>
      <w:r w:rsidR="00B81D26" w:rsidRPr="00AA22C4">
        <w:rPr>
          <w:rFonts w:ascii="Lato" w:hAnsi="Lato"/>
          <w:color w:val="000000" w:themeColor="text1"/>
          <w:sz w:val="22"/>
          <w:szCs w:val="22"/>
        </w:rPr>
        <w:t xml:space="preserve">są </w:t>
      </w:r>
      <w:r w:rsidRPr="00AA22C4">
        <w:rPr>
          <w:rFonts w:ascii="Lato" w:hAnsi="Lato"/>
          <w:color w:val="000000" w:themeColor="text1"/>
          <w:sz w:val="22"/>
          <w:szCs w:val="22"/>
        </w:rPr>
        <w:t xml:space="preserve">podejmowane działania mające na celu ochronę dziecka przed ewentualnymi zakażeniami, a następnie </w:t>
      </w:r>
      <w:r w:rsidR="00B81D26" w:rsidRPr="00AA22C4">
        <w:rPr>
          <w:rFonts w:ascii="Lato" w:hAnsi="Lato"/>
          <w:color w:val="000000" w:themeColor="text1"/>
          <w:sz w:val="22"/>
          <w:szCs w:val="22"/>
        </w:rPr>
        <w:t xml:space="preserve">jest </w:t>
      </w:r>
      <w:r w:rsidRPr="00AA22C4">
        <w:rPr>
          <w:rFonts w:ascii="Lato" w:hAnsi="Lato"/>
          <w:color w:val="000000" w:themeColor="text1"/>
          <w:sz w:val="22"/>
          <w:szCs w:val="22"/>
        </w:rPr>
        <w:t>wdrażane leczenie przynoszące dłuższy efekt. Dysponujemy sposobami leczenia pacjentów, które wdrożone w okresie przedobjawowym (przed wystąpieniem pierwszej infekcji), będą zapobiegać wystąpieniu komplikacji, które stanowią zagrożenie dla życia pacjenta.  W terapii dzieci z WNO wykorzystuje się następujące podejścia terapeutyczne:</w:t>
      </w:r>
      <w:r w:rsidR="00B81D26" w:rsidRPr="00AA22C4">
        <w:rPr>
          <w:rFonts w:ascii="Lato" w:hAnsi="Lato"/>
          <w:color w:val="000000" w:themeColor="text1"/>
          <w:sz w:val="22"/>
          <w:szCs w:val="22"/>
        </w:rPr>
        <w:t xml:space="preserve">  </w:t>
      </w:r>
    </w:p>
    <w:p w14:paraId="77285EB2" w14:textId="22516CF0" w:rsidR="005E347E" w:rsidRPr="00AA22C4" w:rsidRDefault="00B81D26" w:rsidP="00AA22C4">
      <w:pPr>
        <w:widowControl/>
        <w:spacing w:after="160"/>
        <w:jc w:val="both"/>
        <w:rPr>
          <w:rFonts w:ascii="Lato" w:hAnsi="Lato"/>
          <w:color w:val="000000" w:themeColor="text1"/>
          <w:sz w:val="22"/>
          <w:szCs w:val="22"/>
        </w:rPr>
      </w:pPr>
      <w:r w:rsidRPr="00AA22C4">
        <w:rPr>
          <w:rFonts w:ascii="Lato" w:hAnsi="Lato"/>
          <w:color w:val="000000" w:themeColor="text1"/>
          <w:sz w:val="22"/>
          <w:szCs w:val="22"/>
        </w:rPr>
        <w:t xml:space="preserve">1) </w:t>
      </w:r>
      <w:r w:rsidR="005E347E" w:rsidRPr="00AA22C4">
        <w:rPr>
          <w:rFonts w:ascii="Lato" w:hAnsi="Lato"/>
          <w:color w:val="000000" w:themeColor="text1"/>
          <w:sz w:val="22"/>
          <w:szCs w:val="22"/>
        </w:rPr>
        <w:t xml:space="preserve">przeszczep </w:t>
      </w:r>
      <w:proofErr w:type="spellStart"/>
      <w:r w:rsidR="005E347E" w:rsidRPr="00AA22C4">
        <w:rPr>
          <w:rFonts w:ascii="Lato" w:hAnsi="Lato"/>
          <w:color w:val="000000" w:themeColor="text1"/>
          <w:sz w:val="22"/>
          <w:szCs w:val="22"/>
        </w:rPr>
        <w:t>hematopoetycznych</w:t>
      </w:r>
      <w:proofErr w:type="spellEnd"/>
      <w:r w:rsidR="005E347E" w:rsidRPr="00AA22C4">
        <w:rPr>
          <w:rFonts w:ascii="Lato" w:hAnsi="Lato"/>
          <w:color w:val="000000" w:themeColor="text1"/>
          <w:sz w:val="22"/>
          <w:szCs w:val="22"/>
        </w:rPr>
        <w:t xml:space="preserve"> komórek macierzystych (HSCT) od odpowiednio dobranego dawcy, najczęściej członka rodziny. Badania retrospektywne wykazały, że najlepsze efekty uzyskiwane są u dzieci, które wcześniej nie chorowały i przeszły przeszczep przed ukończeniem 3,5</w:t>
      </w:r>
      <w:r w:rsidR="00DD0F35" w:rsidRPr="00AA22C4">
        <w:rPr>
          <w:rFonts w:ascii="Lato" w:hAnsi="Lato"/>
          <w:color w:val="000000" w:themeColor="text1"/>
          <w:sz w:val="22"/>
          <w:szCs w:val="22"/>
        </w:rPr>
        <w:t xml:space="preserve"> </w:t>
      </w:r>
      <w:proofErr w:type="spellStart"/>
      <w:r w:rsidR="0057723D" w:rsidRPr="00AA22C4">
        <w:rPr>
          <w:rFonts w:ascii="Lato" w:hAnsi="Lato"/>
          <w:color w:val="000000" w:themeColor="text1"/>
          <w:sz w:val="22"/>
          <w:szCs w:val="22"/>
        </w:rPr>
        <w:t>m.ż</w:t>
      </w:r>
      <w:proofErr w:type="spellEnd"/>
      <w:r w:rsidR="0057723D" w:rsidRPr="00AA22C4">
        <w:rPr>
          <w:rFonts w:ascii="Lato" w:hAnsi="Lato"/>
          <w:color w:val="000000" w:themeColor="text1"/>
          <w:sz w:val="22"/>
          <w:szCs w:val="22"/>
        </w:rPr>
        <w:t>.</w:t>
      </w:r>
      <w:r w:rsidR="005E347E" w:rsidRPr="00AA22C4">
        <w:rPr>
          <w:rFonts w:ascii="Lato" w:hAnsi="Lato"/>
          <w:color w:val="000000" w:themeColor="text1"/>
          <w:sz w:val="22"/>
          <w:szCs w:val="22"/>
        </w:rPr>
        <w:t xml:space="preserve">– 94% pacjentów przeżywa przynajmniej 2 lata. U starszych dzieci przeżycie zależy od obecności infekcji - do </w:t>
      </w:r>
      <w:r w:rsidR="003760A5" w:rsidRPr="00AA22C4">
        <w:rPr>
          <w:rFonts w:ascii="Lato" w:hAnsi="Lato"/>
          <w:color w:val="000000" w:themeColor="text1"/>
          <w:sz w:val="22"/>
          <w:szCs w:val="22"/>
        </w:rPr>
        <w:t>2 r</w:t>
      </w:r>
      <w:r w:rsidR="0057723D" w:rsidRPr="00AA22C4">
        <w:rPr>
          <w:rFonts w:ascii="Lato" w:hAnsi="Lato"/>
          <w:color w:val="000000" w:themeColor="text1"/>
          <w:sz w:val="22"/>
          <w:szCs w:val="22"/>
        </w:rPr>
        <w:t>.ż.</w:t>
      </w:r>
      <w:r w:rsidR="003760A5">
        <w:rPr>
          <w:rFonts w:ascii="Lato" w:hAnsi="Lato"/>
          <w:color w:val="000000" w:themeColor="text1"/>
          <w:sz w:val="22"/>
          <w:szCs w:val="22"/>
        </w:rPr>
        <w:t xml:space="preserve"> </w:t>
      </w:r>
      <w:r w:rsidR="005E347E" w:rsidRPr="00AA22C4">
        <w:rPr>
          <w:rFonts w:ascii="Lato" w:hAnsi="Lato"/>
          <w:color w:val="000000" w:themeColor="text1"/>
          <w:sz w:val="22"/>
          <w:szCs w:val="22"/>
        </w:rPr>
        <w:t xml:space="preserve">dożywa 90% pacjentów bez objawów infekcji w momencie przeszczepu, 82% z wyleczoną infekcją i jedynie 50% z aktywną infekcją w momencie przeszczepu. Ponadto przeprowadzone analizy </w:t>
      </w:r>
      <w:proofErr w:type="spellStart"/>
      <w:r w:rsidR="005E347E" w:rsidRPr="00AA22C4">
        <w:rPr>
          <w:rFonts w:ascii="Lato" w:hAnsi="Lato"/>
          <w:color w:val="000000" w:themeColor="text1"/>
          <w:sz w:val="22"/>
          <w:szCs w:val="22"/>
        </w:rPr>
        <w:t>farmakoekonomiczne</w:t>
      </w:r>
      <w:proofErr w:type="spellEnd"/>
      <w:r w:rsidR="005E347E" w:rsidRPr="00AA22C4">
        <w:rPr>
          <w:rFonts w:ascii="Lato" w:hAnsi="Lato"/>
          <w:color w:val="000000" w:themeColor="text1"/>
          <w:sz w:val="22"/>
          <w:szCs w:val="22"/>
        </w:rPr>
        <w:t xml:space="preserve"> wskazują na efektywność kosztową wprowadzenia badań przesiewowych w kierunku SCID, co przekłada się na wcześniejsze rozpoczęcie leczenia i lepsze rokowania odnośnie przeżycia pacjentów. (103)</w:t>
      </w:r>
      <w:r w:rsidRPr="00AA22C4">
        <w:rPr>
          <w:rFonts w:ascii="Lato" w:hAnsi="Lato"/>
          <w:color w:val="000000" w:themeColor="text1"/>
          <w:sz w:val="22"/>
          <w:szCs w:val="22"/>
        </w:rPr>
        <w:t>;</w:t>
      </w:r>
    </w:p>
    <w:p w14:paraId="62C5C215" w14:textId="50A56B2A" w:rsidR="005E347E" w:rsidRPr="00AA22C4" w:rsidRDefault="00B81D26" w:rsidP="00AA22C4">
      <w:pPr>
        <w:widowControl/>
        <w:spacing w:after="160"/>
        <w:jc w:val="both"/>
        <w:rPr>
          <w:rFonts w:ascii="Lato" w:hAnsi="Lato"/>
          <w:color w:val="000000" w:themeColor="text1"/>
          <w:sz w:val="22"/>
          <w:szCs w:val="22"/>
        </w:rPr>
      </w:pPr>
      <w:r w:rsidRPr="00AA22C4">
        <w:rPr>
          <w:rFonts w:ascii="Lato" w:hAnsi="Lato"/>
          <w:color w:val="000000" w:themeColor="text1"/>
          <w:sz w:val="22"/>
          <w:szCs w:val="22"/>
        </w:rPr>
        <w:t xml:space="preserve">2) </w:t>
      </w:r>
      <w:r w:rsidR="005E347E" w:rsidRPr="00AA22C4">
        <w:rPr>
          <w:rFonts w:ascii="Lato" w:hAnsi="Lato"/>
          <w:color w:val="000000" w:themeColor="text1"/>
          <w:sz w:val="22"/>
          <w:szCs w:val="22"/>
        </w:rPr>
        <w:t>przetoczenia immunoglobulin – wykorzystywane u pacjentów z agammaglobulinemią, podanie przeciwciał od dawcy ma umożliwić ochronę przed drobnoustrojami i zapobiec ewentualnym infekcjom;</w:t>
      </w:r>
    </w:p>
    <w:p w14:paraId="57B37D5D" w14:textId="317A87FB" w:rsidR="005E347E" w:rsidRPr="00AA22C4" w:rsidRDefault="00B81D26" w:rsidP="00AA22C4">
      <w:pPr>
        <w:widowControl/>
        <w:spacing w:after="160"/>
        <w:jc w:val="both"/>
        <w:rPr>
          <w:rFonts w:ascii="Lato" w:hAnsi="Lato"/>
          <w:color w:val="000000" w:themeColor="text1"/>
          <w:sz w:val="22"/>
          <w:szCs w:val="22"/>
        </w:rPr>
      </w:pPr>
      <w:r w:rsidRPr="00AA22C4">
        <w:rPr>
          <w:rFonts w:ascii="Lato" w:hAnsi="Lato"/>
          <w:color w:val="000000" w:themeColor="text1"/>
          <w:sz w:val="22"/>
          <w:szCs w:val="22"/>
        </w:rPr>
        <w:t xml:space="preserve">3) </w:t>
      </w:r>
      <w:r w:rsidR="005E347E" w:rsidRPr="00AA22C4">
        <w:rPr>
          <w:rFonts w:ascii="Lato" w:hAnsi="Lato"/>
          <w:color w:val="000000" w:themeColor="text1"/>
          <w:sz w:val="22"/>
          <w:szCs w:val="22"/>
        </w:rPr>
        <w:t xml:space="preserve">enzymatyczna terapia zastępcza – wykorzystywana u pacjentów z defektem konkretnych szlaków metabolicznych, polegająca na podaniu aktywnego enzymu. Przykładem w WNO jest </w:t>
      </w:r>
      <w:r w:rsidR="005E347E" w:rsidRPr="00AA22C4">
        <w:rPr>
          <w:rFonts w:ascii="Lato" w:hAnsi="Lato"/>
          <w:color w:val="000000" w:themeColor="text1"/>
          <w:sz w:val="22"/>
          <w:szCs w:val="22"/>
        </w:rPr>
        <w:lastRenderedPageBreak/>
        <w:t xml:space="preserve">zatwierdzona przez FDA terapia preparatem </w:t>
      </w:r>
      <w:proofErr w:type="spellStart"/>
      <w:r w:rsidR="005E347E" w:rsidRPr="00AA22C4">
        <w:rPr>
          <w:rFonts w:ascii="Lato" w:hAnsi="Lato"/>
          <w:color w:val="000000" w:themeColor="text1"/>
          <w:sz w:val="22"/>
          <w:szCs w:val="22"/>
        </w:rPr>
        <w:t>Revcovi</w:t>
      </w:r>
      <w:proofErr w:type="spellEnd"/>
      <w:r w:rsidR="005E347E" w:rsidRPr="00AA22C4">
        <w:rPr>
          <w:rFonts w:ascii="Lato" w:hAnsi="Lato"/>
          <w:color w:val="000000" w:themeColor="text1"/>
          <w:sz w:val="22"/>
          <w:szCs w:val="22"/>
        </w:rPr>
        <w:t xml:space="preserve"> dla pacjentów z deficytem </w:t>
      </w:r>
      <w:proofErr w:type="spellStart"/>
      <w:r w:rsidR="005E347E" w:rsidRPr="00AA22C4">
        <w:rPr>
          <w:rFonts w:ascii="Lato" w:hAnsi="Lato"/>
          <w:color w:val="000000" w:themeColor="text1"/>
          <w:sz w:val="22"/>
          <w:szCs w:val="22"/>
        </w:rPr>
        <w:t>deaminazy</w:t>
      </w:r>
      <w:proofErr w:type="spellEnd"/>
      <w:r w:rsidR="005E347E" w:rsidRPr="00AA22C4">
        <w:rPr>
          <w:rFonts w:ascii="Lato" w:hAnsi="Lato"/>
          <w:color w:val="000000" w:themeColor="text1"/>
          <w:sz w:val="22"/>
          <w:szCs w:val="22"/>
        </w:rPr>
        <w:t xml:space="preserve"> adenozynowej</w:t>
      </w:r>
      <w:r w:rsidR="002E58FA" w:rsidRPr="00AA22C4">
        <w:rPr>
          <w:rFonts w:ascii="Lato" w:hAnsi="Lato"/>
          <w:color w:val="000000" w:themeColor="text1"/>
          <w:sz w:val="22"/>
          <w:szCs w:val="22"/>
        </w:rPr>
        <w:t>;</w:t>
      </w:r>
    </w:p>
    <w:p w14:paraId="1BDD3B8B" w14:textId="28CCE936" w:rsidR="005E347E" w:rsidRPr="00AA22C4" w:rsidRDefault="00B81D26" w:rsidP="00AA22C4">
      <w:pPr>
        <w:widowControl/>
        <w:spacing w:after="160"/>
        <w:jc w:val="both"/>
        <w:rPr>
          <w:rFonts w:ascii="Lato" w:hAnsi="Lato"/>
          <w:color w:val="000000" w:themeColor="text1"/>
          <w:sz w:val="22"/>
          <w:szCs w:val="22"/>
        </w:rPr>
      </w:pPr>
      <w:r w:rsidRPr="00AA22C4">
        <w:rPr>
          <w:rFonts w:ascii="Lato" w:hAnsi="Lato"/>
          <w:color w:val="000000" w:themeColor="text1"/>
          <w:sz w:val="22"/>
          <w:szCs w:val="22"/>
        </w:rPr>
        <w:t xml:space="preserve">4) </w:t>
      </w:r>
      <w:r w:rsidR="005E347E" w:rsidRPr="00AA22C4">
        <w:rPr>
          <w:rFonts w:ascii="Lato" w:hAnsi="Lato"/>
          <w:color w:val="000000" w:themeColor="text1"/>
          <w:sz w:val="22"/>
          <w:szCs w:val="22"/>
        </w:rPr>
        <w:t xml:space="preserve">terapia genowa ex vivo polegająca na pobraniu </w:t>
      </w:r>
      <w:proofErr w:type="spellStart"/>
      <w:r w:rsidR="005E347E" w:rsidRPr="00AA22C4">
        <w:rPr>
          <w:rFonts w:ascii="Lato" w:hAnsi="Lato"/>
          <w:color w:val="000000" w:themeColor="text1"/>
          <w:sz w:val="22"/>
          <w:szCs w:val="22"/>
        </w:rPr>
        <w:t>hematopoetycznych</w:t>
      </w:r>
      <w:proofErr w:type="spellEnd"/>
      <w:r w:rsidR="005E347E" w:rsidRPr="00AA22C4">
        <w:rPr>
          <w:rFonts w:ascii="Lato" w:hAnsi="Lato"/>
          <w:color w:val="000000" w:themeColor="text1"/>
          <w:sz w:val="22"/>
          <w:szCs w:val="22"/>
        </w:rPr>
        <w:t xml:space="preserve"> komórek macierzystych od pacjenta i ich modyfikacji z wykorzystaniem odpowiednich wektorów zawierających prawidłowy gen kodujący specyficzne białko, którego deficyt został stwierdzony w trakcie diagnostyki. Procedury z wykorzystaniem tego podejścia znajdują się w trakcie badań klinicznych (NCT05071222, NCT05432310, NCT04797260, NCT03601286, NCT01306019, NCT03538899)</w:t>
      </w:r>
      <w:r w:rsidR="002E58FA" w:rsidRPr="00AA22C4">
        <w:rPr>
          <w:rFonts w:ascii="Lato" w:hAnsi="Lato"/>
          <w:color w:val="000000" w:themeColor="text1"/>
          <w:sz w:val="22"/>
          <w:szCs w:val="22"/>
        </w:rPr>
        <w:t>;</w:t>
      </w:r>
    </w:p>
    <w:p w14:paraId="11420669" w14:textId="129E9A51" w:rsidR="005E347E" w:rsidRPr="00AA22C4" w:rsidRDefault="00B81D26" w:rsidP="00AA22C4">
      <w:pPr>
        <w:widowControl/>
        <w:spacing w:after="160"/>
        <w:jc w:val="both"/>
        <w:rPr>
          <w:rFonts w:ascii="Lato" w:hAnsi="Lato"/>
          <w:color w:val="000000" w:themeColor="text1"/>
          <w:sz w:val="22"/>
          <w:szCs w:val="22"/>
        </w:rPr>
      </w:pPr>
      <w:r w:rsidRPr="00AA22C4">
        <w:rPr>
          <w:rFonts w:ascii="Lato" w:hAnsi="Lato"/>
          <w:color w:val="000000" w:themeColor="text1"/>
          <w:sz w:val="22"/>
          <w:szCs w:val="22"/>
        </w:rPr>
        <w:t xml:space="preserve">5) </w:t>
      </w:r>
      <w:r w:rsidR="005E347E" w:rsidRPr="00AA22C4">
        <w:rPr>
          <w:rFonts w:ascii="Lato" w:hAnsi="Lato"/>
          <w:color w:val="000000" w:themeColor="text1"/>
          <w:sz w:val="22"/>
          <w:szCs w:val="22"/>
        </w:rPr>
        <w:t xml:space="preserve">przeszczep grasicy – wykonywany u pacjentów z zaburzeniami rozwoju tego narządu, występującymi w przebiegu zespołów wad wrodzonych (zespół </w:t>
      </w:r>
      <w:proofErr w:type="spellStart"/>
      <w:r w:rsidR="005E347E" w:rsidRPr="00AA22C4">
        <w:rPr>
          <w:rFonts w:ascii="Lato" w:hAnsi="Lato"/>
          <w:color w:val="000000" w:themeColor="text1"/>
          <w:sz w:val="22"/>
          <w:szCs w:val="22"/>
        </w:rPr>
        <w:t>mikrodelecji</w:t>
      </w:r>
      <w:proofErr w:type="spellEnd"/>
      <w:r w:rsidR="005E347E" w:rsidRPr="00AA22C4">
        <w:rPr>
          <w:rFonts w:ascii="Lato" w:hAnsi="Lato"/>
          <w:color w:val="000000" w:themeColor="text1"/>
          <w:sz w:val="22"/>
          <w:szCs w:val="22"/>
        </w:rPr>
        <w:t xml:space="preserve"> 22q11, zespół CHARGE). Opublikowane w 2024 r</w:t>
      </w:r>
      <w:r w:rsidR="0014360F" w:rsidRPr="00AA22C4">
        <w:rPr>
          <w:rFonts w:ascii="Lato" w:hAnsi="Lato"/>
          <w:color w:val="000000" w:themeColor="text1"/>
          <w:sz w:val="22"/>
          <w:szCs w:val="22"/>
        </w:rPr>
        <w:t>.</w:t>
      </w:r>
      <w:r w:rsidR="005E347E" w:rsidRPr="00AA22C4">
        <w:rPr>
          <w:rFonts w:ascii="Lato" w:hAnsi="Lato"/>
          <w:color w:val="000000" w:themeColor="text1"/>
          <w:sz w:val="22"/>
          <w:szCs w:val="22"/>
        </w:rPr>
        <w:t xml:space="preserve"> wyniki tego podejścia terapeutycznego wskazują na lepsze wyniki leczenia uzyskiwane u dzieci zdiagnozowanych w ramach programu badań przesiewowych noworodków w kierunku SCID (u</w:t>
      </w:r>
      <w:r w:rsidR="00DD0F35" w:rsidRPr="00AA22C4">
        <w:rPr>
          <w:rFonts w:ascii="Lato" w:hAnsi="Lato"/>
          <w:color w:val="000000" w:themeColor="text1"/>
          <w:sz w:val="22"/>
          <w:szCs w:val="22"/>
        </w:rPr>
        <w:t> </w:t>
      </w:r>
      <w:r w:rsidR="005E347E" w:rsidRPr="00AA22C4">
        <w:rPr>
          <w:rFonts w:ascii="Lato" w:hAnsi="Lato"/>
          <w:color w:val="000000" w:themeColor="text1"/>
          <w:sz w:val="22"/>
          <w:szCs w:val="22"/>
        </w:rPr>
        <w:t xml:space="preserve">których podjęto leczenie przed ukończeniem 4 </w:t>
      </w:r>
      <w:proofErr w:type="spellStart"/>
      <w:r w:rsidR="0057723D" w:rsidRPr="00AA22C4">
        <w:rPr>
          <w:rFonts w:ascii="Lato" w:hAnsi="Lato"/>
          <w:color w:val="000000" w:themeColor="text1"/>
          <w:sz w:val="22"/>
          <w:szCs w:val="22"/>
        </w:rPr>
        <w:t>m.ż</w:t>
      </w:r>
      <w:proofErr w:type="spellEnd"/>
      <w:r w:rsidR="0057723D" w:rsidRPr="00AA22C4">
        <w:rPr>
          <w:rFonts w:ascii="Lato" w:hAnsi="Lato"/>
          <w:color w:val="000000" w:themeColor="text1"/>
          <w:sz w:val="22"/>
          <w:szCs w:val="22"/>
        </w:rPr>
        <w:t>.</w:t>
      </w:r>
      <w:r w:rsidR="005E347E" w:rsidRPr="00AA22C4">
        <w:rPr>
          <w:rFonts w:ascii="Lato" w:hAnsi="Lato"/>
          <w:color w:val="000000" w:themeColor="text1"/>
          <w:sz w:val="22"/>
          <w:szCs w:val="22"/>
        </w:rPr>
        <w:t xml:space="preserve">) w porównaniu do grupy dzieci zdiagnozowanych na podstawie obecności objawów klinicznych. Kluczowe było wczesne rozpoznanie choroby i szybkie podjęcie leczenia optymalnie przed wystąpieniem pierwszych infekcji. U młodszych pacjentów obserwowano szybszą odbudowę odpowiedzi immunologicznej wskutek wcześniejszej </w:t>
      </w:r>
      <w:proofErr w:type="spellStart"/>
      <w:r w:rsidR="005E347E" w:rsidRPr="00AA22C4">
        <w:rPr>
          <w:rFonts w:ascii="Lato" w:hAnsi="Lato"/>
          <w:color w:val="000000" w:themeColor="text1"/>
          <w:sz w:val="22"/>
          <w:szCs w:val="22"/>
        </w:rPr>
        <w:t>tymopoezy</w:t>
      </w:r>
      <w:proofErr w:type="spellEnd"/>
      <w:r w:rsidR="005E347E" w:rsidRPr="00AA22C4">
        <w:rPr>
          <w:rFonts w:ascii="Lato" w:hAnsi="Lato"/>
          <w:color w:val="000000" w:themeColor="text1"/>
          <w:sz w:val="22"/>
          <w:szCs w:val="22"/>
        </w:rPr>
        <w:t xml:space="preserve"> i szybszego wzrostu liczby limfocytów T po wykonanym przeszczepie (102). </w:t>
      </w:r>
    </w:p>
    <w:p w14:paraId="2CFCA57D" w14:textId="77777777" w:rsidR="005E347E" w:rsidRPr="00AA22C4" w:rsidRDefault="005E347E" w:rsidP="005E347E">
      <w:pPr>
        <w:jc w:val="both"/>
        <w:rPr>
          <w:rFonts w:ascii="Lato" w:hAnsi="Lato"/>
          <w:color w:val="000000" w:themeColor="text1"/>
          <w:sz w:val="22"/>
          <w:szCs w:val="22"/>
        </w:rPr>
      </w:pPr>
      <w:r w:rsidRPr="00AA22C4">
        <w:rPr>
          <w:rFonts w:ascii="Lato" w:hAnsi="Lato"/>
          <w:color w:val="000000" w:themeColor="text1"/>
          <w:sz w:val="22"/>
          <w:szCs w:val="22"/>
        </w:rPr>
        <w:t xml:space="preserve">W Polsce leczenie pacjentów z wrodzonymi niedoborami odporności odbywa się w wyspecjalizowanych klinikach w dużych ośrodkach akademickich lub instytutach naukowo-badawczych (np. Instytut </w:t>
      </w:r>
      <w:proofErr w:type="spellStart"/>
      <w:r w:rsidRPr="00AA22C4">
        <w:rPr>
          <w:rFonts w:ascii="Lato" w:hAnsi="Lato"/>
          <w:color w:val="000000" w:themeColor="text1"/>
          <w:sz w:val="22"/>
          <w:szCs w:val="22"/>
        </w:rPr>
        <w:t>Pominik</w:t>
      </w:r>
      <w:proofErr w:type="spellEnd"/>
      <w:r w:rsidRPr="00AA22C4">
        <w:rPr>
          <w:rFonts w:ascii="Lato" w:hAnsi="Lato"/>
          <w:color w:val="000000" w:themeColor="text1"/>
          <w:sz w:val="22"/>
          <w:szCs w:val="22"/>
        </w:rPr>
        <w:t xml:space="preserve"> Centrum Zdrowia Dziecka - Klinika Immunologii, Collegium </w:t>
      </w:r>
      <w:proofErr w:type="spellStart"/>
      <w:r w:rsidRPr="00AA22C4">
        <w:rPr>
          <w:rFonts w:ascii="Lato" w:hAnsi="Lato"/>
          <w:color w:val="000000" w:themeColor="text1"/>
          <w:sz w:val="22"/>
          <w:szCs w:val="22"/>
        </w:rPr>
        <w:t>Medicum</w:t>
      </w:r>
      <w:proofErr w:type="spellEnd"/>
      <w:r w:rsidRPr="00AA22C4">
        <w:rPr>
          <w:rFonts w:ascii="Lato" w:hAnsi="Lato"/>
          <w:color w:val="000000" w:themeColor="text1"/>
          <w:sz w:val="22"/>
          <w:szCs w:val="22"/>
        </w:rPr>
        <w:t xml:space="preserve"> w Bydgoszczy - Katedra Pediatrii, Hematologii i Onkologii, Collegium </w:t>
      </w:r>
      <w:proofErr w:type="spellStart"/>
      <w:r w:rsidRPr="00AA22C4">
        <w:rPr>
          <w:rFonts w:ascii="Lato" w:hAnsi="Lato"/>
          <w:color w:val="000000" w:themeColor="text1"/>
          <w:sz w:val="22"/>
          <w:szCs w:val="22"/>
        </w:rPr>
        <w:t>Medicum</w:t>
      </w:r>
      <w:proofErr w:type="spellEnd"/>
      <w:r w:rsidRPr="00AA22C4">
        <w:rPr>
          <w:rFonts w:ascii="Lato" w:hAnsi="Lato"/>
          <w:color w:val="000000" w:themeColor="text1"/>
          <w:sz w:val="22"/>
          <w:szCs w:val="22"/>
        </w:rPr>
        <w:t xml:space="preserve"> UJ, Katedra Immunologii Klinicznej i Transplantologii). </w:t>
      </w:r>
    </w:p>
    <w:p w14:paraId="736580DA" w14:textId="77777777" w:rsidR="005E347E" w:rsidRPr="00AA22C4" w:rsidRDefault="005E347E" w:rsidP="002D5F47">
      <w:pPr>
        <w:spacing w:before="120" w:after="120"/>
        <w:rPr>
          <w:rFonts w:ascii="Lato" w:hAnsi="Lato"/>
          <w:color w:val="000000" w:themeColor="text1"/>
          <w:sz w:val="22"/>
          <w:szCs w:val="22"/>
          <w:u w:val="single"/>
        </w:rPr>
      </w:pPr>
      <w:r w:rsidRPr="00AA22C4">
        <w:rPr>
          <w:rFonts w:ascii="Lato" w:hAnsi="Lato"/>
          <w:color w:val="000000" w:themeColor="text1"/>
          <w:sz w:val="22"/>
          <w:szCs w:val="22"/>
          <w:u w:val="single"/>
        </w:rPr>
        <w:t>Metodologia testu:</w:t>
      </w:r>
    </w:p>
    <w:p w14:paraId="180D203C" w14:textId="6992D244" w:rsidR="005E347E" w:rsidRPr="00AA22C4" w:rsidRDefault="005E347E" w:rsidP="005E347E">
      <w:pPr>
        <w:jc w:val="both"/>
        <w:rPr>
          <w:rFonts w:ascii="Lato" w:hAnsi="Lato"/>
          <w:color w:val="000000" w:themeColor="text1"/>
          <w:sz w:val="22"/>
          <w:szCs w:val="22"/>
        </w:rPr>
      </w:pPr>
      <w:r w:rsidRPr="00AA22C4">
        <w:rPr>
          <w:rFonts w:ascii="Lato" w:hAnsi="Lato"/>
          <w:color w:val="000000" w:themeColor="text1"/>
          <w:sz w:val="22"/>
          <w:szCs w:val="22"/>
        </w:rPr>
        <w:t xml:space="preserve">Wdrożony test będzie umożliwiał jednoczesną analizę próbek pod kątem rdzeniowego zaniku mięśni i ciężkich wrodzonych niedoborów odporności. Będzie on wykonywany z wykorzystaniem komercyjnego zestawu opartego o technikę ilościowego PCR w czasie rzeczywistym. W przypadku analizy w kierunku SMA umożliwi identyfikację pacjentów z homozygotyczną delecją </w:t>
      </w:r>
      <w:proofErr w:type="spellStart"/>
      <w:r w:rsidRPr="00AA22C4">
        <w:rPr>
          <w:rFonts w:ascii="Lato" w:hAnsi="Lato"/>
          <w:color w:val="000000" w:themeColor="text1"/>
          <w:sz w:val="22"/>
          <w:szCs w:val="22"/>
        </w:rPr>
        <w:t>eksonu</w:t>
      </w:r>
      <w:proofErr w:type="spellEnd"/>
      <w:r w:rsidRPr="00AA22C4">
        <w:rPr>
          <w:rFonts w:ascii="Lato" w:hAnsi="Lato"/>
          <w:color w:val="000000" w:themeColor="text1"/>
          <w:sz w:val="22"/>
          <w:szCs w:val="22"/>
        </w:rPr>
        <w:t xml:space="preserve"> 7 genu SMN1, która</w:t>
      </w:r>
      <w:r w:rsidR="0014360F" w:rsidRPr="00AA22C4">
        <w:rPr>
          <w:rFonts w:ascii="Lato" w:hAnsi="Lato"/>
          <w:color w:val="000000" w:themeColor="text1"/>
          <w:sz w:val="22"/>
          <w:szCs w:val="22"/>
        </w:rPr>
        <w:t xml:space="preserve"> jest</w:t>
      </w:r>
      <w:r w:rsidRPr="00AA22C4">
        <w:rPr>
          <w:rFonts w:ascii="Lato" w:hAnsi="Lato"/>
          <w:color w:val="000000" w:themeColor="text1"/>
          <w:sz w:val="22"/>
          <w:szCs w:val="22"/>
        </w:rPr>
        <w:t xml:space="preserve"> identyfikowana u 95-98% pacjentów z tą chorobą. Brak produktu amplifikacji, przy obecności produktu dla genu referencyjnego, jest wskazaniem do weryfikacji wyniku badania z wykorzystaniem rutynowego testu diagnostycznego (MLPA).</w:t>
      </w:r>
      <w:r w:rsidR="0014360F" w:rsidRPr="00AA22C4">
        <w:rPr>
          <w:rFonts w:ascii="Lato" w:hAnsi="Lato"/>
          <w:color w:val="000000" w:themeColor="text1"/>
          <w:sz w:val="22"/>
          <w:szCs w:val="22"/>
        </w:rPr>
        <w:t xml:space="preserve"> </w:t>
      </w:r>
    </w:p>
    <w:p w14:paraId="4A9A6D25" w14:textId="4099676D" w:rsidR="005E347E" w:rsidRPr="00AA22C4" w:rsidRDefault="005E347E" w:rsidP="005E347E">
      <w:pPr>
        <w:jc w:val="both"/>
        <w:rPr>
          <w:rFonts w:ascii="Lato" w:hAnsi="Lato"/>
          <w:color w:val="000000" w:themeColor="text1"/>
          <w:sz w:val="22"/>
          <w:szCs w:val="22"/>
        </w:rPr>
      </w:pPr>
      <w:r w:rsidRPr="00AA22C4">
        <w:rPr>
          <w:rFonts w:ascii="Lato" w:hAnsi="Lato"/>
          <w:color w:val="000000" w:themeColor="text1"/>
          <w:sz w:val="22"/>
          <w:szCs w:val="22"/>
        </w:rPr>
        <w:t xml:space="preserve">W przypadku ciężkich wrodzonych niedoborów odporności test ma charakter ilościowy. </w:t>
      </w:r>
      <w:r w:rsidRPr="00AA22C4">
        <w:rPr>
          <w:rFonts w:ascii="Lato" w:hAnsi="Lato"/>
          <w:color w:val="000000" w:themeColor="text1"/>
          <w:sz w:val="22"/>
          <w:szCs w:val="22"/>
        </w:rPr>
        <w:lastRenderedPageBreak/>
        <w:t>Umożliwia ocenę dokładnej liczby cząsteczek TREC (ang. T-</w:t>
      </w:r>
      <w:proofErr w:type="spellStart"/>
      <w:r w:rsidRPr="00AA22C4">
        <w:rPr>
          <w:rFonts w:ascii="Lato" w:hAnsi="Lato"/>
          <w:color w:val="000000" w:themeColor="text1"/>
          <w:sz w:val="22"/>
          <w:szCs w:val="22"/>
        </w:rPr>
        <w:t>cell</w:t>
      </w:r>
      <w:proofErr w:type="spellEnd"/>
      <w:r w:rsidRPr="00AA22C4">
        <w:rPr>
          <w:rFonts w:ascii="Lato" w:hAnsi="Lato"/>
          <w:color w:val="000000" w:themeColor="text1"/>
          <w:sz w:val="22"/>
          <w:szCs w:val="22"/>
        </w:rPr>
        <w:t xml:space="preserve"> receptor </w:t>
      </w:r>
      <w:proofErr w:type="spellStart"/>
      <w:r w:rsidRPr="00AA22C4">
        <w:rPr>
          <w:rFonts w:ascii="Lato" w:hAnsi="Lato"/>
          <w:color w:val="000000" w:themeColor="text1"/>
          <w:sz w:val="22"/>
          <w:szCs w:val="22"/>
        </w:rPr>
        <w:t>excision</w:t>
      </w:r>
      <w:proofErr w:type="spellEnd"/>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circles</w:t>
      </w:r>
      <w:proofErr w:type="spellEnd"/>
      <w:r w:rsidRPr="00AA22C4">
        <w:rPr>
          <w:rFonts w:ascii="Lato" w:hAnsi="Lato"/>
          <w:color w:val="000000" w:themeColor="text1"/>
          <w:sz w:val="22"/>
          <w:szCs w:val="22"/>
        </w:rPr>
        <w:t xml:space="preserve">) i KREC (ang. kappa </w:t>
      </w:r>
      <w:proofErr w:type="spellStart"/>
      <w:r w:rsidRPr="00AA22C4">
        <w:rPr>
          <w:rFonts w:ascii="Lato" w:hAnsi="Lato"/>
          <w:color w:val="000000" w:themeColor="text1"/>
          <w:sz w:val="22"/>
          <w:szCs w:val="22"/>
        </w:rPr>
        <w:t>recombination</w:t>
      </w:r>
      <w:proofErr w:type="spellEnd"/>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excision</w:t>
      </w:r>
      <w:proofErr w:type="spellEnd"/>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circles</w:t>
      </w:r>
      <w:proofErr w:type="spellEnd"/>
      <w:r w:rsidRPr="00AA22C4">
        <w:rPr>
          <w:rFonts w:ascii="Lato" w:hAnsi="Lato"/>
          <w:color w:val="000000" w:themeColor="text1"/>
          <w:sz w:val="22"/>
          <w:szCs w:val="22"/>
        </w:rPr>
        <w:t xml:space="preserve">) w badanej próbce. Brak lub znacząco niski poziom tych cząsteczek wskazuje na możliwość wystąpienia u pacjenta limfopenii spowodowanej wrodzonym niedoborem odporności lub czynnikami zewnętrznymi (np. wcześniactwo, immunosupresja u matki). Nieprawidłowy wynik badania jest wskazaniem do wykonania badań weryfikujących obejmujących m.in. ocenę stanu pacjenta (badanie podmiotowe uwzględniające okres perinatalny), ocenę morfologii krwi obwodowej, ocenę populacji limfocytów T i NK za pomocą </w:t>
      </w:r>
      <w:proofErr w:type="spellStart"/>
      <w:r w:rsidRPr="00AA22C4">
        <w:rPr>
          <w:rFonts w:ascii="Lato" w:hAnsi="Lato"/>
          <w:color w:val="000000" w:themeColor="text1"/>
          <w:sz w:val="22"/>
          <w:szCs w:val="22"/>
        </w:rPr>
        <w:t>cytometrii</w:t>
      </w:r>
      <w:proofErr w:type="spellEnd"/>
      <w:r w:rsidRPr="00AA22C4">
        <w:rPr>
          <w:rFonts w:ascii="Lato" w:hAnsi="Lato"/>
          <w:color w:val="000000" w:themeColor="text1"/>
          <w:sz w:val="22"/>
          <w:szCs w:val="22"/>
        </w:rPr>
        <w:t xml:space="preserve"> przepływowej (</w:t>
      </w:r>
      <w:proofErr w:type="spellStart"/>
      <w:r w:rsidRPr="00AA22C4">
        <w:rPr>
          <w:rFonts w:ascii="Lato" w:hAnsi="Lato"/>
          <w:color w:val="000000" w:themeColor="text1"/>
          <w:sz w:val="22"/>
          <w:szCs w:val="22"/>
        </w:rPr>
        <w:t>immunofenotypowanie</w:t>
      </w:r>
      <w:proofErr w:type="spellEnd"/>
      <w:r w:rsidRPr="00AA22C4">
        <w:rPr>
          <w:rFonts w:ascii="Lato" w:hAnsi="Lato"/>
          <w:color w:val="000000" w:themeColor="text1"/>
          <w:sz w:val="22"/>
          <w:szCs w:val="22"/>
        </w:rPr>
        <w:t xml:space="preserve">) oraz badanie genetyczne. W przypadku dzieci urodzonych przedwcześnie / o niskiej masie urodzeniowej </w:t>
      </w:r>
      <w:r w:rsidR="0014360F" w:rsidRPr="00AA22C4">
        <w:rPr>
          <w:rFonts w:ascii="Lato" w:hAnsi="Lato"/>
          <w:color w:val="000000" w:themeColor="text1"/>
          <w:sz w:val="22"/>
          <w:szCs w:val="22"/>
        </w:rPr>
        <w:t xml:space="preserve">jest </w:t>
      </w:r>
      <w:r w:rsidRPr="00AA22C4">
        <w:rPr>
          <w:rFonts w:ascii="Lato" w:hAnsi="Lato"/>
          <w:color w:val="000000" w:themeColor="text1"/>
          <w:sz w:val="22"/>
          <w:szCs w:val="22"/>
        </w:rPr>
        <w:t xml:space="preserve">wskazane ponowne wykonanie badania w wieku odpowiadającym 32 tygodniowi ciąży, i ewentualne powtórzenie testu w wieku odpowiadającym 37 tygodniowi ciąży (99).   </w:t>
      </w:r>
    </w:p>
    <w:p w14:paraId="215A0BFF" w14:textId="19A7C976" w:rsidR="005E347E" w:rsidRPr="00AA22C4" w:rsidRDefault="005E347E" w:rsidP="005E347E">
      <w:pPr>
        <w:jc w:val="both"/>
        <w:rPr>
          <w:rFonts w:ascii="Lato" w:hAnsi="Lato"/>
          <w:color w:val="000000" w:themeColor="text1"/>
          <w:sz w:val="22"/>
          <w:szCs w:val="22"/>
        </w:rPr>
      </w:pPr>
      <w:r w:rsidRPr="00AA22C4">
        <w:rPr>
          <w:rFonts w:ascii="Lato" w:hAnsi="Lato"/>
          <w:color w:val="000000" w:themeColor="text1"/>
          <w:sz w:val="22"/>
          <w:szCs w:val="22"/>
        </w:rPr>
        <w:t xml:space="preserve">Analiza </w:t>
      </w:r>
      <w:r w:rsidR="008C56F9" w:rsidRPr="00AA22C4">
        <w:rPr>
          <w:rFonts w:ascii="Lato" w:hAnsi="Lato"/>
          <w:color w:val="000000" w:themeColor="text1"/>
          <w:sz w:val="22"/>
          <w:szCs w:val="22"/>
        </w:rPr>
        <w:t xml:space="preserve">jest </w:t>
      </w:r>
      <w:r w:rsidRPr="00AA22C4">
        <w:rPr>
          <w:rFonts w:ascii="Lato" w:hAnsi="Lato"/>
          <w:color w:val="000000" w:themeColor="text1"/>
          <w:sz w:val="22"/>
          <w:szCs w:val="22"/>
        </w:rPr>
        <w:t xml:space="preserve">oparta o badanie molekularne wykorzystujące technikę ilościowego PCR w czasie rzeczywistym (ang. </w:t>
      </w:r>
      <w:proofErr w:type="spellStart"/>
      <w:r w:rsidRPr="00AA22C4">
        <w:rPr>
          <w:rFonts w:ascii="Lato" w:hAnsi="Lato"/>
          <w:color w:val="000000" w:themeColor="text1"/>
          <w:sz w:val="22"/>
          <w:szCs w:val="22"/>
        </w:rPr>
        <w:t>quantitative</w:t>
      </w:r>
      <w:proofErr w:type="spellEnd"/>
      <w:r w:rsidRPr="00AA22C4">
        <w:rPr>
          <w:rFonts w:ascii="Lato" w:hAnsi="Lato"/>
          <w:color w:val="000000" w:themeColor="text1"/>
          <w:sz w:val="22"/>
          <w:szCs w:val="22"/>
        </w:rPr>
        <w:t xml:space="preserve"> Real-Time PCR, </w:t>
      </w:r>
      <w:proofErr w:type="spellStart"/>
      <w:r w:rsidRPr="00AA22C4">
        <w:rPr>
          <w:rFonts w:ascii="Lato" w:hAnsi="Lato"/>
          <w:color w:val="000000" w:themeColor="text1"/>
          <w:sz w:val="22"/>
          <w:szCs w:val="22"/>
        </w:rPr>
        <w:t>qRT</w:t>
      </w:r>
      <w:proofErr w:type="spellEnd"/>
      <w:r w:rsidRPr="00AA22C4">
        <w:rPr>
          <w:rFonts w:ascii="Lato" w:hAnsi="Lato"/>
          <w:color w:val="000000" w:themeColor="text1"/>
          <w:sz w:val="22"/>
          <w:szCs w:val="22"/>
        </w:rPr>
        <w:t xml:space="preserve">-PCR). Umożliwia ona ilościową ocenę produktu amplifikacji względem genu referencyjnego. W teście </w:t>
      </w:r>
      <w:r w:rsidR="00B76F0B" w:rsidRPr="00AA22C4">
        <w:rPr>
          <w:rFonts w:ascii="Lato" w:hAnsi="Lato"/>
          <w:color w:val="000000" w:themeColor="text1"/>
          <w:sz w:val="22"/>
          <w:szCs w:val="22"/>
        </w:rPr>
        <w:t xml:space="preserve">są </w:t>
      </w:r>
      <w:r w:rsidRPr="00AA22C4">
        <w:rPr>
          <w:rFonts w:ascii="Lato" w:hAnsi="Lato"/>
          <w:color w:val="000000" w:themeColor="text1"/>
          <w:sz w:val="22"/>
          <w:szCs w:val="22"/>
        </w:rPr>
        <w:t xml:space="preserve">wykorzystywane sondy fluorescencyjne specyficzne dla genu referencyjnego i genu SMN1 oraz cząsteczek TREC i KREC, które powstają w wyniku </w:t>
      </w:r>
      <w:proofErr w:type="spellStart"/>
      <w:r w:rsidRPr="00AA22C4">
        <w:rPr>
          <w:rFonts w:ascii="Lato" w:hAnsi="Lato"/>
          <w:color w:val="000000" w:themeColor="text1"/>
          <w:sz w:val="22"/>
          <w:szCs w:val="22"/>
        </w:rPr>
        <w:t>rearanżacji</w:t>
      </w:r>
      <w:proofErr w:type="spellEnd"/>
      <w:r w:rsidRPr="00AA22C4">
        <w:rPr>
          <w:rFonts w:ascii="Lato" w:hAnsi="Lato"/>
          <w:color w:val="000000" w:themeColor="text1"/>
          <w:sz w:val="22"/>
          <w:szCs w:val="22"/>
        </w:rPr>
        <w:t xml:space="preserve"> genów kodujących receptory limfocytów T i immunoglobuliny produkowane przez limfocyty B. </w:t>
      </w:r>
      <w:r w:rsidR="008C56F9" w:rsidRPr="00AA22C4">
        <w:rPr>
          <w:rFonts w:ascii="Lato" w:hAnsi="Lato"/>
          <w:color w:val="000000" w:themeColor="text1"/>
          <w:sz w:val="22"/>
          <w:szCs w:val="22"/>
        </w:rPr>
        <w:t xml:space="preserve"> </w:t>
      </w:r>
      <w:r w:rsidR="00B76F0B" w:rsidRPr="00AA22C4">
        <w:rPr>
          <w:rFonts w:ascii="Lato" w:hAnsi="Lato"/>
          <w:color w:val="000000" w:themeColor="text1"/>
          <w:sz w:val="22"/>
          <w:szCs w:val="22"/>
        </w:rPr>
        <w:t xml:space="preserve"> </w:t>
      </w:r>
      <w:r w:rsidR="004E36DB" w:rsidRPr="00AA22C4">
        <w:rPr>
          <w:rFonts w:ascii="Lato" w:hAnsi="Lato"/>
          <w:color w:val="000000" w:themeColor="text1"/>
          <w:sz w:val="22"/>
          <w:szCs w:val="22"/>
        </w:rPr>
        <w:t xml:space="preserve">  </w:t>
      </w:r>
    </w:p>
    <w:p w14:paraId="168AEA2A" w14:textId="7A723D75" w:rsidR="005E347E" w:rsidRPr="00AA22C4" w:rsidRDefault="005E347E" w:rsidP="005E347E">
      <w:pPr>
        <w:jc w:val="both"/>
        <w:rPr>
          <w:rFonts w:ascii="Lato" w:hAnsi="Lato"/>
          <w:color w:val="000000" w:themeColor="text1"/>
          <w:sz w:val="22"/>
          <w:szCs w:val="22"/>
        </w:rPr>
      </w:pPr>
      <w:r w:rsidRPr="00AA22C4">
        <w:rPr>
          <w:rFonts w:ascii="Lato" w:hAnsi="Lato"/>
          <w:color w:val="000000" w:themeColor="text1"/>
          <w:sz w:val="22"/>
          <w:szCs w:val="22"/>
        </w:rPr>
        <w:t xml:space="preserve">Do badania </w:t>
      </w:r>
      <w:r w:rsidR="004E36DB" w:rsidRPr="00AA22C4">
        <w:rPr>
          <w:rFonts w:ascii="Lato" w:hAnsi="Lato"/>
          <w:color w:val="000000" w:themeColor="text1"/>
          <w:sz w:val="22"/>
          <w:szCs w:val="22"/>
        </w:rPr>
        <w:t xml:space="preserve">jest </w:t>
      </w:r>
      <w:r w:rsidRPr="00AA22C4">
        <w:rPr>
          <w:rFonts w:ascii="Lato" w:hAnsi="Lato"/>
          <w:color w:val="000000" w:themeColor="text1"/>
          <w:sz w:val="22"/>
          <w:szCs w:val="22"/>
        </w:rPr>
        <w:t xml:space="preserve">wykorzystywany preparat uzyskany z wysuszonych kropli krwi pobranych na bibułę (DBS), który </w:t>
      </w:r>
      <w:r w:rsidR="004E36DB" w:rsidRPr="00AA22C4">
        <w:rPr>
          <w:rFonts w:ascii="Lato" w:hAnsi="Lato"/>
          <w:color w:val="000000" w:themeColor="text1"/>
          <w:sz w:val="22"/>
          <w:szCs w:val="22"/>
        </w:rPr>
        <w:t xml:space="preserve">jest </w:t>
      </w:r>
      <w:r w:rsidRPr="00AA22C4">
        <w:rPr>
          <w:rFonts w:ascii="Lato" w:hAnsi="Lato"/>
          <w:color w:val="000000" w:themeColor="text1"/>
          <w:sz w:val="22"/>
          <w:szCs w:val="22"/>
        </w:rPr>
        <w:t xml:space="preserve">przygotowywany zgodnie z instrukcją producenta zestawu. Następnie wyizolowany DNA jest powielany z wykorzystaniem zestawu starterów i sond – test </w:t>
      </w:r>
      <w:r w:rsidR="004E36DB" w:rsidRPr="00AA22C4">
        <w:rPr>
          <w:rFonts w:ascii="Lato" w:hAnsi="Lato"/>
          <w:color w:val="000000" w:themeColor="text1"/>
          <w:sz w:val="22"/>
          <w:szCs w:val="22"/>
        </w:rPr>
        <w:t xml:space="preserve">jest </w:t>
      </w:r>
      <w:r w:rsidRPr="00AA22C4">
        <w:rPr>
          <w:rFonts w:ascii="Lato" w:hAnsi="Lato"/>
          <w:color w:val="000000" w:themeColor="text1"/>
          <w:sz w:val="22"/>
          <w:szCs w:val="22"/>
        </w:rPr>
        <w:t xml:space="preserve">prowadzony jednoczasowo dla SMA i SCID (w jednej probówce). W reakcji amplifikacji </w:t>
      </w:r>
      <w:r w:rsidR="004E36DB" w:rsidRPr="00AA22C4">
        <w:rPr>
          <w:rFonts w:ascii="Lato" w:hAnsi="Lato"/>
          <w:color w:val="000000" w:themeColor="text1"/>
          <w:sz w:val="22"/>
          <w:szCs w:val="22"/>
        </w:rPr>
        <w:t xml:space="preserve">jest </w:t>
      </w:r>
      <w:r w:rsidRPr="00AA22C4">
        <w:rPr>
          <w:rFonts w:ascii="Lato" w:hAnsi="Lato"/>
          <w:color w:val="000000" w:themeColor="text1"/>
          <w:sz w:val="22"/>
          <w:szCs w:val="22"/>
        </w:rPr>
        <w:t xml:space="preserve">powielany gen referencyjny, gen </w:t>
      </w:r>
      <w:r w:rsidRPr="00AA22C4">
        <w:rPr>
          <w:rFonts w:ascii="Lato" w:hAnsi="Lato"/>
          <w:i/>
          <w:iCs/>
          <w:color w:val="000000" w:themeColor="text1"/>
          <w:sz w:val="22"/>
          <w:szCs w:val="22"/>
        </w:rPr>
        <w:t>SMN1</w:t>
      </w:r>
      <w:r w:rsidRPr="00AA22C4">
        <w:rPr>
          <w:rFonts w:ascii="Lato" w:hAnsi="Lato"/>
          <w:color w:val="000000" w:themeColor="text1"/>
          <w:sz w:val="22"/>
          <w:szCs w:val="22"/>
        </w:rPr>
        <w:t xml:space="preserve"> oraz cząsteczki TREC i KREC. W przypadku genu </w:t>
      </w:r>
      <w:r w:rsidRPr="00AA22C4">
        <w:rPr>
          <w:rFonts w:ascii="Lato" w:hAnsi="Lato"/>
          <w:i/>
          <w:iCs/>
          <w:color w:val="000000" w:themeColor="text1"/>
          <w:sz w:val="22"/>
          <w:szCs w:val="22"/>
        </w:rPr>
        <w:t>SMN1</w:t>
      </w:r>
      <w:r w:rsidRPr="00AA22C4">
        <w:rPr>
          <w:rFonts w:ascii="Lato" w:hAnsi="Lato"/>
          <w:color w:val="000000" w:themeColor="text1"/>
          <w:sz w:val="22"/>
          <w:szCs w:val="22"/>
        </w:rPr>
        <w:t xml:space="preserve"> test ma charakter jakościowy – brak produktu amplifikacji wskazuje na możliwość wystąpienia u badanego homozygotycznej delecji </w:t>
      </w:r>
      <w:proofErr w:type="spellStart"/>
      <w:r w:rsidRPr="00AA22C4">
        <w:rPr>
          <w:rFonts w:ascii="Lato" w:hAnsi="Lato"/>
          <w:color w:val="000000" w:themeColor="text1"/>
          <w:sz w:val="22"/>
          <w:szCs w:val="22"/>
        </w:rPr>
        <w:t>eksonu</w:t>
      </w:r>
      <w:proofErr w:type="spellEnd"/>
      <w:r w:rsidRPr="00AA22C4">
        <w:rPr>
          <w:rFonts w:ascii="Lato" w:hAnsi="Lato"/>
          <w:color w:val="000000" w:themeColor="text1"/>
          <w:sz w:val="22"/>
          <w:szCs w:val="22"/>
        </w:rPr>
        <w:t xml:space="preserve"> 7 genu </w:t>
      </w:r>
      <w:r w:rsidRPr="00AA22C4">
        <w:rPr>
          <w:rFonts w:ascii="Lato" w:hAnsi="Lato"/>
          <w:i/>
          <w:iCs/>
          <w:color w:val="000000" w:themeColor="text1"/>
          <w:sz w:val="22"/>
          <w:szCs w:val="22"/>
        </w:rPr>
        <w:t>SMN1</w:t>
      </w:r>
      <w:r w:rsidRPr="00AA22C4">
        <w:rPr>
          <w:rFonts w:ascii="Lato" w:hAnsi="Lato"/>
          <w:color w:val="000000" w:themeColor="text1"/>
          <w:sz w:val="22"/>
          <w:szCs w:val="22"/>
        </w:rPr>
        <w:t xml:space="preserve">. W przypadku analizy w kierunku SCID test ma charakter ilościowy – zastosowanie krzywych standardowych umożliwia dokładną ocenę liczby cząsteczek TREC i KREC w badanej próbce. Wyniki tego testu </w:t>
      </w:r>
      <w:r w:rsidR="004E36DB" w:rsidRPr="00AA22C4">
        <w:rPr>
          <w:rFonts w:ascii="Lato" w:hAnsi="Lato"/>
          <w:color w:val="000000" w:themeColor="text1"/>
          <w:sz w:val="22"/>
          <w:szCs w:val="22"/>
        </w:rPr>
        <w:t xml:space="preserve">są </w:t>
      </w:r>
      <w:r w:rsidRPr="00AA22C4">
        <w:rPr>
          <w:rFonts w:ascii="Lato" w:hAnsi="Lato"/>
          <w:color w:val="000000" w:themeColor="text1"/>
          <w:sz w:val="22"/>
          <w:szCs w:val="22"/>
        </w:rPr>
        <w:t xml:space="preserve">interpretowane </w:t>
      </w:r>
      <w:r w:rsidR="00B01154" w:rsidRPr="00AA22C4">
        <w:rPr>
          <w:rFonts w:ascii="Lato" w:hAnsi="Lato"/>
          <w:color w:val="000000" w:themeColor="text1"/>
          <w:sz w:val="22"/>
          <w:szCs w:val="22"/>
        </w:rPr>
        <w:t xml:space="preserve">na podstawie </w:t>
      </w:r>
      <w:r w:rsidRPr="00AA22C4">
        <w:rPr>
          <w:rFonts w:ascii="Lato" w:hAnsi="Lato"/>
          <w:color w:val="000000" w:themeColor="text1"/>
          <w:sz w:val="22"/>
          <w:szCs w:val="22"/>
        </w:rPr>
        <w:t>ustalon</w:t>
      </w:r>
      <w:r w:rsidR="00B01154" w:rsidRPr="00AA22C4">
        <w:rPr>
          <w:rFonts w:ascii="Lato" w:hAnsi="Lato"/>
          <w:color w:val="000000" w:themeColor="text1"/>
          <w:sz w:val="22"/>
          <w:szCs w:val="22"/>
        </w:rPr>
        <w:t>ych</w:t>
      </w:r>
      <w:r w:rsidRPr="00AA22C4">
        <w:rPr>
          <w:rFonts w:ascii="Lato" w:hAnsi="Lato"/>
          <w:color w:val="000000" w:themeColor="text1"/>
          <w:sz w:val="22"/>
          <w:szCs w:val="22"/>
        </w:rPr>
        <w:t xml:space="preserve"> kryteri</w:t>
      </w:r>
      <w:r w:rsidR="00B01154" w:rsidRPr="00AA22C4">
        <w:rPr>
          <w:rFonts w:ascii="Lato" w:hAnsi="Lato"/>
          <w:color w:val="000000" w:themeColor="text1"/>
          <w:sz w:val="22"/>
          <w:szCs w:val="22"/>
        </w:rPr>
        <w:t xml:space="preserve">ów </w:t>
      </w:r>
      <w:r w:rsidRPr="00AA22C4">
        <w:rPr>
          <w:rFonts w:ascii="Lato" w:hAnsi="Lato"/>
          <w:color w:val="000000" w:themeColor="text1"/>
          <w:sz w:val="22"/>
          <w:szCs w:val="22"/>
        </w:rPr>
        <w:t xml:space="preserve">odcięcia – wynik poniżej jest traktowany jako nieprawidłowy i jest wskazaniem do powtórzenia testu lub podjęcia badań weryfikacyjnych. Brak amplifikacji dla genu referencyjnego świadczy o nieodpowiedniej jakości DNA stosowanego w reakcji – w takiej sytuacji konieczne jest ponowne przeprowadzenie testu z uwzględnieniem ponownej izolacji DNA. </w:t>
      </w:r>
      <w:r w:rsidR="004E36DB" w:rsidRPr="00AA22C4">
        <w:rPr>
          <w:rFonts w:ascii="Lato" w:hAnsi="Lato"/>
          <w:color w:val="000000" w:themeColor="text1"/>
          <w:sz w:val="22"/>
          <w:szCs w:val="22"/>
        </w:rPr>
        <w:t xml:space="preserve">   </w:t>
      </w:r>
    </w:p>
    <w:p w14:paraId="6A460D65" w14:textId="7C4C915C" w:rsidR="005E347E" w:rsidRPr="00AA22C4" w:rsidRDefault="005E347E" w:rsidP="005E347E">
      <w:pPr>
        <w:jc w:val="both"/>
        <w:rPr>
          <w:rFonts w:ascii="Lato" w:hAnsi="Lato"/>
          <w:color w:val="000000" w:themeColor="text1"/>
          <w:sz w:val="22"/>
          <w:szCs w:val="22"/>
        </w:rPr>
      </w:pPr>
      <w:r w:rsidRPr="00AA22C4">
        <w:rPr>
          <w:rFonts w:ascii="Lato" w:hAnsi="Lato"/>
          <w:color w:val="000000" w:themeColor="text1"/>
          <w:sz w:val="22"/>
          <w:szCs w:val="22"/>
        </w:rPr>
        <w:t xml:space="preserve">Do każdej reakcji </w:t>
      </w:r>
      <w:r w:rsidR="004E36DB" w:rsidRPr="00AA22C4">
        <w:rPr>
          <w:rFonts w:ascii="Lato" w:hAnsi="Lato"/>
          <w:color w:val="000000" w:themeColor="text1"/>
          <w:sz w:val="22"/>
          <w:szCs w:val="22"/>
        </w:rPr>
        <w:t xml:space="preserve">są </w:t>
      </w:r>
      <w:r w:rsidRPr="00AA22C4">
        <w:rPr>
          <w:rFonts w:ascii="Lato" w:hAnsi="Lato"/>
          <w:color w:val="000000" w:themeColor="text1"/>
          <w:sz w:val="22"/>
          <w:szCs w:val="22"/>
        </w:rPr>
        <w:t>stosowane odpowiednie kontrole: dołączone do zestawu kontrole pozytywne i negatywne (zgodnie z zaleceniami producenta zestawu). Każdorazowo jest także wykonywana kontrola czystości reakcji PCR (próbka bez DNA). Dodatkowo</w:t>
      </w:r>
      <w:r w:rsidR="004E36DB" w:rsidRPr="00AA22C4">
        <w:rPr>
          <w:color w:val="000000" w:themeColor="text1"/>
        </w:rPr>
        <w:t xml:space="preserve"> </w:t>
      </w:r>
      <w:r w:rsidR="004E36DB" w:rsidRPr="00AA22C4">
        <w:rPr>
          <w:rFonts w:ascii="Lato" w:hAnsi="Lato"/>
          <w:color w:val="000000" w:themeColor="text1"/>
          <w:sz w:val="22"/>
          <w:szCs w:val="22"/>
        </w:rPr>
        <w:t>jest</w:t>
      </w:r>
      <w:r w:rsidRPr="00AA22C4">
        <w:rPr>
          <w:rFonts w:ascii="Lato" w:hAnsi="Lato"/>
          <w:color w:val="000000" w:themeColor="text1"/>
          <w:sz w:val="22"/>
          <w:szCs w:val="22"/>
        </w:rPr>
        <w:t xml:space="preserve"> stosowana także kontrola pozytywna dla SMA (krew pacjenta z potwierdzonym SMA pobrana na bibułę do </w:t>
      </w:r>
      <w:r w:rsidRPr="00AA22C4">
        <w:rPr>
          <w:rFonts w:ascii="Lato" w:hAnsi="Lato"/>
          <w:color w:val="000000" w:themeColor="text1"/>
          <w:sz w:val="22"/>
          <w:szCs w:val="22"/>
        </w:rPr>
        <w:lastRenderedPageBreak/>
        <w:t xml:space="preserve">badań przesiewowych). </w:t>
      </w:r>
      <w:r w:rsidR="004E36DB" w:rsidRPr="00AA22C4">
        <w:rPr>
          <w:rFonts w:ascii="Lato" w:hAnsi="Lato"/>
          <w:color w:val="000000" w:themeColor="text1"/>
          <w:sz w:val="22"/>
          <w:szCs w:val="22"/>
        </w:rPr>
        <w:t xml:space="preserve">  </w:t>
      </w:r>
    </w:p>
    <w:p w14:paraId="1C7CC81D" w14:textId="20717BF2" w:rsidR="005E347E" w:rsidRPr="00AA22C4" w:rsidRDefault="005E347E" w:rsidP="005E347E">
      <w:pPr>
        <w:jc w:val="both"/>
        <w:rPr>
          <w:rFonts w:ascii="Lato" w:hAnsi="Lato"/>
          <w:color w:val="000000" w:themeColor="text1"/>
          <w:sz w:val="22"/>
          <w:szCs w:val="22"/>
        </w:rPr>
      </w:pPr>
      <w:r w:rsidRPr="00AA22C4">
        <w:rPr>
          <w:rFonts w:ascii="Lato" w:hAnsi="Lato"/>
          <w:b/>
          <w:bCs/>
          <w:color w:val="000000" w:themeColor="text1"/>
          <w:sz w:val="22"/>
          <w:szCs w:val="22"/>
        </w:rPr>
        <w:t>SMA:</w:t>
      </w:r>
      <w:r w:rsidRPr="00AA22C4">
        <w:rPr>
          <w:rFonts w:ascii="Lato" w:hAnsi="Lato"/>
          <w:color w:val="000000" w:themeColor="text1"/>
          <w:sz w:val="22"/>
          <w:szCs w:val="22"/>
        </w:rPr>
        <w:t xml:space="preserve"> Analogicznie jak w teście pojedynczym dla wszystkich próbek, dla których wynik testu przesiewowego da wynik pozytywny wskazujący na obecność homozygotycznej delecji </w:t>
      </w:r>
      <w:proofErr w:type="spellStart"/>
      <w:r w:rsidRPr="00AA22C4">
        <w:rPr>
          <w:rFonts w:ascii="Lato" w:hAnsi="Lato"/>
          <w:color w:val="000000" w:themeColor="text1"/>
          <w:sz w:val="22"/>
          <w:szCs w:val="22"/>
        </w:rPr>
        <w:t>eksonu</w:t>
      </w:r>
      <w:proofErr w:type="spellEnd"/>
      <w:r w:rsidRPr="00AA22C4">
        <w:rPr>
          <w:rFonts w:ascii="Lato" w:hAnsi="Lato"/>
          <w:color w:val="000000" w:themeColor="text1"/>
          <w:sz w:val="22"/>
          <w:szCs w:val="22"/>
        </w:rPr>
        <w:t xml:space="preserve"> 7 genu </w:t>
      </w:r>
      <w:r w:rsidRPr="00AA22C4">
        <w:rPr>
          <w:rFonts w:ascii="Lato" w:hAnsi="Lato"/>
          <w:i/>
          <w:iCs/>
          <w:color w:val="000000" w:themeColor="text1"/>
          <w:sz w:val="22"/>
          <w:szCs w:val="22"/>
        </w:rPr>
        <w:t>SMN1</w:t>
      </w:r>
      <w:r w:rsidRPr="00AA22C4">
        <w:rPr>
          <w:rFonts w:ascii="Lato" w:hAnsi="Lato"/>
          <w:color w:val="000000" w:themeColor="text1"/>
          <w:sz w:val="22"/>
          <w:szCs w:val="22"/>
        </w:rPr>
        <w:t xml:space="preserve">, zostanie wykonana weryfikacja wyniku badania z wykorzystaniem techniki MLPA. Jest to podejście stosowane przez laboratoria zajmujące się badaniami przesiewowymi noworodków w kierunku SMA, jak również rekomendowane w protokole do testu przesiewowego. W przypadkach wątpliwych (np. brak możliwości uzyskania wyniku informacyjnego dla SMA i konieczność ponownego pobrania krwi noworodka na bibułę) </w:t>
      </w:r>
      <w:r w:rsidR="004E36DB" w:rsidRPr="00AA22C4">
        <w:rPr>
          <w:rFonts w:ascii="Lato" w:hAnsi="Lato"/>
          <w:color w:val="000000" w:themeColor="text1"/>
          <w:sz w:val="22"/>
          <w:szCs w:val="22"/>
        </w:rPr>
        <w:t xml:space="preserve">będzie </w:t>
      </w:r>
      <w:r w:rsidRPr="00AA22C4">
        <w:rPr>
          <w:rFonts w:ascii="Lato" w:hAnsi="Lato"/>
          <w:color w:val="000000" w:themeColor="text1"/>
          <w:sz w:val="22"/>
          <w:szCs w:val="22"/>
        </w:rPr>
        <w:t>stosowany jako alternatywa test PCR-HRM.</w:t>
      </w:r>
      <w:r w:rsidR="004E36DB" w:rsidRPr="00AA22C4">
        <w:rPr>
          <w:rFonts w:ascii="Lato" w:hAnsi="Lato"/>
          <w:color w:val="000000" w:themeColor="text1"/>
          <w:sz w:val="22"/>
          <w:szCs w:val="22"/>
        </w:rPr>
        <w:t xml:space="preserve"> </w:t>
      </w:r>
    </w:p>
    <w:p w14:paraId="7A15D401" w14:textId="4A6BEE7A" w:rsidR="005E347E" w:rsidRPr="00AA22C4" w:rsidRDefault="005E347E" w:rsidP="005E347E">
      <w:pPr>
        <w:jc w:val="both"/>
        <w:rPr>
          <w:rFonts w:ascii="Lato" w:hAnsi="Lato"/>
          <w:color w:val="000000" w:themeColor="text1"/>
          <w:sz w:val="22"/>
          <w:szCs w:val="22"/>
        </w:rPr>
      </w:pPr>
      <w:r w:rsidRPr="00AA22C4">
        <w:rPr>
          <w:rFonts w:ascii="Lato" w:hAnsi="Lato"/>
          <w:color w:val="000000" w:themeColor="text1"/>
          <w:sz w:val="22"/>
          <w:szCs w:val="22"/>
        </w:rPr>
        <w:t xml:space="preserve">Wynik MLPA potwierdzający obecność </w:t>
      </w:r>
      <w:proofErr w:type="spellStart"/>
      <w:r w:rsidRPr="00AA22C4">
        <w:rPr>
          <w:rFonts w:ascii="Lato" w:hAnsi="Lato"/>
          <w:color w:val="000000" w:themeColor="text1"/>
          <w:sz w:val="22"/>
          <w:szCs w:val="22"/>
        </w:rPr>
        <w:t>homozygotyczej</w:t>
      </w:r>
      <w:proofErr w:type="spellEnd"/>
      <w:r w:rsidRPr="00AA22C4">
        <w:rPr>
          <w:rFonts w:ascii="Lato" w:hAnsi="Lato"/>
          <w:color w:val="000000" w:themeColor="text1"/>
          <w:sz w:val="22"/>
          <w:szCs w:val="22"/>
        </w:rPr>
        <w:t xml:space="preserve"> delecji </w:t>
      </w:r>
      <w:proofErr w:type="spellStart"/>
      <w:r w:rsidRPr="00AA22C4">
        <w:rPr>
          <w:rFonts w:ascii="Lato" w:hAnsi="Lato"/>
          <w:color w:val="000000" w:themeColor="text1"/>
          <w:sz w:val="22"/>
          <w:szCs w:val="22"/>
        </w:rPr>
        <w:t>eksonu</w:t>
      </w:r>
      <w:proofErr w:type="spellEnd"/>
      <w:r w:rsidRPr="00AA22C4">
        <w:rPr>
          <w:rFonts w:ascii="Lato" w:hAnsi="Lato"/>
          <w:color w:val="000000" w:themeColor="text1"/>
          <w:sz w:val="22"/>
          <w:szCs w:val="22"/>
        </w:rPr>
        <w:t xml:space="preserve"> 7 genu </w:t>
      </w:r>
      <w:r w:rsidRPr="00AA22C4">
        <w:rPr>
          <w:rFonts w:ascii="Lato" w:hAnsi="Lato"/>
          <w:i/>
          <w:iCs/>
          <w:color w:val="000000" w:themeColor="text1"/>
          <w:sz w:val="22"/>
          <w:szCs w:val="22"/>
        </w:rPr>
        <w:t>SMN1</w:t>
      </w:r>
      <w:r w:rsidRPr="00AA22C4">
        <w:rPr>
          <w:rFonts w:ascii="Lato" w:hAnsi="Lato"/>
          <w:color w:val="000000" w:themeColor="text1"/>
          <w:sz w:val="22"/>
          <w:szCs w:val="22"/>
        </w:rPr>
        <w:t xml:space="preserve"> jest wskazaniem do wezwania pacjenta do ośrodka zajmującego się leczeniem SMA (lista ośrodków ustalona we współpracy z Zespołem Koordynacyjnym ds. leczenia chorych na rdzeniowy zanik mięśni) w celu oceny klinicznej noworodka oraz pobrania krwi żylnej na badanie weryfikujące. Badanie </w:t>
      </w:r>
      <w:r w:rsidR="00A7476A" w:rsidRPr="00AA22C4">
        <w:rPr>
          <w:rFonts w:ascii="Lato" w:hAnsi="Lato"/>
          <w:color w:val="000000" w:themeColor="text1"/>
          <w:sz w:val="22"/>
          <w:szCs w:val="22"/>
        </w:rPr>
        <w:t xml:space="preserve">jest </w:t>
      </w:r>
      <w:r w:rsidRPr="00AA22C4">
        <w:rPr>
          <w:rFonts w:ascii="Lato" w:hAnsi="Lato"/>
          <w:color w:val="000000" w:themeColor="text1"/>
          <w:sz w:val="22"/>
          <w:szCs w:val="22"/>
        </w:rPr>
        <w:t xml:space="preserve">wykonywane za pomocą testu MLPA z wykorzystaniem DNA izolowanego z krwi żylnej. Odbywa się w Zakładzie Genetyki Medycznej IMiD, który ma ponad 20-letnie doświadczenie w diagnostyce molekularnej rdzeniowego zaniku mięśni (SMA) oraz regularnie poddaje się testom kontroli jakości organizowanym przez </w:t>
      </w:r>
      <w:proofErr w:type="spellStart"/>
      <w:r w:rsidRPr="00AA22C4">
        <w:rPr>
          <w:rFonts w:ascii="Lato" w:hAnsi="Lato"/>
          <w:color w:val="000000" w:themeColor="text1"/>
          <w:sz w:val="22"/>
          <w:szCs w:val="22"/>
        </w:rPr>
        <w:t>European</w:t>
      </w:r>
      <w:proofErr w:type="spellEnd"/>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Molecular</w:t>
      </w:r>
      <w:proofErr w:type="spellEnd"/>
      <w:r w:rsidRPr="00AA22C4">
        <w:rPr>
          <w:rFonts w:ascii="Lato" w:hAnsi="Lato"/>
          <w:color w:val="000000" w:themeColor="text1"/>
          <w:sz w:val="22"/>
          <w:szCs w:val="22"/>
        </w:rPr>
        <w:t xml:space="preserve"> Genetics </w:t>
      </w:r>
      <w:proofErr w:type="spellStart"/>
      <w:r w:rsidRPr="00AA22C4">
        <w:rPr>
          <w:rFonts w:ascii="Lato" w:hAnsi="Lato"/>
          <w:color w:val="000000" w:themeColor="text1"/>
          <w:sz w:val="22"/>
          <w:szCs w:val="22"/>
        </w:rPr>
        <w:t>Quality</w:t>
      </w:r>
      <w:proofErr w:type="spellEnd"/>
      <w:r w:rsidRPr="00AA22C4">
        <w:rPr>
          <w:rFonts w:ascii="Lato" w:hAnsi="Lato"/>
          <w:color w:val="000000" w:themeColor="text1"/>
          <w:sz w:val="22"/>
          <w:szCs w:val="22"/>
        </w:rPr>
        <w:t xml:space="preserve"> Network (EMQN), z którego uzyskuje wyniki pozytywne potwierdzone certyfikatem jakości. Wynik badania natychmiast</w:t>
      </w:r>
      <w:r w:rsidR="00A7476A" w:rsidRPr="00AA22C4">
        <w:rPr>
          <w:color w:val="000000" w:themeColor="text1"/>
        </w:rPr>
        <w:t xml:space="preserve"> </w:t>
      </w:r>
      <w:r w:rsidR="00A7476A" w:rsidRPr="00AA22C4">
        <w:rPr>
          <w:rFonts w:ascii="Lato" w:hAnsi="Lato"/>
          <w:color w:val="000000" w:themeColor="text1"/>
          <w:sz w:val="22"/>
          <w:szCs w:val="22"/>
        </w:rPr>
        <w:t>jest</w:t>
      </w:r>
      <w:r w:rsidRPr="00AA22C4">
        <w:rPr>
          <w:rFonts w:ascii="Lato" w:hAnsi="Lato"/>
          <w:color w:val="000000" w:themeColor="text1"/>
          <w:sz w:val="22"/>
          <w:szCs w:val="22"/>
        </w:rPr>
        <w:t xml:space="preserve"> przekazywany do ośrodka kierującego, który w zależności od liczby kopii genu </w:t>
      </w:r>
      <w:r w:rsidRPr="00AA22C4">
        <w:rPr>
          <w:rFonts w:ascii="Lato" w:hAnsi="Lato"/>
          <w:i/>
          <w:iCs/>
          <w:color w:val="000000" w:themeColor="text1"/>
          <w:sz w:val="22"/>
          <w:szCs w:val="22"/>
        </w:rPr>
        <w:t>SMN2</w:t>
      </w:r>
      <w:r w:rsidRPr="00AA22C4">
        <w:rPr>
          <w:rFonts w:ascii="Lato" w:hAnsi="Lato"/>
          <w:color w:val="000000" w:themeColor="text1"/>
          <w:sz w:val="22"/>
          <w:szCs w:val="22"/>
        </w:rPr>
        <w:t>, wdraża odpowiednie postępowanie (leczenie lub obserwacja).  </w:t>
      </w:r>
    </w:p>
    <w:p w14:paraId="3273118A" w14:textId="7EF648DE" w:rsidR="005E347E" w:rsidRPr="00AA22C4" w:rsidRDefault="005E347E" w:rsidP="005E347E">
      <w:pPr>
        <w:jc w:val="both"/>
        <w:rPr>
          <w:rFonts w:ascii="Lato" w:hAnsi="Lato"/>
          <w:color w:val="000000" w:themeColor="text1"/>
          <w:sz w:val="22"/>
          <w:szCs w:val="22"/>
        </w:rPr>
      </w:pPr>
      <w:r w:rsidRPr="00AA22C4">
        <w:rPr>
          <w:rFonts w:ascii="Lato" w:hAnsi="Lato"/>
          <w:color w:val="000000" w:themeColor="text1"/>
          <w:sz w:val="22"/>
          <w:szCs w:val="22"/>
        </w:rPr>
        <w:t>W przypadku rdzeniowego zaniku mięśni nie jest konieczne prowadzenie dodatkowych badań (biochemicznych / molekularnych) monitorujących przebieg leczenia. W chwili obecnej dalsze śledzenie losów pacjenta opiera się na ocenie jego stanu klinicznego w trakcie kolejnych wizyt w ośrodku regionalnym.  </w:t>
      </w:r>
      <w:r w:rsidR="00A7476A" w:rsidRPr="00AA22C4">
        <w:rPr>
          <w:rFonts w:ascii="Lato" w:hAnsi="Lato"/>
          <w:color w:val="000000" w:themeColor="text1"/>
          <w:sz w:val="22"/>
          <w:szCs w:val="22"/>
        </w:rPr>
        <w:t xml:space="preserve">  </w:t>
      </w:r>
    </w:p>
    <w:p w14:paraId="0374B99F" w14:textId="29A89EE8" w:rsidR="005E347E" w:rsidRPr="00AA22C4" w:rsidRDefault="005E347E" w:rsidP="005E347E">
      <w:pPr>
        <w:jc w:val="both"/>
        <w:rPr>
          <w:rFonts w:ascii="Lato" w:hAnsi="Lato"/>
          <w:color w:val="000000" w:themeColor="text1"/>
          <w:sz w:val="22"/>
          <w:szCs w:val="22"/>
        </w:rPr>
      </w:pPr>
      <w:r w:rsidRPr="00AA22C4">
        <w:rPr>
          <w:rFonts w:ascii="Lato" w:hAnsi="Lato"/>
          <w:b/>
          <w:bCs/>
          <w:color w:val="000000" w:themeColor="text1"/>
          <w:sz w:val="22"/>
          <w:szCs w:val="22"/>
        </w:rPr>
        <w:t xml:space="preserve">SCID: </w:t>
      </w:r>
      <w:r w:rsidRPr="00AA22C4">
        <w:rPr>
          <w:rFonts w:ascii="Lato" w:hAnsi="Lato"/>
          <w:color w:val="000000" w:themeColor="text1"/>
          <w:sz w:val="22"/>
          <w:szCs w:val="22"/>
        </w:rPr>
        <w:t xml:space="preserve">Jeśli w badaniu pierwszego rzutu poziom TREC / KREC byłby krytycznie niski (&lt;1 kopii / ul, przy odpowiednim poziomie amplifikacji dla genu referencyjnego), pacjenci powinni zostać wezwani na natychmiastową wizytę w regionalnym ośrodku eksperckim (wskazanym przez konsultantów krajowych / wojewódzkich w zakresie </w:t>
      </w:r>
      <w:proofErr w:type="spellStart"/>
      <w:r w:rsidRPr="00AA22C4">
        <w:rPr>
          <w:rFonts w:ascii="Lato" w:hAnsi="Lato"/>
          <w:color w:val="000000" w:themeColor="text1"/>
          <w:sz w:val="22"/>
          <w:szCs w:val="22"/>
        </w:rPr>
        <w:t>immunolgii</w:t>
      </w:r>
      <w:proofErr w:type="spellEnd"/>
      <w:r w:rsidRPr="00AA22C4">
        <w:rPr>
          <w:rFonts w:ascii="Lato" w:hAnsi="Lato"/>
          <w:color w:val="000000" w:themeColor="text1"/>
          <w:sz w:val="22"/>
          <w:szCs w:val="22"/>
        </w:rPr>
        <w:t xml:space="preserve"> klinicznej), poddani badaniu przedmiotowemu i podmiotowemu, a także należy u nich wykonać dokładną ocenę morfologii krwi, zaawansowane analizy z wykorzystaniem </w:t>
      </w:r>
      <w:proofErr w:type="spellStart"/>
      <w:r w:rsidRPr="00AA22C4">
        <w:rPr>
          <w:rFonts w:ascii="Lato" w:hAnsi="Lato"/>
          <w:color w:val="000000" w:themeColor="text1"/>
          <w:sz w:val="22"/>
          <w:szCs w:val="22"/>
        </w:rPr>
        <w:t>cytometrii</w:t>
      </w:r>
      <w:proofErr w:type="spellEnd"/>
      <w:r w:rsidRPr="00AA22C4">
        <w:rPr>
          <w:rFonts w:ascii="Lato" w:hAnsi="Lato"/>
          <w:color w:val="000000" w:themeColor="text1"/>
          <w:sz w:val="22"/>
          <w:szCs w:val="22"/>
        </w:rPr>
        <w:t xml:space="preserve"> przepływowej (</w:t>
      </w:r>
      <w:proofErr w:type="spellStart"/>
      <w:r w:rsidRPr="00AA22C4">
        <w:rPr>
          <w:rFonts w:ascii="Lato" w:hAnsi="Lato"/>
          <w:color w:val="000000" w:themeColor="text1"/>
          <w:sz w:val="22"/>
          <w:szCs w:val="22"/>
        </w:rPr>
        <w:t>immunofenotypowanie</w:t>
      </w:r>
      <w:proofErr w:type="spellEnd"/>
      <w:r w:rsidRPr="00AA22C4">
        <w:rPr>
          <w:rFonts w:ascii="Lato" w:hAnsi="Lato"/>
          <w:color w:val="000000" w:themeColor="text1"/>
          <w:sz w:val="22"/>
          <w:szCs w:val="22"/>
        </w:rPr>
        <w:t xml:space="preserve">; ocena populacji komórkowych przez analizę białek powierzchniowych: CD3, CD4, CD8, CD45RA, CD45RO, CD19, CD16, CD56, CD4, CD31, TCR), testy proliferacji limfocytów, ocenę poziomu immunoglobulin, analizę genetyczną z wykorzystaniem technik wysokoprzepustowych (analiza genów kodujących białka niezbędne dla prawidłowego rozwoju i funkcjonowania układu immunologicznego, których mutacje stanowią przyczynę wystąpienia </w:t>
      </w:r>
      <w:r w:rsidRPr="00AA22C4">
        <w:rPr>
          <w:rFonts w:ascii="Lato" w:hAnsi="Lato"/>
          <w:color w:val="000000" w:themeColor="text1"/>
          <w:sz w:val="22"/>
          <w:szCs w:val="22"/>
        </w:rPr>
        <w:lastRenderedPageBreak/>
        <w:t xml:space="preserve">SCID; sekwencjonowanie panelowe), w szczególnych przypadkach także testy </w:t>
      </w:r>
      <w:proofErr w:type="spellStart"/>
      <w:r w:rsidRPr="00AA22C4">
        <w:rPr>
          <w:rFonts w:ascii="Lato" w:hAnsi="Lato"/>
          <w:color w:val="000000" w:themeColor="text1"/>
          <w:sz w:val="22"/>
          <w:szCs w:val="22"/>
        </w:rPr>
        <w:t>promieniowrażliwości</w:t>
      </w:r>
      <w:proofErr w:type="spellEnd"/>
      <w:r w:rsidRPr="00AA22C4">
        <w:rPr>
          <w:rFonts w:ascii="Lato" w:hAnsi="Lato"/>
          <w:color w:val="000000" w:themeColor="text1"/>
          <w:sz w:val="22"/>
          <w:szCs w:val="22"/>
        </w:rPr>
        <w:t xml:space="preserve">, ocenę aktywności enzymatycznej </w:t>
      </w:r>
      <w:proofErr w:type="spellStart"/>
      <w:r w:rsidRPr="00AA22C4">
        <w:rPr>
          <w:rFonts w:ascii="Lato" w:hAnsi="Lato"/>
          <w:color w:val="000000" w:themeColor="text1"/>
          <w:sz w:val="22"/>
          <w:szCs w:val="22"/>
        </w:rPr>
        <w:t>d</w:t>
      </w:r>
      <w:r w:rsidRPr="00AA22C4">
        <w:rPr>
          <w:rStyle w:val="hgkelc"/>
          <w:rFonts w:ascii="Lato" w:hAnsi="Lato"/>
          <w:color w:val="000000" w:themeColor="text1"/>
          <w:sz w:val="22"/>
          <w:szCs w:val="22"/>
        </w:rPr>
        <w:t>eaminazy</w:t>
      </w:r>
      <w:proofErr w:type="spellEnd"/>
      <w:r w:rsidRPr="00AA22C4">
        <w:rPr>
          <w:rStyle w:val="hgkelc"/>
          <w:rFonts w:ascii="Lato" w:hAnsi="Lato"/>
          <w:color w:val="000000" w:themeColor="text1"/>
          <w:sz w:val="22"/>
          <w:szCs w:val="22"/>
        </w:rPr>
        <w:t xml:space="preserve"> adenozyny (</w:t>
      </w:r>
      <w:r w:rsidRPr="00AA22C4">
        <w:rPr>
          <w:rFonts w:ascii="Lato" w:hAnsi="Lato"/>
          <w:color w:val="000000" w:themeColor="text1"/>
          <w:sz w:val="22"/>
          <w:szCs w:val="22"/>
        </w:rPr>
        <w:t xml:space="preserve">ADA) i fosforylazy nukleozydów purynowych (PNP) oraz test różnorodności TCR </w:t>
      </w:r>
      <w:proofErr w:type="spellStart"/>
      <w:r w:rsidRPr="00AA22C4">
        <w:rPr>
          <w:rFonts w:ascii="Lato" w:hAnsi="Lato"/>
          <w:color w:val="000000" w:themeColor="text1"/>
          <w:sz w:val="22"/>
          <w:szCs w:val="22"/>
        </w:rPr>
        <w:t>Vbeta</w:t>
      </w:r>
      <w:proofErr w:type="spellEnd"/>
      <w:r w:rsidRPr="00AA22C4">
        <w:rPr>
          <w:rFonts w:ascii="Lato" w:hAnsi="Lato"/>
          <w:color w:val="000000" w:themeColor="text1"/>
          <w:sz w:val="22"/>
          <w:szCs w:val="22"/>
        </w:rPr>
        <w:t>. Wykonanie tych badań ma na celu różnicowanie wrodzonych niedoborów odporności i limfopenii spowodowanej działaniem czynników zewnętrznych, określenie podtypu choroby i jest warunkiem wdrożenia prawidłowego leczenia. W przypadku noworodków z niskimi poziomami TREC / KREC (odpowiednio 1-6 i 1-4 kopii) postępowanie zakłada ponowne pobranie krwi na bibułę do badań przesiewowych i ponowne wykonanie badania w celu oceny ilościowej. W przypadku uzyskania wyniku pozytywnego</w:t>
      </w:r>
      <w:r w:rsidR="00A904F8" w:rsidRPr="00AA22C4">
        <w:rPr>
          <w:rFonts w:ascii="Lato" w:hAnsi="Lato"/>
          <w:color w:val="000000" w:themeColor="text1"/>
          <w:sz w:val="22"/>
          <w:szCs w:val="22"/>
        </w:rPr>
        <w:t>,</w:t>
      </w:r>
      <w:r w:rsidRPr="00AA22C4">
        <w:rPr>
          <w:rFonts w:ascii="Lato" w:hAnsi="Lato"/>
          <w:color w:val="000000" w:themeColor="text1"/>
          <w:sz w:val="22"/>
          <w:szCs w:val="22"/>
        </w:rPr>
        <w:t xml:space="preserve"> postępowanie wygląda jak w przypadkach pilnych. Badania potwierdzające rozpoznanie kliniczne uwzględniają także metody wysokoprzepustowe</w:t>
      </w:r>
      <w:r w:rsidR="00703B12" w:rsidRPr="00AA22C4">
        <w:rPr>
          <w:rFonts w:ascii="Lato" w:hAnsi="Lato"/>
          <w:color w:val="000000" w:themeColor="text1"/>
          <w:sz w:val="22"/>
          <w:szCs w:val="22"/>
        </w:rPr>
        <w:t>,</w:t>
      </w:r>
      <w:r w:rsidRPr="00AA22C4">
        <w:rPr>
          <w:rFonts w:ascii="Lato" w:hAnsi="Lato"/>
          <w:color w:val="000000" w:themeColor="text1"/>
          <w:sz w:val="22"/>
          <w:szCs w:val="22"/>
        </w:rPr>
        <w:t xml:space="preserve"> takie jak analiza panelu genów związanych z patogenezą WNO (w pierwszej kolejności geny związane z agammaglobulinemią, SCID i zaburzeniami rozwoju grasicy, jeśli wynik </w:t>
      </w:r>
      <w:proofErr w:type="spellStart"/>
      <w:r w:rsidRPr="00AA22C4">
        <w:rPr>
          <w:rFonts w:ascii="Lato" w:hAnsi="Lato"/>
          <w:color w:val="000000" w:themeColor="text1"/>
          <w:sz w:val="22"/>
          <w:szCs w:val="22"/>
        </w:rPr>
        <w:t>niekonkluzywny</w:t>
      </w:r>
      <w:proofErr w:type="spellEnd"/>
      <w:r w:rsidRPr="00AA22C4">
        <w:rPr>
          <w:rFonts w:ascii="Lato" w:hAnsi="Lato"/>
          <w:color w:val="000000" w:themeColor="text1"/>
          <w:sz w:val="22"/>
          <w:szCs w:val="22"/>
        </w:rPr>
        <w:t xml:space="preserve"> – sekwencjonowanie </w:t>
      </w:r>
      <w:proofErr w:type="spellStart"/>
      <w:r w:rsidRPr="00AA22C4">
        <w:rPr>
          <w:rFonts w:ascii="Lato" w:hAnsi="Lato"/>
          <w:color w:val="000000" w:themeColor="text1"/>
          <w:sz w:val="22"/>
          <w:szCs w:val="22"/>
        </w:rPr>
        <w:t>eksomu</w:t>
      </w:r>
      <w:proofErr w:type="spellEnd"/>
      <w:r w:rsidRPr="00AA22C4">
        <w:rPr>
          <w:rFonts w:ascii="Lato" w:hAnsi="Lato"/>
          <w:color w:val="000000" w:themeColor="text1"/>
          <w:sz w:val="22"/>
          <w:szCs w:val="22"/>
        </w:rPr>
        <w:t xml:space="preserve">) oraz analiza pod kątem obecności aberracji chromosomowych, w których przebiegu mogą wystąpić niedobory odporności (MLPA, </w:t>
      </w:r>
      <w:proofErr w:type="spellStart"/>
      <w:r w:rsidRPr="00AA22C4">
        <w:rPr>
          <w:rFonts w:ascii="Lato" w:hAnsi="Lato"/>
          <w:color w:val="000000" w:themeColor="text1"/>
          <w:sz w:val="22"/>
          <w:szCs w:val="22"/>
        </w:rPr>
        <w:t>aCGH</w:t>
      </w:r>
      <w:proofErr w:type="spellEnd"/>
      <w:r w:rsidRPr="00AA22C4">
        <w:rPr>
          <w:rFonts w:ascii="Lato" w:hAnsi="Lato"/>
          <w:color w:val="000000" w:themeColor="text1"/>
          <w:sz w:val="22"/>
          <w:szCs w:val="22"/>
        </w:rPr>
        <w:t xml:space="preserve">). Dodatkowymi testami, które można wykonać przed wezwaniem pacjenta do ośrodka eksperckiego są: wykonanie analizy ilościowej populacji limfocytów T (CD3+) w krwi pobranej na bibułę do badań przesiewowych (test </w:t>
      </w:r>
      <w:proofErr w:type="spellStart"/>
      <w:proofErr w:type="gramStart"/>
      <w:r w:rsidRPr="00AA22C4">
        <w:rPr>
          <w:rFonts w:ascii="Lato" w:hAnsi="Lato"/>
          <w:color w:val="000000" w:themeColor="text1"/>
          <w:sz w:val="22"/>
          <w:szCs w:val="22"/>
        </w:rPr>
        <w:t>i.Mune</w:t>
      </w:r>
      <w:proofErr w:type="spellEnd"/>
      <w:proofErr w:type="gramEnd"/>
      <w:r w:rsidRPr="00AA22C4">
        <w:rPr>
          <w:rFonts w:ascii="Lato" w:hAnsi="Lato"/>
          <w:color w:val="000000" w:themeColor="text1"/>
          <w:sz w:val="22"/>
          <w:szCs w:val="22"/>
        </w:rPr>
        <w:t xml:space="preserve"> NEO, </w:t>
      </w:r>
      <w:proofErr w:type="spellStart"/>
      <w:r w:rsidRPr="00AA22C4">
        <w:rPr>
          <w:rFonts w:ascii="Lato" w:hAnsi="Lato"/>
          <w:color w:val="000000" w:themeColor="text1"/>
          <w:sz w:val="22"/>
          <w:szCs w:val="22"/>
        </w:rPr>
        <w:t>Epimune</w:t>
      </w:r>
      <w:proofErr w:type="spellEnd"/>
      <w:r w:rsidRPr="00AA22C4">
        <w:rPr>
          <w:rFonts w:ascii="Lato" w:hAnsi="Lato"/>
          <w:color w:val="000000" w:themeColor="text1"/>
          <w:sz w:val="22"/>
          <w:szCs w:val="22"/>
        </w:rPr>
        <w:t xml:space="preserve"> Diagnostics) oraz sekwencjonowanie TREC w celu identyfikacji polimorfizmów, których obecność może powodować uzyskanie wyniku fałszywie pozytywnego. </w:t>
      </w:r>
    </w:p>
    <w:p w14:paraId="3001BE1D" w14:textId="77777777" w:rsidR="005E347E" w:rsidRPr="00AA22C4" w:rsidRDefault="005E347E" w:rsidP="005E347E">
      <w:pPr>
        <w:jc w:val="both"/>
        <w:rPr>
          <w:rFonts w:ascii="Lato" w:hAnsi="Lato"/>
          <w:color w:val="000000" w:themeColor="text1"/>
          <w:sz w:val="22"/>
          <w:szCs w:val="22"/>
        </w:rPr>
      </w:pPr>
      <w:r w:rsidRPr="00AA22C4">
        <w:rPr>
          <w:rFonts w:ascii="Lato" w:hAnsi="Lato"/>
          <w:color w:val="000000" w:themeColor="text1"/>
          <w:sz w:val="22"/>
          <w:szCs w:val="22"/>
        </w:rPr>
        <w:t>W przypadku wrodzonych niedoborów odporności nie jest konieczne prowadzenie dodatkowych badań (biochemicznych / molekularnych) monitorujących przebieg leczenia. W chwili obecnej dalsze śledzenie losów pacjenta opiera się na ocenie jego stanu klinicznego, uwzględniającego wyniki badań laboratoryjnych, w trakcie kolejnych wizyt w ośrodku specjalistycznym.</w:t>
      </w:r>
    </w:p>
    <w:p w14:paraId="368DB909" w14:textId="77777777" w:rsidR="005E347E" w:rsidRPr="00AA22C4" w:rsidRDefault="005E347E" w:rsidP="00895A8C">
      <w:pPr>
        <w:spacing w:before="120" w:after="120"/>
        <w:jc w:val="both"/>
        <w:rPr>
          <w:rFonts w:ascii="Lato" w:hAnsi="Lato"/>
          <w:color w:val="000000" w:themeColor="text1"/>
          <w:sz w:val="22"/>
          <w:szCs w:val="22"/>
        </w:rPr>
      </w:pPr>
      <w:r w:rsidRPr="00AA22C4">
        <w:rPr>
          <w:rFonts w:ascii="Lato" w:hAnsi="Lato"/>
          <w:color w:val="000000" w:themeColor="text1"/>
          <w:sz w:val="22"/>
          <w:szCs w:val="22"/>
        </w:rPr>
        <w:t>Klasyfikacja wybranych WNO, których rozpoznanie jest możliwe w wyniku prowadzenia badań przesiewowych (na podstawie klasyfikacji IUIS 2022 (101).</w:t>
      </w:r>
    </w:p>
    <w:p w14:paraId="08508FBA" w14:textId="77777777" w:rsidR="005E347E" w:rsidRPr="00AA22C4" w:rsidRDefault="005E347E" w:rsidP="005E347E">
      <w:pPr>
        <w:jc w:val="both"/>
        <w:rPr>
          <w:rFonts w:ascii="Lato" w:hAnsi="Lato"/>
          <w:color w:val="000000" w:themeColor="text1"/>
          <w:sz w:val="22"/>
          <w:szCs w:val="22"/>
        </w:rPr>
      </w:pPr>
      <w:r w:rsidRPr="00AA22C4">
        <w:rPr>
          <w:rFonts w:ascii="Lato" w:hAnsi="Lato"/>
          <w:color w:val="000000" w:themeColor="text1"/>
          <w:sz w:val="22"/>
          <w:szCs w:val="22"/>
        </w:rPr>
        <w:t>Niedobory odporności z obniżonym poziomem limfocytów T</w:t>
      </w:r>
    </w:p>
    <w:p w14:paraId="15A68E24" w14:textId="77777777" w:rsidR="005E347E" w:rsidRPr="00AA22C4" w:rsidRDefault="005E347E" w:rsidP="003760A5">
      <w:pPr>
        <w:pStyle w:val="Akapitzlist"/>
        <w:widowControl/>
        <w:numPr>
          <w:ilvl w:val="0"/>
          <w:numId w:val="104"/>
        </w:numPr>
        <w:spacing w:line="360" w:lineRule="auto"/>
        <w:rPr>
          <w:rFonts w:ascii="Lato" w:hAnsi="Lato"/>
          <w:color w:val="000000" w:themeColor="text1"/>
          <w:sz w:val="22"/>
          <w:szCs w:val="22"/>
        </w:rPr>
      </w:pPr>
      <w:r w:rsidRPr="00AA22C4">
        <w:rPr>
          <w:rFonts w:ascii="Lato" w:hAnsi="Lato"/>
          <w:color w:val="000000" w:themeColor="text1"/>
          <w:sz w:val="22"/>
          <w:szCs w:val="22"/>
        </w:rPr>
        <w:t>SCID T-B+</w:t>
      </w:r>
    </w:p>
    <w:p w14:paraId="31A7BE11" w14:textId="77777777" w:rsidR="005E347E" w:rsidRPr="00AA22C4" w:rsidRDefault="005E347E" w:rsidP="003760A5">
      <w:pPr>
        <w:pStyle w:val="Akapitzlist"/>
        <w:widowControl/>
        <w:numPr>
          <w:ilvl w:val="1"/>
          <w:numId w:val="104"/>
        </w:numPr>
        <w:spacing w:line="360" w:lineRule="auto"/>
        <w:ind w:left="1560"/>
        <w:rPr>
          <w:rFonts w:ascii="Lato" w:hAnsi="Lato"/>
          <w:color w:val="000000" w:themeColor="text1"/>
          <w:sz w:val="22"/>
          <w:szCs w:val="22"/>
        </w:rPr>
      </w:pPr>
      <w:r w:rsidRPr="00AA22C4">
        <w:rPr>
          <w:rFonts w:ascii="Lato" w:hAnsi="Lato"/>
          <w:color w:val="000000" w:themeColor="text1"/>
          <w:sz w:val="22"/>
          <w:szCs w:val="22"/>
        </w:rPr>
        <w:t>Ciężki złożony niedobór odporności T-B+ z powodu niedoboru IL-7Ralfa –</w:t>
      </w:r>
      <w:r w:rsidRPr="00AA22C4">
        <w:rPr>
          <w:rFonts w:ascii="Lato" w:hAnsi="Lato"/>
          <w:i/>
          <w:iCs/>
          <w:color w:val="000000" w:themeColor="text1"/>
          <w:sz w:val="22"/>
          <w:szCs w:val="22"/>
        </w:rPr>
        <w:t xml:space="preserve"> IL7R</w:t>
      </w:r>
      <w:r w:rsidRPr="00AA22C4">
        <w:rPr>
          <w:rFonts w:ascii="Lato" w:hAnsi="Lato"/>
          <w:color w:val="000000" w:themeColor="text1"/>
          <w:sz w:val="22"/>
          <w:szCs w:val="22"/>
        </w:rPr>
        <w:t xml:space="preserve"> (AR)</w:t>
      </w:r>
    </w:p>
    <w:p w14:paraId="0B33547E" w14:textId="77777777" w:rsidR="005E347E" w:rsidRPr="00AA22C4" w:rsidRDefault="005E347E" w:rsidP="003760A5">
      <w:pPr>
        <w:pStyle w:val="Akapitzlist"/>
        <w:widowControl/>
        <w:numPr>
          <w:ilvl w:val="1"/>
          <w:numId w:val="104"/>
        </w:numPr>
        <w:spacing w:line="360" w:lineRule="auto"/>
        <w:ind w:left="1560"/>
        <w:rPr>
          <w:rFonts w:ascii="Lato" w:hAnsi="Lato"/>
          <w:color w:val="000000" w:themeColor="text1"/>
          <w:sz w:val="22"/>
          <w:szCs w:val="22"/>
        </w:rPr>
      </w:pPr>
      <w:r w:rsidRPr="00AA22C4">
        <w:rPr>
          <w:rFonts w:ascii="Lato" w:hAnsi="Lato"/>
          <w:color w:val="000000" w:themeColor="text1"/>
          <w:sz w:val="22"/>
          <w:szCs w:val="22"/>
        </w:rPr>
        <w:t xml:space="preserve">Ciężki złożony niedobór odporności T-B+ z powodu niedoboru CD3delta/CD3epsilon/CD3zeta – </w:t>
      </w:r>
      <w:r w:rsidRPr="00AA22C4">
        <w:rPr>
          <w:rFonts w:ascii="Lato" w:hAnsi="Lato"/>
          <w:i/>
          <w:iCs/>
          <w:color w:val="000000" w:themeColor="text1"/>
          <w:sz w:val="22"/>
          <w:szCs w:val="22"/>
        </w:rPr>
        <w:t>CD3D, CD3E, CD3Z</w:t>
      </w:r>
      <w:r w:rsidRPr="00AA22C4">
        <w:rPr>
          <w:rFonts w:ascii="Lato" w:hAnsi="Lato"/>
          <w:color w:val="000000" w:themeColor="text1"/>
          <w:sz w:val="22"/>
          <w:szCs w:val="22"/>
        </w:rPr>
        <w:t xml:space="preserve"> (AR)</w:t>
      </w:r>
    </w:p>
    <w:p w14:paraId="4B3D0FBC" w14:textId="77777777" w:rsidR="005E347E" w:rsidRPr="00AA22C4" w:rsidRDefault="005E347E" w:rsidP="003760A5">
      <w:pPr>
        <w:pStyle w:val="Akapitzlist"/>
        <w:widowControl/>
        <w:numPr>
          <w:ilvl w:val="1"/>
          <w:numId w:val="104"/>
        </w:numPr>
        <w:spacing w:line="360" w:lineRule="auto"/>
        <w:ind w:left="1560"/>
        <w:rPr>
          <w:rFonts w:ascii="Lato" w:hAnsi="Lato"/>
          <w:color w:val="000000" w:themeColor="text1"/>
          <w:sz w:val="22"/>
          <w:szCs w:val="22"/>
        </w:rPr>
      </w:pPr>
      <w:r w:rsidRPr="00AA22C4">
        <w:rPr>
          <w:rFonts w:ascii="Lato" w:hAnsi="Lato"/>
          <w:color w:val="000000" w:themeColor="text1"/>
          <w:sz w:val="22"/>
          <w:szCs w:val="22"/>
        </w:rPr>
        <w:t>Ciężki złożony niedobór odporności T-B+ z powodu niedoboru CD</w:t>
      </w:r>
      <w:proofErr w:type="gramStart"/>
      <w:r w:rsidRPr="00AA22C4">
        <w:rPr>
          <w:rFonts w:ascii="Lato" w:hAnsi="Lato"/>
          <w:color w:val="000000" w:themeColor="text1"/>
          <w:sz w:val="22"/>
          <w:szCs w:val="22"/>
        </w:rPr>
        <w:t>45  -</w:t>
      </w:r>
      <w:proofErr w:type="gramEnd"/>
      <w:r w:rsidRPr="00AA22C4">
        <w:rPr>
          <w:rFonts w:ascii="Lato" w:hAnsi="Lato"/>
          <w:color w:val="000000" w:themeColor="text1"/>
          <w:sz w:val="22"/>
          <w:szCs w:val="22"/>
        </w:rPr>
        <w:t xml:space="preserve"> </w:t>
      </w:r>
      <w:r w:rsidRPr="00AA22C4">
        <w:rPr>
          <w:rFonts w:ascii="Lato" w:hAnsi="Lato"/>
          <w:i/>
          <w:iCs/>
          <w:color w:val="000000" w:themeColor="text1"/>
          <w:sz w:val="22"/>
          <w:szCs w:val="22"/>
        </w:rPr>
        <w:t>PTPRC</w:t>
      </w:r>
      <w:r w:rsidRPr="00AA22C4">
        <w:rPr>
          <w:rFonts w:ascii="Lato" w:hAnsi="Lato"/>
          <w:color w:val="000000" w:themeColor="text1"/>
          <w:sz w:val="22"/>
          <w:szCs w:val="22"/>
        </w:rPr>
        <w:t xml:space="preserve"> (AR)</w:t>
      </w:r>
    </w:p>
    <w:p w14:paraId="00916E5A" w14:textId="77777777" w:rsidR="005E347E" w:rsidRPr="00AA22C4" w:rsidRDefault="005E347E" w:rsidP="003760A5">
      <w:pPr>
        <w:pStyle w:val="Akapitzlist"/>
        <w:widowControl/>
        <w:numPr>
          <w:ilvl w:val="1"/>
          <w:numId w:val="104"/>
        </w:numPr>
        <w:spacing w:line="360" w:lineRule="auto"/>
        <w:ind w:left="1560"/>
        <w:rPr>
          <w:rFonts w:ascii="Lato" w:hAnsi="Lato"/>
          <w:color w:val="000000" w:themeColor="text1"/>
          <w:sz w:val="22"/>
          <w:szCs w:val="22"/>
        </w:rPr>
      </w:pPr>
      <w:r w:rsidRPr="00AA22C4">
        <w:rPr>
          <w:rFonts w:ascii="Lato" w:hAnsi="Lato"/>
          <w:color w:val="000000" w:themeColor="text1"/>
          <w:sz w:val="22"/>
          <w:szCs w:val="22"/>
        </w:rPr>
        <w:lastRenderedPageBreak/>
        <w:t xml:space="preserve">Ciężki złożony niedobór odporności z powodu niedoboru LAT – </w:t>
      </w:r>
      <w:r w:rsidRPr="00AA22C4">
        <w:rPr>
          <w:rFonts w:ascii="Lato" w:hAnsi="Lato"/>
          <w:i/>
          <w:iCs/>
          <w:color w:val="000000" w:themeColor="text1"/>
          <w:sz w:val="22"/>
          <w:szCs w:val="22"/>
        </w:rPr>
        <w:t>LAT</w:t>
      </w:r>
      <w:r w:rsidRPr="00AA22C4">
        <w:rPr>
          <w:rFonts w:ascii="Lato" w:hAnsi="Lato"/>
          <w:color w:val="000000" w:themeColor="text1"/>
          <w:sz w:val="22"/>
          <w:szCs w:val="22"/>
        </w:rPr>
        <w:t xml:space="preserve"> (AR)</w:t>
      </w:r>
    </w:p>
    <w:p w14:paraId="66431802" w14:textId="77777777" w:rsidR="005E347E" w:rsidRPr="00AA22C4" w:rsidRDefault="005E347E" w:rsidP="003760A5">
      <w:pPr>
        <w:pStyle w:val="Akapitzlist"/>
        <w:widowControl/>
        <w:numPr>
          <w:ilvl w:val="1"/>
          <w:numId w:val="104"/>
        </w:numPr>
        <w:spacing w:line="360" w:lineRule="auto"/>
        <w:ind w:left="1560"/>
        <w:rPr>
          <w:rFonts w:ascii="Lato" w:hAnsi="Lato"/>
          <w:color w:val="000000" w:themeColor="text1"/>
          <w:sz w:val="22"/>
          <w:szCs w:val="22"/>
        </w:rPr>
      </w:pPr>
      <w:r w:rsidRPr="00AA22C4">
        <w:rPr>
          <w:rFonts w:ascii="Lato" w:hAnsi="Lato"/>
          <w:color w:val="000000" w:themeColor="text1"/>
          <w:sz w:val="22"/>
          <w:szCs w:val="22"/>
        </w:rPr>
        <w:t xml:space="preserve">Ciężki złożony niedobór odporności z powodu niedoboru CORO1A – </w:t>
      </w:r>
      <w:r w:rsidRPr="00AA22C4">
        <w:rPr>
          <w:rFonts w:ascii="Lato" w:hAnsi="Lato"/>
          <w:i/>
          <w:iCs/>
          <w:color w:val="000000" w:themeColor="text1"/>
          <w:sz w:val="22"/>
          <w:szCs w:val="22"/>
        </w:rPr>
        <w:t>CORO1A</w:t>
      </w:r>
      <w:r w:rsidRPr="00AA22C4">
        <w:rPr>
          <w:rFonts w:ascii="Lato" w:hAnsi="Lato"/>
          <w:color w:val="000000" w:themeColor="text1"/>
          <w:sz w:val="22"/>
          <w:szCs w:val="22"/>
        </w:rPr>
        <w:t xml:space="preserve"> (AR)</w:t>
      </w:r>
    </w:p>
    <w:p w14:paraId="36FCF01A" w14:textId="77777777" w:rsidR="005E347E" w:rsidRPr="00AA22C4" w:rsidRDefault="005E347E" w:rsidP="003760A5">
      <w:pPr>
        <w:pStyle w:val="Akapitzlist"/>
        <w:widowControl/>
        <w:numPr>
          <w:ilvl w:val="1"/>
          <w:numId w:val="104"/>
        </w:numPr>
        <w:spacing w:line="360" w:lineRule="auto"/>
        <w:ind w:left="1560"/>
        <w:rPr>
          <w:rFonts w:ascii="Lato" w:hAnsi="Lato"/>
          <w:color w:val="000000" w:themeColor="text1"/>
          <w:sz w:val="22"/>
          <w:szCs w:val="22"/>
        </w:rPr>
      </w:pPr>
      <w:r w:rsidRPr="00AA22C4">
        <w:rPr>
          <w:rFonts w:ascii="Lato" w:hAnsi="Lato"/>
          <w:color w:val="000000" w:themeColor="text1"/>
          <w:sz w:val="22"/>
          <w:szCs w:val="22"/>
        </w:rPr>
        <w:t xml:space="preserve">Ciężki złożony niedobór odporności z powodu niedoboru LCP2 – </w:t>
      </w:r>
      <w:r w:rsidRPr="00AA22C4">
        <w:rPr>
          <w:rFonts w:ascii="Lato" w:hAnsi="Lato"/>
          <w:i/>
          <w:iCs/>
          <w:color w:val="000000" w:themeColor="text1"/>
          <w:sz w:val="22"/>
          <w:szCs w:val="22"/>
        </w:rPr>
        <w:t>LCP2</w:t>
      </w:r>
      <w:r w:rsidRPr="00AA22C4">
        <w:rPr>
          <w:rFonts w:ascii="Lato" w:hAnsi="Lato"/>
          <w:color w:val="000000" w:themeColor="text1"/>
          <w:sz w:val="22"/>
          <w:szCs w:val="22"/>
        </w:rPr>
        <w:t xml:space="preserve"> (SLP76, AR) </w:t>
      </w:r>
    </w:p>
    <w:p w14:paraId="2093DF8D" w14:textId="77777777" w:rsidR="005E347E" w:rsidRPr="00AA22C4" w:rsidRDefault="005E347E" w:rsidP="003760A5">
      <w:pPr>
        <w:pStyle w:val="Akapitzlist"/>
        <w:widowControl/>
        <w:numPr>
          <w:ilvl w:val="1"/>
          <w:numId w:val="104"/>
        </w:numPr>
        <w:spacing w:line="360" w:lineRule="auto"/>
        <w:ind w:left="1560"/>
        <w:rPr>
          <w:rFonts w:ascii="Lato" w:hAnsi="Lato"/>
          <w:color w:val="000000" w:themeColor="text1"/>
          <w:sz w:val="22"/>
          <w:szCs w:val="22"/>
        </w:rPr>
      </w:pPr>
      <w:r w:rsidRPr="00AA22C4">
        <w:rPr>
          <w:rFonts w:ascii="Lato" w:hAnsi="Lato"/>
          <w:color w:val="000000" w:themeColor="text1"/>
          <w:sz w:val="22"/>
          <w:szCs w:val="22"/>
        </w:rPr>
        <w:t xml:space="preserve">Ciężki złożony niedobór odporności z powodu niedoboru ITPKB – </w:t>
      </w:r>
      <w:r w:rsidRPr="00AA22C4">
        <w:rPr>
          <w:rFonts w:ascii="Lato" w:hAnsi="Lato"/>
          <w:i/>
          <w:iCs/>
          <w:color w:val="000000" w:themeColor="text1"/>
          <w:sz w:val="22"/>
          <w:szCs w:val="22"/>
        </w:rPr>
        <w:t>ITPKB</w:t>
      </w:r>
      <w:r w:rsidRPr="00AA22C4">
        <w:rPr>
          <w:rFonts w:ascii="Lato" w:hAnsi="Lato"/>
          <w:color w:val="000000" w:themeColor="text1"/>
          <w:sz w:val="22"/>
          <w:szCs w:val="22"/>
        </w:rPr>
        <w:t xml:space="preserve"> (AR)</w:t>
      </w:r>
    </w:p>
    <w:p w14:paraId="63F3F059" w14:textId="77777777" w:rsidR="005E347E" w:rsidRPr="00AA22C4" w:rsidRDefault="005E347E" w:rsidP="003760A5">
      <w:pPr>
        <w:pStyle w:val="Akapitzlist"/>
        <w:widowControl/>
        <w:numPr>
          <w:ilvl w:val="1"/>
          <w:numId w:val="104"/>
        </w:numPr>
        <w:spacing w:line="360" w:lineRule="auto"/>
        <w:ind w:left="1560"/>
        <w:rPr>
          <w:rFonts w:ascii="Lato" w:hAnsi="Lato"/>
          <w:color w:val="000000" w:themeColor="text1"/>
          <w:sz w:val="22"/>
          <w:szCs w:val="22"/>
        </w:rPr>
      </w:pPr>
      <w:r w:rsidRPr="00AA22C4">
        <w:rPr>
          <w:rFonts w:ascii="Lato" w:hAnsi="Lato"/>
          <w:color w:val="000000" w:themeColor="text1"/>
          <w:sz w:val="22"/>
          <w:szCs w:val="22"/>
        </w:rPr>
        <w:t xml:space="preserve">Ciężki złożony niedobór odporności T-B+ spowodowany niedoborem łańcuchów gamma – </w:t>
      </w:r>
      <w:r w:rsidRPr="00AA22C4">
        <w:rPr>
          <w:rFonts w:ascii="Lato" w:hAnsi="Lato"/>
          <w:i/>
          <w:iCs/>
          <w:color w:val="000000" w:themeColor="text1"/>
          <w:sz w:val="22"/>
          <w:szCs w:val="22"/>
        </w:rPr>
        <w:t xml:space="preserve">IL2RG </w:t>
      </w:r>
      <w:r w:rsidRPr="00AA22C4">
        <w:rPr>
          <w:rFonts w:ascii="Lato" w:hAnsi="Lato"/>
          <w:color w:val="000000" w:themeColor="text1"/>
          <w:sz w:val="22"/>
          <w:szCs w:val="22"/>
        </w:rPr>
        <w:t>(XL)</w:t>
      </w:r>
    </w:p>
    <w:p w14:paraId="20587527" w14:textId="77777777" w:rsidR="005E347E" w:rsidRPr="00AA22C4" w:rsidRDefault="005E347E" w:rsidP="003760A5">
      <w:pPr>
        <w:pStyle w:val="Akapitzlist"/>
        <w:widowControl/>
        <w:numPr>
          <w:ilvl w:val="1"/>
          <w:numId w:val="104"/>
        </w:numPr>
        <w:spacing w:line="360" w:lineRule="auto"/>
        <w:ind w:left="1560"/>
        <w:rPr>
          <w:rFonts w:ascii="Lato" w:hAnsi="Lato"/>
          <w:color w:val="000000" w:themeColor="text1"/>
          <w:sz w:val="22"/>
          <w:szCs w:val="22"/>
        </w:rPr>
      </w:pPr>
      <w:r w:rsidRPr="00AA22C4">
        <w:rPr>
          <w:rFonts w:ascii="Lato" w:hAnsi="Lato"/>
          <w:color w:val="000000" w:themeColor="text1"/>
          <w:sz w:val="22"/>
          <w:szCs w:val="22"/>
        </w:rPr>
        <w:t xml:space="preserve">Ciężki złożony niedobór odporności T-B+ z powodu niedoboru JAK3 – </w:t>
      </w:r>
      <w:r w:rsidRPr="00AA22C4">
        <w:rPr>
          <w:rFonts w:ascii="Lato" w:hAnsi="Lato"/>
          <w:i/>
          <w:iCs/>
          <w:color w:val="000000" w:themeColor="text1"/>
          <w:sz w:val="22"/>
          <w:szCs w:val="22"/>
        </w:rPr>
        <w:t>JAK3</w:t>
      </w:r>
      <w:r w:rsidRPr="00AA22C4">
        <w:rPr>
          <w:rFonts w:ascii="Lato" w:hAnsi="Lato"/>
          <w:color w:val="000000" w:themeColor="text1"/>
          <w:sz w:val="22"/>
          <w:szCs w:val="22"/>
        </w:rPr>
        <w:t xml:space="preserve"> (AR)</w:t>
      </w:r>
    </w:p>
    <w:p w14:paraId="7C932571" w14:textId="77777777" w:rsidR="005E347E" w:rsidRPr="00AA22C4" w:rsidRDefault="005E347E" w:rsidP="003760A5">
      <w:pPr>
        <w:pStyle w:val="Akapitzlist"/>
        <w:widowControl/>
        <w:numPr>
          <w:ilvl w:val="0"/>
          <w:numId w:val="104"/>
        </w:numPr>
        <w:spacing w:before="240" w:after="240" w:line="360" w:lineRule="auto"/>
        <w:ind w:left="1077" w:hanging="357"/>
        <w:rPr>
          <w:rFonts w:ascii="Lato" w:hAnsi="Lato"/>
          <w:color w:val="000000" w:themeColor="text1"/>
          <w:sz w:val="22"/>
          <w:szCs w:val="22"/>
        </w:rPr>
      </w:pPr>
      <w:r w:rsidRPr="00AA22C4">
        <w:rPr>
          <w:rFonts w:ascii="Lato" w:hAnsi="Lato"/>
          <w:color w:val="000000" w:themeColor="text1"/>
          <w:sz w:val="22"/>
          <w:szCs w:val="22"/>
        </w:rPr>
        <w:t>SCID T-B-NK+</w:t>
      </w:r>
    </w:p>
    <w:p w14:paraId="34105CCF" w14:textId="77777777" w:rsidR="005E347E" w:rsidRPr="00AA22C4" w:rsidRDefault="005E347E" w:rsidP="003760A5">
      <w:pPr>
        <w:pStyle w:val="Akapitzlist"/>
        <w:widowControl/>
        <w:numPr>
          <w:ilvl w:val="1"/>
          <w:numId w:val="104"/>
        </w:numPr>
        <w:spacing w:line="360" w:lineRule="auto"/>
        <w:ind w:left="1560"/>
        <w:rPr>
          <w:rFonts w:ascii="Lato" w:hAnsi="Lato"/>
          <w:color w:val="000000" w:themeColor="text1"/>
          <w:sz w:val="22"/>
          <w:szCs w:val="22"/>
        </w:rPr>
      </w:pPr>
      <w:r w:rsidRPr="00AA22C4">
        <w:rPr>
          <w:rFonts w:ascii="Lato" w:hAnsi="Lato"/>
          <w:color w:val="000000" w:themeColor="text1"/>
          <w:sz w:val="22"/>
          <w:szCs w:val="22"/>
        </w:rPr>
        <w:t xml:space="preserve">Niedobór ligazy DNA IV – </w:t>
      </w:r>
      <w:r w:rsidRPr="00AA22C4">
        <w:rPr>
          <w:rFonts w:ascii="Lato" w:hAnsi="Lato"/>
          <w:i/>
          <w:iCs/>
          <w:color w:val="000000" w:themeColor="text1"/>
          <w:sz w:val="22"/>
          <w:szCs w:val="22"/>
        </w:rPr>
        <w:t>LIG4</w:t>
      </w:r>
      <w:r w:rsidRPr="00AA22C4">
        <w:rPr>
          <w:rFonts w:ascii="Lato" w:hAnsi="Lato"/>
          <w:color w:val="000000" w:themeColor="text1"/>
          <w:sz w:val="22"/>
          <w:szCs w:val="22"/>
        </w:rPr>
        <w:t xml:space="preserve"> (AR)</w:t>
      </w:r>
    </w:p>
    <w:p w14:paraId="72C5354E" w14:textId="77777777" w:rsidR="005E347E" w:rsidRPr="00AA22C4" w:rsidRDefault="005E347E" w:rsidP="003760A5">
      <w:pPr>
        <w:pStyle w:val="Akapitzlist"/>
        <w:widowControl/>
        <w:numPr>
          <w:ilvl w:val="1"/>
          <w:numId w:val="104"/>
        </w:numPr>
        <w:spacing w:line="360" w:lineRule="auto"/>
        <w:ind w:left="1560"/>
        <w:rPr>
          <w:rFonts w:ascii="Lato" w:hAnsi="Lato"/>
          <w:color w:val="000000" w:themeColor="text1"/>
          <w:sz w:val="22"/>
          <w:szCs w:val="22"/>
        </w:rPr>
      </w:pPr>
      <w:r w:rsidRPr="00AA22C4">
        <w:rPr>
          <w:rFonts w:ascii="Lato" w:hAnsi="Lato"/>
          <w:color w:val="000000" w:themeColor="text1"/>
          <w:sz w:val="22"/>
          <w:szCs w:val="22"/>
        </w:rPr>
        <w:t xml:space="preserve">Złożony niedobór odporności - małogłowie - opóźnienie wzrostu - wrażliwość na promieniowanie jonizujące – </w:t>
      </w:r>
      <w:r w:rsidRPr="00AA22C4">
        <w:rPr>
          <w:rFonts w:ascii="Lato" w:hAnsi="Lato"/>
          <w:i/>
          <w:iCs/>
          <w:color w:val="000000" w:themeColor="text1"/>
          <w:sz w:val="22"/>
          <w:szCs w:val="22"/>
        </w:rPr>
        <w:t>NHEJ1</w:t>
      </w:r>
      <w:r w:rsidRPr="00AA22C4">
        <w:rPr>
          <w:rFonts w:ascii="Lato" w:hAnsi="Lato"/>
          <w:color w:val="000000" w:themeColor="text1"/>
          <w:sz w:val="22"/>
          <w:szCs w:val="22"/>
        </w:rPr>
        <w:t xml:space="preserve"> (AR)</w:t>
      </w:r>
    </w:p>
    <w:p w14:paraId="129AF5D0" w14:textId="77777777" w:rsidR="005E347E" w:rsidRPr="00AA22C4" w:rsidRDefault="005E347E" w:rsidP="003760A5">
      <w:pPr>
        <w:pStyle w:val="Akapitzlist"/>
        <w:widowControl/>
        <w:numPr>
          <w:ilvl w:val="1"/>
          <w:numId w:val="104"/>
        </w:numPr>
        <w:spacing w:line="360" w:lineRule="auto"/>
        <w:ind w:left="1560"/>
        <w:rPr>
          <w:rFonts w:ascii="Lato" w:hAnsi="Lato"/>
          <w:color w:val="000000" w:themeColor="text1"/>
          <w:sz w:val="22"/>
          <w:szCs w:val="22"/>
        </w:rPr>
      </w:pPr>
      <w:r w:rsidRPr="00AA22C4">
        <w:rPr>
          <w:rFonts w:ascii="Lato" w:hAnsi="Lato"/>
          <w:color w:val="000000" w:themeColor="text1"/>
          <w:sz w:val="22"/>
          <w:szCs w:val="22"/>
        </w:rPr>
        <w:t>Ciężki złożony niedobór odporności z powodu deficytu DNA-</w:t>
      </w:r>
      <w:proofErr w:type="spellStart"/>
      <w:r w:rsidRPr="00AA22C4">
        <w:rPr>
          <w:rFonts w:ascii="Lato" w:hAnsi="Lato"/>
          <w:color w:val="000000" w:themeColor="text1"/>
          <w:sz w:val="22"/>
          <w:szCs w:val="22"/>
        </w:rPr>
        <w:t>PKcs</w:t>
      </w:r>
      <w:proofErr w:type="spellEnd"/>
      <w:r w:rsidRPr="00AA22C4">
        <w:rPr>
          <w:rFonts w:ascii="Lato" w:hAnsi="Lato"/>
          <w:color w:val="000000" w:themeColor="text1"/>
          <w:sz w:val="22"/>
          <w:szCs w:val="22"/>
        </w:rPr>
        <w:t xml:space="preserve"> – </w:t>
      </w:r>
      <w:r w:rsidRPr="00AA22C4">
        <w:rPr>
          <w:rFonts w:ascii="Lato" w:hAnsi="Lato"/>
          <w:i/>
          <w:iCs/>
          <w:color w:val="000000" w:themeColor="text1"/>
          <w:sz w:val="22"/>
          <w:szCs w:val="22"/>
        </w:rPr>
        <w:t>PRKDC</w:t>
      </w:r>
      <w:r w:rsidRPr="00AA22C4">
        <w:rPr>
          <w:rFonts w:ascii="Lato" w:hAnsi="Lato"/>
          <w:color w:val="000000" w:themeColor="text1"/>
          <w:sz w:val="22"/>
          <w:szCs w:val="22"/>
        </w:rPr>
        <w:t xml:space="preserve"> (AR)</w:t>
      </w:r>
    </w:p>
    <w:p w14:paraId="5DD4E56E" w14:textId="77777777" w:rsidR="005E347E" w:rsidRPr="00AA22C4" w:rsidRDefault="005E347E" w:rsidP="003760A5">
      <w:pPr>
        <w:pStyle w:val="Akapitzlist"/>
        <w:widowControl/>
        <w:numPr>
          <w:ilvl w:val="1"/>
          <w:numId w:val="104"/>
        </w:numPr>
        <w:spacing w:line="360" w:lineRule="auto"/>
        <w:ind w:left="1560"/>
        <w:rPr>
          <w:rFonts w:ascii="Lato" w:hAnsi="Lato"/>
          <w:color w:val="000000" w:themeColor="text1"/>
          <w:sz w:val="22"/>
          <w:szCs w:val="22"/>
        </w:rPr>
      </w:pPr>
      <w:r w:rsidRPr="00AA22C4">
        <w:rPr>
          <w:rFonts w:ascii="Lato" w:hAnsi="Lato"/>
          <w:color w:val="000000" w:themeColor="text1"/>
          <w:sz w:val="22"/>
          <w:szCs w:val="22"/>
        </w:rPr>
        <w:t xml:space="preserve">Ciężki złożony niedobór odporności z powodu całkowitego deficytu RAG1/2- </w:t>
      </w:r>
      <w:r w:rsidRPr="00AA22C4">
        <w:rPr>
          <w:rFonts w:ascii="Lato" w:hAnsi="Lato"/>
          <w:i/>
          <w:iCs/>
          <w:color w:val="000000" w:themeColor="text1"/>
          <w:sz w:val="22"/>
          <w:szCs w:val="22"/>
        </w:rPr>
        <w:t>RAG1/RAG2</w:t>
      </w:r>
      <w:r w:rsidRPr="00AA22C4">
        <w:rPr>
          <w:rFonts w:ascii="Lato" w:hAnsi="Lato"/>
          <w:color w:val="000000" w:themeColor="text1"/>
          <w:sz w:val="22"/>
          <w:szCs w:val="22"/>
        </w:rPr>
        <w:t xml:space="preserve"> (AR)</w:t>
      </w:r>
    </w:p>
    <w:p w14:paraId="4B72A7FE" w14:textId="77777777" w:rsidR="005E347E" w:rsidRPr="00AA22C4" w:rsidRDefault="005E347E" w:rsidP="003760A5">
      <w:pPr>
        <w:pStyle w:val="Akapitzlist"/>
        <w:widowControl/>
        <w:numPr>
          <w:ilvl w:val="1"/>
          <w:numId w:val="104"/>
        </w:numPr>
        <w:spacing w:line="360" w:lineRule="auto"/>
        <w:ind w:left="1560"/>
        <w:rPr>
          <w:rFonts w:ascii="Lato" w:hAnsi="Lato"/>
          <w:color w:val="000000" w:themeColor="text1"/>
          <w:sz w:val="22"/>
          <w:szCs w:val="22"/>
        </w:rPr>
      </w:pPr>
      <w:r w:rsidRPr="00AA22C4">
        <w:rPr>
          <w:rFonts w:ascii="Lato" w:hAnsi="Lato"/>
          <w:color w:val="000000" w:themeColor="text1"/>
          <w:sz w:val="22"/>
          <w:szCs w:val="22"/>
        </w:rPr>
        <w:t xml:space="preserve">Ciężki złożony niedobór odporności z powodu niedoboru DCLRE1C – </w:t>
      </w:r>
      <w:r w:rsidRPr="00AA22C4">
        <w:rPr>
          <w:rFonts w:ascii="Lato" w:hAnsi="Lato"/>
          <w:i/>
          <w:iCs/>
          <w:color w:val="000000" w:themeColor="text1"/>
          <w:sz w:val="22"/>
          <w:szCs w:val="22"/>
        </w:rPr>
        <w:t>DCLRE1C</w:t>
      </w:r>
      <w:r w:rsidRPr="00AA22C4">
        <w:rPr>
          <w:rFonts w:ascii="Lato" w:hAnsi="Lato"/>
          <w:color w:val="000000" w:themeColor="text1"/>
          <w:sz w:val="22"/>
          <w:szCs w:val="22"/>
        </w:rPr>
        <w:t xml:space="preserve"> (AR)</w:t>
      </w:r>
    </w:p>
    <w:p w14:paraId="08A39EDB" w14:textId="77777777" w:rsidR="005E347E" w:rsidRPr="00AA22C4" w:rsidRDefault="005E347E" w:rsidP="003760A5">
      <w:pPr>
        <w:pStyle w:val="Akapitzlist"/>
        <w:widowControl/>
        <w:numPr>
          <w:ilvl w:val="0"/>
          <w:numId w:val="104"/>
        </w:numPr>
        <w:spacing w:line="360" w:lineRule="auto"/>
        <w:rPr>
          <w:rFonts w:ascii="Lato" w:hAnsi="Lato"/>
          <w:color w:val="000000" w:themeColor="text1"/>
          <w:sz w:val="22"/>
          <w:szCs w:val="22"/>
        </w:rPr>
      </w:pPr>
      <w:r w:rsidRPr="00AA22C4">
        <w:rPr>
          <w:rFonts w:ascii="Lato" w:hAnsi="Lato"/>
          <w:color w:val="000000" w:themeColor="text1"/>
          <w:sz w:val="22"/>
          <w:szCs w:val="22"/>
        </w:rPr>
        <w:t>SCID T-B-NK-</w:t>
      </w:r>
    </w:p>
    <w:p w14:paraId="0811FA66" w14:textId="77777777" w:rsidR="005E347E" w:rsidRPr="00AA22C4" w:rsidRDefault="005E347E" w:rsidP="003760A5">
      <w:pPr>
        <w:pStyle w:val="Akapitzlist"/>
        <w:widowControl/>
        <w:numPr>
          <w:ilvl w:val="1"/>
          <w:numId w:val="104"/>
        </w:numPr>
        <w:spacing w:line="360" w:lineRule="auto"/>
        <w:ind w:left="1560"/>
        <w:rPr>
          <w:rFonts w:ascii="Lato" w:hAnsi="Lato"/>
          <w:color w:val="000000" w:themeColor="text1"/>
          <w:sz w:val="22"/>
          <w:szCs w:val="22"/>
        </w:rPr>
      </w:pPr>
      <w:r w:rsidRPr="00AA22C4">
        <w:rPr>
          <w:rFonts w:ascii="Lato" w:hAnsi="Lato"/>
          <w:color w:val="000000" w:themeColor="text1"/>
          <w:sz w:val="22"/>
          <w:szCs w:val="22"/>
        </w:rPr>
        <w:t xml:space="preserve">Ciężki złożony niedobór odporności z powodu niedoboru </w:t>
      </w:r>
      <w:proofErr w:type="spellStart"/>
      <w:r w:rsidRPr="00AA22C4">
        <w:rPr>
          <w:rFonts w:ascii="Lato" w:hAnsi="Lato"/>
          <w:color w:val="000000" w:themeColor="text1"/>
          <w:sz w:val="22"/>
          <w:szCs w:val="22"/>
        </w:rPr>
        <w:t>deaminazy</w:t>
      </w:r>
      <w:proofErr w:type="spellEnd"/>
      <w:r w:rsidRPr="00AA22C4">
        <w:rPr>
          <w:rFonts w:ascii="Lato" w:hAnsi="Lato"/>
          <w:color w:val="000000" w:themeColor="text1"/>
          <w:sz w:val="22"/>
          <w:szCs w:val="22"/>
        </w:rPr>
        <w:t xml:space="preserve"> adenozyny – </w:t>
      </w:r>
      <w:r w:rsidRPr="00AA22C4">
        <w:rPr>
          <w:rFonts w:ascii="Lato" w:hAnsi="Lato"/>
          <w:i/>
          <w:iCs/>
          <w:color w:val="000000" w:themeColor="text1"/>
          <w:sz w:val="22"/>
          <w:szCs w:val="22"/>
        </w:rPr>
        <w:t>ADA</w:t>
      </w:r>
      <w:r w:rsidRPr="00AA22C4">
        <w:rPr>
          <w:rFonts w:ascii="Lato" w:hAnsi="Lato"/>
          <w:color w:val="000000" w:themeColor="text1"/>
          <w:sz w:val="22"/>
          <w:szCs w:val="22"/>
        </w:rPr>
        <w:t xml:space="preserve"> (AR)</w:t>
      </w:r>
    </w:p>
    <w:p w14:paraId="34BFCF6E" w14:textId="77777777" w:rsidR="005E347E" w:rsidRPr="00AA22C4" w:rsidRDefault="005E347E" w:rsidP="003760A5">
      <w:pPr>
        <w:pStyle w:val="Akapitzlist"/>
        <w:widowControl/>
        <w:numPr>
          <w:ilvl w:val="1"/>
          <w:numId w:val="104"/>
        </w:numPr>
        <w:spacing w:line="360" w:lineRule="auto"/>
        <w:ind w:left="1560"/>
        <w:rPr>
          <w:rFonts w:ascii="Lato" w:hAnsi="Lato"/>
          <w:color w:val="000000" w:themeColor="text1"/>
          <w:sz w:val="22"/>
          <w:szCs w:val="22"/>
        </w:rPr>
      </w:pPr>
      <w:r w:rsidRPr="00AA22C4">
        <w:rPr>
          <w:rFonts w:ascii="Lato" w:hAnsi="Lato"/>
          <w:color w:val="000000" w:themeColor="text1"/>
          <w:sz w:val="22"/>
          <w:szCs w:val="22"/>
        </w:rPr>
        <w:t xml:space="preserve">Choroba podobna do LAD u dzieci spowodowana niedoborem RAC2 – </w:t>
      </w:r>
      <w:r w:rsidRPr="00AA22C4">
        <w:rPr>
          <w:rFonts w:ascii="Lato" w:hAnsi="Lato"/>
          <w:i/>
          <w:iCs/>
          <w:color w:val="000000" w:themeColor="text1"/>
          <w:sz w:val="22"/>
          <w:szCs w:val="22"/>
        </w:rPr>
        <w:t>RAC2</w:t>
      </w:r>
      <w:r w:rsidRPr="00AA22C4">
        <w:rPr>
          <w:rFonts w:ascii="Lato" w:hAnsi="Lato"/>
          <w:color w:val="000000" w:themeColor="text1"/>
          <w:sz w:val="22"/>
          <w:szCs w:val="22"/>
        </w:rPr>
        <w:t xml:space="preserve"> (AD)</w:t>
      </w:r>
    </w:p>
    <w:p w14:paraId="46AD1458" w14:textId="1A7235C1" w:rsidR="005E347E" w:rsidRPr="00AA22C4" w:rsidRDefault="005E347E" w:rsidP="003760A5">
      <w:pPr>
        <w:pStyle w:val="Akapitzlist"/>
        <w:widowControl/>
        <w:numPr>
          <w:ilvl w:val="1"/>
          <w:numId w:val="104"/>
        </w:numPr>
        <w:spacing w:line="360" w:lineRule="auto"/>
        <w:ind w:left="1560"/>
        <w:rPr>
          <w:rFonts w:ascii="Lato" w:hAnsi="Lato"/>
          <w:color w:val="000000" w:themeColor="text1"/>
          <w:sz w:val="22"/>
          <w:szCs w:val="22"/>
        </w:rPr>
      </w:pPr>
      <w:r w:rsidRPr="00AA22C4">
        <w:rPr>
          <w:rFonts w:ascii="Lato" w:hAnsi="Lato"/>
          <w:color w:val="000000" w:themeColor="text1"/>
          <w:sz w:val="22"/>
          <w:szCs w:val="22"/>
        </w:rPr>
        <w:t xml:space="preserve">Ciężki złożony niedobór odporności z leukopenią – </w:t>
      </w:r>
      <w:r w:rsidRPr="00AA22C4">
        <w:rPr>
          <w:rFonts w:ascii="Lato" w:hAnsi="Lato"/>
          <w:i/>
          <w:iCs/>
          <w:color w:val="000000" w:themeColor="text1"/>
          <w:sz w:val="22"/>
          <w:szCs w:val="22"/>
        </w:rPr>
        <w:t xml:space="preserve">AK2 </w:t>
      </w:r>
      <w:r w:rsidRPr="00AA22C4">
        <w:rPr>
          <w:rFonts w:ascii="Lato" w:hAnsi="Lato"/>
          <w:color w:val="000000" w:themeColor="text1"/>
          <w:sz w:val="22"/>
          <w:szCs w:val="22"/>
        </w:rPr>
        <w:t>(AR)</w:t>
      </w:r>
    </w:p>
    <w:p w14:paraId="78F246B0" w14:textId="77777777" w:rsidR="005E347E" w:rsidRPr="00AA22C4" w:rsidRDefault="005E347E" w:rsidP="003760A5">
      <w:pPr>
        <w:suppressAutoHyphens/>
        <w:spacing w:before="240"/>
        <w:rPr>
          <w:rFonts w:ascii="Lato" w:hAnsi="Lato"/>
          <w:color w:val="000000" w:themeColor="text1"/>
          <w:sz w:val="22"/>
          <w:szCs w:val="22"/>
        </w:rPr>
      </w:pPr>
      <w:r w:rsidRPr="00AA22C4">
        <w:rPr>
          <w:rFonts w:ascii="Lato" w:hAnsi="Lato"/>
          <w:color w:val="000000" w:themeColor="text1"/>
          <w:sz w:val="22"/>
          <w:szCs w:val="22"/>
        </w:rPr>
        <w:t>Zaburzenia dojrzewania grasicy:</w:t>
      </w:r>
      <w:r w:rsidRPr="00AA22C4">
        <w:rPr>
          <w:rFonts w:ascii="Lato" w:hAnsi="Lato"/>
          <w:color w:val="000000" w:themeColor="text1"/>
          <w:sz w:val="22"/>
          <w:szCs w:val="22"/>
          <w:lang w:val="en-US"/>
        </w:rPr>
        <w:t xml:space="preserve"> </w:t>
      </w:r>
    </w:p>
    <w:p w14:paraId="018EBC29" w14:textId="77777777" w:rsidR="005E347E" w:rsidRPr="00AA22C4" w:rsidRDefault="005E347E" w:rsidP="003760A5">
      <w:pPr>
        <w:pStyle w:val="Akapitzlist"/>
        <w:widowControl/>
        <w:numPr>
          <w:ilvl w:val="1"/>
          <w:numId w:val="106"/>
        </w:numPr>
        <w:spacing w:line="360" w:lineRule="auto"/>
        <w:ind w:left="1134" w:hanging="425"/>
        <w:rPr>
          <w:rFonts w:ascii="Lato" w:hAnsi="Lato"/>
          <w:color w:val="000000" w:themeColor="text1"/>
          <w:sz w:val="22"/>
          <w:szCs w:val="22"/>
          <w:lang w:val="en-US"/>
        </w:rPr>
      </w:pPr>
      <w:proofErr w:type="spellStart"/>
      <w:r w:rsidRPr="00AA22C4">
        <w:rPr>
          <w:rFonts w:ascii="Lato" w:hAnsi="Lato"/>
          <w:color w:val="000000" w:themeColor="text1"/>
          <w:sz w:val="22"/>
          <w:szCs w:val="22"/>
          <w:lang w:val="en-US"/>
        </w:rPr>
        <w:t>Zespół</w:t>
      </w:r>
      <w:proofErr w:type="spellEnd"/>
      <w:r w:rsidRPr="00AA22C4">
        <w:rPr>
          <w:rFonts w:ascii="Lato" w:hAnsi="Lato"/>
          <w:color w:val="000000" w:themeColor="text1"/>
          <w:sz w:val="22"/>
          <w:szCs w:val="22"/>
          <w:lang w:val="en-US"/>
        </w:rPr>
        <w:t xml:space="preserve"> CHARGE – </w:t>
      </w:r>
      <w:r w:rsidRPr="00AA22C4">
        <w:rPr>
          <w:rFonts w:ascii="Lato" w:hAnsi="Lato"/>
          <w:i/>
          <w:iCs/>
          <w:color w:val="000000" w:themeColor="text1"/>
          <w:sz w:val="22"/>
          <w:szCs w:val="22"/>
          <w:lang w:val="en-US"/>
        </w:rPr>
        <w:t>CHD7</w:t>
      </w:r>
      <w:r w:rsidRPr="00AA22C4">
        <w:rPr>
          <w:rFonts w:ascii="Lato" w:hAnsi="Lato"/>
          <w:color w:val="000000" w:themeColor="text1"/>
          <w:sz w:val="22"/>
          <w:szCs w:val="22"/>
          <w:lang w:val="en-US"/>
        </w:rPr>
        <w:t xml:space="preserve"> (AD)</w:t>
      </w:r>
    </w:p>
    <w:p w14:paraId="5BD52BDD" w14:textId="77777777" w:rsidR="005E347E" w:rsidRPr="00AA22C4" w:rsidRDefault="005E347E" w:rsidP="003760A5">
      <w:pPr>
        <w:pStyle w:val="Akapitzlist"/>
        <w:widowControl/>
        <w:numPr>
          <w:ilvl w:val="1"/>
          <w:numId w:val="106"/>
        </w:numPr>
        <w:spacing w:line="360" w:lineRule="auto"/>
        <w:ind w:left="1134" w:hanging="425"/>
        <w:rPr>
          <w:rFonts w:ascii="Lato" w:hAnsi="Lato"/>
          <w:color w:val="000000" w:themeColor="text1"/>
          <w:sz w:val="22"/>
          <w:szCs w:val="22"/>
          <w:lang w:val="en-US"/>
        </w:rPr>
      </w:pPr>
      <w:proofErr w:type="spellStart"/>
      <w:r w:rsidRPr="00AA22C4">
        <w:rPr>
          <w:rFonts w:ascii="Lato" w:hAnsi="Lato"/>
          <w:color w:val="000000" w:themeColor="text1"/>
          <w:sz w:val="22"/>
          <w:szCs w:val="22"/>
          <w:lang w:val="en-US"/>
        </w:rPr>
        <w:t>Alimfoidalna</w:t>
      </w:r>
      <w:proofErr w:type="spellEnd"/>
      <w:r w:rsidRPr="00AA22C4">
        <w:rPr>
          <w:rFonts w:ascii="Lato" w:hAnsi="Lato"/>
          <w:color w:val="000000" w:themeColor="text1"/>
          <w:sz w:val="22"/>
          <w:szCs w:val="22"/>
          <w:lang w:val="en-US"/>
        </w:rPr>
        <w:t xml:space="preserve"> </w:t>
      </w:r>
      <w:proofErr w:type="spellStart"/>
      <w:r w:rsidRPr="00AA22C4">
        <w:rPr>
          <w:rFonts w:ascii="Lato" w:hAnsi="Lato"/>
          <w:color w:val="000000" w:themeColor="text1"/>
          <w:sz w:val="22"/>
          <w:szCs w:val="22"/>
          <w:lang w:val="en-US"/>
        </w:rPr>
        <w:t>torbielowata</w:t>
      </w:r>
      <w:proofErr w:type="spellEnd"/>
      <w:r w:rsidRPr="00AA22C4">
        <w:rPr>
          <w:rFonts w:ascii="Lato" w:hAnsi="Lato"/>
          <w:color w:val="000000" w:themeColor="text1"/>
          <w:sz w:val="22"/>
          <w:szCs w:val="22"/>
          <w:lang w:val="en-US"/>
        </w:rPr>
        <w:t xml:space="preserve"> </w:t>
      </w:r>
      <w:proofErr w:type="spellStart"/>
      <w:r w:rsidRPr="00AA22C4">
        <w:rPr>
          <w:rFonts w:ascii="Lato" w:hAnsi="Lato"/>
          <w:color w:val="000000" w:themeColor="text1"/>
          <w:sz w:val="22"/>
          <w:szCs w:val="22"/>
          <w:lang w:val="en-US"/>
        </w:rPr>
        <w:t>dysgenezja</w:t>
      </w:r>
      <w:proofErr w:type="spellEnd"/>
      <w:r w:rsidRPr="00AA22C4">
        <w:rPr>
          <w:rFonts w:ascii="Lato" w:hAnsi="Lato"/>
          <w:color w:val="000000" w:themeColor="text1"/>
          <w:sz w:val="22"/>
          <w:szCs w:val="22"/>
          <w:lang w:val="en-US"/>
        </w:rPr>
        <w:t xml:space="preserve"> </w:t>
      </w:r>
      <w:proofErr w:type="spellStart"/>
      <w:r w:rsidRPr="00AA22C4">
        <w:rPr>
          <w:rFonts w:ascii="Lato" w:hAnsi="Lato"/>
          <w:color w:val="000000" w:themeColor="text1"/>
          <w:sz w:val="22"/>
          <w:szCs w:val="22"/>
          <w:lang w:val="en-US"/>
        </w:rPr>
        <w:t>grasicy</w:t>
      </w:r>
      <w:proofErr w:type="spellEnd"/>
      <w:r w:rsidRPr="00AA22C4">
        <w:rPr>
          <w:rFonts w:ascii="Lato" w:hAnsi="Lato"/>
          <w:color w:val="000000" w:themeColor="text1"/>
          <w:sz w:val="22"/>
          <w:szCs w:val="22"/>
          <w:lang w:val="en-US"/>
        </w:rPr>
        <w:t xml:space="preserve"> - </w:t>
      </w:r>
      <w:r w:rsidRPr="00AA22C4">
        <w:rPr>
          <w:rFonts w:ascii="Lato" w:hAnsi="Lato"/>
          <w:i/>
          <w:iCs/>
          <w:color w:val="000000" w:themeColor="text1"/>
          <w:sz w:val="22"/>
          <w:szCs w:val="22"/>
          <w:lang w:val="en-US"/>
        </w:rPr>
        <w:t>FOXN1</w:t>
      </w:r>
      <w:r w:rsidRPr="00AA22C4">
        <w:rPr>
          <w:rFonts w:ascii="Lato" w:hAnsi="Lato"/>
          <w:color w:val="000000" w:themeColor="text1"/>
          <w:sz w:val="22"/>
          <w:szCs w:val="22"/>
          <w:lang w:val="en-US"/>
        </w:rPr>
        <w:t xml:space="preserve"> (AD, AR)</w:t>
      </w:r>
    </w:p>
    <w:p w14:paraId="1C009541" w14:textId="77777777" w:rsidR="005E347E" w:rsidRPr="00AA22C4" w:rsidRDefault="005E347E" w:rsidP="003760A5">
      <w:pPr>
        <w:pStyle w:val="Akapitzlist"/>
        <w:widowControl/>
        <w:numPr>
          <w:ilvl w:val="1"/>
          <w:numId w:val="106"/>
        </w:numPr>
        <w:spacing w:line="360" w:lineRule="auto"/>
        <w:ind w:left="1134" w:hanging="425"/>
        <w:rPr>
          <w:rFonts w:ascii="Lato" w:hAnsi="Lato"/>
          <w:color w:val="000000" w:themeColor="text1"/>
          <w:sz w:val="22"/>
          <w:szCs w:val="22"/>
        </w:rPr>
      </w:pPr>
      <w:r w:rsidRPr="00AA22C4">
        <w:rPr>
          <w:rFonts w:ascii="Lato" w:hAnsi="Lato"/>
          <w:color w:val="000000" w:themeColor="text1"/>
          <w:sz w:val="22"/>
          <w:szCs w:val="22"/>
        </w:rPr>
        <w:t xml:space="preserve">Zespół uszno-twarzowo-szyjny - </w:t>
      </w:r>
      <w:r w:rsidRPr="00AA22C4">
        <w:rPr>
          <w:rFonts w:ascii="Lato" w:hAnsi="Lato"/>
          <w:i/>
          <w:iCs/>
          <w:color w:val="000000" w:themeColor="text1"/>
          <w:sz w:val="22"/>
          <w:szCs w:val="22"/>
        </w:rPr>
        <w:t>PAX1</w:t>
      </w:r>
      <w:r w:rsidRPr="00AA22C4">
        <w:rPr>
          <w:rFonts w:ascii="Lato" w:hAnsi="Lato"/>
          <w:color w:val="000000" w:themeColor="text1"/>
          <w:sz w:val="22"/>
          <w:szCs w:val="22"/>
        </w:rPr>
        <w:t xml:space="preserve"> (AR)</w:t>
      </w:r>
    </w:p>
    <w:p w14:paraId="5D6AA6FE" w14:textId="77777777" w:rsidR="005E347E" w:rsidRPr="00AA22C4" w:rsidRDefault="005E347E" w:rsidP="003760A5">
      <w:pPr>
        <w:pStyle w:val="Akapitzlist"/>
        <w:widowControl/>
        <w:numPr>
          <w:ilvl w:val="1"/>
          <w:numId w:val="106"/>
        </w:numPr>
        <w:spacing w:line="360" w:lineRule="auto"/>
        <w:ind w:left="1134" w:hanging="425"/>
        <w:rPr>
          <w:rFonts w:ascii="Lato" w:hAnsi="Lato"/>
          <w:color w:val="000000" w:themeColor="text1"/>
          <w:sz w:val="22"/>
          <w:szCs w:val="22"/>
        </w:rPr>
      </w:pPr>
      <w:r w:rsidRPr="00AA22C4">
        <w:rPr>
          <w:rFonts w:ascii="Lato" w:hAnsi="Lato"/>
          <w:color w:val="000000" w:themeColor="text1"/>
          <w:sz w:val="22"/>
          <w:szCs w:val="22"/>
        </w:rPr>
        <w:t xml:space="preserve">Zespół </w:t>
      </w:r>
      <w:proofErr w:type="spellStart"/>
      <w:r w:rsidRPr="00AA22C4">
        <w:rPr>
          <w:rFonts w:ascii="Lato" w:hAnsi="Lato"/>
          <w:color w:val="000000" w:themeColor="text1"/>
          <w:sz w:val="22"/>
          <w:szCs w:val="22"/>
        </w:rPr>
        <w:t>mikrodelecji</w:t>
      </w:r>
      <w:proofErr w:type="spellEnd"/>
      <w:r w:rsidRPr="00AA22C4">
        <w:rPr>
          <w:rFonts w:ascii="Lato" w:hAnsi="Lato"/>
          <w:color w:val="000000" w:themeColor="text1"/>
          <w:sz w:val="22"/>
          <w:szCs w:val="22"/>
        </w:rPr>
        <w:t xml:space="preserve"> 22q11 - </w:t>
      </w:r>
      <w:r w:rsidRPr="00AA22C4">
        <w:rPr>
          <w:rFonts w:ascii="Lato" w:hAnsi="Lato"/>
          <w:i/>
          <w:color w:val="000000" w:themeColor="text1"/>
          <w:sz w:val="22"/>
          <w:szCs w:val="22"/>
        </w:rPr>
        <w:t>TBX1</w:t>
      </w:r>
      <w:r w:rsidRPr="00AA22C4">
        <w:rPr>
          <w:rFonts w:ascii="Lato" w:hAnsi="Lato"/>
          <w:color w:val="000000" w:themeColor="text1"/>
          <w:sz w:val="22"/>
          <w:szCs w:val="22"/>
        </w:rPr>
        <w:t xml:space="preserve"> (AD, zespół chromosomowy)</w:t>
      </w:r>
    </w:p>
    <w:p w14:paraId="3D4FCC27" w14:textId="77777777" w:rsidR="003760A5" w:rsidRDefault="003760A5" w:rsidP="003760A5">
      <w:pPr>
        <w:suppressAutoHyphens/>
        <w:spacing w:before="240"/>
        <w:rPr>
          <w:rFonts w:ascii="Lato" w:hAnsi="Lato"/>
          <w:color w:val="000000" w:themeColor="text1"/>
          <w:sz w:val="22"/>
          <w:szCs w:val="22"/>
        </w:rPr>
      </w:pPr>
    </w:p>
    <w:p w14:paraId="758D36AB" w14:textId="77777777" w:rsidR="003760A5" w:rsidRDefault="003760A5" w:rsidP="003760A5">
      <w:pPr>
        <w:suppressAutoHyphens/>
        <w:spacing w:before="240"/>
        <w:rPr>
          <w:rFonts w:ascii="Lato" w:hAnsi="Lato"/>
          <w:color w:val="000000" w:themeColor="text1"/>
          <w:sz w:val="22"/>
          <w:szCs w:val="22"/>
        </w:rPr>
      </w:pPr>
    </w:p>
    <w:p w14:paraId="7D42A36D" w14:textId="3957BA27" w:rsidR="005E347E" w:rsidRPr="00AA22C4" w:rsidRDefault="005E347E" w:rsidP="003760A5">
      <w:pPr>
        <w:suppressAutoHyphens/>
        <w:spacing w:before="240"/>
        <w:rPr>
          <w:rFonts w:ascii="Lato" w:hAnsi="Lato"/>
          <w:color w:val="000000" w:themeColor="text1"/>
          <w:sz w:val="22"/>
          <w:szCs w:val="22"/>
        </w:rPr>
      </w:pPr>
      <w:r w:rsidRPr="00AA22C4">
        <w:rPr>
          <w:rFonts w:ascii="Lato" w:hAnsi="Lato"/>
          <w:color w:val="000000" w:themeColor="text1"/>
          <w:sz w:val="22"/>
          <w:szCs w:val="22"/>
        </w:rPr>
        <w:lastRenderedPageBreak/>
        <w:t>Agammaglobulinemia</w:t>
      </w:r>
    </w:p>
    <w:p w14:paraId="008476A0" w14:textId="77777777" w:rsidR="005E347E" w:rsidRPr="00AA22C4" w:rsidRDefault="005E347E" w:rsidP="003760A5">
      <w:pPr>
        <w:pStyle w:val="Akapitzlist"/>
        <w:widowControl/>
        <w:numPr>
          <w:ilvl w:val="0"/>
          <w:numId w:val="105"/>
        </w:numPr>
        <w:spacing w:line="360" w:lineRule="auto"/>
        <w:ind w:left="1134"/>
        <w:rPr>
          <w:rFonts w:ascii="Lato" w:hAnsi="Lato"/>
          <w:color w:val="000000" w:themeColor="text1"/>
          <w:sz w:val="22"/>
          <w:szCs w:val="22"/>
        </w:rPr>
      </w:pPr>
      <w:r w:rsidRPr="00AA22C4">
        <w:rPr>
          <w:rFonts w:ascii="Lato" w:hAnsi="Lato"/>
          <w:color w:val="000000" w:themeColor="text1"/>
          <w:sz w:val="22"/>
          <w:szCs w:val="22"/>
        </w:rPr>
        <w:t xml:space="preserve">Agammaglobulinemia sprzężona z chromosomem X – </w:t>
      </w:r>
      <w:r w:rsidRPr="00AA22C4">
        <w:rPr>
          <w:rFonts w:ascii="Lato" w:hAnsi="Lato"/>
          <w:i/>
          <w:iCs/>
          <w:color w:val="000000" w:themeColor="text1"/>
          <w:sz w:val="22"/>
          <w:szCs w:val="22"/>
        </w:rPr>
        <w:t xml:space="preserve">BTK </w:t>
      </w:r>
    </w:p>
    <w:p w14:paraId="74C78C7F" w14:textId="77777777" w:rsidR="005E347E" w:rsidRPr="00AA22C4" w:rsidRDefault="005E347E" w:rsidP="003760A5">
      <w:pPr>
        <w:pStyle w:val="Akapitzlist"/>
        <w:widowControl/>
        <w:numPr>
          <w:ilvl w:val="0"/>
          <w:numId w:val="105"/>
        </w:numPr>
        <w:spacing w:line="360" w:lineRule="auto"/>
        <w:ind w:left="1134"/>
        <w:rPr>
          <w:rFonts w:ascii="Lato" w:hAnsi="Lato"/>
          <w:color w:val="000000" w:themeColor="text1"/>
          <w:sz w:val="22"/>
          <w:szCs w:val="22"/>
        </w:rPr>
      </w:pPr>
      <w:r w:rsidRPr="00AA22C4">
        <w:rPr>
          <w:rFonts w:ascii="Lato" w:hAnsi="Lato"/>
          <w:color w:val="000000" w:themeColor="text1"/>
          <w:sz w:val="22"/>
          <w:szCs w:val="22"/>
        </w:rPr>
        <w:t xml:space="preserve">Agammaglobulinemia dziedzicząca się autosomalnie recesywnie – </w:t>
      </w:r>
      <w:r w:rsidRPr="00AA22C4">
        <w:rPr>
          <w:rFonts w:ascii="Lato" w:hAnsi="Lato"/>
          <w:i/>
          <w:iCs/>
          <w:color w:val="000000" w:themeColor="text1"/>
          <w:sz w:val="22"/>
          <w:szCs w:val="22"/>
        </w:rPr>
        <w:t>IGHM, CD79A, CD79B, BLNK, IGLL1, TCF3, PIK3R1, PIK3CD, SLC39A7, FNIP1</w:t>
      </w:r>
    </w:p>
    <w:p w14:paraId="2665E311" w14:textId="77777777" w:rsidR="005E347E" w:rsidRPr="00AA22C4" w:rsidRDefault="005E347E" w:rsidP="003760A5">
      <w:pPr>
        <w:pStyle w:val="Akapitzlist"/>
        <w:widowControl/>
        <w:numPr>
          <w:ilvl w:val="0"/>
          <w:numId w:val="105"/>
        </w:numPr>
        <w:spacing w:line="360" w:lineRule="auto"/>
        <w:ind w:left="1134"/>
        <w:rPr>
          <w:rFonts w:ascii="Lato" w:hAnsi="Lato"/>
          <w:color w:val="000000" w:themeColor="text1"/>
          <w:sz w:val="22"/>
          <w:szCs w:val="22"/>
        </w:rPr>
      </w:pPr>
      <w:r w:rsidRPr="00AA22C4">
        <w:rPr>
          <w:rFonts w:ascii="Lato" w:hAnsi="Lato"/>
          <w:i/>
          <w:iCs/>
          <w:color w:val="000000" w:themeColor="text1"/>
          <w:sz w:val="22"/>
          <w:szCs w:val="22"/>
        </w:rPr>
        <w:t xml:space="preserve"> </w:t>
      </w:r>
      <w:r w:rsidRPr="00AA22C4">
        <w:rPr>
          <w:rFonts w:ascii="Lato" w:hAnsi="Lato"/>
          <w:color w:val="000000" w:themeColor="text1"/>
          <w:sz w:val="22"/>
          <w:szCs w:val="22"/>
        </w:rPr>
        <w:t xml:space="preserve">Agammaglobulinemia dziedzicząca się autosomalnie dominująco – </w:t>
      </w:r>
      <w:r w:rsidRPr="00AA22C4">
        <w:rPr>
          <w:rFonts w:ascii="Lato" w:hAnsi="Lato"/>
          <w:i/>
          <w:iCs/>
          <w:color w:val="000000" w:themeColor="text1"/>
          <w:sz w:val="22"/>
          <w:szCs w:val="22"/>
        </w:rPr>
        <w:t xml:space="preserve">TCF3, TOP2B, SPI1, LRRC8A (?) </w:t>
      </w:r>
    </w:p>
    <w:p w14:paraId="745FB41F" w14:textId="59A75B8C" w:rsidR="005E347E" w:rsidRPr="00AA22C4" w:rsidRDefault="005E347E" w:rsidP="00895A8C">
      <w:pPr>
        <w:suppressAutoHyphens/>
        <w:spacing w:before="240"/>
        <w:rPr>
          <w:rFonts w:ascii="Lato" w:hAnsi="Lato"/>
          <w:color w:val="000000" w:themeColor="text1"/>
          <w:sz w:val="22"/>
          <w:szCs w:val="22"/>
        </w:rPr>
      </w:pPr>
      <w:r w:rsidRPr="00AA22C4">
        <w:rPr>
          <w:rFonts w:ascii="Lato" w:hAnsi="Lato"/>
          <w:color w:val="000000" w:themeColor="text1"/>
          <w:sz w:val="22"/>
          <w:szCs w:val="22"/>
        </w:rPr>
        <w:t>Mieszane niedobory odporności (</w:t>
      </w:r>
      <w:proofErr w:type="spellStart"/>
      <w:r w:rsidRPr="00AA22C4">
        <w:rPr>
          <w:rFonts w:ascii="Lato" w:hAnsi="Lato"/>
          <w:color w:val="000000" w:themeColor="text1"/>
          <w:sz w:val="22"/>
          <w:szCs w:val="22"/>
        </w:rPr>
        <w:t>combined</w:t>
      </w:r>
      <w:proofErr w:type="spellEnd"/>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immunodeficiences</w:t>
      </w:r>
      <w:proofErr w:type="spellEnd"/>
      <w:r w:rsidRPr="00AA22C4">
        <w:rPr>
          <w:rFonts w:ascii="Lato" w:hAnsi="Lato"/>
          <w:color w:val="000000" w:themeColor="text1"/>
          <w:sz w:val="22"/>
          <w:szCs w:val="22"/>
        </w:rPr>
        <w:t xml:space="preserve">), w </w:t>
      </w:r>
      <w:proofErr w:type="gramStart"/>
      <w:r w:rsidRPr="00AA22C4">
        <w:rPr>
          <w:rFonts w:ascii="Lato" w:hAnsi="Lato"/>
          <w:color w:val="000000" w:themeColor="text1"/>
          <w:sz w:val="22"/>
          <w:szCs w:val="22"/>
        </w:rPr>
        <w:t>tym  postaci</w:t>
      </w:r>
      <w:proofErr w:type="gramEnd"/>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syndromiczne</w:t>
      </w:r>
      <w:proofErr w:type="spellEnd"/>
      <w:r w:rsidRPr="00AA22C4">
        <w:rPr>
          <w:rFonts w:ascii="Lato" w:hAnsi="Lato"/>
          <w:color w:val="000000" w:themeColor="text1"/>
          <w:sz w:val="22"/>
          <w:szCs w:val="22"/>
        </w:rPr>
        <w:t xml:space="preserve">; przykładowo: </w:t>
      </w:r>
    </w:p>
    <w:p w14:paraId="168E0904" w14:textId="77777777" w:rsidR="005E347E" w:rsidRPr="00AA22C4" w:rsidRDefault="005E347E" w:rsidP="003760A5">
      <w:pPr>
        <w:pStyle w:val="Akapitzlist"/>
        <w:widowControl/>
        <w:numPr>
          <w:ilvl w:val="1"/>
          <w:numId w:val="107"/>
        </w:numPr>
        <w:spacing w:line="360" w:lineRule="auto"/>
        <w:ind w:left="1276" w:hanging="567"/>
        <w:rPr>
          <w:rFonts w:ascii="Lato" w:hAnsi="Lato"/>
          <w:color w:val="000000" w:themeColor="text1"/>
          <w:sz w:val="22"/>
          <w:szCs w:val="22"/>
        </w:rPr>
      </w:pPr>
      <w:r w:rsidRPr="00AA22C4">
        <w:rPr>
          <w:rFonts w:ascii="Lato" w:hAnsi="Lato"/>
          <w:color w:val="000000" w:themeColor="text1"/>
          <w:sz w:val="22"/>
          <w:szCs w:val="22"/>
        </w:rPr>
        <w:t xml:space="preserve">Niedobór fosforylazy nukleozydów purynowych – </w:t>
      </w:r>
      <w:r w:rsidRPr="00AA22C4">
        <w:rPr>
          <w:rFonts w:ascii="Lato" w:hAnsi="Lato"/>
          <w:i/>
          <w:iCs/>
          <w:color w:val="000000" w:themeColor="text1"/>
          <w:sz w:val="22"/>
          <w:szCs w:val="22"/>
        </w:rPr>
        <w:t>PNP</w:t>
      </w:r>
      <w:r w:rsidRPr="00AA22C4">
        <w:rPr>
          <w:rFonts w:ascii="Lato" w:hAnsi="Lato"/>
          <w:color w:val="000000" w:themeColor="text1"/>
          <w:sz w:val="22"/>
          <w:szCs w:val="22"/>
        </w:rPr>
        <w:t xml:space="preserve"> (AR)</w:t>
      </w:r>
    </w:p>
    <w:p w14:paraId="61FCACC0" w14:textId="77777777" w:rsidR="005E347E" w:rsidRPr="00AA22C4" w:rsidRDefault="005E347E" w:rsidP="003760A5">
      <w:pPr>
        <w:pStyle w:val="Akapitzlist"/>
        <w:widowControl/>
        <w:numPr>
          <w:ilvl w:val="1"/>
          <w:numId w:val="107"/>
        </w:numPr>
        <w:spacing w:line="360" w:lineRule="auto"/>
        <w:ind w:left="1276" w:hanging="567"/>
        <w:rPr>
          <w:rFonts w:ascii="Lato" w:hAnsi="Lato"/>
          <w:color w:val="000000" w:themeColor="text1"/>
          <w:sz w:val="22"/>
          <w:szCs w:val="22"/>
        </w:rPr>
      </w:pPr>
      <w:r w:rsidRPr="00AA22C4">
        <w:rPr>
          <w:rFonts w:ascii="Lato" w:hAnsi="Lato"/>
          <w:color w:val="000000" w:themeColor="text1"/>
          <w:sz w:val="22"/>
          <w:szCs w:val="22"/>
        </w:rPr>
        <w:t xml:space="preserve">Zespół z niepełnosprawnością intelektualną, opóźnieniem mowy, cechami dysmorfii i nieprawidłowościami komórek T – </w:t>
      </w:r>
      <w:r w:rsidRPr="00AA22C4">
        <w:rPr>
          <w:rFonts w:ascii="Lato" w:hAnsi="Lato"/>
          <w:i/>
          <w:iCs/>
          <w:color w:val="000000" w:themeColor="text1"/>
          <w:sz w:val="22"/>
          <w:szCs w:val="22"/>
        </w:rPr>
        <w:t>BCL11B</w:t>
      </w:r>
      <w:r w:rsidRPr="00AA22C4">
        <w:rPr>
          <w:rFonts w:ascii="Lato" w:hAnsi="Lato"/>
          <w:color w:val="000000" w:themeColor="text1"/>
          <w:sz w:val="22"/>
          <w:szCs w:val="22"/>
        </w:rPr>
        <w:t xml:space="preserve"> (AD) </w:t>
      </w:r>
    </w:p>
    <w:p w14:paraId="357C3AD6" w14:textId="77777777" w:rsidR="005E347E" w:rsidRPr="00AA22C4" w:rsidRDefault="005E347E" w:rsidP="003760A5">
      <w:pPr>
        <w:pStyle w:val="Akapitzlist"/>
        <w:widowControl/>
        <w:numPr>
          <w:ilvl w:val="1"/>
          <w:numId w:val="107"/>
        </w:numPr>
        <w:spacing w:line="360" w:lineRule="auto"/>
        <w:ind w:left="1276" w:hanging="567"/>
        <w:rPr>
          <w:rFonts w:ascii="Lato" w:hAnsi="Lato"/>
          <w:color w:val="000000" w:themeColor="text1"/>
          <w:sz w:val="22"/>
          <w:szCs w:val="22"/>
        </w:rPr>
      </w:pPr>
      <w:r w:rsidRPr="00AA22C4">
        <w:rPr>
          <w:rFonts w:ascii="Lato" w:hAnsi="Lato"/>
          <w:color w:val="000000" w:themeColor="text1"/>
          <w:sz w:val="22"/>
          <w:szCs w:val="22"/>
        </w:rPr>
        <w:t xml:space="preserve">Niedobór </w:t>
      </w:r>
      <w:r w:rsidRPr="00AA22C4">
        <w:rPr>
          <w:rFonts w:ascii="Lato" w:hAnsi="Lato"/>
          <w:i/>
          <w:iCs/>
          <w:color w:val="000000" w:themeColor="text1"/>
          <w:sz w:val="22"/>
          <w:szCs w:val="22"/>
        </w:rPr>
        <w:t>EXTL3</w:t>
      </w:r>
      <w:r w:rsidRPr="00AA22C4">
        <w:rPr>
          <w:rFonts w:ascii="Lato" w:hAnsi="Lato"/>
          <w:color w:val="000000" w:themeColor="text1"/>
          <w:sz w:val="22"/>
          <w:szCs w:val="22"/>
        </w:rPr>
        <w:t xml:space="preserve"> - Zespół dysplazji </w:t>
      </w:r>
      <w:proofErr w:type="spellStart"/>
      <w:r w:rsidRPr="00AA22C4">
        <w:rPr>
          <w:rFonts w:ascii="Lato" w:hAnsi="Lato"/>
          <w:color w:val="000000" w:themeColor="text1"/>
          <w:sz w:val="22"/>
          <w:szCs w:val="22"/>
        </w:rPr>
        <w:t>szkieletowej-niedoboru</w:t>
      </w:r>
      <w:proofErr w:type="spellEnd"/>
      <w:r w:rsidRPr="00AA22C4">
        <w:rPr>
          <w:rFonts w:ascii="Lato" w:hAnsi="Lato"/>
          <w:color w:val="000000" w:themeColor="text1"/>
          <w:sz w:val="22"/>
          <w:szCs w:val="22"/>
        </w:rPr>
        <w:t xml:space="preserve"> odporności związanej z limfocytami T-opóźnionego rozwoju - </w:t>
      </w:r>
      <w:r w:rsidRPr="00AA22C4">
        <w:rPr>
          <w:rFonts w:ascii="Lato" w:hAnsi="Lato"/>
          <w:i/>
          <w:iCs/>
          <w:color w:val="000000" w:themeColor="text1"/>
          <w:sz w:val="22"/>
          <w:szCs w:val="22"/>
        </w:rPr>
        <w:t xml:space="preserve">EXTL3 </w:t>
      </w:r>
      <w:r w:rsidRPr="00AA22C4">
        <w:rPr>
          <w:rFonts w:ascii="Lato" w:hAnsi="Lato"/>
          <w:color w:val="000000" w:themeColor="text1"/>
          <w:sz w:val="22"/>
          <w:szCs w:val="22"/>
        </w:rPr>
        <w:t>(AR)</w:t>
      </w:r>
    </w:p>
    <w:p w14:paraId="79E9EB98" w14:textId="77777777" w:rsidR="005E347E" w:rsidRPr="00AA22C4" w:rsidRDefault="005E347E" w:rsidP="003760A5">
      <w:pPr>
        <w:pStyle w:val="Akapitzlist"/>
        <w:widowControl/>
        <w:numPr>
          <w:ilvl w:val="1"/>
          <w:numId w:val="107"/>
        </w:numPr>
        <w:spacing w:line="360" w:lineRule="auto"/>
        <w:ind w:left="1276" w:hanging="567"/>
        <w:rPr>
          <w:rFonts w:ascii="Lato" w:hAnsi="Lato"/>
          <w:color w:val="000000" w:themeColor="text1"/>
          <w:sz w:val="22"/>
          <w:szCs w:val="22"/>
        </w:rPr>
      </w:pPr>
      <w:proofErr w:type="spellStart"/>
      <w:r w:rsidRPr="00AA22C4">
        <w:rPr>
          <w:rFonts w:ascii="Lato" w:hAnsi="Lato"/>
          <w:color w:val="000000" w:themeColor="text1"/>
          <w:sz w:val="22"/>
          <w:szCs w:val="22"/>
        </w:rPr>
        <w:t>Ektrodaktylia</w:t>
      </w:r>
      <w:proofErr w:type="spellEnd"/>
      <w:r w:rsidRPr="00AA22C4">
        <w:rPr>
          <w:rFonts w:ascii="Lato" w:hAnsi="Lato"/>
          <w:color w:val="000000" w:themeColor="text1"/>
          <w:sz w:val="22"/>
          <w:szCs w:val="22"/>
        </w:rPr>
        <w:t xml:space="preserve"> - dysplazja ektodermalna - rozszczep wargi/podniebienia (EEC) - </w:t>
      </w:r>
      <w:r w:rsidRPr="00AA22C4">
        <w:rPr>
          <w:rFonts w:ascii="Lato" w:hAnsi="Lato"/>
          <w:i/>
          <w:iCs/>
          <w:color w:val="000000" w:themeColor="text1"/>
          <w:sz w:val="22"/>
          <w:szCs w:val="22"/>
        </w:rPr>
        <w:t>TP63</w:t>
      </w:r>
      <w:r w:rsidRPr="00AA22C4">
        <w:rPr>
          <w:rFonts w:ascii="Lato" w:hAnsi="Lato"/>
          <w:color w:val="000000" w:themeColor="text1"/>
          <w:sz w:val="22"/>
          <w:szCs w:val="22"/>
        </w:rPr>
        <w:t xml:space="preserve"> (AD)</w:t>
      </w:r>
    </w:p>
    <w:p w14:paraId="1E002DD7" w14:textId="77777777" w:rsidR="005E347E" w:rsidRPr="00AA22C4" w:rsidRDefault="005E347E" w:rsidP="003760A5">
      <w:pPr>
        <w:pStyle w:val="Akapitzlist"/>
        <w:widowControl/>
        <w:numPr>
          <w:ilvl w:val="1"/>
          <w:numId w:val="107"/>
        </w:numPr>
        <w:spacing w:line="360" w:lineRule="auto"/>
        <w:ind w:left="1276" w:hanging="567"/>
        <w:rPr>
          <w:rFonts w:ascii="Lato" w:hAnsi="Lato"/>
          <w:color w:val="000000" w:themeColor="text1"/>
          <w:sz w:val="22"/>
          <w:szCs w:val="22"/>
        </w:rPr>
      </w:pPr>
      <w:r w:rsidRPr="00AA22C4">
        <w:rPr>
          <w:rFonts w:ascii="Lato" w:hAnsi="Lato"/>
          <w:color w:val="000000" w:themeColor="text1"/>
          <w:sz w:val="22"/>
          <w:szCs w:val="22"/>
        </w:rPr>
        <w:t xml:space="preserve">Zespół </w:t>
      </w:r>
      <w:proofErr w:type="spellStart"/>
      <w:r w:rsidRPr="00AA22C4">
        <w:rPr>
          <w:rFonts w:ascii="Lato" w:hAnsi="Lato"/>
          <w:color w:val="000000" w:themeColor="text1"/>
          <w:sz w:val="22"/>
          <w:szCs w:val="22"/>
        </w:rPr>
        <w:t>Renpenninga</w:t>
      </w:r>
      <w:proofErr w:type="spellEnd"/>
      <w:r w:rsidRPr="00AA22C4">
        <w:rPr>
          <w:rFonts w:ascii="Lato" w:hAnsi="Lato"/>
          <w:color w:val="000000" w:themeColor="text1"/>
          <w:sz w:val="22"/>
          <w:szCs w:val="22"/>
        </w:rPr>
        <w:t xml:space="preserve"> - </w:t>
      </w:r>
      <w:r w:rsidRPr="00AA22C4">
        <w:rPr>
          <w:rFonts w:ascii="Lato" w:hAnsi="Lato"/>
          <w:i/>
          <w:iCs/>
          <w:color w:val="000000" w:themeColor="text1"/>
          <w:sz w:val="22"/>
          <w:szCs w:val="22"/>
        </w:rPr>
        <w:t>PQBP1</w:t>
      </w:r>
      <w:r w:rsidRPr="00AA22C4">
        <w:rPr>
          <w:rFonts w:ascii="Lato" w:hAnsi="Lato"/>
          <w:color w:val="000000" w:themeColor="text1"/>
          <w:sz w:val="22"/>
          <w:szCs w:val="22"/>
        </w:rPr>
        <w:t xml:space="preserve"> (XLR)</w:t>
      </w:r>
    </w:p>
    <w:p w14:paraId="07EB6242" w14:textId="77777777" w:rsidR="005E347E" w:rsidRPr="00AA22C4" w:rsidRDefault="005E347E" w:rsidP="003760A5">
      <w:pPr>
        <w:pStyle w:val="Akapitzlist"/>
        <w:widowControl/>
        <w:numPr>
          <w:ilvl w:val="1"/>
          <w:numId w:val="107"/>
        </w:numPr>
        <w:spacing w:line="360" w:lineRule="auto"/>
        <w:ind w:left="1276" w:hanging="567"/>
        <w:rPr>
          <w:rFonts w:ascii="Lato" w:hAnsi="Lato"/>
          <w:color w:val="000000" w:themeColor="text1"/>
          <w:sz w:val="22"/>
          <w:szCs w:val="22"/>
        </w:rPr>
      </w:pPr>
      <w:r w:rsidRPr="00AA22C4">
        <w:rPr>
          <w:rFonts w:ascii="Lato" w:hAnsi="Lato"/>
          <w:color w:val="000000" w:themeColor="text1"/>
          <w:sz w:val="22"/>
          <w:szCs w:val="22"/>
        </w:rPr>
        <w:t xml:space="preserve">Zespół TAR - </w:t>
      </w:r>
      <w:r w:rsidRPr="00AA22C4">
        <w:rPr>
          <w:rFonts w:ascii="Lato" w:hAnsi="Lato"/>
          <w:i/>
          <w:iCs/>
          <w:color w:val="000000" w:themeColor="text1"/>
          <w:sz w:val="22"/>
          <w:szCs w:val="22"/>
        </w:rPr>
        <w:t>RBM8A</w:t>
      </w:r>
      <w:r w:rsidRPr="00AA22C4">
        <w:rPr>
          <w:rFonts w:ascii="Lato" w:hAnsi="Lato"/>
          <w:color w:val="000000" w:themeColor="text1"/>
          <w:sz w:val="22"/>
          <w:szCs w:val="22"/>
        </w:rPr>
        <w:t xml:space="preserve"> (AR)</w:t>
      </w:r>
    </w:p>
    <w:p w14:paraId="6C252696" w14:textId="77777777" w:rsidR="005E347E" w:rsidRPr="00AA22C4" w:rsidRDefault="005E347E" w:rsidP="003760A5">
      <w:pPr>
        <w:pStyle w:val="Akapitzlist"/>
        <w:widowControl/>
        <w:numPr>
          <w:ilvl w:val="1"/>
          <w:numId w:val="107"/>
        </w:numPr>
        <w:spacing w:line="360" w:lineRule="auto"/>
        <w:ind w:left="1276" w:hanging="567"/>
        <w:rPr>
          <w:rFonts w:ascii="Lato" w:hAnsi="Lato"/>
          <w:color w:val="000000" w:themeColor="text1"/>
          <w:sz w:val="22"/>
          <w:szCs w:val="22"/>
        </w:rPr>
      </w:pPr>
      <w:proofErr w:type="spellStart"/>
      <w:r w:rsidRPr="00AA22C4">
        <w:rPr>
          <w:rFonts w:ascii="Lato" w:hAnsi="Lato"/>
          <w:color w:val="000000" w:themeColor="text1"/>
          <w:sz w:val="22"/>
          <w:szCs w:val="22"/>
        </w:rPr>
        <w:t>Trisomia</w:t>
      </w:r>
      <w:proofErr w:type="spellEnd"/>
      <w:r w:rsidRPr="00AA22C4">
        <w:rPr>
          <w:rFonts w:ascii="Lato" w:hAnsi="Lato"/>
          <w:color w:val="000000" w:themeColor="text1"/>
          <w:sz w:val="22"/>
          <w:szCs w:val="22"/>
        </w:rPr>
        <w:t xml:space="preserve"> 21 (zespół chromosomowy)</w:t>
      </w:r>
    </w:p>
    <w:p w14:paraId="68463390" w14:textId="77777777" w:rsidR="005E347E" w:rsidRPr="00AA22C4" w:rsidRDefault="005E347E" w:rsidP="003760A5">
      <w:pPr>
        <w:pStyle w:val="Akapitzlist"/>
        <w:widowControl/>
        <w:numPr>
          <w:ilvl w:val="1"/>
          <w:numId w:val="107"/>
        </w:numPr>
        <w:spacing w:line="360" w:lineRule="auto"/>
        <w:ind w:left="1276" w:hanging="567"/>
        <w:rPr>
          <w:rFonts w:ascii="Lato" w:hAnsi="Lato"/>
          <w:color w:val="000000" w:themeColor="text1"/>
          <w:sz w:val="22"/>
          <w:szCs w:val="22"/>
        </w:rPr>
      </w:pPr>
      <w:r w:rsidRPr="00AA22C4">
        <w:rPr>
          <w:rFonts w:ascii="Lato" w:hAnsi="Lato"/>
          <w:color w:val="000000" w:themeColor="text1"/>
          <w:sz w:val="22"/>
          <w:szCs w:val="22"/>
        </w:rPr>
        <w:t xml:space="preserve">Ataksja </w:t>
      </w:r>
      <w:proofErr w:type="spellStart"/>
      <w:r w:rsidRPr="00AA22C4">
        <w:rPr>
          <w:rFonts w:ascii="Lato" w:hAnsi="Lato"/>
          <w:color w:val="000000" w:themeColor="text1"/>
          <w:sz w:val="22"/>
          <w:szCs w:val="22"/>
        </w:rPr>
        <w:t>telenagiektazja</w:t>
      </w:r>
      <w:proofErr w:type="spellEnd"/>
      <w:r w:rsidRPr="00AA22C4">
        <w:rPr>
          <w:rFonts w:ascii="Lato" w:hAnsi="Lato"/>
          <w:color w:val="000000" w:themeColor="text1"/>
          <w:sz w:val="22"/>
          <w:szCs w:val="22"/>
        </w:rPr>
        <w:t xml:space="preserve"> – </w:t>
      </w:r>
      <w:r w:rsidRPr="00AA22C4">
        <w:rPr>
          <w:rFonts w:ascii="Lato" w:hAnsi="Lato"/>
          <w:i/>
          <w:iCs/>
          <w:color w:val="000000" w:themeColor="text1"/>
          <w:sz w:val="22"/>
          <w:szCs w:val="22"/>
        </w:rPr>
        <w:t>ATM</w:t>
      </w:r>
      <w:r w:rsidRPr="00AA22C4">
        <w:rPr>
          <w:rFonts w:ascii="Lato" w:hAnsi="Lato"/>
          <w:color w:val="000000" w:themeColor="text1"/>
          <w:sz w:val="22"/>
          <w:szCs w:val="22"/>
        </w:rPr>
        <w:t xml:space="preserve"> (AR)</w:t>
      </w:r>
    </w:p>
    <w:p w14:paraId="68350AE1" w14:textId="77777777" w:rsidR="005E347E" w:rsidRPr="00AA22C4" w:rsidRDefault="005E347E" w:rsidP="003760A5">
      <w:pPr>
        <w:pStyle w:val="Akapitzlist"/>
        <w:widowControl/>
        <w:numPr>
          <w:ilvl w:val="1"/>
          <w:numId w:val="107"/>
        </w:numPr>
        <w:spacing w:line="360" w:lineRule="auto"/>
        <w:ind w:left="1276" w:hanging="567"/>
        <w:rPr>
          <w:rFonts w:ascii="Lato" w:hAnsi="Lato"/>
          <w:color w:val="000000" w:themeColor="text1"/>
          <w:sz w:val="22"/>
          <w:szCs w:val="22"/>
        </w:rPr>
      </w:pPr>
      <w:proofErr w:type="spellStart"/>
      <w:r w:rsidRPr="00AA22C4">
        <w:rPr>
          <w:rFonts w:ascii="Lato" w:hAnsi="Lato"/>
          <w:color w:val="000000" w:themeColor="text1"/>
          <w:sz w:val="22"/>
          <w:szCs w:val="22"/>
        </w:rPr>
        <w:t>Trisomia</w:t>
      </w:r>
      <w:proofErr w:type="spellEnd"/>
      <w:r w:rsidRPr="00AA22C4">
        <w:rPr>
          <w:rFonts w:ascii="Lato" w:hAnsi="Lato"/>
          <w:color w:val="000000" w:themeColor="text1"/>
          <w:sz w:val="22"/>
          <w:szCs w:val="22"/>
        </w:rPr>
        <w:t xml:space="preserve"> 18 – zespół chromosomowy</w:t>
      </w:r>
    </w:p>
    <w:p w14:paraId="55EF4556" w14:textId="77777777" w:rsidR="005E347E" w:rsidRPr="00AA22C4" w:rsidRDefault="005E347E" w:rsidP="003760A5">
      <w:pPr>
        <w:pStyle w:val="Akapitzlist"/>
        <w:widowControl/>
        <w:numPr>
          <w:ilvl w:val="1"/>
          <w:numId w:val="107"/>
        </w:numPr>
        <w:spacing w:line="360" w:lineRule="auto"/>
        <w:ind w:left="1276" w:hanging="567"/>
        <w:rPr>
          <w:rFonts w:ascii="Lato" w:hAnsi="Lato"/>
          <w:color w:val="000000" w:themeColor="text1"/>
          <w:sz w:val="22"/>
          <w:szCs w:val="22"/>
        </w:rPr>
      </w:pPr>
      <w:r w:rsidRPr="00AA22C4">
        <w:rPr>
          <w:rFonts w:ascii="Lato" w:hAnsi="Lato"/>
          <w:color w:val="000000" w:themeColor="text1"/>
          <w:sz w:val="22"/>
          <w:szCs w:val="22"/>
        </w:rPr>
        <w:t>Zespół Jacobsena (</w:t>
      </w:r>
      <w:proofErr w:type="spellStart"/>
      <w:r w:rsidRPr="00AA22C4">
        <w:rPr>
          <w:rFonts w:ascii="Lato" w:hAnsi="Lato"/>
          <w:color w:val="000000" w:themeColor="text1"/>
          <w:sz w:val="22"/>
          <w:szCs w:val="22"/>
        </w:rPr>
        <w:t>mikrodelecja</w:t>
      </w:r>
      <w:proofErr w:type="spellEnd"/>
      <w:r w:rsidRPr="00AA22C4">
        <w:rPr>
          <w:rFonts w:ascii="Lato" w:hAnsi="Lato"/>
          <w:color w:val="000000" w:themeColor="text1"/>
          <w:sz w:val="22"/>
          <w:szCs w:val="22"/>
        </w:rPr>
        <w:t xml:space="preserve"> 11q24.1, zespół chromosomowy)</w:t>
      </w:r>
    </w:p>
    <w:p w14:paraId="5743C7C9" w14:textId="77777777" w:rsidR="005E347E" w:rsidRPr="00AA22C4" w:rsidRDefault="005E347E" w:rsidP="003760A5">
      <w:pPr>
        <w:pStyle w:val="Akapitzlist"/>
        <w:widowControl/>
        <w:numPr>
          <w:ilvl w:val="1"/>
          <w:numId w:val="107"/>
        </w:numPr>
        <w:spacing w:line="360" w:lineRule="auto"/>
        <w:ind w:left="1276" w:hanging="567"/>
        <w:rPr>
          <w:rFonts w:ascii="Lato" w:hAnsi="Lato"/>
          <w:color w:val="000000" w:themeColor="text1"/>
          <w:sz w:val="22"/>
          <w:szCs w:val="22"/>
        </w:rPr>
      </w:pPr>
      <w:r w:rsidRPr="00AA22C4">
        <w:rPr>
          <w:rFonts w:ascii="Lato" w:hAnsi="Lato"/>
          <w:color w:val="000000" w:themeColor="text1"/>
          <w:sz w:val="22"/>
          <w:szCs w:val="22"/>
        </w:rPr>
        <w:t xml:space="preserve">Zespół CLOVES - </w:t>
      </w:r>
      <w:r w:rsidRPr="00AA22C4">
        <w:rPr>
          <w:rFonts w:ascii="Lato" w:hAnsi="Lato"/>
          <w:i/>
          <w:iCs/>
          <w:color w:val="000000" w:themeColor="text1"/>
          <w:sz w:val="22"/>
          <w:szCs w:val="22"/>
        </w:rPr>
        <w:t xml:space="preserve">PIK3CA </w:t>
      </w:r>
      <w:r w:rsidRPr="00AA22C4">
        <w:rPr>
          <w:rFonts w:ascii="Lato" w:hAnsi="Lato"/>
          <w:color w:val="000000" w:themeColor="text1"/>
          <w:sz w:val="22"/>
          <w:szCs w:val="22"/>
        </w:rPr>
        <w:t>(mutacje somatyczne)</w:t>
      </w:r>
    </w:p>
    <w:p w14:paraId="5E54582A" w14:textId="77777777" w:rsidR="005E347E" w:rsidRPr="00AA22C4" w:rsidRDefault="005E347E" w:rsidP="003760A5">
      <w:pPr>
        <w:pStyle w:val="Akapitzlist"/>
        <w:widowControl/>
        <w:numPr>
          <w:ilvl w:val="1"/>
          <w:numId w:val="107"/>
        </w:numPr>
        <w:spacing w:line="360" w:lineRule="auto"/>
        <w:ind w:left="1276" w:hanging="567"/>
        <w:rPr>
          <w:rFonts w:ascii="Lato" w:hAnsi="Lato"/>
          <w:color w:val="000000" w:themeColor="text1"/>
          <w:sz w:val="22"/>
          <w:szCs w:val="22"/>
        </w:rPr>
      </w:pPr>
      <w:r w:rsidRPr="00AA22C4">
        <w:rPr>
          <w:rFonts w:ascii="Lato" w:hAnsi="Lato"/>
          <w:color w:val="000000" w:themeColor="text1"/>
          <w:sz w:val="22"/>
          <w:szCs w:val="22"/>
        </w:rPr>
        <w:t xml:space="preserve">Zespół </w:t>
      </w:r>
      <w:proofErr w:type="spellStart"/>
      <w:r w:rsidRPr="00AA22C4">
        <w:rPr>
          <w:rFonts w:ascii="Lato" w:hAnsi="Lato"/>
          <w:color w:val="000000" w:themeColor="text1"/>
          <w:sz w:val="22"/>
          <w:szCs w:val="22"/>
        </w:rPr>
        <w:t>Frynsa</w:t>
      </w:r>
      <w:proofErr w:type="spellEnd"/>
      <w:r w:rsidRPr="00AA22C4">
        <w:rPr>
          <w:rFonts w:ascii="Lato" w:hAnsi="Lato"/>
          <w:color w:val="000000" w:themeColor="text1"/>
          <w:sz w:val="22"/>
          <w:szCs w:val="22"/>
        </w:rPr>
        <w:t xml:space="preserve"> – brak genu w OMIM</w:t>
      </w:r>
    </w:p>
    <w:p w14:paraId="64C71D8B" w14:textId="77777777" w:rsidR="005E347E" w:rsidRPr="00AA22C4" w:rsidRDefault="005E347E" w:rsidP="003760A5">
      <w:pPr>
        <w:pStyle w:val="Akapitzlist"/>
        <w:widowControl/>
        <w:numPr>
          <w:ilvl w:val="1"/>
          <w:numId w:val="107"/>
        </w:numPr>
        <w:spacing w:line="360" w:lineRule="auto"/>
        <w:ind w:left="1276" w:hanging="567"/>
        <w:rPr>
          <w:rFonts w:ascii="Lato" w:hAnsi="Lato"/>
          <w:color w:val="000000" w:themeColor="text1"/>
          <w:sz w:val="22"/>
          <w:szCs w:val="22"/>
        </w:rPr>
      </w:pPr>
      <w:proofErr w:type="spellStart"/>
      <w:r w:rsidRPr="00AA22C4">
        <w:rPr>
          <w:rFonts w:ascii="Lato" w:hAnsi="Lato"/>
          <w:color w:val="000000" w:themeColor="text1"/>
          <w:sz w:val="22"/>
          <w:szCs w:val="22"/>
          <w:lang w:val="en-US"/>
        </w:rPr>
        <w:t>Zespół</w:t>
      </w:r>
      <w:proofErr w:type="spellEnd"/>
      <w:r w:rsidRPr="00AA22C4">
        <w:rPr>
          <w:rFonts w:ascii="Lato" w:hAnsi="Lato"/>
          <w:color w:val="000000" w:themeColor="text1"/>
          <w:sz w:val="22"/>
          <w:szCs w:val="22"/>
          <w:lang w:val="en-US"/>
        </w:rPr>
        <w:t xml:space="preserve"> Nijmegen – </w:t>
      </w:r>
      <w:r w:rsidRPr="00AA22C4">
        <w:rPr>
          <w:rFonts w:ascii="Lato" w:hAnsi="Lato"/>
          <w:i/>
          <w:iCs/>
          <w:color w:val="000000" w:themeColor="text1"/>
          <w:sz w:val="22"/>
          <w:szCs w:val="22"/>
          <w:lang w:val="en-US"/>
        </w:rPr>
        <w:t xml:space="preserve">NBN </w:t>
      </w:r>
      <w:r w:rsidRPr="00AA22C4">
        <w:rPr>
          <w:rFonts w:ascii="Lato" w:hAnsi="Lato"/>
          <w:color w:val="000000" w:themeColor="text1"/>
          <w:sz w:val="22"/>
          <w:szCs w:val="22"/>
          <w:lang w:val="en-US"/>
        </w:rPr>
        <w:t>(AR)</w:t>
      </w:r>
    </w:p>
    <w:p w14:paraId="45C558FA" w14:textId="77777777" w:rsidR="005E347E" w:rsidRPr="00AA22C4" w:rsidRDefault="005E347E" w:rsidP="003760A5">
      <w:pPr>
        <w:pStyle w:val="Akapitzlist"/>
        <w:widowControl/>
        <w:numPr>
          <w:ilvl w:val="1"/>
          <w:numId w:val="107"/>
        </w:numPr>
        <w:spacing w:line="360" w:lineRule="auto"/>
        <w:ind w:left="1276" w:hanging="567"/>
        <w:rPr>
          <w:rFonts w:ascii="Lato" w:hAnsi="Lato"/>
          <w:color w:val="000000" w:themeColor="text1"/>
          <w:sz w:val="22"/>
          <w:szCs w:val="22"/>
        </w:rPr>
      </w:pPr>
      <w:r w:rsidRPr="00AA22C4">
        <w:rPr>
          <w:rFonts w:ascii="Lato" w:hAnsi="Lato"/>
          <w:color w:val="000000" w:themeColor="text1"/>
          <w:sz w:val="22"/>
          <w:szCs w:val="22"/>
        </w:rPr>
        <w:t xml:space="preserve">Zespół </w:t>
      </w:r>
      <w:proofErr w:type="spellStart"/>
      <w:r w:rsidRPr="00AA22C4">
        <w:rPr>
          <w:rFonts w:ascii="Lato" w:hAnsi="Lato"/>
          <w:color w:val="000000" w:themeColor="text1"/>
          <w:sz w:val="22"/>
          <w:szCs w:val="22"/>
        </w:rPr>
        <w:t>Noonan</w:t>
      </w:r>
      <w:proofErr w:type="spellEnd"/>
      <w:r w:rsidRPr="00AA22C4">
        <w:rPr>
          <w:rFonts w:ascii="Lato" w:hAnsi="Lato"/>
          <w:color w:val="000000" w:themeColor="text1"/>
          <w:sz w:val="22"/>
          <w:szCs w:val="22"/>
        </w:rPr>
        <w:t xml:space="preserve"> (ok. 20 genów, AD, AR)</w:t>
      </w:r>
    </w:p>
    <w:p w14:paraId="3EF355D9" w14:textId="77777777" w:rsidR="005E347E" w:rsidRPr="00AA22C4" w:rsidRDefault="005E347E" w:rsidP="005E347E">
      <w:pPr>
        <w:widowControl/>
        <w:spacing w:after="160" w:line="259" w:lineRule="auto"/>
        <w:ind w:left="360"/>
        <w:jc w:val="both"/>
        <w:rPr>
          <w:rFonts w:ascii="Lato" w:hAnsi="Lato"/>
          <w:b/>
          <w:bCs/>
          <w:color w:val="000000" w:themeColor="text1"/>
          <w:sz w:val="22"/>
          <w:szCs w:val="22"/>
        </w:rPr>
      </w:pPr>
    </w:p>
    <w:p w14:paraId="1831364F" w14:textId="77777777" w:rsidR="005E347E" w:rsidRPr="00AA22C4" w:rsidRDefault="005E347E" w:rsidP="005E347E">
      <w:pPr>
        <w:pStyle w:val="Akapitzlist"/>
        <w:ind w:left="360"/>
        <w:jc w:val="both"/>
        <w:rPr>
          <w:rFonts w:ascii="Lato" w:hAnsi="Lato"/>
          <w:color w:val="000000" w:themeColor="text1"/>
          <w:sz w:val="22"/>
          <w:szCs w:val="22"/>
        </w:rPr>
      </w:pPr>
    </w:p>
    <w:p w14:paraId="3573D297" w14:textId="016BEF61" w:rsidR="005E347E" w:rsidRPr="00AA22C4" w:rsidRDefault="005E347E" w:rsidP="00895A8C">
      <w:pPr>
        <w:widowControl/>
        <w:spacing w:line="240" w:lineRule="auto"/>
        <w:rPr>
          <w:rFonts w:ascii="Lato" w:hAnsi="Lato"/>
          <w:b/>
          <w:bCs/>
          <w:color w:val="000000" w:themeColor="text1"/>
          <w:sz w:val="22"/>
          <w:szCs w:val="22"/>
        </w:rPr>
      </w:pPr>
      <w:r w:rsidRPr="00AA22C4">
        <w:rPr>
          <w:rFonts w:ascii="Lato" w:hAnsi="Lato"/>
          <w:color w:val="000000" w:themeColor="text1"/>
          <w:sz w:val="22"/>
          <w:szCs w:val="22"/>
        </w:rPr>
        <w:br w:type="page"/>
      </w:r>
      <w:r w:rsidRPr="00AA22C4">
        <w:rPr>
          <w:rFonts w:ascii="Lato" w:hAnsi="Lato"/>
          <w:b/>
          <w:bCs/>
          <w:color w:val="000000" w:themeColor="text1"/>
          <w:sz w:val="22"/>
          <w:szCs w:val="22"/>
        </w:rPr>
        <w:lastRenderedPageBreak/>
        <w:t>Schemat diagnostyczny SCID/SMA:</w:t>
      </w:r>
    </w:p>
    <w:p w14:paraId="3762B09D" w14:textId="77777777" w:rsidR="005E347E" w:rsidRPr="00AA22C4" w:rsidRDefault="005E347E" w:rsidP="005E347E">
      <w:pPr>
        <w:widowControl/>
        <w:spacing w:line="240" w:lineRule="auto"/>
        <w:rPr>
          <w:rFonts w:ascii="Lato" w:hAnsi="Lato"/>
          <w:b/>
          <w:bCs/>
          <w:color w:val="000000" w:themeColor="text1"/>
        </w:rPr>
      </w:pPr>
    </w:p>
    <w:p w14:paraId="601E54FE" w14:textId="3AE6E3E4" w:rsidR="005E347E" w:rsidRPr="00AA22C4" w:rsidRDefault="005110F2" w:rsidP="005E347E">
      <w:pPr>
        <w:widowControl/>
        <w:ind w:left="360"/>
        <w:jc w:val="both"/>
        <w:rPr>
          <w:rFonts w:ascii="Lato" w:hAnsi="Lato"/>
          <w:b/>
          <w:bCs/>
          <w:color w:val="000000" w:themeColor="text1"/>
        </w:rPr>
      </w:pPr>
      <w:r w:rsidRPr="00AA22C4">
        <w:rPr>
          <w:noProof/>
          <w:color w:val="000000" w:themeColor="text1"/>
        </w:rPr>
        <mc:AlternateContent>
          <mc:Choice Requires="wpg">
            <w:drawing>
              <wp:anchor distT="0" distB="0" distL="114300" distR="114300" simplePos="0" relativeHeight="251655680" behindDoc="0" locked="0" layoutInCell="1" allowOverlap="1" wp14:anchorId="706F1E29" wp14:editId="4CB79BF5">
                <wp:simplePos x="0" y="0"/>
                <wp:positionH relativeFrom="column">
                  <wp:posOffset>-363220</wp:posOffset>
                </wp:positionH>
                <wp:positionV relativeFrom="paragraph">
                  <wp:posOffset>308610</wp:posOffset>
                </wp:positionV>
                <wp:extent cx="6221730" cy="7320915"/>
                <wp:effectExtent l="57150" t="38100" r="7620" b="51435"/>
                <wp:wrapNone/>
                <wp:docPr id="751175820" name="Grupa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1730" cy="7320915"/>
                          <a:chOff x="471619" y="-162364"/>
                          <a:chExt cx="6884367" cy="7068507"/>
                        </a:xfrm>
                      </wpg:grpSpPr>
                      <wpg:grpSp>
                        <wpg:cNvPr id="49" name="Grupa 49"/>
                        <wpg:cNvGrpSpPr/>
                        <wpg:grpSpPr>
                          <a:xfrm>
                            <a:off x="4221527" y="2828426"/>
                            <a:ext cx="954066" cy="759922"/>
                            <a:chOff x="4215372" y="1644360"/>
                            <a:chExt cx="813405" cy="759922"/>
                          </a:xfrm>
                        </wpg:grpSpPr>
                        <wps:wsp>
                          <wps:cNvPr id="50" name="Łącznik prosty ze strzałką 50"/>
                          <wps:cNvCnPr>
                            <a:cxnSpLocks/>
                          </wps:cNvCnPr>
                          <wps:spPr>
                            <a:xfrm flipV="1">
                              <a:off x="4215372" y="2404010"/>
                              <a:ext cx="813405" cy="1"/>
                            </a:xfrm>
                            <a:prstGeom prst="straightConnector1">
                              <a:avLst/>
                            </a:prstGeom>
                            <a:noFill/>
                            <a:ln w="6350" cap="flat" cmpd="sng" algn="ctr">
                              <a:solidFill>
                                <a:srgbClr val="4472C4"/>
                              </a:solidFill>
                              <a:prstDash val="solid"/>
                              <a:miter lim="800000"/>
                              <a:headEnd type="none" w="med" len="med"/>
                              <a:tailEnd type="none" w="med" len="med"/>
                            </a:ln>
                            <a:effectLst/>
                          </wps:spPr>
                          <wps:bodyPr/>
                        </wps:wsp>
                        <wps:wsp>
                          <wps:cNvPr id="51" name="Łącznik prosty ze strzałką 51"/>
                          <wps:cNvCnPr>
                            <a:cxnSpLocks/>
                          </wps:cNvCnPr>
                          <wps:spPr>
                            <a:xfrm flipV="1">
                              <a:off x="5017184" y="1644360"/>
                              <a:ext cx="0" cy="759922"/>
                            </a:xfrm>
                            <a:prstGeom prst="straightConnector1">
                              <a:avLst/>
                            </a:prstGeom>
                            <a:noFill/>
                            <a:ln w="6350" cap="flat" cmpd="sng" algn="ctr">
                              <a:solidFill>
                                <a:srgbClr val="4472C4"/>
                              </a:solidFill>
                              <a:prstDash val="solid"/>
                              <a:miter lim="800000"/>
                              <a:tailEnd type="triangle"/>
                            </a:ln>
                            <a:effectLst/>
                          </wps:spPr>
                          <wps:bodyPr/>
                        </wps:wsp>
                      </wpg:grpSp>
                      <wps:wsp>
                        <wps:cNvPr id="52" name="Prostokąt 52"/>
                        <wps:cNvSpPr/>
                        <wps:spPr>
                          <a:xfrm>
                            <a:off x="4586451" y="2474671"/>
                            <a:ext cx="1477460" cy="360000"/>
                          </a:xfrm>
                          <a:prstGeom prst="rect">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w="6350" cap="flat" cmpd="sng" algn="ctr">
                            <a:solidFill>
                              <a:srgbClr val="FFC000"/>
                            </a:solidFill>
                            <a:prstDash val="solid"/>
                            <a:miter lim="800000"/>
                          </a:ln>
                          <a:effectLst/>
                        </wps:spPr>
                        <wps:txbx>
                          <w:txbxContent>
                            <w:p w14:paraId="2044B19E" w14:textId="77777777" w:rsidR="007611BB" w:rsidRDefault="007611BB" w:rsidP="005E347E">
                              <w:pPr>
                                <w:pStyle w:val="NormalnyWeb"/>
                                <w:spacing w:before="0" w:beforeAutospacing="0" w:after="0"/>
                                <w:jc w:val="center"/>
                              </w:pPr>
                              <w:r>
                                <w:rPr>
                                  <w:rFonts w:ascii="Calibri" w:hAnsi="Calibri" w:cs="Cordia New"/>
                                  <w:color w:val="000000"/>
                                  <w:kern w:val="24"/>
                                  <w:sz w:val="18"/>
                                  <w:szCs w:val="18"/>
                                </w:rPr>
                                <w:t>TREC/KREC/</w:t>
                              </w:r>
                              <w:r>
                                <w:rPr>
                                  <w:rFonts w:ascii="Calibri" w:hAnsi="Calibri" w:cs="Cordia New"/>
                                  <w:i/>
                                  <w:iCs/>
                                  <w:color w:val="000000"/>
                                  <w:kern w:val="24"/>
                                  <w:sz w:val="18"/>
                                  <w:szCs w:val="18"/>
                                </w:rPr>
                                <w:t>SMN1</w:t>
                              </w:r>
                              <w:r>
                                <w:rPr>
                                  <w:rFonts w:ascii="Calibri" w:hAnsi="Calibri" w:cs="Cordia New"/>
                                  <w:color w:val="000000"/>
                                  <w:kern w:val="24"/>
                                  <w:sz w:val="18"/>
                                  <w:szCs w:val="18"/>
                                </w:rPr>
                                <w:t xml:space="preserve"> w zakresie normy</w:t>
                              </w:r>
                            </w:p>
                            <w:p w14:paraId="065EC52E" w14:textId="77777777" w:rsidR="007611BB" w:rsidRDefault="007611BB" w:rsidP="005E347E">
                              <w:pPr>
                                <w:pStyle w:val="NormalnyWeb"/>
                                <w:spacing w:before="0" w:beforeAutospacing="0" w:after="0"/>
                                <w:jc w:val="center"/>
                              </w:pPr>
                              <w:r>
                                <w:rPr>
                                  <w:rFonts w:ascii="Calibri" w:hAnsi="Calibri" w:cs="Cordia New"/>
                                  <w:b/>
                                  <w:bCs/>
                                  <w:color w:val="000000"/>
                                  <w:kern w:val="24"/>
                                  <w:sz w:val="18"/>
                                  <w:szCs w:val="18"/>
                                </w:rPr>
                                <w:t>wynik prawidłowy</w:t>
                              </w:r>
                            </w:p>
                          </w:txbxContent>
                        </wps:txbx>
                        <wps:bodyPr rtlCol="0" anchor="ctr"/>
                      </wps:wsp>
                      <wps:wsp>
                        <wps:cNvPr id="53" name="Łącznik prosty ze strzałką 53"/>
                        <wps:cNvCnPr>
                          <a:cxnSpLocks/>
                          <a:stCxn id="1634955948" idx="3"/>
                        </wps:cNvCnPr>
                        <wps:spPr>
                          <a:xfrm>
                            <a:off x="4221528" y="2646393"/>
                            <a:ext cx="364925" cy="0"/>
                          </a:xfrm>
                          <a:prstGeom prst="straightConnector1">
                            <a:avLst/>
                          </a:prstGeom>
                          <a:noFill/>
                          <a:ln w="6350" cap="flat" cmpd="sng" algn="ctr">
                            <a:solidFill>
                              <a:srgbClr val="4472C4"/>
                            </a:solidFill>
                            <a:prstDash val="solid"/>
                            <a:miter lim="800000"/>
                            <a:tailEnd type="triangle"/>
                          </a:ln>
                          <a:effectLst/>
                        </wps:spPr>
                        <wps:bodyPr/>
                      </wps:wsp>
                      <wps:wsp>
                        <wps:cNvPr id="54" name="Łącznik prosty ze strzałką 54"/>
                        <wps:cNvCnPr>
                          <a:cxnSpLocks/>
                        </wps:cNvCnPr>
                        <wps:spPr>
                          <a:xfrm>
                            <a:off x="3169585" y="5176746"/>
                            <a:ext cx="0" cy="612000"/>
                          </a:xfrm>
                          <a:prstGeom prst="straightConnector1">
                            <a:avLst/>
                          </a:prstGeom>
                          <a:noFill/>
                          <a:ln w="6350" cap="flat" cmpd="sng" algn="ctr">
                            <a:solidFill>
                              <a:srgbClr val="4472C4"/>
                            </a:solidFill>
                            <a:prstDash val="solid"/>
                            <a:miter lim="800000"/>
                            <a:tailEnd type="triangle"/>
                          </a:ln>
                          <a:effectLst/>
                        </wps:spPr>
                        <wps:bodyPr/>
                      </wps:wsp>
                      <wpg:grpSp>
                        <wpg:cNvPr id="55" name="Grupa 55"/>
                        <wpg:cNvGrpSpPr/>
                        <wpg:grpSpPr>
                          <a:xfrm>
                            <a:off x="2741796" y="1930970"/>
                            <a:ext cx="1280515" cy="521709"/>
                            <a:chOff x="2604541" y="1930973"/>
                            <a:chExt cx="1280515" cy="618531"/>
                          </a:xfrm>
                        </wpg:grpSpPr>
                        <wps:wsp>
                          <wps:cNvPr id="56" name="Łącznik prosty 56"/>
                          <wps:cNvCnPr/>
                          <wps:spPr>
                            <a:xfrm flipH="1">
                              <a:off x="3244799" y="1930973"/>
                              <a:ext cx="1" cy="252000"/>
                            </a:xfrm>
                            <a:prstGeom prst="line">
                              <a:avLst/>
                            </a:prstGeom>
                            <a:noFill/>
                            <a:ln w="6350" cap="flat" cmpd="sng" algn="ctr">
                              <a:solidFill>
                                <a:srgbClr val="4472C4"/>
                              </a:solidFill>
                              <a:prstDash val="solid"/>
                              <a:miter lim="800000"/>
                            </a:ln>
                            <a:effectLst/>
                          </wps:spPr>
                          <wps:bodyPr/>
                        </wps:wsp>
                        <wpg:grpSp>
                          <wpg:cNvPr id="57" name="Grupa 57"/>
                          <wpg:cNvGrpSpPr/>
                          <wpg:grpSpPr>
                            <a:xfrm>
                              <a:off x="2604541" y="2189504"/>
                              <a:ext cx="1280515" cy="360000"/>
                              <a:chOff x="2604541" y="2189504"/>
                              <a:chExt cx="1280515" cy="360000"/>
                            </a:xfrm>
                          </wpg:grpSpPr>
                          <wps:wsp>
                            <wps:cNvPr id="58" name="Łącznik prosty ze strzałką 58"/>
                            <wps:cNvCnPr>
                              <a:cxnSpLocks/>
                            </wps:cNvCnPr>
                            <wps:spPr>
                              <a:xfrm>
                                <a:off x="3885056" y="2189504"/>
                                <a:ext cx="0" cy="360000"/>
                              </a:xfrm>
                              <a:prstGeom prst="straightConnector1">
                                <a:avLst/>
                              </a:prstGeom>
                              <a:noFill/>
                              <a:ln w="6350" cap="flat" cmpd="sng" algn="ctr">
                                <a:solidFill>
                                  <a:srgbClr val="4472C4"/>
                                </a:solidFill>
                                <a:prstDash val="solid"/>
                                <a:miter lim="800000"/>
                                <a:tailEnd type="triangle"/>
                              </a:ln>
                              <a:effectLst/>
                            </wps:spPr>
                            <wps:bodyPr/>
                          </wps:wsp>
                          <wps:wsp>
                            <wps:cNvPr id="59" name="Łącznik prosty 59"/>
                            <wps:cNvCnPr>
                              <a:cxnSpLocks/>
                            </wps:cNvCnPr>
                            <wps:spPr>
                              <a:xfrm>
                                <a:off x="2604541" y="2189504"/>
                                <a:ext cx="1278262" cy="0"/>
                              </a:xfrm>
                              <a:prstGeom prst="line">
                                <a:avLst/>
                              </a:prstGeom>
                              <a:noFill/>
                              <a:ln w="6350" cap="flat" cmpd="sng" algn="ctr">
                                <a:solidFill>
                                  <a:srgbClr val="4472C4"/>
                                </a:solidFill>
                                <a:prstDash val="solid"/>
                                <a:miter lim="800000"/>
                              </a:ln>
                              <a:effectLst/>
                            </wps:spPr>
                            <wps:bodyPr/>
                          </wps:wsp>
                          <wps:wsp>
                            <wps:cNvPr id="60" name="Łącznik prosty ze strzałką 60"/>
                            <wps:cNvCnPr>
                              <a:cxnSpLocks/>
                            </wps:cNvCnPr>
                            <wps:spPr>
                              <a:xfrm>
                                <a:off x="2609823" y="2189504"/>
                                <a:ext cx="0" cy="360000"/>
                              </a:xfrm>
                              <a:prstGeom prst="straightConnector1">
                                <a:avLst/>
                              </a:prstGeom>
                              <a:noFill/>
                              <a:ln w="6350" cap="flat" cmpd="sng" algn="ctr">
                                <a:solidFill>
                                  <a:srgbClr val="4472C4"/>
                                </a:solidFill>
                                <a:prstDash val="solid"/>
                                <a:miter lim="800000"/>
                                <a:tailEnd type="triangle"/>
                              </a:ln>
                              <a:effectLst/>
                            </wps:spPr>
                            <wps:bodyPr/>
                          </wps:wsp>
                        </wpg:grpSp>
                      </wpg:grpSp>
                      <wps:wsp>
                        <wps:cNvPr id="61" name="Łącznik prosty ze strzałką 61"/>
                        <wps:cNvCnPr>
                          <a:cxnSpLocks/>
                        </wps:cNvCnPr>
                        <wps:spPr>
                          <a:xfrm>
                            <a:off x="5150826" y="488980"/>
                            <a:ext cx="0" cy="216000"/>
                          </a:xfrm>
                          <a:prstGeom prst="straightConnector1">
                            <a:avLst/>
                          </a:prstGeom>
                          <a:noFill/>
                          <a:ln w="6350" cap="flat" cmpd="sng" algn="ctr">
                            <a:solidFill>
                              <a:srgbClr val="4472C4"/>
                            </a:solidFill>
                            <a:prstDash val="solid"/>
                            <a:miter lim="800000"/>
                            <a:tailEnd type="triangle"/>
                          </a:ln>
                          <a:effectLst/>
                        </wps:spPr>
                        <wps:bodyPr/>
                      </wps:wsp>
                      <wps:wsp>
                        <wps:cNvPr id="62" name="Prostokąt 62"/>
                        <wps:cNvSpPr/>
                        <wps:spPr>
                          <a:xfrm>
                            <a:off x="4204454" y="-162364"/>
                            <a:ext cx="1770078" cy="220702"/>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14:paraId="4E3415BF" w14:textId="77777777" w:rsidR="007611BB" w:rsidRDefault="007611BB" w:rsidP="005E347E">
                              <w:pPr>
                                <w:pStyle w:val="NormalnyWeb"/>
                                <w:spacing w:before="0" w:beforeAutospacing="0" w:after="0"/>
                                <w:jc w:val="center"/>
                              </w:pPr>
                              <w:r>
                                <w:rPr>
                                  <w:rFonts w:ascii="Calibri" w:hAnsi="Calibri" w:cs="Cordia New"/>
                                  <w:color w:val="000000"/>
                                  <w:kern w:val="24"/>
                                  <w:sz w:val="18"/>
                                  <w:szCs w:val="18"/>
                                </w:rPr>
                                <w:t>Zgoda na wykonanie badania</w:t>
                              </w:r>
                            </w:p>
                          </w:txbxContent>
                        </wps:txbx>
                        <wps:bodyPr rtlCol="0" anchor="ctr"/>
                      </wps:wsp>
                      <wps:wsp>
                        <wps:cNvPr id="63" name="pole tekstowe 3"/>
                        <wps:cNvSpPr txBox="1"/>
                        <wps:spPr>
                          <a:xfrm>
                            <a:off x="5144043" y="1234716"/>
                            <a:ext cx="505845" cy="246221"/>
                          </a:xfrm>
                          <a:prstGeom prst="rect">
                            <a:avLst/>
                          </a:prstGeom>
                          <a:noFill/>
                        </wps:spPr>
                        <wps:txbx>
                          <w:txbxContent>
                            <w:p w14:paraId="24FB0655" w14:textId="77777777" w:rsidR="007611BB" w:rsidRDefault="007611BB" w:rsidP="005E347E">
                              <w:pPr>
                                <w:pStyle w:val="NormalnyWeb"/>
                                <w:spacing w:before="0" w:beforeAutospacing="0" w:after="0"/>
                              </w:pPr>
                              <w:r w:rsidRPr="0015358E">
                                <w:rPr>
                                  <w:rFonts w:ascii="Calibri" w:hAnsi="Calibri"/>
                                  <w:color w:val="000000"/>
                                  <w:kern w:val="24"/>
                                  <w:sz w:val="20"/>
                                  <w:szCs w:val="20"/>
                                </w:rPr>
                                <w:t>TAK</w:t>
                              </w:r>
                            </w:p>
                          </w:txbxContent>
                        </wps:txbx>
                        <wps:bodyPr wrap="square" rtlCol="0">
                          <a:noAutofit/>
                        </wps:bodyPr>
                      </wps:wsp>
                      <wps:wsp>
                        <wps:cNvPr id="1634955936" name="Prostokąt 1634955936"/>
                        <wps:cNvSpPr/>
                        <wps:spPr>
                          <a:xfrm>
                            <a:off x="4231304" y="269022"/>
                            <a:ext cx="1770078" cy="219963"/>
                          </a:xfrm>
                          <a:prstGeom prst="rect">
                            <a:avLst/>
                          </a:prstGeom>
                          <a:solidFill>
                            <a:srgbClr val="5B9BD5">
                              <a:lumMod val="40000"/>
                              <a:lumOff val="60000"/>
                            </a:srgbClr>
                          </a:solidFill>
                          <a:ln>
                            <a:noFill/>
                          </a:ln>
                          <a:effectLst>
                            <a:outerShdw blurRad="57150" dist="19050" dir="5400000" algn="ctr" rotWithShape="0">
                              <a:srgbClr val="000000">
                                <a:alpha val="63000"/>
                              </a:srgbClr>
                            </a:outerShdw>
                          </a:effectLst>
                        </wps:spPr>
                        <wps:txbx>
                          <w:txbxContent>
                            <w:p w14:paraId="13ED7329" w14:textId="77777777" w:rsidR="007611BB" w:rsidRDefault="007611BB" w:rsidP="005E347E">
                              <w:pPr>
                                <w:pStyle w:val="NormalnyWeb"/>
                                <w:spacing w:before="0" w:beforeAutospacing="0" w:after="0"/>
                                <w:jc w:val="center"/>
                              </w:pPr>
                              <w:r>
                                <w:rPr>
                                  <w:rFonts w:ascii="Calibri" w:hAnsi="Calibri" w:cs="Cordia New"/>
                                  <w:color w:val="000000"/>
                                  <w:kern w:val="24"/>
                                  <w:sz w:val="18"/>
                                  <w:szCs w:val="18"/>
                                </w:rPr>
                                <w:t>Ekstrakcja DNA + test qRT-PCR</w:t>
                              </w:r>
                            </w:p>
                          </w:txbxContent>
                        </wps:txbx>
                        <wps:bodyPr rtlCol="0" anchor="ctr"/>
                      </wps:wsp>
                      <wps:wsp>
                        <wps:cNvPr id="1634955937" name="Łącznik prosty ze strzałką 1634955937"/>
                        <wps:cNvCnPr>
                          <a:cxnSpLocks/>
                        </wps:cNvCnPr>
                        <wps:spPr>
                          <a:xfrm>
                            <a:off x="5144043" y="58340"/>
                            <a:ext cx="0" cy="216000"/>
                          </a:xfrm>
                          <a:prstGeom prst="straightConnector1">
                            <a:avLst/>
                          </a:prstGeom>
                          <a:noFill/>
                          <a:ln w="6350" cap="flat" cmpd="sng" algn="ctr">
                            <a:solidFill>
                              <a:srgbClr val="4472C4"/>
                            </a:solidFill>
                            <a:prstDash val="solid"/>
                            <a:miter lim="800000"/>
                            <a:tailEnd type="triangle"/>
                          </a:ln>
                          <a:effectLst/>
                        </wps:spPr>
                        <wps:bodyPr/>
                      </wps:wsp>
                      <wps:wsp>
                        <wps:cNvPr id="1634955938" name="pole tekstowe 9"/>
                        <wps:cNvSpPr txBox="1"/>
                        <wps:spPr>
                          <a:xfrm>
                            <a:off x="1887862" y="2396648"/>
                            <a:ext cx="487727" cy="246221"/>
                          </a:xfrm>
                          <a:prstGeom prst="rect">
                            <a:avLst/>
                          </a:prstGeom>
                          <a:noFill/>
                        </wps:spPr>
                        <wps:txbx>
                          <w:txbxContent>
                            <w:p w14:paraId="7E06496C" w14:textId="77777777" w:rsidR="007611BB" w:rsidRDefault="007611BB" w:rsidP="005E347E">
                              <w:pPr>
                                <w:pStyle w:val="NormalnyWeb"/>
                                <w:spacing w:before="0" w:beforeAutospacing="0" w:after="0"/>
                              </w:pPr>
                              <w:r w:rsidRPr="0015358E">
                                <w:rPr>
                                  <w:rFonts w:ascii="Calibri" w:hAnsi="Calibri"/>
                                  <w:color w:val="000000"/>
                                  <w:kern w:val="24"/>
                                  <w:sz w:val="20"/>
                                  <w:szCs w:val="20"/>
                                </w:rPr>
                                <w:t>TAK</w:t>
                              </w:r>
                            </w:p>
                          </w:txbxContent>
                        </wps:txbx>
                        <wps:bodyPr wrap="square" rtlCol="0">
                          <a:noAutofit/>
                        </wps:bodyPr>
                      </wps:wsp>
                      <wps:wsp>
                        <wps:cNvPr id="1634955939" name="Łącznik prosty ze strzałką 1634955939"/>
                        <wps:cNvCnPr>
                          <a:cxnSpLocks/>
                        </wps:cNvCnPr>
                        <wps:spPr>
                          <a:xfrm>
                            <a:off x="5161996" y="2005683"/>
                            <a:ext cx="0" cy="468000"/>
                          </a:xfrm>
                          <a:prstGeom prst="straightConnector1">
                            <a:avLst/>
                          </a:prstGeom>
                          <a:noFill/>
                          <a:ln w="6350" cap="flat" cmpd="sng" algn="ctr">
                            <a:solidFill>
                              <a:srgbClr val="4472C4"/>
                            </a:solidFill>
                            <a:prstDash val="solid"/>
                            <a:miter lim="800000"/>
                            <a:tailEnd type="triangle"/>
                          </a:ln>
                          <a:effectLst/>
                        </wps:spPr>
                        <wps:bodyPr/>
                      </wps:wsp>
                      <wps:wsp>
                        <wps:cNvPr id="1634955940" name="Prostokąt 1634955940"/>
                        <wps:cNvSpPr/>
                        <wps:spPr>
                          <a:xfrm>
                            <a:off x="4328518" y="728576"/>
                            <a:ext cx="1454302" cy="472032"/>
                          </a:xfrm>
                          <a:prstGeom prst="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a:outerShdw blurRad="50800" dist="38100" dir="2700000" algn="tl" rotWithShape="0">
                              <a:prstClr val="black">
                                <a:alpha val="40000"/>
                              </a:prstClr>
                            </a:outerShdw>
                          </a:effectLst>
                        </wps:spPr>
                        <wps:txbx>
                          <w:txbxContent>
                            <w:p w14:paraId="54E55CB2" w14:textId="77777777" w:rsidR="007611BB" w:rsidRDefault="007611BB" w:rsidP="005E347E">
                              <w:pPr>
                                <w:pStyle w:val="NormalnyWeb"/>
                                <w:spacing w:before="0" w:beforeAutospacing="0" w:after="0"/>
                                <w:jc w:val="center"/>
                              </w:pPr>
                              <w:r>
                                <w:rPr>
                                  <w:rFonts w:ascii="Calibri" w:hAnsi="Calibri" w:cs="Cordia New"/>
                                  <w:color w:val="000000"/>
                                  <w:kern w:val="24"/>
                                  <w:sz w:val="18"/>
                                  <w:szCs w:val="18"/>
                                </w:rPr>
                                <w:t xml:space="preserve">Ocena amplifikacji </w:t>
                              </w:r>
                              <w:r>
                                <w:rPr>
                                  <w:rFonts w:ascii="Calibri" w:hAnsi="Calibri" w:cs="Cordia New"/>
                                  <w:i/>
                                  <w:iCs/>
                                  <w:color w:val="000000"/>
                                  <w:kern w:val="24"/>
                                  <w:sz w:val="18"/>
                                  <w:szCs w:val="18"/>
                                </w:rPr>
                                <w:t>ACTB</w:t>
                              </w:r>
                            </w:p>
                            <w:p w14:paraId="7E21FE43" w14:textId="77777777" w:rsidR="007611BB" w:rsidRDefault="007611BB" w:rsidP="005E347E">
                              <w:pPr>
                                <w:pStyle w:val="NormalnyWeb"/>
                                <w:spacing w:before="0" w:beforeAutospacing="0" w:after="0"/>
                                <w:jc w:val="center"/>
                              </w:pPr>
                              <w:r>
                                <w:rPr>
                                  <w:rFonts w:ascii="Calibri" w:hAnsi="Calibri" w:cs="Cordia New"/>
                                  <w:color w:val="000000"/>
                                  <w:kern w:val="24"/>
                                  <w:sz w:val="18"/>
                                  <w:szCs w:val="18"/>
                                </w:rPr>
                                <w:t>&lt;50000 kopii + prawidłowa krzywa amplifikacyjna</w:t>
                              </w:r>
                            </w:p>
                          </w:txbxContent>
                        </wps:txbx>
                        <wps:bodyPr rtlCol="0" anchor="ctr"/>
                      </wps:wsp>
                      <wps:wsp>
                        <wps:cNvPr id="1634955941" name="pole tekstowe 20"/>
                        <wps:cNvSpPr txBox="1"/>
                        <wps:spPr>
                          <a:xfrm>
                            <a:off x="4616700" y="1482389"/>
                            <a:ext cx="1114172" cy="516255"/>
                          </a:xfrm>
                          <a:prstGeom prst="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a:outerShdw blurRad="50800" dist="38100" dir="2700000" algn="tl" rotWithShape="0">
                              <a:prstClr val="black">
                                <a:alpha val="40000"/>
                              </a:prstClr>
                            </a:outerShdw>
                          </a:effectLst>
                        </wps:spPr>
                        <wps:txbx>
                          <w:txbxContent>
                            <w:p w14:paraId="02F32212" w14:textId="77777777" w:rsidR="007611BB" w:rsidRDefault="007611BB" w:rsidP="005E347E">
                              <w:pPr>
                                <w:pStyle w:val="NormalnyWeb"/>
                                <w:spacing w:before="0" w:beforeAutospacing="0" w:after="0"/>
                                <w:jc w:val="center"/>
                              </w:pPr>
                              <w:r w:rsidRPr="0015358E">
                                <w:rPr>
                                  <w:rFonts w:ascii="Calibri" w:hAnsi="Calibri"/>
                                  <w:color w:val="000000"/>
                                  <w:kern w:val="24"/>
                                  <w:sz w:val="18"/>
                                  <w:szCs w:val="18"/>
                                </w:rPr>
                                <w:t>TREC &gt;6 i ≤1200</w:t>
                              </w:r>
                            </w:p>
                            <w:p w14:paraId="446ECFE6" w14:textId="77777777" w:rsidR="007611BB" w:rsidRDefault="007611BB" w:rsidP="005E347E">
                              <w:pPr>
                                <w:pStyle w:val="NormalnyWeb"/>
                                <w:spacing w:before="0" w:beforeAutospacing="0" w:after="0"/>
                                <w:jc w:val="center"/>
                              </w:pPr>
                              <w:r w:rsidRPr="0015358E">
                                <w:rPr>
                                  <w:rFonts w:ascii="Calibri" w:hAnsi="Calibri"/>
                                  <w:color w:val="000000"/>
                                  <w:kern w:val="24"/>
                                  <w:sz w:val="18"/>
                                  <w:szCs w:val="18"/>
                                </w:rPr>
                                <w:t>KREC &gt;4 i ≤800</w:t>
                              </w:r>
                            </w:p>
                            <w:p w14:paraId="6A2A8FB5" w14:textId="77777777" w:rsidR="007611BB" w:rsidRDefault="007611BB" w:rsidP="005E347E">
                              <w:pPr>
                                <w:pStyle w:val="NormalnyWeb"/>
                                <w:spacing w:before="0" w:beforeAutospacing="0" w:after="0"/>
                                <w:jc w:val="center"/>
                              </w:pPr>
                              <w:r w:rsidRPr="0015358E">
                                <w:rPr>
                                  <w:rFonts w:ascii="Calibri" w:hAnsi="Calibri"/>
                                  <w:i/>
                                  <w:iCs/>
                                  <w:color w:val="000000"/>
                                  <w:kern w:val="24"/>
                                  <w:sz w:val="18"/>
                                  <w:szCs w:val="18"/>
                                </w:rPr>
                                <w:t>SMN1</w:t>
                              </w:r>
                              <w:r w:rsidRPr="0015358E">
                                <w:rPr>
                                  <w:rFonts w:ascii="Calibri" w:hAnsi="Calibri"/>
                                  <w:color w:val="000000"/>
                                  <w:kern w:val="24"/>
                                  <w:sz w:val="18"/>
                                  <w:szCs w:val="18"/>
                                </w:rPr>
                                <w:t xml:space="preserve"> &gt;21 i ≤32</w:t>
                              </w:r>
                            </w:p>
                          </w:txbxContent>
                        </wps:txbx>
                        <wps:bodyPr wrap="square" rtlCol="0">
                          <a:noAutofit/>
                        </wps:bodyPr>
                      </wps:wsp>
                      <wps:wsp>
                        <wps:cNvPr id="1634955942" name="pole tekstowe 35"/>
                        <wps:cNvSpPr txBox="1"/>
                        <wps:spPr>
                          <a:xfrm>
                            <a:off x="5188330" y="2137863"/>
                            <a:ext cx="505845" cy="246221"/>
                          </a:xfrm>
                          <a:prstGeom prst="rect">
                            <a:avLst/>
                          </a:prstGeom>
                          <a:noFill/>
                        </wps:spPr>
                        <wps:txbx>
                          <w:txbxContent>
                            <w:p w14:paraId="644AFEF6" w14:textId="77777777" w:rsidR="007611BB" w:rsidRDefault="007611BB" w:rsidP="005E347E">
                              <w:pPr>
                                <w:pStyle w:val="NormalnyWeb"/>
                                <w:spacing w:before="0" w:beforeAutospacing="0" w:after="0"/>
                              </w:pPr>
                              <w:r w:rsidRPr="0015358E">
                                <w:rPr>
                                  <w:rFonts w:ascii="Calibri" w:hAnsi="Calibri"/>
                                  <w:color w:val="000000"/>
                                  <w:kern w:val="24"/>
                                  <w:sz w:val="20"/>
                                  <w:szCs w:val="20"/>
                                </w:rPr>
                                <w:t>TAK</w:t>
                              </w:r>
                            </w:p>
                          </w:txbxContent>
                        </wps:txbx>
                        <wps:bodyPr wrap="square" rtlCol="0">
                          <a:noAutofit/>
                        </wps:bodyPr>
                      </wps:wsp>
                      <wps:wsp>
                        <wps:cNvPr id="1634955943" name="Łącznik prosty ze strzałką 1634955943"/>
                        <wps:cNvCnPr>
                          <a:cxnSpLocks/>
                          <a:stCxn id="1634955941" idx="1"/>
                          <a:endCxn id="1634955945" idx="3"/>
                        </wps:cNvCnPr>
                        <wps:spPr>
                          <a:xfrm flipH="1">
                            <a:off x="4113586" y="1740517"/>
                            <a:ext cx="503114" cy="7041"/>
                          </a:xfrm>
                          <a:prstGeom prst="straightConnector1">
                            <a:avLst/>
                          </a:prstGeom>
                          <a:noFill/>
                          <a:ln w="6350" cap="flat" cmpd="sng" algn="ctr">
                            <a:solidFill>
                              <a:srgbClr val="4472C4"/>
                            </a:solidFill>
                            <a:prstDash val="solid"/>
                            <a:miter lim="800000"/>
                            <a:tailEnd type="triangle"/>
                          </a:ln>
                          <a:effectLst/>
                        </wps:spPr>
                        <wps:bodyPr/>
                      </wps:wsp>
                      <wps:wsp>
                        <wps:cNvPr id="1634955944" name="pole tekstowe 37"/>
                        <wps:cNvSpPr txBox="1"/>
                        <wps:spPr>
                          <a:xfrm>
                            <a:off x="4113586" y="1496010"/>
                            <a:ext cx="503114" cy="246221"/>
                          </a:xfrm>
                          <a:prstGeom prst="rect">
                            <a:avLst/>
                          </a:prstGeom>
                          <a:noFill/>
                        </wps:spPr>
                        <wps:txbx>
                          <w:txbxContent>
                            <w:p w14:paraId="7CD51EFD" w14:textId="77777777" w:rsidR="007611BB" w:rsidRDefault="007611BB" w:rsidP="005E347E">
                              <w:pPr>
                                <w:pStyle w:val="NormalnyWeb"/>
                                <w:spacing w:before="0" w:beforeAutospacing="0" w:after="0"/>
                              </w:pPr>
                              <w:r w:rsidRPr="0015358E">
                                <w:rPr>
                                  <w:rFonts w:ascii="Calibri" w:hAnsi="Calibri"/>
                                  <w:color w:val="000000"/>
                                  <w:kern w:val="24"/>
                                  <w:sz w:val="20"/>
                                  <w:szCs w:val="20"/>
                                </w:rPr>
                                <w:t>NIE</w:t>
                              </w:r>
                            </w:p>
                          </w:txbxContent>
                        </wps:txbx>
                        <wps:bodyPr wrap="square" rtlCol="0">
                          <a:noAutofit/>
                        </wps:bodyPr>
                      </wps:wsp>
                      <wps:wsp>
                        <wps:cNvPr id="1634955945" name="pole tekstowe 38"/>
                        <wps:cNvSpPr txBox="1"/>
                        <wps:spPr>
                          <a:xfrm>
                            <a:off x="2375591" y="1489430"/>
                            <a:ext cx="1737995" cy="516255"/>
                          </a:xfrm>
                          <a:prstGeom prst="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a:outerShdw blurRad="50800" dist="38100" dir="2700000" algn="tl" rotWithShape="0">
                              <a:prstClr val="black">
                                <a:alpha val="40000"/>
                              </a:prstClr>
                            </a:outerShdw>
                          </a:effectLst>
                        </wps:spPr>
                        <wps:txbx>
                          <w:txbxContent>
                            <w:p w14:paraId="4930E9FD" w14:textId="77777777" w:rsidR="007611BB" w:rsidRDefault="007611BB" w:rsidP="005E347E">
                              <w:pPr>
                                <w:pStyle w:val="NormalnyWeb"/>
                                <w:spacing w:before="0" w:beforeAutospacing="0" w:after="0"/>
                                <w:jc w:val="center"/>
                              </w:pPr>
                              <w:r w:rsidRPr="0015358E">
                                <w:rPr>
                                  <w:rFonts w:ascii="Calibri" w:hAnsi="Calibri"/>
                                  <w:color w:val="000000"/>
                                  <w:kern w:val="24"/>
                                  <w:sz w:val="18"/>
                                  <w:szCs w:val="18"/>
                                </w:rPr>
                                <w:t>TREC ≤6 lub brak amplifikacji</w:t>
                              </w:r>
                            </w:p>
                            <w:p w14:paraId="748D5ABC" w14:textId="77777777" w:rsidR="007611BB" w:rsidRDefault="007611BB" w:rsidP="005E347E">
                              <w:pPr>
                                <w:pStyle w:val="NormalnyWeb"/>
                                <w:spacing w:before="0" w:beforeAutospacing="0" w:after="0"/>
                                <w:jc w:val="center"/>
                              </w:pPr>
                              <w:r w:rsidRPr="0015358E">
                                <w:rPr>
                                  <w:rFonts w:ascii="Calibri" w:hAnsi="Calibri"/>
                                  <w:color w:val="000000"/>
                                  <w:kern w:val="24"/>
                                  <w:sz w:val="18"/>
                                  <w:szCs w:val="18"/>
                                </w:rPr>
                                <w:t>KREC ≤4 lub brak amplifikacji</w:t>
                              </w:r>
                            </w:p>
                            <w:p w14:paraId="6DDED79A" w14:textId="77777777" w:rsidR="007611BB" w:rsidRDefault="007611BB" w:rsidP="005E347E">
                              <w:pPr>
                                <w:pStyle w:val="NormalnyWeb"/>
                                <w:spacing w:before="0" w:beforeAutospacing="0" w:after="0"/>
                                <w:jc w:val="center"/>
                              </w:pPr>
                              <w:r w:rsidRPr="0015358E">
                                <w:rPr>
                                  <w:rFonts w:ascii="Calibri" w:hAnsi="Calibri"/>
                                  <w:i/>
                                  <w:iCs/>
                                  <w:color w:val="000000"/>
                                  <w:kern w:val="24"/>
                                  <w:sz w:val="18"/>
                                  <w:szCs w:val="18"/>
                                </w:rPr>
                                <w:t>SMN1</w:t>
                              </w:r>
                              <w:r w:rsidRPr="0015358E">
                                <w:rPr>
                                  <w:rFonts w:ascii="Calibri" w:hAnsi="Calibri"/>
                                  <w:color w:val="000000"/>
                                  <w:kern w:val="24"/>
                                  <w:sz w:val="18"/>
                                  <w:szCs w:val="18"/>
                                </w:rPr>
                                <w:t xml:space="preserve"> &gt;32 lub brak amplifikacji </w:t>
                              </w:r>
                            </w:p>
                          </w:txbxContent>
                        </wps:txbx>
                        <wps:bodyPr wrap="square" rtlCol="0">
                          <a:noAutofit/>
                        </wps:bodyPr>
                      </wps:wsp>
                      <wps:wsp>
                        <wps:cNvPr id="1634955946" name="Łącznik prosty ze strzałką 1634955946"/>
                        <wps:cNvCnPr>
                          <a:cxnSpLocks/>
                        </wps:cNvCnPr>
                        <wps:spPr>
                          <a:xfrm>
                            <a:off x="5782821" y="999077"/>
                            <a:ext cx="404772" cy="0"/>
                          </a:xfrm>
                          <a:prstGeom prst="straightConnector1">
                            <a:avLst/>
                          </a:prstGeom>
                          <a:noFill/>
                          <a:ln w="6350" cap="flat" cmpd="sng" algn="ctr">
                            <a:solidFill>
                              <a:srgbClr val="4472C4"/>
                            </a:solidFill>
                            <a:prstDash val="solid"/>
                            <a:miter lim="800000"/>
                            <a:tailEnd type="triangle"/>
                          </a:ln>
                          <a:effectLst/>
                        </wps:spPr>
                        <wps:bodyPr/>
                      </wps:wsp>
                      <wps:wsp>
                        <wps:cNvPr id="1634955947" name="pole tekstowe 47"/>
                        <wps:cNvSpPr txBox="1"/>
                        <wps:spPr>
                          <a:xfrm>
                            <a:off x="5782365" y="742650"/>
                            <a:ext cx="401238" cy="246221"/>
                          </a:xfrm>
                          <a:prstGeom prst="rect">
                            <a:avLst/>
                          </a:prstGeom>
                          <a:noFill/>
                        </wps:spPr>
                        <wps:txbx>
                          <w:txbxContent>
                            <w:p w14:paraId="044A9162" w14:textId="77777777" w:rsidR="007611BB" w:rsidRDefault="007611BB" w:rsidP="005E347E">
                              <w:pPr>
                                <w:pStyle w:val="NormalnyWeb"/>
                                <w:spacing w:before="0" w:beforeAutospacing="0" w:after="0"/>
                              </w:pPr>
                              <w:r w:rsidRPr="0015358E">
                                <w:rPr>
                                  <w:rFonts w:ascii="Calibri" w:hAnsi="Calibri"/>
                                  <w:color w:val="000000"/>
                                  <w:kern w:val="24"/>
                                  <w:sz w:val="20"/>
                                  <w:szCs w:val="20"/>
                                </w:rPr>
                                <w:t>NIE</w:t>
                              </w:r>
                            </w:p>
                          </w:txbxContent>
                        </wps:txbx>
                        <wps:bodyPr wrap="square" rtlCol="0">
                          <a:noAutofit/>
                        </wps:bodyPr>
                      </wps:wsp>
                      <wps:wsp>
                        <wps:cNvPr id="1634955948" name="pole tekstowe 49"/>
                        <wps:cNvSpPr txBox="1"/>
                        <wps:spPr>
                          <a:xfrm>
                            <a:off x="3276783" y="2458116"/>
                            <a:ext cx="944745" cy="376555"/>
                          </a:xfrm>
                          <a:prstGeom prst="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a:outerShdw blurRad="50800" dist="38100" dir="2700000" algn="tl" rotWithShape="0">
                              <a:prstClr val="black">
                                <a:alpha val="40000"/>
                              </a:prstClr>
                            </a:outerShdw>
                          </a:effectLst>
                        </wps:spPr>
                        <wps:txbx>
                          <w:txbxContent>
                            <w:p w14:paraId="1E92C959" w14:textId="77777777" w:rsidR="007611BB" w:rsidRDefault="007611BB" w:rsidP="005E347E">
                              <w:pPr>
                                <w:pStyle w:val="NormalnyWeb"/>
                                <w:spacing w:before="0" w:beforeAutospacing="0" w:after="0"/>
                                <w:jc w:val="center"/>
                              </w:pPr>
                              <w:r>
                                <w:rPr>
                                  <w:rFonts w:ascii="Calibri" w:hAnsi="Calibri" w:cs="Cordia New"/>
                                  <w:color w:val="000000"/>
                                  <w:kern w:val="24"/>
                                  <w:sz w:val="18"/>
                                  <w:szCs w:val="18"/>
                                </w:rPr>
                                <w:t xml:space="preserve">prawidłowa krzywa </w:t>
                              </w:r>
                              <w:r>
                                <w:rPr>
                                  <w:rFonts w:ascii="Calibri" w:hAnsi="Calibri" w:cs="Cordia New"/>
                                  <w:color w:val="000000"/>
                                  <w:kern w:val="24"/>
                                  <w:sz w:val="18"/>
                                  <w:szCs w:val="18"/>
                                </w:rPr>
                                <w:br/>
                                <w:t>amplifikacyjna</w:t>
                              </w:r>
                            </w:p>
                          </w:txbxContent>
                        </wps:txbx>
                        <wps:bodyPr wrap="square" rtlCol="0">
                          <a:noAutofit/>
                        </wps:bodyPr>
                      </wps:wsp>
                      <wps:wsp>
                        <wps:cNvPr id="1634955949" name="Prostokąt 1634955949"/>
                        <wps:cNvSpPr/>
                        <wps:spPr>
                          <a:xfrm>
                            <a:off x="471620" y="2452717"/>
                            <a:ext cx="1338403" cy="360000"/>
                          </a:xfrm>
                          <a:prstGeom prst="rect">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w="6350" cap="flat" cmpd="sng" algn="ctr">
                            <a:solidFill>
                              <a:srgbClr val="FFC000"/>
                            </a:solidFill>
                            <a:prstDash val="solid"/>
                            <a:miter lim="800000"/>
                          </a:ln>
                          <a:effectLst/>
                        </wps:spPr>
                        <wps:txbx>
                          <w:txbxContent>
                            <w:p w14:paraId="2770CED0" w14:textId="77777777" w:rsidR="007611BB" w:rsidRDefault="007611BB" w:rsidP="005E347E">
                              <w:pPr>
                                <w:pStyle w:val="NormalnyWeb"/>
                                <w:spacing w:before="0" w:beforeAutospacing="0" w:after="0"/>
                                <w:jc w:val="center"/>
                              </w:pPr>
                              <w:r>
                                <w:rPr>
                                  <w:rFonts w:ascii="Calibri" w:hAnsi="Calibri" w:cs="Cordia New"/>
                                  <w:b/>
                                  <w:bCs/>
                                  <w:color w:val="000000"/>
                                  <w:kern w:val="24"/>
                                  <w:sz w:val="18"/>
                                  <w:szCs w:val="18"/>
                                </w:rPr>
                                <w:t>wynik nieprawidłowy</w:t>
                              </w:r>
                            </w:p>
                          </w:txbxContent>
                        </wps:txbx>
                        <wps:bodyPr rtlCol="0" anchor="ctr"/>
                      </wps:wsp>
                      <wps:wsp>
                        <wps:cNvPr id="1634955950" name="pole tekstowe 10"/>
                        <wps:cNvSpPr txBox="1"/>
                        <wps:spPr>
                          <a:xfrm>
                            <a:off x="2375591" y="2144122"/>
                            <a:ext cx="575666" cy="246221"/>
                          </a:xfrm>
                          <a:prstGeom prst="rect">
                            <a:avLst/>
                          </a:prstGeom>
                          <a:noFill/>
                        </wps:spPr>
                        <wps:txbx>
                          <w:txbxContent>
                            <w:p w14:paraId="723298FC" w14:textId="77777777" w:rsidR="007611BB" w:rsidRDefault="007611BB" w:rsidP="005E347E">
                              <w:pPr>
                                <w:pStyle w:val="NormalnyWeb"/>
                                <w:spacing w:before="0" w:beforeAutospacing="0" w:after="0"/>
                              </w:pPr>
                              <w:r w:rsidRPr="0015358E">
                                <w:rPr>
                                  <w:rFonts w:ascii="Calibri" w:hAnsi="Calibri"/>
                                  <w:color w:val="000000"/>
                                  <w:kern w:val="24"/>
                                  <w:sz w:val="20"/>
                                  <w:szCs w:val="20"/>
                                </w:rPr>
                                <w:t>TAK</w:t>
                              </w:r>
                            </w:p>
                          </w:txbxContent>
                        </wps:txbx>
                        <wps:bodyPr wrap="square" rtlCol="0">
                          <a:noAutofit/>
                        </wps:bodyPr>
                      </wps:wsp>
                      <wps:wsp>
                        <wps:cNvPr id="1634955952" name="pole tekstowe 13"/>
                        <wps:cNvSpPr txBox="1"/>
                        <wps:spPr>
                          <a:xfrm>
                            <a:off x="3676497" y="2137863"/>
                            <a:ext cx="437089" cy="246221"/>
                          </a:xfrm>
                          <a:prstGeom prst="rect">
                            <a:avLst/>
                          </a:prstGeom>
                          <a:noFill/>
                        </wps:spPr>
                        <wps:txbx>
                          <w:txbxContent>
                            <w:p w14:paraId="70D42E0D" w14:textId="77777777" w:rsidR="007611BB" w:rsidRDefault="007611BB" w:rsidP="005E347E">
                              <w:pPr>
                                <w:pStyle w:val="NormalnyWeb"/>
                                <w:spacing w:before="0" w:beforeAutospacing="0" w:after="0"/>
                              </w:pPr>
                              <w:r w:rsidRPr="0015358E">
                                <w:rPr>
                                  <w:rFonts w:ascii="Calibri" w:hAnsi="Calibri"/>
                                  <w:color w:val="000000"/>
                                  <w:kern w:val="24"/>
                                  <w:sz w:val="20"/>
                                  <w:szCs w:val="20"/>
                                </w:rPr>
                                <w:t>NIE</w:t>
                              </w:r>
                            </w:p>
                          </w:txbxContent>
                        </wps:txbx>
                        <wps:bodyPr wrap="square" rtlCol="0">
                          <a:noAutofit/>
                        </wps:bodyPr>
                      </wps:wsp>
                      <wps:wsp>
                        <wps:cNvPr id="1634955953" name="Łącznik prosty ze strzałką 1634955953"/>
                        <wps:cNvCnPr>
                          <a:cxnSpLocks/>
                        </wps:cNvCnPr>
                        <wps:spPr>
                          <a:xfrm>
                            <a:off x="5144043" y="1214878"/>
                            <a:ext cx="0" cy="252000"/>
                          </a:xfrm>
                          <a:prstGeom prst="straightConnector1">
                            <a:avLst/>
                          </a:prstGeom>
                          <a:noFill/>
                          <a:ln w="6350" cap="flat" cmpd="sng" algn="ctr">
                            <a:solidFill>
                              <a:srgbClr val="4472C4"/>
                            </a:solidFill>
                            <a:prstDash val="solid"/>
                            <a:miter lim="800000"/>
                            <a:tailEnd type="triangle"/>
                          </a:ln>
                          <a:effectLst/>
                        </wps:spPr>
                        <wps:bodyPr/>
                      </wps:wsp>
                      <wps:wsp>
                        <wps:cNvPr id="1634955954" name="pole tekstowe 23"/>
                        <wps:cNvSpPr txBox="1"/>
                        <wps:spPr>
                          <a:xfrm>
                            <a:off x="4616699" y="3342127"/>
                            <a:ext cx="558896" cy="246221"/>
                          </a:xfrm>
                          <a:prstGeom prst="rect">
                            <a:avLst/>
                          </a:prstGeom>
                          <a:noFill/>
                        </wps:spPr>
                        <wps:txbx>
                          <w:txbxContent>
                            <w:p w14:paraId="3238AA8A" w14:textId="77777777" w:rsidR="007611BB" w:rsidRDefault="007611BB" w:rsidP="005E347E">
                              <w:pPr>
                                <w:pStyle w:val="NormalnyWeb"/>
                                <w:spacing w:before="0" w:beforeAutospacing="0" w:after="0"/>
                              </w:pPr>
                              <w:r w:rsidRPr="0015358E">
                                <w:rPr>
                                  <w:rFonts w:ascii="Calibri" w:hAnsi="Calibri"/>
                                  <w:color w:val="000000"/>
                                  <w:kern w:val="24"/>
                                  <w:sz w:val="20"/>
                                  <w:szCs w:val="20"/>
                                </w:rPr>
                                <w:t>TAK</w:t>
                              </w:r>
                            </w:p>
                          </w:txbxContent>
                        </wps:txbx>
                        <wps:bodyPr wrap="square" rtlCol="0">
                          <a:noAutofit/>
                        </wps:bodyPr>
                      </wps:wsp>
                      <wps:wsp>
                        <wps:cNvPr id="1634955955" name="pole tekstowe 25"/>
                        <wps:cNvSpPr txBox="1"/>
                        <wps:spPr>
                          <a:xfrm>
                            <a:off x="2700677" y="2895223"/>
                            <a:ext cx="468909" cy="246221"/>
                          </a:xfrm>
                          <a:prstGeom prst="rect">
                            <a:avLst/>
                          </a:prstGeom>
                          <a:noFill/>
                        </wps:spPr>
                        <wps:txbx>
                          <w:txbxContent>
                            <w:p w14:paraId="07086E0F" w14:textId="77777777" w:rsidR="007611BB" w:rsidRDefault="007611BB" w:rsidP="005E347E">
                              <w:pPr>
                                <w:pStyle w:val="NormalnyWeb"/>
                                <w:spacing w:before="0" w:beforeAutospacing="0" w:after="0"/>
                              </w:pPr>
                              <w:r w:rsidRPr="0015358E">
                                <w:rPr>
                                  <w:rFonts w:ascii="Calibri" w:hAnsi="Calibri"/>
                                  <w:color w:val="000000"/>
                                  <w:kern w:val="24"/>
                                  <w:sz w:val="20"/>
                                  <w:szCs w:val="20"/>
                                </w:rPr>
                                <w:t>NIE</w:t>
                              </w:r>
                            </w:p>
                          </w:txbxContent>
                        </wps:txbx>
                        <wps:bodyPr wrap="square" rtlCol="0">
                          <a:noAutofit/>
                        </wps:bodyPr>
                      </wps:wsp>
                      <wps:wsp>
                        <wps:cNvPr id="1634955956" name="Łącznik prosty ze strzałką 1634955956"/>
                        <wps:cNvCnPr>
                          <a:cxnSpLocks/>
                        </wps:cNvCnPr>
                        <wps:spPr>
                          <a:xfrm rot="5400000" flipH="1">
                            <a:off x="2054420" y="2372869"/>
                            <a:ext cx="0" cy="540000"/>
                          </a:xfrm>
                          <a:prstGeom prst="straightConnector1">
                            <a:avLst/>
                          </a:prstGeom>
                          <a:noFill/>
                          <a:ln w="6350" cap="flat" cmpd="sng" algn="ctr">
                            <a:solidFill>
                              <a:srgbClr val="4472C4"/>
                            </a:solidFill>
                            <a:prstDash val="solid"/>
                            <a:miter lim="800000"/>
                            <a:tailEnd type="triangle"/>
                          </a:ln>
                          <a:effectLst/>
                        </wps:spPr>
                        <wps:bodyPr/>
                      </wps:wsp>
                      <wpg:grpSp>
                        <wpg:cNvPr id="1634955957" name="Grupa 1634955957"/>
                        <wpg:cNvGrpSpPr/>
                        <wpg:grpSpPr>
                          <a:xfrm>
                            <a:off x="2305740" y="1965406"/>
                            <a:ext cx="4419448" cy="1207310"/>
                            <a:chOff x="2604392" y="1965406"/>
                            <a:chExt cx="4419448" cy="1207310"/>
                          </a:xfrm>
                        </wpg:grpSpPr>
                        <wps:wsp>
                          <wps:cNvPr id="1634955958" name="Łącznik prosty ze strzałką 1634955958"/>
                          <wps:cNvCnPr>
                            <a:cxnSpLocks/>
                          </wps:cNvCnPr>
                          <wps:spPr>
                            <a:xfrm>
                              <a:off x="2604618" y="2812716"/>
                              <a:ext cx="0" cy="360000"/>
                            </a:xfrm>
                            <a:prstGeom prst="straightConnector1">
                              <a:avLst/>
                            </a:prstGeom>
                            <a:noFill/>
                            <a:ln w="6350" cap="flat" cmpd="sng" algn="ctr">
                              <a:solidFill>
                                <a:srgbClr val="4472C4"/>
                              </a:solidFill>
                              <a:prstDash val="solid"/>
                              <a:miter lim="800000"/>
                              <a:tailEnd type="none"/>
                            </a:ln>
                            <a:effectLst/>
                          </wps:spPr>
                          <wps:bodyPr/>
                        </wps:wsp>
                        <wps:wsp>
                          <wps:cNvPr id="1634955959" name="Łącznik prosty ze strzałką 1634955959"/>
                          <wps:cNvCnPr>
                            <a:cxnSpLocks/>
                          </wps:cNvCnPr>
                          <wps:spPr>
                            <a:xfrm>
                              <a:off x="2604392" y="3172472"/>
                              <a:ext cx="4418949" cy="1"/>
                            </a:xfrm>
                            <a:prstGeom prst="straightConnector1">
                              <a:avLst/>
                            </a:prstGeom>
                            <a:noFill/>
                            <a:ln w="6350" cap="flat" cmpd="sng" algn="ctr">
                              <a:solidFill>
                                <a:srgbClr val="4472C4"/>
                              </a:solidFill>
                              <a:prstDash val="solid"/>
                              <a:miter lim="800000"/>
                              <a:headEnd type="none" w="med" len="med"/>
                              <a:tailEnd type="none" w="med" len="med"/>
                            </a:ln>
                            <a:effectLst/>
                          </wps:spPr>
                          <wps:bodyPr/>
                        </wps:wsp>
                        <wps:wsp>
                          <wps:cNvPr id="1634955960" name="Łącznik prosty ze strzałką 1634955960"/>
                          <wps:cNvCnPr>
                            <a:cxnSpLocks/>
                          </wps:cNvCnPr>
                          <wps:spPr>
                            <a:xfrm flipV="1">
                              <a:off x="7023840" y="1965406"/>
                              <a:ext cx="0" cy="1207067"/>
                            </a:xfrm>
                            <a:prstGeom prst="straightConnector1">
                              <a:avLst/>
                            </a:prstGeom>
                            <a:noFill/>
                            <a:ln w="6350" cap="flat" cmpd="sng" algn="ctr">
                              <a:solidFill>
                                <a:srgbClr val="4472C4"/>
                              </a:solidFill>
                              <a:prstDash val="solid"/>
                              <a:miter lim="800000"/>
                              <a:tailEnd type="triangle"/>
                            </a:ln>
                            <a:effectLst/>
                          </wps:spPr>
                          <wps:bodyPr/>
                        </wps:wsp>
                        <wps:wsp>
                          <wps:cNvPr id="1634955961" name="Łącznik prosty ze strzałką 1634955961"/>
                          <wps:cNvCnPr>
                            <a:cxnSpLocks/>
                          </wps:cNvCnPr>
                          <wps:spPr>
                            <a:xfrm>
                              <a:off x="3713143" y="2812716"/>
                              <a:ext cx="0" cy="360000"/>
                            </a:xfrm>
                            <a:prstGeom prst="straightConnector1">
                              <a:avLst/>
                            </a:prstGeom>
                            <a:noFill/>
                            <a:ln w="6350" cap="flat" cmpd="sng" algn="ctr">
                              <a:solidFill>
                                <a:srgbClr val="4472C4"/>
                              </a:solidFill>
                              <a:prstDash val="solid"/>
                              <a:miter lim="800000"/>
                              <a:tailEnd type="none"/>
                            </a:ln>
                            <a:effectLst/>
                          </wps:spPr>
                          <wps:bodyPr/>
                        </wps:wsp>
                      </wpg:grpSp>
                      <wps:wsp>
                        <wps:cNvPr id="1634955962" name="pole tekstowe 33"/>
                        <wps:cNvSpPr txBox="1"/>
                        <wps:spPr>
                          <a:xfrm>
                            <a:off x="3817574" y="2887770"/>
                            <a:ext cx="510943" cy="246221"/>
                          </a:xfrm>
                          <a:prstGeom prst="rect">
                            <a:avLst/>
                          </a:prstGeom>
                          <a:noFill/>
                        </wps:spPr>
                        <wps:txbx>
                          <w:txbxContent>
                            <w:p w14:paraId="7A38E86D" w14:textId="77777777" w:rsidR="007611BB" w:rsidRDefault="007611BB" w:rsidP="005E347E">
                              <w:pPr>
                                <w:pStyle w:val="NormalnyWeb"/>
                                <w:spacing w:before="0" w:beforeAutospacing="0" w:after="0"/>
                              </w:pPr>
                              <w:r w:rsidRPr="0015358E">
                                <w:rPr>
                                  <w:rFonts w:ascii="Calibri" w:hAnsi="Calibri"/>
                                  <w:color w:val="000000"/>
                                  <w:kern w:val="24"/>
                                  <w:sz w:val="20"/>
                                  <w:szCs w:val="20"/>
                                </w:rPr>
                                <w:t>NIE</w:t>
                              </w:r>
                            </w:p>
                          </w:txbxContent>
                        </wps:txbx>
                        <wps:bodyPr wrap="square" rtlCol="0">
                          <a:noAutofit/>
                        </wps:bodyPr>
                      </wps:wsp>
                      <wps:wsp>
                        <wps:cNvPr id="1634955963" name="Łącznik prosty ze strzałką 1634955963"/>
                        <wps:cNvCnPr>
                          <a:cxnSpLocks/>
                        </wps:cNvCnPr>
                        <wps:spPr>
                          <a:xfrm>
                            <a:off x="1078906" y="2819394"/>
                            <a:ext cx="0" cy="612000"/>
                          </a:xfrm>
                          <a:prstGeom prst="straightConnector1">
                            <a:avLst/>
                          </a:prstGeom>
                          <a:noFill/>
                          <a:ln w="6350" cap="flat" cmpd="sng" algn="ctr">
                            <a:solidFill>
                              <a:srgbClr val="4472C4"/>
                            </a:solidFill>
                            <a:prstDash val="solid"/>
                            <a:miter lim="800000"/>
                            <a:tailEnd type="triangle"/>
                          </a:ln>
                          <a:effectLst/>
                        </wps:spPr>
                        <wps:bodyPr/>
                      </wps:wsp>
                      <wps:wsp>
                        <wps:cNvPr id="1634955964" name="pole tekstowe 55"/>
                        <wps:cNvSpPr txBox="1"/>
                        <wps:spPr>
                          <a:xfrm>
                            <a:off x="471620" y="3457100"/>
                            <a:ext cx="1327448" cy="237490"/>
                          </a:xfrm>
                          <a:prstGeom prst="rect">
                            <a:avLst/>
                          </a:prstGeom>
                          <a:solidFill>
                            <a:srgbClr val="BDD7EE"/>
                          </a:soli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14:paraId="62EBA1D5" w14:textId="77777777" w:rsidR="007611BB" w:rsidRDefault="007611BB" w:rsidP="005E347E">
                              <w:pPr>
                                <w:pStyle w:val="NormalnyWeb"/>
                                <w:spacing w:before="0" w:beforeAutospacing="0" w:after="0"/>
                                <w:jc w:val="center"/>
                              </w:pPr>
                              <w:r w:rsidRPr="0015358E">
                                <w:rPr>
                                  <w:rFonts w:ascii="Calibri" w:hAnsi="Calibri"/>
                                  <w:b/>
                                  <w:bCs/>
                                  <w:color w:val="000000"/>
                                  <w:kern w:val="24"/>
                                  <w:sz w:val="18"/>
                                  <w:szCs w:val="18"/>
                                </w:rPr>
                                <w:t>Powtórzenie badania (2x)</w:t>
                              </w:r>
                            </w:p>
                          </w:txbxContent>
                        </wps:txbx>
                        <wps:bodyPr wrap="square" rtlCol="0" anchor="ctr">
                          <a:noAutofit/>
                        </wps:bodyPr>
                      </wps:wsp>
                      <wps:wsp>
                        <wps:cNvPr id="1634955965" name="pole tekstowe 56"/>
                        <wps:cNvSpPr txBox="1"/>
                        <wps:spPr>
                          <a:xfrm>
                            <a:off x="2296207" y="3387853"/>
                            <a:ext cx="1925320" cy="376555"/>
                          </a:xfrm>
                          <a:prstGeom prst="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a:outerShdw blurRad="50800" dist="38100" dir="2700000" algn="tl" rotWithShape="0">
                              <a:prstClr val="black">
                                <a:alpha val="40000"/>
                              </a:prstClr>
                            </a:outerShdw>
                          </a:effectLst>
                        </wps:spPr>
                        <wps:txbx>
                          <w:txbxContent>
                            <w:p w14:paraId="645A77A1" w14:textId="77777777" w:rsidR="007611BB" w:rsidRDefault="007611BB" w:rsidP="005E347E">
                              <w:pPr>
                                <w:pStyle w:val="NormalnyWeb"/>
                                <w:spacing w:before="0" w:beforeAutospacing="0" w:after="0"/>
                                <w:jc w:val="center"/>
                              </w:pPr>
                              <w:r w:rsidRPr="0015358E">
                                <w:rPr>
                                  <w:rFonts w:ascii="Calibri" w:hAnsi="Calibri"/>
                                  <w:color w:val="000000"/>
                                  <w:kern w:val="24"/>
                                  <w:sz w:val="18"/>
                                  <w:szCs w:val="18"/>
                                </w:rPr>
                                <w:t>TREC/KREC/</w:t>
                              </w:r>
                              <w:r w:rsidRPr="0015358E">
                                <w:rPr>
                                  <w:rFonts w:ascii="Calibri" w:hAnsi="Calibri"/>
                                  <w:i/>
                                  <w:iCs/>
                                  <w:color w:val="000000"/>
                                  <w:kern w:val="24"/>
                                  <w:sz w:val="18"/>
                                  <w:szCs w:val="18"/>
                                </w:rPr>
                                <w:t>SMN1</w:t>
                              </w:r>
                              <w:r w:rsidRPr="0015358E">
                                <w:rPr>
                                  <w:rFonts w:ascii="Calibri" w:hAnsi="Calibri"/>
                                  <w:color w:val="000000"/>
                                  <w:kern w:val="24"/>
                                  <w:sz w:val="18"/>
                                  <w:szCs w:val="18"/>
                                </w:rPr>
                                <w:t xml:space="preserve"> w zakresie normy</w:t>
                              </w:r>
                            </w:p>
                            <w:p w14:paraId="7DAC3B2B" w14:textId="77777777" w:rsidR="007611BB" w:rsidRDefault="007611BB" w:rsidP="005E347E">
                              <w:pPr>
                                <w:pStyle w:val="NormalnyWeb"/>
                                <w:spacing w:before="0" w:beforeAutospacing="0" w:after="0"/>
                                <w:jc w:val="center"/>
                              </w:pPr>
                              <w:r w:rsidRPr="0015358E">
                                <w:rPr>
                                  <w:rFonts w:ascii="Calibri" w:hAnsi="Calibri"/>
                                  <w:i/>
                                  <w:iCs/>
                                  <w:color w:val="000000"/>
                                  <w:kern w:val="24"/>
                                  <w:sz w:val="18"/>
                                  <w:szCs w:val="18"/>
                                </w:rPr>
                                <w:t>ACTB</w:t>
                              </w:r>
                              <w:r w:rsidRPr="0015358E">
                                <w:rPr>
                                  <w:rFonts w:ascii="Calibri" w:hAnsi="Calibri"/>
                                  <w:color w:val="000000"/>
                                  <w:kern w:val="24"/>
                                  <w:sz w:val="18"/>
                                  <w:szCs w:val="18"/>
                                </w:rPr>
                                <w:t xml:space="preserve"> &gt;1000</w:t>
                              </w:r>
                            </w:p>
                          </w:txbxContent>
                        </wps:txbx>
                        <wps:bodyPr wrap="square" rtlCol="0">
                          <a:noAutofit/>
                        </wps:bodyPr>
                      </wps:wsp>
                      <wps:wsp>
                        <wps:cNvPr id="1634955966" name="Łącznik prosty ze strzałką 1634955966"/>
                        <wps:cNvCnPr>
                          <a:cxnSpLocks/>
                        </wps:cNvCnPr>
                        <wps:spPr>
                          <a:xfrm rot="16200000">
                            <a:off x="2044043" y="3338638"/>
                            <a:ext cx="0" cy="468000"/>
                          </a:xfrm>
                          <a:prstGeom prst="straightConnector1">
                            <a:avLst/>
                          </a:prstGeom>
                          <a:noFill/>
                          <a:ln w="6350" cap="flat" cmpd="sng" algn="ctr">
                            <a:solidFill>
                              <a:srgbClr val="4472C4"/>
                            </a:solidFill>
                            <a:prstDash val="solid"/>
                            <a:miter lim="800000"/>
                            <a:tailEnd type="triangle"/>
                          </a:ln>
                          <a:effectLst/>
                        </wps:spPr>
                        <wps:bodyPr/>
                      </wps:wsp>
                      <wps:wsp>
                        <wps:cNvPr id="1634955967" name="Łącznik prosty ze strzałką 1634955967"/>
                        <wps:cNvCnPr>
                          <a:cxnSpLocks/>
                        </wps:cNvCnPr>
                        <wps:spPr>
                          <a:xfrm>
                            <a:off x="1078906" y="3702945"/>
                            <a:ext cx="0" cy="360000"/>
                          </a:xfrm>
                          <a:prstGeom prst="straightConnector1">
                            <a:avLst/>
                          </a:prstGeom>
                          <a:noFill/>
                          <a:ln w="6350" cap="flat" cmpd="sng" algn="ctr">
                            <a:solidFill>
                              <a:srgbClr val="4472C4"/>
                            </a:solidFill>
                            <a:prstDash val="solid"/>
                            <a:miter lim="800000"/>
                            <a:tailEnd type="triangle"/>
                          </a:ln>
                          <a:effectLst/>
                        </wps:spPr>
                        <wps:bodyPr/>
                      </wps:wsp>
                      <wps:wsp>
                        <wps:cNvPr id="128" name="pole tekstowe 63"/>
                        <wps:cNvSpPr txBox="1"/>
                        <wps:spPr>
                          <a:xfrm>
                            <a:off x="471620" y="4082297"/>
                            <a:ext cx="1337949" cy="376555"/>
                          </a:xfrm>
                          <a:prstGeom prst="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a:outerShdw blurRad="50800" dist="38100" dir="2700000" algn="tl" rotWithShape="0">
                              <a:prstClr val="black">
                                <a:alpha val="40000"/>
                              </a:prstClr>
                            </a:outerShdw>
                          </a:effectLst>
                        </wps:spPr>
                        <wps:txbx>
                          <w:txbxContent>
                            <w:p w14:paraId="2C89B34D" w14:textId="77777777" w:rsidR="007611BB" w:rsidRDefault="007611BB" w:rsidP="005E347E">
                              <w:pPr>
                                <w:pStyle w:val="NormalnyWeb"/>
                                <w:spacing w:before="0" w:beforeAutospacing="0" w:after="0"/>
                                <w:jc w:val="center"/>
                              </w:pPr>
                              <w:r w:rsidRPr="0015358E">
                                <w:rPr>
                                  <w:rFonts w:ascii="Calibri" w:hAnsi="Calibri"/>
                                  <w:color w:val="000000"/>
                                  <w:kern w:val="24"/>
                                  <w:sz w:val="18"/>
                                  <w:szCs w:val="18"/>
                                </w:rPr>
                                <w:t xml:space="preserve">TREC ≤6 / KREC ≤4 / </w:t>
                              </w:r>
                            </w:p>
                            <w:p w14:paraId="39B0560F" w14:textId="77777777" w:rsidR="007611BB" w:rsidRDefault="007611BB" w:rsidP="005E347E">
                              <w:pPr>
                                <w:pStyle w:val="NormalnyWeb"/>
                                <w:spacing w:before="0" w:beforeAutospacing="0" w:after="0"/>
                                <w:jc w:val="center"/>
                              </w:pPr>
                              <w:r w:rsidRPr="0015358E">
                                <w:rPr>
                                  <w:rFonts w:ascii="Calibri" w:hAnsi="Calibri"/>
                                  <w:i/>
                                  <w:iCs/>
                                  <w:color w:val="000000"/>
                                  <w:kern w:val="24"/>
                                  <w:sz w:val="18"/>
                                  <w:szCs w:val="18"/>
                                </w:rPr>
                                <w:t>SMN1</w:t>
                              </w:r>
                              <w:r w:rsidRPr="0015358E">
                                <w:rPr>
                                  <w:rFonts w:ascii="Calibri" w:hAnsi="Calibri"/>
                                  <w:color w:val="000000"/>
                                  <w:kern w:val="24"/>
                                  <w:sz w:val="18"/>
                                  <w:szCs w:val="18"/>
                                </w:rPr>
                                <w:t xml:space="preserve">&gt;32 / ACTB &gt;1000 </w:t>
                              </w:r>
                            </w:p>
                          </w:txbxContent>
                        </wps:txbx>
                        <wps:bodyPr wrap="square" rtlCol="0">
                          <a:noAutofit/>
                        </wps:bodyPr>
                      </wps:wsp>
                      <wps:wsp>
                        <wps:cNvPr id="129" name="Łącznik prosty ze strzałką 129"/>
                        <wps:cNvCnPr>
                          <a:cxnSpLocks/>
                        </wps:cNvCnPr>
                        <wps:spPr>
                          <a:xfrm>
                            <a:off x="1069599" y="5197527"/>
                            <a:ext cx="0" cy="360000"/>
                          </a:xfrm>
                          <a:prstGeom prst="straightConnector1">
                            <a:avLst/>
                          </a:prstGeom>
                          <a:noFill/>
                          <a:ln w="6350" cap="flat" cmpd="sng" algn="ctr">
                            <a:solidFill>
                              <a:srgbClr val="4472C4"/>
                            </a:solidFill>
                            <a:prstDash val="solid"/>
                            <a:miter lim="800000"/>
                            <a:tailEnd type="triangle"/>
                          </a:ln>
                          <a:effectLst/>
                        </wps:spPr>
                        <wps:bodyPr/>
                      </wps:wsp>
                      <wps:wsp>
                        <wps:cNvPr id="130" name="Prostokąt 130"/>
                        <wps:cNvSpPr/>
                        <wps:spPr>
                          <a:xfrm>
                            <a:off x="471619" y="5539567"/>
                            <a:ext cx="1657401" cy="1366576"/>
                          </a:xfrm>
                          <a:prstGeom prst="rect">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a:noFill/>
                          </a:ln>
                          <a:effectLst>
                            <a:outerShdw blurRad="57150" dist="19050" dir="5400000" algn="ctr" rotWithShape="0">
                              <a:srgbClr val="000000">
                                <a:alpha val="63000"/>
                              </a:srgbClr>
                            </a:outerShdw>
                          </a:effectLst>
                        </wps:spPr>
                        <wps:txbx>
                          <w:txbxContent>
                            <w:p w14:paraId="4F336679" w14:textId="77777777" w:rsidR="007611BB" w:rsidRDefault="007611BB" w:rsidP="005E347E">
                              <w:pPr>
                                <w:pStyle w:val="NormalnyWeb"/>
                                <w:spacing w:before="0" w:beforeAutospacing="0" w:after="0"/>
                                <w:jc w:val="center"/>
                              </w:pPr>
                              <w:r>
                                <w:rPr>
                                  <w:rFonts w:ascii="Calibri" w:hAnsi="Calibri" w:cs="Cordia New"/>
                                  <w:b/>
                                  <w:bCs/>
                                  <w:color w:val="000000"/>
                                  <w:kern w:val="24"/>
                                  <w:sz w:val="18"/>
                                  <w:szCs w:val="18"/>
                                </w:rPr>
                                <w:t>wynik nieprawidłowy pozytywny</w:t>
                              </w:r>
                            </w:p>
                            <w:p w14:paraId="01EF0980" w14:textId="77777777" w:rsidR="007611BB" w:rsidRDefault="007611BB" w:rsidP="005E347E">
                              <w:pPr>
                                <w:pStyle w:val="NormalnyWeb"/>
                                <w:spacing w:before="0" w:beforeAutospacing="0" w:after="0"/>
                                <w:jc w:val="center"/>
                              </w:pPr>
                              <w:r>
                                <w:rPr>
                                  <w:rFonts w:ascii="Calibri" w:hAnsi="Calibri" w:cs="Cordia New"/>
                                  <w:b/>
                                  <w:bCs/>
                                  <w:color w:val="000000"/>
                                  <w:kern w:val="24"/>
                                  <w:sz w:val="18"/>
                                  <w:szCs w:val="18"/>
                                </w:rPr>
                                <w:t xml:space="preserve">SCID: </w:t>
                              </w:r>
                              <w:r>
                                <w:rPr>
                                  <w:rFonts w:ascii="Calibri" w:hAnsi="Calibri" w:cs="Cordia New"/>
                                  <w:color w:val="000000"/>
                                  <w:kern w:val="24"/>
                                  <w:sz w:val="18"/>
                                  <w:szCs w:val="18"/>
                                </w:rPr>
                                <w:t xml:space="preserve">Skierowanie do ośrodka specjalistycznego w celu dalszej diagnostyki </w:t>
                              </w:r>
                              <w:r>
                                <w:rPr>
                                  <w:rFonts w:ascii="Calibri" w:hAnsi="Calibri" w:cs="Cordia New"/>
                                  <w:b/>
                                  <w:bCs/>
                                  <w:color w:val="000000"/>
                                  <w:kern w:val="24"/>
                                  <w:sz w:val="18"/>
                                  <w:szCs w:val="18"/>
                                </w:rPr>
                                <w:t>SKIEROWANIE PILNE</w:t>
                              </w:r>
                            </w:p>
                            <w:p w14:paraId="4A4C294C" w14:textId="77777777" w:rsidR="007611BB" w:rsidRDefault="007611BB" w:rsidP="005E347E">
                              <w:pPr>
                                <w:pStyle w:val="NormalnyWeb"/>
                                <w:spacing w:before="0" w:beforeAutospacing="0" w:after="0"/>
                                <w:jc w:val="center"/>
                              </w:pPr>
                              <w:r>
                                <w:rPr>
                                  <w:rFonts w:ascii="Calibri" w:hAnsi="Calibri" w:cs="Cordia New"/>
                                  <w:b/>
                                  <w:bCs/>
                                  <w:color w:val="000000"/>
                                  <w:kern w:val="24"/>
                                  <w:sz w:val="18"/>
                                  <w:szCs w:val="18"/>
                                </w:rPr>
                                <w:t xml:space="preserve">SMA: </w:t>
                              </w:r>
                              <w:r>
                                <w:rPr>
                                  <w:rFonts w:ascii="Calibri" w:hAnsi="Calibri" w:cs="Cordia New"/>
                                  <w:color w:val="000000"/>
                                  <w:kern w:val="24"/>
                                  <w:sz w:val="18"/>
                                  <w:szCs w:val="18"/>
                                </w:rPr>
                                <w:t xml:space="preserve">weryfikacja wyniku techniką MLPA </w:t>
                              </w:r>
                            </w:p>
                          </w:txbxContent>
                        </wps:txbx>
                        <wps:bodyPr rtlCol="0" anchor="ctr"/>
                      </wps:wsp>
                      <wps:wsp>
                        <wps:cNvPr id="131" name="pole tekstowe 66"/>
                        <wps:cNvSpPr txBox="1"/>
                        <wps:spPr>
                          <a:xfrm>
                            <a:off x="471620" y="4830711"/>
                            <a:ext cx="1337949" cy="376555"/>
                          </a:xfrm>
                          <a:prstGeom prst="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a:outerShdw blurRad="50800" dist="38100" dir="2700000" algn="tl" rotWithShape="0">
                              <a:prstClr val="black">
                                <a:alpha val="40000"/>
                              </a:prstClr>
                            </a:outerShdw>
                          </a:effectLst>
                        </wps:spPr>
                        <wps:txbx>
                          <w:txbxContent>
                            <w:p w14:paraId="3572A2C7" w14:textId="77777777" w:rsidR="007611BB" w:rsidRDefault="007611BB" w:rsidP="005E347E">
                              <w:pPr>
                                <w:pStyle w:val="NormalnyWeb"/>
                                <w:spacing w:before="0" w:beforeAutospacing="0" w:after="0"/>
                                <w:jc w:val="center"/>
                              </w:pPr>
                              <w:r w:rsidRPr="0015358E">
                                <w:rPr>
                                  <w:rFonts w:ascii="Calibri" w:hAnsi="Calibri"/>
                                  <w:color w:val="000000"/>
                                  <w:kern w:val="24"/>
                                  <w:sz w:val="18"/>
                                  <w:szCs w:val="18"/>
                                </w:rPr>
                                <w:t xml:space="preserve">TREC &lt;2 / KREC &lt;1 / </w:t>
                              </w:r>
                            </w:p>
                            <w:p w14:paraId="09DB7D12" w14:textId="77777777" w:rsidR="007611BB" w:rsidRDefault="007611BB" w:rsidP="005E347E">
                              <w:pPr>
                                <w:pStyle w:val="NormalnyWeb"/>
                                <w:spacing w:before="0" w:beforeAutospacing="0" w:after="0"/>
                                <w:jc w:val="center"/>
                              </w:pPr>
                              <w:r w:rsidRPr="0015358E">
                                <w:rPr>
                                  <w:rFonts w:ascii="Calibri" w:hAnsi="Calibri"/>
                                  <w:i/>
                                  <w:iCs/>
                                  <w:color w:val="000000"/>
                                  <w:kern w:val="24"/>
                                  <w:sz w:val="18"/>
                                  <w:szCs w:val="18"/>
                                </w:rPr>
                                <w:t>SMN1</w:t>
                              </w:r>
                              <w:r w:rsidRPr="0015358E">
                                <w:rPr>
                                  <w:rFonts w:ascii="Calibri" w:hAnsi="Calibri"/>
                                  <w:color w:val="000000"/>
                                  <w:kern w:val="24"/>
                                  <w:sz w:val="18"/>
                                  <w:szCs w:val="18"/>
                                </w:rPr>
                                <w:t xml:space="preserve">&gt;32 / </w:t>
                              </w:r>
                              <w:r w:rsidRPr="0015358E">
                                <w:rPr>
                                  <w:rFonts w:ascii="Calibri" w:hAnsi="Calibri"/>
                                  <w:i/>
                                  <w:iCs/>
                                  <w:color w:val="000000"/>
                                  <w:kern w:val="24"/>
                                  <w:sz w:val="18"/>
                                  <w:szCs w:val="18"/>
                                </w:rPr>
                                <w:t>ACTB</w:t>
                              </w:r>
                              <w:r w:rsidRPr="0015358E">
                                <w:rPr>
                                  <w:rFonts w:ascii="Calibri" w:hAnsi="Calibri"/>
                                  <w:color w:val="000000"/>
                                  <w:kern w:val="24"/>
                                  <w:sz w:val="18"/>
                                  <w:szCs w:val="18"/>
                                </w:rPr>
                                <w:t xml:space="preserve"> &gt;1000 </w:t>
                              </w:r>
                            </w:p>
                          </w:txbxContent>
                        </wps:txbx>
                        <wps:bodyPr wrap="square" rtlCol="0">
                          <a:noAutofit/>
                        </wps:bodyPr>
                      </wps:wsp>
                      <wps:wsp>
                        <wps:cNvPr id="133" name="Łącznik prosty ze strzałką 133"/>
                        <wps:cNvCnPr>
                          <a:cxnSpLocks/>
                        </wps:cNvCnPr>
                        <wps:spPr>
                          <a:xfrm>
                            <a:off x="1069599" y="4450236"/>
                            <a:ext cx="0" cy="360000"/>
                          </a:xfrm>
                          <a:prstGeom prst="straightConnector1">
                            <a:avLst/>
                          </a:prstGeom>
                          <a:noFill/>
                          <a:ln w="6350" cap="flat" cmpd="sng" algn="ctr">
                            <a:solidFill>
                              <a:srgbClr val="4472C4"/>
                            </a:solidFill>
                            <a:prstDash val="solid"/>
                            <a:miter lim="800000"/>
                            <a:tailEnd type="triangle"/>
                          </a:ln>
                          <a:effectLst/>
                        </wps:spPr>
                        <wps:bodyPr/>
                      </wps:wsp>
                      <wps:wsp>
                        <wps:cNvPr id="134" name="pole tekstowe 68"/>
                        <wps:cNvSpPr txBox="1"/>
                        <wps:spPr>
                          <a:xfrm>
                            <a:off x="2330946" y="4082297"/>
                            <a:ext cx="1210945" cy="376555"/>
                          </a:xfrm>
                          <a:prstGeom prst="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a:outerShdw blurRad="50800" dist="38100" dir="2700000" algn="tl" rotWithShape="0">
                              <a:prstClr val="black">
                                <a:alpha val="40000"/>
                              </a:prstClr>
                            </a:outerShdw>
                          </a:effectLst>
                        </wps:spPr>
                        <wps:txbx>
                          <w:txbxContent>
                            <w:p w14:paraId="434DEACD" w14:textId="77777777" w:rsidR="007611BB" w:rsidRDefault="007611BB" w:rsidP="005E347E">
                              <w:pPr>
                                <w:pStyle w:val="NormalnyWeb"/>
                                <w:spacing w:before="0" w:beforeAutospacing="0" w:after="0"/>
                                <w:jc w:val="center"/>
                              </w:pPr>
                              <w:r w:rsidRPr="0015358E">
                                <w:rPr>
                                  <w:rFonts w:ascii="Calibri" w:hAnsi="Calibri"/>
                                  <w:color w:val="000000"/>
                                  <w:kern w:val="24"/>
                                  <w:sz w:val="18"/>
                                  <w:szCs w:val="18"/>
                                </w:rPr>
                                <w:t>TREC ≥2 / KREC ≥1 /</w:t>
                              </w:r>
                              <w:r w:rsidRPr="0015358E">
                                <w:rPr>
                                  <w:rFonts w:ascii="Calibri" w:hAnsi="Calibri"/>
                                  <w:color w:val="000000"/>
                                  <w:kern w:val="24"/>
                                  <w:sz w:val="18"/>
                                  <w:szCs w:val="18"/>
                                </w:rPr>
                                <w:br/>
                                <w:t xml:space="preserve"> </w:t>
                              </w:r>
                              <w:r w:rsidRPr="0015358E">
                                <w:rPr>
                                  <w:rFonts w:ascii="Calibri" w:hAnsi="Calibri"/>
                                  <w:i/>
                                  <w:iCs/>
                                  <w:color w:val="000000"/>
                                  <w:kern w:val="24"/>
                                  <w:sz w:val="18"/>
                                  <w:szCs w:val="18"/>
                                </w:rPr>
                                <w:t>ACTB</w:t>
                              </w:r>
                              <w:r w:rsidRPr="0015358E">
                                <w:rPr>
                                  <w:rFonts w:ascii="Calibri" w:hAnsi="Calibri"/>
                                  <w:color w:val="000000"/>
                                  <w:kern w:val="24"/>
                                  <w:sz w:val="18"/>
                                  <w:szCs w:val="18"/>
                                </w:rPr>
                                <w:t xml:space="preserve"> &gt;1000 </w:t>
                              </w:r>
                            </w:p>
                          </w:txbxContent>
                        </wps:txbx>
                        <wps:bodyPr wrap="square" rtlCol="0">
                          <a:noAutofit/>
                        </wps:bodyPr>
                      </wps:wsp>
                      <wps:wsp>
                        <wps:cNvPr id="135" name="Łącznik prosty ze strzałką 135"/>
                        <wps:cNvCnPr>
                          <a:cxnSpLocks/>
                        </wps:cNvCnPr>
                        <wps:spPr>
                          <a:xfrm rot="16200000">
                            <a:off x="2032906" y="4031570"/>
                            <a:ext cx="0" cy="468000"/>
                          </a:xfrm>
                          <a:prstGeom prst="straightConnector1">
                            <a:avLst/>
                          </a:prstGeom>
                          <a:noFill/>
                          <a:ln w="6350" cap="flat" cmpd="sng" algn="ctr">
                            <a:solidFill>
                              <a:srgbClr val="4472C4"/>
                            </a:solidFill>
                            <a:prstDash val="solid"/>
                            <a:miter lim="800000"/>
                            <a:tailEnd type="triangle"/>
                          </a:ln>
                          <a:effectLst/>
                        </wps:spPr>
                        <wps:bodyPr/>
                      </wps:wsp>
                      <wps:wsp>
                        <wps:cNvPr id="136" name="Łącznik prosty ze strzałką 136"/>
                        <wps:cNvCnPr>
                          <a:cxnSpLocks/>
                        </wps:cNvCnPr>
                        <wps:spPr>
                          <a:xfrm>
                            <a:off x="2918184" y="4466338"/>
                            <a:ext cx="0" cy="360000"/>
                          </a:xfrm>
                          <a:prstGeom prst="straightConnector1">
                            <a:avLst/>
                          </a:prstGeom>
                          <a:noFill/>
                          <a:ln w="6350" cap="flat" cmpd="sng" algn="ctr">
                            <a:solidFill>
                              <a:srgbClr val="4472C4"/>
                            </a:solidFill>
                            <a:prstDash val="solid"/>
                            <a:miter lim="800000"/>
                            <a:tailEnd type="triangle"/>
                          </a:ln>
                          <a:effectLst/>
                        </wps:spPr>
                        <wps:bodyPr/>
                      </wps:wsp>
                      <wps:wsp>
                        <wps:cNvPr id="137" name="Prostokąt 137"/>
                        <wps:cNvSpPr/>
                        <wps:spPr>
                          <a:xfrm>
                            <a:off x="2420035" y="4833209"/>
                            <a:ext cx="1492034" cy="364676"/>
                          </a:xfrm>
                          <a:prstGeom prst="rect">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a:noFill/>
                          </a:ln>
                          <a:effectLst>
                            <a:outerShdw blurRad="57150" dist="19050" dir="5400000" algn="ctr" rotWithShape="0">
                              <a:srgbClr val="000000">
                                <a:alpha val="63000"/>
                              </a:srgbClr>
                            </a:outerShdw>
                          </a:effectLst>
                        </wps:spPr>
                        <wps:txbx>
                          <w:txbxContent>
                            <w:p w14:paraId="62BEB2CE" w14:textId="77777777" w:rsidR="007611BB" w:rsidRDefault="007611BB" w:rsidP="005E347E">
                              <w:pPr>
                                <w:pStyle w:val="NormalnyWeb"/>
                                <w:spacing w:before="0" w:beforeAutospacing="0" w:after="0"/>
                                <w:jc w:val="center"/>
                              </w:pPr>
                              <w:r>
                                <w:rPr>
                                  <w:rFonts w:ascii="Calibri" w:hAnsi="Calibri" w:cs="Cordia New"/>
                                  <w:b/>
                                  <w:bCs/>
                                  <w:color w:val="000000"/>
                                  <w:kern w:val="24"/>
                                  <w:sz w:val="18"/>
                                  <w:szCs w:val="18"/>
                                </w:rPr>
                                <w:t xml:space="preserve">II bibuła </w:t>
                              </w:r>
                            </w:p>
                            <w:p w14:paraId="48DE7ACD" w14:textId="77777777" w:rsidR="007611BB" w:rsidRDefault="007611BB" w:rsidP="005E347E">
                              <w:pPr>
                                <w:pStyle w:val="NormalnyWeb"/>
                                <w:spacing w:before="0" w:beforeAutospacing="0" w:after="0"/>
                                <w:jc w:val="center"/>
                              </w:pPr>
                              <w:r>
                                <w:rPr>
                                  <w:rFonts w:ascii="Calibri" w:hAnsi="Calibri" w:cs="Cordia New"/>
                                  <w:b/>
                                  <w:bCs/>
                                  <w:color w:val="000000"/>
                                  <w:kern w:val="24"/>
                                  <w:sz w:val="18"/>
                                  <w:szCs w:val="18"/>
                                </w:rPr>
                                <w:t>analiza w 3 powtórzeniach</w:t>
                              </w:r>
                            </w:p>
                          </w:txbxContent>
                        </wps:txbx>
                        <wps:bodyPr rtlCol="0" anchor="ctr"/>
                      </wps:wsp>
                      <wps:wsp>
                        <wps:cNvPr id="138" name="Łącznik prosty ze strzałką 138"/>
                        <wps:cNvCnPr>
                          <a:cxnSpLocks/>
                        </wps:cNvCnPr>
                        <wps:spPr>
                          <a:xfrm flipV="1">
                            <a:off x="3676497" y="3757304"/>
                            <a:ext cx="0" cy="1080000"/>
                          </a:xfrm>
                          <a:prstGeom prst="straightConnector1">
                            <a:avLst/>
                          </a:prstGeom>
                          <a:noFill/>
                          <a:ln w="6350" cap="flat" cmpd="sng" algn="ctr">
                            <a:solidFill>
                              <a:srgbClr val="4472C4"/>
                            </a:solidFill>
                            <a:prstDash val="solid"/>
                            <a:miter lim="800000"/>
                            <a:tailEnd type="triangle"/>
                          </a:ln>
                          <a:effectLst/>
                        </wps:spPr>
                        <wps:bodyPr/>
                      </wps:wsp>
                      <wps:wsp>
                        <wps:cNvPr id="139" name="pole tekstowe 76"/>
                        <wps:cNvSpPr txBox="1"/>
                        <wps:spPr>
                          <a:xfrm>
                            <a:off x="2624819" y="5793861"/>
                            <a:ext cx="1217295" cy="376555"/>
                          </a:xfrm>
                          <a:prstGeom prst="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a:outerShdw blurRad="50800" dist="38100" dir="2700000" algn="tl" rotWithShape="0">
                              <a:prstClr val="black">
                                <a:alpha val="40000"/>
                              </a:prstClr>
                            </a:outerShdw>
                          </a:effectLst>
                        </wps:spPr>
                        <wps:txbx>
                          <w:txbxContent>
                            <w:p w14:paraId="6FEDF07F" w14:textId="77777777" w:rsidR="007611BB" w:rsidRDefault="007611BB" w:rsidP="005E347E">
                              <w:pPr>
                                <w:pStyle w:val="NormalnyWeb"/>
                                <w:spacing w:before="0" w:beforeAutospacing="0" w:after="0"/>
                                <w:jc w:val="center"/>
                              </w:pPr>
                              <w:r w:rsidRPr="0015358E">
                                <w:rPr>
                                  <w:rFonts w:ascii="Calibri" w:hAnsi="Calibri"/>
                                  <w:color w:val="000000"/>
                                  <w:kern w:val="24"/>
                                  <w:sz w:val="18"/>
                                  <w:szCs w:val="18"/>
                                </w:rPr>
                                <w:t xml:space="preserve">TREC ≤6 / KREC ≤4 / </w:t>
                              </w:r>
                              <w:r w:rsidRPr="0015358E">
                                <w:rPr>
                                  <w:rFonts w:ascii="Calibri" w:hAnsi="Calibri"/>
                                  <w:color w:val="000000"/>
                                  <w:kern w:val="24"/>
                                  <w:sz w:val="18"/>
                                  <w:szCs w:val="18"/>
                                </w:rPr>
                                <w:br/>
                              </w:r>
                              <w:r w:rsidRPr="0015358E">
                                <w:rPr>
                                  <w:rFonts w:ascii="Calibri" w:hAnsi="Calibri"/>
                                  <w:i/>
                                  <w:iCs/>
                                  <w:color w:val="000000"/>
                                  <w:kern w:val="24"/>
                                  <w:sz w:val="18"/>
                                  <w:szCs w:val="18"/>
                                </w:rPr>
                                <w:t>ACTB</w:t>
                              </w:r>
                              <w:r w:rsidRPr="0015358E">
                                <w:rPr>
                                  <w:rFonts w:ascii="Calibri" w:hAnsi="Calibri"/>
                                  <w:color w:val="000000"/>
                                  <w:kern w:val="24"/>
                                  <w:sz w:val="18"/>
                                  <w:szCs w:val="18"/>
                                </w:rPr>
                                <w:t xml:space="preserve"> &gt;1000 </w:t>
                              </w:r>
                            </w:p>
                          </w:txbxContent>
                        </wps:txbx>
                        <wps:bodyPr wrap="square" rtlCol="0">
                          <a:noAutofit/>
                        </wps:bodyPr>
                      </wps:wsp>
                      <wps:wsp>
                        <wps:cNvPr id="140" name="Łącznik prosty ze strzałką 140"/>
                        <wps:cNvCnPr>
                          <a:cxnSpLocks/>
                        </wps:cNvCnPr>
                        <wps:spPr>
                          <a:xfrm rot="5400000" flipH="1">
                            <a:off x="2388364" y="5737262"/>
                            <a:ext cx="0" cy="468000"/>
                          </a:xfrm>
                          <a:prstGeom prst="straightConnector1">
                            <a:avLst/>
                          </a:prstGeom>
                          <a:noFill/>
                          <a:ln w="6350" cap="flat" cmpd="sng" algn="ctr">
                            <a:solidFill>
                              <a:srgbClr val="4472C4"/>
                            </a:solidFill>
                            <a:prstDash val="solid"/>
                            <a:miter lim="800000"/>
                            <a:tailEnd type="triangle"/>
                          </a:ln>
                          <a:effectLst/>
                        </wps:spPr>
                        <wps:bodyPr/>
                      </wps:wsp>
                      <wpg:grpSp>
                        <wpg:cNvPr id="141" name="Grupa 141"/>
                        <wpg:cNvGrpSpPr/>
                        <wpg:grpSpPr>
                          <a:xfrm rot="16200000">
                            <a:off x="6205503" y="194242"/>
                            <a:ext cx="328358" cy="678659"/>
                            <a:chOff x="7666528" y="-695700"/>
                            <a:chExt cx="1081692" cy="678659"/>
                          </a:xfrm>
                        </wpg:grpSpPr>
                        <wps:wsp>
                          <wps:cNvPr id="142" name="Łącznik prosty ze strzałką 142"/>
                          <wps:cNvCnPr>
                            <a:cxnSpLocks/>
                          </wps:cNvCnPr>
                          <wps:spPr>
                            <a:xfrm rot="5400000" flipH="1" flipV="1">
                              <a:off x="8207333" y="-557932"/>
                              <a:ext cx="82" cy="1081692"/>
                            </a:xfrm>
                            <a:prstGeom prst="straightConnector1">
                              <a:avLst/>
                            </a:prstGeom>
                            <a:noFill/>
                            <a:ln w="6350" cap="flat" cmpd="sng" algn="ctr">
                              <a:solidFill>
                                <a:srgbClr val="4472C4"/>
                              </a:solidFill>
                              <a:prstDash val="solid"/>
                              <a:miter lim="800000"/>
                              <a:headEnd type="none" w="med" len="med"/>
                              <a:tailEnd type="none" w="med" len="med"/>
                            </a:ln>
                            <a:effectLst/>
                          </wps:spPr>
                          <wps:bodyPr/>
                        </wps:wsp>
                        <wps:wsp>
                          <wps:cNvPr id="143" name="Łącznik prosty ze strzałką 143"/>
                          <wps:cNvCnPr>
                            <a:cxnSpLocks/>
                          </wps:cNvCnPr>
                          <wps:spPr>
                            <a:xfrm rot="5400000" flipH="1">
                              <a:off x="8408765" y="-356370"/>
                              <a:ext cx="678659" cy="0"/>
                            </a:xfrm>
                            <a:prstGeom prst="straightConnector1">
                              <a:avLst/>
                            </a:prstGeom>
                            <a:noFill/>
                            <a:ln w="6350" cap="flat" cmpd="sng" algn="ctr">
                              <a:solidFill>
                                <a:srgbClr val="4472C4"/>
                              </a:solidFill>
                              <a:prstDash val="solid"/>
                              <a:miter lim="800000"/>
                              <a:tailEnd type="triangle"/>
                            </a:ln>
                            <a:effectLst/>
                          </wps:spPr>
                          <wps:bodyPr/>
                        </wps:wsp>
                      </wpg:grpSp>
                      <wps:wsp>
                        <wps:cNvPr id="144" name="Prostokąt 144"/>
                        <wps:cNvSpPr/>
                        <wps:spPr>
                          <a:xfrm>
                            <a:off x="2324420" y="2462869"/>
                            <a:ext cx="787356" cy="360000"/>
                          </a:xfrm>
                          <a:prstGeom prst="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a:outerShdw blurRad="50800" dist="38100" dir="2700000" algn="tl" rotWithShape="0">
                              <a:prstClr val="black">
                                <a:alpha val="40000"/>
                              </a:prstClr>
                            </a:outerShdw>
                          </a:effectLst>
                        </wps:spPr>
                        <wps:txbx>
                          <w:txbxContent>
                            <w:p w14:paraId="52055DE7" w14:textId="77777777" w:rsidR="007611BB" w:rsidRDefault="007611BB" w:rsidP="005E347E">
                              <w:pPr>
                                <w:pStyle w:val="NormalnyWeb"/>
                                <w:spacing w:before="0" w:beforeAutospacing="0" w:after="0"/>
                                <w:jc w:val="center"/>
                              </w:pPr>
                              <w:r w:rsidRPr="0015358E">
                                <w:rPr>
                                  <w:rFonts w:ascii="Calibri" w:hAnsi="Calibri"/>
                                  <w:i/>
                                  <w:iCs/>
                                  <w:color w:val="000000"/>
                                  <w:kern w:val="24"/>
                                  <w:sz w:val="18"/>
                                  <w:szCs w:val="18"/>
                                </w:rPr>
                                <w:t xml:space="preserve">ACTB </w:t>
                              </w:r>
                              <w:r w:rsidRPr="0015358E">
                                <w:rPr>
                                  <w:rFonts w:ascii="Calibri" w:hAnsi="Calibri"/>
                                  <w:color w:val="000000"/>
                                  <w:kern w:val="24"/>
                                  <w:sz w:val="18"/>
                                  <w:szCs w:val="18"/>
                                </w:rPr>
                                <w:t>&gt; 1000</w:t>
                              </w:r>
                            </w:p>
                          </w:txbxContent>
                        </wps:txbx>
                        <wps:bodyPr rtlCol="0" anchor="ctr"/>
                      </wps:wsp>
                      <wps:wsp>
                        <wps:cNvPr id="145" name="pole tekstowe 101"/>
                        <wps:cNvSpPr txBox="1"/>
                        <wps:spPr>
                          <a:xfrm>
                            <a:off x="4224448" y="2396648"/>
                            <a:ext cx="473954" cy="246221"/>
                          </a:xfrm>
                          <a:prstGeom prst="rect">
                            <a:avLst/>
                          </a:prstGeom>
                          <a:noFill/>
                        </wps:spPr>
                        <wps:txbx>
                          <w:txbxContent>
                            <w:p w14:paraId="463EC0A8" w14:textId="77777777" w:rsidR="007611BB" w:rsidRDefault="007611BB" w:rsidP="005E347E">
                              <w:pPr>
                                <w:pStyle w:val="NormalnyWeb"/>
                                <w:spacing w:before="0" w:beforeAutospacing="0" w:after="0"/>
                              </w:pPr>
                              <w:r w:rsidRPr="0015358E">
                                <w:rPr>
                                  <w:rFonts w:ascii="Calibri" w:hAnsi="Calibri"/>
                                  <w:color w:val="000000"/>
                                  <w:kern w:val="24"/>
                                  <w:sz w:val="20"/>
                                  <w:szCs w:val="20"/>
                                </w:rPr>
                                <w:t>TAK</w:t>
                              </w:r>
                            </w:p>
                          </w:txbxContent>
                        </wps:txbx>
                        <wps:bodyPr wrap="square" rtlCol="0">
                          <a:noAutofit/>
                        </wps:bodyPr>
                      </wps:wsp>
                      <wps:wsp>
                        <wps:cNvPr id="146" name="Prostokąt 146"/>
                        <wps:cNvSpPr/>
                        <wps:spPr>
                          <a:xfrm>
                            <a:off x="6210912" y="697811"/>
                            <a:ext cx="1145074" cy="1262627"/>
                          </a:xfrm>
                          <a:prstGeom prst="rect">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w="6350" cap="flat" cmpd="sng" algn="ctr">
                            <a:solidFill>
                              <a:srgbClr val="FFC000"/>
                            </a:solidFill>
                            <a:prstDash val="solid"/>
                            <a:miter lim="800000"/>
                          </a:ln>
                          <a:effectLst/>
                        </wps:spPr>
                        <wps:txbx>
                          <w:txbxContent>
                            <w:p w14:paraId="586884DD" w14:textId="77777777" w:rsidR="007611BB" w:rsidRDefault="007611BB" w:rsidP="005E347E">
                              <w:pPr>
                                <w:pStyle w:val="NormalnyWeb"/>
                                <w:spacing w:before="0" w:beforeAutospacing="0" w:after="0"/>
                                <w:jc w:val="center"/>
                              </w:pPr>
                              <w:r>
                                <w:rPr>
                                  <w:rFonts w:ascii="Calibri" w:hAnsi="Calibri" w:cs="Cordia New"/>
                                  <w:b/>
                                  <w:bCs/>
                                  <w:color w:val="000000"/>
                                  <w:kern w:val="24"/>
                                  <w:sz w:val="18"/>
                                  <w:szCs w:val="18"/>
                                </w:rPr>
                                <w:t xml:space="preserve">wynik nieinformacyjny </w:t>
                              </w:r>
                              <w:r>
                                <w:rPr>
                                  <w:rFonts w:ascii="Calibri" w:hAnsi="Calibri" w:cs="Cordia New"/>
                                  <w:color w:val="000000"/>
                                  <w:kern w:val="24"/>
                                  <w:sz w:val="18"/>
                                  <w:szCs w:val="18"/>
                                </w:rPr>
                                <w:t xml:space="preserve">– konieczność powtórzenia testu z tej samej bibuły (2x) </w:t>
                              </w: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706F1E29" id="Grupa 82" o:spid="_x0000_s1026" style="position:absolute;left:0;text-align:left;margin-left:-28.6pt;margin-top:24.3pt;width:489.9pt;height:576.45pt;z-index:251655680;mso-width-relative:margin;mso-height-relative:margin" coordorigin="4716,-1623" coordsize="68843,70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">
                <v:group id="Grupa 49" o:spid="_x0000_s1027" style="position:absolute;left:42215;top:28284;width:9540;height:7599" coordorigin="42153,16443" coordsize="8134,7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type id="_x0000_t32" coordsize="21600,21600" o:spt="32" o:oned="t" path="m,l21600,21600e" filled="f">
                    <v:path arrowok="t" fillok="f" o:connecttype="none"/>
                    <o:lock v:ext="edit" shapetype="t"/>
                  </v:shapetype>
                  <v:shape id="Łącznik prosty ze strzałką 50" o:spid="_x0000_s1028" type="#_x0000_t32" style="position:absolute;left:42153;top:24040;width:8134;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" strokecolor="#4472c4" strokeweight=".5pt">
                    <v:stroke joinstyle="miter"/>
                    <o:lock v:ext="edit" shapetype="f"/>
                  </v:shape>
                  <v:shape id="Łącznik prosty ze strzałką 51" o:spid="_x0000_s1029" type="#_x0000_t32" style="position:absolute;left:50171;top:16443;width:0;height:759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" strokecolor="#4472c4" strokeweight=".5pt">
                    <v:stroke endarrow="block" joinstyle="miter"/>
                    <o:lock v:ext="edit" shapetype="f"/>
                  </v:shape>
                </v:group>
                <v:rect id="Prostokąt 52" o:spid="_x0000_s1030" style="position:absolute;left:45864;top:24746;width:14775;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" fillcolor="#ffc746" strokecolor="#ffc000" strokeweight=".5pt">
                  <v:fill color2="#e5b600" rotate="t" colors="0 #ffc746;.5 #ffc600;1 #e5b600" focus="100%" type="gradient">
                    <o:fill v:ext="view" type="gradientUnscaled"/>
                  </v:fill>
                  <v:textbox>
                    <w:txbxContent>
                      <w:p w14:paraId="2044B19E" w14:textId="77777777" w:rsidR="007611BB" w:rsidRDefault="007611BB" w:rsidP="005E347E">
                        <w:pPr>
                          <w:pStyle w:val="NormalnyWeb"/>
                          <w:spacing w:before="0" w:beforeAutospacing="0" w:after="0"/>
                          <w:jc w:val="center"/>
                        </w:pPr>
                        <w:r>
                          <w:rPr>
                            <w:rFonts w:ascii="Calibri" w:hAnsi="Calibri" w:cs="Cordia New"/>
                            <w:color w:val="000000"/>
                            <w:kern w:val="24"/>
                            <w:sz w:val="18"/>
                            <w:szCs w:val="18"/>
                          </w:rPr>
                          <w:t>TREC/KREC/</w:t>
                        </w:r>
                        <w:r>
                          <w:rPr>
                            <w:rFonts w:ascii="Calibri" w:hAnsi="Calibri" w:cs="Cordia New"/>
                            <w:i/>
                            <w:iCs/>
                            <w:color w:val="000000"/>
                            <w:kern w:val="24"/>
                            <w:sz w:val="18"/>
                            <w:szCs w:val="18"/>
                          </w:rPr>
                          <w:t>SMN1</w:t>
                        </w:r>
                        <w:r>
                          <w:rPr>
                            <w:rFonts w:ascii="Calibri" w:hAnsi="Calibri" w:cs="Cordia New"/>
                            <w:color w:val="000000"/>
                            <w:kern w:val="24"/>
                            <w:sz w:val="18"/>
                            <w:szCs w:val="18"/>
                          </w:rPr>
                          <w:t xml:space="preserve"> w zakresie normy</w:t>
                        </w:r>
                      </w:p>
                      <w:p w14:paraId="065EC52E" w14:textId="77777777" w:rsidR="007611BB" w:rsidRDefault="007611BB" w:rsidP="005E347E">
                        <w:pPr>
                          <w:pStyle w:val="NormalnyWeb"/>
                          <w:spacing w:before="0" w:beforeAutospacing="0" w:after="0"/>
                          <w:jc w:val="center"/>
                        </w:pPr>
                        <w:r>
                          <w:rPr>
                            <w:rFonts w:ascii="Calibri" w:hAnsi="Calibri" w:cs="Cordia New"/>
                            <w:b/>
                            <w:bCs/>
                            <w:color w:val="000000"/>
                            <w:kern w:val="24"/>
                            <w:sz w:val="18"/>
                            <w:szCs w:val="18"/>
                          </w:rPr>
                          <w:t>wynik prawidłowy</w:t>
                        </w:r>
                      </w:p>
                    </w:txbxContent>
                  </v:textbox>
                </v:rect>
                <v:shape id="Łącznik prosty ze strzałką 53" o:spid="_x0000_s1031" type="#_x0000_t32" style="position:absolute;left:42215;top:26463;width:36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" strokecolor="#4472c4" strokeweight=".5pt">
                  <v:stroke endarrow="block" joinstyle="miter"/>
                  <o:lock v:ext="edit" shapetype="f"/>
                </v:shape>
                <v:shape id="Łącznik prosty ze strzałką 54" o:spid="_x0000_s1032" type="#_x0000_t32" style="position:absolute;left:31695;top:51767;width:0;height:6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" strokecolor="#4472c4" strokeweight=".5pt">
                  <v:stroke endarrow="block" joinstyle="miter"/>
                  <o:lock v:ext="edit" shapetype="f"/>
                </v:shape>
                <v:group id="Grupa 55" o:spid="_x0000_s1033" style="position:absolute;left:27417;top:19309;width:12806;height:5217" coordorigin="26045,19309" coordsize="12805,6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line id="Łącznik prosty 56" o:spid="_x0000_s1034" style="position:absolute;flip:x;visibility:visible;mso-wrap-style:square" from="32447,19309" to="32448,21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" strokecolor="#4472c4" strokeweight=".5pt">
                    <v:stroke joinstyle="miter"/>
                  </v:line>
                  <v:group id="Grupa 57" o:spid="_x0000_s1035" style="position:absolute;left:26045;top:21895;width:12805;height:3600" coordorigin="26045,21895" coordsize="12805,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Łącznik prosty ze strzałką 58" o:spid="_x0000_s1036" type="#_x0000_t32" style="position:absolute;left:38850;top:21895;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" strokecolor="#4472c4" strokeweight=".5pt">
                      <v:stroke endarrow="block" joinstyle="miter"/>
                      <o:lock v:ext="edit" shapetype="f"/>
                    </v:shape>
                    <v:line id="Łącznik prosty 59" o:spid="_x0000_s1037" style="position:absolute;visibility:visible;mso-wrap-style:square" from="26045,21895" to="38828,21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" strokecolor="#4472c4" strokeweight=".5pt">
                      <v:stroke joinstyle="miter"/>
                      <o:lock v:ext="edit" shapetype="f"/>
                    </v:line>
                    <v:shape id="Łącznik prosty ze strzałką 60" o:spid="_x0000_s1038" type="#_x0000_t32" style="position:absolute;left:26098;top:21895;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" strokecolor="#4472c4" strokeweight=".5pt">
                      <v:stroke endarrow="block" joinstyle="miter"/>
                      <o:lock v:ext="edit" shapetype="f"/>
                    </v:shape>
                  </v:group>
                </v:group>
                <v:shape id="Łącznik prosty ze strzałką 61" o:spid="_x0000_s1039" type="#_x0000_t32" style="position:absolute;left:51508;top:4889;width:0;height:2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" strokecolor="#4472c4" strokeweight=".5pt">
                  <v:stroke endarrow="block" joinstyle="miter"/>
                  <o:lock v:ext="edit" shapetype="f"/>
                </v:shape>
                <v:rect id="Prostokąt 62" o:spid="_x0000_s1040" style="position:absolute;left:42044;top:-1623;width:17701;height:22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" fillcolor="#b1cbe9" strokecolor="#5b9bd5" strokeweight=".5pt">
                  <v:fill color2="#92b9e4" rotate="t" colors="0 #b1cbe9;.5 #a3c1e5;1 #92b9e4" focus="100%" type="gradient">
                    <o:fill v:ext="view" type="gradientUnscaled"/>
                  </v:fill>
                  <v:shadow on="t" color="black" opacity="26214f" origin="-.5,-.5" offset=".74836mm,.74836mm"/>
                  <v:textbox>
                    <w:txbxContent>
                      <w:p w14:paraId="4E3415BF" w14:textId="77777777" w:rsidR="007611BB" w:rsidRDefault="007611BB" w:rsidP="005E347E">
                        <w:pPr>
                          <w:pStyle w:val="NormalnyWeb"/>
                          <w:spacing w:before="0" w:beforeAutospacing="0" w:after="0"/>
                          <w:jc w:val="center"/>
                        </w:pPr>
                        <w:r>
                          <w:rPr>
                            <w:rFonts w:ascii="Calibri" w:hAnsi="Calibri" w:cs="Cordia New"/>
                            <w:color w:val="000000"/>
                            <w:kern w:val="24"/>
                            <w:sz w:val="18"/>
                            <w:szCs w:val="18"/>
                          </w:rPr>
                          <w:t>Zgoda na wykonanie badania</w:t>
                        </w:r>
                      </w:p>
                    </w:txbxContent>
                  </v:textbox>
                </v:rect>
                <v:shapetype id="_x0000_t202" coordsize="21600,21600" o:spt="202" path="m,l,21600r21600,l21600,xe">
                  <v:stroke joinstyle="miter"/>
                  <v:path gradientshapeok="t" o:connecttype="rect"/>
                </v:shapetype>
                <v:shape id="_x0000_s1041" type="#_x0000_t202" style="position:absolute;left:51440;top:12347;width:5058;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24FB0655" w14:textId="77777777" w:rsidR="007611BB" w:rsidRDefault="007611BB" w:rsidP="005E347E">
                        <w:pPr>
                          <w:pStyle w:val="NormalnyWeb"/>
                          <w:spacing w:before="0" w:beforeAutospacing="0" w:after="0"/>
                        </w:pPr>
                        <w:r w:rsidRPr="0015358E">
                          <w:rPr>
                            <w:rFonts w:ascii="Calibri" w:hAnsi="Calibri"/>
                            <w:color w:val="000000"/>
                            <w:kern w:val="24"/>
                            <w:sz w:val="20"/>
                            <w:szCs w:val="20"/>
                          </w:rPr>
                          <w:t>TAK</w:t>
                        </w:r>
                      </w:p>
                    </w:txbxContent>
                  </v:textbox>
                </v:shape>
                <v:rect id="Prostokąt 1634955936" o:spid="_x0000_s1042" style="position:absolute;left:42313;top:2690;width:17700;height:2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" fillcolor="#bdd7ee" stroked="f">
                  <v:shadow on="t" color="black" opacity="41287f" offset="0,1.5pt"/>
                  <v:textbox>
                    <w:txbxContent>
                      <w:p w14:paraId="13ED7329" w14:textId="77777777" w:rsidR="007611BB" w:rsidRDefault="007611BB" w:rsidP="005E347E">
                        <w:pPr>
                          <w:pStyle w:val="NormalnyWeb"/>
                          <w:spacing w:before="0" w:beforeAutospacing="0" w:after="0"/>
                          <w:jc w:val="center"/>
                        </w:pPr>
                        <w:r>
                          <w:rPr>
                            <w:rFonts w:ascii="Calibri" w:hAnsi="Calibri" w:cs="Cordia New"/>
                            <w:color w:val="000000"/>
                            <w:kern w:val="24"/>
                            <w:sz w:val="18"/>
                            <w:szCs w:val="18"/>
                          </w:rPr>
                          <w:t xml:space="preserve">Ekstrakcja DNA + test </w:t>
                        </w:r>
                        <w:proofErr w:type="spellStart"/>
                        <w:r>
                          <w:rPr>
                            <w:rFonts w:ascii="Calibri" w:hAnsi="Calibri" w:cs="Cordia New"/>
                            <w:color w:val="000000"/>
                            <w:kern w:val="24"/>
                            <w:sz w:val="18"/>
                            <w:szCs w:val="18"/>
                          </w:rPr>
                          <w:t>qRT</w:t>
                        </w:r>
                        <w:proofErr w:type="spellEnd"/>
                        <w:r>
                          <w:rPr>
                            <w:rFonts w:ascii="Calibri" w:hAnsi="Calibri" w:cs="Cordia New"/>
                            <w:color w:val="000000"/>
                            <w:kern w:val="24"/>
                            <w:sz w:val="18"/>
                            <w:szCs w:val="18"/>
                          </w:rPr>
                          <w:t>-PCR</w:t>
                        </w:r>
                      </w:p>
                    </w:txbxContent>
                  </v:textbox>
                </v:rect>
                <v:shape id="Łącznik prosty ze strzałką 1634955937" o:spid="_x0000_s1043" type="#_x0000_t32" style="position:absolute;left:51440;top:583;width:0;height:2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" strokecolor="#4472c4" strokeweight=".5pt">
                  <v:stroke endarrow="block" joinstyle="miter"/>
                  <o:lock v:ext="edit" shapetype="f"/>
                </v:shape>
                <v:shape id="_x0000_s1044" type="#_x0000_t202" style="position:absolute;left:18878;top:23966;width:4877;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" filled="f" stroked="f">
                  <v:textbox>
                    <w:txbxContent>
                      <w:p w14:paraId="7E06496C" w14:textId="77777777" w:rsidR="007611BB" w:rsidRDefault="007611BB" w:rsidP="005E347E">
                        <w:pPr>
                          <w:pStyle w:val="NormalnyWeb"/>
                          <w:spacing w:before="0" w:beforeAutospacing="0" w:after="0"/>
                        </w:pPr>
                        <w:r w:rsidRPr="0015358E">
                          <w:rPr>
                            <w:rFonts w:ascii="Calibri" w:hAnsi="Calibri"/>
                            <w:color w:val="000000"/>
                            <w:kern w:val="24"/>
                            <w:sz w:val="20"/>
                            <w:szCs w:val="20"/>
                          </w:rPr>
                          <w:t>TAK</w:t>
                        </w:r>
                      </w:p>
                    </w:txbxContent>
                  </v:textbox>
                </v:shape>
                <v:shape id="Łącznik prosty ze strzałką 1634955939" o:spid="_x0000_s1045" type="#_x0000_t32" style="position:absolute;left:51619;top:20056;width:0;height:46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" strokecolor="#4472c4" strokeweight=".5pt">
                  <v:stroke endarrow="block" joinstyle="miter"/>
                  <o:lock v:ext="edit" shapetype="f"/>
                </v:shape>
                <v:rect id="Prostokąt 1634955940" o:spid="_x0000_s1046" style="position:absolute;left:43285;top:7285;width:14543;height:4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" fillcolor="#b5d5a7" strokecolor="#70ad47" strokeweight=".5pt">
                  <v:fill color2="#9cca86" rotate="t" colors="0 #b5d5a7;.5 #aace99;1 #9cca86" focus="100%" type="gradient">
                    <o:fill v:ext="view" type="gradientUnscaled"/>
                  </v:fill>
                  <v:shadow on="t" color="black" opacity="26214f" origin="-.5,-.5" offset=".74836mm,.74836mm"/>
                  <v:textbox>
                    <w:txbxContent>
                      <w:p w14:paraId="54E55CB2" w14:textId="77777777" w:rsidR="007611BB" w:rsidRDefault="007611BB" w:rsidP="005E347E">
                        <w:pPr>
                          <w:pStyle w:val="NormalnyWeb"/>
                          <w:spacing w:before="0" w:beforeAutospacing="0" w:after="0"/>
                          <w:jc w:val="center"/>
                        </w:pPr>
                        <w:r>
                          <w:rPr>
                            <w:rFonts w:ascii="Calibri" w:hAnsi="Calibri" w:cs="Cordia New"/>
                            <w:color w:val="000000"/>
                            <w:kern w:val="24"/>
                            <w:sz w:val="18"/>
                            <w:szCs w:val="18"/>
                          </w:rPr>
                          <w:t xml:space="preserve">Ocena amplifikacji </w:t>
                        </w:r>
                        <w:r>
                          <w:rPr>
                            <w:rFonts w:ascii="Calibri" w:hAnsi="Calibri" w:cs="Cordia New"/>
                            <w:i/>
                            <w:iCs/>
                            <w:color w:val="000000"/>
                            <w:kern w:val="24"/>
                            <w:sz w:val="18"/>
                            <w:szCs w:val="18"/>
                          </w:rPr>
                          <w:t>ACTB</w:t>
                        </w:r>
                      </w:p>
                      <w:p w14:paraId="7E21FE43" w14:textId="77777777" w:rsidR="007611BB" w:rsidRDefault="007611BB" w:rsidP="005E347E">
                        <w:pPr>
                          <w:pStyle w:val="NormalnyWeb"/>
                          <w:spacing w:before="0" w:beforeAutospacing="0" w:after="0"/>
                          <w:jc w:val="center"/>
                        </w:pPr>
                        <w:r>
                          <w:rPr>
                            <w:rFonts w:ascii="Calibri" w:hAnsi="Calibri" w:cs="Cordia New"/>
                            <w:color w:val="000000"/>
                            <w:kern w:val="24"/>
                            <w:sz w:val="18"/>
                            <w:szCs w:val="18"/>
                          </w:rPr>
                          <w:t>&lt;50000 kopii + prawidłowa krzywa amplifikacyjna</w:t>
                        </w:r>
                      </w:p>
                    </w:txbxContent>
                  </v:textbox>
                </v:rect>
                <v:shape id="pole tekstowe 20" o:spid="_x0000_s1047" type="#_x0000_t202" style="position:absolute;left:46167;top:14823;width:11141;height:5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" fillcolor="#b5d5a7" strokecolor="#70ad47" strokeweight=".5pt">
                  <v:fill color2="#9cca86" rotate="t" colors="0 #b5d5a7;.5 #aace99;1 #9cca86" focus="100%" type="gradient">
                    <o:fill v:ext="view" type="gradientUnscaled"/>
                  </v:fill>
                  <v:shadow on="t" color="black" opacity="26214f" origin="-.5,-.5" offset=".74836mm,.74836mm"/>
                  <v:textbox>
                    <w:txbxContent>
                      <w:p w14:paraId="02F32212" w14:textId="77777777" w:rsidR="007611BB" w:rsidRDefault="007611BB" w:rsidP="005E347E">
                        <w:pPr>
                          <w:pStyle w:val="NormalnyWeb"/>
                          <w:spacing w:before="0" w:beforeAutospacing="0" w:after="0"/>
                          <w:jc w:val="center"/>
                        </w:pPr>
                        <w:r w:rsidRPr="0015358E">
                          <w:rPr>
                            <w:rFonts w:ascii="Calibri" w:hAnsi="Calibri"/>
                            <w:color w:val="000000"/>
                            <w:kern w:val="24"/>
                            <w:sz w:val="18"/>
                            <w:szCs w:val="18"/>
                          </w:rPr>
                          <w:t>TREC &gt;6 i ≤1200</w:t>
                        </w:r>
                      </w:p>
                      <w:p w14:paraId="446ECFE6" w14:textId="77777777" w:rsidR="007611BB" w:rsidRDefault="007611BB" w:rsidP="005E347E">
                        <w:pPr>
                          <w:pStyle w:val="NormalnyWeb"/>
                          <w:spacing w:before="0" w:beforeAutospacing="0" w:after="0"/>
                          <w:jc w:val="center"/>
                        </w:pPr>
                        <w:r w:rsidRPr="0015358E">
                          <w:rPr>
                            <w:rFonts w:ascii="Calibri" w:hAnsi="Calibri"/>
                            <w:color w:val="000000"/>
                            <w:kern w:val="24"/>
                            <w:sz w:val="18"/>
                            <w:szCs w:val="18"/>
                          </w:rPr>
                          <w:t>KREC &gt;4 i ≤800</w:t>
                        </w:r>
                      </w:p>
                      <w:p w14:paraId="6A2A8FB5" w14:textId="77777777" w:rsidR="007611BB" w:rsidRDefault="007611BB" w:rsidP="005E347E">
                        <w:pPr>
                          <w:pStyle w:val="NormalnyWeb"/>
                          <w:spacing w:before="0" w:beforeAutospacing="0" w:after="0"/>
                          <w:jc w:val="center"/>
                        </w:pPr>
                        <w:r w:rsidRPr="0015358E">
                          <w:rPr>
                            <w:rFonts w:ascii="Calibri" w:hAnsi="Calibri"/>
                            <w:i/>
                            <w:iCs/>
                            <w:color w:val="000000"/>
                            <w:kern w:val="24"/>
                            <w:sz w:val="18"/>
                            <w:szCs w:val="18"/>
                          </w:rPr>
                          <w:t>SMN1</w:t>
                        </w:r>
                        <w:r w:rsidRPr="0015358E">
                          <w:rPr>
                            <w:rFonts w:ascii="Calibri" w:hAnsi="Calibri"/>
                            <w:color w:val="000000"/>
                            <w:kern w:val="24"/>
                            <w:sz w:val="18"/>
                            <w:szCs w:val="18"/>
                          </w:rPr>
                          <w:t xml:space="preserve"> &gt;21 i ≤32</w:t>
                        </w:r>
                      </w:p>
                    </w:txbxContent>
                  </v:textbox>
                </v:shape>
                <v:shape id="pole tekstowe 35" o:spid="_x0000_s1048" type="#_x0000_t202" style="position:absolute;left:51883;top:21378;width:5058;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" filled="f" stroked="f">
                  <v:textbox>
                    <w:txbxContent>
                      <w:p w14:paraId="644AFEF6" w14:textId="77777777" w:rsidR="007611BB" w:rsidRDefault="007611BB" w:rsidP="005E347E">
                        <w:pPr>
                          <w:pStyle w:val="NormalnyWeb"/>
                          <w:spacing w:before="0" w:beforeAutospacing="0" w:after="0"/>
                        </w:pPr>
                        <w:r w:rsidRPr="0015358E">
                          <w:rPr>
                            <w:rFonts w:ascii="Calibri" w:hAnsi="Calibri"/>
                            <w:color w:val="000000"/>
                            <w:kern w:val="24"/>
                            <w:sz w:val="20"/>
                            <w:szCs w:val="20"/>
                          </w:rPr>
                          <w:t>TAK</w:t>
                        </w:r>
                      </w:p>
                    </w:txbxContent>
                  </v:textbox>
                </v:shape>
                <v:shape id="Łącznik prosty ze strzałką 1634955943" o:spid="_x0000_s1049" type="#_x0000_t32" style="position:absolute;left:41135;top:17405;width:5032;height:7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" strokecolor="#4472c4" strokeweight=".5pt">
                  <v:stroke endarrow="block" joinstyle="miter"/>
                  <o:lock v:ext="edit" shapetype="f"/>
                </v:shape>
                <v:shape id="pole tekstowe 37" o:spid="_x0000_s1050" type="#_x0000_t202" style="position:absolute;left:41135;top:14960;width:5032;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" filled="f" stroked="f">
                  <v:textbox>
                    <w:txbxContent>
                      <w:p w14:paraId="7CD51EFD" w14:textId="77777777" w:rsidR="007611BB" w:rsidRDefault="007611BB" w:rsidP="005E347E">
                        <w:pPr>
                          <w:pStyle w:val="NormalnyWeb"/>
                          <w:spacing w:before="0" w:beforeAutospacing="0" w:after="0"/>
                        </w:pPr>
                        <w:r w:rsidRPr="0015358E">
                          <w:rPr>
                            <w:rFonts w:ascii="Calibri" w:hAnsi="Calibri"/>
                            <w:color w:val="000000"/>
                            <w:kern w:val="24"/>
                            <w:sz w:val="20"/>
                            <w:szCs w:val="20"/>
                          </w:rPr>
                          <w:t>NIE</w:t>
                        </w:r>
                      </w:p>
                    </w:txbxContent>
                  </v:textbox>
                </v:shape>
                <v:shape id="pole tekstowe 38" o:spid="_x0000_s1051" type="#_x0000_t202" style="position:absolute;left:23755;top:14894;width:17380;height:5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" fillcolor="#b5d5a7" strokecolor="#70ad47" strokeweight=".5pt">
                  <v:fill color2="#9cca86" rotate="t" colors="0 #b5d5a7;.5 #aace99;1 #9cca86" focus="100%" type="gradient">
                    <o:fill v:ext="view" type="gradientUnscaled"/>
                  </v:fill>
                  <v:shadow on="t" color="black" opacity="26214f" origin="-.5,-.5" offset=".74836mm,.74836mm"/>
                  <v:textbox>
                    <w:txbxContent>
                      <w:p w14:paraId="4930E9FD" w14:textId="77777777" w:rsidR="007611BB" w:rsidRDefault="007611BB" w:rsidP="005E347E">
                        <w:pPr>
                          <w:pStyle w:val="NormalnyWeb"/>
                          <w:spacing w:before="0" w:beforeAutospacing="0" w:after="0"/>
                          <w:jc w:val="center"/>
                        </w:pPr>
                        <w:r w:rsidRPr="0015358E">
                          <w:rPr>
                            <w:rFonts w:ascii="Calibri" w:hAnsi="Calibri"/>
                            <w:color w:val="000000"/>
                            <w:kern w:val="24"/>
                            <w:sz w:val="18"/>
                            <w:szCs w:val="18"/>
                          </w:rPr>
                          <w:t>TREC ≤6 lub brak amplifikacji</w:t>
                        </w:r>
                      </w:p>
                      <w:p w14:paraId="748D5ABC" w14:textId="77777777" w:rsidR="007611BB" w:rsidRDefault="007611BB" w:rsidP="005E347E">
                        <w:pPr>
                          <w:pStyle w:val="NormalnyWeb"/>
                          <w:spacing w:before="0" w:beforeAutospacing="0" w:after="0"/>
                          <w:jc w:val="center"/>
                        </w:pPr>
                        <w:r w:rsidRPr="0015358E">
                          <w:rPr>
                            <w:rFonts w:ascii="Calibri" w:hAnsi="Calibri"/>
                            <w:color w:val="000000"/>
                            <w:kern w:val="24"/>
                            <w:sz w:val="18"/>
                            <w:szCs w:val="18"/>
                          </w:rPr>
                          <w:t>KREC ≤4 lub brak amplifikacji</w:t>
                        </w:r>
                      </w:p>
                      <w:p w14:paraId="6DDED79A" w14:textId="77777777" w:rsidR="007611BB" w:rsidRDefault="007611BB" w:rsidP="005E347E">
                        <w:pPr>
                          <w:pStyle w:val="NormalnyWeb"/>
                          <w:spacing w:before="0" w:beforeAutospacing="0" w:after="0"/>
                          <w:jc w:val="center"/>
                        </w:pPr>
                        <w:r w:rsidRPr="0015358E">
                          <w:rPr>
                            <w:rFonts w:ascii="Calibri" w:hAnsi="Calibri"/>
                            <w:i/>
                            <w:iCs/>
                            <w:color w:val="000000"/>
                            <w:kern w:val="24"/>
                            <w:sz w:val="18"/>
                            <w:szCs w:val="18"/>
                          </w:rPr>
                          <w:t>SMN1</w:t>
                        </w:r>
                        <w:r w:rsidRPr="0015358E">
                          <w:rPr>
                            <w:rFonts w:ascii="Calibri" w:hAnsi="Calibri"/>
                            <w:color w:val="000000"/>
                            <w:kern w:val="24"/>
                            <w:sz w:val="18"/>
                            <w:szCs w:val="18"/>
                          </w:rPr>
                          <w:t xml:space="preserve"> &gt;32 lub brak amplifikacji </w:t>
                        </w:r>
                      </w:p>
                    </w:txbxContent>
                  </v:textbox>
                </v:shape>
                <v:shape id="Łącznik prosty ze strzałką 1634955946" o:spid="_x0000_s1052" type="#_x0000_t32" style="position:absolute;left:57828;top:9990;width:404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" strokecolor="#4472c4" strokeweight=".5pt">
                  <v:stroke endarrow="block" joinstyle="miter"/>
                  <o:lock v:ext="edit" shapetype="f"/>
                </v:shape>
                <v:shape id="pole tekstowe 47" o:spid="_x0000_s1053" type="#_x0000_t202" style="position:absolute;left:57823;top:7426;width:4013;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" filled="f" stroked="f">
                  <v:textbox>
                    <w:txbxContent>
                      <w:p w14:paraId="044A9162" w14:textId="77777777" w:rsidR="007611BB" w:rsidRDefault="007611BB" w:rsidP="005E347E">
                        <w:pPr>
                          <w:pStyle w:val="NormalnyWeb"/>
                          <w:spacing w:before="0" w:beforeAutospacing="0" w:after="0"/>
                        </w:pPr>
                        <w:r w:rsidRPr="0015358E">
                          <w:rPr>
                            <w:rFonts w:ascii="Calibri" w:hAnsi="Calibri"/>
                            <w:color w:val="000000"/>
                            <w:kern w:val="24"/>
                            <w:sz w:val="20"/>
                            <w:szCs w:val="20"/>
                          </w:rPr>
                          <w:t>NIE</w:t>
                        </w:r>
                      </w:p>
                    </w:txbxContent>
                  </v:textbox>
                </v:shape>
                <v:shape id="pole tekstowe 49" o:spid="_x0000_s1054" type="#_x0000_t202" style="position:absolute;left:32767;top:24581;width:9448;height: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" fillcolor="#b5d5a7" strokecolor="#70ad47" strokeweight=".5pt">
                  <v:fill color2="#9cca86" rotate="t" colors="0 #b5d5a7;.5 #aace99;1 #9cca86" focus="100%" type="gradient">
                    <o:fill v:ext="view" type="gradientUnscaled"/>
                  </v:fill>
                  <v:shadow on="t" color="black" opacity="26214f" origin="-.5,-.5" offset=".74836mm,.74836mm"/>
                  <v:textbox>
                    <w:txbxContent>
                      <w:p w14:paraId="1E92C959" w14:textId="77777777" w:rsidR="007611BB" w:rsidRDefault="007611BB" w:rsidP="005E347E">
                        <w:pPr>
                          <w:pStyle w:val="NormalnyWeb"/>
                          <w:spacing w:before="0" w:beforeAutospacing="0" w:after="0"/>
                          <w:jc w:val="center"/>
                        </w:pPr>
                        <w:r>
                          <w:rPr>
                            <w:rFonts w:ascii="Calibri" w:hAnsi="Calibri" w:cs="Cordia New"/>
                            <w:color w:val="000000"/>
                            <w:kern w:val="24"/>
                            <w:sz w:val="18"/>
                            <w:szCs w:val="18"/>
                          </w:rPr>
                          <w:t xml:space="preserve">prawidłowa krzywa </w:t>
                        </w:r>
                        <w:r>
                          <w:rPr>
                            <w:rFonts w:ascii="Calibri" w:hAnsi="Calibri" w:cs="Cordia New"/>
                            <w:color w:val="000000"/>
                            <w:kern w:val="24"/>
                            <w:sz w:val="18"/>
                            <w:szCs w:val="18"/>
                          </w:rPr>
                          <w:br/>
                          <w:t>amplifikacyjna</w:t>
                        </w:r>
                      </w:p>
                    </w:txbxContent>
                  </v:textbox>
                </v:shape>
                <v:rect id="Prostokąt 1634955949" o:spid="_x0000_s1055" style="position:absolute;left:4716;top:24527;width:13384;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" fillcolor="#ffc746" strokecolor="#ffc000" strokeweight=".5pt">
                  <v:fill color2="#e5b600" rotate="t" colors="0 #ffc746;.5 #ffc600;1 #e5b600" focus="100%" type="gradient">
                    <o:fill v:ext="view" type="gradientUnscaled"/>
                  </v:fill>
                  <v:textbox>
                    <w:txbxContent>
                      <w:p w14:paraId="2770CED0" w14:textId="77777777" w:rsidR="007611BB" w:rsidRDefault="007611BB" w:rsidP="005E347E">
                        <w:pPr>
                          <w:pStyle w:val="NormalnyWeb"/>
                          <w:spacing w:before="0" w:beforeAutospacing="0" w:after="0"/>
                          <w:jc w:val="center"/>
                        </w:pPr>
                        <w:r>
                          <w:rPr>
                            <w:rFonts w:ascii="Calibri" w:hAnsi="Calibri" w:cs="Cordia New"/>
                            <w:b/>
                            <w:bCs/>
                            <w:color w:val="000000"/>
                            <w:kern w:val="24"/>
                            <w:sz w:val="18"/>
                            <w:szCs w:val="18"/>
                          </w:rPr>
                          <w:t>wynik nieprawidłowy</w:t>
                        </w:r>
                      </w:p>
                    </w:txbxContent>
                  </v:textbox>
                </v:rect>
                <v:shape id="pole tekstowe 10" o:spid="_x0000_s1056" type="#_x0000_t202" style="position:absolute;left:23755;top:21441;width:5757;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" filled="f" stroked="f">
                  <v:textbox>
                    <w:txbxContent>
                      <w:p w14:paraId="723298FC" w14:textId="77777777" w:rsidR="007611BB" w:rsidRDefault="007611BB" w:rsidP="005E347E">
                        <w:pPr>
                          <w:pStyle w:val="NormalnyWeb"/>
                          <w:spacing w:before="0" w:beforeAutospacing="0" w:after="0"/>
                        </w:pPr>
                        <w:r w:rsidRPr="0015358E">
                          <w:rPr>
                            <w:rFonts w:ascii="Calibri" w:hAnsi="Calibri"/>
                            <w:color w:val="000000"/>
                            <w:kern w:val="24"/>
                            <w:sz w:val="20"/>
                            <w:szCs w:val="20"/>
                          </w:rPr>
                          <w:t>TAK</w:t>
                        </w:r>
                      </w:p>
                    </w:txbxContent>
                  </v:textbox>
                </v:shape>
                <v:shape id="pole tekstowe 13" o:spid="_x0000_s1057" type="#_x0000_t202" style="position:absolute;left:36764;top:21378;width:4371;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" filled="f" stroked="f">
                  <v:textbox>
                    <w:txbxContent>
                      <w:p w14:paraId="70D42E0D" w14:textId="77777777" w:rsidR="007611BB" w:rsidRDefault="007611BB" w:rsidP="005E347E">
                        <w:pPr>
                          <w:pStyle w:val="NormalnyWeb"/>
                          <w:spacing w:before="0" w:beforeAutospacing="0" w:after="0"/>
                        </w:pPr>
                        <w:r w:rsidRPr="0015358E">
                          <w:rPr>
                            <w:rFonts w:ascii="Calibri" w:hAnsi="Calibri"/>
                            <w:color w:val="000000"/>
                            <w:kern w:val="24"/>
                            <w:sz w:val="20"/>
                            <w:szCs w:val="20"/>
                          </w:rPr>
                          <w:t>NIE</w:t>
                        </w:r>
                      </w:p>
                    </w:txbxContent>
                  </v:textbox>
                </v:shape>
                <v:shape id="Łącznik prosty ze strzałką 1634955953" o:spid="_x0000_s1058" type="#_x0000_t32" style="position:absolute;left:51440;top:12148;width:0;height:2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" strokecolor="#4472c4" strokeweight=".5pt">
                  <v:stroke endarrow="block" joinstyle="miter"/>
                  <o:lock v:ext="edit" shapetype="f"/>
                </v:shape>
                <v:shape id="pole tekstowe 23" o:spid="_x0000_s1059" type="#_x0000_t202" style="position:absolute;left:46166;top:33421;width:5589;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" filled="f" stroked="f">
                  <v:textbox>
                    <w:txbxContent>
                      <w:p w14:paraId="3238AA8A" w14:textId="77777777" w:rsidR="007611BB" w:rsidRDefault="007611BB" w:rsidP="005E347E">
                        <w:pPr>
                          <w:pStyle w:val="NormalnyWeb"/>
                          <w:spacing w:before="0" w:beforeAutospacing="0" w:after="0"/>
                        </w:pPr>
                        <w:r w:rsidRPr="0015358E">
                          <w:rPr>
                            <w:rFonts w:ascii="Calibri" w:hAnsi="Calibri"/>
                            <w:color w:val="000000"/>
                            <w:kern w:val="24"/>
                            <w:sz w:val="20"/>
                            <w:szCs w:val="20"/>
                          </w:rPr>
                          <w:t>TAK</w:t>
                        </w:r>
                      </w:p>
                    </w:txbxContent>
                  </v:textbox>
                </v:shape>
                <v:shape id="pole tekstowe 25" o:spid="_x0000_s1060" type="#_x0000_t202" style="position:absolute;left:27006;top:28952;width:4689;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" filled="f" stroked="f">
                  <v:textbox>
                    <w:txbxContent>
                      <w:p w14:paraId="07086E0F" w14:textId="77777777" w:rsidR="007611BB" w:rsidRDefault="007611BB" w:rsidP="005E347E">
                        <w:pPr>
                          <w:pStyle w:val="NormalnyWeb"/>
                          <w:spacing w:before="0" w:beforeAutospacing="0" w:after="0"/>
                        </w:pPr>
                        <w:r w:rsidRPr="0015358E">
                          <w:rPr>
                            <w:rFonts w:ascii="Calibri" w:hAnsi="Calibri"/>
                            <w:color w:val="000000"/>
                            <w:kern w:val="24"/>
                            <w:sz w:val="20"/>
                            <w:szCs w:val="20"/>
                          </w:rPr>
                          <w:t>NIE</w:t>
                        </w:r>
                      </w:p>
                    </w:txbxContent>
                  </v:textbox>
                </v:shape>
                <v:shape id="Łącznik prosty ze strzałką 1634955956" o:spid="_x0000_s1061" type="#_x0000_t32" style="position:absolute;left:20544;top:23728;width:0;height:5400;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" strokecolor="#4472c4" strokeweight=".5pt">
                  <v:stroke endarrow="block" joinstyle="miter"/>
                  <o:lock v:ext="edit" shapetype="f"/>
                </v:shape>
                <v:group id="Grupa 1634955957" o:spid="_x0000_s1062" style="position:absolute;left:23057;top:19654;width:44194;height:12073" coordorigin="26043,19654" coordsize="44194,12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">
                  <v:shape id="Łącznik prosty ze strzałką 1634955958" o:spid="_x0000_s1063" type="#_x0000_t32" style="position:absolute;left:26046;top:28127;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" strokecolor="#4472c4" strokeweight=".5pt">
                    <v:stroke joinstyle="miter"/>
                    <o:lock v:ext="edit" shapetype="f"/>
                  </v:shape>
                  <v:shape id="Łącznik prosty ze strzałką 1634955959" o:spid="_x0000_s1064" type="#_x0000_t32" style="position:absolute;left:26043;top:31724;width:44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" strokecolor="#4472c4" strokeweight=".5pt">
                    <v:stroke joinstyle="miter"/>
                    <o:lock v:ext="edit" shapetype="f"/>
                  </v:shape>
                  <v:shape id="Łącznik prosty ze strzałką 1634955960" o:spid="_x0000_s1065" type="#_x0000_t32" style="position:absolute;left:70238;top:19654;width:0;height:120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" strokecolor="#4472c4" strokeweight=".5pt">
                    <v:stroke endarrow="block" joinstyle="miter"/>
                    <o:lock v:ext="edit" shapetype="f"/>
                  </v:shape>
                  <v:shape id="Łącznik prosty ze strzałką 1634955961" o:spid="_x0000_s1066" type="#_x0000_t32" style="position:absolute;left:37131;top:28127;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" strokecolor="#4472c4" strokeweight=".5pt">
                    <v:stroke joinstyle="miter"/>
                    <o:lock v:ext="edit" shapetype="f"/>
                  </v:shape>
                </v:group>
                <v:shape id="pole tekstowe 33" o:spid="_x0000_s1067" type="#_x0000_t202" style="position:absolute;left:38175;top:28877;width:5110;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" filled="f" stroked="f">
                  <v:textbox>
                    <w:txbxContent>
                      <w:p w14:paraId="7A38E86D" w14:textId="77777777" w:rsidR="007611BB" w:rsidRDefault="007611BB" w:rsidP="005E347E">
                        <w:pPr>
                          <w:pStyle w:val="NormalnyWeb"/>
                          <w:spacing w:before="0" w:beforeAutospacing="0" w:after="0"/>
                        </w:pPr>
                        <w:r w:rsidRPr="0015358E">
                          <w:rPr>
                            <w:rFonts w:ascii="Calibri" w:hAnsi="Calibri"/>
                            <w:color w:val="000000"/>
                            <w:kern w:val="24"/>
                            <w:sz w:val="20"/>
                            <w:szCs w:val="20"/>
                          </w:rPr>
                          <w:t>NIE</w:t>
                        </w:r>
                      </w:p>
                    </w:txbxContent>
                  </v:textbox>
                </v:shape>
                <v:shape id="Łącznik prosty ze strzałką 1634955963" o:spid="_x0000_s1068" type="#_x0000_t32" style="position:absolute;left:10789;top:28193;width:0;height:6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" strokecolor="#4472c4" strokeweight=".5pt">
                  <v:stroke endarrow="block" joinstyle="miter"/>
                  <o:lock v:ext="edit" shapetype="f"/>
                </v:shape>
                <v:shape id="pole tekstowe 55" o:spid="_x0000_s1069" type="#_x0000_t202" style="position:absolute;left:4716;top:34571;width:13274;height:2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" fillcolor="#bdd7ee" strokecolor="#5b9bd5" strokeweight=".5pt">
                  <v:shadow on="t" color="black" opacity="26214f" origin="-.5,-.5" offset=".74836mm,.74836mm"/>
                  <v:textbox>
                    <w:txbxContent>
                      <w:p w14:paraId="62EBA1D5" w14:textId="77777777" w:rsidR="007611BB" w:rsidRDefault="007611BB" w:rsidP="005E347E">
                        <w:pPr>
                          <w:pStyle w:val="NormalnyWeb"/>
                          <w:spacing w:before="0" w:beforeAutospacing="0" w:after="0"/>
                          <w:jc w:val="center"/>
                        </w:pPr>
                        <w:r w:rsidRPr="0015358E">
                          <w:rPr>
                            <w:rFonts w:ascii="Calibri" w:hAnsi="Calibri"/>
                            <w:b/>
                            <w:bCs/>
                            <w:color w:val="000000"/>
                            <w:kern w:val="24"/>
                            <w:sz w:val="18"/>
                            <w:szCs w:val="18"/>
                          </w:rPr>
                          <w:t>Powtórzenie badania (2x)</w:t>
                        </w:r>
                      </w:p>
                    </w:txbxContent>
                  </v:textbox>
                </v:shape>
                <v:shape id="pole tekstowe 56" o:spid="_x0000_s1070" type="#_x0000_t202" style="position:absolute;left:22962;top:33878;width:19253;height:3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" fillcolor="#b5d5a7" strokecolor="#70ad47" strokeweight=".5pt">
                  <v:fill color2="#9cca86" rotate="t" colors="0 #b5d5a7;.5 #aace99;1 #9cca86" focus="100%" type="gradient">
                    <o:fill v:ext="view" type="gradientUnscaled"/>
                  </v:fill>
                  <v:shadow on="t" color="black" opacity="26214f" origin="-.5,-.5" offset=".74836mm,.74836mm"/>
                  <v:textbox>
                    <w:txbxContent>
                      <w:p w14:paraId="645A77A1" w14:textId="77777777" w:rsidR="007611BB" w:rsidRDefault="007611BB" w:rsidP="005E347E">
                        <w:pPr>
                          <w:pStyle w:val="NormalnyWeb"/>
                          <w:spacing w:before="0" w:beforeAutospacing="0" w:after="0"/>
                          <w:jc w:val="center"/>
                        </w:pPr>
                        <w:r w:rsidRPr="0015358E">
                          <w:rPr>
                            <w:rFonts w:ascii="Calibri" w:hAnsi="Calibri"/>
                            <w:color w:val="000000"/>
                            <w:kern w:val="24"/>
                            <w:sz w:val="18"/>
                            <w:szCs w:val="18"/>
                          </w:rPr>
                          <w:t>TREC/KREC/</w:t>
                        </w:r>
                        <w:r w:rsidRPr="0015358E">
                          <w:rPr>
                            <w:rFonts w:ascii="Calibri" w:hAnsi="Calibri"/>
                            <w:i/>
                            <w:iCs/>
                            <w:color w:val="000000"/>
                            <w:kern w:val="24"/>
                            <w:sz w:val="18"/>
                            <w:szCs w:val="18"/>
                          </w:rPr>
                          <w:t>SMN1</w:t>
                        </w:r>
                        <w:r w:rsidRPr="0015358E">
                          <w:rPr>
                            <w:rFonts w:ascii="Calibri" w:hAnsi="Calibri"/>
                            <w:color w:val="000000"/>
                            <w:kern w:val="24"/>
                            <w:sz w:val="18"/>
                            <w:szCs w:val="18"/>
                          </w:rPr>
                          <w:t xml:space="preserve"> w zakresie normy</w:t>
                        </w:r>
                      </w:p>
                      <w:p w14:paraId="7DAC3B2B" w14:textId="77777777" w:rsidR="007611BB" w:rsidRDefault="007611BB" w:rsidP="005E347E">
                        <w:pPr>
                          <w:pStyle w:val="NormalnyWeb"/>
                          <w:spacing w:before="0" w:beforeAutospacing="0" w:after="0"/>
                          <w:jc w:val="center"/>
                        </w:pPr>
                        <w:r w:rsidRPr="0015358E">
                          <w:rPr>
                            <w:rFonts w:ascii="Calibri" w:hAnsi="Calibri"/>
                            <w:i/>
                            <w:iCs/>
                            <w:color w:val="000000"/>
                            <w:kern w:val="24"/>
                            <w:sz w:val="18"/>
                            <w:szCs w:val="18"/>
                          </w:rPr>
                          <w:t>ACTB</w:t>
                        </w:r>
                        <w:r w:rsidRPr="0015358E">
                          <w:rPr>
                            <w:rFonts w:ascii="Calibri" w:hAnsi="Calibri"/>
                            <w:color w:val="000000"/>
                            <w:kern w:val="24"/>
                            <w:sz w:val="18"/>
                            <w:szCs w:val="18"/>
                          </w:rPr>
                          <w:t xml:space="preserve"> &gt;1000</w:t>
                        </w:r>
                      </w:p>
                    </w:txbxContent>
                  </v:textbox>
                </v:shape>
                <v:shape id="Łącznik prosty ze strzałką 1634955966" o:spid="_x0000_s1071" type="#_x0000_t32" style="position:absolute;left:20440;top:33386;width:0;height:468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" strokecolor="#4472c4" strokeweight=".5pt">
                  <v:stroke endarrow="block" joinstyle="miter"/>
                  <o:lock v:ext="edit" shapetype="f"/>
                </v:shape>
                <v:shape id="Łącznik prosty ze strzałką 1634955967" o:spid="_x0000_s1072" type="#_x0000_t32" style="position:absolute;left:10789;top:37029;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" strokecolor="#4472c4" strokeweight=".5pt">
                  <v:stroke endarrow="block" joinstyle="miter"/>
                  <o:lock v:ext="edit" shapetype="f"/>
                </v:shape>
                <v:shape id="pole tekstowe 63" o:spid="_x0000_s1073" type="#_x0000_t202" style="position:absolute;left:4716;top:40822;width:13379;height:3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" fillcolor="#b5d5a7" strokecolor="#70ad47" strokeweight=".5pt">
                  <v:fill color2="#9cca86" rotate="t" colors="0 #b5d5a7;.5 #aace99;1 #9cca86" focus="100%" type="gradient">
                    <o:fill v:ext="view" type="gradientUnscaled"/>
                  </v:fill>
                  <v:shadow on="t" color="black" opacity="26214f" origin="-.5,-.5" offset=".74836mm,.74836mm"/>
                  <v:textbox>
                    <w:txbxContent>
                      <w:p w14:paraId="2C89B34D" w14:textId="77777777" w:rsidR="007611BB" w:rsidRDefault="007611BB" w:rsidP="005E347E">
                        <w:pPr>
                          <w:pStyle w:val="NormalnyWeb"/>
                          <w:spacing w:before="0" w:beforeAutospacing="0" w:after="0"/>
                          <w:jc w:val="center"/>
                        </w:pPr>
                        <w:r w:rsidRPr="0015358E">
                          <w:rPr>
                            <w:rFonts w:ascii="Calibri" w:hAnsi="Calibri"/>
                            <w:color w:val="000000"/>
                            <w:kern w:val="24"/>
                            <w:sz w:val="18"/>
                            <w:szCs w:val="18"/>
                          </w:rPr>
                          <w:t xml:space="preserve">TREC ≤6 / KREC ≤4 / </w:t>
                        </w:r>
                      </w:p>
                      <w:p w14:paraId="39B0560F" w14:textId="77777777" w:rsidR="007611BB" w:rsidRDefault="007611BB" w:rsidP="005E347E">
                        <w:pPr>
                          <w:pStyle w:val="NormalnyWeb"/>
                          <w:spacing w:before="0" w:beforeAutospacing="0" w:after="0"/>
                          <w:jc w:val="center"/>
                        </w:pPr>
                        <w:r w:rsidRPr="0015358E">
                          <w:rPr>
                            <w:rFonts w:ascii="Calibri" w:hAnsi="Calibri"/>
                            <w:i/>
                            <w:iCs/>
                            <w:color w:val="000000"/>
                            <w:kern w:val="24"/>
                            <w:sz w:val="18"/>
                            <w:szCs w:val="18"/>
                          </w:rPr>
                          <w:t>SMN1</w:t>
                        </w:r>
                        <w:r w:rsidRPr="0015358E">
                          <w:rPr>
                            <w:rFonts w:ascii="Calibri" w:hAnsi="Calibri"/>
                            <w:color w:val="000000"/>
                            <w:kern w:val="24"/>
                            <w:sz w:val="18"/>
                            <w:szCs w:val="18"/>
                          </w:rPr>
                          <w:t xml:space="preserve">&gt;32 / ACTB &gt;1000 </w:t>
                        </w:r>
                      </w:p>
                    </w:txbxContent>
                  </v:textbox>
                </v:shape>
                <v:shape id="Łącznik prosty ze strzałką 129" o:spid="_x0000_s1074" type="#_x0000_t32" style="position:absolute;left:10695;top:51975;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" strokecolor="#4472c4" strokeweight=".5pt">
                  <v:stroke endarrow="block" joinstyle="miter"/>
                  <o:lock v:ext="edit" shapetype="f"/>
                </v:shape>
                <v:rect id="Prostokąt 130" o:spid="_x0000_s1075" style="position:absolute;left:4716;top:55395;width:16574;height:13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" fillcolor="#ffc746" stroked="f">
                  <v:fill color2="#e5b600" rotate="t" colors="0 #ffc746;.5 #ffc600;1 #e5b600" focus="100%" type="gradient">
                    <o:fill v:ext="view" type="gradientUnscaled"/>
                  </v:fill>
                  <v:shadow on="t" color="black" opacity="41287f" offset="0,1.5pt"/>
                  <v:textbox>
                    <w:txbxContent>
                      <w:p w14:paraId="4F336679" w14:textId="77777777" w:rsidR="007611BB" w:rsidRDefault="007611BB" w:rsidP="005E347E">
                        <w:pPr>
                          <w:pStyle w:val="NormalnyWeb"/>
                          <w:spacing w:before="0" w:beforeAutospacing="0" w:after="0"/>
                          <w:jc w:val="center"/>
                        </w:pPr>
                        <w:r>
                          <w:rPr>
                            <w:rFonts w:ascii="Calibri" w:hAnsi="Calibri" w:cs="Cordia New"/>
                            <w:b/>
                            <w:bCs/>
                            <w:color w:val="000000"/>
                            <w:kern w:val="24"/>
                            <w:sz w:val="18"/>
                            <w:szCs w:val="18"/>
                          </w:rPr>
                          <w:t>wynik nieprawidłowy pozytywny</w:t>
                        </w:r>
                      </w:p>
                      <w:p w14:paraId="01EF0980" w14:textId="77777777" w:rsidR="007611BB" w:rsidRDefault="007611BB" w:rsidP="005E347E">
                        <w:pPr>
                          <w:pStyle w:val="NormalnyWeb"/>
                          <w:spacing w:before="0" w:beforeAutospacing="0" w:after="0"/>
                          <w:jc w:val="center"/>
                        </w:pPr>
                        <w:r>
                          <w:rPr>
                            <w:rFonts w:ascii="Calibri" w:hAnsi="Calibri" w:cs="Cordia New"/>
                            <w:b/>
                            <w:bCs/>
                            <w:color w:val="000000"/>
                            <w:kern w:val="24"/>
                            <w:sz w:val="18"/>
                            <w:szCs w:val="18"/>
                          </w:rPr>
                          <w:t xml:space="preserve">SCID: </w:t>
                        </w:r>
                        <w:r>
                          <w:rPr>
                            <w:rFonts w:ascii="Calibri" w:hAnsi="Calibri" w:cs="Cordia New"/>
                            <w:color w:val="000000"/>
                            <w:kern w:val="24"/>
                            <w:sz w:val="18"/>
                            <w:szCs w:val="18"/>
                          </w:rPr>
                          <w:t xml:space="preserve">Skierowanie do ośrodka specjalistycznego w celu dalszej diagnostyki </w:t>
                        </w:r>
                        <w:r>
                          <w:rPr>
                            <w:rFonts w:ascii="Calibri" w:hAnsi="Calibri" w:cs="Cordia New"/>
                            <w:b/>
                            <w:bCs/>
                            <w:color w:val="000000"/>
                            <w:kern w:val="24"/>
                            <w:sz w:val="18"/>
                            <w:szCs w:val="18"/>
                          </w:rPr>
                          <w:t>SKIEROWANIE PILNE</w:t>
                        </w:r>
                      </w:p>
                      <w:p w14:paraId="4A4C294C" w14:textId="77777777" w:rsidR="007611BB" w:rsidRDefault="007611BB" w:rsidP="005E347E">
                        <w:pPr>
                          <w:pStyle w:val="NormalnyWeb"/>
                          <w:spacing w:before="0" w:beforeAutospacing="0" w:after="0"/>
                          <w:jc w:val="center"/>
                        </w:pPr>
                        <w:r>
                          <w:rPr>
                            <w:rFonts w:ascii="Calibri" w:hAnsi="Calibri" w:cs="Cordia New"/>
                            <w:b/>
                            <w:bCs/>
                            <w:color w:val="000000"/>
                            <w:kern w:val="24"/>
                            <w:sz w:val="18"/>
                            <w:szCs w:val="18"/>
                          </w:rPr>
                          <w:t xml:space="preserve">SMA: </w:t>
                        </w:r>
                        <w:r>
                          <w:rPr>
                            <w:rFonts w:ascii="Calibri" w:hAnsi="Calibri" w:cs="Cordia New"/>
                            <w:color w:val="000000"/>
                            <w:kern w:val="24"/>
                            <w:sz w:val="18"/>
                            <w:szCs w:val="18"/>
                          </w:rPr>
                          <w:t xml:space="preserve">weryfikacja wyniku techniką MLPA </w:t>
                        </w:r>
                      </w:p>
                    </w:txbxContent>
                  </v:textbox>
                </v:rect>
                <v:shape id="pole tekstowe 66" o:spid="_x0000_s1076" type="#_x0000_t202" style="position:absolute;left:4716;top:48307;width:13379;height: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" fillcolor="#b5d5a7" strokecolor="#70ad47" strokeweight=".5pt">
                  <v:fill color2="#9cca86" rotate="t" colors="0 #b5d5a7;.5 #aace99;1 #9cca86" focus="100%" type="gradient">
                    <o:fill v:ext="view" type="gradientUnscaled"/>
                  </v:fill>
                  <v:shadow on="t" color="black" opacity="26214f" origin="-.5,-.5" offset=".74836mm,.74836mm"/>
                  <v:textbox>
                    <w:txbxContent>
                      <w:p w14:paraId="3572A2C7" w14:textId="77777777" w:rsidR="007611BB" w:rsidRDefault="007611BB" w:rsidP="005E347E">
                        <w:pPr>
                          <w:pStyle w:val="NormalnyWeb"/>
                          <w:spacing w:before="0" w:beforeAutospacing="0" w:after="0"/>
                          <w:jc w:val="center"/>
                        </w:pPr>
                        <w:r w:rsidRPr="0015358E">
                          <w:rPr>
                            <w:rFonts w:ascii="Calibri" w:hAnsi="Calibri"/>
                            <w:color w:val="000000"/>
                            <w:kern w:val="24"/>
                            <w:sz w:val="18"/>
                            <w:szCs w:val="18"/>
                          </w:rPr>
                          <w:t xml:space="preserve">TREC &lt;2 / KREC &lt;1 / </w:t>
                        </w:r>
                      </w:p>
                      <w:p w14:paraId="09DB7D12" w14:textId="77777777" w:rsidR="007611BB" w:rsidRDefault="007611BB" w:rsidP="005E347E">
                        <w:pPr>
                          <w:pStyle w:val="NormalnyWeb"/>
                          <w:spacing w:before="0" w:beforeAutospacing="0" w:after="0"/>
                          <w:jc w:val="center"/>
                        </w:pPr>
                        <w:r w:rsidRPr="0015358E">
                          <w:rPr>
                            <w:rFonts w:ascii="Calibri" w:hAnsi="Calibri"/>
                            <w:i/>
                            <w:iCs/>
                            <w:color w:val="000000"/>
                            <w:kern w:val="24"/>
                            <w:sz w:val="18"/>
                            <w:szCs w:val="18"/>
                          </w:rPr>
                          <w:t>SMN1</w:t>
                        </w:r>
                        <w:r w:rsidRPr="0015358E">
                          <w:rPr>
                            <w:rFonts w:ascii="Calibri" w:hAnsi="Calibri"/>
                            <w:color w:val="000000"/>
                            <w:kern w:val="24"/>
                            <w:sz w:val="18"/>
                            <w:szCs w:val="18"/>
                          </w:rPr>
                          <w:t xml:space="preserve">&gt;32 / </w:t>
                        </w:r>
                        <w:r w:rsidRPr="0015358E">
                          <w:rPr>
                            <w:rFonts w:ascii="Calibri" w:hAnsi="Calibri"/>
                            <w:i/>
                            <w:iCs/>
                            <w:color w:val="000000"/>
                            <w:kern w:val="24"/>
                            <w:sz w:val="18"/>
                            <w:szCs w:val="18"/>
                          </w:rPr>
                          <w:t>ACTB</w:t>
                        </w:r>
                        <w:r w:rsidRPr="0015358E">
                          <w:rPr>
                            <w:rFonts w:ascii="Calibri" w:hAnsi="Calibri"/>
                            <w:color w:val="000000"/>
                            <w:kern w:val="24"/>
                            <w:sz w:val="18"/>
                            <w:szCs w:val="18"/>
                          </w:rPr>
                          <w:t xml:space="preserve"> &gt;1000 </w:t>
                        </w:r>
                      </w:p>
                    </w:txbxContent>
                  </v:textbox>
                </v:shape>
                <v:shape id="Łącznik prosty ze strzałką 133" o:spid="_x0000_s1077" type="#_x0000_t32" style="position:absolute;left:10695;top:44502;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" strokecolor="#4472c4" strokeweight=".5pt">
                  <v:stroke endarrow="block" joinstyle="miter"/>
                  <o:lock v:ext="edit" shapetype="f"/>
                </v:shape>
                <v:shape id="pole tekstowe 68" o:spid="_x0000_s1078" type="#_x0000_t202" style="position:absolute;left:23309;top:40822;width:12109;height:3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" fillcolor="#b5d5a7" strokecolor="#70ad47" strokeweight=".5pt">
                  <v:fill color2="#9cca86" rotate="t" colors="0 #b5d5a7;.5 #aace99;1 #9cca86" focus="100%" type="gradient">
                    <o:fill v:ext="view" type="gradientUnscaled"/>
                  </v:fill>
                  <v:shadow on="t" color="black" opacity="26214f" origin="-.5,-.5" offset=".74836mm,.74836mm"/>
                  <v:textbox>
                    <w:txbxContent>
                      <w:p w14:paraId="434DEACD" w14:textId="77777777" w:rsidR="007611BB" w:rsidRDefault="007611BB" w:rsidP="005E347E">
                        <w:pPr>
                          <w:pStyle w:val="NormalnyWeb"/>
                          <w:spacing w:before="0" w:beforeAutospacing="0" w:after="0"/>
                          <w:jc w:val="center"/>
                        </w:pPr>
                        <w:r w:rsidRPr="0015358E">
                          <w:rPr>
                            <w:rFonts w:ascii="Calibri" w:hAnsi="Calibri"/>
                            <w:color w:val="000000"/>
                            <w:kern w:val="24"/>
                            <w:sz w:val="18"/>
                            <w:szCs w:val="18"/>
                          </w:rPr>
                          <w:t>TREC ≥2 / KREC ≥1 /</w:t>
                        </w:r>
                        <w:r w:rsidRPr="0015358E">
                          <w:rPr>
                            <w:rFonts w:ascii="Calibri" w:hAnsi="Calibri"/>
                            <w:color w:val="000000"/>
                            <w:kern w:val="24"/>
                            <w:sz w:val="18"/>
                            <w:szCs w:val="18"/>
                          </w:rPr>
                          <w:br/>
                          <w:t xml:space="preserve"> </w:t>
                        </w:r>
                        <w:r w:rsidRPr="0015358E">
                          <w:rPr>
                            <w:rFonts w:ascii="Calibri" w:hAnsi="Calibri"/>
                            <w:i/>
                            <w:iCs/>
                            <w:color w:val="000000"/>
                            <w:kern w:val="24"/>
                            <w:sz w:val="18"/>
                            <w:szCs w:val="18"/>
                          </w:rPr>
                          <w:t>ACTB</w:t>
                        </w:r>
                        <w:r w:rsidRPr="0015358E">
                          <w:rPr>
                            <w:rFonts w:ascii="Calibri" w:hAnsi="Calibri"/>
                            <w:color w:val="000000"/>
                            <w:kern w:val="24"/>
                            <w:sz w:val="18"/>
                            <w:szCs w:val="18"/>
                          </w:rPr>
                          <w:t xml:space="preserve"> &gt;1000 </w:t>
                        </w:r>
                      </w:p>
                    </w:txbxContent>
                  </v:textbox>
                </v:shape>
                <v:shape id="Łącznik prosty ze strzałką 135" o:spid="_x0000_s1079" type="#_x0000_t32" style="position:absolute;left:20329;top:40315;width:0;height:468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" strokecolor="#4472c4" strokeweight=".5pt">
                  <v:stroke endarrow="block" joinstyle="miter"/>
                  <o:lock v:ext="edit" shapetype="f"/>
                </v:shape>
                <v:shape id="Łącznik prosty ze strzałką 136" o:spid="_x0000_s1080" type="#_x0000_t32" style="position:absolute;left:29181;top:44663;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" strokecolor="#4472c4" strokeweight=".5pt">
                  <v:stroke endarrow="block" joinstyle="miter"/>
                  <o:lock v:ext="edit" shapetype="f"/>
                </v:shape>
                <v:rect id="Prostokąt 137" o:spid="_x0000_s1081" style="position:absolute;left:24200;top:48332;width:14920;height:36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" fillcolor="#ffc746" stroked="f">
                  <v:fill color2="#e5b600" rotate="t" colors="0 #ffc746;.5 #ffc600;1 #e5b600" focus="100%" type="gradient">
                    <o:fill v:ext="view" type="gradientUnscaled"/>
                  </v:fill>
                  <v:shadow on="t" color="black" opacity="41287f" offset="0,1.5pt"/>
                  <v:textbox>
                    <w:txbxContent>
                      <w:p w14:paraId="62BEB2CE" w14:textId="77777777" w:rsidR="007611BB" w:rsidRDefault="007611BB" w:rsidP="005E347E">
                        <w:pPr>
                          <w:pStyle w:val="NormalnyWeb"/>
                          <w:spacing w:before="0" w:beforeAutospacing="0" w:after="0"/>
                          <w:jc w:val="center"/>
                        </w:pPr>
                        <w:r>
                          <w:rPr>
                            <w:rFonts w:ascii="Calibri" w:hAnsi="Calibri" w:cs="Cordia New"/>
                            <w:b/>
                            <w:bCs/>
                            <w:color w:val="000000"/>
                            <w:kern w:val="24"/>
                            <w:sz w:val="18"/>
                            <w:szCs w:val="18"/>
                          </w:rPr>
                          <w:t xml:space="preserve">II bibuła </w:t>
                        </w:r>
                      </w:p>
                      <w:p w14:paraId="48DE7ACD" w14:textId="77777777" w:rsidR="007611BB" w:rsidRDefault="007611BB" w:rsidP="005E347E">
                        <w:pPr>
                          <w:pStyle w:val="NormalnyWeb"/>
                          <w:spacing w:before="0" w:beforeAutospacing="0" w:after="0"/>
                          <w:jc w:val="center"/>
                        </w:pPr>
                        <w:r>
                          <w:rPr>
                            <w:rFonts w:ascii="Calibri" w:hAnsi="Calibri" w:cs="Cordia New"/>
                            <w:b/>
                            <w:bCs/>
                            <w:color w:val="000000"/>
                            <w:kern w:val="24"/>
                            <w:sz w:val="18"/>
                            <w:szCs w:val="18"/>
                          </w:rPr>
                          <w:t>analiza w 3 powtórzeniach</w:t>
                        </w:r>
                      </w:p>
                    </w:txbxContent>
                  </v:textbox>
                </v:rect>
                <v:shape id="Łącznik prosty ze strzałką 138" o:spid="_x0000_s1082" type="#_x0000_t32" style="position:absolute;left:36764;top:37573;width:0;height:108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" strokecolor="#4472c4" strokeweight=".5pt">
                  <v:stroke endarrow="block" joinstyle="miter"/>
                  <o:lock v:ext="edit" shapetype="f"/>
                </v:shape>
                <v:shape id="pole tekstowe 76" o:spid="_x0000_s1083" type="#_x0000_t202" style="position:absolute;left:26248;top:57938;width:12173;height:3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" fillcolor="#b5d5a7" strokecolor="#70ad47" strokeweight=".5pt">
                  <v:fill color2="#9cca86" rotate="t" colors="0 #b5d5a7;.5 #aace99;1 #9cca86" focus="100%" type="gradient">
                    <o:fill v:ext="view" type="gradientUnscaled"/>
                  </v:fill>
                  <v:shadow on="t" color="black" opacity="26214f" origin="-.5,-.5" offset=".74836mm,.74836mm"/>
                  <v:textbox>
                    <w:txbxContent>
                      <w:p w14:paraId="6FEDF07F" w14:textId="77777777" w:rsidR="007611BB" w:rsidRDefault="007611BB" w:rsidP="005E347E">
                        <w:pPr>
                          <w:pStyle w:val="NormalnyWeb"/>
                          <w:spacing w:before="0" w:beforeAutospacing="0" w:after="0"/>
                          <w:jc w:val="center"/>
                        </w:pPr>
                        <w:r w:rsidRPr="0015358E">
                          <w:rPr>
                            <w:rFonts w:ascii="Calibri" w:hAnsi="Calibri"/>
                            <w:color w:val="000000"/>
                            <w:kern w:val="24"/>
                            <w:sz w:val="18"/>
                            <w:szCs w:val="18"/>
                          </w:rPr>
                          <w:t xml:space="preserve">TREC ≤6 / KREC ≤4 / </w:t>
                        </w:r>
                        <w:r w:rsidRPr="0015358E">
                          <w:rPr>
                            <w:rFonts w:ascii="Calibri" w:hAnsi="Calibri"/>
                            <w:color w:val="000000"/>
                            <w:kern w:val="24"/>
                            <w:sz w:val="18"/>
                            <w:szCs w:val="18"/>
                          </w:rPr>
                          <w:br/>
                        </w:r>
                        <w:r w:rsidRPr="0015358E">
                          <w:rPr>
                            <w:rFonts w:ascii="Calibri" w:hAnsi="Calibri"/>
                            <w:i/>
                            <w:iCs/>
                            <w:color w:val="000000"/>
                            <w:kern w:val="24"/>
                            <w:sz w:val="18"/>
                            <w:szCs w:val="18"/>
                          </w:rPr>
                          <w:t>ACTB</w:t>
                        </w:r>
                        <w:r w:rsidRPr="0015358E">
                          <w:rPr>
                            <w:rFonts w:ascii="Calibri" w:hAnsi="Calibri"/>
                            <w:color w:val="000000"/>
                            <w:kern w:val="24"/>
                            <w:sz w:val="18"/>
                            <w:szCs w:val="18"/>
                          </w:rPr>
                          <w:t xml:space="preserve"> &gt;1000 </w:t>
                        </w:r>
                      </w:p>
                    </w:txbxContent>
                  </v:textbox>
                </v:shape>
                <v:shape id="Łącznik prosty ze strzałką 140" o:spid="_x0000_s1084" type="#_x0000_t32" style="position:absolute;left:23883;top:57372;width:0;height:4680;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" strokecolor="#4472c4" strokeweight=".5pt">
                  <v:stroke endarrow="block" joinstyle="miter"/>
                  <o:lock v:ext="edit" shapetype="f"/>
                </v:shape>
                <v:group id="Grupa 141" o:spid="_x0000_s1085" style="position:absolute;left:62055;top:1941;width:3284;height:6787;rotation:-90" coordorigin="76665,-6957" coordsize="10816,6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">
                  <v:shape id="Łącznik prosty ze strzałką 142" o:spid="_x0000_s1086" type="#_x0000_t32" style="position:absolute;left:82073;top:-5579;width:1;height:10817;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" strokecolor="#4472c4" strokeweight=".5pt">
                    <v:stroke joinstyle="miter"/>
                    <o:lock v:ext="edit" shapetype="f"/>
                  </v:shape>
                  <v:shape id="Łącznik prosty ze strzałką 143" o:spid="_x0000_s1087" type="#_x0000_t32" style="position:absolute;left:84086;top:-3563;width:6787;height:0;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" strokecolor="#4472c4" strokeweight=".5pt">
                    <v:stroke endarrow="block" joinstyle="miter"/>
                    <o:lock v:ext="edit" shapetype="f"/>
                  </v:shape>
                </v:group>
                <v:rect id="Prostokąt 144" o:spid="_x0000_s1088" style="position:absolute;left:23244;top:24628;width:7873;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" fillcolor="#b5d5a7" strokecolor="#70ad47" strokeweight=".5pt">
                  <v:fill color2="#9cca86" rotate="t" colors="0 #b5d5a7;.5 #aace99;1 #9cca86" focus="100%" type="gradient">
                    <o:fill v:ext="view" type="gradientUnscaled"/>
                  </v:fill>
                  <v:shadow on="t" color="black" opacity="26214f" origin="-.5,-.5" offset=".74836mm,.74836mm"/>
                  <v:textbox>
                    <w:txbxContent>
                      <w:p w14:paraId="52055DE7" w14:textId="77777777" w:rsidR="007611BB" w:rsidRDefault="007611BB" w:rsidP="005E347E">
                        <w:pPr>
                          <w:pStyle w:val="NormalnyWeb"/>
                          <w:spacing w:before="0" w:beforeAutospacing="0" w:after="0"/>
                          <w:jc w:val="center"/>
                        </w:pPr>
                        <w:r w:rsidRPr="0015358E">
                          <w:rPr>
                            <w:rFonts w:ascii="Calibri" w:hAnsi="Calibri"/>
                            <w:i/>
                            <w:iCs/>
                            <w:color w:val="000000"/>
                            <w:kern w:val="24"/>
                            <w:sz w:val="18"/>
                            <w:szCs w:val="18"/>
                          </w:rPr>
                          <w:t xml:space="preserve">ACTB </w:t>
                        </w:r>
                        <w:r w:rsidRPr="0015358E">
                          <w:rPr>
                            <w:rFonts w:ascii="Calibri" w:hAnsi="Calibri"/>
                            <w:color w:val="000000"/>
                            <w:kern w:val="24"/>
                            <w:sz w:val="18"/>
                            <w:szCs w:val="18"/>
                          </w:rPr>
                          <w:t>&gt; 1000</w:t>
                        </w:r>
                      </w:p>
                    </w:txbxContent>
                  </v:textbox>
                </v:rect>
                <v:shape id="pole tekstowe 101" o:spid="_x0000_s1089" type="#_x0000_t202" style="position:absolute;left:42244;top:23966;width:4740;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" filled="f" stroked="f">
                  <v:textbox>
                    <w:txbxContent>
                      <w:p w14:paraId="463EC0A8" w14:textId="77777777" w:rsidR="007611BB" w:rsidRDefault="007611BB" w:rsidP="005E347E">
                        <w:pPr>
                          <w:pStyle w:val="NormalnyWeb"/>
                          <w:spacing w:before="0" w:beforeAutospacing="0" w:after="0"/>
                        </w:pPr>
                        <w:r w:rsidRPr="0015358E">
                          <w:rPr>
                            <w:rFonts w:ascii="Calibri" w:hAnsi="Calibri"/>
                            <w:color w:val="000000"/>
                            <w:kern w:val="24"/>
                            <w:sz w:val="20"/>
                            <w:szCs w:val="20"/>
                          </w:rPr>
                          <w:t>TAK</w:t>
                        </w:r>
                      </w:p>
                    </w:txbxContent>
                  </v:textbox>
                </v:shape>
                <v:rect id="Prostokąt 146" o:spid="_x0000_s1090" style="position:absolute;left:62109;top:6978;width:11450;height:126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" fillcolor="#ffc746" strokecolor="#ffc000" strokeweight=".5pt">
                  <v:fill color2="#e5b600" rotate="t" colors="0 #ffc746;.5 #ffc600;1 #e5b600" focus="100%" type="gradient">
                    <o:fill v:ext="view" type="gradientUnscaled"/>
                  </v:fill>
                  <v:textbox>
                    <w:txbxContent>
                      <w:p w14:paraId="586884DD" w14:textId="77777777" w:rsidR="007611BB" w:rsidRDefault="007611BB" w:rsidP="005E347E">
                        <w:pPr>
                          <w:pStyle w:val="NormalnyWeb"/>
                          <w:spacing w:before="0" w:beforeAutospacing="0" w:after="0"/>
                          <w:jc w:val="center"/>
                        </w:pPr>
                        <w:r>
                          <w:rPr>
                            <w:rFonts w:ascii="Calibri" w:hAnsi="Calibri" w:cs="Cordia New"/>
                            <w:b/>
                            <w:bCs/>
                            <w:color w:val="000000"/>
                            <w:kern w:val="24"/>
                            <w:sz w:val="18"/>
                            <w:szCs w:val="18"/>
                          </w:rPr>
                          <w:t xml:space="preserve">wynik </w:t>
                        </w:r>
                        <w:proofErr w:type="spellStart"/>
                        <w:r>
                          <w:rPr>
                            <w:rFonts w:ascii="Calibri" w:hAnsi="Calibri" w:cs="Cordia New"/>
                            <w:b/>
                            <w:bCs/>
                            <w:color w:val="000000"/>
                            <w:kern w:val="24"/>
                            <w:sz w:val="18"/>
                            <w:szCs w:val="18"/>
                          </w:rPr>
                          <w:t>nieinformacyjny</w:t>
                        </w:r>
                        <w:proofErr w:type="spellEnd"/>
                        <w:r>
                          <w:rPr>
                            <w:rFonts w:ascii="Calibri" w:hAnsi="Calibri" w:cs="Cordia New"/>
                            <w:b/>
                            <w:bCs/>
                            <w:color w:val="000000"/>
                            <w:kern w:val="24"/>
                            <w:sz w:val="18"/>
                            <w:szCs w:val="18"/>
                          </w:rPr>
                          <w:t xml:space="preserve"> </w:t>
                        </w:r>
                        <w:r>
                          <w:rPr>
                            <w:rFonts w:ascii="Calibri" w:hAnsi="Calibri" w:cs="Cordia New"/>
                            <w:color w:val="000000"/>
                            <w:kern w:val="24"/>
                            <w:sz w:val="18"/>
                            <w:szCs w:val="18"/>
                          </w:rPr>
                          <w:t xml:space="preserve">– konieczność powtórzenia testu z tej samej bibuły (2x) </w:t>
                        </w:r>
                      </w:p>
                    </w:txbxContent>
                  </v:textbox>
                </v:rect>
              </v:group>
            </w:pict>
          </mc:Fallback>
        </mc:AlternateContent>
      </w:r>
    </w:p>
    <w:p w14:paraId="06AF8BF0" w14:textId="77777777" w:rsidR="005E347E" w:rsidRPr="00AA22C4" w:rsidRDefault="005E347E" w:rsidP="005E347E">
      <w:pPr>
        <w:widowControl/>
        <w:ind w:left="-567"/>
        <w:jc w:val="both"/>
        <w:rPr>
          <w:rFonts w:ascii="Lato" w:hAnsi="Lato"/>
          <w:b/>
          <w:bCs/>
          <w:color w:val="000000" w:themeColor="text1"/>
        </w:rPr>
      </w:pPr>
    </w:p>
    <w:p w14:paraId="17982CBD" w14:textId="77777777" w:rsidR="005E347E" w:rsidRPr="00AA22C4" w:rsidRDefault="005E347E" w:rsidP="005E347E">
      <w:pPr>
        <w:widowControl/>
        <w:ind w:left="360"/>
        <w:jc w:val="both"/>
        <w:rPr>
          <w:rFonts w:ascii="Lato" w:hAnsi="Lato"/>
          <w:b/>
          <w:bCs/>
          <w:color w:val="000000" w:themeColor="text1"/>
        </w:rPr>
      </w:pPr>
    </w:p>
    <w:p w14:paraId="43F90B21" w14:textId="77777777" w:rsidR="005E347E" w:rsidRPr="00AA22C4" w:rsidRDefault="005E347E" w:rsidP="005E347E">
      <w:pPr>
        <w:widowControl/>
        <w:ind w:left="360"/>
        <w:jc w:val="both"/>
        <w:rPr>
          <w:rFonts w:ascii="Lato" w:hAnsi="Lato"/>
          <w:b/>
          <w:bCs/>
          <w:color w:val="000000" w:themeColor="text1"/>
        </w:rPr>
      </w:pPr>
    </w:p>
    <w:p w14:paraId="442CBADE" w14:textId="77777777" w:rsidR="005E347E" w:rsidRPr="00AA22C4" w:rsidRDefault="005E347E" w:rsidP="005E347E">
      <w:pPr>
        <w:widowControl/>
        <w:ind w:left="360"/>
        <w:jc w:val="both"/>
        <w:rPr>
          <w:rFonts w:ascii="Lato" w:hAnsi="Lato"/>
          <w:b/>
          <w:bCs/>
          <w:color w:val="000000" w:themeColor="text1"/>
        </w:rPr>
      </w:pPr>
    </w:p>
    <w:p w14:paraId="0309B43D" w14:textId="77777777" w:rsidR="005E347E" w:rsidRPr="00AA22C4" w:rsidRDefault="005E347E" w:rsidP="005E347E">
      <w:pPr>
        <w:widowControl/>
        <w:spacing w:line="240" w:lineRule="auto"/>
        <w:rPr>
          <w:rFonts w:ascii="Lato" w:hAnsi="Lato"/>
          <w:color w:val="000000" w:themeColor="text1"/>
        </w:rPr>
      </w:pPr>
      <w:r w:rsidRPr="00AA22C4">
        <w:rPr>
          <w:rFonts w:ascii="Lato" w:hAnsi="Lato"/>
          <w:color w:val="000000" w:themeColor="text1"/>
        </w:rPr>
        <w:br w:type="page"/>
      </w:r>
    </w:p>
    <w:p w14:paraId="6F2E172E" w14:textId="77777777" w:rsidR="005E347E" w:rsidRPr="00AA22C4" w:rsidRDefault="005E347E" w:rsidP="003760A5">
      <w:pPr>
        <w:pStyle w:val="Akapitzlist"/>
        <w:widowControl/>
        <w:numPr>
          <w:ilvl w:val="0"/>
          <w:numId w:val="110"/>
        </w:numPr>
        <w:spacing w:after="360" w:line="259" w:lineRule="auto"/>
        <w:ind w:left="714" w:hanging="357"/>
        <w:contextualSpacing w:val="0"/>
        <w:jc w:val="both"/>
        <w:rPr>
          <w:rFonts w:ascii="Lato" w:hAnsi="Lato"/>
          <w:b/>
          <w:color w:val="000000" w:themeColor="text1"/>
          <w:sz w:val="22"/>
          <w:szCs w:val="22"/>
        </w:rPr>
      </w:pPr>
      <w:r w:rsidRPr="00AA22C4">
        <w:rPr>
          <w:rFonts w:ascii="Lato" w:hAnsi="Lato"/>
          <w:b/>
          <w:color w:val="000000" w:themeColor="text1"/>
          <w:sz w:val="22"/>
          <w:szCs w:val="22"/>
        </w:rPr>
        <w:lastRenderedPageBreak/>
        <w:t>Galaktozemia</w:t>
      </w:r>
    </w:p>
    <w:p w14:paraId="5F50327B" w14:textId="77777777" w:rsidR="005E347E" w:rsidRPr="00AA22C4" w:rsidRDefault="005E347E" w:rsidP="00895A8C">
      <w:pPr>
        <w:pStyle w:val="Akapitzlist"/>
        <w:spacing w:before="240" w:after="120" w:line="360" w:lineRule="auto"/>
        <w:ind w:left="357"/>
        <w:contextualSpacing w:val="0"/>
        <w:jc w:val="both"/>
        <w:rPr>
          <w:rFonts w:ascii="Lato" w:eastAsia="SimSun" w:hAnsi="Lato" w:cs="Arial"/>
          <w:color w:val="000000" w:themeColor="text1"/>
          <w:kern w:val="3"/>
          <w:sz w:val="22"/>
          <w:szCs w:val="22"/>
          <w:lang w:eastAsia="zh-CN" w:bidi="hi-IN"/>
        </w:rPr>
      </w:pPr>
      <w:r w:rsidRPr="00AA22C4">
        <w:rPr>
          <w:rFonts w:ascii="Lato" w:hAnsi="Lato"/>
          <w:color w:val="000000" w:themeColor="text1"/>
          <w:sz w:val="22"/>
          <w:szCs w:val="22"/>
          <w:u w:val="single"/>
        </w:rPr>
        <w:t>Opis:</w:t>
      </w:r>
    </w:p>
    <w:p w14:paraId="22AD8A6D" w14:textId="77777777" w:rsidR="005E347E" w:rsidRPr="00AA22C4" w:rsidRDefault="005E347E" w:rsidP="005E347E">
      <w:pPr>
        <w:pStyle w:val="Akapitzlist"/>
        <w:spacing w:before="120" w:after="120" w:line="360" w:lineRule="auto"/>
        <w:ind w:left="360"/>
        <w:contextualSpacing w:val="0"/>
        <w:jc w:val="both"/>
        <w:rPr>
          <w:rFonts w:ascii="Lato" w:hAnsi="Lato" w:cs="Arial"/>
          <w:color w:val="000000" w:themeColor="text1"/>
          <w:kern w:val="3"/>
          <w:sz w:val="22"/>
          <w:szCs w:val="22"/>
          <w:lang w:eastAsia="pl-PL"/>
        </w:rPr>
      </w:pPr>
      <w:r w:rsidRPr="00AA22C4">
        <w:rPr>
          <w:rFonts w:ascii="Lato" w:eastAsia="SimSun" w:hAnsi="Lato" w:cs="Arial"/>
          <w:color w:val="000000" w:themeColor="text1"/>
          <w:kern w:val="3"/>
          <w:sz w:val="22"/>
          <w:szCs w:val="22"/>
          <w:lang w:eastAsia="zh-CN" w:bidi="hi-IN"/>
        </w:rPr>
        <w:t>Częstość występowania klasycznej galaktozemii (</w:t>
      </w:r>
      <w:proofErr w:type="spellStart"/>
      <w:r w:rsidRPr="00AA22C4">
        <w:rPr>
          <w:rFonts w:ascii="Lato" w:eastAsia="SimSun" w:hAnsi="Lato" w:cs="Arial"/>
          <w:color w:val="000000" w:themeColor="text1"/>
          <w:kern w:val="3"/>
          <w:sz w:val="22"/>
          <w:szCs w:val="22"/>
          <w:lang w:eastAsia="zh-CN" w:bidi="hi-IN"/>
        </w:rPr>
        <w:t>type</w:t>
      </w:r>
      <w:proofErr w:type="spellEnd"/>
      <w:r w:rsidRPr="00AA22C4">
        <w:rPr>
          <w:rFonts w:ascii="Lato" w:eastAsia="SimSun" w:hAnsi="Lato" w:cs="Arial"/>
          <w:color w:val="000000" w:themeColor="text1"/>
          <w:kern w:val="3"/>
          <w:sz w:val="22"/>
          <w:szCs w:val="22"/>
          <w:lang w:eastAsia="zh-CN" w:bidi="hi-IN"/>
        </w:rPr>
        <w:t xml:space="preserve"> 1 </w:t>
      </w:r>
      <w:proofErr w:type="spellStart"/>
      <w:r w:rsidRPr="00AA22C4">
        <w:rPr>
          <w:rFonts w:ascii="Lato" w:eastAsia="SimSun" w:hAnsi="Lato" w:cs="Arial"/>
          <w:color w:val="000000" w:themeColor="text1"/>
          <w:kern w:val="3"/>
          <w:sz w:val="22"/>
          <w:szCs w:val="22"/>
          <w:lang w:eastAsia="zh-CN" w:bidi="hi-IN"/>
        </w:rPr>
        <w:t>galactosemia</w:t>
      </w:r>
      <w:proofErr w:type="spellEnd"/>
      <w:r w:rsidRPr="00AA22C4">
        <w:rPr>
          <w:rFonts w:ascii="Lato" w:eastAsia="SimSun" w:hAnsi="Lato" w:cs="Arial"/>
          <w:color w:val="000000" w:themeColor="text1"/>
          <w:kern w:val="3"/>
          <w:sz w:val="22"/>
          <w:szCs w:val="22"/>
          <w:lang w:eastAsia="zh-CN" w:bidi="hi-IN"/>
        </w:rPr>
        <w:t xml:space="preserve">, </w:t>
      </w:r>
      <w:proofErr w:type="spellStart"/>
      <w:r w:rsidRPr="00AA22C4">
        <w:rPr>
          <w:rFonts w:ascii="Lato" w:eastAsia="SimSun" w:hAnsi="Lato" w:cs="Arial"/>
          <w:color w:val="000000" w:themeColor="text1"/>
          <w:kern w:val="3"/>
          <w:sz w:val="22"/>
          <w:szCs w:val="22"/>
          <w:lang w:eastAsia="zh-CN" w:bidi="hi-IN"/>
        </w:rPr>
        <w:t>classic</w:t>
      </w:r>
      <w:proofErr w:type="spellEnd"/>
      <w:r w:rsidRPr="00AA22C4">
        <w:rPr>
          <w:rFonts w:ascii="Lato" w:eastAsia="SimSun" w:hAnsi="Lato" w:cs="Arial"/>
          <w:color w:val="000000" w:themeColor="text1"/>
          <w:kern w:val="3"/>
          <w:sz w:val="22"/>
          <w:szCs w:val="22"/>
          <w:lang w:eastAsia="zh-CN" w:bidi="hi-IN"/>
        </w:rPr>
        <w:t xml:space="preserve"> </w:t>
      </w:r>
      <w:proofErr w:type="spellStart"/>
      <w:r w:rsidRPr="00AA22C4">
        <w:rPr>
          <w:rFonts w:ascii="Lato" w:eastAsia="SimSun" w:hAnsi="Lato" w:cs="Arial"/>
          <w:color w:val="000000" w:themeColor="text1"/>
          <w:kern w:val="3"/>
          <w:sz w:val="22"/>
          <w:szCs w:val="22"/>
          <w:lang w:eastAsia="zh-CN" w:bidi="hi-IN"/>
        </w:rPr>
        <w:t>galactosemia</w:t>
      </w:r>
      <w:proofErr w:type="spellEnd"/>
      <w:r w:rsidRPr="00AA22C4">
        <w:rPr>
          <w:rFonts w:ascii="Lato" w:eastAsia="SimSun" w:hAnsi="Lato" w:cs="Arial"/>
          <w:color w:val="000000" w:themeColor="text1"/>
          <w:kern w:val="3"/>
          <w:sz w:val="22"/>
          <w:szCs w:val="22"/>
          <w:lang w:eastAsia="zh-CN" w:bidi="hi-IN"/>
        </w:rPr>
        <w:t xml:space="preserve">, OMIM #230400) szacuje się na około 1:40 000 – 60 000 w populacji kaukaskiej. Choroba dziedziczona autosomalnie recesywnie. Klasyczna galaktozemia jest zaburzeniem metabolizmu węglowodanów </w:t>
      </w:r>
      <w:r w:rsidRPr="00AA22C4">
        <w:rPr>
          <w:rFonts w:ascii="Lato" w:hAnsi="Lato" w:cs="Arial"/>
          <w:color w:val="000000" w:themeColor="text1"/>
          <w:kern w:val="3"/>
          <w:sz w:val="22"/>
          <w:szCs w:val="22"/>
          <w:lang w:eastAsia="pl-PL"/>
        </w:rPr>
        <w:t xml:space="preserve">spowodowanym brakiem aktywnego enzymu </w:t>
      </w:r>
      <w:proofErr w:type="spellStart"/>
      <w:r w:rsidRPr="00AA22C4">
        <w:rPr>
          <w:rFonts w:ascii="Lato" w:hAnsi="Lato" w:cs="Arial"/>
          <w:color w:val="000000" w:themeColor="text1"/>
          <w:kern w:val="3"/>
          <w:sz w:val="22"/>
          <w:szCs w:val="22"/>
          <w:lang w:eastAsia="pl-PL"/>
        </w:rPr>
        <w:t>urydylotransferazy</w:t>
      </w:r>
      <w:proofErr w:type="spellEnd"/>
      <w:r w:rsidRPr="00AA22C4">
        <w:rPr>
          <w:rFonts w:ascii="Lato" w:hAnsi="Lato" w:cs="Arial"/>
          <w:color w:val="000000" w:themeColor="text1"/>
          <w:kern w:val="3"/>
          <w:sz w:val="22"/>
          <w:szCs w:val="22"/>
          <w:lang w:eastAsia="pl-PL"/>
        </w:rPr>
        <w:t xml:space="preserve"> galaktozo-1-fosforanu (GALT), co uniemożliwia przemianę galaktozy do glukozy.</w:t>
      </w:r>
    </w:p>
    <w:p w14:paraId="17485936" w14:textId="77777777" w:rsidR="005E347E" w:rsidRPr="00AA22C4" w:rsidRDefault="005E347E" w:rsidP="005E347E">
      <w:pPr>
        <w:pStyle w:val="Akapitzlist"/>
        <w:spacing w:line="360" w:lineRule="auto"/>
        <w:ind w:left="357"/>
        <w:contextualSpacing w:val="0"/>
        <w:jc w:val="both"/>
        <w:rPr>
          <w:rFonts w:ascii="Lato" w:hAnsi="Lato" w:cs="Arial"/>
          <w:color w:val="000000" w:themeColor="text1"/>
          <w:kern w:val="3"/>
          <w:sz w:val="22"/>
          <w:szCs w:val="22"/>
          <w:u w:val="single"/>
          <w:lang w:eastAsia="pl-PL"/>
        </w:rPr>
      </w:pPr>
      <w:r w:rsidRPr="00AA22C4">
        <w:rPr>
          <w:rFonts w:ascii="Lato" w:hAnsi="Lato" w:cs="Arial"/>
          <w:color w:val="000000" w:themeColor="text1"/>
          <w:kern w:val="3"/>
          <w:sz w:val="22"/>
          <w:szCs w:val="22"/>
          <w:u w:val="single"/>
          <w:lang w:eastAsia="pl-PL"/>
        </w:rPr>
        <w:t>Objawy:</w:t>
      </w:r>
    </w:p>
    <w:p w14:paraId="4D9318E6" w14:textId="77777777" w:rsidR="005E347E" w:rsidRPr="00AA22C4" w:rsidRDefault="005E347E" w:rsidP="005E347E">
      <w:pPr>
        <w:spacing w:before="120" w:after="120"/>
        <w:ind w:left="360"/>
        <w:jc w:val="both"/>
        <w:rPr>
          <w:rFonts w:ascii="Lato" w:hAnsi="Lato"/>
          <w:color w:val="000000" w:themeColor="text1"/>
          <w:sz w:val="22"/>
          <w:szCs w:val="22"/>
        </w:rPr>
      </w:pPr>
      <w:r w:rsidRPr="00AA22C4">
        <w:rPr>
          <w:rFonts w:ascii="Lato" w:eastAsia="SimSun" w:hAnsi="Lato" w:cs="Arial"/>
          <w:color w:val="000000" w:themeColor="text1"/>
          <w:kern w:val="3"/>
          <w:sz w:val="22"/>
          <w:szCs w:val="22"/>
          <w:lang w:eastAsia="zh-CN" w:bidi="hi-IN"/>
        </w:rPr>
        <w:t xml:space="preserve">Pierwsze objawy choroby pojawiają się najczęściej w 2-4 dobie życia i początkowo są mało specyficzne. Może występować słabe łaknienie, wymioty, biegunka, ubytek masy ciała, apatia. Szybko dochodzi do uszkodzenia funkcji wątroby, co prowadzi do hiperbilirubinemii, </w:t>
      </w:r>
      <w:proofErr w:type="spellStart"/>
      <w:r w:rsidRPr="00AA22C4">
        <w:rPr>
          <w:rFonts w:ascii="Lato" w:eastAsia="SimSun" w:hAnsi="Lato" w:cs="Arial"/>
          <w:color w:val="000000" w:themeColor="text1"/>
          <w:kern w:val="3"/>
          <w:sz w:val="22"/>
          <w:szCs w:val="22"/>
          <w:lang w:eastAsia="zh-CN" w:bidi="hi-IN"/>
        </w:rPr>
        <w:t>cholestazy</w:t>
      </w:r>
      <w:proofErr w:type="spellEnd"/>
      <w:r w:rsidRPr="00AA22C4">
        <w:rPr>
          <w:rFonts w:ascii="Lato" w:eastAsia="SimSun" w:hAnsi="Lato" w:cs="Arial"/>
          <w:color w:val="000000" w:themeColor="text1"/>
          <w:kern w:val="3"/>
          <w:sz w:val="22"/>
          <w:szCs w:val="22"/>
          <w:lang w:eastAsia="zh-CN" w:bidi="hi-IN"/>
        </w:rPr>
        <w:t xml:space="preserve">, nasilonych zaburzeń krzepnięcia, hipoalbuminemii. Częstym objawem choroby jest także </w:t>
      </w:r>
      <w:proofErr w:type="spellStart"/>
      <w:r w:rsidRPr="00AA22C4">
        <w:rPr>
          <w:rFonts w:ascii="Lato" w:eastAsia="SimSun" w:hAnsi="Lato" w:cs="Arial"/>
          <w:color w:val="000000" w:themeColor="text1"/>
          <w:kern w:val="3"/>
          <w:sz w:val="22"/>
          <w:szCs w:val="22"/>
          <w:lang w:eastAsia="zh-CN" w:bidi="hi-IN"/>
        </w:rPr>
        <w:t>tubulopatia</w:t>
      </w:r>
      <w:proofErr w:type="spellEnd"/>
      <w:r w:rsidRPr="00AA22C4">
        <w:rPr>
          <w:rFonts w:ascii="Lato" w:eastAsia="SimSun" w:hAnsi="Lato" w:cs="Arial"/>
          <w:color w:val="000000" w:themeColor="text1"/>
          <w:kern w:val="3"/>
          <w:sz w:val="22"/>
          <w:szCs w:val="22"/>
          <w:lang w:eastAsia="zh-CN" w:bidi="hi-IN"/>
        </w:rPr>
        <w:t xml:space="preserve"> manifestująca sią </w:t>
      </w:r>
      <w:proofErr w:type="spellStart"/>
      <w:r w:rsidRPr="00AA22C4">
        <w:rPr>
          <w:rFonts w:ascii="Lato" w:eastAsia="SimSun" w:hAnsi="Lato" w:cs="Arial"/>
          <w:color w:val="000000" w:themeColor="text1"/>
          <w:kern w:val="3"/>
          <w:sz w:val="22"/>
          <w:szCs w:val="22"/>
          <w:lang w:eastAsia="zh-CN" w:bidi="hi-IN"/>
        </w:rPr>
        <w:t>glukozurią</w:t>
      </w:r>
      <w:proofErr w:type="spellEnd"/>
      <w:r w:rsidRPr="00AA22C4">
        <w:rPr>
          <w:rFonts w:ascii="Lato" w:eastAsia="SimSun" w:hAnsi="Lato" w:cs="Arial"/>
          <w:color w:val="000000" w:themeColor="text1"/>
          <w:kern w:val="3"/>
          <w:sz w:val="22"/>
          <w:szCs w:val="22"/>
          <w:lang w:eastAsia="zh-CN" w:bidi="hi-IN"/>
        </w:rPr>
        <w:t xml:space="preserve">, białkomoczem i kwasicą metaboliczną. Wysokie stężenie galaktozy może być przyczyną zaćmy wrodzonej lub obrzęku mózgu. Stan ogólny dziecka szybko się pogarsza. Mogą dołączać się różnego rodzaju zakażenia, takie jak posocznica, zapalenie płuc, zakażenie układu moczowego, czy zapalenie opon mózgowo-rdzeniowych. Szczególnie charakterystyczna dla galaktozemii jest sepsa o etiologii </w:t>
      </w:r>
      <w:proofErr w:type="spellStart"/>
      <w:proofErr w:type="gramStart"/>
      <w:r w:rsidRPr="00AA22C4">
        <w:rPr>
          <w:rFonts w:ascii="Lato" w:eastAsia="SimSun" w:hAnsi="Lato" w:cs="Arial"/>
          <w:i/>
          <w:color w:val="000000" w:themeColor="text1"/>
          <w:kern w:val="3"/>
          <w:sz w:val="22"/>
          <w:szCs w:val="22"/>
          <w:lang w:eastAsia="zh-CN" w:bidi="hi-IN"/>
        </w:rPr>
        <w:t>E.coli</w:t>
      </w:r>
      <w:proofErr w:type="spellEnd"/>
      <w:proofErr w:type="gramEnd"/>
      <w:r w:rsidRPr="00AA22C4">
        <w:rPr>
          <w:rFonts w:ascii="Lato" w:eastAsia="SimSun" w:hAnsi="Lato" w:cs="Arial"/>
          <w:color w:val="000000" w:themeColor="text1"/>
          <w:kern w:val="3"/>
          <w:sz w:val="22"/>
          <w:szCs w:val="22"/>
          <w:lang w:eastAsia="zh-CN" w:bidi="hi-IN"/>
        </w:rPr>
        <w:t xml:space="preserve">. </w:t>
      </w:r>
    </w:p>
    <w:p w14:paraId="1F2F16CF" w14:textId="77777777" w:rsidR="005E347E" w:rsidRPr="00AA22C4" w:rsidRDefault="005E347E" w:rsidP="005E347E">
      <w:pPr>
        <w:spacing w:before="120" w:after="120"/>
        <w:ind w:left="357"/>
        <w:jc w:val="both"/>
        <w:rPr>
          <w:rFonts w:ascii="Lato" w:hAnsi="Lato"/>
          <w:color w:val="000000" w:themeColor="text1"/>
          <w:sz w:val="22"/>
          <w:szCs w:val="22"/>
        </w:rPr>
      </w:pPr>
      <w:r w:rsidRPr="00AA22C4">
        <w:rPr>
          <w:rFonts w:ascii="Lato" w:eastAsia="SimSun" w:hAnsi="Lato" w:cs="Arial"/>
          <w:color w:val="000000" w:themeColor="text1"/>
          <w:kern w:val="3"/>
          <w:sz w:val="22"/>
          <w:szCs w:val="22"/>
          <w:lang w:eastAsia="zh-CN" w:bidi="hi-IN"/>
        </w:rPr>
        <w:t xml:space="preserve">Do późnych objawów galaktozemii należą </w:t>
      </w:r>
      <w:r w:rsidRPr="00AA22C4">
        <w:rPr>
          <w:rFonts w:ascii="Lato" w:hAnsi="Lato" w:cs="Arial"/>
          <w:color w:val="000000" w:themeColor="text1"/>
          <w:kern w:val="3"/>
          <w:sz w:val="22"/>
          <w:szCs w:val="22"/>
        </w:rPr>
        <w:t xml:space="preserve">nieharmonijny i/lub opóźniony rozwój intelektualny, zaburzenia rozwoju mowy czynnej, dysfunkcje neurologiczne, osteopenia, niedoczynność jajników (u kobiet). Nasilenie objawów zależy częściowo od wieku rozpoznania i włączenia leczenia dietą eliminacyjną oraz dalszego przestrzegania diety.  </w:t>
      </w:r>
    </w:p>
    <w:p w14:paraId="6C8AC236" w14:textId="77777777" w:rsidR="005E347E" w:rsidRPr="00AA22C4" w:rsidRDefault="005E347E" w:rsidP="005E347E">
      <w:pPr>
        <w:pStyle w:val="Akapitzlist"/>
        <w:spacing w:before="120" w:after="120" w:line="360" w:lineRule="auto"/>
        <w:ind w:left="360"/>
        <w:contextualSpacing w:val="0"/>
        <w:jc w:val="both"/>
        <w:rPr>
          <w:rFonts w:ascii="Lato" w:hAnsi="Lato" w:cs="Arial"/>
          <w:color w:val="000000" w:themeColor="text1"/>
          <w:kern w:val="3"/>
          <w:sz w:val="22"/>
          <w:szCs w:val="22"/>
          <w:u w:val="single"/>
          <w:lang w:eastAsia="pl-PL"/>
        </w:rPr>
      </w:pPr>
      <w:r w:rsidRPr="00AA22C4">
        <w:rPr>
          <w:rFonts w:ascii="Lato" w:eastAsia="SimSun" w:hAnsi="Lato" w:cs="Arial"/>
          <w:color w:val="000000" w:themeColor="text1"/>
          <w:kern w:val="3"/>
          <w:sz w:val="22"/>
          <w:szCs w:val="22"/>
          <w:lang w:eastAsia="zh-CN" w:bidi="hi-IN"/>
        </w:rPr>
        <w:t>Postawienie właściwego rozpoznania i niezwłoczne wykluczenie z diety galaktozy wpływa istotnie na poprawą stanu ogólnego dziecka, ustępowaniem objawów klinicznych i normalizacją wyników badań laboratoryjnych. Niewłaściwa lub opóźniona diagnoza często doprowadza do zgonu noworodka wśród objawów niewydolności wielonarządowej i zakażenia uogólnionego.</w:t>
      </w:r>
    </w:p>
    <w:p w14:paraId="7A0A66DD" w14:textId="77777777" w:rsidR="005E347E" w:rsidRPr="00AA22C4" w:rsidRDefault="005E347E" w:rsidP="005E347E">
      <w:pPr>
        <w:pStyle w:val="Akapitzlist"/>
        <w:spacing w:line="360" w:lineRule="auto"/>
        <w:ind w:left="357"/>
        <w:contextualSpacing w:val="0"/>
        <w:jc w:val="both"/>
        <w:rPr>
          <w:rFonts w:ascii="Lato" w:hAnsi="Lato" w:cs="Arial"/>
          <w:color w:val="000000" w:themeColor="text1"/>
          <w:kern w:val="3"/>
          <w:sz w:val="22"/>
          <w:szCs w:val="22"/>
          <w:u w:val="single"/>
          <w:lang w:eastAsia="pl-PL"/>
        </w:rPr>
      </w:pPr>
      <w:r w:rsidRPr="00AA22C4">
        <w:rPr>
          <w:rFonts w:ascii="Lato" w:hAnsi="Lato" w:cs="Arial"/>
          <w:color w:val="000000" w:themeColor="text1"/>
          <w:kern w:val="3"/>
          <w:sz w:val="22"/>
          <w:szCs w:val="22"/>
          <w:u w:val="single"/>
          <w:lang w:eastAsia="pl-PL"/>
        </w:rPr>
        <w:t>Diagnostyka:</w:t>
      </w:r>
    </w:p>
    <w:p w14:paraId="7C193434" w14:textId="506AFA8E" w:rsidR="005E347E" w:rsidRPr="00AA22C4" w:rsidRDefault="005E347E" w:rsidP="005E347E">
      <w:pPr>
        <w:spacing w:before="120" w:after="120"/>
        <w:ind w:left="360"/>
        <w:jc w:val="both"/>
        <w:rPr>
          <w:rFonts w:ascii="Lato" w:hAnsi="Lato"/>
          <w:color w:val="000000" w:themeColor="text1"/>
          <w:sz w:val="22"/>
          <w:szCs w:val="22"/>
        </w:rPr>
      </w:pPr>
      <w:r w:rsidRPr="00AA22C4">
        <w:rPr>
          <w:rFonts w:ascii="Lato" w:hAnsi="Lato"/>
          <w:color w:val="000000" w:themeColor="text1"/>
          <w:sz w:val="22"/>
          <w:szCs w:val="22"/>
        </w:rPr>
        <w:t xml:space="preserve">Krew na bibule przesiewowej: </w:t>
      </w:r>
      <w:r w:rsidRPr="00AA22C4">
        <w:rPr>
          <w:rFonts w:ascii="Arial" w:hAnsi="Arial" w:cs="Arial"/>
          <w:color w:val="000000" w:themeColor="text1"/>
          <w:kern w:val="3"/>
          <w:sz w:val="22"/>
          <w:szCs w:val="22"/>
        </w:rPr>
        <w:t>↓↓</w:t>
      </w:r>
      <w:r w:rsidRPr="00AA22C4">
        <w:rPr>
          <w:rFonts w:ascii="Lato" w:hAnsi="Lato" w:cs="Arial"/>
          <w:color w:val="000000" w:themeColor="text1"/>
          <w:kern w:val="3"/>
          <w:sz w:val="22"/>
          <w:szCs w:val="22"/>
        </w:rPr>
        <w:t xml:space="preserve"> aktywno</w:t>
      </w:r>
      <w:r w:rsidRPr="00AA22C4">
        <w:rPr>
          <w:rFonts w:ascii="Lato" w:hAnsi="Lato" w:cs="Lato"/>
          <w:color w:val="000000" w:themeColor="text1"/>
          <w:kern w:val="3"/>
          <w:sz w:val="22"/>
          <w:szCs w:val="22"/>
        </w:rPr>
        <w:t>ść</w:t>
      </w:r>
      <w:r w:rsidRPr="00AA22C4">
        <w:rPr>
          <w:rFonts w:ascii="Lato" w:hAnsi="Lato" w:cs="Arial"/>
          <w:color w:val="000000" w:themeColor="text1"/>
          <w:kern w:val="3"/>
          <w:sz w:val="22"/>
          <w:szCs w:val="22"/>
        </w:rPr>
        <w:t xml:space="preserve"> </w:t>
      </w:r>
      <w:proofErr w:type="spellStart"/>
      <w:r w:rsidRPr="00AA22C4">
        <w:rPr>
          <w:rFonts w:ascii="Lato" w:hAnsi="Lato" w:cs="Arial"/>
          <w:color w:val="000000" w:themeColor="text1"/>
          <w:kern w:val="3"/>
          <w:sz w:val="22"/>
          <w:szCs w:val="22"/>
        </w:rPr>
        <w:t>urydylotransferazy</w:t>
      </w:r>
      <w:proofErr w:type="spellEnd"/>
      <w:r w:rsidRPr="00AA22C4">
        <w:rPr>
          <w:rFonts w:ascii="Lato" w:hAnsi="Lato" w:cs="Arial"/>
          <w:color w:val="000000" w:themeColor="text1"/>
          <w:kern w:val="3"/>
          <w:sz w:val="22"/>
          <w:szCs w:val="22"/>
        </w:rPr>
        <w:t xml:space="preserve"> galaktozo-1-fosforanu (GALT; metoda p</w:t>
      </w:r>
      <w:r w:rsidRPr="00AA22C4">
        <w:rPr>
          <w:rFonts w:ascii="Lato" w:hAnsi="Lato" w:cs="Lato"/>
          <w:color w:val="000000" w:themeColor="text1"/>
          <w:kern w:val="3"/>
          <w:sz w:val="22"/>
          <w:szCs w:val="22"/>
        </w:rPr>
        <w:t>ół</w:t>
      </w:r>
      <w:r w:rsidRPr="00AA22C4">
        <w:rPr>
          <w:rFonts w:ascii="Lato" w:hAnsi="Lato" w:cs="Arial"/>
          <w:color w:val="000000" w:themeColor="text1"/>
          <w:kern w:val="3"/>
          <w:sz w:val="22"/>
          <w:szCs w:val="22"/>
        </w:rPr>
        <w:t>ilo</w:t>
      </w:r>
      <w:r w:rsidRPr="00AA22C4">
        <w:rPr>
          <w:rFonts w:ascii="Lato" w:hAnsi="Lato" w:cs="Lato"/>
          <w:color w:val="000000" w:themeColor="text1"/>
          <w:kern w:val="3"/>
          <w:sz w:val="22"/>
          <w:szCs w:val="22"/>
        </w:rPr>
        <w:t>ś</w:t>
      </w:r>
      <w:r w:rsidRPr="00AA22C4">
        <w:rPr>
          <w:rFonts w:ascii="Lato" w:hAnsi="Lato" w:cs="Arial"/>
          <w:color w:val="000000" w:themeColor="text1"/>
          <w:kern w:val="3"/>
          <w:sz w:val="22"/>
          <w:szCs w:val="22"/>
        </w:rPr>
        <w:t xml:space="preserve">ciowa) oraz </w:t>
      </w:r>
      <w:r w:rsidRPr="00AA22C4">
        <w:rPr>
          <w:rFonts w:ascii="Arial" w:hAnsi="Arial" w:cs="Arial"/>
          <w:color w:val="000000" w:themeColor="text1"/>
          <w:kern w:val="3"/>
          <w:sz w:val="22"/>
          <w:szCs w:val="22"/>
        </w:rPr>
        <w:t>↑↑</w:t>
      </w:r>
      <w:r w:rsidRPr="00AA22C4">
        <w:rPr>
          <w:rFonts w:ascii="Lato" w:hAnsi="Lato" w:cs="Arial"/>
          <w:color w:val="000000" w:themeColor="text1"/>
          <w:kern w:val="3"/>
          <w:sz w:val="22"/>
          <w:szCs w:val="22"/>
        </w:rPr>
        <w:t xml:space="preserve"> galaktoza ca</w:t>
      </w:r>
      <w:r w:rsidRPr="00AA22C4">
        <w:rPr>
          <w:rFonts w:ascii="Lato" w:hAnsi="Lato" w:cs="Lato"/>
          <w:color w:val="000000" w:themeColor="text1"/>
          <w:kern w:val="3"/>
          <w:sz w:val="22"/>
          <w:szCs w:val="22"/>
        </w:rPr>
        <w:t>ł</w:t>
      </w:r>
      <w:r w:rsidRPr="00AA22C4">
        <w:rPr>
          <w:rFonts w:ascii="Lato" w:hAnsi="Lato" w:cs="Arial"/>
          <w:color w:val="000000" w:themeColor="text1"/>
          <w:kern w:val="3"/>
          <w:sz w:val="22"/>
          <w:szCs w:val="22"/>
        </w:rPr>
        <w:t>kowita (galaktozo-1-fosforan + galaktoza)</w:t>
      </w:r>
      <w:r w:rsidR="00531B15" w:rsidRPr="00AA22C4">
        <w:rPr>
          <w:rFonts w:ascii="Lato" w:hAnsi="Lato" w:cs="Arial"/>
          <w:color w:val="000000" w:themeColor="text1"/>
          <w:kern w:val="3"/>
          <w:sz w:val="22"/>
          <w:szCs w:val="22"/>
        </w:rPr>
        <w:t>.</w:t>
      </w:r>
    </w:p>
    <w:p w14:paraId="6DF49BE9" w14:textId="77777777" w:rsidR="005E347E" w:rsidRPr="00AA22C4" w:rsidRDefault="005E347E" w:rsidP="005E347E">
      <w:pPr>
        <w:spacing w:before="120" w:after="120"/>
        <w:ind w:left="360"/>
        <w:jc w:val="both"/>
        <w:rPr>
          <w:rFonts w:ascii="Lato" w:hAnsi="Lato" w:cs="Arial"/>
          <w:color w:val="000000" w:themeColor="text1"/>
          <w:kern w:val="3"/>
          <w:sz w:val="22"/>
          <w:szCs w:val="22"/>
        </w:rPr>
      </w:pPr>
      <w:r w:rsidRPr="00AA22C4">
        <w:rPr>
          <w:rFonts w:ascii="Lato" w:hAnsi="Lato" w:cs="Arial"/>
          <w:color w:val="000000" w:themeColor="text1"/>
          <w:kern w:val="3"/>
          <w:sz w:val="22"/>
          <w:szCs w:val="22"/>
        </w:rPr>
        <w:t xml:space="preserve">Izolowane erytrocyty z krwi obwodowej: </w:t>
      </w:r>
      <w:r w:rsidRPr="00AA22C4">
        <w:rPr>
          <w:rFonts w:ascii="Arial" w:hAnsi="Arial" w:cs="Arial"/>
          <w:color w:val="000000" w:themeColor="text1"/>
          <w:kern w:val="3"/>
          <w:sz w:val="22"/>
          <w:szCs w:val="22"/>
        </w:rPr>
        <w:t>↓↓</w:t>
      </w:r>
      <w:r w:rsidRPr="00AA22C4">
        <w:rPr>
          <w:rFonts w:ascii="Lato" w:hAnsi="Lato" w:cs="Arial"/>
          <w:color w:val="000000" w:themeColor="text1"/>
          <w:kern w:val="3"/>
          <w:sz w:val="22"/>
          <w:szCs w:val="22"/>
        </w:rPr>
        <w:t xml:space="preserve"> aktywno</w:t>
      </w:r>
      <w:r w:rsidRPr="00AA22C4">
        <w:rPr>
          <w:rFonts w:ascii="Lato" w:hAnsi="Lato" w:cs="Lato"/>
          <w:color w:val="000000" w:themeColor="text1"/>
          <w:kern w:val="3"/>
          <w:sz w:val="22"/>
          <w:szCs w:val="22"/>
        </w:rPr>
        <w:t>ść</w:t>
      </w:r>
      <w:r w:rsidRPr="00AA22C4">
        <w:rPr>
          <w:rFonts w:ascii="Lato" w:hAnsi="Lato" w:cs="Arial"/>
          <w:color w:val="000000" w:themeColor="text1"/>
          <w:kern w:val="3"/>
          <w:sz w:val="22"/>
          <w:szCs w:val="22"/>
        </w:rPr>
        <w:t xml:space="preserve"> GALT (oznaczenie ilo</w:t>
      </w:r>
      <w:r w:rsidRPr="00AA22C4">
        <w:rPr>
          <w:rFonts w:ascii="Lato" w:hAnsi="Lato" w:cs="Lato"/>
          <w:color w:val="000000" w:themeColor="text1"/>
          <w:kern w:val="3"/>
          <w:sz w:val="22"/>
          <w:szCs w:val="22"/>
        </w:rPr>
        <w:t>ś</w:t>
      </w:r>
      <w:r w:rsidRPr="00AA22C4">
        <w:rPr>
          <w:rFonts w:ascii="Lato" w:hAnsi="Lato" w:cs="Arial"/>
          <w:color w:val="000000" w:themeColor="text1"/>
          <w:kern w:val="3"/>
          <w:sz w:val="22"/>
          <w:szCs w:val="22"/>
        </w:rPr>
        <w:t xml:space="preserve">ciowe) </w:t>
      </w:r>
      <w:r w:rsidRPr="00AA22C4">
        <w:rPr>
          <w:rFonts w:ascii="Arial" w:hAnsi="Arial" w:cs="Arial"/>
          <w:color w:val="000000" w:themeColor="text1"/>
          <w:kern w:val="3"/>
          <w:sz w:val="22"/>
          <w:szCs w:val="22"/>
        </w:rPr>
        <w:t>↑↑</w:t>
      </w:r>
      <w:r w:rsidRPr="00AA22C4">
        <w:rPr>
          <w:rFonts w:ascii="Lato" w:hAnsi="Lato" w:cs="Arial"/>
          <w:color w:val="000000" w:themeColor="text1"/>
          <w:kern w:val="3"/>
          <w:sz w:val="22"/>
          <w:szCs w:val="22"/>
        </w:rPr>
        <w:t xml:space="preserve"> galaktozo-1-fosforanu (Gal-1-P).</w:t>
      </w:r>
    </w:p>
    <w:p w14:paraId="5C0E1E92" w14:textId="77777777" w:rsidR="005E347E" w:rsidRPr="00AA22C4" w:rsidRDefault="005E347E" w:rsidP="005E347E">
      <w:pPr>
        <w:spacing w:before="120" w:after="120"/>
        <w:ind w:firstLine="360"/>
        <w:jc w:val="both"/>
        <w:rPr>
          <w:rFonts w:ascii="Lato" w:hAnsi="Lato" w:cs="Arial"/>
          <w:color w:val="000000" w:themeColor="text1"/>
          <w:kern w:val="3"/>
          <w:sz w:val="22"/>
          <w:szCs w:val="22"/>
        </w:rPr>
      </w:pPr>
      <w:r w:rsidRPr="00AA22C4">
        <w:rPr>
          <w:rFonts w:ascii="Lato" w:hAnsi="Lato" w:cs="Arial"/>
          <w:color w:val="000000" w:themeColor="text1"/>
          <w:kern w:val="3"/>
          <w:sz w:val="22"/>
          <w:szCs w:val="22"/>
        </w:rPr>
        <w:lastRenderedPageBreak/>
        <w:t xml:space="preserve">Surowica: </w:t>
      </w:r>
      <w:r w:rsidRPr="00AA22C4">
        <w:rPr>
          <w:rFonts w:ascii="Arial" w:hAnsi="Arial" w:cs="Arial"/>
          <w:color w:val="000000" w:themeColor="text1"/>
          <w:kern w:val="3"/>
          <w:sz w:val="22"/>
          <w:szCs w:val="22"/>
        </w:rPr>
        <w:t>↑↑</w:t>
      </w:r>
      <w:r w:rsidRPr="00AA22C4">
        <w:rPr>
          <w:rFonts w:ascii="Lato" w:hAnsi="Lato" w:cs="Arial"/>
          <w:color w:val="000000" w:themeColor="text1"/>
          <w:kern w:val="3"/>
          <w:sz w:val="22"/>
          <w:szCs w:val="22"/>
        </w:rPr>
        <w:t xml:space="preserve"> galaktoza</w:t>
      </w:r>
    </w:p>
    <w:p w14:paraId="24B7BAA8" w14:textId="1F0440CC" w:rsidR="005E347E" w:rsidRPr="00AA22C4" w:rsidRDefault="005E347E" w:rsidP="005E347E">
      <w:pPr>
        <w:spacing w:before="120" w:after="120"/>
        <w:ind w:firstLine="360"/>
        <w:jc w:val="both"/>
        <w:rPr>
          <w:rFonts w:ascii="Lato" w:hAnsi="Lato" w:cs="Arial"/>
          <w:color w:val="000000" w:themeColor="text1"/>
          <w:kern w:val="3"/>
          <w:sz w:val="22"/>
          <w:szCs w:val="22"/>
        </w:rPr>
      </w:pPr>
      <w:r w:rsidRPr="00AA22C4">
        <w:rPr>
          <w:rFonts w:ascii="Lato" w:hAnsi="Lato" w:cs="Arial"/>
          <w:color w:val="000000" w:themeColor="text1"/>
          <w:kern w:val="3"/>
          <w:sz w:val="22"/>
          <w:szCs w:val="22"/>
        </w:rPr>
        <w:t xml:space="preserve">W krwi pobranej na bibułę metodą MS/MS: </w:t>
      </w:r>
      <w:r w:rsidRPr="00AA22C4">
        <w:rPr>
          <w:rFonts w:ascii="Arial" w:hAnsi="Arial" w:cs="Arial"/>
          <w:color w:val="000000" w:themeColor="text1"/>
          <w:kern w:val="3"/>
          <w:sz w:val="22"/>
          <w:szCs w:val="22"/>
        </w:rPr>
        <w:t>↑↑</w:t>
      </w:r>
      <w:r w:rsidRPr="00AA22C4">
        <w:rPr>
          <w:rFonts w:ascii="Lato" w:hAnsi="Lato" w:cs="Arial"/>
          <w:color w:val="000000" w:themeColor="text1"/>
          <w:kern w:val="3"/>
          <w:sz w:val="22"/>
          <w:szCs w:val="22"/>
        </w:rPr>
        <w:t xml:space="preserve"> Gal-1-P, </w:t>
      </w:r>
      <w:r w:rsidRPr="00AA22C4">
        <w:rPr>
          <w:rFonts w:ascii="Arial" w:hAnsi="Arial" w:cs="Arial"/>
          <w:color w:val="000000" w:themeColor="text1"/>
          <w:kern w:val="3"/>
          <w:sz w:val="22"/>
          <w:szCs w:val="22"/>
        </w:rPr>
        <w:t>↑</w:t>
      </w:r>
      <w:r w:rsidRPr="00AA22C4">
        <w:rPr>
          <w:rFonts w:ascii="Lato" w:hAnsi="Lato" w:cs="Arial"/>
          <w:color w:val="000000" w:themeColor="text1"/>
          <w:kern w:val="3"/>
          <w:sz w:val="22"/>
          <w:szCs w:val="22"/>
        </w:rPr>
        <w:t xml:space="preserve"> </w:t>
      </w:r>
      <w:proofErr w:type="gramStart"/>
      <w:r w:rsidRPr="00AA22C4">
        <w:rPr>
          <w:rFonts w:ascii="Lato" w:hAnsi="Lato" w:cs="Arial"/>
          <w:color w:val="000000" w:themeColor="text1"/>
          <w:kern w:val="3"/>
          <w:sz w:val="22"/>
          <w:szCs w:val="22"/>
        </w:rPr>
        <w:t xml:space="preserve">galaktoza,  </w:t>
      </w:r>
      <w:r w:rsidRPr="00AA22C4">
        <w:rPr>
          <w:rFonts w:ascii="Arial" w:hAnsi="Arial" w:cs="Arial"/>
          <w:color w:val="000000" w:themeColor="text1"/>
          <w:kern w:val="3"/>
          <w:sz w:val="22"/>
          <w:szCs w:val="22"/>
        </w:rPr>
        <w:t>↑</w:t>
      </w:r>
      <w:proofErr w:type="gramEnd"/>
      <w:r w:rsidRPr="00AA22C4">
        <w:rPr>
          <w:rFonts w:ascii="Lato" w:hAnsi="Lato" w:cs="Arial"/>
          <w:color w:val="000000" w:themeColor="text1"/>
          <w:kern w:val="3"/>
          <w:sz w:val="22"/>
          <w:szCs w:val="22"/>
        </w:rPr>
        <w:t xml:space="preserve"> Gal-1-P/Gal</w:t>
      </w:r>
      <w:r w:rsidR="00531B15" w:rsidRPr="00AA22C4">
        <w:rPr>
          <w:rFonts w:ascii="Lato" w:hAnsi="Lato" w:cs="Arial"/>
          <w:color w:val="000000" w:themeColor="text1"/>
          <w:kern w:val="3"/>
          <w:sz w:val="22"/>
          <w:szCs w:val="22"/>
        </w:rPr>
        <w:t>.</w:t>
      </w:r>
    </w:p>
    <w:p w14:paraId="37807CEC" w14:textId="77777777" w:rsidR="005E347E" w:rsidRPr="00AA22C4" w:rsidRDefault="005E347E" w:rsidP="005E347E">
      <w:pPr>
        <w:spacing w:before="120" w:after="120"/>
        <w:ind w:left="360"/>
        <w:jc w:val="both"/>
        <w:rPr>
          <w:rFonts w:ascii="Lato" w:hAnsi="Lato" w:cs="Arial"/>
          <w:color w:val="000000" w:themeColor="text1"/>
          <w:kern w:val="3"/>
          <w:sz w:val="22"/>
          <w:szCs w:val="22"/>
        </w:rPr>
      </w:pPr>
      <w:r w:rsidRPr="00AA22C4">
        <w:rPr>
          <w:rFonts w:ascii="Lato" w:hAnsi="Lato" w:cs="Arial"/>
          <w:color w:val="000000" w:themeColor="text1"/>
          <w:kern w:val="3"/>
          <w:sz w:val="22"/>
          <w:szCs w:val="22"/>
        </w:rPr>
        <w:t xml:space="preserve">Diagnostyka różnicowa: różnicowanie z deficytami </w:t>
      </w:r>
      <w:proofErr w:type="spellStart"/>
      <w:r w:rsidRPr="00AA22C4">
        <w:rPr>
          <w:rFonts w:ascii="Lato" w:hAnsi="Lato" w:cs="Arial"/>
          <w:color w:val="000000" w:themeColor="text1"/>
          <w:kern w:val="3"/>
          <w:sz w:val="22"/>
          <w:szCs w:val="22"/>
        </w:rPr>
        <w:t>mutarotazy</w:t>
      </w:r>
      <w:proofErr w:type="spellEnd"/>
      <w:r w:rsidRPr="00AA22C4">
        <w:rPr>
          <w:rFonts w:ascii="Lato" w:hAnsi="Lato" w:cs="Arial"/>
          <w:color w:val="000000" w:themeColor="text1"/>
          <w:kern w:val="3"/>
          <w:sz w:val="22"/>
          <w:szCs w:val="22"/>
        </w:rPr>
        <w:t xml:space="preserve"> galaktozy (Galaktozemia IV), </w:t>
      </w:r>
      <w:proofErr w:type="spellStart"/>
      <w:r w:rsidRPr="00AA22C4">
        <w:rPr>
          <w:rFonts w:ascii="Lato" w:hAnsi="Lato" w:cs="Arial"/>
          <w:color w:val="000000" w:themeColor="text1"/>
          <w:kern w:val="3"/>
          <w:sz w:val="22"/>
          <w:szCs w:val="22"/>
        </w:rPr>
        <w:t>epimerazy</w:t>
      </w:r>
      <w:proofErr w:type="spellEnd"/>
      <w:r w:rsidRPr="00AA22C4">
        <w:rPr>
          <w:rFonts w:ascii="Lato" w:hAnsi="Lato" w:cs="Arial"/>
          <w:color w:val="000000" w:themeColor="text1"/>
          <w:kern w:val="3"/>
          <w:sz w:val="22"/>
          <w:szCs w:val="22"/>
        </w:rPr>
        <w:t xml:space="preserve"> galaktozy (Galaktozemia III) lub </w:t>
      </w:r>
      <w:proofErr w:type="spellStart"/>
      <w:r w:rsidRPr="00AA22C4">
        <w:rPr>
          <w:rFonts w:ascii="Lato" w:hAnsi="Lato" w:cs="Arial"/>
          <w:color w:val="000000" w:themeColor="text1"/>
          <w:kern w:val="3"/>
          <w:sz w:val="22"/>
          <w:szCs w:val="22"/>
        </w:rPr>
        <w:t>galaktokinazy</w:t>
      </w:r>
      <w:proofErr w:type="spellEnd"/>
      <w:r w:rsidRPr="00AA22C4">
        <w:rPr>
          <w:rFonts w:ascii="Lato" w:hAnsi="Lato" w:cs="Arial"/>
          <w:color w:val="000000" w:themeColor="text1"/>
          <w:kern w:val="3"/>
          <w:sz w:val="22"/>
          <w:szCs w:val="22"/>
        </w:rPr>
        <w:t xml:space="preserve"> (Galaktozemia typu II). Oznaczenie galaktozy, galaktozo-1-fosforanu, Gal-1-P/Gal wraz z oznaczeniem aktywności GALT, analiza mutacji lub oznaczenie aktywności enzymów.</w:t>
      </w:r>
    </w:p>
    <w:p w14:paraId="574544EC" w14:textId="77777777" w:rsidR="005E347E" w:rsidRPr="00AA22C4" w:rsidRDefault="005E347E" w:rsidP="005E347E">
      <w:pPr>
        <w:spacing w:before="120" w:after="120"/>
        <w:ind w:left="360"/>
        <w:jc w:val="both"/>
        <w:rPr>
          <w:rFonts w:ascii="Lato" w:hAnsi="Lato" w:cs="Arial"/>
          <w:color w:val="000000" w:themeColor="text1"/>
          <w:kern w:val="3"/>
          <w:sz w:val="22"/>
          <w:szCs w:val="22"/>
        </w:rPr>
      </w:pPr>
      <w:r w:rsidRPr="00AA22C4">
        <w:rPr>
          <w:rFonts w:ascii="Lato" w:hAnsi="Lato" w:cs="Arial"/>
          <w:color w:val="000000" w:themeColor="text1"/>
          <w:kern w:val="3"/>
          <w:sz w:val="22"/>
          <w:szCs w:val="22"/>
        </w:rPr>
        <w:t>Monitorowanie terapii: monitorowanie stężeń Gal-1-P i galaktozy w izolowanych erytrocytach i surowicy bądź krwi pobranej na bibułę (metoda MS/MS).</w:t>
      </w:r>
    </w:p>
    <w:p w14:paraId="1771EDC0" w14:textId="77777777" w:rsidR="005E347E" w:rsidRPr="00AA22C4" w:rsidRDefault="005E347E" w:rsidP="005E347E">
      <w:pPr>
        <w:spacing w:before="120" w:after="120"/>
        <w:ind w:left="360"/>
        <w:jc w:val="both"/>
        <w:rPr>
          <w:rFonts w:ascii="Lato" w:hAnsi="Lato"/>
          <w:color w:val="000000" w:themeColor="text1"/>
          <w:sz w:val="22"/>
          <w:szCs w:val="22"/>
        </w:rPr>
      </w:pPr>
      <w:r w:rsidRPr="00AA22C4">
        <w:rPr>
          <w:rFonts w:ascii="Lato" w:eastAsia="Arial Unicode MS" w:hAnsi="Lato" w:cs="Arial"/>
          <w:color w:val="000000" w:themeColor="text1"/>
          <w:sz w:val="22"/>
          <w:szCs w:val="22"/>
        </w:rPr>
        <w:t xml:space="preserve">Analiza molekularna - badanie mutacji w genie </w:t>
      </w:r>
      <w:r w:rsidRPr="00AA22C4">
        <w:rPr>
          <w:rFonts w:ascii="Lato" w:eastAsia="Arial Unicode MS" w:hAnsi="Lato" w:cs="Arial"/>
          <w:i/>
          <w:color w:val="000000" w:themeColor="text1"/>
          <w:sz w:val="22"/>
          <w:szCs w:val="22"/>
        </w:rPr>
        <w:t>GALT</w:t>
      </w:r>
      <w:r w:rsidRPr="00AA22C4">
        <w:rPr>
          <w:rFonts w:ascii="Lato" w:eastAsia="Arial Unicode MS" w:hAnsi="Lato" w:cs="Arial"/>
          <w:color w:val="000000" w:themeColor="text1"/>
          <w:sz w:val="22"/>
          <w:szCs w:val="22"/>
        </w:rPr>
        <w:t xml:space="preserve"> – w populacji polskiej najczęstsze mutacje to Gln188Arg i Lys285Asn.</w:t>
      </w:r>
    </w:p>
    <w:p w14:paraId="08BA9454" w14:textId="77777777" w:rsidR="005E347E" w:rsidRPr="00AA22C4" w:rsidRDefault="005E347E" w:rsidP="005E347E">
      <w:pPr>
        <w:spacing w:before="120" w:after="120"/>
        <w:ind w:firstLine="360"/>
        <w:jc w:val="both"/>
        <w:rPr>
          <w:rFonts w:ascii="Lato" w:hAnsi="Lato" w:cs="Arial"/>
          <w:color w:val="000000" w:themeColor="text1"/>
          <w:kern w:val="3"/>
          <w:sz w:val="22"/>
          <w:szCs w:val="22"/>
          <w:u w:val="single"/>
        </w:rPr>
      </w:pPr>
      <w:r w:rsidRPr="00AA22C4">
        <w:rPr>
          <w:rFonts w:ascii="Lato" w:hAnsi="Lato" w:cs="Arial"/>
          <w:color w:val="000000" w:themeColor="text1"/>
          <w:kern w:val="3"/>
          <w:sz w:val="22"/>
          <w:szCs w:val="22"/>
          <w:u w:val="single"/>
        </w:rPr>
        <w:t>Leczenie:</w:t>
      </w:r>
    </w:p>
    <w:p w14:paraId="78D9091E" w14:textId="77777777" w:rsidR="005E347E" w:rsidRPr="00AA22C4" w:rsidRDefault="005E347E" w:rsidP="005E347E">
      <w:pPr>
        <w:spacing w:before="120" w:after="120"/>
        <w:ind w:left="360"/>
        <w:jc w:val="both"/>
        <w:rPr>
          <w:rFonts w:ascii="Lato" w:eastAsia="SimSun" w:hAnsi="Lato" w:cs="Arial"/>
          <w:color w:val="000000" w:themeColor="text1"/>
          <w:sz w:val="22"/>
          <w:szCs w:val="22"/>
          <w:lang w:bidi="hi-IN"/>
        </w:rPr>
      </w:pPr>
      <w:r w:rsidRPr="00AA22C4">
        <w:rPr>
          <w:rFonts w:ascii="Lato" w:eastAsia="SimSun" w:hAnsi="Lato" w:cs="Arial"/>
          <w:color w:val="000000" w:themeColor="text1"/>
          <w:sz w:val="22"/>
          <w:szCs w:val="22"/>
          <w:lang w:bidi="hi-IN"/>
        </w:rPr>
        <w:t xml:space="preserve">Dieta </w:t>
      </w:r>
      <w:proofErr w:type="spellStart"/>
      <w:r w:rsidRPr="00AA22C4">
        <w:rPr>
          <w:rFonts w:ascii="Lato" w:eastAsia="SimSun" w:hAnsi="Lato" w:cs="Arial"/>
          <w:color w:val="000000" w:themeColor="text1"/>
          <w:sz w:val="22"/>
          <w:szCs w:val="22"/>
          <w:lang w:bidi="hi-IN"/>
        </w:rPr>
        <w:t>bezlaktozowa</w:t>
      </w:r>
      <w:proofErr w:type="spellEnd"/>
      <w:r w:rsidRPr="00AA22C4">
        <w:rPr>
          <w:rFonts w:ascii="Lato" w:eastAsia="SimSun" w:hAnsi="Lato" w:cs="Arial"/>
          <w:color w:val="000000" w:themeColor="text1"/>
          <w:sz w:val="22"/>
          <w:szCs w:val="22"/>
          <w:lang w:bidi="hi-IN"/>
        </w:rPr>
        <w:t xml:space="preserve"> z ograniczeniem galaktozy, suplementacja wapnia i witaminy D3, hormonalna terapia zastępcza u kobiet.</w:t>
      </w:r>
    </w:p>
    <w:p w14:paraId="5E362C7C" w14:textId="77777777" w:rsidR="005E347E" w:rsidRPr="00AA22C4" w:rsidRDefault="005E347E" w:rsidP="009038E8">
      <w:pPr>
        <w:pStyle w:val="Akapitzlist"/>
        <w:widowControl/>
        <w:numPr>
          <w:ilvl w:val="0"/>
          <w:numId w:val="110"/>
        </w:numPr>
        <w:spacing w:before="360" w:after="360" w:line="480" w:lineRule="auto"/>
        <w:ind w:left="714" w:hanging="357"/>
        <w:jc w:val="both"/>
        <w:rPr>
          <w:rFonts w:ascii="Lato" w:hAnsi="Lato"/>
          <w:b/>
          <w:bCs/>
          <w:color w:val="000000" w:themeColor="text1"/>
          <w:sz w:val="22"/>
          <w:szCs w:val="22"/>
        </w:rPr>
      </w:pPr>
      <w:r w:rsidRPr="00AA22C4">
        <w:rPr>
          <w:rFonts w:ascii="Lato" w:hAnsi="Lato"/>
          <w:b/>
          <w:bCs/>
          <w:color w:val="000000" w:themeColor="text1"/>
          <w:sz w:val="22"/>
          <w:szCs w:val="22"/>
        </w:rPr>
        <w:t>Choroby lizosomalne</w:t>
      </w:r>
    </w:p>
    <w:p w14:paraId="6C59A7F8" w14:textId="77777777" w:rsidR="005E347E" w:rsidRPr="00AA22C4" w:rsidRDefault="005E347E" w:rsidP="005E347E">
      <w:pPr>
        <w:pStyle w:val="Akapitzlist"/>
        <w:spacing w:before="120" w:after="120" w:line="360" w:lineRule="auto"/>
        <w:ind w:left="357"/>
        <w:contextualSpacing w:val="0"/>
        <w:jc w:val="both"/>
        <w:rPr>
          <w:rFonts w:ascii="Lato" w:hAnsi="Lato" w:cs="Calibri"/>
          <w:color w:val="000000" w:themeColor="text1"/>
          <w:sz w:val="22"/>
          <w:szCs w:val="22"/>
        </w:rPr>
      </w:pPr>
      <w:r w:rsidRPr="00AA22C4">
        <w:rPr>
          <w:rFonts w:ascii="Lato" w:hAnsi="Lato" w:cs="Calibri"/>
          <w:color w:val="000000" w:themeColor="text1"/>
          <w:sz w:val="22"/>
          <w:szCs w:val="22"/>
        </w:rPr>
        <w:t xml:space="preserve">Lizosomalne choroby spichrzeniowe (LSD, ang. </w:t>
      </w:r>
      <w:proofErr w:type="spellStart"/>
      <w:r w:rsidRPr="00AA22C4">
        <w:rPr>
          <w:rFonts w:ascii="Lato" w:hAnsi="Lato" w:cs="Calibri"/>
          <w:color w:val="000000" w:themeColor="text1"/>
          <w:sz w:val="22"/>
          <w:szCs w:val="22"/>
        </w:rPr>
        <w:t>lysosomal</w:t>
      </w:r>
      <w:proofErr w:type="spellEnd"/>
      <w:r w:rsidRPr="00AA22C4">
        <w:rPr>
          <w:rFonts w:ascii="Lato" w:hAnsi="Lato" w:cs="Calibri"/>
          <w:color w:val="000000" w:themeColor="text1"/>
          <w:sz w:val="22"/>
          <w:szCs w:val="22"/>
        </w:rPr>
        <w:t xml:space="preserve"> </w:t>
      </w:r>
      <w:proofErr w:type="spellStart"/>
      <w:r w:rsidRPr="00AA22C4">
        <w:rPr>
          <w:rFonts w:ascii="Lato" w:hAnsi="Lato" w:cs="Calibri"/>
          <w:color w:val="000000" w:themeColor="text1"/>
          <w:sz w:val="22"/>
          <w:szCs w:val="22"/>
        </w:rPr>
        <w:t>storage</w:t>
      </w:r>
      <w:proofErr w:type="spellEnd"/>
      <w:r w:rsidRPr="00AA22C4">
        <w:rPr>
          <w:rFonts w:ascii="Lato" w:hAnsi="Lato" w:cs="Calibri"/>
          <w:color w:val="000000" w:themeColor="text1"/>
          <w:sz w:val="22"/>
          <w:szCs w:val="22"/>
        </w:rPr>
        <w:t xml:space="preserve"> </w:t>
      </w:r>
      <w:proofErr w:type="spellStart"/>
      <w:r w:rsidRPr="00AA22C4">
        <w:rPr>
          <w:rFonts w:ascii="Lato" w:hAnsi="Lato" w:cs="Calibri"/>
          <w:color w:val="000000" w:themeColor="text1"/>
          <w:sz w:val="22"/>
          <w:szCs w:val="22"/>
        </w:rPr>
        <w:t>disorders</w:t>
      </w:r>
      <w:proofErr w:type="spellEnd"/>
      <w:r w:rsidRPr="00AA22C4">
        <w:rPr>
          <w:rFonts w:ascii="Lato" w:hAnsi="Lato" w:cs="Calibri"/>
          <w:color w:val="000000" w:themeColor="text1"/>
          <w:sz w:val="22"/>
          <w:szCs w:val="22"/>
        </w:rPr>
        <w:t>) to grupa około 50 genetycznie uwarunkowanych schorzeń, które są spowodowane dysfunkcją, niedoborem lub brakiem enzymów lizosomalnych. Prowadzi to do stopniowej akumulacji substratów w lizosomach, co w efekcie powoduje nieodwracalne uszkodzenia komórek i tkanek. Ponieważ objawy tych chorób nie są widoczne zaraz po urodzeniu, ich wczesne rozpoznanie na podstawie obserwacji klinicznej jest bardzo trudne.</w:t>
      </w:r>
    </w:p>
    <w:p w14:paraId="468DC470" w14:textId="77777777" w:rsidR="005E347E" w:rsidRPr="00AA22C4" w:rsidRDefault="005E347E" w:rsidP="005E347E">
      <w:pPr>
        <w:pStyle w:val="Akapitzlist"/>
        <w:spacing w:before="120" w:after="120" w:line="360" w:lineRule="auto"/>
        <w:ind w:left="357"/>
        <w:contextualSpacing w:val="0"/>
        <w:jc w:val="both"/>
        <w:rPr>
          <w:rFonts w:ascii="Lato" w:hAnsi="Lato" w:cs="Calibri"/>
          <w:color w:val="000000" w:themeColor="text1"/>
          <w:sz w:val="22"/>
          <w:szCs w:val="22"/>
        </w:rPr>
      </w:pPr>
      <w:r w:rsidRPr="00AA22C4">
        <w:rPr>
          <w:rFonts w:ascii="Lato" w:hAnsi="Lato" w:cs="Calibri"/>
          <w:color w:val="000000" w:themeColor="text1"/>
          <w:sz w:val="22"/>
          <w:szCs w:val="22"/>
        </w:rPr>
        <w:t xml:space="preserve">Częstość występowania wybranych zaburzeń na świecie szacuje się następująco: choroba Pompego 1:10 000–50 000, choroba </w:t>
      </w:r>
      <w:proofErr w:type="spellStart"/>
      <w:r w:rsidRPr="00AA22C4">
        <w:rPr>
          <w:rFonts w:ascii="Lato" w:hAnsi="Lato" w:cs="Calibri"/>
          <w:color w:val="000000" w:themeColor="text1"/>
          <w:sz w:val="22"/>
          <w:szCs w:val="22"/>
        </w:rPr>
        <w:t>Fabry'ego</w:t>
      </w:r>
      <w:proofErr w:type="spellEnd"/>
      <w:r w:rsidRPr="00AA22C4">
        <w:rPr>
          <w:rFonts w:ascii="Lato" w:hAnsi="Lato" w:cs="Calibri"/>
          <w:color w:val="000000" w:themeColor="text1"/>
          <w:sz w:val="22"/>
          <w:szCs w:val="22"/>
        </w:rPr>
        <w:t xml:space="preserve"> 1:50 000–120 000, choroba </w:t>
      </w:r>
      <w:proofErr w:type="spellStart"/>
      <w:r w:rsidRPr="00AA22C4">
        <w:rPr>
          <w:rFonts w:ascii="Lato" w:hAnsi="Lato" w:cs="Calibri"/>
          <w:color w:val="000000" w:themeColor="text1"/>
          <w:sz w:val="22"/>
          <w:szCs w:val="22"/>
        </w:rPr>
        <w:t>Gauchera</w:t>
      </w:r>
      <w:proofErr w:type="spellEnd"/>
      <w:r w:rsidRPr="00AA22C4">
        <w:rPr>
          <w:rFonts w:ascii="Lato" w:hAnsi="Lato" w:cs="Calibri"/>
          <w:color w:val="000000" w:themeColor="text1"/>
          <w:sz w:val="22"/>
          <w:szCs w:val="22"/>
        </w:rPr>
        <w:t xml:space="preserve"> 1:50 000–140 000, oraz </w:t>
      </w:r>
      <w:proofErr w:type="spellStart"/>
      <w:r w:rsidRPr="00AA22C4">
        <w:rPr>
          <w:rFonts w:ascii="Lato" w:hAnsi="Lato" w:cs="Calibri"/>
          <w:color w:val="000000" w:themeColor="text1"/>
          <w:sz w:val="22"/>
          <w:szCs w:val="22"/>
        </w:rPr>
        <w:t>mukopolisacharydoza</w:t>
      </w:r>
      <w:proofErr w:type="spellEnd"/>
      <w:r w:rsidRPr="00AA22C4">
        <w:rPr>
          <w:rFonts w:ascii="Lato" w:hAnsi="Lato" w:cs="Calibri"/>
          <w:color w:val="000000" w:themeColor="text1"/>
          <w:sz w:val="22"/>
          <w:szCs w:val="22"/>
        </w:rPr>
        <w:t xml:space="preserve"> typu I 1:100 000–170 000. Wszystkie wymienione choroby są w Polsce objęte programami lekowymi.</w:t>
      </w:r>
    </w:p>
    <w:p w14:paraId="47B5D387" w14:textId="3783C227" w:rsidR="005E347E" w:rsidRPr="00AA22C4" w:rsidRDefault="005E347E" w:rsidP="005E347E">
      <w:pPr>
        <w:pStyle w:val="NormalnyWeb"/>
        <w:spacing w:before="120" w:beforeAutospacing="0" w:after="120" w:line="360" w:lineRule="auto"/>
        <w:ind w:left="357"/>
        <w:jc w:val="both"/>
        <w:rPr>
          <w:rFonts w:ascii="Lato" w:hAnsi="Lato" w:cs="Calibri"/>
          <w:color w:val="000000" w:themeColor="text1"/>
          <w:sz w:val="22"/>
          <w:szCs w:val="22"/>
        </w:rPr>
      </w:pPr>
      <w:r w:rsidRPr="00AA22C4">
        <w:rPr>
          <w:rFonts w:ascii="Lato" w:hAnsi="Lato" w:cs="Calibri"/>
          <w:color w:val="000000" w:themeColor="text1"/>
          <w:sz w:val="22"/>
          <w:szCs w:val="22"/>
        </w:rPr>
        <w:t xml:space="preserve">W okresie pilotażowym </w:t>
      </w:r>
      <w:r w:rsidR="004F03AA" w:rsidRPr="00AA22C4">
        <w:rPr>
          <w:rFonts w:ascii="Lato" w:hAnsi="Lato" w:cs="Calibri"/>
          <w:color w:val="000000" w:themeColor="text1"/>
          <w:sz w:val="22"/>
          <w:szCs w:val="22"/>
        </w:rPr>
        <w:t xml:space="preserve">jest </w:t>
      </w:r>
      <w:r w:rsidRPr="00AA22C4">
        <w:rPr>
          <w:rFonts w:ascii="Lato" w:hAnsi="Lato" w:cs="Calibri"/>
          <w:color w:val="000000" w:themeColor="text1"/>
          <w:sz w:val="22"/>
          <w:szCs w:val="22"/>
        </w:rPr>
        <w:t>planowane wykonanie badań dla 4 chorób, a decyzja czy wprowadzić komplet 4 chorób zostanie podjęta po zakończeniu badań pilotażowych i walidacji.</w:t>
      </w:r>
      <w:r w:rsidR="004F03AA" w:rsidRPr="00AA22C4">
        <w:rPr>
          <w:rFonts w:ascii="Lato" w:hAnsi="Lato" w:cs="Calibri"/>
          <w:color w:val="000000" w:themeColor="text1"/>
          <w:sz w:val="22"/>
          <w:szCs w:val="22"/>
        </w:rPr>
        <w:t xml:space="preserve"> </w:t>
      </w:r>
    </w:p>
    <w:p w14:paraId="2580CFE4" w14:textId="77777777" w:rsidR="005E347E" w:rsidRPr="00AA22C4" w:rsidRDefault="005E347E" w:rsidP="005E347E">
      <w:pPr>
        <w:pStyle w:val="Akapitzlist"/>
        <w:widowControl/>
        <w:numPr>
          <w:ilvl w:val="0"/>
          <w:numId w:val="85"/>
        </w:numPr>
        <w:suppressAutoHyphens w:val="0"/>
        <w:spacing w:before="120" w:after="120" w:line="360" w:lineRule="auto"/>
        <w:contextualSpacing w:val="0"/>
        <w:jc w:val="both"/>
        <w:rPr>
          <w:rFonts w:ascii="Lato" w:hAnsi="Lato" w:cs="Calibri"/>
          <w:b/>
          <w:color w:val="000000" w:themeColor="text1"/>
          <w:sz w:val="22"/>
          <w:szCs w:val="22"/>
        </w:rPr>
      </w:pPr>
      <w:r w:rsidRPr="00AA22C4">
        <w:rPr>
          <w:rFonts w:ascii="Lato" w:hAnsi="Lato" w:cs="Calibri"/>
          <w:b/>
          <w:color w:val="000000" w:themeColor="text1"/>
          <w:sz w:val="22"/>
          <w:szCs w:val="22"/>
        </w:rPr>
        <w:t xml:space="preserve">Choroba Pompego - </w:t>
      </w:r>
      <w:r w:rsidRPr="00AA22C4">
        <w:rPr>
          <w:rFonts w:ascii="Lato" w:hAnsi="Lato" w:cs="Calibri"/>
          <w:b/>
          <w:color w:val="000000" w:themeColor="text1"/>
          <w:sz w:val="22"/>
          <w:szCs w:val="22"/>
          <w:lang w:eastAsia="pl-PL"/>
        </w:rPr>
        <w:t>deficyt aktywności alfa-</w:t>
      </w:r>
      <w:proofErr w:type="spellStart"/>
      <w:r w:rsidRPr="00AA22C4">
        <w:rPr>
          <w:rFonts w:ascii="Lato" w:hAnsi="Lato" w:cs="Calibri"/>
          <w:b/>
          <w:color w:val="000000" w:themeColor="text1"/>
          <w:sz w:val="22"/>
          <w:szCs w:val="22"/>
          <w:lang w:eastAsia="pl-PL"/>
        </w:rPr>
        <w:t>glukozydazy</w:t>
      </w:r>
      <w:proofErr w:type="spellEnd"/>
      <w:r w:rsidRPr="00AA22C4">
        <w:rPr>
          <w:rFonts w:ascii="Lato" w:hAnsi="Lato" w:cs="Calibri"/>
          <w:b/>
          <w:color w:val="000000" w:themeColor="text1"/>
          <w:sz w:val="22"/>
          <w:szCs w:val="22"/>
          <w:lang w:eastAsia="pl-PL"/>
        </w:rPr>
        <w:t xml:space="preserve"> (GAA)</w:t>
      </w:r>
    </w:p>
    <w:p w14:paraId="59B41C3E" w14:textId="77777777" w:rsidR="005E347E" w:rsidRPr="00AA22C4" w:rsidRDefault="005E347E" w:rsidP="005E347E">
      <w:pPr>
        <w:tabs>
          <w:tab w:val="left" w:pos="5865"/>
        </w:tabs>
        <w:spacing w:before="120" w:after="120"/>
        <w:ind w:left="357"/>
        <w:jc w:val="both"/>
        <w:rPr>
          <w:rFonts w:ascii="Lato" w:hAnsi="Lato" w:cs="Calibri"/>
          <w:bCs/>
          <w:color w:val="000000" w:themeColor="text1"/>
          <w:sz w:val="22"/>
          <w:szCs w:val="22"/>
          <w:u w:val="single"/>
        </w:rPr>
      </w:pPr>
      <w:r w:rsidRPr="00AA22C4">
        <w:rPr>
          <w:rFonts w:ascii="Lato" w:hAnsi="Lato" w:cs="Calibri"/>
          <w:bCs/>
          <w:color w:val="000000" w:themeColor="text1"/>
          <w:sz w:val="22"/>
          <w:szCs w:val="22"/>
          <w:u w:val="single"/>
        </w:rPr>
        <w:t>Opis:</w:t>
      </w:r>
    </w:p>
    <w:p w14:paraId="6DAC5C20" w14:textId="77777777" w:rsidR="005E347E" w:rsidRPr="00AA22C4" w:rsidRDefault="005E347E" w:rsidP="005E347E">
      <w:pPr>
        <w:tabs>
          <w:tab w:val="left" w:pos="5865"/>
        </w:tabs>
        <w:spacing w:before="120" w:after="120"/>
        <w:ind w:left="357"/>
        <w:jc w:val="both"/>
        <w:rPr>
          <w:rFonts w:ascii="Lato" w:hAnsi="Lato" w:cs="Calibri"/>
          <w:bCs/>
          <w:color w:val="000000" w:themeColor="text1"/>
          <w:sz w:val="22"/>
          <w:szCs w:val="22"/>
        </w:rPr>
      </w:pPr>
      <w:r w:rsidRPr="00AA22C4">
        <w:rPr>
          <w:rFonts w:ascii="Lato" w:hAnsi="Lato" w:cs="Calibri"/>
          <w:bCs/>
          <w:color w:val="000000" w:themeColor="text1"/>
          <w:sz w:val="22"/>
          <w:szCs w:val="22"/>
        </w:rPr>
        <w:t xml:space="preserve">Choroba Pompego, znana również jako </w:t>
      </w:r>
      <w:proofErr w:type="spellStart"/>
      <w:r w:rsidRPr="00AA22C4">
        <w:rPr>
          <w:rFonts w:ascii="Lato" w:hAnsi="Lato" w:cs="Calibri"/>
          <w:bCs/>
          <w:color w:val="000000" w:themeColor="text1"/>
          <w:sz w:val="22"/>
          <w:szCs w:val="22"/>
        </w:rPr>
        <w:t>glikogenoza</w:t>
      </w:r>
      <w:proofErr w:type="spellEnd"/>
      <w:r w:rsidRPr="00AA22C4">
        <w:rPr>
          <w:rFonts w:ascii="Lato" w:hAnsi="Lato" w:cs="Calibri"/>
          <w:bCs/>
          <w:color w:val="000000" w:themeColor="text1"/>
          <w:sz w:val="22"/>
          <w:szCs w:val="22"/>
        </w:rPr>
        <w:t xml:space="preserve"> typu II, to dziedziczna choroba </w:t>
      </w:r>
      <w:r w:rsidRPr="00AA22C4">
        <w:rPr>
          <w:rFonts w:ascii="Lato" w:hAnsi="Lato" w:cs="Calibri"/>
          <w:bCs/>
          <w:color w:val="000000" w:themeColor="text1"/>
          <w:sz w:val="22"/>
          <w:szCs w:val="22"/>
        </w:rPr>
        <w:lastRenderedPageBreak/>
        <w:t>autosomalna recesywna, spowodowana mutacjami w genie na chromosomie 17q25. Gen ten koduje enzym kwaśnej alfa-1,4-glukozydazy (GAA), odpowiedzialnej za rozkład glikogenu w lizosomach. W wyniku mutacji dochodzi do niedoboru lub braku aktywności GAA, co prowadzi do nadmiernego gromadzenia się glikogenu w komórkach, zwłaszcza mięśni szkieletowych, serca i układu nerwowego, wywołując różnorodne objawy związane z dysfunkcją tych narządów.</w:t>
      </w:r>
    </w:p>
    <w:p w14:paraId="08571D28" w14:textId="77777777" w:rsidR="005E347E" w:rsidRPr="00AA22C4" w:rsidRDefault="005E347E" w:rsidP="005E347E">
      <w:pPr>
        <w:tabs>
          <w:tab w:val="left" w:pos="5865"/>
        </w:tabs>
        <w:spacing w:before="120" w:after="120"/>
        <w:ind w:left="357"/>
        <w:jc w:val="both"/>
        <w:rPr>
          <w:rFonts w:ascii="Lato" w:hAnsi="Lato" w:cs="Calibri"/>
          <w:bCs/>
          <w:color w:val="000000" w:themeColor="text1"/>
          <w:sz w:val="22"/>
          <w:szCs w:val="22"/>
          <w:u w:val="single"/>
        </w:rPr>
      </w:pPr>
      <w:r w:rsidRPr="00AA22C4">
        <w:rPr>
          <w:rFonts w:ascii="Lato" w:hAnsi="Lato" w:cs="Calibri"/>
          <w:bCs/>
          <w:color w:val="000000" w:themeColor="text1"/>
          <w:sz w:val="22"/>
          <w:szCs w:val="22"/>
          <w:u w:val="single"/>
        </w:rPr>
        <w:t>Objawy:</w:t>
      </w:r>
    </w:p>
    <w:p w14:paraId="11063FCE" w14:textId="77777777" w:rsidR="005E347E" w:rsidRPr="00AA22C4" w:rsidRDefault="005E347E" w:rsidP="005E347E">
      <w:pPr>
        <w:tabs>
          <w:tab w:val="left" w:pos="5865"/>
        </w:tabs>
        <w:spacing w:before="120" w:after="120"/>
        <w:ind w:left="357"/>
        <w:jc w:val="both"/>
        <w:rPr>
          <w:rFonts w:ascii="Lato" w:hAnsi="Lato" w:cs="Calibri"/>
          <w:bCs/>
          <w:color w:val="000000" w:themeColor="text1"/>
          <w:sz w:val="22"/>
          <w:szCs w:val="22"/>
        </w:rPr>
      </w:pPr>
      <w:r w:rsidRPr="00AA22C4">
        <w:rPr>
          <w:rFonts w:ascii="Lato" w:hAnsi="Lato" w:cs="Calibri"/>
          <w:bCs/>
          <w:color w:val="000000" w:themeColor="text1"/>
          <w:sz w:val="22"/>
          <w:szCs w:val="22"/>
        </w:rPr>
        <w:t>Objawy choroby Pompego zależą od poziomu aktywności enzymu GAA, co pozwala na podział choroby na dwie formy: postać niemowlęcą, klasyczną (</w:t>
      </w:r>
      <w:r w:rsidRPr="00AA22C4">
        <w:rPr>
          <w:rFonts w:ascii="Lato" w:hAnsi="Lato" w:cs="Calibri"/>
          <w:bCs/>
          <w:i/>
          <w:iCs/>
          <w:color w:val="000000" w:themeColor="text1"/>
          <w:sz w:val="22"/>
          <w:szCs w:val="22"/>
        </w:rPr>
        <w:t xml:space="preserve">ang. IOPD - </w:t>
      </w:r>
      <w:proofErr w:type="spellStart"/>
      <w:r w:rsidRPr="00AA22C4">
        <w:rPr>
          <w:rFonts w:ascii="Lato" w:hAnsi="Lato" w:cs="Calibri"/>
          <w:bCs/>
          <w:i/>
          <w:iCs/>
          <w:color w:val="000000" w:themeColor="text1"/>
          <w:sz w:val="22"/>
          <w:szCs w:val="22"/>
        </w:rPr>
        <w:t>Infantile</w:t>
      </w:r>
      <w:proofErr w:type="spellEnd"/>
      <w:r w:rsidRPr="00AA22C4">
        <w:rPr>
          <w:rFonts w:ascii="Lato" w:hAnsi="Lato" w:cs="Calibri"/>
          <w:bCs/>
          <w:i/>
          <w:iCs/>
          <w:color w:val="000000" w:themeColor="text1"/>
          <w:sz w:val="22"/>
          <w:szCs w:val="22"/>
        </w:rPr>
        <w:t xml:space="preserve"> </w:t>
      </w:r>
      <w:proofErr w:type="spellStart"/>
      <w:r w:rsidRPr="00AA22C4">
        <w:rPr>
          <w:rFonts w:ascii="Lato" w:hAnsi="Lato" w:cs="Calibri"/>
          <w:bCs/>
          <w:i/>
          <w:iCs/>
          <w:color w:val="000000" w:themeColor="text1"/>
          <w:sz w:val="22"/>
          <w:szCs w:val="22"/>
        </w:rPr>
        <w:t>onset</w:t>
      </w:r>
      <w:proofErr w:type="spellEnd"/>
      <w:r w:rsidRPr="00AA22C4">
        <w:rPr>
          <w:rFonts w:ascii="Lato" w:hAnsi="Lato" w:cs="Calibri"/>
          <w:bCs/>
          <w:i/>
          <w:iCs/>
          <w:color w:val="000000" w:themeColor="text1"/>
          <w:sz w:val="22"/>
          <w:szCs w:val="22"/>
        </w:rPr>
        <w:t xml:space="preserve"> </w:t>
      </w:r>
      <w:proofErr w:type="spellStart"/>
      <w:r w:rsidRPr="00AA22C4">
        <w:rPr>
          <w:rFonts w:ascii="Lato" w:hAnsi="Lato" w:cs="Calibri"/>
          <w:bCs/>
          <w:i/>
          <w:iCs/>
          <w:color w:val="000000" w:themeColor="text1"/>
          <w:sz w:val="22"/>
          <w:szCs w:val="22"/>
        </w:rPr>
        <w:t>Pompe</w:t>
      </w:r>
      <w:proofErr w:type="spellEnd"/>
      <w:r w:rsidRPr="00AA22C4">
        <w:rPr>
          <w:rFonts w:ascii="Lato" w:hAnsi="Lato" w:cs="Calibri"/>
          <w:bCs/>
          <w:i/>
          <w:iCs/>
          <w:color w:val="000000" w:themeColor="text1"/>
          <w:sz w:val="22"/>
          <w:szCs w:val="22"/>
        </w:rPr>
        <w:t xml:space="preserve"> </w:t>
      </w:r>
      <w:proofErr w:type="spellStart"/>
      <w:r w:rsidRPr="00AA22C4">
        <w:rPr>
          <w:rFonts w:ascii="Lato" w:hAnsi="Lato" w:cs="Calibri"/>
          <w:bCs/>
          <w:i/>
          <w:iCs/>
          <w:color w:val="000000" w:themeColor="text1"/>
          <w:sz w:val="22"/>
          <w:szCs w:val="22"/>
        </w:rPr>
        <w:t>disease</w:t>
      </w:r>
      <w:proofErr w:type="spellEnd"/>
      <w:r w:rsidRPr="00AA22C4">
        <w:rPr>
          <w:rFonts w:ascii="Lato" w:hAnsi="Lato" w:cs="Calibri"/>
          <w:bCs/>
          <w:color w:val="000000" w:themeColor="text1"/>
          <w:sz w:val="22"/>
          <w:szCs w:val="22"/>
        </w:rPr>
        <w:t>), gdzie aktywność GAA jest mniejsza niż 1%, oraz postać późną (</w:t>
      </w:r>
      <w:r w:rsidRPr="00AA22C4">
        <w:rPr>
          <w:rFonts w:ascii="Lato" w:hAnsi="Lato" w:cs="Calibri"/>
          <w:bCs/>
          <w:i/>
          <w:iCs/>
          <w:color w:val="000000" w:themeColor="text1"/>
          <w:sz w:val="22"/>
          <w:szCs w:val="22"/>
        </w:rPr>
        <w:t xml:space="preserve">ang. LOPD - </w:t>
      </w:r>
      <w:proofErr w:type="spellStart"/>
      <w:r w:rsidRPr="00AA22C4">
        <w:rPr>
          <w:rFonts w:ascii="Lato" w:hAnsi="Lato" w:cs="Calibri"/>
          <w:bCs/>
          <w:i/>
          <w:iCs/>
          <w:color w:val="000000" w:themeColor="text1"/>
          <w:sz w:val="22"/>
          <w:szCs w:val="22"/>
        </w:rPr>
        <w:t>late</w:t>
      </w:r>
      <w:proofErr w:type="spellEnd"/>
      <w:r w:rsidRPr="00AA22C4">
        <w:rPr>
          <w:rFonts w:ascii="Lato" w:hAnsi="Lato" w:cs="Calibri"/>
          <w:bCs/>
          <w:i/>
          <w:iCs/>
          <w:color w:val="000000" w:themeColor="text1"/>
          <w:sz w:val="22"/>
          <w:szCs w:val="22"/>
        </w:rPr>
        <w:t xml:space="preserve"> </w:t>
      </w:r>
      <w:proofErr w:type="spellStart"/>
      <w:r w:rsidRPr="00AA22C4">
        <w:rPr>
          <w:rFonts w:ascii="Lato" w:hAnsi="Lato" w:cs="Calibri"/>
          <w:bCs/>
          <w:i/>
          <w:iCs/>
          <w:color w:val="000000" w:themeColor="text1"/>
          <w:sz w:val="22"/>
          <w:szCs w:val="22"/>
        </w:rPr>
        <w:t>onset</w:t>
      </w:r>
      <w:proofErr w:type="spellEnd"/>
      <w:r w:rsidRPr="00AA22C4">
        <w:rPr>
          <w:rFonts w:ascii="Lato" w:hAnsi="Lato" w:cs="Calibri"/>
          <w:bCs/>
          <w:i/>
          <w:iCs/>
          <w:color w:val="000000" w:themeColor="text1"/>
          <w:sz w:val="22"/>
          <w:szCs w:val="22"/>
        </w:rPr>
        <w:t xml:space="preserve"> </w:t>
      </w:r>
      <w:proofErr w:type="spellStart"/>
      <w:r w:rsidRPr="00AA22C4">
        <w:rPr>
          <w:rFonts w:ascii="Lato" w:hAnsi="Lato" w:cs="Calibri"/>
          <w:bCs/>
          <w:i/>
          <w:iCs/>
          <w:color w:val="000000" w:themeColor="text1"/>
          <w:sz w:val="22"/>
          <w:szCs w:val="22"/>
        </w:rPr>
        <w:t>Pompe</w:t>
      </w:r>
      <w:proofErr w:type="spellEnd"/>
      <w:r w:rsidRPr="00AA22C4">
        <w:rPr>
          <w:rFonts w:ascii="Lato" w:hAnsi="Lato" w:cs="Calibri"/>
          <w:bCs/>
          <w:i/>
          <w:iCs/>
          <w:color w:val="000000" w:themeColor="text1"/>
          <w:sz w:val="22"/>
          <w:szCs w:val="22"/>
        </w:rPr>
        <w:t xml:space="preserve"> </w:t>
      </w:r>
      <w:proofErr w:type="spellStart"/>
      <w:r w:rsidRPr="00AA22C4">
        <w:rPr>
          <w:rFonts w:ascii="Lato" w:hAnsi="Lato" w:cs="Calibri"/>
          <w:bCs/>
          <w:i/>
          <w:iCs/>
          <w:color w:val="000000" w:themeColor="text1"/>
          <w:sz w:val="22"/>
          <w:szCs w:val="22"/>
        </w:rPr>
        <w:t>disease</w:t>
      </w:r>
      <w:proofErr w:type="spellEnd"/>
      <w:r w:rsidRPr="00AA22C4">
        <w:rPr>
          <w:rFonts w:ascii="Lato" w:hAnsi="Lato" w:cs="Calibri"/>
          <w:bCs/>
          <w:i/>
          <w:iCs/>
          <w:color w:val="000000" w:themeColor="text1"/>
          <w:sz w:val="22"/>
          <w:szCs w:val="22"/>
        </w:rPr>
        <w:t>)</w:t>
      </w:r>
      <w:r w:rsidRPr="00AA22C4">
        <w:rPr>
          <w:rFonts w:ascii="Lato" w:hAnsi="Lato" w:cs="Calibri"/>
          <w:bCs/>
          <w:color w:val="000000" w:themeColor="text1"/>
          <w:sz w:val="22"/>
          <w:szCs w:val="22"/>
        </w:rPr>
        <w:t>, charakteryzującą się aktywnością GAA na poziomie 1-40%.</w:t>
      </w:r>
    </w:p>
    <w:p w14:paraId="37CA851F" w14:textId="77777777" w:rsidR="005E347E" w:rsidRPr="00AA22C4" w:rsidRDefault="005E347E" w:rsidP="005E347E">
      <w:pPr>
        <w:pStyle w:val="Akapitzlist"/>
        <w:spacing w:before="120" w:after="120" w:line="360" w:lineRule="auto"/>
        <w:ind w:left="360"/>
        <w:contextualSpacing w:val="0"/>
        <w:jc w:val="both"/>
        <w:rPr>
          <w:rFonts w:ascii="Lato" w:hAnsi="Lato" w:cs="Calibri"/>
          <w:color w:val="000000" w:themeColor="text1"/>
          <w:sz w:val="22"/>
          <w:szCs w:val="22"/>
        </w:rPr>
      </w:pPr>
      <w:r w:rsidRPr="00AA22C4">
        <w:rPr>
          <w:rFonts w:ascii="Lato" w:hAnsi="Lato" w:cs="Calibri"/>
          <w:color w:val="000000" w:themeColor="text1"/>
          <w:sz w:val="22"/>
          <w:szCs w:val="22"/>
        </w:rPr>
        <w:t>Klasyczna postać choroby o początku niemowlęcym (</w:t>
      </w:r>
      <w:r w:rsidRPr="00AA22C4">
        <w:rPr>
          <w:rFonts w:ascii="Lato" w:hAnsi="Lato" w:cs="Calibri"/>
          <w:i/>
          <w:iCs/>
          <w:color w:val="000000" w:themeColor="text1"/>
          <w:sz w:val="22"/>
          <w:szCs w:val="22"/>
        </w:rPr>
        <w:t xml:space="preserve">ang. </w:t>
      </w:r>
      <w:proofErr w:type="spellStart"/>
      <w:r w:rsidRPr="00AA22C4">
        <w:rPr>
          <w:rFonts w:ascii="Lato" w:hAnsi="Lato" w:cs="Calibri"/>
          <w:i/>
          <w:iCs/>
          <w:color w:val="000000" w:themeColor="text1"/>
          <w:sz w:val="22"/>
          <w:szCs w:val="22"/>
        </w:rPr>
        <w:t>Infantile-Onset</w:t>
      </w:r>
      <w:proofErr w:type="spellEnd"/>
      <w:r w:rsidRPr="00AA22C4">
        <w:rPr>
          <w:rFonts w:ascii="Lato" w:hAnsi="Lato" w:cs="Calibri"/>
          <w:i/>
          <w:iCs/>
          <w:color w:val="000000" w:themeColor="text1"/>
          <w:sz w:val="22"/>
          <w:szCs w:val="22"/>
        </w:rPr>
        <w:t xml:space="preserve"> </w:t>
      </w:r>
      <w:proofErr w:type="spellStart"/>
      <w:r w:rsidRPr="00AA22C4">
        <w:rPr>
          <w:rFonts w:ascii="Lato" w:hAnsi="Lato" w:cs="Calibri"/>
          <w:i/>
          <w:iCs/>
          <w:color w:val="000000" w:themeColor="text1"/>
          <w:sz w:val="22"/>
          <w:szCs w:val="22"/>
        </w:rPr>
        <w:t>Pompe</w:t>
      </w:r>
      <w:proofErr w:type="spellEnd"/>
      <w:r w:rsidRPr="00AA22C4">
        <w:rPr>
          <w:rFonts w:ascii="Lato" w:hAnsi="Lato" w:cs="Calibri"/>
          <w:i/>
          <w:iCs/>
          <w:color w:val="000000" w:themeColor="text1"/>
          <w:sz w:val="22"/>
          <w:szCs w:val="22"/>
        </w:rPr>
        <w:t xml:space="preserve"> </w:t>
      </w:r>
      <w:proofErr w:type="spellStart"/>
      <w:r w:rsidRPr="00AA22C4">
        <w:rPr>
          <w:rFonts w:ascii="Lato" w:hAnsi="Lato" w:cs="Calibri"/>
          <w:i/>
          <w:iCs/>
          <w:color w:val="000000" w:themeColor="text1"/>
          <w:sz w:val="22"/>
          <w:szCs w:val="22"/>
        </w:rPr>
        <w:t>Disease</w:t>
      </w:r>
      <w:proofErr w:type="spellEnd"/>
      <w:r w:rsidRPr="00AA22C4">
        <w:rPr>
          <w:rFonts w:ascii="Lato" w:hAnsi="Lato" w:cs="Calibri"/>
          <w:i/>
          <w:iCs/>
          <w:color w:val="000000" w:themeColor="text1"/>
          <w:sz w:val="22"/>
          <w:szCs w:val="22"/>
        </w:rPr>
        <w:t>, IOPD</w:t>
      </w:r>
      <w:r w:rsidRPr="00AA22C4">
        <w:rPr>
          <w:rFonts w:ascii="Lato" w:hAnsi="Lato" w:cs="Calibri"/>
          <w:color w:val="000000" w:themeColor="text1"/>
          <w:sz w:val="22"/>
          <w:szCs w:val="22"/>
        </w:rPr>
        <w:t>) jest najcięższą postacią tej choroby, objawia się w pierwszych miesiącach życia i obejmuje ok 20% chorych. Do charakterystycznych objawów należą:</w:t>
      </w:r>
    </w:p>
    <w:p w14:paraId="6F61D472" w14:textId="77777777" w:rsidR="005E347E" w:rsidRPr="00AA22C4" w:rsidRDefault="005E347E" w:rsidP="005E347E">
      <w:pPr>
        <w:pStyle w:val="Akapitzlist"/>
        <w:widowControl/>
        <w:numPr>
          <w:ilvl w:val="0"/>
          <w:numId w:val="86"/>
        </w:numPr>
        <w:suppressAutoHyphens w:val="0"/>
        <w:spacing w:before="120" w:after="120" w:line="360" w:lineRule="auto"/>
        <w:ind w:left="714" w:hanging="357"/>
        <w:contextualSpacing w:val="0"/>
        <w:jc w:val="both"/>
        <w:rPr>
          <w:rFonts w:ascii="Lato" w:hAnsi="Lato" w:cs="Calibri"/>
          <w:color w:val="000000" w:themeColor="text1"/>
          <w:sz w:val="22"/>
          <w:szCs w:val="22"/>
        </w:rPr>
      </w:pPr>
      <w:proofErr w:type="spellStart"/>
      <w:r w:rsidRPr="00AA22C4">
        <w:rPr>
          <w:rFonts w:ascii="Lato" w:hAnsi="Lato" w:cs="Calibri"/>
          <w:color w:val="000000" w:themeColor="text1"/>
          <w:sz w:val="22"/>
          <w:szCs w:val="22"/>
        </w:rPr>
        <w:t>kardiomegalia</w:t>
      </w:r>
      <w:proofErr w:type="spellEnd"/>
      <w:r w:rsidRPr="00AA22C4">
        <w:rPr>
          <w:rFonts w:ascii="Lato" w:hAnsi="Lato" w:cs="Calibri"/>
          <w:color w:val="000000" w:themeColor="text1"/>
          <w:sz w:val="22"/>
          <w:szCs w:val="22"/>
        </w:rPr>
        <w:t xml:space="preserve"> (powiększenie serca) i </w:t>
      </w:r>
      <w:proofErr w:type="spellStart"/>
      <w:r w:rsidRPr="00AA22C4">
        <w:rPr>
          <w:rFonts w:ascii="Lato" w:hAnsi="Lato" w:cs="Calibri"/>
          <w:color w:val="000000" w:themeColor="text1"/>
          <w:sz w:val="22"/>
          <w:szCs w:val="22"/>
        </w:rPr>
        <w:t>kardiomiopatia</w:t>
      </w:r>
      <w:proofErr w:type="spellEnd"/>
      <w:r w:rsidRPr="00AA22C4">
        <w:rPr>
          <w:rFonts w:ascii="Lato" w:hAnsi="Lato" w:cs="Calibri"/>
          <w:color w:val="000000" w:themeColor="text1"/>
          <w:sz w:val="22"/>
          <w:szCs w:val="22"/>
        </w:rPr>
        <w:t xml:space="preserve"> przerostowa – prowadząca do niewydolności serca,</w:t>
      </w:r>
    </w:p>
    <w:p w14:paraId="171FFF9E" w14:textId="54BC1AD9" w:rsidR="005E347E" w:rsidRPr="00AA22C4" w:rsidRDefault="005E347E" w:rsidP="005E347E">
      <w:pPr>
        <w:pStyle w:val="Akapitzlist"/>
        <w:widowControl/>
        <w:numPr>
          <w:ilvl w:val="0"/>
          <w:numId w:val="86"/>
        </w:numPr>
        <w:suppressAutoHyphens w:val="0"/>
        <w:spacing w:before="120" w:after="120" w:line="360" w:lineRule="auto"/>
        <w:ind w:left="714" w:hanging="357"/>
        <w:contextualSpacing w:val="0"/>
        <w:jc w:val="both"/>
        <w:rPr>
          <w:rFonts w:ascii="Lato" w:hAnsi="Lato" w:cs="Calibri"/>
          <w:color w:val="000000" w:themeColor="text1"/>
          <w:sz w:val="22"/>
          <w:szCs w:val="22"/>
        </w:rPr>
      </w:pPr>
      <w:r w:rsidRPr="00AA22C4">
        <w:rPr>
          <w:rFonts w:ascii="Lato" w:hAnsi="Lato" w:cs="Calibri"/>
          <w:color w:val="000000" w:themeColor="text1"/>
          <w:sz w:val="22"/>
          <w:szCs w:val="22"/>
        </w:rPr>
        <w:t>hipotonia mięśniowa (wiotkość mięśni, tzw. obraz dziecka wiotkiego) – zauważalna jako opóźnienie w rozwoju motorycznym - brak umiejętności osiągania podstawowych kamieni milowych, takich jak podnoszenie głowy</w:t>
      </w:r>
      <w:r w:rsidR="00150149" w:rsidRPr="00AA22C4">
        <w:rPr>
          <w:rFonts w:ascii="Lato" w:hAnsi="Lato" w:cs="Calibri"/>
          <w:color w:val="000000" w:themeColor="text1"/>
          <w:sz w:val="22"/>
          <w:szCs w:val="22"/>
        </w:rPr>
        <w:t>,</w:t>
      </w:r>
      <w:r w:rsidRPr="00AA22C4">
        <w:rPr>
          <w:rFonts w:ascii="Lato" w:hAnsi="Lato" w:cs="Calibri"/>
          <w:color w:val="000000" w:themeColor="text1"/>
          <w:sz w:val="22"/>
          <w:szCs w:val="22"/>
        </w:rPr>
        <w:t xml:space="preserve"> siadanie czy raczkowanie</w:t>
      </w:r>
      <w:r w:rsidR="00150149" w:rsidRPr="00AA22C4">
        <w:rPr>
          <w:rFonts w:ascii="Lato" w:hAnsi="Lato" w:cs="Calibri"/>
          <w:color w:val="000000" w:themeColor="text1"/>
          <w:sz w:val="22"/>
          <w:szCs w:val="22"/>
        </w:rPr>
        <w:t>,</w:t>
      </w:r>
    </w:p>
    <w:p w14:paraId="419E20F2" w14:textId="77777777" w:rsidR="005E347E" w:rsidRPr="00AA22C4" w:rsidRDefault="005E347E" w:rsidP="005E347E">
      <w:pPr>
        <w:pStyle w:val="Akapitzlist"/>
        <w:widowControl/>
        <w:numPr>
          <w:ilvl w:val="0"/>
          <w:numId w:val="86"/>
        </w:numPr>
        <w:suppressAutoHyphens w:val="0"/>
        <w:spacing w:before="120" w:after="120" w:line="360" w:lineRule="auto"/>
        <w:ind w:left="714" w:hanging="357"/>
        <w:contextualSpacing w:val="0"/>
        <w:jc w:val="both"/>
        <w:rPr>
          <w:rFonts w:ascii="Lato" w:hAnsi="Lato" w:cs="Calibri"/>
          <w:color w:val="000000" w:themeColor="text1"/>
          <w:sz w:val="22"/>
          <w:szCs w:val="22"/>
        </w:rPr>
      </w:pPr>
      <w:r w:rsidRPr="00AA22C4">
        <w:rPr>
          <w:rFonts w:ascii="Lato" w:hAnsi="Lato" w:cs="Calibri"/>
          <w:color w:val="000000" w:themeColor="text1"/>
          <w:sz w:val="22"/>
          <w:szCs w:val="22"/>
        </w:rPr>
        <w:t>niewydolność oddechowa – wynikająca z osłabienia mięśni oddechowych, może prowadzić do częstych infekcji dróg oddechowych,</w:t>
      </w:r>
    </w:p>
    <w:p w14:paraId="6A62C7DE" w14:textId="77777777" w:rsidR="005E347E" w:rsidRPr="00AA22C4" w:rsidRDefault="005E347E" w:rsidP="005E347E">
      <w:pPr>
        <w:pStyle w:val="Akapitzlist"/>
        <w:widowControl/>
        <w:numPr>
          <w:ilvl w:val="0"/>
          <w:numId w:val="86"/>
        </w:numPr>
        <w:suppressAutoHyphens w:val="0"/>
        <w:spacing w:before="120" w:after="120" w:line="360" w:lineRule="auto"/>
        <w:ind w:left="714" w:hanging="357"/>
        <w:contextualSpacing w:val="0"/>
        <w:jc w:val="both"/>
        <w:rPr>
          <w:rFonts w:ascii="Lato" w:hAnsi="Lato" w:cs="Calibri"/>
          <w:color w:val="000000" w:themeColor="text1"/>
          <w:sz w:val="22"/>
          <w:szCs w:val="22"/>
        </w:rPr>
      </w:pPr>
      <w:r w:rsidRPr="00AA22C4">
        <w:rPr>
          <w:rFonts w:ascii="Lato" w:hAnsi="Lato" w:cs="Calibri"/>
          <w:color w:val="000000" w:themeColor="text1"/>
          <w:sz w:val="22"/>
          <w:szCs w:val="22"/>
        </w:rPr>
        <w:t>trudności w karmieniu – związane z osłabieniem mięśni odpowiedzialnych za ssanie i połykanie, co może prowadzić do słabego przyrostu masy ciała i opóźnienia w rozwoju,</w:t>
      </w:r>
    </w:p>
    <w:p w14:paraId="6A9A7553" w14:textId="77777777" w:rsidR="005E347E" w:rsidRPr="00AA22C4" w:rsidRDefault="005E347E" w:rsidP="005E347E">
      <w:pPr>
        <w:pStyle w:val="Akapitzlist"/>
        <w:widowControl/>
        <w:numPr>
          <w:ilvl w:val="0"/>
          <w:numId w:val="86"/>
        </w:numPr>
        <w:suppressAutoHyphens w:val="0"/>
        <w:spacing w:before="120" w:after="120" w:line="360" w:lineRule="auto"/>
        <w:ind w:left="714" w:hanging="357"/>
        <w:contextualSpacing w:val="0"/>
        <w:jc w:val="both"/>
        <w:rPr>
          <w:rFonts w:ascii="Lato" w:hAnsi="Lato" w:cs="Calibri"/>
          <w:color w:val="000000" w:themeColor="text1"/>
          <w:sz w:val="22"/>
          <w:szCs w:val="22"/>
        </w:rPr>
      </w:pPr>
      <w:proofErr w:type="spellStart"/>
      <w:r w:rsidRPr="00AA22C4">
        <w:rPr>
          <w:rFonts w:ascii="Lato" w:hAnsi="Lato" w:cs="Calibri"/>
          <w:color w:val="000000" w:themeColor="text1"/>
          <w:sz w:val="22"/>
          <w:szCs w:val="22"/>
        </w:rPr>
        <w:t>hepatomegalia</w:t>
      </w:r>
      <w:proofErr w:type="spellEnd"/>
      <w:r w:rsidRPr="00AA22C4">
        <w:rPr>
          <w:rFonts w:ascii="Lato" w:hAnsi="Lato" w:cs="Calibri"/>
          <w:color w:val="000000" w:themeColor="text1"/>
          <w:sz w:val="22"/>
          <w:szCs w:val="22"/>
        </w:rPr>
        <w:t xml:space="preserve"> (powiększenie wątroby) – związana z gromadzeniem się glikogenu w komórkach wątroby,</w:t>
      </w:r>
    </w:p>
    <w:p w14:paraId="4293DDA6" w14:textId="77777777" w:rsidR="005E347E" w:rsidRPr="00AA22C4" w:rsidRDefault="005E347E" w:rsidP="005E347E">
      <w:pPr>
        <w:pStyle w:val="Akapitzlist"/>
        <w:widowControl/>
        <w:numPr>
          <w:ilvl w:val="0"/>
          <w:numId w:val="86"/>
        </w:numPr>
        <w:suppressAutoHyphens w:val="0"/>
        <w:spacing w:before="120" w:after="120" w:line="360" w:lineRule="auto"/>
        <w:ind w:left="714" w:hanging="357"/>
        <w:contextualSpacing w:val="0"/>
        <w:jc w:val="both"/>
        <w:rPr>
          <w:rFonts w:ascii="Lato" w:hAnsi="Lato" w:cs="Calibri"/>
          <w:color w:val="000000" w:themeColor="text1"/>
          <w:sz w:val="22"/>
          <w:szCs w:val="22"/>
        </w:rPr>
      </w:pPr>
      <w:r w:rsidRPr="00AA22C4">
        <w:rPr>
          <w:rFonts w:ascii="Lato" w:hAnsi="Lato" w:cs="Calibri"/>
          <w:color w:val="000000" w:themeColor="text1"/>
          <w:sz w:val="22"/>
          <w:szCs w:val="22"/>
        </w:rPr>
        <w:t>uszkodzenie OUN – klinicznie prezentujące się niedosłuchem czuciowo-nerwowym a także zaburzeniami w sferze poznawczej.</w:t>
      </w:r>
    </w:p>
    <w:p w14:paraId="3DAB03BE" w14:textId="6A9DE934" w:rsidR="005E347E" w:rsidRPr="00AA22C4" w:rsidRDefault="005E347E" w:rsidP="005E347E">
      <w:pPr>
        <w:pStyle w:val="NormalnyWeb"/>
        <w:spacing w:before="120" w:beforeAutospacing="0" w:after="120" w:line="360" w:lineRule="auto"/>
        <w:ind w:left="360"/>
        <w:jc w:val="both"/>
        <w:rPr>
          <w:rFonts w:ascii="Lato" w:hAnsi="Lato" w:cs="Calibri"/>
          <w:color w:val="000000" w:themeColor="text1"/>
          <w:sz w:val="22"/>
          <w:szCs w:val="22"/>
        </w:rPr>
      </w:pPr>
      <w:r w:rsidRPr="00AA22C4">
        <w:rPr>
          <w:rFonts w:ascii="Lato" w:hAnsi="Lato" w:cs="Calibri"/>
          <w:color w:val="000000" w:themeColor="text1"/>
          <w:sz w:val="22"/>
          <w:szCs w:val="22"/>
        </w:rPr>
        <w:t xml:space="preserve">Nieleczona postać choroby Pompego o wczesnym początku zazwyczaj skutkuje śmiercią przed końcem </w:t>
      </w:r>
      <w:r w:rsidR="00B01154" w:rsidRPr="00AA22C4">
        <w:rPr>
          <w:rFonts w:ascii="Lato" w:hAnsi="Lato" w:cs="Calibri"/>
          <w:color w:val="000000" w:themeColor="text1"/>
          <w:sz w:val="22"/>
          <w:szCs w:val="22"/>
        </w:rPr>
        <w:t xml:space="preserve">1. </w:t>
      </w:r>
      <w:r w:rsidR="00F85D58" w:rsidRPr="00AA22C4">
        <w:rPr>
          <w:rFonts w:ascii="Lato" w:hAnsi="Lato" w:cs="Calibri"/>
          <w:color w:val="000000" w:themeColor="text1"/>
          <w:sz w:val="22"/>
          <w:szCs w:val="22"/>
        </w:rPr>
        <w:t>r.ż.</w:t>
      </w:r>
      <w:r w:rsidRPr="00AA22C4">
        <w:rPr>
          <w:rFonts w:ascii="Lato" w:hAnsi="Lato" w:cs="Calibri"/>
          <w:color w:val="000000" w:themeColor="text1"/>
          <w:sz w:val="22"/>
          <w:szCs w:val="22"/>
        </w:rPr>
        <w:t>, głównie z powodu niewydolności krążeniowo-oddechowej.</w:t>
      </w:r>
    </w:p>
    <w:p w14:paraId="64BB7314" w14:textId="27C45148" w:rsidR="005E347E" w:rsidRPr="00AA22C4" w:rsidRDefault="005E347E" w:rsidP="005E347E">
      <w:pPr>
        <w:tabs>
          <w:tab w:val="left" w:pos="5865"/>
        </w:tabs>
        <w:spacing w:before="120" w:after="120"/>
        <w:ind w:left="360"/>
        <w:jc w:val="both"/>
        <w:rPr>
          <w:rFonts w:ascii="Lato" w:hAnsi="Lato" w:cs="Calibri"/>
          <w:bCs/>
          <w:color w:val="000000" w:themeColor="text1"/>
          <w:sz w:val="22"/>
          <w:szCs w:val="22"/>
        </w:rPr>
      </w:pPr>
      <w:r w:rsidRPr="00AA22C4">
        <w:rPr>
          <w:rFonts w:ascii="Lato" w:hAnsi="Lato" w:cs="Calibri"/>
          <w:bCs/>
          <w:color w:val="000000" w:themeColor="text1"/>
          <w:sz w:val="22"/>
          <w:szCs w:val="22"/>
        </w:rPr>
        <w:t>Nieklasyczna postać choroby o późnym początku (</w:t>
      </w:r>
      <w:r w:rsidRPr="00AA22C4">
        <w:rPr>
          <w:rFonts w:ascii="Lato" w:hAnsi="Lato" w:cs="Calibri"/>
          <w:bCs/>
          <w:i/>
          <w:iCs/>
          <w:color w:val="000000" w:themeColor="text1"/>
          <w:sz w:val="22"/>
          <w:szCs w:val="22"/>
        </w:rPr>
        <w:t xml:space="preserve">ang. </w:t>
      </w:r>
      <w:proofErr w:type="spellStart"/>
      <w:r w:rsidRPr="00AA22C4">
        <w:rPr>
          <w:rFonts w:ascii="Lato" w:hAnsi="Lato" w:cs="Calibri"/>
          <w:bCs/>
          <w:i/>
          <w:iCs/>
          <w:color w:val="000000" w:themeColor="text1"/>
          <w:sz w:val="22"/>
          <w:szCs w:val="22"/>
        </w:rPr>
        <w:t>late</w:t>
      </w:r>
      <w:proofErr w:type="spellEnd"/>
      <w:r w:rsidRPr="00AA22C4">
        <w:rPr>
          <w:rFonts w:ascii="Lato" w:hAnsi="Lato" w:cs="Calibri"/>
          <w:bCs/>
          <w:i/>
          <w:iCs/>
          <w:color w:val="000000" w:themeColor="text1"/>
          <w:sz w:val="22"/>
          <w:szCs w:val="22"/>
        </w:rPr>
        <w:t xml:space="preserve"> </w:t>
      </w:r>
      <w:proofErr w:type="spellStart"/>
      <w:r w:rsidRPr="00AA22C4">
        <w:rPr>
          <w:rFonts w:ascii="Lato" w:hAnsi="Lato" w:cs="Calibri"/>
          <w:bCs/>
          <w:i/>
          <w:iCs/>
          <w:color w:val="000000" w:themeColor="text1"/>
          <w:sz w:val="22"/>
          <w:szCs w:val="22"/>
        </w:rPr>
        <w:t>onset</w:t>
      </w:r>
      <w:proofErr w:type="spellEnd"/>
      <w:r w:rsidRPr="00AA22C4">
        <w:rPr>
          <w:rFonts w:ascii="Lato" w:hAnsi="Lato" w:cs="Calibri"/>
          <w:bCs/>
          <w:i/>
          <w:iCs/>
          <w:color w:val="000000" w:themeColor="text1"/>
          <w:sz w:val="22"/>
          <w:szCs w:val="22"/>
        </w:rPr>
        <w:t xml:space="preserve"> </w:t>
      </w:r>
      <w:proofErr w:type="spellStart"/>
      <w:r w:rsidRPr="00AA22C4">
        <w:rPr>
          <w:rFonts w:ascii="Lato" w:hAnsi="Lato" w:cs="Calibri"/>
          <w:bCs/>
          <w:i/>
          <w:iCs/>
          <w:color w:val="000000" w:themeColor="text1"/>
          <w:sz w:val="22"/>
          <w:szCs w:val="22"/>
        </w:rPr>
        <w:t>Pompe</w:t>
      </w:r>
      <w:proofErr w:type="spellEnd"/>
      <w:r w:rsidRPr="00AA22C4">
        <w:rPr>
          <w:rFonts w:ascii="Lato" w:hAnsi="Lato" w:cs="Calibri"/>
          <w:bCs/>
          <w:i/>
          <w:iCs/>
          <w:color w:val="000000" w:themeColor="text1"/>
          <w:sz w:val="22"/>
          <w:szCs w:val="22"/>
        </w:rPr>
        <w:t xml:space="preserve"> </w:t>
      </w:r>
      <w:proofErr w:type="spellStart"/>
      <w:r w:rsidRPr="00AA22C4">
        <w:rPr>
          <w:rFonts w:ascii="Lato" w:hAnsi="Lato" w:cs="Calibri"/>
          <w:bCs/>
          <w:i/>
          <w:iCs/>
          <w:color w:val="000000" w:themeColor="text1"/>
          <w:sz w:val="22"/>
          <w:szCs w:val="22"/>
        </w:rPr>
        <w:t>disease</w:t>
      </w:r>
      <w:proofErr w:type="spellEnd"/>
      <w:r w:rsidRPr="00AA22C4">
        <w:rPr>
          <w:rFonts w:ascii="Lato" w:hAnsi="Lato" w:cs="Calibri"/>
          <w:bCs/>
          <w:i/>
          <w:iCs/>
          <w:color w:val="000000" w:themeColor="text1"/>
          <w:sz w:val="22"/>
          <w:szCs w:val="22"/>
        </w:rPr>
        <w:t xml:space="preserve"> - LOPD)</w:t>
      </w:r>
      <w:r w:rsidRPr="00AA22C4">
        <w:rPr>
          <w:rFonts w:ascii="Lato" w:hAnsi="Lato" w:cs="Calibri"/>
          <w:bCs/>
          <w:color w:val="000000" w:themeColor="text1"/>
          <w:sz w:val="22"/>
          <w:szCs w:val="22"/>
        </w:rPr>
        <w:t xml:space="preserve"> różni się w zależności od poziomu aktywności GAA i cech indywidualnych pacjenta. U osób z LOPD enzym GAA jest częściowo aktywny, co opóźnia wystąpienie objawów do wieku około </w:t>
      </w:r>
      <w:r w:rsidRPr="00AA22C4">
        <w:rPr>
          <w:rFonts w:ascii="Lato" w:hAnsi="Lato" w:cs="Calibri"/>
          <w:bCs/>
          <w:color w:val="000000" w:themeColor="text1"/>
          <w:sz w:val="22"/>
          <w:szCs w:val="22"/>
        </w:rPr>
        <w:lastRenderedPageBreak/>
        <w:t>30-40 lat, choć mogą się one pojawić w dowolnym momencie po ukończeniu 1</w:t>
      </w:r>
      <w:r w:rsidR="00B01154" w:rsidRPr="00AA22C4">
        <w:rPr>
          <w:rFonts w:ascii="Lato" w:hAnsi="Lato" w:cs="Calibri"/>
          <w:bCs/>
          <w:color w:val="000000" w:themeColor="text1"/>
          <w:sz w:val="22"/>
          <w:szCs w:val="22"/>
        </w:rPr>
        <w:t>.</w:t>
      </w:r>
      <w:proofErr w:type="gramStart"/>
      <w:r w:rsidR="0019124F" w:rsidRPr="00AA22C4">
        <w:rPr>
          <w:rFonts w:ascii="Lato" w:hAnsi="Lato" w:cs="Calibri"/>
          <w:bCs/>
          <w:color w:val="000000" w:themeColor="text1"/>
          <w:sz w:val="22"/>
          <w:szCs w:val="22"/>
        </w:rPr>
        <w:t>r.ż.</w:t>
      </w:r>
      <w:r w:rsidRPr="00AA22C4">
        <w:rPr>
          <w:rFonts w:ascii="Lato" w:hAnsi="Lato" w:cs="Calibri"/>
          <w:bCs/>
          <w:color w:val="000000" w:themeColor="text1"/>
          <w:sz w:val="22"/>
          <w:szCs w:val="22"/>
        </w:rPr>
        <w:t>.</w:t>
      </w:r>
      <w:proofErr w:type="gramEnd"/>
      <w:r w:rsidRPr="00AA22C4">
        <w:rPr>
          <w:rFonts w:ascii="Lato" w:hAnsi="Lato" w:cs="Calibri"/>
          <w:bCs/>
          <w:color w:val="000000" w:themeColor="text1"/>
          <w:sz w:val="22"/>
          <w:szCs w:val="22"/>
        </w:rPr>
        <w:t xml:space="preserve"> Do najczęstszych objawów należą:</w:t>
      </w:r>
    </w:p>
    <w:p w14:paraId="063AA50E" w14:textId="77777777" w:rsidR="005E347E" w:rsidRPr="00AA22C4" w:rsidRDefault="005E347E" w:rsidP="005E347E">
      <w:pPr>
        <w:pStyle w:val="Akapitzlist"/>
        <w:widowControl/>
        <w:numPr>
          <w:ilvl w:val="0"/>
          <w:numId w:val="87"/>
        </w:numPr>
        <w:suppressAutoHyphens w:val="0"/>
        <w:spacing w:before="120" w:after="120" w:line="360" w:lineRule="auto"/>
        <w:ind w:left="714" w:hanging="357"/>
        <w:contextualSpacing w:val="0"/>
        <w:jc w:val="both"/>
        <w:rPr>
          <w:rFonts w:ascii="Lato" w:hAnsi="Lato" w:cs="Calibri"/>
          <w:color w:val="000000" w:themeColor="text1"/>
          <w:sz w:val="22"/>
          <w:szCs w:val="22"/>
        </w:rPr>
      </w:pPr>
      <w:r w:rsidRPr="00AA22C4">
        <w:rPr>
          <w:rFonts w:ascii="Lato" w:hAnsi="Lato" w:cs="Calibri"/>
          <w:color w:val="000000" w:themeColor="text1"/>
          <w:sz w:val="22"/>
          <w:szCs w:val="22"/>
        </w:rPr>
        <w:t xml:space="preserve">osłabienie mięśni – szczególnie w obrębie mięśni szkieletowych kończyn dolnych oraz przykręgosłupowych, </w:t>
      </w:r>
    </w:p>
    <w:p w14:paraId="12DAB4F3" w14:textId="77777777" w:rsidR="005E347E" w:rsidRPr="00AA22C4" w:rsidRDefault="005E347E" w:rsidP="005E347E">
      <w:pPr>
        <w:pStyle w:val="Akapitzlist"/>
        <w:widowControl/>
        <w:numPr>
          <w:ilvl w:val="0"/>
          <w:numId w:val="87"/>
        </w:numPr>
        <w:suppressAutoHyphens w:val="0"/>
        <w:spacing w:before="120" w:after="120" w:line="360" w:lineRule="auto"/>
        <w:contextualSpacing w:val="0"/>
        <w:jc w:val="both"/>
        <w:rPr>
          <w:rFonts w:ascii="Lato" w:hAnsi="Lato" w:cs="Calibri"/>
          <w:color w:val="000000" w:themeColor="text1"/>
          <w:sz w:val="22"/>
          <w:szCs w:val="22"/>
        </w:rPr>
      </w:pPr>
      <w:r w:rsidRPr="00AA22C4">
        <w:rPr>
          <w:rFonts w:ascii="Lato" w:hAnsi="Lato" w:cs="Calibri"/>
          <w:color w:val="000000" w:themeColor="text1"/>
          <w:sz w:val="22"/>
          <w:szCs w:val="22"/>
        </w:rPr>
        <w:t xml:space="preserve">zaburzenia chodu – trudności w utrzymaniu równowagi i koordynacji, co może prowadzić do problemów z chodzeniem i upadkami, </w:t>
      </w:r>
    </w:p>
    <w:p w14:paraId="6B5C7DDB" w14:textId="77777777" w:rsidR="005E347E" w:rsidRPr="00AA22C4" w:rsidRDefault="005E347E" w:rsidP="005E347E">
      <w:pPr>
        <w:pStyle w:val="Akapitzlist"/>
        <w:widowControl/>
        <w:numPr>
          <w:ilvl w:val="0"/>
          <w:numId w:val="87"/>
        </w:numPr>
        <w:suppressAutoHyphens w:val="0"/>
        <w:spacing w:before="120" w:after="120" w:line="360" w:lineRule="auto"/>
        <w:contextualSpacing w:val="0"/>
        <w:jc w:val="both"/>
        <w:rPr>
          <w:rFonts w:ascii="Lato" w:hAnsi="Lato" w:cs="Calibri"/>
          <w:color w:val="000000" w:themeColor="text1"/>
          <w:sz w:val="22"/>
          <w:szCs w:val="22"/>
        </w:rPr>
      </w:pPr>
      <w:r w:rsidRPr="00AA22C4">
        <w:rPr>
          <w:rFonts w:ascii="Lato" w:hAnsi="Lato" w:cs="Calibri"/>
          <w:color w:val="000000" w:themeColor="text1"/>
          <w:sz w:val="22"/>
          <w:szCs w:val="22"/>
        </w:rPr>
        <w:t>bóle mięśniowe – uczucie sztywności i bólu w mięśniach, szczególnie po wysiłku,</w:t>
      </w:r>
    </w:p>
    <w:p w14:paraId="56552182" w14:textId="77777777" w:rsidR="005E347E" w:rsidRPr="00AA22C4" w:rsidRDefault="005E347E" w:rsidP="005E347E">
      <w:pPr>
        <w:pStyle w:val="Akapitzlist"/>
        <w:widowControl/>
        <w:numPr>
          <w:ilvl w:val="0"/>
          <w:numId w:val="87"/>
        </w:numPr>
        <w:suppressAutoHyphens w:val="0"/>
        <w:spacing w:before="120" w:after="120" w:line="360" w:lineRule="auto"/>
        <w:contextualSpacing w:val="0"/>
        <w:jc w:val="both"/>
        <w:rPr>
          <w:rFonts w:ascii="Lato" w:hAnsi="Lato" w:cs="Calibri"/>
          <w:color w:val="000000" w:themeColor="text1"/>
          <w:sz w:val="22"/>
          <w:szCs w:val="22"/>
        </w:rPr>
      </w:pPr>
      <w:r w:rsidRPr="00AA22C4">
        <w:rPr>
          <w:rFonts w:ascii="Lato" w:hAnsi="Lato" w:cs="Calibri"/>
          <w:color w:val="000000" w:themeColor="text1"/>
          <w:sz w:val="22"/>
          <w:szCs w:val="22"/>
        </w:rPr>
        <w:t xml:space="preserve">zmęczenie – ogólne uczucie zmęczenia i osłabienia, </w:t>
      </w:r>
    </w:p>
    <w:p w14:paraId="1AF3683F" w14:textId="77777777" w:rsidR="005E347E" w:rsidRPr="00AA22C4" w:rsidRDefault="005E347E" w:rsidP="005E347E">
      <w:pPr>
        <w:pStyle w:val="Akapitzlist"/>
        <w:widowControl/>
        <w:numPr>
          <w:ilvl w:val="0"/>
          <w:numId w:val="87"/>
        </w:numPr>
        <w:suppressAutoHyphens w:val="0"/>
        <w:spacing w:before="120" w:after="120" w:line="360" w:lineRule="auto"/>
        <w:contextualSpacing w:val="0"/>
        <w:jc w:val="both"/>
        <w:rPr>
          <w:rFonts w:ascii="Lato" w:hAnsi="Lato" w:cs="Calibri"/>
          <w:color w:val="000000" w:themeColor="text1"/>
          <w:sz w:val="22"/>
          <w:szCs w:val="22"/>
        </w:rPr>
      </w:pPr>
      <w:r w:rsidRPr="00AA22C4">
        <w:rPr>
          <w:rFonts w:ascii="Lato" w:hAnsi="Lato" w:cs="Calibri"/>
          <w:color w:val="000000" w:themeColor="text1"/>
          <w:sz w:val="22"/>
          <w:szCs w:val="22"/>
        </w:rPr>
        <w:t>problemy z oddychaniem – związane z osłabieniem mięśni oddechowych, co może prowadzić do duszności i częstych infekcji płuc, a w konsekwencji do niewydolności oddechowej,</w:t>
      </w:r>
    </w:p>
    <w:p w14:paraId="06F30192" w14:textId="77777777" w:rsidR="005E347E" w:rsidRPr="00AA22C4" w:rsidRDefault="005E347E" w:rsidP="005E347E">
      <w:pPr>
        <w:pStyle w:val="Akapitzlist"/>
        <w:widowControl/>
        <w:numPr>
          <w:ilvl w:val="0"/>
          <w:numId w:val="87"/>
        </w:numPr>
        <w:suppressAutoHyphens w:val="0"/>
        <w:spacing w:before="120" w:after="120" w:line="360" w:lineRule="auto"/>
        <w:contextualSpacing w:val="0"/>
        <w:jc w:val="both"/>
        <w:rPr>
          <w:rFonts w:ascii="Lato" w:hAnsi="Lato" w:cs="Calibri"/>
          <w:color w:val="000000" w:themeColor="text1"/>
          <w:sz w:val="22"/>
          <w:szCs w:val="22"/>
        </w:rPr>
      </w:pPr>
      <w:proofErr w:type="spellStart"/>
      <w:r w:rsidRPr="00AA22C4">
        <w:rPr>
          <w:rFonts w:ascii="Lato" w:hAnsi="Lato" w:cs="Calibri"/>
          <w:color w:val="000000" w:themeColor="text1"/>
          <w:sz w:val="22"/>
          <w:szCs w:val="22"/>
        </w:rPr>
        <w:t>hepatomegalia</w:t>
      </w:r>
      <w:proofErr w:type="spellEnd"/>
      <w:r w:rsidRPr="00AA22C4">
        <w:rPr>
          <w:rFonts w:ascii="Lato" w:hAnsi="Lato" w:cs="Calibri"/>
          <w:color w:val="000000" w:themeColor="text1"/>
          <w:sz w:val="22"/>
          <w:szCs w:val="22"/>
        </w:rPr>
        <w:t>, dysfagia – w wyniku zajęcia mięśni opuszkowych i powiększenia języka,</w:t>
      </w:r>
    </w:p>
    <w:p w14:paraId="338FF8DC" w14:textId="77777777" w:rsidR="005E347E" w:rsidRPr="00AA22C4" w:rsidRDefault="005E347E" w:rsidP="005E347E">
      <w:pPr>
        <w:pStyle w:val="Akapitzlist"/>
        <w:widowControl/>
        <w:numPr>
          <w:ilvl w:val="0"/>
          <w:numId w:val="87"/>
        </w:numPr>
        <w:suppressAutoHyphens w:val="0"/>
        <w:spacing w:before="120" w:after="120" w:line="360" w:lineRule="auto"/>
        <w:contextualSpacing w:val="0"/>
        <w:jc w:val="both"/>
        <w:rPr>
          <w:rFonts w:ascii="Lato" w:hAnsi="Lato" w:cs="Calibri"/>
          <w:color w:val="000000" w:themeColor="text1"/>
          <w:sz w:val="22"/>
          <w:szCs w:val="22"/>
        </w:rPr>
      </w:pPr>
      <w:proofErr w:type="spellStart"/>
      <w:r w:rsidRPr="00AA22C4">
        <w:rPr>
          <w:rFonts w:ascii="Lato" w:hAnsi="Lato" w:cs="Calibri"/>
          <w:color w:val="000000" w:themeColor="text1"/>
          <w:sz w:val="22"/>
          <w:szCs w:val="22"/>
        </w:rPr>
        <w:t>kardiomiopatia</w:t>
      </w:r>
      <w:proofErr w:type="spellEnd"/>
      <w:r w:rsidRPr="00AA22C4">
        <w:rPr>
          <w:rFonts w:ascii="Lato" w:hAnsi="Lato" w:cs="Calibri"/>
          <w:color w:val="000000" w:themeColor="text1"/>
          <w:sz w:val="22"/>
          <w:szCs w:val="22"/>
        </w:rPr>
        <w:t xml:space="preserve"> – mniej nasilona niż w postaci niemowlęcej, może występować w niektórych przypadkach.</w:t>
      </w:r>
      <w:r w:rsidRPr="00AA22C4">
        <w:rPr>
          <w:rFonts w:ascii="Lato" w:eastAsia="Times New Roman" w:hAnsi="Lato" w:cs="Calibri"/>
          <w:bCs/>
          <w:color w:val="000000" w:themeColor="text1"/>
          <w:sz w:val="22"/>
          <w:szCs w:val="22"/>
          <w:lang w:eastAsia="pl-PL"/>
        </w:rPr>
        <w:tab/>
      </w:r>
    </w:p>
    <w:p w14:paraId="354AD9F4" w14:textId="77777777" w:rsidR="005E347E" w:rsidRPr="00AA22C4" w:rsidRDefault="005E347E" w:rsidP="005E347E">
      <w:pPr>
        <w:pStyle w:val="Akapitzlist"/>
        <w:spacing w:before="120" w:after="120" w:line="360" w:lineRule="auto"/>
        <w:ind w:left="360"/>
        <w:contextualSpacing w:val="0"/>
        <w:jc w:val="both"/>
        <w:rPr>
          <w:rFonts w:ascii="Lato" w:hAnsi="Lato" w:cs="Calibri"/>
          <w:color w:val="000000" w:themeColor="text1"/>
          <w:sz w:val="22"/>
          <w:szCs w:val="22"/>
          <w:u w:val="single"/>
        </w:rPr>
      </w:pPr>
      <w:r w:rsidRPr="00AA22C4">
        <w:rPr>
          <w:rFonts w:ascii="Lato" w:hAnsi="Lato" w:cs="Calibri"/>
          <w:color w:val="000000" w:themeColor="text1"/>
          <w:sz w:val="22"/>
          <w:szCs w:val="22"/>
          <w:u w:val="single"/>
        </w:rPr>
        <w:t>Diagnostyka:</w:t>
      </w:r>
    </w:p>
    <w:p w14:paraId="13982ACD" w14:textId="77777777" w:rsidR="005E347E" w:rsidRPr="00AA22C4" w:rsidRDefault="005E347E" w:rsidP="005E347E">
      <w:pPr>
        <w:pStyle w:val="Akapitzlist"/>
        <w:widowControl/>
        <w:numPr>
          <w:ilvl w:val="0"/>
          <w:numId w:val="98"/>
        </w:numPr>
        <w:spacing w:before="120" w:after="120" w:line="360" w:lineRule="auto"/>
        <w:ind w:left="714" w:hanging="357"/>
        <w:contextualSpacing w:val="0"/>
        <w:jc w:val="both"/>
        <w:rPr>
          <w:rFonts w:ascii="Lato" w:hAnsi="Lato"/>
          <w:color w:val="000000" w:themeColor="text1"/>
          <w:sz w:val="22"/>
          <w:szCs w:val="22"/>
        </w:rPr>
      </w:pPr>
      <w:r w:rsidRPr="00AA22C4">
        <w:rPr>
          <w:rFonts w:ascii="Lato" w:hAnsi="Lato"/>
          <w:color w:val="000000" w:themeColor="text1"/>
          <w:sz w:val="22"/>
          <w:szCs w:val="22"/>
        </w:rPr>
        <w:t>badanie przesiewowe - oznaczenie aktywności GAA w suchej kropli krwi, ze względu na ryzyko otrzymania wyniku fałszywie dodatniego badanie to należy zawsze potwierdzić w innym typie próbki lub badaniem genetycznym,</w:t>
      </w:r>
    </w:p>
    <w:p w14:paraId="4FAEC70C" w14:textId="77777777" w:rsidR="005E347E" w:rsidRPr="00AA22C4" w:rsidRDefault="005E347E" w:rsidP="005E347E">
      <w:pPr>
        <w:pStyle w:val="Akapitzlist"/>
        <w:widowControl/>
        <w:numPr>
          <w:ilvl w:val="0"/>
          <w:numId w:val="98"/>
        </w:numPr>
        <w:spacing w:before="120" w:after="120" w:line="360" w:lineRule="auto"/>
        <w:ind w:left="714" w:hanging="357"/>
        <w:contextualSpacing w:val="0"/>
        <w:jc w:val="both"/>
        <w:rPr>
          <w:rFonts w:ascii="Lato" w:hAnsi="Lato"/>
          <w:color w:val="000000" w:themeColor="text1"/>
          <w:sz w:val="22"/>
          <w:szCs w:val="22"/>
        </w:rPr>
      </w:pPr>
      <w:r w:rsidRPr="00AA22C4">
        <w:rPr>
          <w:rFonts w:ascii="Lato" w:hAnsi="Lato"/>
          <w:color w:val="000000" w:themeColor="text1"/>
          <w:sz w:val="22"/>
          <w:szCs w:val="22"/>
        </w:rPr>
        <w:t xml:space="preserve">niedobór lub brak aktywności GAA we krwi (mierzonej w leukocytach lub izolowanych limfocytach), fibroblastach skóry lub w biopsji mięśnia, </w:t>
      </w:r>
    </w:p>
    <w:p w14:paraId="7F17099F" w14:textId="77777777" w:rsidR="005E347E" w:rsidRPr="00AA22C4" w:rsidRDefault="005E347E" w:rsidP="005E347E">
      <w:pPr>
        <w:pStyle w:val="Akapitzlist"/>
        <w:widowControl/>
        <w:numPr>
          <w:ilvl w:val="0"/>
          <w:numId w:val="98"/>
        </w:numPr>
        <w:spacing w:before="120" w:after="120" w:line="360" w:lineRule="auto"/>
        <w:ind w:left="714" w:hanging="357"/>
        <w:contextualSpacing w:val="0"/>
        <w:jc w:val="both"/>
        <w:rPr>
          <w:rFonts w:ascii="Lato" w:hAnsi="Lato"/>
          <w:color w:val="000000" w:themeColor="text1"/>
          <w:sz w:val="22"/>
          <w:szCs w:val="22"/>
        </w:rPr>
      </w:pPr>
      <w:r w:rsidRPr="00AA22C4">
        <w:rPr>
          <w:rFonts w:ascii="Lato" w:hAnsi="Lato"/>
          <w:color w:val="000000" w:themeColor="text1"/>
          <w:sz w:val="22"/>
          <w:szCs w:val="22"/>
        </w:rPr>
        <w:t>badanie molekularne potwierdzające występowanie mutacji w obu allelach genu GAA,</w:t>
      </w:r>
    </w:p>
    <w:p w14:paraId="31D9190A" w14:textId="77777777" w:rsidR="005E347E" w:rsidRPr="00AA22C4" w:rsidRDefault="005E347E" w:rsidP="005E347E">
      <w:pPr>
        <w:pStyle w:val="Akapitzlist"/>
        <w:widowControl/>
        <w:numPr>
          <w:ilvl w:val="0"/>
          <w:numId w:val="98"/>
        </w:numPr>
        <w:spacing w:before="120" w:after="120" w:line="360" w:lineRule="auto"/>
        <w:ind w:left="714" w:hanging="357"/>
        <w:contextualSpacing w:val="0"/>
        <w:jc w:val="both"/>
        <w:rPr>
          <w:rFonts w:ascii="Lato" w:hAnsi="Lato"/>
          <w:color w:val="000000" w:themeColor="text1"/>
          <w:sz w:val="22"/>
          <w:szCs w:val="22"/>
        </w:rPr>
      </w:pPr>
      <w:r w:rsidRPr="00AA22C4">
        <w:rPr>
          <w:rFonts w:ascii="Lato" w:hAnsi="Lato"/>
          <w:color w:val="000000" w:themeColor="text1"/>
          <w:sz w:val="22"/>
          <w:szCs w:val="22"/>
        </w:rPr>
        <w:t>oznaczenie GLc4 (</w:t>
      </w:r>
      <w:proofErr w:type="spellStart"/>
      <w:r w:rsidRPr="00AA22C4">
        <w:rPr>
          <w:rFonts w:ascii="Lato" w:hAnsi="Lato"/>
          <w:color w:val="000000" w:themeColor="text1"/>
          <w:sz w:val="22"/>
          <w:szCs w:val="22"/>
        </w:rPr>
        <w:t>tetrasacharyd</w:t>
      </w:r>
      <w:proofErr w:type="spellEnd"/>
      <w:r w:rsidRPr="00AA22C4">
        <w:rPr>
          <w:rFonts w:ascii="Lato" w:hAnsi="Lato"/>
          <w:color w:val="000000" w:themeColor="text1"/>
          <w:sz w:val="22"/>
          <w:szCs w:val="22"/>
        </w:rPr>
        <w:t xml:space="preserve"> glukozy) w moczu,</w:t>
      </w:r>
    </w:p>
    <w:p w14:paraId="70A26D45" w14:textId="77777777" w:rsidR="005E347E" w:rsidRPr="00AA22C4" w:rsidRDefault="005E347E" w:rsidP="005E347E">
      <w:pPr>
        <w:pStyle w:val="Akapitzlist"/>
        <w:widowControl/>
        <w:numPr>
          <w:ilvl w:val="0"/>
          <w:numId w:val="98"/>
        </w:numPr>
        <w:spacing w:before="120" w:after="120" w:line="360" w:lineRule="auto"/>
        <w:ind w:left="714" w:hanging="357"/>
        <w:contextualSpacing w:val="0"/>
        <w:jc w:val="both"/>
        <w:rPr>
          <w:rFonts w:ascii="Lato" w:hAnsi="Lato"/>
          <w:color w:val="000000" w:themeColor="text1"/>
          <w:sz w:val="22"/>
          <w:szCs w:val="22"/>
        </w:rPr>
      </w:pPr>
      <w:r w:rsidRPr="00AA22C4">
        <w:rPr>
          <w:rFonts w:ascii="Lato" w:hAnsi="Lato"/>
          <w:color w:val="000000" w:themeColor="text1"/>
          <w:sz w:val="22"/>
          <w:szCs w:val="22"/>
        </w:rPr>
        <w:t xml:space="preserve">badania laboratoryjne oceniające stopień uszkodzenia mięśni (stężenie kinazy kreatyninowej, dehydrogenazy mleczanowej, transaminaz w surowicy krwi). </w:t>
      </w:r>
    </w:p>
    <w:p w14:paraId="2246EBB3" w14:textId="77777777" w:rsidR="005E347E" w:rsidRPr="00AA22C4" w:rsidRDefault="005E347E" w:rsidP="005E347E">
      <w:pPr>
        <w:tabs>
          <w:tab w:val="left" w:pos="5865"/>
        </w:tabs>
        <w:spacing w:before="120" w:after="120"/>
        <w:ind w:left="360"/>
        <w:jc w:val="both"/>
        <w:rPr>
          <w:rFonts w:ascii="Lato" w:hAnsi="Lato" w:cs="Calibri"/>
          <w:bCs/>
          <w:color w:val="000000" w:themeColor="text1"/>
          <w:sz w:val="22"/>
          <w:szCs w:val="22"/>
          <w:u w:val="single"/>
        </w:rPr>
      </w:pPr>
      <w:r w:rsidRPr="00AA22C4">
        <w:rPr>
          <w:rFonts w:ascii="Lato" w:hAnsi="Lato" w:cs="Calibri"/>
          <w:bCs/>
          <w:color w:val="000000" w:themeColor="text1"/>
          <w:sz w:val="22"/>
          <w:szCs w:val="22"/>
          <w:u w:val="single"/>
        </w:rPr>
        <w:t>Leczenie:</w:t>
      </w:r>
    </w:p>
    <w:p w14:paraId="15CD00C8" w14:textId="316F1112" w:rsidR="005E347E" w:rsidRPr="00AA22C4" w:rsidRDefault="005E347E" w:rsidP="005E347E">
      <w:pPr>
        <w:tabs>
          <w:tab w:val="left" w:pos="5865"/>
        </w:tabs>
        <w:spacing w:before="120" w:after="120"/>
        <w:ind w:left="360"/>
        <w:jc w:val="both"/>
        <w:rPr>
          <w:rFonts w:ascii="Lato" w:hAnsi="Lato" w:cs="Calibri"/>
          <w:bCs/>
          <w:color w:val="000000" w:themeColor="text1"/>
          <w:sz w:val="22"/>
          <w:szCs w:val="22"/>
        </w:rPr>
      </w:pPr>
      <w:r w:rsidRPr="00AA22C4">
        <w:rPr>
          <w:rFonts w:ascii="Lato" w:hAnsi="Lato" w:cs="Calibri"/>
          <w:bCs/>
          <w:color w:val="000000" w:themeColor="text1"/>
          <w:sz w:val="22"/>
          <w:szCs w:val="22"/>
        </w:rPr>
        <w:t xml:space="preserve">Podstawową formą terapii w chorobie Pompego jest enzymatyczna terapia zastępcza. </w:t>
      </w:r>
      <w:r w:rsidRPr="00AA22C4">
        <w:rPr>
          <w:rFonts w:ascii="Lato" w:eastAsia="Arial Unicode MS" w:hAnsi="Lato" w:cs="Calibri"/>
          <w:color w:val="000000" w:themeColor="text1"/>
          <w:kern w:val="1"/>
          <w:sz w:val="22"/>
          <w:szCs w:val="22"/>
          <w:lang w:eastAsia="ar-SA"/>
        </w:rPr>
        <w:t xml:space="preserve">Leczenie odbywa się wyłącznie w klinikach realizujących program lekowy </w:t>
      </w:r>
      <w:r w:rsidRPr="00AA22C4">
        <w:rPr>
          <w:rFonts w:ascii="Lato" w:hAnsi="Lato" w:cs="Calibri"/>
          <w:bCs/>
          <w:color w:val="000000" w:themeColor="text1"/>
          <w:sz w:val="22"/>
          <w:szCs w:val="22"/>
        </w:rPr>
        <w:t xml:space="preserve">B.22- </w:t>
      </w:r>
      <w:r w:rsidRPr="00AA22C4">
        <w:rPr>
          <w:rFonts w:ascii="Lato" w:hAnsi="Lato" w:cs="Calibri"/>
          <w:bCs/>
          <w:i/>
          <w:iCs/>
          <w:color w:val="000000" w:themeColor="text1"/>
          <w:sz w:val="22"/>
          <w:szCs w:val="22"/>
        </w:rPr>
        <w:t xml:space="preserve">Leczenie choroby Pompego (ICD-10 E 74.0). </w:t>
      </w:r>
      <w:r w:rsidRPr="00AA22C4">
        <w:rPr>
          <w:rFonts w:ascii="Lato" w:hAnsi="Lato" w:cs="Calibri"/>
          <w:bCs/>
          <w:color w:val="000000" w:themeColor="text1"/>
          <w:sz w:val="22"/>
          <w:szCs w:val="22"/>
        </w:rPr>
        <w:t xml:space="preserve">W ramach programu pacjentom </w:t>
      </w:r>
      <w:r w:rsidR="0048004C" w:rsidRPr="00AA22C4">
        <w:rPr>
          <w:rFonts w:ascii="Lato" w:hAnsi="Lato" w:cs="Calibri"/>
          <w:bCs/>
          <w:color w:val="000000" w:themeColor="text1"/>
          <w:sz w:val="22"/>
          <w:szCs w:val="22"/>
        </w:rPr>
        <w:t xml:space="preserve">jest </w:t>
      </w:r>
      <w:r w:rsidRPr="00AA22C4">
        <w:rPr>
          <w:rFonts w:ascii="Lato" w:hAnsi="Lato" w:cs="Calibri"/>
          <w:bCs/>
          <w:color w:val="000000" w:themeColor="text1"/>
          <w:sz w:val="22"/>
          <w:szCs w:val="22"/>
        </w:rPr>
        <w:t xml:space="preserve">podawany </w:t>
      </w:r>
      <w:r w:rsidRPr="00AA22C4">
        <w:rPr>
          <w:rFonts w:ascii="Lato" w:hAnsi="Lato" w:cs="Calibri"/>
          <w:color w:val="000000" w:themeColor="text1"/>
          <w:sz w:val="22"/>
          <w:szCs w:val="22"/>
        </w:rPr>
        <w:t xml:space="preserve">preparat rekombinowanej kwaśnej ludzkiej alfa </w:t>
      </w:r>
      <w:proofErr w:type="spellStart"/>
      <w:r w:rsidRPr="00AA22C4">
        <w:rPr>
          <w:rFonts w:ascii="Lato" w:hAnsi="Lato" w:cs="Calibri"/>
          <w:color w:val="000000" w:themeColor="text1"/>
          <w:sz w:val="22"/>
          <w:szCs w:val="22"/>
        </w:rPr>
        <w:t>alglukozydazy</w:t>
      </w:r>
      <w:proofErr w:type="spellEnd"/>
      <w:r w:rsidRPr="00AA22C4">
        <w:rPr>
          <w:rFonts w:ascii="Lato" w:hAnsi="Lato" w:cs="Calibri"/>
          <w:color w:val="000000" w:themeColor="text1"/>
          <w:sz w:val="22"/>
          <w:szCs w:val="22"/>
        </w:rPr>
        <w:t xml:space="preserve"> w dawce 20 mg/kg masy ciała, raz na dwa tygodnie, w postaci infuzji.</w:t>
      </w:r>
      <w:r w:rsidR="0048004C" w:rsidRPr="00AA22C4">
        <w:rPr>
          <w:rFonts w:ascii="Lato" w:hAnsi="Lato" w:cs="Calibri"/>
          <w:color w:val="000000" w:themeColor="text1"/>
          <w:sz w:val="22"/>
          <w:szCs w:val="22"/>
        </w:rPr>
        <w:t xml:space="preserve"> </w:t>
      </w:r>
    </w:p>
    <w:p w14:paraId="74A3A875" w14:textId="77777777" w:rsidR="005E347E" w:rsidRPr="00AA22C4" w:rsidRDefault="005E347E" w:rsidP="005E347E">
      <w:pPr>
        <w:tabs>
          <w:tab w:val="left" w:pos="5865"/>
        </w:tabs>
        <w:spacing w:before="120" w:after="120"/>
        <w:ind w:left="360"/>
        <w:jc w:val="both"/>
        <w:rPr>
          <w:rFonts w:ascii="Lato" w:hAnsi="Lato" w:cs="Calibri"/>
          <w:bCs/>
          <w:color w:val="000000" w:themeColor="text1"/>
          <w:sz w:val="22"/>
          <w:szCs w:val="22"/>
        </w:rPr>
      </w:pPr>
      <w:r w:rsidRPr="00AA22C4">
        <w:rPr>
          <w:rFonts w:ascii="Lato" w:hAnsi="Lato" w:cs="Calibri"/>
          <w:bCs/>
          <w:color w:val="000000" w:themeColor="text1"/>
          <w:sz w:val="22"/>
          <w:szCs w:val="22"/>
        </w:rPr>
        <w:lastRenderedPageBreak/>
        <w:t xml:space="preserve">W przypadku postaci niemowlęcej leczenie enzymatyczne należy rozpocząć zaraz po wykryciu choroby, a następnie regularnie monitorować efekty terapii, przebieg choroby oraz ewentualne powikłania i działania niepożądane. </w:t>
      </w:r>
    </w:p>
    <w:p w14:paraId="45828C5C" w14:textId="0CEEB82F" w:rsidR="005E347E" w:rsidRPr="00AA22C4" w:rsidRDefault="005E347E" w:rsidP="005E347E">
      <w:pPr>
        <w:tabs>
          <w:tab w:val="left" w:pos="5865"/>
        </w:tabs>
        <w:spacing w:before="120" w:after="120"/>
        <w:ind w:left="360"/>
        <w:jc w:val="both"/>
        <w:rPr>
          <w:rFonts w:ascii="Lato" w:hAnsi="Lato" w:cs="Calibri"/>
          <w:bCs/>
          <w:color w:val="000000" w:themeColor="text1"/>
          <w:sz w:val="22"/>
          <w:szCs w:val="22"/>
        </w:rPr>
      </w:pPr>
      <w:r w:rsidRPr="00AA22C4">
        <w:rPr>
          <w:rFonts w:ascii="Lato" w:hAnsi="Lato" w:cs="Calibri"/>
          <w:bCs/>
          <w:color w:val="000000" w:themeColor="text1"/>
          <w:sz w:val="22"/>
          <w:szCs w:val="22"/>
        </w:rPr>
        <w:t xml:space="preserve">W przypadku postaci późnej choroby Pompego brak </w:t>
      </w:r>
      <w:proofErr w:type="spellStart"/>
      <w:r w:rsidRPr="00AA22C4">
        <w:rPr>
          <w:rFonts w:ascii="Lato" w:hAnsi="Lato" w:cs="Calibri"/>
          <w:bCs/>
          <w:i/>
          <w:iCs/>
          <w:color w:val="000000" w:themeColor="text1"/>
          <w:sz w:val="22"/>
          <w:szCs w:val="22"/>
        </w:rPr>
        <w:t>consensusu</w:t>
      </w:r>
      <w:proofErr w:type="spellEnd"/>
      <w:r w:rsidRPr="00AA22C4">
        <w:rPr>
          <w:rFonts w:ascii="Lato" w:hAnsi="Lato" w:cs="Calibri"/>
          <w:bCs/>
          <w:color w:val="000000" w:themeColor="text1"/>
          <w:sz w:val="22"/>
          <w:szCs w:val="22"/>
        </w:rPr>
        <w:t xml:space="preserve"> co do optymalnego momentu rozpoczęcia terapii enzymatycznej po wykryciu w badaniach przesiewowych noworodków. Monitorowanie przebiegu choroby u tych pacjentów wymaga regularnych kontroli co kilka miesięcy (4-6 </w:t>
      </w:r>
      <w:r w:rsidR="00860364" w:rsidRPr="00AA22C4">
        <w:rPr>
          <w:rFonts w:ascii="Lato" w:hAnsi="Lato" w:cs="Calibri"/>
          <w:bCs/>
          <w:color w:val="000000" w:themeColor="text1"/>
          <w:sz w:val="22"/>
          <w:szCs w:val="22"/>
        </w:rPr>
        <w:t>miesią</w:t>
      </w:r>
      <w:r w:rsidR="00244C08" w:rsidRPr="00AA22C4">
        <w:rPr>
          <w:rFonts w:ascii="Lato" w:hAnsi="Lato" w:cs="Calibri"/>
          <w:bCs/>
          <w:color w:val="000000" w:themeColor="text1"/>
          <w:sz w:val="22"/>
          <w:szCs w:val="22"/>
        </w:rPr>
        <w:t>c</w:t>
      </w:r>
      <w:r w:rsidR="00860364" w:rsidRPr="00AA22C4">
        <w:rPr>
          <w:rFonts w:ascii="Lato" w:hAnsi="Lato" w:cs="Calibri"/>
          <w:bCs/>
          <w:color w:val="000000" w:themeColor="text1"/>
          <w:sz w:val="22"/>
          <w:szCs w:val="22"/>
        </w:rPr>
        <w:t>e</w:t>
      </w:r>
      <w:r w:rsidRPr="00AA22C4">
        <w:rPr>
          <w:rFonts w:ascii="Lato" w:hAnsi="Lato" w:cs="Calibri"/>
          <w:bCs/>
          <w:color w:val="000000" w:themeColor="text1"/>
          <w:sz w:val="22"/>
          <w:szCs w:val="22"/>
        </w:rPr>
        <w:t>.), w tym spirometrii, echa serca, EMG, USG lub MRI mięśni oraz badania biomarkera Glc4 w moczu.</w:t>
      </w:r>
    </w:p>
    <w:p w14:paraId="3C4F8901" w14:textId="77777777" w:rsidR="005E347E" w:rsidRPr="00AA22C4" w:rsidRDefault="005E347E" w:rsidP="009038E8">
      <w:pPr>
        <w:pStyle w:val="Akapitzlist"/>
        <w:widowControl/>
        <w:numPr>
          <w:ilvl w:val="0"/>
          <w:numId w:val="85"/>
        </w:numPr>
        <w:suppressAutoHyphens w:val="0"/>
        <w:spacing w:before="360" w:after="240" w:line="360" w:lineRule="auto"/>
        <w:ind w:left="714" w:hanging="357"/>
        <w:contextualSpacing w:val="0"/>
        <w:jc w:val="both"/>
        <w:rPr>
          <w:rFonts w:ascii="Lato" w:hAnsi="Lato" w:cs="Calibri"/>
          <w:b/>
          <w:color w:val="000000" w:themeColor="text1"/>
          <w:sz w:val="22"/>
          <w:szCs w:val="22"/>
        </w:rPr>
      </w:pPr>
      <w:r w:rsidRPr="00AA22C4">
        <w:rPr>
          <w:rFonts w:ascii="Lato" w:hAnsi="Lato" w:cs="Calibri"/>
          <w:b/>
          <w:color w:val="000000" w:themeColor="text1"/>
          <w:sz w:val="22"/>
          <w:szCs w:val="22"/>
        </w:rPr>
        <w:t xml:space="preserve">Choroba </w:t>
      </w:r>
      <w:proofErr w:type="spellStart"/>
      <w:r w:rsidRPr="00AA22C4">
        <w:rPr>
          <w:rFonts w:ascii="Lato" w:hAnsi="Lato" w:cs="Calibri"/>
          <w:b/>
          <w:color w:val="000000" w:themeColor="text1"/>
          <w:sz w:val="22"/>
          <w:szCs w:val="22"/>
        </w:rPr>
        <w:t>Fabryego</w:t>
      </w:r>
      <w:proofErr w:type="spellEnd"/>
      <w:r w:rsidRPr="00AA22C4">
        <w:rPr>
          <w:rFonts w:ascii="Lato" w:hAnsi="Lato" w:cs="Calibri"/>
          <w:b/>
          <w:color w:val="000000" w:themeColor="text1"/>
          <w:sz w:val="22"/>
          <w:szCs w:val="22"/>
        </w:rPr>
        <w:t xml:space="preserve"> – deficyt aktywności enzymu alfa-galaktozydazy A (GLA)</w:t>
      </w:r>
    </w:p>
    <w:p w14:paraId="5247AE33" w14:textId="77777777" w:rsidR="005E347E" w:rsidRPr="00AA22C4" w:rsidRDefault="005E347E" w:rsidP="005E347E">
      <w:pPr>
        <w:pStyle w:val="Akapitzlist"/>
        <w:tabs>
          <w:tab w:val="left" w:pos="2120"/>
        </w:tabs>
        <w:spacing w:before="120" w:after="120" w:line="360" w:lineRule="auto"/>
        <w:ind w:left="360"/>
        <w:contextualSpacing w:val="0"/>
        <w:jc w:val="both"/>
        <w:rPr>
          <w:rFonts w:ascii="Lato" w:hAnsi="Lato" w:cs="Calibri"/>
          <w:color w:val="000000" w:themeColor="text1"/>
          <w:sz w:val="22"/>
          <w:szCs w:val="22"/>
          <w:u w:val="single"/>
        </w:rPr>
      </w:pPr>
      <w:r w:rsidRPr="00AA22C4">
        <w:rPr>
          <w:rFonts w:ascii="Lato" w:hAnsi="Lato" w:cs="Calibri"/>
          <w:color w:val="000000" w:themeColor="text1"/>
          <w:sz w:val="22"/>
          <w:szCs w:val="22"/>
          <w:u w:val="single"/>
        </w:rPr>
        <w:t>Opis:</w:t>
      </w:r>
    </w:p>
    <w:p w14:paraId="22F2B545" w14:textId="77777777" w:rsidR="005E347E" w:rsidRPr="00AA22C4" w:rsidRDefault="005E347E" w:rsidP="005E347E">
      <w:pPr>
        <w:pStyle w:val="Akapitzlist"/>
        <w:spacing w:before="120" w:after="120" w:line="360" w:lineRule="auto"/>
        <w:ind w:left="360"/>
        <w:contextualSpacing w:val="0"/>
        <w:jc w:val="both"/>
        <w:rPr>
          <w:rFonts w:ascii="Lato" w:hAnsi="Lato" w:cs="Calibri"/>
          <w:color w:val="000000" w:themeColor="text1"/>
          <w:sz w:val="22"/>
          <w:szCs w:val="22"/>
        </w:rPr>
      </w:pPr>
      <w:r w:rsidRPr="00AA22C4">
        <w:rPr>
          <w:rFonts w:ascii="Lato" w:hAnsi="Lato" w:cs="Calibri"/>
          <w:color w:val="000000" w:themeColor="text1"/>
          <w:sz w:val="22"/>
          <w:szCs w:val="22"/>
        </w:rPr>
        <w:t xml:space="preserve">Choroba </w:t>
      </w:r>
      <w:proofErr w:type="spellStart"/>
      <w:r w:rsidRPr="00AA22C4">
        <w:rPr>
          <w:rFonts w:ascii="Lato" w:hAnsi="Lato" w:cs="Calibri"/>
          <w:color w:val="000000" w:themeColor="text1"/>
          <w:sz w:val="22"/>
          <w:szCs w:val="22"/>
        </w:rPr>
        <w:t>Fabry’ego</w:t>
      </w:r>
      <w:proofErr w:type="spellEnd"/>
      <w:r w:rsidRPr="00AA22C4">
        <w:rPr>
          <w:rFonts w:ascii="Lato" w:hAnsi="Lato" w:cs="Calibri"/>
          <w:color w:val="000000" w:themeColor="text1"/>
          <w:sz w:val="22"/>
          <w:szCs w:val="22"/>
        </w:rPr>
        <w:t xml:space="preserve"> to rzadka lizosomalna choroba </w:t>
      </w:r>
      <w:proofErr w:type="spellStart"/>
      <w:r w:rsidRPr="00AA22C4">
        <w:rPr>
          <w:rFonts w:ascii="Lato" w:hAnsi="Lato" w:cs="Calibri"/>
          <w:color w:val="000000" w:themeColor="text1"/>
          <w:sz w:val="22"/>
          <w:szCs w:val="22"/>
        </w:rPr>
        <w:t>spichrzeniowa</w:t>
      </w:r>
      <w:proofErr w:type="spellEnd"/>
      <w:r w:rsidRPr="00AA22C4">
        <w:rPr>
          <w:rFonts w:ascii="Lato" w:hAnsi="Lato" w:cs="Calibri"/>
          <w:color w:val="000000" w:themeColor="text1"/>
          <w:sz w:val="22"/>
          <w:szCs w:val="22"/>
        </w:rPr>
        <w:t xml:space="preserve">, spowodowana mutacją w genie GLA, która prowadzi do niedoboru enzymu alfa-galaktozydazy A. W wyniku tego dochodzi do odkładania się </w:t>
      </w:r>
      <w:proofErr w:type="spellStart"/>
      <w:r w:rsidRPr="00AA22C4">
        <w:rPr>
          <w:rFonts w:ascii="Lato" w:hAnsi="Lato" w:cs="Calibri"/>
          <w:color w:val="000000" w:themeColor="text1"/>
          <w:sz w:val="22"/>
          <w:szCs w:val="22"/>
        </w:rPr>
        <w:t>globotriaozyloceramidu</w:t>
      </w:r>
      <w:proofErr w:type="spellEnd"/>
      <w:r w:rsidRPr="00AA22C4">
        <w:rPr>
          <w:rFonts w:ascii="Lato" w:hAnsi="Lato" w:cs="Calibri"/>
          <w:color w:val="000000" w:themeColor="text1"/>
          <w:sz w:val="22"/>
          <w:szCs w:val="22"/>
        </w:rPr>
        <w:t xml:space="preserve"> (GL-3) w różnych tkankach i narządach, co zaburza ich funkcjonowanie. Choroba ta dziedziczy się w sposób sprzężony z chromosomem X, co sprawia, że jest częściej spotykana u mężczyzn. Heterozygotyczne kobiety mogą również doświadczać objawów o różnym nasileniu, które zazwyczaj pojawiają się kilka lat później niż u mężczyzn. </w:t>
      </w:r>
    </w:p>
    <w:p w14:paraId="5420CA44" w14:textId="77777777" w:rsidR="005E347E" w:rsidRPr="00AA22C4" w:rsidRDefault="005E347E" w:rsidP="005E347E">
      <w:pPr>
        <w:pStyle w:val="Akapitzlist"/>
        <w:spacing w:before="120" w:after="120" w:line="360" w:lineRule="auto"/>
        <w:ind w:left="0" w:firstLine="357"/>
        <w:contextualSpacing w:val="0"/>
        <w:jc w:val="both"/>
        <w:rPr>
          <w:rFonts w:ascii="Lato" w:hAnsi="Lato" w:cs="Calibri"/>
          <w:color w:val="000000" w:themeColor="text1"/>
          <w:sz w:val="22"/>
          <w:szCs w:val="22"/>
          <w:u w:val="single"/>
        </w:rPr>
      </w:pPr>
      <w:r w:rsidRPr="00AA22C4">
        <w:rPr>
          <w:rFonts w:ascii="Lato" w:hAnsi="Lato" w:cs="Calibri"/>
          <w:color w:val="000000" w:themeColor="text1"/>
          <w:sz w:val="22"/>
          <w:szCs w:val="22"/>
          <w:u w:val="single"/>
        </w:rPr>
        <w:t>Objawy:</w:t>
      </w:r>
    </w:p>
    <w:p w14:paraId="08FC875F" w14:textId="77777777" w:rsidR="005E347E" w:rsidRPr="00AA22C4" w:rsidRDefault="005E347E" w:rsidP="005E347E">
      <w:pPr>
        <w:pStyle w:val="Akapitzlist"/>
        <w:spacing w:before="120" w:after="120" w:line="360" w:lineRule="auto"/>
        <w:ind w:left="0" w:firstLine="357"/>
        <w:contextualSpacing w:val="0"/>
        <w:jc w:val="both"/>
        <w:rPr>
          <w:rFonts w:ascii="Lato" w:hAnsi="Lato" w:cs="Calibri"/>
          <w:color w:val="000000" w:themeColor="text1"/>
          <w:sz w:val="22"/>
          <w:szCs w:val="22"/>
        </w:rPr>
      </w:pPr>
      <w:r w:rsidRPr="00AA22C4">
        <w:rPr>
          <w:rFonts w:ascii="Lato" w:hAnsi="Lato" w:cs="Calibri"/>
          <w:color w:val="000000" w:themeColor="text1"/>
          <w:sz w:val="22"/>
          <w:szCs w:val="22"/>
        </w:rPr>
        <w:t>W młodym wieku:</w:t>
      </w:r>
    </w:p>
    <w:p w14:paraId="5AE1F3DE" w14:textId="77777777" w:rsidR="005E347E" w:rsidRPr="00AA22C4" w:rsidRDefault="005E347E" w:rsidP="009038E8">
      <w:pPr>
        <w:pStyle w:val="Akapitzlist"/>
        <w:widowControl/>
        <w:numPr>
          <w:ilvl w:val="0"/>
          <w:numId w:val="88"/>
        </w:numPr>
        <w:suppressAutoHyphens w:val="0"/>
        <w:spacing w:before="120" w:after="120"/>
        <w:contextualSpacing w:val="0"/>
        <w:jc w:val="both"/>
        <w:rPr>
          <w:rFonts w:ascii="Lato" w:hAnsi="Lato" w:cs="Calibri"/>
          <w:color w:val="000000" w:themeColor="text1"/>
          <w:sz w:val="22"/>
          <w:szCs w:val="22"/>
        </w:rPr>
      </w:pPr>
      <w:r w:rsidRPr="00AA22C4">
        <w:rPr>
          <w:rFonts w:ascii="Lato" w:hAnsi="Lato" w:cs="Calibri"/>
          <w:color w:val="000000" w:themeColor="text1"/>
          <w:sz w:val="22"/>
          <w:szCs w:val="22"/>
        </w:rPr>
        <w:t>parestezje - ostry, palący ból dystalnych kończyn,</w:t>
      </w:r>
    </w:p>
    <w:p w14:paraId="295579DF" w14:textId="77777777" w:rsidR="005E347E" w:rsidRPr="00AA22C4" w:rsidRDefault="005E347E" w:rsidP="009038E8">
      <w:pPr>
        <w:pStyle w:val="Akapitzlist"/>
        <w:widowControl/>
        <w:numPr>
          <w:ilvl w:val="0"/>
          <w:numId w:val="88"/>
        </w:numPr>
        <w:suppressAutoHyphens w:val="0"/>
        <w:spacing w:before="120" w:after="120"/>
        <w:contextualSpacing w:val="0"/>
        <w:jc w:val="both"/>
        <w:rPr>
          <w:rFonts w:ascii="Lato" w:hAnsi="Lato" w:cs="Calibri"/>
          <w:color w:val="000000" w:themeColor="text1"/>
          <w:sz w:val="22"/>
          <w:szCs w:val="22"/>
        </w:rPr>
      </w:pPr>
      <w:r w:rsidRPr="00AA22C4">
        <w:rPr>
          <w:rFonts w:ascii="Lato" w:hAnsi="Lato" w:cs="Calibri"/>
          <w:color w:val="000000" w:themeColor="text1"/>
          <w:sz w:val="22"/>
          <w:szCs w:val="22"/>
        </w:rPr>
        <w:t>hipertermia, zaburzenia tolerancji wysokich temperatur, upośledzenie wydzielania potu,</w:t>
      </w:r>
    </w:p>
    <w:p w14:paraId="4F311AE8" w14:textId="77777777" w:rsidR="005E347E" w:rsidRPr="00AA22C4" w:rsidRDefault="005E347E" w:rsidP="009038E8">
      <w:pPr>
        <w:pStyle w:val="Akapitzlist"/>
        <w:widowControl/>
        <w:numPr>
          <w:ilvl w:val="0"/>
          <w:numId w:val="88"/>
        </w:numPr>
        <w:suppressAutoHyphens w:val="0"/>
        <w:spacing w:before="120" w:after="120"/>
        <w:contextualSpacing w:val="0"/>
        <w:jc w:val="both"/>
        <w:rPr>
          <w:rFonts w:ascii="Lato" w:hAnsi="Lato" w:cs="Calibri"/>
          <w:color w:val="000000" w:themeColor="text1"/>
          <w:sz w:val="22"/>
          <w:szCs w:val="22"/>
        </w:rPr>
      </w:pPr>
      <w:r w:rsidRPr="00AA22C4">
        <w:rPr>
          <w:rFonts w:ascii="Lato" w:hAnsi="Lato" w:cs="Calibri"/>
          <w:color w:val="000000" w:themeColor="text1"/>
          <w:sz w:val="22"/>
          <w:szCs w:val="22"/>
        </w:rPr>
        <w:t>bóle brzucha, zaparcia, biegunki, mdłości, wymioty,</w:t>
      </w:r>
    </w:p>
    <w:p w14:paraId="29E20748" w14:textId="77777777" w:rsidR="005E347E" w:rsidRPr="00AA22C4" w:rsidRDefault="005E347E" w:rsidP="009038E8">
      <w:pPr>
        <w:pStyle w:val="Akapitzlist"/>
        <w:widowControl/>
        <w:numPr>
          <w:ilvl w:val="0"/>
          <w:numId w:val="88"/>
        </w:numPr>
        <w:suppressAutoHyphens w:val="0"/>
        <w:spacing w:before="120" w:after="120"/>
        <w:contextualSpacing w:val="0"/>
        <w:jc w:val="both"/>
        <w:rPr>
          <w:rFonts w:ascii="Lato" w:hAnsi="Lato" w:cs="Calibri"/>
          <w:color w:val="000000" w:themeColor="text1"/>
          <w:sz w:val="22"/>
          <w:szCs w:val="22"/>
        </w:rPr>
      </w:pPr>
      <w:r w:rsidRPr="00AA22C4">
        <w:rPr>
          <w:rFonts w:ascii="Lato" w:hAnsi="Lato" w:cs="Calibri"/>
          <w:color w:val="000000" w:themeColor="text1"/>
          <w:sz w:val="22"/>
          <w:szCs w:val="22"/>
        </w:rPr>
        <w:t>zmiany skórne - czerwono-purpurowa wysypka na udach, pośladkach, podbrzuszu,</w:t>
      </w:r>
    </w:p>
    <w:p w14:paraId="5F3E1631" w14:textId="77777777" w:rsidR="005E347E" w:rsidRPr="00AA22C4" w:rsidRDefault="005E347E" w:rsidP="009038E8">
      <w:pPr>
        <w:pStyle w:val="Akapitzlist"/>
        <w:widowControl/>
        <w:numPr>
          <w:ilvl w:val="0"/>
          <w:numId w:val="88"/>
        </w:numPr>
        <w:suppressAutoHyphens w:val="0"/>
        <w:spacing w:before="120" w:after="120"/>
        <w:contextualSpacing w:val="0"/>
        <w:jc w:val="both"/>
        <w:rPr>
          <w:rFonts w:ascii="Lato" w:hAnsi="Lato" w:cs="Calibri"/>
          <w:color w:val="000000" w:themeColor="text1"/>
          <w:sz w:val="22"/>
          <w:szCs w:val="22"/>
        </w:rPr>
      </w:pPr>
      <w:r w:rsidRPr="00AA22C4">
        <w:rPr>
          <w:rFonts w:ascii="Lato" w:hAnsi="Lato" w:cs="Calibri"/>
          <w:color w:val="000000" w:themeColor="text1"/>
          <w:sz w:val="22"/>
          <w:szCs w:val="22"/>
        </w:rPr>
        <w:t>zmętnienie rogówki, zaćma,</w:t>
      </w:r>
    </w:p>
    <w:p w14:paraId="6BE6491D" w14:textId="77777777" w:rsidR="005E347E" w:rsidRPr="00AA22C4" w:rsidRDefault="005E347E" w:rsidP="009038E8">
      <w:pPr>
        <w:pStyle w:val="Akapitzlist"/>
        <w:widowControl/>
        <w:numPr>
          <w:ilvl w:val="0"/>
          <w:numId w:val="88"/>
        </w:numPr>
        <w:suppressAutoHyphens w:val="0"/>
        <w:spacing w:before="120" w:after="120"/>
        <w:contextualSpacing w:val="0"/>
        <w:jc w:val="both"/>
        <w:rPr>
          <w:rFonts w:ascii="Lato" w:hAnsi="Lato" w:cs="Calibri"/>
          <w:color w:val="000000" w:themeColor="text1"/>
          <w:sz w:val="22"/>
          <w:szCs w:val="22"/>
        </w:rPr>
      </w:pPr>
      <w:r w:rsidRPr="00AA22C4">
        <w:rPr>
          <w:rFonts w:ascii="Lato" w:hAnsi="Lato" w:cs="Calibri"/>
          <w:color w:val="000000" w:themeColor="text1"/>
          <w:sz w:val="22"/>
          <w:szCs w:val="22"/>
        </w:rPr>
        <w:t>postępujące upośledzenie słuchu.</w:t>
      </w:r>
    </w:p>
    <w:p w14:paraId="7C8FCC47" w14:textId="77777777" w:rsidR="005E347E" w:rsidRPr="00AA22C4" w:rsidRDefault="005E347E" w:rsidP="009038E8">
      <w:pPr>
        <w:pStyle w:val="Akapitzlist"/>
        <w:spacing w:before="240" w:after="120" w:line="360" w:lineRule="auto"/>
        <w:ind w:left="0" w:firstLine="357"/>
        <w:contextualSpacing w:val="0"/>
        <w:jc w:val="both"/>
        <w:rPr>
          <w:rFonts w:ascii="Lato" w:hAnsi="Lato" w:cs="Calibri"/>
          <w:color w:val="000000" w:themeColor="text1"/>
          <w:sz w:val="22"/>
          <w:szCs w:val="22"/>
        </w:rPr>
      </w:pPr>
      <w:r w:rsidRPr="00AA22C4">
        <w:rPr>
          <w:rFonts w:ascii="Lato" w:hAnsi="Lato" w:cs="Calibri"/>
          <w:color w:val="000000" w:themeColor="text1"/>
          <w:sz w:val="22"/>
          <w:szCs w:val="22"/>
        </w:rPr>
        <w:t>W wieku dorosłym:</w:t>
      </w:r>
    </w:p>
    <w:p w14:paraId="339CAB9E" w14:textId="77777777" w:rsidR="005E347E" w:rsidRPr="00AA22C4" w:rsidRDefault="005E347E" w:rsidP="009038E8">
      <w:pPr>
        <w:pStyle w:val="Akapitzlist"/>
        <w:widowControl/>
        <w:numPr>
          <w:ilvl w:val="0"/>
          <w:numId w:val="89"/>
        </w:numPr>
        <w:suppressAutoHyphens w:val="0"/>
        <w:spacing w:before="120" w:after="120"/>
        <w:contextualSpacing w:val="0"/>
        <w:jc w:val="both"/>
        <w:rPr>
          <w:rFonts w:ascii="Lato" w:hAnsi="Lato" w:cs="Calibri"/>
          <w:color w:val="000000" w:themeColor="text1"/>
          <w:sz w:val="22"/>
          <w:szCs w:val="22"/>
        </w:rPr>
      </w:pPr>
      <w:r w:rsidRPr="00AA22C4">
        <w:rPr>
          <w:rFonts w:ascii="Lato" w:hAnsi="Lato" w:cs="Calibri"/>
          <w:color w:val="000000" w:themeColor="text1"/>
          <w:sz w:val="22"/>
          <w:szCs w:val="22"/>
        </w:rPr>
        <w:t>zaburzenia układu sercowo-naczyniowego (przerost lewej komory serca, zaburzenia rytmu i przewodzenia),</w:t>
      </w:r>
    </w:p>
    <w:p w14:paraId="1C708E90" w14:textId="77777777" w:rsidR="005E347E" w:rsidRPr="00AA22C4" w:rsidRDefault="005E347E" w:rsidP="009038E8">
      <w:pPr>
        <w:pStyle w:val="Akapitzlist"/>
        <w:widowControl/>
        <w:numPr>
          <w:ilvl w:val="0"/>
          <w:numId w:val="89"/>
        </w:numPr>
        <w:suppressAutoHyphens w:val="0"/>
        <w:spacing w:before="120" w:after="120"/>
        <w:contextualSpacing w:val="0"/>
        <w:jc w:val="both"/>
        <w:rPr>
          <w:rFonts w:ascii="Lato" w:hAnsi="Lato" w:cs="Calibri"/>
          <w:color w:val="000000" w:themeColor="text1"/>
          <w:sz w:val="22"/>
          <w:szCs w:val="22"/>
        </w:rPr>
      </w:pPr>
      <w:r w:rsidRPr="00AA22C4">
        <w:rPr>
          <w:rFonts w:ascii="Lato" w:hAnsi="Lato" w:cs="Calibri"/>
          <w:color w:val="000000" w:themeColor="text1"/>
          <w:sz w:val="22"/>
          <w:szCs w:val="22"/>
        </w:rPr>
        <w:t>choroby nerek, których głównym objawem jest białkomocz; z czasem może dochodzić do niewydolności nerek,</w:t>
      </w:r>
    </w:p>
    <w:p w14:paraId="2519ECB3" w14:textId="77777777" w:rsidR="005E347E" w:rsidRPr="00AA22C4" w:rsidRDefault="005E347E" w:rsidP="009038E8">
      <w:pPr>
        <w:pStyle w:val="Akapitzlist"/>
        <w:widowControl/>
        <w:numPr>
          <w:ilvl w:val="0"/>
          <w:numId w:val="89"/>
        </w:numPr>
        <w:suppressAutoHyphens w:val="0"/>
        <w:spacing w:before="120" w:after="120"/>
        <w:contextualSpacing w:val="0"/>
        <w:jc w:val="both"/>
        <w:rPr>
          <w:rFonts w:ascii="Lato" w:hAnsi="Lato" w:cs="Calibri"/>
          <w:color w:val="000000" w:themeColor="text1"/>
          <w:sz w:val="22"/>
          <w:szCs w:val="22"/>
        </w:rPr>
      </w:pPr>
      <w:r w:rsidRPr="00AA22C4">
        <w:rPr>
          <w:rFonts w:ascii="Lato" w:hAnsi="Lato" w:cs="Calibri"/>
          <w:color w:val="000000" w:themeColor="text1"/>
          <w:sz w:val="22"/>
          <w:szCs w:val="22"/>
        </w:rPr>
        <w:t>uczucie zmęczenia, szumy uszne, zawroty głowy,</w:t>
      </w:r>
    </w:p>
    <w:p w14:paraId="6E9A6651" w14:textId="77777777" w:rsidR="005E347E" w:rsidRPr="00AA22C4" w:rsidRDefault="005E347E" w:rsidP="009038E8">
      <w:pPr>
        <w:pStyle w:val="Akapitzlist"/>
        <w:widowControl/>
        <w:numPr>
          <w:ilvl w:val="0"/>
          <w:numId w:val="89"/>
        </w:numPr>
        <w:suppressAutoHyphens w:val="0"/>
        <w:spacing w:before="120" w:after="120"/>
        <w:contextualSpacing w:val="0"/>
        <w:jc w:val="both"/>
        <w:rPr>
          <w:rFonts w:ascii="Lato" w:hAnsi="Lato" w:cs="Calibri"/>
          <w:color w:val="000000" w:themeColor="text1"/>
          <w:sz w:val="22"/>
          <w:szCs w:val="22"/>
        </w:rPr>
      </w:pPr>
      <w:r w:rsidRPr="00AA22C4">
        <w:rPr>
          <w:rFonts w:ascii="Lato" w:hAnsi="Lato" w:cs="Calibri"/>
          <w:color w:val="000000" w:themeColor="text1"/>
          <w:sz w:val="22"/>
          <w:szCs w:val="22"/>
        </w:rPr>
        <w:t>problemy psychiczne - stany lękowe, izolacja, depresja, poczucie winy.</w:t>
      </w:r>
    </w:p>
    <w:p w14:paraId="345422B8" w14:textId="77777777" w:rsidR="005E347E" w:rsidRPr="00AA22C4" w:rsidRDefault="005E347E" w:rsidP="005E347E">
      <w:pPr>
        <w:pStyle w:val="Akapitzlist"/>
        <w:spacing w:before="120" w:after="120" w:line="360" w:lineRule="auto"/>
        <w:ind w:left="357"/>
        <w:contextualSpacing w:val="0"/>
        <w:jc w:val="both"/>
        <w:rPr>
          <w:rFonts w:ascii="Lato" w:hAnsi="Lato" w:cs="Calibri"/>
          <w:color w:val="000000" w:themeColor="text1"/>
          <w:sz w:val="22"/>
          <w:szCs w:val="22"/>
          <w:u w:val="single"/>
        </w:rPr>
      </w:pPr>
      <w:r w:rsidRPr="00AA22C4">
        <w:rPr>
          <w:rFonts w:ascii="Lato" w:hAnsi="Lato" w:cs="Calibri"/>
          <w:color w:val="000000" w:themeColor="text1"/>
          <w:sz w:val="22"/>
          <w:szCs w:val="22"/>
          <w:u w:val="single"/>
        </w:rPr>
        <w:lastRenderedPageBreak/>
        <w:t>Diagnostyka:</w:t>
      </w:r>
    </w:p>
    <w:p w14:paraId="1AC4B8E6" w14:textId="77777777" w:rsidR="005E347E" w:rsidRPr="00AA22C4" w:rsidRDefault="005E347E" w:rsidP="005E347E">
      <w:pPr>
        <w:pStyle w:val="Akapitzlist"/>
        <w:widowControl/>
        <w:numPr>
          <w:ilvl w:val="0"/>
          <w:numId w:val="99"/>
        </w:numPr>
        <w:spacing w:before="120" w:after="120" w:line="360" w:lineRule="auto"/>
        <w:contextualSpacing w:val="0"/>
        <w:jc w:val="both"/>
        <w:rPr>
          <w:rFonts w:ascii="Lato" w:hAnsi="Lato"/>
          <w:color w:val="000000" w:themeColor="text1"/>
          <w:sz w:val="22"/>
          <w:szCs w:val="22"/>
        </w:rPr>
      </w:pPr>
      <w:r w:rsidRPr="00AA22C4">
        <w:rPr>
          <w:rFonts w:ascii="Lato" w:hAnsi="Lato"/>
          <w:color w:val="000000" w:themeColor="text1"/>
          <w:sz w:val="22"/>
          <w:szCs w:val="22"/>
        </w:rPr>
        <w:t>badanie przesiewowe - oznaczenie aktywności GLA w suchej kropli krwi, ze względu na ryzyko otrzymania wyniku fałszywie dodatniego badanie to należy zawsze potwierdzić w innym typie próbki lub badaniem genetycznym,</w:t>
      </w:r>
    </w:p>
    <w:p w14:paraId="07F6110C" w14:textId="3D1C91FB" w:rsidR="005E347E" w:rsidRPr="00AA22C4" w:rsidRDefault="005E347E" w:rsidP="005E347E">
      <w:pPr>
        <w:pStyle w:val="Akapitzlist"/>
        <w:widowControl/>
        <w:numPr>
          <w:ilvl w:val="0"/>
          <w:numId w:val="99"/>
        </w:numPr>
        <w:spacing w:before="120" w:after="120" w:line="360" w:lineRule="auto"/>
        <w:contextualSpacing w:val="0"/>
        <w:jc w:val="both"/>
        <w:rPr>
          <w:rFonts w:ascii="Lato" w:hAnsi="Lato"/>
          <w:color w:val="000000" w:themeColor="text1"/>
          <w:sz w:val="22"/>
          <w:szCs w:val="22"/>
        </w:rPr>
      </w:pPr>
      <w:r w:rsidRPr="00AA22C4">
        <w:rPr>
          <w:rFonts w:ascii="Lato" w:hAnsi="Lato"/>
          <w:color w:val="000000" w:themeColor="text1"/>
          <w:sz w:val="22"/>
          <w:szCs w:val="22"/>
        </w:rPr>
        <w:t>niedobór lub brak aktywności GLA we krwi (mierzonej w leukocytach lub izolowanych limfocytach), fibroblastach skóry lub w biopsji mięśnia</w:t>
      </w:r>
      <w:r w:rsidR="00B563D7" w:rsidRPr="00AA22C4">
        <w:rPr>
          <w:rFonts w:ascii="Lato" w:hAnsi="Lato"/>
          <w:color w:val="000000" w:themeColor="text1"/>
          <w:sz w:val="22"/>
          <w:szCs w:val="22"/>
        </w:rPr>
        <w:t>,</w:t>
      </w:r>
    </w:p>
    <w:p w14:paraId="05F8A366" w14:textId="77777777" w:rsidR="005E347E" w:rsidRPr="00AA22C4" w:rsidRDefault="005E347E" w:rsidP="005E347E">
      <w:pPr>
        <w:pStyle w:val="Akapitzlist"/>
        <w:widowControl/>
        <w:numPr>
          <w:ilvl w:val="0"/>
          <w:numId w:val="99"/>
        </w:numPr>
        <w:spacing w:before="120" w:after="120" w:line="360" w:lineRule="auto"/>
        <w:contextualSpacing w:val="0"/>
        <w:jc w:val="both"/>
        <w:rPr>
          <w:rFonts w:ascii="Lato" w:hAnsi="Lato"/>
          <w:color w:val="000000" w:themeColor="text1"/>
          <w:sz w:val="22"/>
          <w:szCs w:val="22"/>
        </w:rPr>
      </w:pPr>
      <w:r w:rsidRPr="00AA22C4">
        <w:rPr>
          <w:rFonts w:ascii="Lato" w:hAnsi="Lato"/>
          <w:color w:val="000000" w:themeColor="text1"/>
          <w:sz w:val="22"/>
          <w:szCs w:val="22"/>
        </w:rPr>
        <w:t xml:space="preserve">oznaczenie </w:t>
      </w:r>
      <w:proofErr w:type="spellStart"/>
      <w:r w:rsidRPr="00AA22C4">
        <w:rPr>
          <w:rFonts w:ascii="Lato" w:hAnsi="Lato"/>
          <w:color w:val="000000" w:themeColor="text1"/>
          <w:sz w:val="22"/>
          <w:szCs w:val="22"/>
        </w:rPr>
        <w:t>globotriaozyloceramidu</w:t>
      </w:r>
      <w:proofErr w:type="spellEnd"/>
      <w:r w:rsidRPr="00AA22C4">
        <w:rPr>
          <w:rFonts w:ascii="Lato" w:hAnsi="Lato"/>
          <w:color w:val="000000" w:themeColor="text1"/>
          <w:sz w:val="22"/>
          <w:szCs w:val="22"/>
        </w:rPr>
        <w:t xml:space="preserve"> (Gb3) i/lub </w:t>
      </w:r>
      <w:proofErr w:type="spellStart"/>
      <w:r w:rsidRPr="00AA22C4">
        <w:rPr>
          <w:rFonts w:ascii="Lato" w:hAnsi="Lato"/>
          <w:color w:val="000000" w:themeColor="text1"/>
          <w:sz w:val="22"/>
          <w:szCs w:val="22"/>
        </w:rPr>
        <w:t>globotriaozylosfingozyny</w:t>
      </w:r>
      <w:proofErr w:type="spellEnd"/>
      <w:r w:rsidRPr="00AA22C4">
        <w:rPr>
          <w:rFonts w:ascii="Lato" w:hAnsi="Lato"/>
          <w:color w:val="000000" w:themeColor="text1"/>
          <w:sz w:val="22"/>
          <w:szCs w:val="22"/>
        </w:rPr>
        <w:t xml:space="preserve"> (lizo-Gb3) w surowicy krwi,</w:t>
      </w:r>
    </w:p>
    <w:p w14:paraId="2EA12FB6" w14:textId="77777777" w:rsidR="005E347E" w:rsidRPr="00AA22C4" w:rsidRDefault="005E347E" w:rsidP="005E347E">
      <w:pPr>
        <w:pStyle w:val="Akapitzlist"/>
        <w:widowControl/>
        <w:numPr>
          <w:ilvl w:val="0"/>
          <w:numId w:val="99"/>
        </w:numPr>
        <w:spacing w:before="120" w:after="120" w:line="360" w:lineRule="auto"/>
        <w:contextualSpacing w:val="0"/>
        <w:jc w:val="both"/>
        <w:rPr>
          <w:rFonts w:ascii="Lato" w:hAnsi="Lato"/>
          <w:color w:val="000000" w:themeColor="text1"/>
          <w:sz w:val="22"/>
          <w:szCs w:val="22"/>
        </w:rPr>
      </w:pPr>
      <w:r w:rsidRPr="00AA22C4">
        <w:rPr>
          <w:rFonts w:ascii="Lato" w:hAnsi="Lato"/>
          <w:color w:val="000000" w:themeColor="text1"/>
          <w:sz w:val="22"/>
          <w:szCs w:val="22"/>
        </w:rPr>
        <w:t>badanie molekularne potwierdzające występowanie mutacji w obu allelach genu GLA.</w:t>
      </w:r>
    </w:p>
    <w:p w14:paraId="78B020AC" w14:textId="77777777" w:rsidR="005E347E" w:rsidRPr="00AA22C4" w:rsidRDefault="005E347E" w:rsidP="005E347E">
      <w:pPr>
        <w:pStyle w:val="Akapitzlist"/>
        <w:spacing w:before="120" w:after="120" w:line="360" w:lineRule="auto"/>
        <w:ind w:left="357"/>
        <w:contextualSpacing w:val="0"/>
        <w:jc w:val="both"/>
        <w:rPr>
          <w:rFonts w:ascii="Lato" w:hAnsi="Lato" w:cs="Calibri"/>
          <w:color w:val="000000" w:themeColor="text1"/>
          <w:sz w:val="22"/>
          <w:szCs w:val="22"/>
          <w:u w:val="single"/>
        </w:rPr>
      </w:pPr>
      <w:r w:rsidRPr="00AA22C4">
        <w:rPr>
          <w:rFonts w:ascii="Lato" w:hAnsi="Lato" w:cs="Calibri"/>
          <w:color w:val="000000" w:themeColor="text1"/>
          <w:sz w:val="22"/>
          <w:szCs w:val="22"/>
          <w:u w:val="single"/>
        </w:rPr>
        <w:t>Leczenie:</w:t>
      </w:r>
    </w:p>
    <w:p w14:paraId="17E2523C" w14:textId="39D89F40" w:rsidR="005E347E" w:rsidRPr="00AA22C4" w:rsidRDefault="005E347E" w:rsidP="005E347E">
      <w:pPr>
        <w:pStyle w:val="Akapitzlist"/>
        <w:spacing w:before="120" w:after="120" w:line="360" w:lineRule="auto"/>
        <w:ind w:left="357"/>
        <w:contextualSpacing w:val="0"/>
        <w:jc w:val="both"/>
        <w:rPr>
          <w:rFonts w:ascii="Lato" w:eastAsia="Times New Roman" w:hAnsi="Lato" w:cs="Calibri"/>
          <w:color w:val="000000" w:themeColor="text1"/>
          <w:sz w:val="22"/>
          <w:szCs w:val="22"/>
          <w:lang w:eastAsia="pl-PL"/>
        </w:rPr>
      </w:pPr>
      <w:r w:rsidRPr="00AA22C4">
        <w:rPr>
          <w:rFonts w:ascii="Lato" w:eastAsia="Times New Roman" w:hAnsi="Lato" w:cs="Calibri"/>
          <w:color w:val="000000" w:themeColor="text1"/>
          <w:sz w:val="22"/>
          <w:szCs w:val="22"/>
          <w:lang w:eastAsia="pl-PL"/>
        </w:rPr>
        <w:t xml:space="preserve">Leczenie choroby </w:t>
      </w:r>
      <w:proofErr w:type="spellStart"/>
      <w:r w:rsidRPr="00AA22C4">
        <w:rPr>
          <w:rFonts w:ascii="Lato" w:eastAsia="Times New Roman" w:hAnsi="Lato" w:cs="Calibri"/>
          <w:color w:val="000000" w:themeColor="text1"/>
          <w:sz w:val="22"/>
          <w:szCs w:val="22"/>
          <w:lang w:eastAsia="pl-PL"/>
        </w:rPr>
        <w:t>Fabry’ego</w:t>
      </w:r>
      <w:proofErr w:type="spellEnd"/>
      <w:r w:rsidRPr="00AA22C4">
        <w:rPr>
          <w:rFonts w:ascii="Lato" w:eastAsia="Times New Roman" w:hAnsi="Lato" w:cs="Calibri"/>
          <w:color w:val="000000" w:themeColor="text1"/>
          <w:sz w:val="22"/>
          <w:szCs w:val="22"/>
          <w:lang w:eastAsia="pl-PL"/>
        </w:rPr>
        <w:t xml:space="preserve"> obejmuje enzymatyczną terapię zastępczą oraz terapię objawową i wspomagającą. W ramach programu lekowego B.104 (ICD 10 E.75.2) </w:t>
      </w:r>
      <w:proofErr w:type="gramStart"/>
      <w:r w:rsidR="00730497" w:rsidRPr="00AA22C4">
        <w:rPr>
          <w:rFonts w:ascii="Lato" w:eastAsia="Times New Roman" w:hAnsi="Lato" w:cs="Calibri"/>
          <w:color w:val="000000" w:themeColor="text1"/>
          <w:sz w:val="22"/>
          <w:szCs w:val="22"/>
          <w:lang w:eastAsia="pl-PL"/>
        </w:rPr>
        <w:t xml:space="preserve">są  </w:t>
      </w:r>
      <w:r w:rsidRPr="00AA22C4">
        <w:rPr>
          <w:rFonts w:ascii="Lato" w:eastAsia="Times New Roman" w:hAnsi="Lato" w:cs="Calibri"/>
          <w:color w:val="000000" w:themeColor="text1"/>
          <w:sz w:val="22"/>
          <w:szCs w:val="22"/>
          <w:lang w:eastAsia="pl-PL"/>
        </w:rPr>
        <w:t>refundowane</w:t>
      </w:r>
      <w:proofErr w:type="gramEnd"/>
      <w:r w:rsidRPr="00AA22C4">
        <w:rPr>
          <w:rFonts w:ascii="Lato" w:eastAsia="Times New Roman" w:hAnsi="Lato" w:cs="Calibri"/>
          <w:color w:val="000000" w:themeColor="text1"/>
          <w:sz w:val="22"/>
          <w:szCs w:val="22"/>
          <w:lang w:eastAsia="pl-PL"/>
        </w:rPr>
        <w:t xml:space="preserve"> </w:t>
      </w:r>
      <w:proofErr w:type="spellStart"/>
      <w:r w:rsidRPr="00AA22C4">
        <w:rPr>
          <w:rFonts w:ascii="Lato" w:eastAsia="Times New Roman" w:hAnsi="Lato" w:cs="Calibri"/>
          <w:color w:val="000000" w:themeColor="text1"/>
          <w:sz w:val="22"/>
          <w:szCs w:val="22"/>
          <w:lang w:eastAsia="pl-PL"/>
        </w:rPr>
        <w:t>agalzydaza</w:t>
      </w:r>
      <w:proofErr w:type="spellEnd"/>
      <w:r w:rsidRPr="00AA22C4">
        <w:rPr>
          <w:rFonts w:ascii="Lato" w:eastAsia="Times New Roman" w:hAnsi="Lato" w:cs="Calibri"/>
          <w:color w:val="000000" w:themeColor="text1"/>
          <w:sz w:val="22"/>
          <w:szCs w:val="22"/>
          <w:lang w:eastAsia="pl-PL"/>
        </w:rPr>
        <w:t xml:space="preserve"> alfa i beta, podawane dożylnie co dwa tygodnie (w dawce 0,2 mg/kg dla formy alfa, 1 mg/kg dla formy beta) oraz </w:t>
      </w:r>
      <w:proofErr w:type="spellStart"/>
      <w:r w:rsidRPr="00AA22C4">
        <w:rPr>
          <w:rFonts w:ascii="Lato" w:eastAsia="Times New Roman" w:hAnsi="Lato" w:cs="Calibri"/>
          <w:color w:val="000000" w:themeColor="text1"/>
          <w:sz w:val="22"/>
          <w:szCs w:val="22"/>
          <w:lang w:eastAsia="pl-PL"/>
        </w:rPr>
        <w:t>migalastat</w:t>
      </w:r>
      <w:proofErr w:type="spellEnd"/>
      <w:r w:rsidRPr="00AA22C4">
        <w:rPr>
          <w:rFonts w:ascii="Lato" w:eastAsia="Times New Roman" w:hAnsi="Lato" w:cs="Calibri"/>
          <w:color w:val="000000" w:themeColor="text1"/>
          <w:sz w:val="22"/>
          <w:szCs w:val="22"/>
          <w:lang w:eastAsia="pl-PL"/>
        </w:rPr>
        <w:t xml:space="preserve">, przyjmowany doustnie (w dawce 123 mg co drugi dzień). </w:t>
      </w:r>
      <w:proofErr w:type="spellStart"/>
      <w:r w:rsidRPr="00AA22C4">
        <w:rPr>
          <w:rFonts w:ascii="Lato" w:eastAsia="Times New Roman" w:hAnsi="Lato" w:cs="Calibri"/>
          <w:color w:val="000000" w:themeColor="text1"/>
          <w:sz w:val="22"/>
          <w:szCs w:val="22"/>
          <w:lang w:eastAsia="pl-PL"/>
        </w:rPr>
        <w:t>Agalzydaza</w:t>
      </w:r>
      <w:proofErr w:type="spellEnd"/>
      <w:r w:rsidRPr="00AA22C4">
        <w:rPr>
          <w:rFonts w:ascii="Lato" w:eastAsia="Times New Roman" w:hAnsi="Lato" w:cs="Calibri"/>
          <w:color w:val="000000" w:themeColor="text1"/>
          <w:sz w:val="22"/>
          <w:szCs w:val="22"/>
          <w:lang w:eastAsia="pl-PL"/>
        </w:rPr>
        <w:t xml:space="preserve"> alfa i beta są dostępne dla pacjentów od 8</w:t>
      </w:r>
      <w:r w:rsidR="00B01154" w:rsidRPr="00AA22C4">
        <w:rPr>
          <w:rFonts w:ascii="Lato" w:eastAsia="Times New Roman" w:hAnsi="Lato" w:cs="Calibri"/>
          <w:color w:val="000000" w:themeColor="text1"/>
          <w:sz w:val="22"/>
          <w:szCs w:val="22"/>
          <w:lang w:eastAsia="pl-PL"/>
        </w:rPr>
        <w:t>.</w:t>
      </w:r>
      <w:r w:rsidRPr="00AA22C4">
        <w:rPr>
          <w:rFonts w:ascii="Lato" w:eastAsia="Times New Roman" w:hAnsi="Lato" w:cs="Calibri"/>
          <w:color w:val="000000" w:themeColor="text1"/>
          <w:sz w:val="22"/>
          <w:szCs w:val="22"/>
          <w:lang w:eastAsia="pl-PL"/>
        </w:rPr>
        <w:t xml:space="preserve"> roku życia, natomiast </w:t>
      </w:r>
      <w:proofErr w:type="spellStart"/>
      <w:r w:rsidRPr="00AA22C4">
        <w:rPr>
          <w:rFonts w:ascii="Lato" w:eastAsia="Times New Roman" w:hAnsi="Lato" w:cs="Calibri"/>
          <w:color w:val="000000" w:themeColor="text1"/>
          <w:sz w:val="22"/>
          <w:szCs w:val="22"/>
          <w:lang w:eastAsia="pl-PL"/>
        </w:rPr>
        <w:t>migalastat</w:t>
      </w:r>
      <w:proofErr w:type="spellEnd"/>
      <w:r w:rsidRPr="00AA22C4">
        <w:rPr>
          <w:rFonts w:ascii="Lato" w:eastAsia="Times New Roman" w:hAnsi="Lato" w:cs="Calibri"/>
          <w:color w:val="000000" w:themeColor="text1"/>
          <w:sz w:val="22"/>
          <w:szCs w:val="22"/>
          <w:lang w:eastAsia="pl-PL"/>
        </w:rPr>
        <w:t xml:space="preserve"> dla osób powyżej 16</w:t>
      </w:r>
      <w:r w:rsidR="00B01154" w:rsidRPr="00AA22C4">
        <w:rPr>
          <w:rFonts w:ascii="Lato" w:eastAsia="Times New Roman" w:hAnsi="Lato" w:cs="Calibri"/>
          <w:color w:val="000000" w:themeColor="text1"/>
          <w:sz w:val="22"/>
          <w:szCs w:val="22"/>
          <w:lang w:eastAsia="pl-PL"/>
        </w:rPr>
        <w:t>.</w:t>
      </w:r>
      <w:r w:rsidRPr="00AA22C4">
        <w:rPr>
          <w:rFonts w:ascii="Lato" w:eastAsia="Times New Roman" w:hAnsi="Lato" w:cs="Calibri"/>
          <w:color w:val="000000" w:themeColor="text1"/>
          <w:sz w:val="22"/>
          <w:szCs w:val="22"/>
          <w:lang w:eastAsia="pl-PL"/>
        </w:rPr>
        <w:t xml:space="preserve"> </w:t>
      </w:r>
      <w:r w:rsidR="00244C08" w:rsidRPr="00AA22C4">
        <w:rPr>
          <w:rFonts w:ascii="Lato" w:eastAsia="Times New Roman" w:hAnsi="Lato" w:cs="Calibri"/>
          <w:color w:val="000000" w:themeColor="text1"/>
          <w:sz w:val="22"/>
          <w:szCs w:val="22"/>
          <w:lang w:eastAsia="pl-PL"/>
        </w:rPr>
        <w:t>r.ż</w:t>
      </w:r>
      <w:r w:rsidRPr="00AA22C4">
        <w:rPr>
          <w:rFonts w:ascii="Lato" w:eastAsia="Times New Roman" w:hAnsi="Lato" w:cs="Calibri"/>
          <w:color w:val="000000" w:themeColor="text1"/>
          <w:sz w:val="22"/>
          <w:szCs w:val="22"/>
          <w:lang w:eastAsia="pl-PL"/>
        </w:rPr>
        <w:t>.</w:t>
      </w:r>
    </w:p>
    <w:p w14:paraId="60798310" w14:textId="77777777" w:rsidR="005E347E" w:rsidRPr="00AA22C4" w:rsidRDefault="005E347E" w:rsidP="009038E8">
      <w:pPr>
        <w:pStyle w:val="Akapitzlist"/>
        <w:widowControl/>
        <w:numPr>
          <w:ilvl w:val="0"/>
          <w:numId w:val="85"/>
        </w:numPr>
        <w:suppressAutoHyphens w:val="0"/>
        <w:spacing w:before="360" w:after="240" w:line="360" w:lineRule="auto"/>
        <w:ind w:left="714" w:hanging="357"/>
        <w:contextualSpacing w:val="0"/>
        <w:jc w:val="both"/>
        <w:rPr>
          <w:rFonts w:ascii="Lato" w:hAnsi="Lato" w:cs="Calibri"/>
          <w:b/>
          <w:color w:val="000000" w:themeColor="text1"/>
          <w:sz w:val="22"/>
          <w:szCs w:val="22"/>
        </w:rPr>
      </w:pPr>
      <w:r w:rsidRPr="00AA22C4">
        <w:rPr>
          <w:rFonts w:ascii="Lato" w:hAnsi="Lato" w:cs="Calibri"/>
          <w:b/>
          <w:color w:val="000000" w:themeColor="text1"/>
          <w:sz w:val="22"/>
          <w:szCs w:val="22"/>
        </w:rPr>
        <w:t xml:space="preserve">Choroba </w:t>
      </w:r>
      <w:proofErr w:type="spellStart"/>
      <w:r w:rsidRPr="00AA22C4">
        <w:rPr>
          <w:rFonts w:ascii="Lato" w:hAnsi="Lato" w:cs="Calibri"/>
          <w:b/>
          <w:color w:val="000000" w:themeColor="text1"/>
          <w:sz w:val="22"/>
          <w:szCs w:val="22"/>
        </w:rPr>
        <w:t>Gauchera</w:t>
      </w:r>
      <w:proofErr w:type="spellEnd"/>
      <w:r w:rsidRPr="00AA22C4">
        <w:rPr>
          <w:rFonts w:ascii="Lato" w:hAnsi="Lato" w:cs="Calibri"/>
          <w:b/>
          <w:color w:val="000000" w:themeColor="text1"/>
          <w:sz w:val="22"/>
          <w:szCs w:val="22"/>
        </w:rPr>
        <w:t xml:space="preserve"> - deficyt aktywności enzymu </w:t>
      </w:r>
      <w:proofErr w:type="spellStart"/>
      <w:r w:rsidRPr="00AA22C4">
        <w:rPr>
          <w:rFonts w:ascii="Lato" w:hAnsi="Lato" w:cs="Calibri"/>
          <w:b/>
          <w:color w:val="000000" w:themeColor="text1"/>
          <w:sz w:val="22"/>
          <w:szCs w:val="22"/>
        </w:rPr>
        <w:t>glukocerebrozydazy</w:t>
      </w:r>
      <w:proofErr w:type="spellEnd"/>
      <w:r w:rsidRPr="00AA22C4">
        <w:rPr>
          <w:rFonts w:ascii="Lato" w:hAnsi="Lato" w:cs="Calibri"/>
          <w:b/>
          <w:color w:val="000000" w:themeColor="text1"/>
          <w:sz w:val="22"/>
          <w:szCs w:val="22"/>
        </w:rPr>
        <w:t xml:space="preserve"> (GBA)</w:t>
      </w:r>
    </w:p>
    <w:p w14:paraId="30A5F0A7" w14:textId="77777777" w:rsidR="005E347E" w:rsidRPr="00AA22C4" w:rsidRDefault="005E347E" w:rsidP="005E347E">
      <w:pPr>
        <w:pStyle w:val="Akapitzlist"/>
        <w:spacing w:before="120" w:after="120" w:line="360" w:lineRule="auto"/>
        <w:ind w:left="360"/>
        <w:contextualSpacing w:val="0"/>
        <w:jc w:val="both"/>
        <w:rPr>
          <w:rFonts w:ascii="Lato" w:hAnsi="Lato" w:cs="Calibri"/>
          <w:color w:val="000000" w:themeColor="text1"/>
          <w:sz w:val="22"/>
          <w:szCs w:val="22"/>
          <w:u w:val="single"/>
        </w:rPr>
      </w:pPr>
      <w:r w:rsidRPr="00AA22C4">
        <w:rPr>
          <w:rFonts w:ascii="Lato" w:hAnsi="Lato" w:cs="Calibri"/>
          <w:color w:val="000000" w:themeColor="text1"/>
          <w:sz w:val="22"/>
          <w:szCs w:val="22"/>
          <w:u w:val="single"/>
        </w:rPr>
        <w:t>Opis:</w:t>
      </w:r>
    </w:p>
    <w:p w14:paraId="690E0976" w14:textId="77777777" w:rsidR="005E347E" w:rsidRPr="00AA22C4" w:rsidRDefault="005E347E" w:rsidP="005E347E">
      <w:pPr>
        <w:pStyle w:val="Akapitzlist"/>
        <w:spacing w:before="120" w:after="120" w:line="360" w:lineRule="auto"/>
        <w:ind w:left="357"/>
        <w:contextualSpacing w:val="0"/>
        <w:jc w:val="both"/>
        <w:rPr>
          <w:rFonts w:ascii="Lato" w:hAnsi="Lato" w:cs="Calibri"/>
          <w:color w:val="000000" w:themeColor="text1"/>
          <w:sz w:val="22"/>
          <w:szCs w:val="22"/>
        </w:rPr>
      </w:pPr>
      <w:r w:rsidRPr="00AA22C4">
        <w:rPr>
          <w:rFonts w:ascii="Lato" w:hAnsi="Lato" w:cs="Calibri"/>
          <w:color w:val="000000" w:themeColor="text1"/>
          <w:sz w:val="22"/>
          <w:szCs w:val="22"/>
        </w:rPr>
        <w:t xml:space="preserve">Choroba </w:t>
      </w:r>
      <w:proofErr w:type="spellStart"/>
      <w:r w:rsidRPr="00AA22C4">
        <w:rPr>
          <w:rFonts w:ascii="Lato" w:hAnsi="Lato" w:cs="Calibri"/>
          <w:color w:val="000000" w:themeColor="text1"/>
          <w:sz w:val="22"/>
          <w:szCs w:val="22"/>
        </w:rPr>
        <w:t>Gauchera</w:t>
      </w:r>
      <w:proofErr w:type="spellEnd"/>
      <w:r w:rsidRPr="00AA22C4">
        <w:rPr>
          <w:rFonts w:ascii="Lato" w:hAnsi="Lato" w:cs="Calibri"/>
          <w:color w:val="000000" w:themeColor="text1"/>
          <w:sz w:val="22"/>
          <w:szCs w:val="22"/>
        </w:rPr>
        <w:t xml:space="preserve"> to rzadkie schorzenie metaboliczne o podłożu genetycznym, spowodowane niedoborem enzymu </w:t>
      </w:r>
      <w:proofErr w:type="spellStart"/>
      <w:r w:rsidRPr="00AA22C4">
        <w:rPr>
          <w:rFonts w:ascii="Lato" w:hAnsi="Lato" w:cs="Calibri"/>
          <w:color w:val="000000" w:themeColor="text1"/>
          <w:sz w:val="22"/>
          <w:szCs w:val="22"/>
        </w:rPr>
        <w:t>glukocerebrozydazy</w:t>
      </w:r>
      <w:proofErr w:type="spellEnd"/>
      <w:r w:rsidRPr="00AA22C4">
        <w:rPr>
          <w:rFonts w:ascii="Lato" w:hAnsi="Lato" w:cs="Calibri"/>
          <w:color w:val="000000" w:themeColor="text1"/>
          <w:sz w:val="22"/>
          <w:szCs w:val="22"/>
        </w:rPr>
        <w:t xml:space="preserve">. Choroba dziedziczona jest w sposób autosomalny recesywny. Brak aktywności tego enzymu prowadzi do akumulacji </w:t>
      </w:r>
      <w:proofErr w:type="spellStart"/>
      <w:r w:rsidRPr="00AA22C4">
        <w:rPr>
          <w:rFonts w:ascii="Lato" w:hAnsi="Lato" w:cs="Calibri"/>
          <w:color w:val="000000" w:themeColor="text1"/>
          <w:sz w:val="22"/>
          <w:szCs w:val="22"/>
        </w:rPr>
        <w:t>glukocerebrozydów</w:t>
      </w:r>
      <w:proofErr w:type="spellEnd"/>
      <w:r w:rsidRPr="00AA22C4">
        <w:rPr>
          <w:rFonts w:ascii="Lato" w:hAnsi="Lato" w:cs="Calibri"/>
          <w:color w:val="000000" w:themeColor="text1"/>
          <w:sz w:val="22"/>
          <w:szCs w:val="22"/>
        </w:rPr>
        <w:t>, tłuszczowych substancji, w komórkach, co skutkuje ich uszkodzeniem. Istnieją trzy główne typy choroby, które różnią się nasileniem objawów i ich przebiegiem.</w:t>
      </w:r>
    </w:p>
    <w:p w14:paraId="5A8DE90E" w14:textId="77777777" w:rsidR="005E347E" w:rsidRPr="00AA22C4" w:rsidRDefault="005E347E" w:rsidP="005E347E">
      <w:pPr>
        <w:pStyle w:val="Akapitzlist"/>
        <w:spacing w:before="120" w:after="120" w:line="360" w:lineRule="auto"/>
        <w:ind w:left="360"/>
        <w:contextualSpacing w:val="0"/>
        <w:jc w:val="both"/>
        <w:rPr>
          <w:rFonts w:ascii="Lato" w:hAnsi="Lato" w:cs="Calibri"/>
          <w:color w:val="000000" w:themeColor="text1"/>
          <w:sz w:val="22"/>
          <w:szCs w:val="22"/>
          <w:u w:val="single"/>
        </w:rPr>
      </w:pPr>
      <w:r w:rsidRPr="00AA22C4">
        <w:rPr>
          <w:rFonts w:ascii="Lato" w:hAnsi="Lato" w:cs="Calibri"/>
          <w:color w:val="000000" w:themeColor="text1"/>
          <w:sz w:val="22"/>
          <w:szCs w:val="22"/>
          <w:u w:val="single"/>
        </w:rPr>
        <w:t>Objawy:</w:t>
      </w:r>
    </w:p>
    <w:p w14:paraId="11329B3A" w14:textId="77777777" w:rsidR="005E347E" w:rsidRPr="00AA22C4" w:rsidRDefault="005E347E" w:rsidP="005E347E">
      <w:pPr>
        <w:pStyle w:val="Akapitzlist"/>
        <w:spacing w:before="120" w:after="120" w:line="360" w:lineRule="auto"/>
        <w:ind w:left="360"/>
        <w:contextualSpacing w:val="0"/>
        <w:jc w:val="both"/>
        <w:rPr>
          <w:rFonts w:ascii="Lato" w:hAnsi="Lato" w:cs="Calibri"/>
          <w:color w:val="000000" w:themeColor="text1"/>
          <w:sz w:val="22"/>
          <w:szCs w:val="22"/>
        </w:rPr>
      </w:pPr>
      <w:r w:rsidRPr="00AA22C4">
        <w:rPr>
          <w:rFonts w:ascii="Lato" w:hAnsi="Lato" w:cs="Calibri"/>
          <w:b/>
          <w:color w:val="000000" w:themeColor="text1"/>
          <w:sz w:val="22"/>
          <w:szCs w:val="22"/>
        </w:rPr>
        <w:t>Typ I – klasyczna postać nieneuropatyczna</w:t>
      </w:r>
      <w:r w:rsidRPr="00AA22C4">
        <w:rPr>
          <w:rFonts w:ascii="Lato" w:hAnsi="Lato" w:cs="Calibri"/>
          <w:color w:val="000000" w:themeColor="text1"/>
          <w:sz w:val="22"/>
          <w:szCs w:val="22"/>
        </w:rPr>
        <w:t xml:space="preserve"> – jest najczęstszą formą choroby </w:t>
      </w:r>
      <w:proofErr w:type="spellStart"/>
      <w:r w:rsidRPr="00AA22C4">
        <w:rPr>
          <w:rFonts w:ascii="Lato" w:hAnsi="Lato" w:cs="Calibri"/>
          <w:color w:val="000000" w:themeColor="text1"/>
          <w:sz w:val="22"/>
          <w:szCs w:val="22"/>
        </w:rPr>
        <w:t>Gauchera</w:t>
      </w:r>
      <w:proofErr w:type="spellEnd"/>
      <w:r w:rsidRPr="00AA22C4">
        <w:rPr>
          <w:rFonts w:ascii="Lato" w:hAnsi="Lato" w:cs="Calibri"/>
          <w:color w:val="000000" w:themeColor="text1"/>
          <w:sz w:val="22"/>
          <w:szCs w:val="22"/>
        </w:rPr>
        <w:t>, stanowiącą 90% przypadków. Wiele osób z tym typem choroby doświadcza łagodnych objawów, które mogą pojawić się dopiero w wieku dorosłym, a u 20-25% pacjentów choroba przebiega bezobjawowo. Najczęstsze objawy to:</w:t>
      </w:r>
    </w:p>
    <w:p w14:paraId="5D79AB14" w14:textId="77777777" w:rsidR="005E347E" w:rsidRPr="00AA22C4" w:rsidRDefault="005E347E" w:rsidP="005E347E">
      <w:pPr>
        <w:pStyle w:val="Listanumerowana-dugitekst"/>
        <w:numPr>
          <w:ilvl w:val="0"/>
          <w:numId w:val="93"/>
        </w:numPr>
        <w:spacing w:after="120"/>
        <w:rPr>
          <w:rFonts w:ascii="Lato" w:hAnsi="Lato" w:cs="Calibri"/>
          <w:color w:val="000000" w:themeColor="text1"/>
          <w:sz w:val="22"/>
          <w:szCs w:val="22"/>
        </w:rPr>
      </w:pPr>
      <w:r w:rsidRPr="00AA22C4">
        <w:rPr>
          <w:rFonts w:ascii="Lato" w:hAnsi="Lato" w:cs="Calibri"/>
          <w:color w:val="000000" w:themeColor="text1"/>
          <w:sz w:val="22"/>
          <w:szCs w:val="22"/>
        </w:rPr>
        <w:t>powiększenie śledziony (splenomegalia) i wątroby (</w:t>
      </w:r>
      <w:proofErr w:type="spellStart"/>
      <w:r w:rsidRPr="00AA22C4">
        <w:rPr>
          <w:rFonts w:ascii="Lato" w:hAnsi="Lato" w:cs="Calibri"/>
          <w:color w:val="000000" w:themeColor="text1"/>
          <w:sz w:val="22"/>
          <w:szCs w:val="22"/>
        </w:rPr>
        <w:t>hepatomegalia</w:t>
      </w:r>
      <w:proofErr w:type="spellEnd"/>
      <w:r w:rsidRPr="00AA22C4">
        <w:rPr>
          <w:rFonts w:ascii="Lato" w:hAnsi="Lato" w:cs="Calibri"/>
          <w:color w:val="000000" w:themeColor="text1"/>
          <w:sz w:val="22"/>
          <w:szCs w:val="22"/>
        </w:rPr>
        <w:t>),</w:t>
      </w:r>
    </w:p>
    <w:p w14:paraId="1FA50226" w14:textId="77777777" w:rsidR="005E347E" w:rsidRPr="00AA22C4" w:rsidRDefault="005E347E" w:rsidP="005E347E">
      <w:pPr>
        <w:pStyle w:val="Listanumerowana-dugitekst"/>
        <w:numPr>
          <w:ilvl w:val="0"/>
          <w:numId w:val="93"/>
        </w:numPr>
        <w:spacing w:after="120"/>
        <w:rPr>
          <w:rFonts w:ascii="Lato" w:hAnsi="Lato" w:cs="Calibri"/>
          <w:color w:val="000000" w:themeColor="text1"/>
          <w:sz w:val="22"/>
          <w:szCs w:val="22"/>
        </w:rPr>
      </w:pPr>
      <w:r w:rsidRPr="00AA22C4">
        <w:rPr>
          <w:rFonts w:ascii="Lato" w:hAnsi="Lato" w:cs="Calibri"/>
          <w:color w:val="000000" w:themeColor="text1"/>
          <w:sz w:val="22"/>
          <w:szCs w:val="22"/>
        </w:rPr>
        <w:lastRenderedPageBreak/>
        <w:t>bolesne zmiany w układzie kostnym, w tym osłabienie kości, ból kości i patologiczne złamania,</w:t>
      </w:r>
    </w:p>
    <w:p w14:paraId="18502427" w14:textId="77777777" w:rsidR="005E347E" w:rsidRPr="00AA22C4" w:rsidRDefault="005E347E" w:rsidP="005E347E">
      <w:pPr>
        <w:pStyle w:val="Listanumerowana-dugitekst"/>
        <w:numPr>
          <w:ilvl w:val="0"/>
          <w:numId w:val="93"/>
        </w:numPr>
        <w:spacing w:after="120"/>
        <w:ind w:left="714" w:hanging="357"/>
        <w:rPr>
          <w:rFonts w:ascii="Lato" w:hAnsi="Lato" w:cs="Calibri"/>
          <w:color w:val="000000" w:themeColor="text1"/>
          <w:sz w:val="22"/>
          <w:szCs w:val="22"/>
        </w:rPr>
      </w:pPr>
      <w:r w:rsidRPr="00AA22C4">
        <w:rPr>
          <w:rFonts w:ascii="Lato" w:hAnsi="Lato" w:cs="Calibri"/>
          <w:color w:val="000000" w:themeColor="text1"/>
          <w:sz w:val="22"/>
          <w:szCs w:val="22"/>
        </w:rPr>
        <w:t>anemia prowadząca do przewlekłego zmęczenia,</w:t>
      </w:r>
    </w:p>
    <w:p w14:paraId="5587B66C" w14:textId="77777777" w:rsidR="005E347E" w:rsidRPr="00AA22C4" w:rsidRDefault="005E347E" w:rsidP="005E347E">
      <w:pPr>
        <w:pStyle w:val="Listanumerowana-dugitekst"/>
        <w:numPr>
          <w:ilvl w:val="0"/>
          <w:numId w:val="93"/>
        </w:numPr>
        <w:spacing w:after="120"/>
        <w:rPr>
          <w:rFonts w:ascii="Lato" w:hAnsi="Lato" w:cs="Calibri"/>
          <w:color w:val="000000" w:themeColor="text1"/>
          <w:sz w:val="22"/>
          <w:szCs w:val="22"/>
        </w:rPr>
      </w:pPr>
      <w:r w:rsidRPr="00AA22C4">
        <w:rPr>
          <w:rFonts w:ascii="Lato" w:hAnsi="Lato" w:cs="Calibri"/>
          <w:color w:val="000000" w:themeColor="text1"/>
          <w:sz w:val="22"/>
          <w:szCs w:val="22"/>
        </w:rPr>
        <w:t xml:space="preserve">małopłytkowość, objawiająca się wylewami podskórnymi i krwawieniami, </w:t>
      </w:r>
    </w:p>
    <w:p w14:paraId="526E274C" w14:textId="77777777" w:rsidR="005E347E" w:rsidRPr="00AA22C4" w:rsidRDefault="005E347E" w:rsidP="005E347E">
      <w:pPr>
        <w:pStyle w:val="Listanumerowana-dugitekst"/>
        <w:numPr>
          <w:ilvl w:val="0"/>
          <w:numId w:val="93"/>
        </w:numPr>
        <w:spacing w:after="120"/>
        <w:rPr>
          <w:rFonts w:ascii="Lato" w:hAnsi="Lato" w:cs="Calibri"/>
          <w:color w:val="000000" w:themeColor="text1"/>
          <w:sz w:val="22"/>
          <w:szCs w:val="22"/>
        </w:rPr>
      </w:pPr>
      <w:r w:rsidRPr="00AA22C4">
        <w:rPr>
          <w:rFonts w:ascii="Lato" w:hAnsi="Lato" w:cs="Calibri"/>
          <w:color w:val="000000" w:themeColor="text1"/>
          <w:sz w:val="22"/>
          <w:szCs w:val="22"/>
        </w:rPr>
        <w:t>brak pierwotnych zaburzeń w układzie nerwowym; mogą jednak występować wtórne objawy neurologiczne spowodowane uciskiem zmian w układzie kostnym na rdzeń kręgowy lub korzonki nerwowe,</w:t>
      </w:r>
    </w:p>
    <w:p w14:paraId="66E6752F" w14:textId="77777777" w:rsidR="005E347E" w:rsidRPr="00AA22C4" w:rsidRDefault="005E347E" w:rsidP="005E347E">
      <w:pPr>
        <w:pStyle w:val="Listanumerowana-dugitekst"/>
        <w:numPr>
          <w:ilvl w:val="0"/>
          <w:numId w:val="93"/>
        </w:numPr>
        <w:spacing w:after="120"/>
        <w:rPr>
          <w:rFonts w:ascii="Lato" w:hAnsi="Lato" w:cs="Calibri"/>
          <w:color w:val="000000" w:themeColor="text1"/>
          <w:sz w:val="22"/>
          <w:szCs w:val="22"/>
        </w:rPr>
      </w:pPr>
      <w:r w:rsidRPr="00AA22C4">
        <w:rPr>
          <w:rFonts w:ascii="Lato" w:hAnsi="Lato" w:cs="Calibri"/>
          <w:color w:val="000000" w:themeColor="text1"/>
          <w:sz w:val="22"/>
          <w:szCs w:val="22"/>
        </w:rPr>
        <w:t>niedobór wzrostu i masy ciała u dzieci oraz opóźnienie dojrzewania.</w:t>
      </w:r>
    </w:p>
    <w:p w14:paraId="322A7F77" w14:textId="77777777" w:rsidR="005E347E" w:rsidRPr="00AA22C4" w:rsidRDefault="005E347E" w:rsidP="005E347E">
      <w:pPr>
        <w:spacing w:before="120" w:after="120"/>
        <w:ind w:left="360"/>
        <w:jc w:val="both"/>
        <w:rPr>
          <w:rFonts w:ascii="Lato" w:hAnsi="Lato" w:cs="Calibri"/>
          <w:color w:val="000000" w:themeColor="text1"/>
          <w:sz w:val="22"/>
          <w:szCs w:val="22"/>
        </w:rPr>
      </w:pPr>
      <w:r w:rsidRPr="00AA22C4">
        <w:rPr>
          <w:rFonts w:ascii="Lato" w:hAnsi="Lato" w:cs="Calibri"/>
          <w:b/>
          <w:color w:val="000000" w:themeColor="text1"/>
          <w:sz w:val="22"/>
          <w:szCs w:val="22"/>
        </w:rPr>
        <w:t>Typ II – ostra forma neuropatyczna (dziecięca)</w:t>
      </w:r>
      <w:r w:rsidRPr="00AA22C4">
        <w:rPr>
          <w:rFonts w:ascii="Lato" w:hAnsi="Lato" w:cs="Calibri"/>
          <w:color w:val="000000" w:themeColor="text1"/>
          <w:sz w:val="22"/>
          <w:szCs w:val="22"/>
        </w:rPr>
        <w:t xml:space="preserve"> to najrzadsza i najbardziej agresywna postać choroby </w:t>
      </w:r>
      <w:proofErr w:type="spellStart"/>
      <w:r w:rsidRPr="00AA22C4">
        <w:rPr>
          <w:rFonts w:ascii="Lato" w:hAnsi="Lato" w:cs="Calibri"/>
          <w:color w:val="000000" w:themeColor="text1"/>
          <w:sz w:val="22"/>
          <w:szCs w:val="22"/>
        </w:rPr>
        <w:t>Gauchera</w:t>
      </w:r>
      <w:proofErr w:type="spellEnd"/>
      <w:r w:rsidRPr="00AA22C4">
        <w:rPr>
          <w:rFonts w:ascii="Lato" w:hAnsi="Lato" w:cs="Calibri"/>
          <w:color w:val="000000" w:themeColor="text1"/>
          <w:sz w:val="22"/>
          <w:szCs w:val="22"/>
        </w:rPr>
        <w:t>, występująca u mniej niż 1% pacjentów. Objawy pojawiają się w pierwszych miesiącach życia, a choroba postępuje bardzo szybko, zwykle prowadząc do zgonu w ciągu kilku lat. Główne objawy to:</w:t>
      </w:r>
    </w:p>
    <w:p w14:paraId="2368C795" w14:textId="10A049C6" w:rsidR="005E347E" w:rsidRPr="00AA22C4" w:rsidRDefault="005E347E" w:rsidP="005E347E">
      <w:pPr>
        <w:pStyle w:val="Listapunktowana2-dugitekst"/>
        <w:numPr>
          <w:ilvl w:val="1"/>
          <w:numId w:val="94"/>
        </w:numPr>
        <w:spacing w:before="120" w:after="120"/>
        <w:rPr>
          <w:rFonts w:ascii="Lato" w:hAnsi="Lato" w:cs="Calibri"/>
          <w:color w:val="000000" w:themeColor="text1"/>
          <w:sz w:val="22"/>
          <w:szCs w:val="22"/>
        </w:rPr>
      </w:pPr>
      <w:r w:rsidRPr="00AA22C4">
        <w:rPr>
          <w:rFonts w:ascii="Lato" w:hAnsi="Lato" w:cs="Calibri"/>
          <w:color w:val="000000" w:themeColor="text1"/>
          <w:sz w:val="22"/>
          <w:szCs w:val="22"/>
        </w:rPr>
        <w:t>ciężkie zaburzenia neurologiczne w tym spastyczność, konwulsje, sztywność kończyn, szczękościsk oraz opóźnienie rozwoju psychoruchowego</w:t>
      </w:r>
      <w:r w:rsidR="00AD1A7B" w:rsidRPr="00AA22C4">
        <w:rPr>
          <w:rFonts w:ascii="Lato" w:hAnsi="Lato" w:cs="Calibri"/>
          <w:color w:val="000000" w:themeColor="text1"/>
          <w:sz w:val="22"/>
          <w:szCs w:val="22"/>
        </w:rPr>
        <w:t>,</w:t>
      </w:r>
    </w:p>
    <w:p w14:paraId="05BD6052" w14:textId="77777777" w:rsidR="005E347E" w:rsidRPr="00AA22C4" w:rsidRDefault="005E347E" w:rsidP="005E347E">
      <w:pPr>
        <w:pStyle w:val="Listapunktowana2-dugitekst"/>
        <w:numPr>
          <w:ilvl w:val="1"/>
          <w:numId w:val="94"/>
        </w:numPr>
        <w:spacing w:before="120" w:after="120" w:line="276" w:lineRule="auto"/>
        <w:rPr>
          <w:rFonts w:ascii="Lato" w:hAnsi="Lato" w:cs="Calibri"/>
          <w:color w:val="000000" w:themeColor="text1"/>
          <w:sz w:val="22"/>
          <w:szCs w:val="22"/>
        </w:rPr>
      </w:pPr>
      <w:r w:rsidRPr="00AA22C4">
        <w:rPr>
          <w:rFonts w:ascii="Lato" w:hAnsi="Lato" w:cs="Calibri"/>
          <w:color w:val="000000" w:themeColor="text1"/>
          <w:sz w:val="22"/>
          <w:szCs w:val="22"/>
        </w:rPr>
        <w:t xml:space="preserve">trudności ze ssaniem i połykaniem, </w:t>
      </w:r>
    </w:p>
    <w:p w14:paraId="4D24DE50" w14:textId="77777777" w:rsidR="005E347E" w:rsidRPr="00AA22C4" w:rsidRDefault="005E347E" w:rsidP="005E347E">
      <w:pPr>
        <w:pStyle w:val="Listapunktowana2-dugitekst"/>
        <w:numPr>
          <w:ilvl w:val="1"/>
          <w:numId w:val="94"/>
        </w:numPr>
        <w:spacing w:before="120" w:after="120" w:line="276" w:lineRule="auto"/>
        <w:rPr>
          <w:rFonts w:ascii="Lato" w:hAnsi="Lato" w:cs="Calibri"/>
          <w:color w:val="000000" w:themeColor="text1"/>
          <w:sz w:val="22"/>
          <w:szCs w:val="22"/>
        </w:rPr>
      </w:pPr>
      <w:r w:rsidRPr="00AA22C4">
        <w:rPr>
          <w:rFonts w:ascii="Lato" w:hAnsi="Lato" w:cs="Calibri"/>
          <w:color w:val="000000" w:themeColor="text1"/>
          <w:sz w:val="22"/>
          <w:szCs w:val="22"/>
        </w:rPr>
        <w:t>bezdech, nieprawidłowości w ruchach gałek ocznych,</w:t>
      </w:r>
    </w:p>
    <w:p w14:paraId="1A718991" w14:textId="77777777" w:rsidR="005E347E" w:rsidRPr="00AA22C4" w:rsidRDefault="005E347E" w:rsidP="005E347E">
      <w:pPr>
        <w:pStyle w:val="Listapunktowana2-dugitekst"/>
        <w:numPr>
          <w:ilvl w:val="1"/>
          <w:numId w:val="94"/>
        </w:numPr>
        <w:spacing w:before="120" w:after="120" w:line="276" w:lineRule="auto"/>
        <w:rPr>
          <w:rFonts w:ascii="Lato" w:hAnsi="Lato" w:cs="Calibri"/>
          <w:color w:val="000000" w:themeColor="text1"/>
          <w:sz w:val="22"/>
          <w:szCs w:val="22"/>
        </w:rPr>
      </w:pPr>
      <w:r w:rsidRPr="00AA22C4">
        <w:rPr>
          <w:rFonts w:ascii="Lato" w:hAnsi="Lato" w:cs="Calibri"/>
          <w:color w:val="000000" w:themeColor="text1"/>
          <w:sz w:val="22"/>
          <w:szCs w:val="22"/>
        </w:rPr>
        <w:t>powiększenie narządów, głównie wątroby, śledziony oraz płuc,</w:t>
      </w:r>
    </w:p>
    <w:p w14:paraId="10B745BD" w14:textId="466237FC" w:rsidR="005E347E" w:rsidRPr="00AA22C4" w:rsidRDefault="005E347E" w:rsidP="005E347E">
      <w:pPr>
        <w:pStyle w:val="Listapunktowana2-dugitekst"/>
        <w:numPr>
          <w:ilvl w:val="1"/>
          <w:numId w:val="94"/>
        </w:numPr>
        <w:spacing w:before="120" w:after="120" w:line="276" w:lineRule="auto"/>
        <w:rPr>
          <w:rFonts w:ascii="Lato" w:hAnsi="Lato" w:cs="Calibri"/>
          <w:color w:val="000000" w:themeColor="text1"/>
          <w:sz w:val="22"/>
          <w:szCs w:val="22"/>
        </w:rPr>
      </w:pPr>
      <w:r w:rsidRPr="00AA22C4">
        <w:rPr>
          <w:rFonts w:ascii="Lato" w:hAnsi="Lato" w:cs="Calibri"/>
          <w:color w:val="000000" w:themeColor="text1"/>
          <w:sz w:val="22"/>
          <w:szCs w:val="22"/>
        </w:rPr>
        <w:t>zgrubienie naskórka przypominające błonę kolodionową, rybia łuska.</w:t>
      </w:r>
    </w:p>
    <w:p w14:paraId="61FB10C4" w14:textId="77777777" w:rsidR="005E347E" w:rsidRPr="00AA22C4" w:rsidRDefault="005E347E" w:rsidP="009038E8">
      <w:pPr>
        <w:spacing w:before="240" w:after="120"/>
        <w:ind w:left="357"/>
        <w:jc w:val="both"/>
        <w:rPr>
          <w:rFonts w:ascii="Lato" w:hAnsi="Lato" w:cs="Calibri"/>
          <w:color w:val="000000" w:themeColor="text1"/>
          <w:sz w:val="22"/>
          <w:szCs w:val="22"/>
        </w:rPr>
      </w:pPr>
      <w:r w:rsidRPr="00AA22C4">
        <w:rPr>
          <w:rFonts w:ascii="Lato" w:hAnsi="Lato" w:cs="Calibri"/>
          <w:b/>
          <w:color w:val="000000" w:themeColor="text1"/>
          <w:sz w:val="22"/>
          <w:szCs w:val="22"/>
        </w:rPr>
        <w:t xml:space="preserve">Typ III choroby </w:t>
      </w:r>
      <w:proofErr w:type="spellStart"/>
      <w:r w:rsidRPr="00AA22C4">
        <w:rPr>
          <w:rFonts w:ascii="Lato" w:hAnsi="Lato" w:cs="Calibri"/>
          <w:b/>
          <w:color w:val="000000" w:themeColor="text1"/>
          <w:sz w:val="22"/>
          <w:szCs w:val="22"/>
        </w:rPr>
        <w:t>Gauchera</w:t>
      </w:r>
      <w:proofErr w:type="spellEnd"/>
      <w:r w:rsidRPr="00AA22C4">
        <w:rPr>
          <w:rFonts w:ascii="Lato" w:hAnsi="Lato" w:cs="Calibri"/>
          <w:color w:val="000000" w:themeColor="text1"/>
          <w:sz w:val="22"/>
          <w:szCs w:val="22"/>
        </w:rPr>
        <w:t>, znany również jako przewlekła forma neuropatyczna (młodzieńcza, podostra), stanowi formę pośrednią między typem 1 (niezajmującym układu nerwowego) a typem 2 (ostrym neuropatycznym typem niemowlęcym). Objawy neurologiczne w tej formie rozwijają się wolniej w porównaniu z typem 2, ale są bardziej zaawansowane niż w typie 1. Charakterystyczne objawy obejmują:</w:t>
      </w:r>
    </w:p>
    <w:p w14:paraId="77BF1660" w14:textId="77777777" w:rsidR="005E347E" w:rsidRPr="00AA22C4" w:rsidRDefault="005E347E" w:rsidP="005E347E">
      <w:pPr>
        <w:widowControl/>
        <w:numPr>
          <w:ilvl w:val="0"/>
          <w:numId w:val="95"/>
        </w:numPr>
        <w:spacing w:before="120" w:after="120"/>
        <w:ind w:left="697" w:hanging="357"/>
        <w:jc w:val="both"/>
        <w:rPr>
          <w:rFonts w:ascii="Lato" w:hAnsi="Lato" w:cs="Calibri"/>
          <w:color w:val="000000" w:themeColor="text1"/>
          <w:sz w:val="22"/>
          <w:szCs w:val="22"/>
        </w:rPr>
      </w:pPr>
      <w:r w:rsidRPr="00AA22C4">
        <w:rPr>
          <w:rFonts w:ascii="Lato" w:hAnsi="Lato" w:cs="Calibri"/>
          <w:bCs/>
          <w:color w:val="000000" w:themeColor="text1"/>
          <w:sz w:val="22"/>
          <w:szCs w:val="22"/>
        </w:rPr>
        <w:t>zaburzenia ruchowe -</w:t>
      </w:r>
      <w:r w:rsidRPr="00AA22C4">
        <w:rPr>
          <w:rFonts w:ascii="Lato" w:hAnsi="Lato" w:cs="Calibri"/>
          <w:color w:val="000000" w:themeColor="text1"/>
          <w:sz w:val="22"/>
          <w:szCs w:val="22"/>
        </w:rPr>
        <w:t xml:space="preserve"> mogą występować ruchy mimowolne, takie jak drżenia, dystonia (niekontrolowane skurcze mięśni) oraz ataksja (brak koordynacji ruchowej),</w:t>
      </w:r>
    </w:p>
    <w:p w14:paraId="78CA65A5" w14:textId="77777777" w:rsidR="005E347E" w:rsidRPr="00AA22C4" w:rsidRDefault="005E347E" w:rsidP="005E347E">
      <w:pPr>
        <w:widowControl/>
        <w:numPr>
          <w:ilvl w:val="0"/>
          <w:numId w:val="95"/>
        </w:numPr>
        <w:spacing w:before="120" w:after="120"/>
        <w:ind w:left="697" w:hanging="357"/>
        <w:jc w:val="both"/>
        <w:rPr>
          <w:rFonts w:ascii="Lato" w:hAnsi="Lato" w:cs="Calibri"/>
          <w:color w:val="000000" w:themeColor="text1"/>
          <w:sz w:val="22"/>
          <w:szCs w:val="22"/>
        </w:rPr>
      </w:pPr>
      <w:r w:rsidRPr="00AA22C4">
        <w:rPr>
          <w:rFonts w:ascii="Lato" w:hAnsi="Lato" w:cs="Calibri"/>
          <w:bCs/>
          <w:color w:val="000000" w:themeColor="text1"/>
          <w:sz w:val="22"/>
          <w:szCs w:val="22"/>
        </w:rPr>
        <w:t xml:space="preserve">zaburzenia okoruchowe </w:t>
      </w:r>
      <w:r w:rsidRPr="00AA22C4">
        <w:rPr>
          <w:rFonts w:ascii="Lato" w:hAnsi="Lato" w:cs="Calibri"/>
          <w:color w:val="000000" w:themeColor="text1"/>
          <w:sz w:val="22"/>
          <w:szCs w:val="22"/>
        </w:rPr>
        <w:t>- typowym objawem jest porażenie spojrzenia w płaszczyźnie poziomej, co utrudnia poruszanie gałkami ocznymi na boki,</w:t>
      </w:r>
    </w:p>
    <w:p w14:paraId="07AA660D" w14:textId="77777777" w:rsidR="005E347E" w:rsidRPr="00AA22C4" w:rsidRDefault="005E347E" w:rsidP="005E347E">
      <w:pPr>
        <w:widowControl/>
        <w:numPr>
          <w:ilvl w:val="0"/>
          <w:numId w:val="95"/>
        </w:numPr>
        <w:spacing w:before="120" w:after="120"/>
        <w:ind w:left="697" w:hanging="357"/>
        <w:jc w:val="both"/>
        <w:rPr>
          <w:rFonts w:ascii="Lato" w:hAnsi="Lato" w:cs="Calibri"/>
          <w:color w:val="000000" w:themeColor="text1"/>
          <w:sz w:val="22"/>
          <w:szCs w:val="22"/>
        </w:rPr>
      </w:pPr>
      <w:r w:rsidRPr="00AA22C4">
        <w:rPr>
          <w:rFonts w:ascii="Lato" w:hAnsi="Lato" w:cs="Calibri"/>
          <w:bCs/>
          <w:color w:val="000000" w:themeColor="text1"/>
          <w:sz w:val="22"/>
          <w:szCs w:val="22"/>
        </w:rPr>
        <w:t>napady padaczkowe -</w:t>
      </w:r>
      <w:r w:rsidRPr="00AA22C4">
        <w:rPr>
          <w:rFonts w:ascii="Lato" w:hAnsi="Lato" w:cs="Calibri"/>
          <w:color w:val="000000" w:themeColor="text1"/>
          <w:sz w:val="22"/>
          <w:szCs w:val="22"/>
        </w:rPr>
        <w:t xml:space="preserve"> mogą wystąpić u niektórych pacjentów, często w postaci mioklonicznej epilepsji,</w:t>
      </w:r>
    </w:p>
    <w:p w14:paraId="2F19C4FC" w14:textId="77777777" w:rsidR="005E347E" w:rsidRPr="00AA22C4" w:rsidRDefault="005E347E" w:rsidP="005E347E">
      <w:pPr>
        <w:widowControl/>
        <w:numPr>
          <w:ilvl w:val="0"/>
          <w:numId w:val="95"/>
        </w:numPr>
        <w:spacing w:before="120" w:after="120"/>
        <w:ind w:left="697" w:hanging="357"/>
        <w:jc w:val="both"/>
        <w:rPr>
          <w:rFonts w:ascii="Lato" w:hAnsi="Lato" w:cs="Calibri"/>
          <w:color w:val="000000" w:themeColor="text1"/>
          <w:sz w:val="22"/>
          <w:szCs w:val="22"/>
        </w:rPr>
      </w:pPr>
      <w:r w:rsidRPr="00AA22C4">
        <w:rPr>
          <w:rFonts w:ascii="Lato" w:hAnsi="Lato" w:cs="Calibri"/>
          <w:bCs/>
          <w:color w:val="000000" w:themeColor="text1"/>
          <w:sz w:val="22"/>
          <w:szCs w:val="22"/>
        </w:rPr>
        <w:t>zaburzenia poznawcze -</w:t>
      </w:r>
      <w:r w:rsidRPr="00AA22C4">
        <w:rPr>
          <w:rFonts w:ascii="Lato" w:hAnsi="Lato" w:cs="Calibri"/>
          <w:color w:val="000000" w:themeColor="text1"/>
          <w:sz w:val="22"/>
          <w:szCs w:val="22"/>
        </w:rPr>
        <w:t xml:space="preserve"> chorzy mogą doświadczać trudności w nauce, upośledzenia funkcji poznawczych oraz spadku zdolności intelektualnych,</w:t>
      </w:r>
    </w:p>
    <w:p w14:paraId="0AA6BD3C" w14:textId="77777777" w:rsidR="005E347E" w:rsidRPr="00AA22C4" w:rsidRDefault="005E347E" w:rsidP="005E347E">
      <w:pPr>
        <w:widowControl/>
        <w:numPr>
          <w:ilvl w:val="0"/>
          <w:numId w:val="95"/>
        </w:numPr>
        <w:spacing w:before="120" w:after="120"/>
        <w:ind w:left="697" w:hanging="357"/>
        <w:jc w:val="both"/>
        <w:rPr>
          <w:rFonts w:ascii="Lato" w:hAnsi="Lato" w:cs="Calibri"/>
          <w:color w:val="000000" w:themeColor="text1"/>
          <w:sz w:val="22"/>
          <w:szCs w:val="22"/>
        </w:rPr>
      </w:pPr>
      <w:r w:rsidRPr="00AA22C4">
        <w:rPr>
          <w:rFonts w:ascii="Lato" w:hAnsi="Lato" w:cs="Calibri"/>
          <w:bCs/>
          <w:color w:val="000000" w:themeColor="text1"/>
          <w:sz w:val="22"/>
          <w:szCs w:val="22"/>
        </w:rPr>
        <w:lastRenderedPageBreak/>
        <w:t>zaburzenia słuchu -</w:t>
      </w:r>
      <w:r w:rsidRPr="00AA22C4">
        <w:rPr>
          <w:rFonts w:ascii="Lato" w:hAnsi="Lato" w:cs="Calibri"/>
          <w:color w:val="000000" w:themeColor="text1"/>
          <w:sz w:val="22"/>
          <w:szCs w:val="22"/>
        </w:rPr>
        <w:t xml:space="preserve"> możliwa jest stopniowa utrata słuchu związana z neuropatią czuciową,</w:t>
      </w:r>
    </w:p>
    <w:p w14:paraId="39B6576D" w14:textId="77777777" w:rsidR="005E347E" w:rsidRPr="00AA22C4" w:rsidRDefault="005E347E" w:rsidP="005E347E">
      <w:pPr>
        <w:widowControl/>
        <w:numPr>
          <w:ilvl w:val="0"/>
          <w:numId w:val="95"/>
        </w:numPr>
        <w:spacing w:before="120" w:after="120"/>
        <w:ind w:left="697" w:hanging="357"/>
        <w:jc w:val="both"/>
        <w:rPr>
          <w:rFonts w:ascii="Lato" w:hAnsi="Lato" w:cs="Calibri"/>
          <w:bCs/>
          <w:color w:val="000000" w:themeColor="text1"/>
          <w:sz w:val="22"/>
          <w:szCs w:val="22"/>
        </w:rPr>
      </w:pPr>
      <w:r w:rsidRPr="00AA22C4">
        <w:rPr>
          <w:rFonts w:ascii="Lato" w:hAnsi="Lato" w:cs="Calibri"/>
          <w:bCs/>
          <w:color w:val="000000" w:themeColor="text1"/>
          <w:sz w:val="22"/>
          <w:szCs w:val="22"/>
        </w:rPr>
        <w:t>zmiany kostne</w:t>
      </w:r>
      <w:r w:rsidRPr="00AA22C4">
        <w:rPr>
          <w:rFonts w:ascii="Lato" w:hAnsi="Lato" w:cs="Calibri"/>
          <w:color w:val="000000" w:themeColor="text1"/>
          <w:sz w:val="22"/>
          <w:szCs w:val="22"/>
        </w:rPr>
        <w:t xml:space="preserve"> – obejmują bóle kostne, osteopenię, a także patologiczne złamania spowodowane zmniejszoną gęstością kości,</w:t>
      </w:r>
      <w:r w:rsidRPr="00AA22C4">
        <w:rPr>
          <w:rFonts w:ascii="Lato" w:hAnsi="Lato" w:cs="Calibri"/>
          <w:bCs/>
          <w:color w:val="000000" w:themeColor="text1"/>
          <w:sz w:val="22"/>
          <w:szCs w:val="22"/>
        </w:rPr>
        <w:t xml:space="preserve"> </w:t>
      </w:r>
    </w:p>
    <w:p w14:paraId="2344C605" w14:textId="77777777" w:rsidR="005E347E" w:rsidRPr="00AA22C4" w:rsidRDefault="005E347E" w:rsidP="005E347E">
      <w:pPr>
        <w:widowControl/>
        <w:numPr>
          <w:ilvl w:val="0"/>
          <w:numId w:val="95"/>
        </w:numPr>
        <w:spacing w:before="120" w:after="120"/>
        <w:ind w:left="697" w:hanging="357"/>
        <w:jc w:val="both"/>
        <w:rPr>
          <w:rFonts w:ascii="Lato" w:hAnsi="Lato" w:cs="Calibri"/>
          <w:color w:val="000000" w:themeColor="text1"/>
          <w:sz w:val="22"/>
          <w:szCs w:val="22"/>
        </w:rPr>
      </w:pPr>
      <w:r w:rsidRPr="00AA22C4">
        <w:rPr>
          <w:rFonts w:ascii="Lato" w:hAnsi="Lato" w:cs="Calibri"/>
          <w:bCs/>
          <w:color w:val="000000" w:themeColor="text1"/>
          <w:sz w:val="22"/>
          <w:szCs w:val="22"/>
        </w:rPr>
        <w:t>powiększenie śledziony (splenomegalia) i wątroby (</w:t>
      </w:r>
      <w:proofErr w:type="spellStart"/>
      <w:r w:rsidRPr="00AA22C4">
        <w:rPr>
          <w:rFonts w:ascii="Lato" w:hAnsi="Lato" w:cs="Calibri"/>
          <w:bCs/>
          <w:color w:val="000000" w:themeColor="text1"/>
          <w:sz w:val="22"/>
          <w:szCs w:val="22"/>
        </w:rPr>
        <w:t>hepatomegalia</w:t>
      </w:r>
      <w:proofErr w:type="spellEnd"/>
      <w:r w:rsidRPr="00AA22C4">
        <w:rPr>
          <w:rFonts w:ascii="Lato" w:hAnsi="Lato" w:cs="Calibri"/>
          <w:bCs/>
          <w:color w:val="000000" w:themeColor="text1"/>
          <w:sz w:val="22"/>
          <w:szCs w:val="22"/>
        </w:rPr>
        <w:t>),</w:t>
      </w:r>
    </w:p>
    <w:p w14:paraId="206D63FE" w14:textId="77777777" w:rsidR="005E347E" w:rsidRPr="00AA22C4" w:rsidRDefault="005E347E" w:rsidP="005E347E">
      <w:pPr>
        <w:widowControl/>
        <w:numPr>
          <w:ilvl w:val="0"/>
          <w:numId w:val="95"/>
        </w:numPr>
        <w:spacing w:before="120" w:after="120"/>
        <w:ind w:left="697" w:hanging="357"/>
        <w:jc w:val="both"/>
        <w:rPr>
          <w:rFonts w:ascii="Lato" w:hAnsi="Lato" w:cs="Calibri"/>
          <w:color w:val="000000" w:themeColor="text1"/>
          <w:sz w:val="22"/>
          <w:szCs w:val="22"/>
        </w:rPr>
      </w:pPr>
      <w:r w:rsidRPr="00AA22C4">
        <w:rPr>
          <w:rFonts w:ascii="Lato" w:hAnsi="Lato" w:cs="Calibri"/>
          <w:bCs/>
          <w:color w:val="000000" w:themeColor="text1"/>
          <w:sz w:val="22"/>
          <w:szCs w:val="22"/>
        </w:rPr>
        <w:t>zmęczenie i osłabienie</w:t>
      </w:r>
      <w:r w:rsidRPr="00AA22C4">
        <w:rPr>
          <w:rFonts w:ascii="Lato" w:hAnsi="Lato" w:cs="Calibri"/>
          <w:color w:val="000000" w:themeColor="text1"/>
          <w:sz w:val="22"/>
          <w:szCs w:val="22"/>
        </w:rPr>
        <w:t xml:space="preserve"> - często związane z anemią i ogólnym obciążeniem chorobą.</w:t>
      </w:r>
    </w:p>
    <w:p w14:paraId="1FA1C744" w14:textId="77777777" w:rsidR="005E347E" w:rsidRPr="00AA22C4" w:rsidRDefault="005E347E" w:rsidP="005E347E">
      <w:pPr>
        <w:spacing w:before="120" w:after="120"/>
        <w:ind w:left="340"/>
        <w:jc w:val="both"/>
        <w:rPr>
          <w:rFonts w:ascii="Lato" w:hAnsi="Lato" w:cs="Calibri"/>
          <w:color w:val="000000" w:themeColor="text1"/>
          <w:sz w:val="22"/>
          <w:szCs w:val="22"/>
          <w:u w:val="single"/>
        </w:rPr>
      </w:pPr>
      <w:r w:rsidRPr="00AA22C4">
        <w:rPr>
          <w:rFonts w:ascii="Lato" w:hAnsi="Lato" w:cs="Calibri"/>
          <w:color w:val="000000" w:themeColor="text1"/>
          <w:sz w:val="22"/>
          <w:szCs w:val="22"/>
          <w:u w:val="single"/>
        </w:rPr>
        <w:t>Diagnostyka:</w:t>
      </w:r>
    </w:p>
    <w:p w14:paraId="1C6633D4" w14:textId="77777777" w:rsidR="005E347E" w:rsidRPr="00AA22C4" w:rsidRDefault="005E347E" w:rsidP="009038E8">
      <w:pPr>
        <w:pStyle w:val="Akapitzlist"/>
        <w:widowControl/>
        <w:numPr>
          <w:ilvl w:val="0"/>
          <w:numId w:val="100"/>
        </w:numPr>
        <w:spacing w:before="120" w:after="120" w:line="360" w:lineRule="auto"/>
        <w:contextualSpacing w:val="0"/>
        <w:jc w:val="both"/>
        <w:rPr>
          <w:rFonts w:ascii="Lato" w:hAnsi="Lato"/>
          <w:color w:val="000000" w:themeColor="text1"/>
          <w:sz w:val="22"/>
          <w:szCs w:val="22"/>
        </w:rPr>
      </w:pPr>
      <w:r w:rsidRPr="00AA22C4">
        <w:rPr>
          <w:rFonts w:ascii="Lato" w:hAnsi="Lato"/>
          <w:color w:val="000000" w:themeColor="text1"/>
          <w:sz w:val="22"/>
          <w:szCs w:val="22"/>
        </w:rPr>
        <w:t xml:space="preserve">badanie przesiewowe - oznaczenie aktywności </w:t>
      </w:r>
      <w:proofErr w:type="spellStart"/>
      <w:r w:rsidRPr="00AA22C4">
        <w:rPr>
          <w:rFonts w:ascii="Lato" w:hAnsi="Lato"/>
          <w:color w:val="000000" w:themeColor="text1"/>
          <w:sz w:val="22"/>
          <w:szCs w:val="22"/>
        </w:rPr>
        <w:t>glukocerebrozydazy</w:t>
      </w:r>
      <w:proofErr w:type="spellEnd"/>
      <w:r w:rsidRPr="00AA22C4">
        <w:rPr>
          <w:rFonts w:ascii="Lato" w:hAnsi="Lato"/>
          <w:color w:val="000000" w:themeColor="text1"/>
          <w:sz w:val="22"/>
          <w:szCs w:val="22"/>
        </w:rPr>
        <w:t xml:space="preserve"> w suchej kropli krwi, ze względu na ryzyko otrzymania wyniku fałszywie dodatniego badanie to należy zawsze potwierdzić w innym typie próbki lub badaniem molekularnym,</w:t>
      </w:r>
    </w:p>
    <w:p w14:paraId="17DF015E" w14:textId="77777777" w:rsidR="005E347E" w:rsidRPr="00AA22C4" w:rsidRDefault="005E347E" w:rsidP="009038E8">
      <w:pPr>
        <w:pStyle w:val="Akapitzlist"/>
        <w:numPr>
          <w:ilvl w:val="0"/>
          <w:numId w:val="100"/>
        </w:numPr>
        <w:spacing w:before="120" w:after="120" w:line="276" w:lineRule="auto"/>
        <w:contextualSpacing w:val="0"/>
        <w:jc w:val="both"/>
        <w:rPr>
          <w:rStyle w:val="rynqvb"/>
          <w:rFonts w:ascii="Lato" w:hAnsi="Lato"/>
          <w:color w:val="000000" w:themeColor="text1"/>
          <w:sz w:val="22"/>
          <w:szCs w:val="22"/>
        </w:rPr>
      </w:pPr>
      <w:r w:rsidRPr="00AA22C4">
        <w:rPr>
          <w:rStyle w:val="rynqvb"/>
          <w:rFonts w:ascii="Lato" w:hAnsi="Lato"/>
          <w:color w:val="000000" w:themeColor="text1"/>
          <w:sz w:val="22"/>
          <w:szCs w:val="22"/>
        </w:rPr>
        <w:t>oznaczenie lizo-GL1 (</w:t>
      </w:r>
      <w:proofErr w:type="spellStart"/>
      <w:r w:rsidRPr="00AA22C4">
        <w:rPr>
          <w:rStyle w:val="rynqvb"/>
          <w:rFonts w:ascii="Lato" w:hAnsi="Lato"/>
          <w:color w:val="000000" w:themeColor="text1"/>
          <w:sz w:val="22"/>
          <w:szCs w:val="22"/>
        </w:rPr>
        <w:t>glukozylosfingozyna</w:t>
      </w:r>
      <w:proofErr w:type="spellEnd"/>
      <w:r w:rsidRPr="00AA22C4">
        <w:rPr>
          <w:rStyle w:val="rynqvb"/>
          <w:rFonts w:ascii="Lato" w:hAnsi="Lato"/>
          <w:color w:val="000000" w:themeColor="text1"/>
          <w:sz w:val="22"/>
          <w:szCs w:val="22"/>
        </w:rPr>
        <w:t>) w surowicy krwi,</w:t>
      </w:r>
    </w:p>
    <w:p w14:paraId="61443336" w14:textId="77777777" w:rsidR="005E347E" w:rsidRPr="00AA22C4" w:rsidRDefault="005E347E" w:rsidP="009038E8">
      <w:pPr>
        <w:pStyle w:val="Akapitzlist"/>
        <w:numPr>
          <w:ilvl w:val="0"/>
          <w:numId w:val="100"/>
        </w:numPr>
        <w:spacing w:before="120" w:after="120" w:line="276" w:lineRule="auto"/>
        <w:contextualSpacing w:val="0"/>
        <w:jc w:val="both"/>
        <w:rPr>
          <w:rFonts w:ascii="Lato" w:hAnsi="Lato"/>
          <w:color w:val="000000" w:themeColor="text1"/>
          <w:sz w:val="22"/>
          <w:szCs w:val="22"/>
        </w:rPr>
      </w:pPr>
      <w:r w:rsidRPr="00AA22C4">
        <w:rPr>
          <w:rFonts w:ascii="Lato" w:hAnsi="Lato"/>
          <w:color w:val="000000" w:themeColor="text1"/>
          <w:sz w:val="22"/>
          <w:szCs w:val="22"/>
        </w:rPr>
        <w:t xml:space="preserve">oznaczenie aktywności enzymu </w:t>
      </w:r>
      <w:proofErr w:type="spellStart"/>
      <w:r w:rsidRPr="00AA22C4">
        <w:rPr>
          <w:rStyle w:val="rynqvb"/>
          <w:rFonts w:ascii="Lato" w:hAnsi="Lato"/>
          <w:color w:val="000000" w:themeColor="text1"/>
          <w:sz w:val="22"/>
          <w:szCs w:val="22"/>
        </w:rPr>
        <w:t>glukocerebrozydazy</w:t>
      </w:r>
      <w:proofErr w:type="spellEnd"/>
      <w:r w:rsidRPr="00AA22C4">
        <w:rPr>
          <w:rFonts w:ascii="Lato" w:hAnsi="Lato"/>
          <w:color w:val="000000" w:themeColor="text1"/>
          <w:sz w:val="22"/>
          <w:szCs w:val="22"/>
        </w:rPr>
        <w:t xml:space="preserve"> w leukocytach lub fibroblastach,</w:t>
      </w:r>
    </w:p>
    <w:p w14:paraId="106D8413" w14:textId="77777777" w:rsidR="005E347E" w:rsidRPr="00AA22C4" w:rsidRDefault="005E347E" w:rsidP="009038E8">
      <w:pPr>
        <w:pStyle w:val="Akapitzlist"/>
        <w:widowControl/>
        <w:numPr>
          <w:ilvl w:val="0"/>
          <w:numId w:val="100"/>
        </w:numPr>
        <w:spacing w:before="120" w:after="120" w:line="276" w:lineRule="auto"/>
        <w:contextualSpacing w:val="0"/>
        <w:jc w:val="both"/>
        <w:rPr>
          <w:rStyle w:val="rynqvb"/>
          <w:rFonts w:ascii="Lato" w:hAnsi="Lato"/>
          <w:color w:val="000000" w:themeColor="text1"/>
          <w:sz w:val="22"/>
          <w:szCs w:val="22"/>
        </w:rPr>
      </w:pPr>
      <w:r w:rsidRPr="00AA22C4">
        <w:rPr>
          <w:rFonts w:ascii="Lato" w:hAnsi="Lato"/>
          <w:color w:val="000000" w:themeColor="text1"/>
          <w:sz w:val="22"/>
          <w:szCs w:val="22"/>
        </w:rPr>
        <w:t xml:space="preserve">badanie molekularne potwierdzające występowanie mutacji w obu allelach genu </w:t>
      </w:r>
      <w:r w:rsidRPr="00AA22C4">
        <w:rPr>
          <w:rStyle w:val="rynqvb"/>
          <w:rFonts w:ascii="Lato" w:hAnsi="Lato"/>
          <w:color w:val="000000" w:themeColor="text1"/>
          <w:sz w:val="22"/>
          <w:szCs w:val="22"/>
        </w:rPr>
        <w:t>GBA1,</w:t>
      </w:r>
    </w:p>
    <w:p w14:paraId="54707E21" w14:textId="77777777" w:rsidR="005E347E" w:rsidRPr="00AA22C4" w:rsidRDefault="005E347E" w:rsidP="009038E8">
      <w:pPr>
        <w:pStyle w:val="Akapitzlist"/>
        <w:widowControl/>
        <w:numPr>
          <w:ilvl w:val="0"/>
          <w:numId w:val="100"/>
        </w:numPr>
        <w:spacing w:before="120" w:after="120" w:line="276" w:lineRule="auto"/>
        <w:contextualSpacing w:val="0"/>
        <w:jc w:val="both"/>
        <w:rPr>
          <w:rStyle w:val="rynqvb"/>
          <w:rFonts w:ascii="Lato" w:hAnsi="Lato"/>
          <w:color w:val="000000" w:themeColor="text1"/>
          <w:sz w:val="22"/>
          <w:szCs w:val="22"/>
        </w:rPr>
      </w:pPr>
      <w:r w:rsidRPr="00AA22C4">
        <w:rPr>
          <w:rStyle w:val="rynqvb"/>
          <w:rFonts w:ascii="Lato" w:hAnsi="Lato"/>
          <w:color w:val="000000" w:themeColor="text1"/>
          <w:sz w:val="22"/>
          <w:szCs w:val="22"/>
        </w:rPr>
        <w:t>oznaczenie stężenia enzymu konwertującego angiotensynę w surowicy krwi,</w:t>
      </w:r>
    </w:p>
    <w:p w14:paraId="7AA39EC9" w14:textId="77777777" w:rsidR="005E347E" w:rsidRPr="00AA22C4" w:rsidRDefault="005E347E" w:rsidP="009038E8">
      <w:pPr>
        <w:pStyle w:val="Akapitzlist"/>
        <w:widowControl/>
        <w:numPr>
          <w:ilvl w:val="0"/>
          <w:numId w:val="100"/>
        </w:numPr>
        <w:spacing w:before="120" w:after="120" w:line="276" w:lineRule="auto"/>
        <w:contextualSpacing w:val="0"/>
        <w:jc w:val="both"/>
        <w:rPr>
          <w:rStyle w:val="rynqvb"/>
          <w:rFonts w:ascii="Lato" w:hAnsi="Lato"/>
          <w:color w:val="000000" w:themeColor="text1"/>
          <w:sz w:val="22"/>
          <w:szCs w:val="22"/>
        </w:rPr>
      </w:pPr>
      <w:r w:rsidRPr="00AA22C4">
        <w:rPr>
          <w:rStyle w:val="rynqvb"/>
          <w:rFonts w:ascii="Lato" w:hAnsi="Lato"/>
          <w:color w:val="000000" w:themeColor="text1"/>
          <w:sz w:val="22"/>
          <w:szCs w:val="22"/>
        </w:rPr>
        <w:t>oznaczenie ferrytyny (</w:t>
      </w:r>
      <w:proofErr w:type="spellStart"/>
      <w:r w:rsidRPr="00AA22C4">
        <w:rPr>
          <w:rStyle w:val="rynqvb"/>
          <w:rFonts w:ascii="Lato" w:hAnsi="Lato"/>
          <w:color w:val="000000" w:themeColor="text1"/>
          <w:sz w:val="22"/>
          <w:szCs w:val="22"/>
        </w:rPr>
        <w:t>hiperferrytynemia</w:t>
      </w:r>
      <w:proofErr w:type="spellEnd"/>
      <w:r w:rsidRPr="00AA22C4">
        <w:rPr>
          <w:rStyle w:val="rynqvb"/>
          <w:rFonts w:ascii="Lato" w:hAnsi="Lato"/>
          <w:color w:val="000000" w:themeColor="text1"/>
          <w:sz w:val="22"/>
          <w:szCs w:val="22"/>
        </w:rPr>
        <w:t>) w surowicy krwi,</w:t>
      </w:r>
    </w:p>
    <w:p w14:paraId="720F8D50" w14:textId="77777777" w:rsidR="005E347E" w:rsidRPr="00AA22C4" w:rsidRDefault="005E347E" w:rsidP="009038E8">
      <w:pPr>
        <w:pStyle w:val="Akapitzlist"/>
        <w:widowControl/>
        <w:numPr>
          <w:ilvl w:val="0"/>
          <w:numId w:val="100"/>
        </w:numPr>
        <w:spacing w:before="120" w:after="120" w:line="276" w:lineRule="auto"/>
        <w:contextualSpacing w:val="0"/>
        <w:jc w:val="both"/>
        <w:rPr>
          <w:rStyle w:val="rynqvb"/>
          <w:rFonts w:ascii="Lato" w:hAnsi="Lato"/>
          <w:color w:val="000000" w:themeColor="text1"/>
          <w:sz w:val="22"/>
          <w:szCs w:val="22"/>
        </w:rPr>
      </w:pPr>
      <w:r w:rsidRPr="00AA22C4">
        <w:rPr>
          <w:rStyle w:val="rynqvb"/>
          <w:rFonts w:ascii="Lato" w:hAnsi="Lato"/>
          <w:color w:val="000000" w:themeColor="text1"/>
          <w:sz w:val="22"/>
          <w:szCs w:val="22"/>
        </w:rPr>
        <w:t xml:space="preserve">oznaczenie </w:t>
      </w:r>
      <w:proofErr w:type="spellStart"/>
      <w:r w:rsidRPr="00AA22C4">
        <w:rPr>
          <w:rStyle w:val="rynqvb"/>
          <w:rFonts w:ascii="Lato" w:hAnsi="Lato"/>
          <w:color w:val="000000" w:themeColor="text1"/>
          <w:sz w:val="22"/>
          <w:szCs w:val="22"/>
        </w:rPr>
        <w:t>chitotriozydazy</w:t>
      </w:r>
      <w:proofErr w:type="spellEnd"/>
      <w:r w:rsidRPr="00AA22C4">
        <w:rPr>
          <w:rStyle w:val="rynqvb"/>
          <w:rFonts w:ascii="Lato" w:hAnsi="Lato"/>
          <w:color w:val="000000" w:themeColor="text1"/>
          <w:sz w:val="22"/>
          <w:szCs w:val="22"/>
        </w:rPr>
        <w:t xml:space="preserve"> (wzrost) w surowicy krwi.</w:t>
      </w:r>
    </w:p>
    <w:p w14:paraId="619DC7C3" w14:textId="77777777" w:rsidR="005E347E" w:rsidRPr="00AA22C4" w:rsidRDefault="005E347E" w:rsidP="00333817">
      <w:pPr>
        <w:pStyle w:val="Akapitzlist"/>
        <w:spacing w:before="120" w:line="360" w:lineRule="auto"/>
        <w:ind w:left="357"/>
        <w:contextualSpacing w:val="0"/>
        <w:jc w:val="both"/>
        <w:rPr>
          <w:rFonts w:ascii="Lato" w:hAnsi="Lato"/>
          <w:color w:val="000000" w:themeColor="text1"/>
          <w:sz w:val="22"/>
          <w:szCs w:val="22"/>
          <w:u w:val="single"/>
        </w:rPr>
      </w:pPr>
      <w:r w:rsidRPr="00AA22C4">
        <w:rPr>
          <w:rFonts w:ascii="Lato" w:hAnsi="Lato"/>
          <w:color w:val="000000" w:themeColor="text1"/>
          <w:sz w:val="22"/>
          <w:szCs w:val="22"/>
          <w:u w:val="single"/>
        </w:rPr>
        <w:t>Leczenie:</w:t>
      </w:r>
    </w:p>
    <w:p w14:paraId="7D057D5F" w14:textId="410AA14D" w:rsidR="005E347E" w:rsidRPr="00AA22C4" w:rsidRDefault="005E347E" w:rsidP="005E347E">
      <w:pPr>
        <w:pStyle w:val="Akapitzlist"/>
        <w:spacing w:before="120" w:after="120" w:line="360" w:lineRule="auto"/>
        <w:ind w:left="360"/>
        <w:contextualSpacing w:val="0"/>
        <w:jc w:val="both"/>
        <w:rPr>
          <w:rFonts w:ascii="Lato" w:hAnsi="Lato"/>
          <w:color w:val="000000" w:themeColor="text1"/>
          <w:sz w:val="22"/>
          <w:szCs w:val="22"/>
        </w:rPr>
      </w:pPr>
      <w:r w:rsidRPr="00AA22C4">
        <w:rPr>
          <w:rFonts w:ascii="Lato" w:hAnsi="Lato"/>
          <w:color w:val="000000" w:themeColor="text1"/>
          <w:sz w:val="22"/>
          <w:szCs w:val="22"/>
        </w:rPr>
        <w:t xml:space="preserve">Pacjenci z typem I </w:t>
      </w:r>
      <w:proofErr w:type="spellStart"/>
      <w:r w:rsidRPr="00AA22C4">
        <w:rPr>
          <w:rFonts w:ascii="Lato" w:hAnsi="Lato"/>
          <w:color w:val="000000" w:themeColor="text1"/>
          <w:sz w:val="22"/>
          <w:szCs w:val="22"/>
        </w:rPr>
        <w:t>i</w:t>
      </w:r>
      <w:proofErr w:type="spellEnd"/>
      <w:r w:rsidRPr="00AA22C4">
        <w:rPr>
          <w:rFonts w:ascii="Lato" w:hAnsi="Lato"/>
          <w:color w:val="000000" w:themeColor="text1"/>
          <w:sz w:val="22"/>
          <w:szCs w:val="22"/>
        </w:rPr>
        <w:t xml:space="preserve"> III choroby </w:t>
      </w:r>
      <w:proofErr w:type="spellStart"/>
      <w:r w:rsidRPr="00AA22C4">
        <w:rPr>
          <w:rFonts w:ascii="Lato" w:hAnsi="Lato"/>
          <w:color w:val="000000" w:themeColor="text1"/>
          <w:sz w:val="22"/>
          <w:szCs w:val="22"/>
        </w:rPr>
        <w:t>Gauchera</w:t>
      </w:r>
      <w:proofErr w:type="spellEnd"/>
      <w:r w:rsidRPr="00AA22C4">
        <w:rPr>
          <w:rFonts w:ascii="Lato" w:hAnsi="Lato"/>
          <w:color w:val="000000" w:themeColor="text1"/>
          <w:sz w:val="22"/>
          <w:szCs w:val="22"/>
        </w:rPr>
        <w:t xml:space="preserve"> mogą być leczeni w ramach programu lekowego B.23 (ICD-10 E75.2). W zależności od indywidualnych potrzeb oraz stanu klinicznego, mogą korzystać z enzymatycznej terapii zastępczej (ERT) w postaci dożylnych wlewów </w:t>
      </w:r>
      <w:proofErr w:type="spellStart"/>
      <w:r w:rsidRPr="00AA22C4">
        <w:rPr>
          <w:rFonts w:ascii="Lato" w:hAnsi="Lato"/>
          <w:color w:val="000000" w:themeColor="text1"/>
          <w:sz w:val="22"/>
          <w:szCs w:val="22"/>
        </w:rPr>
        <w:t>imiglucerazy</w:t>
      </w:r>
      <w:proofErr w:type="spellEnd"/>
      <w:r w:rsidRPr="00AA22C4">
        <w:rPr>
          <w:rFonts w:ascii="Lato" w:hAnsi="Lato"/>
          <w:color w:val="000000" w:themeColor="text1"/>
          <w:sz w:val="22"/>
          <w:szCs w:val="22"/>
        </w:rPr>
        <w:t xml:space="preserve"> lub </w:t>
      </w:r>
      <w:proofErr w:type="spellStart"/>
      <w:r w:rsidRPr="00AA22C4">
        <w:rPr>
          <w:rFonts w:ascii="Lato" w:hAnsi="Lato"/>
          <w:color w:val="000000" w:themeColor="text1"/>
          <w:sz w:val="22"/>
          <w:szCs w:val="22"/>
        </w:rPr>
        <w:t>welaglucerazy</w:t>
      </w:r>
      <w:proofErr w:type="spellEnd"/>
      <w:r w:rsidRPr="00AA22C4">
        <w:rPr>
          <w:rFonts w:ascii="Lato" w:hAnsi="Lato"/>
          <w:color w:val="000000" w:themeColor="text1"/>
          <w:sz w:val="22"/>
          <w:szCs w:val="22"/>
        </w:rPr>
        <w:t xml:space="preserve"> alfa. Alternatywnie, </w:t>
      </w:r>
      <w:r w:rsidR="000D3820" w:rsidRPr="00AA22C4">
        <w:rPr>
          <w:rFonts w:ascii="Lato" w:hAnsi="Lato"/>
          <w:color w:val="000000" w:themeColor="text1"/>
          <w:sz w:val="22"/>
          <w:szCs w:val="22"/>
        </w:rPr>
        <w:t xml:space="preserve">jest </w:t>
      </w:r>
      <w:r w:rsidRPr="00AA22C4">
        <w:rPr>
          <w:rFonts w:ascii="Lato" w:hAnsi="Lato"/>
          <w:color w:val="000000" w:themeColor="text1"/>
          <w:sz w:val="22"/>
          <w:szCs w:val="22"/>
        </w:rPr>
        <w:t>możliwe zastosowanie terapii doustnej (</w:t>
      </w:r>
      <w:proofErr w:type="spellStart"/>
      <w:r w:rsidRPr="00AA22C4">
        <w:rPr>
          <w:rFonts w:ascii="Lato" w:hAnsi="Lato"/>
          <w:color w:val="000000" w:themeColor="text1"/>
          <w:sz w:val="22"/>
          <w:szCs w:val="22"/>
        </w:rPr>
        <w:t>eliglustat</w:t>
      </w:r>
      <w:proofErr w:type="spellEnd"/>
      <w:r w:rsidRPr="00AA22C4">
        <w:rPr>
          <w:rFonts w:ascii="Lato" w:hAnsi="Lato"/>
          <w:color w:val="000000" w:themeColor="text1"/>
          <w:sz w:val="22"/>
          <w:szCs w:val="22"/>
        </w:rPr>
        <w:t xml:space="preserve">), tzw. terapii redukcji substratu (SRT), która zmniejsza produkcję </w:t>
      </w:r>
      <w:proofErr w:type="spellStart"/>
      <w:r w:rsidRPr="00AA22C4">
        <w:rPr>
          <w:rFonts w:ascii="Lato" w:hAnsi="Lato"/>
          <w:color w:val="000000" w:themeColor="text1"/>
          <w:sz w:val="22"/>
          <w:szCs w:val="22"/>
        </w:rPr>
        <w:t>glukozyloceramidu</w:t>
      </w:r>
      <w:proofErr w:type="spellEnd"/>
      <w:r w:rsidRPr="00AA22C4">
        <w:rPr>
          <w:rFonts w:ascii="Lato" w:hAnsi="Lato"/>
          <w:color w:val="000000" w:themeColor="text1"/>
          <w:sz w:val="22"/>
          <w:szCs w:val="22"/>
        </w:rPr>
        <w:t>.</w:t>
      </w:r>
      <w:r w:rsidR="000D3820" w:rsidRPr="00AA22C4">
        <w:rPr>
          <w:rFonts w:ascii="Lato" w:hAnsi="Lato"/>
          <w:color w:val="000000" w:themeColor="text1"/>
          <w:sz w:val="22"/>
          <w:szCs w:val="22"/>
        </w:rPr>
        <w:t xml:space="preserve"> </w:t>
      </w:r>
    </w:p>
    <w:p w14:paraId="56A7972D" w14:textId="77777777" w:rsidR="005E347E" w:rsidRPr="00AA22C4" w:rsidRDefault="005E347E" w:rsidP="009038E8">
      <w:pPr>
        <w:pStyle w:val="Akapitzlist"/>
        <w:widowControl/>
        <w:numPr>
          <w:ilvl w:val="0"/>
          <w:numId w:val="85"/>
        </w:numPr>
        <w:suppressAutoHyphens w:val="0"/>
        <w:spacing w:before="360" w:after="240" w:line="360" w:lineRule="auto"/>
        <w:ind w:left="714" w:hanging="357"/>
        <w:contextualSpacing w:val="0"/>
        <w:jc w:val="both"/>
        <w:rPr>
          <w:rFonts w:ascii="Lato" w:hAnsi="Lato"/>
          <w:color w:val="000000" w:themeColor="text1"/>
          <w:sz w:val="22"/>
          <w:szCs w:val="22"/>
        </w:rPr>
      </w:pPr>
      <w:proofErr w:type="spellStart"/>
      <w:r w:rsidRPr="00AA22C4">
        <w:rPr>
          <w:rFonts w:ascii="Lato" w:hAnsi="Lato"/>
          <w:b/>
          <w:color w:val="000000" w:themeColor="text1"/>
          <w:sz w:val="22"/>
          <w:szCs w:val="22"/>
        </w:rPr>
        <w:t>Mukopolisacharydoza</w:t>
      </w:r>
      <w:proofErr w:type="spellEnd"/>
      <w:r w:rsidRPr="00AA22C4">
        <w:rPr>
          <w:rFonts w:ascii="Lato" w:hAnsi="Lato"/>
          <w:b/>
          <w:color w:val="000000" w:themeColor="text1"/>
          <w:sz w:val="22"/>
          <w:szCs w:val="22"/>
        </w:rPr>
        <w:t xml:space="preserve"> I -</w:t>
      </w:r>
      <w:r w:rsidRPr="00AA22C4">
        <w:rPr>
          <w:rFonts w:ascii="Lato" w:hAnsi="Lato"/>
          <w:color w:val="000000" w:themeColor="text1"/>
          <w:sz w:val="22"/>
          <w:szCs w:val="22"/>
        </w:rPr>
        <w:t xml:space="preserve"> </w:t>
      </w:r>
      <w:r w:rsidRPr="00AA22C4">
        <w:rPr>
          <w:rFonts w:ascii="Lato" w:hAnsi="Lato" w:cs="Calibri"/>
          <w:b/>
          <w:color w:val="000000" w:themeColor="text1"/>
          <w:sz w:val="22"/>
          <w:szCs w:val="22"/>
        </w:rPr>
        <w:t xml:space="preserve">deficyt aktywności enzymu alfa-L- </w:t>
      </w:r>
      <w:proofErr w:type="spellStart"/>
      <w:r w:rsidRPr="00AA22C4">
        <w:rPr>
          <w:rFonts w:ascii="Lato" w:hAnsi="Lato" w:cs="Calibri"/>
          <w:b/>
          <w:color w:val="000000" w:themeColor="text1"/>
          <w:sz w:val="22"/>
          <w:szCs w:val="22"/>
        </w:rPr>
        <w:t>iduronidazy</w:t>
      </w:r>
      <w:proofErr w:type="spellEnd"/>
      <w:r w:rsidRPr="00AA22C4">
        <w:rPr>
          <w:rFonts w:ascii="Lato" w:hAnsi="Lato" w:cs="Calibri"/>
          <w:b/>
          <w:color w:val="000000" w:themeColor="text1"/>
          <w:sz w:val="22"/>
          <w:szCs w:val="22"/>
        </w:rPr>
        <w:t xml:space="preserve"> (IDUA)</w:t>
      </w:r>
    </w:p>
    <w:p w14:paraId="765F8850" w14:textId="77777777" w:rsidR="005E347E" w:rsidRPr="00AA22C4" w:rsidRDefault="005E347E" w:rsidP="005E347E">
      <w:pPr>
        <w:pStyle w:val="NormalnyWeb"/>
        <w:spacing w:before="120" w:beforeAutospacing="0" w:after="120" w:line="360" w:lineRule="auto"/>
        <w:ind w:left="357"/>
        <w:jc w:val="both"/>
        <w:rPr>
          <w:rFonts w:ascii="Lato" w:hAnsi="Lato" w:cs="Calibri"/>
          <w:color w:val="000000" w:themeColor="text1"/>
          <w:sz w:val="22"/>
          <w:szCs w:val="22"/>
          <w:u w:val="single"/>
        </w:rPr>
      </w:pPr>
      <w:r w:rsidRPr="00AA22C4">
        <w:rPr>
          <w:rFonts w:ascii="Lato" w:hAnsi="Lato" w:cs="Calibri"/>
          <w:color w:val="000000" w:themeColor="text1"/>
          <w:sz w:val="22"/>
          <w:szCs w:val="22"/>
          <w:u w:val="single"/>
        </w:rPr>
        <w:t>Opis:</w:t>
      </w:r>
    </w:p>
    <w:p w14:paraId="49FD65A4" w14:textId="77777777" w:rsidR="005E347E" w:rsidRPr="00AA22C4" w:rsidRDefault="005E347E" w:rsidP="005E347E">
      <w:pPr>
        <w:pStyle w:val="NormalnyWeb"/>
        <w:spacing w:before="120" w:beforeAutospacing="0" w:after="120" w:line="360" w:lineRule="auto"/>
        <w:ind w:left="357"/>
        <w:jc w:val="both"/>
        <w:rPr>
          <w:rStyle w:val="Pogrubienie"/>
          <w:rFonts w:ascii="Lato" w:hAnsi="Lato" w:cs="Calibri"/>
          <w:b w:val="0"/>
          <w:color w:val="000000" w:themeColor="text1"/>
          <w:sz w:val="22"/>
          <w:szCs w:val="22"/>
        </w:rPr>
      </w:pPr>
      <w:proofErr w:type="spellStart"/>
      <w:r w:rsidRPr="00AA22C4">
        <w:rPr>
          <w:rFonts w:ascii="Lato" w:hAnsi="Lato" w:cs="Calibri"/>
          <w:color w:val="000000" w:themeColor="text1"/>
          <w:sz w:val="22"/>
          <w:szCs w:val="22"/>
        </w:rPr>
        <w:t>Mukopolisacharydoza</w:t>
      </w:r>
      <w:proofErr w:type="spellEnd"/>
      <w:r w:rsidRPr="00AA22C4">
        <w:rPr>
          <w:rFonts w:ascii="Lato" w:hAnsi="Lato" w:cs="Calibri"/>
          <w:color w:val="000000" w:themeColor="text1"/>
          <w:sz w:val="22"/>
          <w:szCs w:val="22"/>
        </w:rPr>
        <w:t xml:space="preserve"> I (MPS I) jest rzadką, dziedziczną chorobą metaboliczną z grupy lizosomalnych chorób spichrzeniowych. Jest spowodowana mutacją w genie </w:t>
      </w:r>
      <w:r w:rsidRPr="00AA22C4">
        <w:rPr>
          <w:rStyle w:val="Pogrubienie"/>
          <w:rFonts w:ascii="Lato" w:hAnsi="Lato" w:cs="Calibri"/>
          <w:b w:val="0"/>
          <w:color w:val="000000" w:themeColor="text1"/>
          <w:sz w:val="22"/>
          <w:szCs w:val="22"/>
        </w:rPr>
        <w:t>IDUA</w:t>
      </w:r>
      <w:r w:rsidRPr="00AA22C4">
        <w:rPr>
          <w:rFonts w:ascii="Lato" w:hAnsi="Lato" w:cs="Calibri"/>
          <w:b/>
          <w:color w:val="000000" w:themeColor="text1"/>
          <w:sz w:val="22"/>
          <w:szCs w:val="22"/>
        </w:rPr>
        <w:t>,</w:t>
      </w:r>
      <w:r w:rsidRPr="00AA22C4">
        <w:rPr>
          <w:rFonts w:ascii="Lato" w:hAnsi="Lato" w:cs="Calibri"/>
          <w:color w:val="000000" w:themeColor="text1"/>
          <w:sz w:val="22"/>
          <w:szCs w:val="22"/>
        </w:rPr>
        <w:t xml:space="preserve"> który koduje enzym alfa-L-</w:t>
      </w:r>
      <w:proofErr w:type="spellStart"/>
      <w:r w:rsidRPr="00AA22C4">
        <w:rPr>
          <w:rFonts w:ascii="Lato" w:hAnsi="Lato" w:cs="Calibri"/>
          <w:color w:val="000000" w:themeColor="text1"/>
          <w:sz w:val="22"/>
          <w:szCs w:val="22"/>
        </w:rPr>
        <w:t>iduronidazę</w:t>
      </w:r>
      <w:proofErr w:type="spellEnd"/>
      <w:r w:rsidRPr="00AA22C4">
        <w:rPr>
          <w:rFonts w:ascii="Lato" w:hAnsi="Lato" w:cs="Calibri"/>
          <w:color w:val="000000" w:themeColor="text1"/>
          <w:sz w:val="22"/>
          <w:szCs w:val="22"/>
        </w:rPr>
        <w:t>. Niedobór tego enzymu prowadzi do gromadzenia się mukopolisacharydów (</w:t>
      </w:r>
      <w:proofErr w:type="spellStart"/>
      <w:r w:rsidRPr="00AA22C4">
        <w:rPr>
          <w:rFonts w:ascii="Lato" w:hAnsi="Lato" w:cs="Calibri"/>
          <w:color w:val="000000" w:themeColor="text1"/>
          <w:sz w:val="22"/>
          <w:szCs w:val="22"/>
        </w:rPr>
        <w:t>glikozaminoglikanów</w:t>
      </w:r>
      <w:proofErr w:type="spellEnd"/>
      <w:r w:rsidRPr="00AA22C4">
        <w:rPr>
          <w:rFonts w:ascii="Lato" w:hAnsi="Lato" w:cs="Calibri"/>
          <w:color w:val="000000" w:themeColor="text1"/>
          <w:sz w:val="22"/>
          <w:szCs w:val="22"/>
        </w:rPr>
        <w:t xml:space="preserve">) w lizosomach komórek, co powoduje </w:t>
      </w:r>
      <w:r w:rsidRPr="00AA22C4">
        <w:rPr>
          <w:rFonts w:ascii="Lato" w:hAnsi="Lato" w:cs="Calibri"/>
          <w:color w:val="000000" w:themeColor="text1"/>
          <w:sz w:val="22"/>
          <w:szCs w:val="22"/>
        </w:rPr>
        <w:lastRenderedPageBreak/>
        <w:t>uszkodzenie wielu narządów i tkanek. MPS I jest heterogenną chorobą, która może występować w trzech postaciach o różnym stopniu nasilenia:</w:t>
      </w:r>
    </w:p>
    <w:p w14:paraId="193112BB" w14:textId="46931000" w:rsidR="005E347E" w:rsidRPr="00AA22C4" w:rsidRDefault="005E347E" w:rsidP="00AA22C4">
      <w:pPr>
        <w:pStyle w:val="NormalnyWeb"/>
        <w:numPr>
          <w:ilvl w:val="0"/>
          <w:numId w:val="116"/>
        </w:numPr>
        <w:spacing w:before="120" w:beforeAutospacing="0" w:after="120" w:line="360" w:lineRule="auto"/>
        <w:jc w:val="both"/>
        <w:rPr>
          <w:rStyle w:val="Pogrubienie"/>
          <w:rFonts w:ascii="Lato" w:hAnsi="Lato" w:cs="Calibri"/>
          <w:b w:val="0"/>
          <w:color w:val="000000" w:themeColor="text1"/>
          <w:sz w:val="22"/>
          <w:szCs w:val="22"/>
        </w:rPr>
      </w:pPr>
      <w:r w:rsidRPr="00AA22C4">
        <w:rPr>
          <w:rStyle w:val="Pogrubienie"/>
          <w:rFonts w:ascii="Lato" w:hAnsi="Lato" w:cs="Calibri"/>
          <w:b w:val="0"/>
          <w:color w:val="000000" w:themeColor="text1"/>
          <w:sz w:val="22"/>
          <w:szCs w:val="22"/>
        </w:rPr>
        <w:t xml:space="preserve">Zespół </w:t>
      </w:r>
      <w:proofErr w:type="spellStart"/>
      <w:r w:rsidRPr="00AA22C4">
        <w:rPr>
          <w:rStyle w:val="Pogrubienie"/>
          <w:rFonts w:ascii="Lato" w:hAnsi="Lato" w:cs="Calibri"/>
          <w:b w:val="0"/>
          <w:color w:val="000000" w:themeColor="text1"/>
          <w:sz w:val="22"/>
          <w:szCs w:val="22"/>
        </w:rPr>
        <w:t>Hurlera</w:t>
      </w:r>
      <w:proofErr w:type="spellEnd"/>
      <w:r w:rsidRPr="00AA22C4">
        <w:rPr>
          <w:rStyle w:val="Pogrubienie"/>
          <w:rFonts w:ascii="Lato" w:hAnsi="Lato" w:cs="Calibri"/>
          <w:b w:val="0"/>
          <w:color w:val="000000" w:themeColor="text1"/>
          <w:sz w:val="22"/>
          <w:szCs w:val="22"/>
        </w:rPr>
        <w:t xml:space="preserve"> (MPS I H)</w:t>
      </w:r>
      <w:r w:rsidRPr="00AA22C4">
        <w:rPr>
          <w:rFonts w:ascii="Lato" w:hAnsi="Lato" w:cs="Calibri"/>
          <w:b/>
          <w:color w:val="000000" w:themeColor="text1"/>
          <w:sz w:val="22"/>
          <w:szCs w:val="22"/>
        </w:rPr>
        <w:t xml:space="preserve"> </w:t>
      </w:r>
      <w:r w:rsidRPr="00AA22C4">
        <w:rPr>
          <w:rFonts w:ascii="Lato" w:hAnsi="Lato" w:cs="Calibri"/>
          <w:color w:val="000000" w:themeColor="text1"/>
          <w:sz w:val="22"/>
          <w:szCs w:val="22"/>
        </w:rPr>
        <w:t>- najcięższa postać MPS I, objawy pojawiają się w pierwszych miesiącach życia. Charakteryzuje się szybkim postępem, prowadzącym do poważnych deformacji kostnych, opóźnienia rozwoju psychoruchowego, niewydolności wielonarządowej i zazwyczaj przedwczesnej śmierci w dzieciństwie.</w:t>
      </w:r>
    </w:p>
    <w:p w14:paraId="0AA854B9" w14:textId="5FE11D97" w:rsidR="005E347E" w:rsidRPr="00AA22C4" w:rsidRDefault="005E347E" w:rsidP="00AA22C4">
      <w:pPr>
        <w:pStyle w:val="NormalnyWeb"/>
        <w:numPr>
          <w:ilvl w:val="0"/>
          <w:numId w:val="116"/>
        </w:numPr>
        <w:spacing w:before="120" w:beforeAutospacing="0" w:after="120" w:line="360" w:lineRule="auto"/>
        <w:jc w:val="both"/>
        <w:rPr>
          <w:rStyle w:val="Pogrubienie"/>
          <w:rFonts w:ascii="Lato" w:hAnsi="Lato" w:cs="Calibri"/>
          <w:b w:val="0"/>
          <w:color w:val="000000" w:themeColor="text1"/>
          <w:sz w:val="22"/>
          <w:szCs w:val="22"/>
        </w:rPr>
      </w:pPr>
      <w:r w:rsidRPr="00AA22C4">
        <w:rPr>
          <w:rStyle w:val="Pogrubienie"/>
          <w:rFonts w:ascii="Lato" w:hAnsi="Lato" w:cs="Calibri"/>
          <w:b w:val="0"/>
          <w:color w:val="000000" w:themeColor="text1"/>
          <w:sz w:val="22"/>
          <w:szCs w:val="22"/>
        </w:rPr>
        <w:t xml:space="preserve">Zespół </w:t>
      </w:r>
      <w:proofErr w:type="spellStart"/>
      <w:r w:rsidRPr="00AA22C4">
        <w:rPr>
          <w:rStyle w:val="Pogrubienie"/>
          <w:rFonts w:ascii="Lato" w:hAnsi="Lato" w:cs="Calibri"/>
          <w:b w:val="0"/>
          <w:color w:val="000000" w:themeColor="text1"/>
          <w:sz w:val="22"/>
          <w:szCs w:val="22"/>
        </w:rPr>
        <w:t>Hurler-Scheie</w:t>
      </w:r>
      <w:proofErr w:type="spellEnd"/>
      <w:r w:rsidRPr="00AA22C4">
        <w:rPr>
          <w:rStyle w:val="Pogrubienie"/>
          <w:rFonts w:ascii="Lato" w:hAnsi="Lato" w:cs="Calibri"/>
          <w:b w:val="0"/>
          <w:color w:val="000000" w:themeColor="text1"/>
          <w:sz w:val="22"/>
          <w:szCs w:val="22"/>
        </w:rPr>
        <w:t xml:space="preserve"> (MPS I H/S)</w:t>
      </w:r>
      <w:r w:rsidRPr="00AA22C4">
        <w:rPr>
          <w:rFonts w:ascii="Lato" w:hAnsi="Lato" w:cs="Calibri"/>
          <w:b/>
          <w:color w:val="000000" w:themeColor="text1"/>
          <w:sz w:val="22"/>
          <w:szCs w:val="22"/>
        </w:rPr>
        <w:t xml:space="preserve"> - </w:t>
      </w:r>
      <w:r w:rsidRPr="00AA22C4">
        <w:rPr>
          <w:rFonts w:ascii="Lato" w:hAnsi="Lato" w:cs="Calibri"/>
          <w:color w:val="000000" w:themeColor="text1"/>
          <w:sz w:val="22"/>
          <w:szCs w:val="22"/>
        </w:rPr>
        <w:t xml:space="preserve">forma o umiarkowanym nasileniu. Objawy pojawiają się później niż w zespole </w:t>
      </w:r>
      <w:proofErr w:type="spellStart"/>
      <w:r w:rsidRPr="00AA22C4">
        <w:rPr>
          <w:rFonts w:ascii="Lato" w:hAnsi="Lato" w:cs="Calibri"/>
          <w:color w:val="000000" w:themeColor="text1"/>
          <w:sz w:val="22"/>
          <w:szCs w:val="22"/>
        </w:rPr>
        <w:t>Hurlera</w:t>
      </w:r>
      <w:proofErr w:type="spellEnd"/>
      <w:r w:rsidRPr="00AA22C4">
        <w:rPr>
          <w:rFonts w:ascii="Lato" w:hAnsi="Lato" w:cs="Calibri"/>
          <w:color w:val="000000" w:themeColor="text1"/>
          <w:sz w:val="22"/>
          <w:szCs w:val="22"/>
        </w:rPr>
        <w:t>, a postęp choroby jest wolniejszy. Pacjenci mogą dożywać dorosłości, choć ich jakość życia jest znacznie obniżona z powodu licznych komplikacji zdrowotnych.</w:t>
      </w:r>
    </w:p>
    <w:p w14:paraId="76C6E6F0" w14:textId="41809F1F" w:rsidR="005E347E" w:rsidRPr="00AA22C4" w:rsidRDefault="005E347E" w:rsidP="00AA22C4">
      <w:pPr>
        <w:pStyle w:val="NormalnyWeb"/>
        <w:numPr>
          <w:ilvl w:val="0"/>
          <w:numId w:val="116"/>
        </w:numPr>
        <w:spacing w:before="120" w:beforeAutospacing="0" w:after="120" w:line="360" w:lineRule="auto"/>
        <w:jc w:val="both"/>
        <w:rPr>
          <w:rFonts w:ascii="Lato" w:hAnsi="Lato" w:cs="Calibri"/>
          <w:color w:val="000000" w:themeColor="text1"/>
          <w:sz w:val="22"/>
          <w:szCs w:val="22"/>
        </w:rPr>
      </w:pPr>
      <w:r w:rsidRPr="00AA22C4">
        <w:rPr>
          <w:rStyle w:val="Pogrubienie"/>
          <w:rFonts w:ascii="Lato" w:hAnsi="Lato" w:cs="Calibri"/>
          <w:b w:val="0"/>
          <w:color w:val="000000" w:themeColor="text1"/>
          <w:sz w:val="22"/>
          <w:szCs w:val="22"/>
        </w:rPr>
        <w:t xml:space="preserve">Zespół </w:t>
      </w:r>
      <w:proofErr w:type="spellStart"/>
      <w:r w:rsidRPr="00AA22C4">
        <w:rPr>
          <w:rStyle w:val="Pogrubienie"/>
          <w:rFonts w:ascii="Lato" w:hAnsi="Lato" w:cs="Calibri"/>
          <w:b w:val="0"/>
          <w:color w:val="000000" w:themeColor="text1"/>
          <w:sz w:val="22"/>
          <w:szCs w:val="22"/>
        </w:rPr>
        <w:t>Scheie</w:t>
      </w:r>
      <w:proofErr w:type="spellEnd"/>
      <w:r w:rsidRPr="00AA22C4">
        <w:rPr>
          <w:rStyle w:val="Pogrubienie"/>
          <w:rFonts w:ascii="Lato" w:hAnsi="Lato" w:cs="Calibri"/>
          <w:b w:val="0"/>
          <w:color w:val="000000" w:themeColor="text1"/>
          <w:sz w:val="22"/>
          <w:szCs w:val="22"/>
        </w:rPr>
        <w:t xml:space="preserve"> (MPS I S)</w:t>
      </w:r>
      <w:r w:rsidRPr="00AA22C4">
        <w:rPr>
          <w:rFonts w:ascii="Lato" w:hAnsi="Lato" w:cs="Calibri"/>
          <w:b/>
          <w:color w:val="000000" w:themeColor="text1"/>
          <w:sz w:val="22"/>
          <w:szCs w:val="22"/>
        </w:rPr>
        <w:t xml:space="preserve"> - </w:t>
      </w:r>
      <w:r w:rsidRPr="00AA22C4">
        <w:rPr>
          <w:rFonts w:ascii="Lato" w:hAnsi="Lato" w:cs="Calibri"/>
          <w:bCs/>
          <w:color w:val="000000" w:themeColor="text1"/>
          <w:sz w:val="22"/>
          <w:szCs w:val="22"/>
        </w:rPr>
        <w:t>n</w:t>
      </w:r>
      <w:r w:rsidRPr="00AA22C4">
        <w:rPr>
          <w:rFonts w:ascii="Lato" w:hAnsi="Lato" w:cs="Calibri"/>
          <w:color w:val="000000" w:themeColor="text1"/>
          <w:sz w:val="22"/>
          <w:szCs w:val="22"/>
        </w:rPr>
        <w:t xml:space="preserve">ajłagodniejsza postać MPS I, charakteryzująca się późnym początkiem objawów i wolnym postępem choroby. Osoby z zespołem </w:t>
      </w:r>
      <w:proofErr w:type="spellStart"/>
      <w:r w:rsidRPr="00AA22C4">
        <w:rPr>
          <w:rFonts w:ascii="Lato" w:hAnsi="Lato" w:cs="Calibri"/>
          <w:color w:val="000000" w:themeColor="text1"/>
          <w:sz w:val="22"/>
          <w:szCs w:val="22"/>
        </w:rPr>
        <w:t>Scheie</w:t>
      </w:r>
      <w:proofErr w:type="spellEnd"/>
      <w:r w:rsidRPr="00AA22C4">
        <w:rPr>
          <w:rFonts w:ascii="Lato" w:hAnsi="Lato" w:cs="Calibri"/>
          <w:color w:val="000000" w:themeColor="text1"/>
          <w:sz w:val="22"/>
          <w:szCs w:val="22"/>
        </w:rPr>
        <w:t xml:space="preserve"> mogą prowadzić względnie normalne życie, choć mogą mieć problemy z sercem, stawami i wzrokiem.</w:t>
      </w:r>
    </w:p>
    <w:p w14:paraId="47968C0F" w14:textId="77777777" w:rsidR="005E347E" w:rsidRPr="00AA22C4" w:rsidRDefault="005E347E" w:rsidP="005E347E">
      <w:pPr>
        <w:pStyle w:val="NormalnyWeb"/>
        <w:spacing w:before="120" w:beforeAutospacing="0" w:after="120" w:line="360" w:lineRule="auto"/>
        <w:ind w:left="357"/>
        <w:jc w:val="both"/>
        <w:rPr>
          <w:rFonts w:ascii="Lato" w:hAnsi="Lato" w:cs="Calibri"/>
          <w:color w:val="000000" w:themeColor="text1"/>
          <w:sz w:val="22"/>
          <w:szCs w:val="22"/>
          <w:u w:val="single"/>
        </w:rPr>
      </w:pPr>
      <w:r w:rsidRPr="00AA22C4">
        <w:rPr>
          <w:rFonts w:ascii="Lato" w:hAnsi="Lato" w:cs="Calibri"/>
          <w:color w:val="000000" w:themeColor="text1"/>
          <w:sz w:val="22"/>
          <w:szCs w:val="22"/>
          <w:u w:val="single"/>
        </w:rPr>
        <w:t>Objawy:</w:t>
      </w:r>
    </w:p>
    <w:p w14:paraId="7587F37D" w14:textId="77777777" w:rsidR="005E347E" w:rsidRPr="00AA22C4" w:rsidRDefault="005E347E" w:rsidP="005E347E">
      <w:pPr>
        <w:pStyle w:val="NormalnyWeb"/>
        <w:spacing w:before="120" w:beforeAutospacing="0" w:after="120" w:line="360" w:lineRule="auto"/>
        <w:ind w:left="357"/>
        <w:jc w:val="both"/>
        <w:rPr>
          <w:rFonts w:ascii="Lato" w:hAnsi="Lato" w:cs="Calibri"/>
          <w:color w:val="000000" w:themeColor="text1"/>
          <w:sz w:val="22"/>
          <w:szCs w:val="22"/>
        </w:rPr>
      </w:pPr>
      <w:r w:rsidRPr="00AA22C4">
        <w:rPr>
          <w:rFonts w:ascii="Lato" w:hAnsi="Lato" w:cs="Calibri"/>
          <w:color w:val="000000" w:themeColor="text1"/>
          <w:sz w:val="22"/>
          <w:szCs w:val="22"/>
        </w:rPr>
        <w:t>Objawy kliniczne są ściśle związane z poziomem resztkowej aktywności enzymu L-</w:t>
      </w:r>
      <w:proofErr w:type="spellStart"/>
      <w:r w:rsidRPr="00AA22C4">
        <w:rPr>
          <w:rFonts w:ascii="Lato" w:hAnsi="Lato" w:cs="Calibri"/>
          <w:color w:val="000000" w:themeColor="text1"/>
          <w:sz w:val="22"/>
          <w:szCs w:val="22"/>
        </w:rPr>
        <w:t>iduronidazy</w:t>
      </w:r>
      <w:proofErr w:type="spellEnd"/>
      <w:r w:rsidRPr="00AA22C4">
        <w:rPr>
          <w:rFonts w:ascii="Lato" w:hAnsi="Lato" w:cs="Calibri"/>
          <w:color w:val="000000" w:themeColor="text1"/>
          <w:sz w:val="22"/>
          <w:szCs w:val="22"/>
        </w:rPr>
        <w:t xml:space="preserve">. Całkowity brak aktywności tego enzymu skutkuje szybkim rozwojem charakterystycznych wielonarządowych zaburzeń, znanych jako postać ciężka. Jeśli jednak niewielka aktywność enzymu jest zachowana, objawy rozwijają się wolniej, są mniej nasilone, a choroba przybiera łagodniejszą formę, określaną jako postać osłabiona. </w:t>
      </w:r>
    </w:p>
    <w:p w14:paraId="7B94ECA8" w14:textId="77777777" w:rsidR="005E347E" w:rsidRPr="00AA22C4" w:rsidRDefault="005E347E" w:rsidP="005E347E">
      <w:pPr>
        <w:pStyle w:val="NormalnyWeb"/>
        <w:spacing w:before="120" w:beforeAutospacing="0" w:after="120" w:line="360" w:lineRule="auto"/>
        <w:ind w:left="357"/>
        <w:jc w:val="both"/>
        <w:rPr>
          <w:rFonts w:ascii="Lato" w:hAnsi="Lato" w:cs="Calibri"/>
          <w:color w:val="000000" w:themeColor="text1"/>
          <w:sz w:val="22"/>
          <w:szCs w:val="22"/>
        </w:rPr>
      </w:pPr>
      <w:r w:rsidRPr="00AA22C4">
        <w:rPr>
          <w:rFonts w:ascii="Lato" w:hAnsi="Lato" w:cs="Calibri"/>
          <w:color w:val="000000" w:themeColor="text1"/>
          <w:sz w:val="22"/>
          <w:szCs w:val="22"/>
        </w:rPr>
        <w:t>Postać ciężka:</w:t>
      </w:r>
    </w:p>
    <w:p w14:paraId="1B47D8C0" w14:textId="17EEA96F" w:rsidR="005E347E" w:rsidRPr="00AA22C4" w:rsidRDefault="005E347E" w:rsidP="005E347E">
      <w:pPr>
        <w:pStyle w:val="NormalnyWeb"/>
        <w:spacing w:before="120" w:beforeAutospacing="0" w:after="120" w:line="360" w:lineRule="auto"/>
        <w:ind w:left="357"/>
        <w:jc w:val="both"/>
        <w:rPr>
          <w:rFonts w:ascii="Lato" w:hAnsi="Lato" w:cs="Calibri"/>
          <w:bCs/>
          <w:color w:val="000000" w:themeColor="text1"/>
          <w:sz w:val="22"/>
          <w:szCs w:val="22"/>
        </w:rPr>
      </w:pPr>
      <w:r w:rsidRPr="00AA22C4">
        <w:rPr>
          <w:rFonts w:ascii="Lato" w:hAnsi="Lato" w:cs="Calibri"/>
          <w:bCs/>
          <w:color w:val="000000" w:themeColor="text1"/>
          <w:sz w:val="22"/>
          <w:szCs w:val="22"/>
        </w:rPr>
        <w:t>Noworodki zazwyczaj nie wykazują żadnych widocznych problemów, chociaż mogą występować przepukliny pachwinowe lub pępkowe. Objawy rozwijają się w ciągu kilku pierwszych miesięcy życia, a diagnoza jest zazwyczaj stawiana przed ukończeniem 18</w:t>
      </w:r>
      <w:proofErr w:type="gramStart"/>
      <w:r w:rsidR="00244C08" w:rsidRPr="00AA22C4">
        <w:rPr>
          <w:rFonts w:ascii="Lato" w:hAnsi="Lato" w:cs="Calibri"/>
          <w:bCs/>
          <w:color w:val="000000" w:themeColor="text1"/>
          <w:sz w:val="22"/>
          <w:szCs w:val="22"/>
        </w:rPr>
        <w:t>m.ż.</w:t>
      </w:r>
      <w:r w:rsidRPr="00AA22C4">
        <w:rPr>
          <w:rFonts w:ascii="Lato" w:hAnsi="Lato" w:cs="Calibri"/>
          <w:bCs/>
          <w:color w:val="000000" w:themeColor="text1"/>
          <w:sz w:val="22"/>
          <w:szCs w:val="22"/>
        </w:rPr>
        <w:t>.</w:t>
      </w:r>
      <w:proofErr w:type="gramEnd"/>
      <w:r w:rsidRPr="00AA22C4">
        <w:rPr>
          <w:rFonts w:ascii="Lato" w:hAnsi="Lato" w:cs="Calibri"/>
          <w:bCs/>
          <w:color w:val="000000" w:themeColor="text1"/>
          <w:sz w:val="22"/>
          <w:szCs w:val="22"/>
        </w:rPr>
        <w:t xml:space="preserve"> Choroba postępuje szybko, zwykle prowadząc do zgonu przed 10.</w:t>
      </w:r>
      <w:r w:rsidR="00244C08" w:rsidRPr="00AA22C4">
        <w:rPr>
          <w:rFonts w:ascii="Lato" w:hAnsi="Lato" w:cs="Calibri"/>
          <w:bCs/>
          <w:color w:val="000000" w:themeColor="text1"/>
          <w:sz w:val="22"/>
          <w:szCs w:val="22"/>
        </w:rPr>
        <w:t>r.ż.</w:t>
      </w:r>
      <w:r w:rsidRPr="00AA22C4">
        <w:rPr>
          <w:rFonts w:ascii="Lato" w:hAnsi="Lato" w:cs="Calibri"/>
          <w:bCs/>
          <w:color w:val="000000" w:themeColor="text1"/>
          <w:sz w:val="22"/>
          <w:szCs w:val="22"/>
        </w:rPr>
        <w:t>, głównie z powodu niewydolności oddechowej. Najczęstsze objawy postaci ciężkiej choroby to:</w:t>
      </w:r>
    </w:p>
    <w:p w14:paraId="2E5310FF" w14:textId="77777777" w:rsidR="005E347E" w:rsidRPr="00AA22C4" w:rsidRDefault="005E347E" w:rsidP="005E347E">
      <w:pPr>
        <w:widowControl/>
        <w:numPr>
          <w:ilvl w:val="0"/>
          <w:numId w:val="96"/>
        </w:numPr>
        <w:spacing w:before="120" w:after="120"/>
        <w:ind w:left="714" w:hanging="357"/>
        <w:jc w:val="both"/>
        <w:rPr>
          <w:rFonts w:ascii="Lato" w:hAnsi="Lato" w:cs="Calibri"/>
          <w:color w:val="000000" w:themeColor="text1"/>
          <w:sz w:val="22"/>
          <w:szCs w:val="22"/>
        </w:rPr>
      </w:pPr>
      <w:r w:rsidRPr="00AA22C4">
        <w:rPr>
          <w:rStyle w:val="Pogrubienie"/>
          <w:rFonts w:ascii="Lato" w:hAnsi="Lato" w:cs="Calibri"/>
          <w:b w:val="0"/>
          <w:color w:val="000000" w:themeColor="text1"/>
          <w:sz w:val="22"/>
          <w:szCs w:val="22"/>
        </w:rPr>
        <w:t>zmiany wyglądu -</w:t>
      </w:r>
      <w:r w:rsidRPr="00AA22C4">
        <w:rPr>
          <w:rFonts w:ascii="Lato" w:hAnsi="Lato" w:cs="Calibri"/>
          <w:color w:val="000000" w:themeColor="text1"/>
          <w:sz w:val="22"/>
          <w:szCs w:val="22"/>
        </w:rPr>
        <w:t xml:space="preserve"> pogrubienie rysów twarzy, powiększenie języka, charakterystyczne rysy twarzy (gargoilizm), owłosienie ciała, duża głowa,</w:t>
      </w:r>
    </w:p>
    <w:p w14:paraId="43BFD8E8" w14:textId="77777777" w:rsidR="005E347E" w:rsidRPr="00AA22C4" w:rsidRDefault="005E347E" w:rsidP="005E347E">
      <w:pPr>
        <w:widowControl/>
        <w:numPr>
          <w:ilvl w:val="0"/>
          <w:numId w:val="96"/>
        </w:numPr>
        <w:spacing w:before="120" w:after="120"/>
        <w:ind w:left="714" w:hanging="357"/>
        <w:jc w:val="both"/>
        <w:rPr>
          <w:rFonts w:ascii="Lato" w:hAnsi="Lato" w:cs="Calibri"/>
          <w:color w:val="000000" w:themeColor="text1"/>
          <w:sz w:val="22"/>
          <w:szCs w:val="22"/>
        </w:rPr>
      </w:pPr>
      <w:r w:rsidRPr="00AA22C4">
        <w:rPr>
          <w:rStyle w:val="Pogrubienie"/>
          <w:rFonts w:ascii="Lato" w:hAnsi="Lato" w:cs="Calibri"/>
          <w:b w:val="0"/>
          <w:color w:val="000000" w:themeColor="text1"/>
          <w:sz w:val="22"/>
          <w:szCs w:val="22"/>
        </w:rPr>
        <w:t>problemy kardiologiczne</w:t>
      </w:r>
      <w:r w:rsidRPr="00AA22C4">
        <w:rPr>
          <w:rStyle w:val="Pogrubienie"/>
          <w:rFonts w:ascii="Lato" w:hAnsi="Lato" w:cs="Calibri"/>
          <w:color w:val="000000" w:themeColor="text1"/>
          <w:sz w:val="22"/>
          <w:szCs w:val="22"/>
        </w:rPr>
        <w:t xml:space="preserve"> - </w:t>
      </w:r>
      <w:r w:rsidRPr="00AA22C4">
        <w:rPr>
          <w:rStyle w:val="Pogrubienie"/>
          <w:rFonts w:ascii="Lato" w:hAnsi="Lato" w:cs="Calibri"/>
          <w:b w:val="0"/>
          <w:color w:val="000000" w:themeColor="text1"/>
          <w:sz w:val="22"/>
          <w:szCs w:val="22"/>
        </w:rPr>
        <w:t>w</w:t>
      </w:r>
      <w:r w:rsidRPr="00AA22C4">
        <w:rPr>
          <w:rFonts w:ascii="Lato" w:hAnsi="Lato" w:cs="Calibri"/>
          <w:color w:val="000000" w:themeColor="text1"/>
          <w:sz w:val="22"/>
          <w:szCs w:val="22"/>
        </w:rPr>
        <w:t xml:space="preserve">ady zastawek serca, </w:t>
      </w:r>
      <w:proofErr w:type="spellStart"/>
      <w:r w:rsidRPr="00AA22C4">
        <w:rPr>
          <w:rFonts w:ascii="Lato" w:hAnsi="Lato" w:cs="Calibri"/>
          <w:color w:val="000000" w:themeColor="text1"/>
          <w:sz w:val="22"/>
          <w:szCs w:val="22"/>
        </w:rPr>
        <w:t>kardiomiopatia</w:t>
      </w:r>
      <w:proofErr w:type="spellEnd"/>
      <w:r w:rsidRPr="00AA22C4">
        <w:rPr>
          <w:rFonts w:ascii="Lato" w:hAnsi="Lato" w:cs="Calibri"/>
          <w:color w:val="000000" w:themeColor="text1"/>
          <w:sz w:val="22"/>
          <w:szCs w:val="22"/>
        </w:rPr>
        <w:t>,</w:t>
      </w:r>
    </w:p>
    <w:p w14:paraId="31F1270E" w14:textId="39E6D686" w:rsidR="005E347E" w:rsidRPr="00AA22C4" w:rsidRDefault="005E347E" w:rsidP="005E347E">
      <w:pPr>
        <w:widowControl/>
        <w:numPr>
          <w:ilvl w:val="0"/>
          <w:numId w:val="96"/>
        </w:numPr>
        <w:spacing w:before="120" w:after="120"/>
        <w:ind w:left="714" w:hanging="357"/>
        <w:jc w:val="both"/>
        <w:rPr>
          <w:rFonts w:ascii="Lato" w:hAnsi="Lato" w:cs="Calibri"/>
          <w:color w:val="000000" w:themeColor="text1"/>
          <w:sz w:val="22"/>
          <w:szCs w:val="22"/>
        </w:rPr>
      </w:pPr>
      <w:r w:rsidRPr="00AA22C4">
        <w:rPr>
          <w:rStyle w:val="Pogrubienie"/>
          <w:rFonts w:ascii="Lato" w:hAnsi="Lato" w:cs="Calibri"/>
          <w:b w:val="0"/>
          <w:color w:val="000000" w:themeColor="text1"/>
          <w:sz w:val="22"/>
          <w:szCs w:val="22"/>
        </w:rPr>
        <w:t>problemy kostno-stawowe -d</w:t>
      </w:r>
      <w:r w:rsidRPr="00AA22C4">
        <w:rPr>
          <w:rFonts w:ascii="Lato" w:hAnsi="Lato" w:cs="Calibri"/>
          <w:color w:val="000000" w:themeColor="text1"/>
          <w:sz w:val="22"/>
          <w:szCs w:val="22"/>
        </w:rPr>
        <w:t>eformacje kości, garb lędźwiowy, ograniczona ruchomość stawów, przykurcze palców (ręka szponiasta)</w:t>
      </w:r>
      <w:r w:rsidR="00981692" w:rsidRPr="00AA22C4">
        <w:rPr>
          <w:rFonts w:ascii="Lato" w:hAnsi="Lato" w:cs="Calibri"/>
          <w:color w:val="000000" w:themeColor="text1"/>
          <w:sz w:val="22"/>
          <w:szCs w:val="22"/>
        </w:rPr>
        <w:t>,</w:t>
      </w:r>
    </w:p>
    <w:p w14:paraId="0B7417B6" w14:textId="67C0AC4B" w:rsidR="005E347E" w:rsidRPr="00AA22C4" w:rsidRDefault="005E347E" w:rsidP="005E347E">
      <w:pPr>
        <w:widowControl/>
        <w:numPr>
          <w:ilvl w:val="0"/>
          <w:numId w:val="96"/>
        </w:numPr>
        <w:spacing w:before="120" w:after="120"/>
        <w:ind w:left="714" w:hanging="357"/>
        <w:jc w:val="both"/>
        <w:rPr>
          <w:rFonts w:ascii="Lato" w:hAnsi="Lato" w:cs="Calibri"/>
          <w:color w:val="000000" w:themeColor="text1"/>
          <w:sz w:val="22"/>
          <w:szCs w:val="22"/>
        </w:rPr>
      </w:pPr>
      <w:r w:rsidRPr="00AA22C4">
        <w:rPr>
          <w:rStyle w:val="Pogrubienie"/>
          <w:rFonts w:ascii="Lato" w:hAnsi="Lato" w:cs="Calibri"/>
          <w:b w:val="0"/>
          <w:color w:val="000000" w:themeColor="text1"/>
          <w:sz w:val="22"/>
          <w:szCs w:val="22"/>
        </w:rPr>
        <w:lastRenderedPageBreak/>
        <w:t>zaburzenia laryngologiczne -</w:t>
      </w:r>
      <w:r w:rsidR="00981692" w:rsidRPr="00AA22C4">
        <w:rPr>
          <w:rStyle w:val="Pogrubienie"/>
          <w:rFonts w:ascii="Lato" w:hAnsi="Lato" w:cs="Calibri"/>
          <w:b w:val="0"/>
          <w:color w:val="000000" w:themeColor="text1"/>
          <w:sz w:val="22"/>
          <w:szCs w:val="22"/>
        </w:rPr>
        <w:t xml:space="preserve"> </w:t>
      </w:r>
      <w:r w:rsidRPr="00AA22C4">
        <w:rPr>
          <w:rStyle w:val="Pogrubienie"/>
          <w:rFonts w:ascii="Lato" w:hAnsi="Lato" w:cs="Calibri"/>
          <w:b w:val="0"/>
          <w:color w:val="000000" w:themeColor="text1"/>
          <w:sz w:val="22"/>
          <w:szCs w:val="22"/>
        </w:rPr>
        <w:t>p</w:t>
      </w:r>
      <w:r w:rsidRPr="00AA22C4">
        <w:rPr>
          <w:rFonts w:ascii="Lato" w:hAnsi="Lato" w:cs="Calibri"/>
          <w:color w:val="000000" w:themeColor="text1"/>
          <w:sz w:val="22"/>
          <w:szCs w:val="22"/>
        </w:rPr>
        <w:t>owiększenie migdałków, chrapliwy oddech, bezdech senny, częste infekcje dróg oddechowych, niedosłuch</w:t>
      </w:r>
      <w:r w:rsidR="00981692" w:rsidRPr="00AA22C4">
        <w:rPr>
          <w:rFonts w:ascii="Lato" w:hAnsi="Lato" w:cs="Calibri"/>
          <w:color w:val="000000" w:themeColor="text1"/>
          <w:sz w:val="22"/>
          <w:szCs w:val="22"/>
        </w:rPr>
        <w:t>,</w:t>
      </w:r>
    </w:p>
    <w:p w14:paraId="7FBE4980" w14:textId="659E9C60" w:rsidR="005E347E" w:rsidRPr="00AA22C4" w:rsidRDefault="005E347E" w:rsidP="005E347E">
      <w:pPr>
        <w:widowControl/>
        <w:numPr>
          <w:ilvl w:val="0"/>
          <w:numId w:val="96"/>
        </w:numPr>
        <w:spacing w:before="120" w:after="120"/>
        <w:ind w:left="714" w:hanging="357"/>
        <w:jc w:val="both"/>
        <w:rPr>
          <w:rFonts w:ascii="Lato" w:hAnsi="Lato" w:cs="Calibri"/>
          <w:color w:val="000000" w:themeColor="text1"/>
          <w:sz w:val="22"/>
          <w:szCs w:val="22"/>
        </w:rPr>
      </w:pPr>
      <w:r w:rsidRPr="00AA22C4">
        <w:rPr>
          <w:rStyle w:val="Pogrubienie"/>
          <w:rFonts w:ascii="Lato" w:hAnsi="Lato" w:cs="Calibri"/>
          <w:b w:val="0"/>
          <w:color w:val="000000" w:themeColor="text1"/>
          <w:sz w:val="22"/>
          <w:szCs w:val="22"/>
        </w:rPr>
        <w:t xml:space="preserve">problemy ze wzrokiem </w:t>
      </w:r>
      <w:r w:rsidRPr="00AA22C4">
        <w:rPr>
          <w:rStyle w:val="Pogrubienie"/>
          <w:rFonts w:ascii="Lato" w:hAnsi="Lato" w:cs="Calibri"/>
          <w:color w:val="000000" w:themeColor="text1"/>
          <w:sz w:val="22"/>
          <w:szCs w:val="22"/>
        </w:rPr>
        <w:t xml:space="preserve">- </w:t>
      </w:r>
      <w:r w:rsidRPr="00AA22C4">
        <w:rPr>
          <w:rStyle w:val="Pogrubienie"/>
          <w:rFonts w:ascii="Lato" w:hAnsi="Lato" w:cs="Calibri"/>
          <w:b w:val="0"/>
          <w:bCs/>
          <w:color w:val="000000" w:themeColor="text1"/>
          <w:sz w:val="22"/>
          <w:szCs w:val="22"/>
        </w:rPr>
        <w:t>z</w:t>
      </w:r>
      <w:r w:rsidRPr="00AA22C4">
        <w:rPr>
          <w:rFonts w:ascii="Lato" w:hAnsi="Lato" w:cs="Calibri"/>
          <w:color w:val="000000" w:themeColor="text1"/>
          <w:sz w:val="22"/>
          <w:szCs w:val="22"/>
        </w:rPr>
        <w:t>mętnienie rogówki, zwyrodnienie siatkówki, jaskra, ucisk nerwu wzrokowego</w:t>
      </w:r>
      <w:r w:rsidR="00981692" w:rsidRPr="00AA22C4">
        <w:rPr>
          <w:rFonts w:ascii="Lato" w:hAnsi="Lato" w:cs="Calibri"/>
          <w:color w:val="000000" w:themeColor="text1"/>
          <w:sz w:val="22"/>
          <w:szCs w:val="22"/>
        </w:rPr>
        <w:t>,</w:t>
      </w:r>
    </w:p>
    <w:p w14:paraId="4216B008" w14:textId="1148242D" w:rsidR="005E347E" w:rsidRPr="00AA22C4" w:rsidRDefault="005E347E" w:rsidP="005E347E">
      <w:pPr>
        <w:widowControl/>
        <w:numPr>
          <w:ilvl w:val="0"/>
          <w:numId w:val="96"/>
        </w:numPr>
        <w:spacing w:before="120" w:after="120"/>
        <w:ind w:left="714" w:hanging="357"/>
        <w:jc w:val="both"/>
        <w:rPr>
          <w:rFonts w:ascii="Lato" w:hAnsi="Lato" w:cs="Calibri"/>
          <w:color w:val="000000" w:themeColor="text1"/>
          <w:sz w:val="22"/>
          <w:szCs w:val="22"/>
        </w:rPr>
      </w:pPr>
      <w:r w:rsidRPr="00AA22C4">
        <w:rPr>
          <w:rStyle w:val="Pogrubienie"/>
          <w:rFonts w:ascii="Lato" w:hAnsi="Lato" w:cs="Calibri"/>
          <w:b w:val="0"/>
          <w:color w:val="000000" w:themeColor="text1"/>
          <w:sz w:val="22"/>
          <w:szCs w:val="22"/>
        </w:rPr>
        <w:t>opóźnienie rozwoju - r</w:t>
      </w:r>
      <w:r w:rsidRPr="00AA22C4">
        <w:rPr>
          <w:rFonts w:ascii="Lato" w:hAnsi="Lato" w:cs="Calibri"/>
          <w:color w:val="000000" w:themeColor="text1"/>
          <w:sz w:val="22"/>
          <w:szCs w:val="22"/>
        </w:rPr>
        <w:t>egresja intelektualna przed 18</w:t>
      </w:r>
      <w:r w:rsidR="00244C08" w:rsidRPr="00AA22C4">
        <w:rPr>
          <w:rFonts w:ascii="Lato" w:hAnsi="Lato" w:cs="Calibri"/>
          <w:color w:val="000000" w:themeColor="text1"/>
          <w:sz w:val="22"/>
          <w:szCs w:val="22"/>
        </w:rPr>
        <w:t>m.ż.</w:t>
      </w:r>
      <w:r w:rsidRPr="00AA22C4">
        <w:rPr>
          <w:rFonts w:ascii="Lato" w:hAnsi="Lato" w:cs="Calibri"/>
          <w:color w:val="000000" w:themeColor="text1"/>
          <w:sz w:val="22"/>
          <w:szCs w:val="22"/>
        </w:rPr>
        <w:t>, opóźniony rozwój mowy</w:t>
      </w:r>
      <w:r w:rsidR="003D18CB" w:rsidRPr="00AA22C4">
        <w:rPr>
          <w:rFonts w:ascii="Lato" w:hAnsi="Lato" w:cs="Calibri"/>
          <w:color w:val="000000" w:themeColor="text1"/>
          <w:sz w:val="22"/>
          <w:szCs w:val="22"/>
        </w:rPr>
        <w:t>,</w:t>
      </w:r>
    </w:p>
    <w:p w14:paraId="7B6BF88C" w14:textId="17A08F6B" w:rsidR="005E347E" w:rsidRPr="00AA22C4" w:rsidRDefault="005E347E" w:rsidP="005E347E">
      <w:pPr>
        <w:widowControl/>
        <w:numPr>
          <w:ilvl w:val="0"/>
          <w:numId w:val="96"/>
        </w:numPr>
        <w:spacing w:before="120" w:after="120"/>
        <w:ind w:left="714" w:hanging="357"/>
        <w:jc w:val="both"/>
        <w:rPr>
          <w:rFonts w:ascii="Lato" w:hAnsi="Lato" w:cs="Calibri"/>
          <w:color w:val="000000" w:themeColor="text1"/>
          <w:sz w:val="22"/>
          <w:szCs w:val="22"/>
        </w:rPr>
      </w:pPr>
      <w:r w:rsidRPr="00AA22C4">
        <w:rPr>
          <w:rStyle w:val="Pogrubienie"/>
          <w:rFonts w:ascii="Lato" w:hAnsi="Lato" w:cs="Calibri"/>
          <w:b w:val="0"/>
          <w:color w:val="000000" w:themeColor="text1"/>
          <w:sz w:val="22"/>
          <w:szCs w:val="22"/>
        </w:rPr>
        <w:t>zaburzenia neurologiczne -</w:t>
      </w:r>
      <w:r w:rsidRPr="00AA22C4">
        <w:rPr>
          <w:rFonts w:ascii="Lato" w:hAnsi="Lato" w:cs="Calibri"/>
          <w:color w:val="000000" w:themeColor="text1"/>
          <w:sz w:val="22"/>
          <w:szCs w:val="22"/>
        </w:rPr>
        <w:t xml:space="preserve"> częste występowanie zespołu </w:t>
      </w:r>
      <w:proofErr w:type="spellStart"/>
      <w:r w:rsidRPr="00AA22C4">
        <w:rPr>
          <w:rFonts w:ascii="Lato" w:hAnsi="Lato" w:cs="Calibri"/>
          <w:color w:val="000000" w:themeColor="text1"/>
          <w:sz w:val="22"/>
          <w:szCs w:val="22"/>
        </w:rPr>
        <w:t>cieśni</w:t>
      </w:r>
      <w:proofErr w:type="spellEnd"/>
      <w:r w:rsidRPr="00AA22C4">
        <w:rPr>
          <w:rFonts w:ascii="Lato" w:hAnsi="Lato" w:cs="Calibri"/>
          <w:color w:val="000000" w:themeColor="text1"/>
          <w:sz w:val="22"/>
          <w:szCs w:val="22"/>
        </w:rPr>
        <w:t xml:space="preserve"> nadgarstka, ucisk rdzenia kręgowego, wodogłowie</w:t>
      </w:r>
      <w:r w:rsidR="003D18CB" w:rsidRPr="00AA22C4">
        <w:rPr>
          <w:rFonts w:ascii="Lato" w:hAnsi="Lato" w:cs="Calibri"/>
          <w:color w:val="000000" w:themeColor="text1"/>
          <w:sz w:val="22"/>
          <w:szCs w:val="22"/>
        </w:rPr>
        <w:t>,</w:t>
      </w:r>
    </w:p>
    <w:p w14:paraId="782B044C" w14:textId="77777777" w:rsidR="005E347E" w:rsidRPr="00AA22C4" w:rsidRDefault="005E347E" w:rsidP="005E347E">
      <w:pPr>
        <w:widowControl/>
        <w:numPr>
          <w:ilvl w:val="0"/>
          <w:numId w:val="96"/>
        </w:numPr>
        <w:spacing w:before="120" w:after="120"/>
        <w:ind w:left="714" w:hanging="357"/>
        <w:jc w:val="both"/>
        <w:rPr>
          <w:rFonts w:ascii="Lato" w:hAnsi="Lato" w:cs="Calibri"/>
          <w:color w:val="000000" w:themeColor="text1"/>
          <w:sz w:val="22"/>
          <w:szCs w:val="22"/>
        </w:rPr>
      </w:pPr>
      <w:r w:rsidRPr="00AA22C4">
        <w:rPr>
          <w:rStyle w:val="Pogrubienie"/>
          <w:rFonts w:ascii="Lato" w:hAnsi="Lato" w:cs="Calibri"/>
          <w:b w:val="0"/>
          <w:color w:val="000000" w:themeColor="text1"/>
          <w:sz w:val="22"/>
          <w:szCs w:val="22"/>
        </w:rPr>
        <w:t>zmiany w jamie brzusznej - p</w:t>
      </w:r>
      <w:r w:rsidRPr="00AA22C4">
        <w:rPr>
          <w:rFonts w:ascii="Lato" w:hAnsi="Lato" w:cs="Calibri"/>
          <w:color w:val="000000" w:themeColor="text1"/>
          <w:sz w:val="22"/>
          <w:szCs w:val="22"/>
        </w:rPr>
        <w:t>owiększenie wątroby i śledziony, przepukliny, problemy z trawieniem.</w:t>
      </w:r>
    </w:p>
    <w:p w14:paraId="2550D81D" w14:textId="77777777" w:rsidR="005E347E" w:rsidRPr="00AA22C4" w:rsidRDefault="005E347E" w:rsidP="005E347E">
      <w:pPr>
        <w:pStyle w:val="NormalnyWeb"/>
        <w:spacing w:before="120" w:beforeAutospacing="0" w:after="120" w:line="360" w:lineRule="auto"/>
        <w:ind w:left="357"/>
        <w:jc w:val="both"/>
        <w:rPr>
          <w:rFonts w:ascii="Lato" w:hAnsi="Lato" w:cs="Calibri"/>
          <w:color w:val="000000" w:themeColor="text1"/>
          <w:sz w:val="22"/>
          <w:szCs w:val="22"/>
        </w:rPr>
      </w:pPr>
      <w:r w:rsidRPr="00AA22C4">
        <w:rPr>
          <w:rFonts w:ascii="Lato" w:hAnsi="Lato" w:cs="Calibri"/>
          <w:color w:val="000000" w:themeColor="text1"/>
          <w:sz w:val="22"/>
          <w:szCs w:val="22"/>
        </w:rPr>
        <w:t>Postać osłabiona:</w:t>
      </w:r>
    </w:p>
    <w:p w14:paraId="297F97CB" w14:textId="6CC5DFC9" w:rsidR="005E347E" w:rsidRPr="00AA22C4" w:rsidRDefault="005E347E" w:rsidP="005E347E">
      <w:pPr>
        <w:pStyle w:val="NormalnyWeb"/>
        <w:spacing w:before="120" w:beforeAutospacing="0" w:after="120" w:line="360" w:lineRule="auto"/>
        <w:ind w:left="357"/>
        <w:jc w:val="both"/>
        <w:rPr>
          <w:rFonts w:ascii="Lato" w:hAnsi="Lato" w:cs="Calibri"/>
          <w:color w:val="000000" w:themeColor="text1"/>
          <w:sz w:val="22"/>
          <w:szCs w:val="22"/>
        </w:rPr>
      </w:pPr>
      <w:r w:rsidRPr="00AA22C4">
        <w:rPr>
          <w:rFonts w:ascii="Lato" w:hAnsi="Lato" w:cs="Calibri"/>
          <w:color w:val="000000" w:themeColor="text1"/>
          <w:sz w:val="22"/>
          <w:szCs w:val="22"/>
        </w:rPr>
        <w:t>Ta forma choroby rozwija się wolniej, z łagodniejszymi objawami i może rozpocząć się między 3 a 9</w:t>
      </w:r>
      <w:r w:rsidR="009038E8">
        <w:rPr>
          <w:rFonts w:ascii="Lato" w:hAnsi="Lato" w:cs="Calibri"/>
          <w:color w:val="000000" w:themeColor="text1"/>
          <w:sz w:val="22"/>
          <w:szCs w:val="22"/>
        </w:rPr>
        <w:t xml:space="preserve"> </w:t>
      </w:r>
      <w:proofErr w:type="gramStart"/>
      <w:r w:rsidR="00244C08" w:rsidRPr="00AA22C4">
        <w:rPr>
          <w:rFonts w:ascii="Lato" w:hAnsi="Lato" w:cs="Calibri"/>
          <w:color w:val="000000" w:themeColor="text1"/>
          <w:sz w:val="22"/>
          <w:szCs w:val="22"/>
        </w:rPr>
        <w:t>r.ż.</w:t>
      </w:r>
      <w:r w:rsidRPr="00AA22C4">
        <w:rPr>
          <w:rFonts w:ascii="Lato" w:hAnsi="Lato" w:cs="Calibri"/>
          <w:color w:val="000000" w:themeColor="text1"/>
          <w:sz w:val="22"/>
          <w:szCs w:val="22"/>
        </w:rPr>
        <w:t>.</w:t>
      </w:r>
      <w:proofErr w:type="gramEnd"/>
      <w:r w:rsidRPr="00AA22C4">
        <w:rPr>
          <w:rFonts w:ascii="Lato" w:hAnsi="Lato" w:cs="Calibri"/>
          <w:color w:val="000000" w:themeColor="text1"/>
          <w:sz w:val="22"/>
          <w:szCs w:val="22"/>
        </w:rPr>
        <w:t xml:space="preserve"> Pacjenci mogą dożyć dorosłości, ale z istotnymi ograniczeniami.  Częste objawy to:</w:t>
      </w:r>
    </w:p>
    <w:p w14:paraId="1EEF169F" w14:textId="77777777" w:rsidR="005E347E" w:rsidRPr="00AA22C4" w:rsidRDefault="005E347E" w:rsidP="005E347E">
      <w:pPr>
        <w:widowControl/>
        <w:numPr>
          <w:ilvl w:val="0"/>
          <w:numId w:val="97"/>
        </w:numPr>
        <w:spacing w:before="120" w:after="120"/>
        <w:ind w:left="714" w:hanging="357"/>
        <w:jc w:val="both"/>
        <w:rPr>
          <w:rFonts w:ascii="Lato" w:hAnsi="Lato" w:cs="Calibri"/>
          <w:b/>
          <w:color w:val="000000" w:themeColor="text1"/>
          <w:sz w:val="22"/>
          <w:szCs w:val="22"/>
        </w:rPr>
      </w:pPr>
      <w:r w:rsidRPr="00AA22C4">
        <w:rPr>
          <w:rFonts w:ascii="Lato" w:hAnsi="Lato" w:cs="Calibri"/>
          <w:color w:val="000000" w:themeColor="text1"/>
          <w:sz w:val="22"/>
          <w:szCs w:val="22"/>
        </w:rPr>
        <w:t>mniej wyraźne zmiany twarzy, krótsza szyja, kanciaste szczęki</w:t>
      </w:r>
      <w:r w:rsidRPr="00AA22C4">
        <w:rPr>
          <w:rFonts w:ascii="Lato" w:hAnsi="Lato" w:cs="Calibri"/>
          <w:b/>
          <w:color w:val="000000" w:themeColor="text1"/>
          <w:sz w:val="22"/>
          <w:szCs w:val="22"/>
        </w:rPr>
        <w:t>,</w:t>
      </w:r>
    </w:p>
    <w:p w14:paraId="55439D5D" w14:textId="77777777" w:rsidR="005E347E" w:rsidRPr="00AA22C4" w:rsidRDefault="005E347E" w:rsidP="005E347E">
      <w:pPr>
        <w:widowControl/>
        <w:numPr>
          <w:ilvl w:val="0"/>
          <w:numId w:val="97"/>
        </w:numPr>
        <w:spacing w:before="120" w:after="120"/>
        <w:ind w:left="714" w:hanging="357"/>
        <w:jc w:val="both"/>
        <w:rPr>
          <w:rFonts w:ascii="Lato" w:hAnsi="Lato" w:cs="Calibri"/>
          <w:color w:val="000000" w:themeColor="text1"/>
          <w:sz w:val="22"/>
          <w:szCs w:val="22"/>
        </w:rPr>
      </w:pPr>
      <w:r w:rsidRPr="00AA22C4">
        <w:rPr>
          <w:rStyle w:val="Pogrubienie"/>
          <w:rFonts w:ascii="Lato" w:hAnsi="Lato" w:cs="Calibri"/>
          <w:b w:val="0"/>
          <w:color w:val="000000" w:themeColor="text1"/>
          <w:sz w:val="22"/>
          <w:szCs w:val="22"/>
        </w:rPr>
        <w:t>problemy kostno-stawowe -</w:t>
      </w:r>
      <w:r w:rsidRPr="00AA22C4">
        <w:rPr>
          <w:rFonts w:ascii="Lato" w:hAnsi="Lato" w:cs="Calibri"/>
          <w:b/>
          <w:color w:val="000000" w:themeColor="text1"/>
          <w:sz w:val="22"/>
          <w:szCs w:val="22"/>
        </w:rPr>
        <w:t xml:space="preserve"> </w:t>
      </w:r>
      <w:r w:rsidRPr="00AA22C4">
        <w:rPr>
          <w:rFonts w:ascii="Lato" w:hAnsi="Lato" w:cs="Calibri"/>
          <w:color w:val="000000" w:themeColor="text1"/>
          <w:sz w:val="22"/>
          <w:szCs w:val="22"/>
        </w:rPr>
        <w:t xml:space="preserve">Przykurcze ścięgien Achillesa, przykurcze palców, zespół </w:t>
      </w:r>
      <w:proofErr w:type="spellStart"/>
      <w:r w:rsidRPr="00AA22C4">
        <w:rPr>
          <w:rFonts w:ascii="Lato" w:hAnsi="Lato" w:cs="Calibri"/>
          <w:color w:val="000000" w:themeColor="text1"/>
          <w:sz w:val="22"/>
          <w:szCs w:val="22"/>
        </w:rPr>
        <w:t>cieśni</w:t>
      </w:r>
      <w:proofErr w:type="spellEnd"/>
      <w:r w:rsidRPr="00AA22C4">
        <w:rPr>
          <w:rFonts w:ascii="Lato" w:hAnsi="Lato" w:cs="Calibri"/>
          <w:color w:val="000000" w:themeColor="text1"/>
          <w:sz w:val="22"/>
          <w:szCs w:val="22"/>
        </w:rPr>
        <w:t xml:space="preserve"> nadgarstka, deformacje kręgosłupa, ból pleców,</w:t>
      </w:r>
    </w:p>
    <w:p w14:paraId="1DF8DD31" w14:textId="77777777" w:rsidR="005E347E" w:rsidRPr="00AA22C4" w:rsidRDefault="005E347E" w:rsidP="005E347E">
      <w:pPr>
        <w:widowControl/>
        <w:numPr>
          <w:ilvl w:val="0"/>
          <w:numId w:val="97"/>
        </w:numPr>
        <w:spacing w:before="120" w:after="120"/>
        <w:ind w:left="714" w:hanging="357"/>
        <w:jc w:val="both"/>
        <w:rPr>
          <w:rFonts w:ascii="Lato" w:hAnsi="Lato" w:cs="Calibri"/>
          <w:b/>
          <w:color w:val="000000" w:themeColor="text1"/>
          <w:sz w:val="22"/>
          <w:szCs w:val="22"/>
        </w:rPr>
      </w:pPr>
      <w:r w:rsidRPr="00AA22C4">
        <w:rPr>
          <w:rFonts w:ascii="Lato" w:hAnsi="Lato" w:cs="Calibri"/>
          <w:color w:val="000000" w:themeColor="text1"/>
          <w:sz w:val="22"/>
          <w:szCs w:val="22"/>
        </w:rPr>
        <w:t>wady zastawek serca, rozwijające się później niż w postaci ciężkiej</w:t>
      </w:r>
      <w:r w:rsidRPr="00AA22C4">
        <w:rPr>
          <w:rFonts w:ascii="Lato" w:hAnsi="Lato" w:cs="Calibri"/>
          <w:b/>
          <w:color w:val="000000" w:themeColor="text1"/>
          <w:sz w:val="22"/>
          <w:szCs w:val="22"/>
        </w:rPr>
        <w:t>,</w:t>
      </w:r>
    </w:p>
    <w:p w14:paraId="6F4A638F" w14:textId="77777777" w:rsidR="005E347E" w:rsidRPr="00AA22C4" w:rsidRDefault="005E347E" w:rsidP="005E347E">
      <w:pPr>
        <w:widowControl/>
        <w:numPr>
          <w:ilvl w:val="0"/>
          <w:numId w:val="97"/>
        </w:numPr>
        <w:spacing w:before="120" w:after="120"/>
        <w:ind w:left="714" w:hanging="357"/>
        <w:jc w:val="both"/>
        <w:rPr>
          <w:rFonts w:ascii="Lato" w:hAnsi="Lato" w:cs="Calibri"/>
          <w:color w:val="000000" w:themeColor="text1"/>
          <w:sz w:val="22"/>
          <w:szCs w:val="22"/>
        </w:rPr>
      </w:pPr>
      <w:r w:rsidRPr="00AA22C4">
        <w:rPr>
          <w:rFonts w:ascii="Lato" w:hAnsi="Lato" w:cs="Calibri"/>
          <w:color w:val="000000" w:themeColor="text1"/>
          <w:sz w:val="22"/>
          <w:szCs w:val="22"/>
        </w:rPr>
        <w:t>zmętnienie rogówki, niedosłuch,</w:t>
      </w:r>
    </w:p>
    <w:p w14:paraId="13DA5F16" w14:textId="77777777" w:rsidR="005E347E" w:rsidRPr="00AA22C4" w:rsidRDefault="005E347E" w:rsidP="005E347E">
      <w:pPr>
        <w:widowControl/>
        <w:numPr>
          <w:ilvl w:val="0"/>
          <w:numId w:val="97"/>
        </w:numPr>
        <w:spacing w:before="120" w:after="120"/>
        <w:ind w:left="714" w:hanging="357"/>
        <w:jc w:val="both"/>
        <w:rPr>
          <w:rFonts w:ascii="Lato" w:hAnsi="Lato" w:cs="Calibri"/>
          <w:color w:val="000000" w:themeColor="text1"/>
          <w:sz w:val="22"/>
          <w:szCs w:val="22"/>
        </w:rPr>
      </w:pPr>
      <w:r w:rsidRPr="00AA22C4">
        <w:rPr>
          <w:rFonts w:ascii="Lato" w:hAnsi="Lato" w:cs="Calibri"/>
          <w:color w:val="000000" w:themeColor="text1"/>
          <w:sz w:val="22"/>
          <w:szCs w:val="22"/>
        </w:rPr>
        <w:t>niewielkie powiększenie wątroby i śledziony, rzadsze przepukliny i wodogłowie.</w:t>
      </w:r>
    </w:p>
    <w:p w14:paraId="3B7E8577" w14:textId="77777777" w:rsidR="005E347E" w:rsidRPr="00AA22C4" w:rsidRDefault="005E347E" w:rsidP="005E347E">
      <w:pPr>
        <w:pStyle w:val="Tekstpodstawowy"/>
        <w:spacing w:before="120" w:line="360" w:lineRule="auto"/>
        <w:ind w:left="357"/>
        <w:jc w:val="both"/>
        <w:rPr>
          <w:rFonts w:ascii="Lato" w:hAnsi="Lato" w:cs="Calibri"/>
          <w:color w:val="000000" w:themeColor="text1"/>
          <w:sz w:val="22"/>
          <w:szCs w:val="22"/>
          <w:u w:val="single"/>
        </w:rPr>
      </w:pPr>
      <w:r w:rsidRPr="00AA22C4">
        <w:rPr>
          <w:rFonts w:ascii="Lato" w:hAnsi="Lato" w:cs="Calibri"/>
          <w:color w:val="000000" w:themeColor="text1"/>
          <w:sz w:val="22"/>
          <w:szCs w:val="22"/>
          <w:u w:val="single"/>
        </w:rPr>
        <w:t>Diagnostyka:</w:t>
      </w:r>
    </w:p>
    <w:p w14:paraId="7FD30217" w14:textId="77777777" w:rsidR="005E347E" w:rsidRPr="00AA22C4" w:rsidRDefault="005E347E" w:rsidP="005E347E">
      <w:pPr>
        <w:pStyle w:val="Akapitzlist"/>
        <w:widowControl/>
        <w:numPr>
          <w:ilvl w:val="0"/>
          <w:numId w:val="101"/>
        </w:numPr>
        <w:spacing w:before="120" w:after="120" w:line="360" w:lineRule="auto"/>
        <w:contextualSpacing w:val="0"/>
        <w:jc w:val="both"/>
        <w:rPr>
          <w:rFonts w:ascii="Lato" w:hAnsi="Lato"/>
          <w:color w:val="000000" w:themeColor="text1"/>
          <w:sz w:val="22"/>
          <w:szCs w:val="22"/>
        </w:rPr>
      </w:pPr>
      <w:r w:rsidRPr="00AA22C4">
        <w:rPr>
          <w:rFonts w:ascii="Lato" w:hAnsi="Lato"/>
          <w:color w:val="000000" w:themeColor="text1"/>
          <w:sz w:val="22"/>
          <w:szCs w:val="22"/>
        </w:rPr>
        <w:t>badanie przesiewowe - oznaczenie aktywności IDUA w suchej kropli krwi, ze względu na ryzyko otrzymania wyniku fałszywie dodatniego badanie to należy zawsze potwierdzić w innym typie próbki lub badaniem molekularnym,</w:t>
      </w:r>
    </w:p>
    <w:p w14:paraId="5D0420B8" w14:textId="77777777" w:rsidR="005E347E" w:rsidRPr="00AA22C4" w:rsidRDefault="005E347E" w:rsidP="005E347E">
      <w:pPr>
        <w:pStyle w:val="Akapitzlist"/>
        <w:numPr>
          <w:ilvl w:val="0"/>
          <w:numId w:val="101"/>
        </w:numPr>
        <w:spacing w:before="120" w:after="120" w:line="360" w:lineRule="auto"/>
        <w:contextualSpacing w:val="0"/>
        <w:jc w:val="both"/>
        <w:rPr>
          <w:rStyle w:val="rynqvb"/>
          <w:rFonts w:ascii="Lato" w:hAnsi="Lato"/>
          <w:color w:val="000000" w:themeColor="text1"/>
          <w:sz w:val="22"/>
          <w:szCs w:val="22"/>
        </w:rPr>
      </w:pPr>
      <w:r w:rsidRPr="00AA22C4">
        <w:rPr>
          <w:rStyle w:val="rynqvb"/>
          <w:rFonts w:ascii="Lato" w:hAnsi="Lato"/>
          <w:color w:val="000000" w:themeColor="text1"/>
          <w:sz w:val="22"/>
          <w:szCs w:val="22"/>
        </w:rPr>
        <w:t>oznaczenie stężenia GAG (</w:t>
      </w:r>
      <w:proofErr w:type="spellStart"/>
      <w:r w:rsidRPr="00AA22C4">
        <w:rPr>
          <w:rStyle w:val="rynqvb"/>
          <w:rFonts w:ascii="Lato" w:hAnsi="Lato"/>
          <w:color w:val="000000" w:themeColor="text1"/>
          <w:sz w:val="22"/>
          <w:szCs w:val="22"/>
        </w:rPr>
        <w:t>glikozaminoglikanów</w:t>
      </w:r>
      <w:proofErr w:type="spellEnd"/>
      <w:r w:rsidRPr="00AA22C4">
        <w:rPr>
          <w:rStyle w:val="rynqvb"/>
          <w:rFonts w:ascii="Lato" w:hAnsi="Lato"/>
          <w:color w:val="000000" w:themeColor="text1"/>
          <w:sz w:val="22"/>
          <w:szCs w:val="22"/>
        </w:rPr>
        <w:t>) w moczu,</w:t>
      </w:r>
    </w:p>
    <w:p w14:paraId="02681022" w14:textId="79EB8385" w:rsidR="005E347E" w:rsidRPr="00AA22C4" w:rsidRDefault="005E347E" w:rsidP="005E347E">
      <w:pPr>
        <w:pStyle w:val="Akapitzlist"/>
        <w:numPr>
          <w:ilvl w:val="0"/>
          <w:numId w:val="101"/>
        </w:numPr>
        <w:spacing w:before="120" w:after="120" w:line="360" w:lineRule="auto"/>
        <w:contextualSpacing w:val="0"/>
        <w:jc w:val="both"/>
        <w:rPr>
          <w:rFonts w:ascii="Lato" w:hAnsi="Lato"/>
          <w:color w:val="000000" w:themeColor="text1"/>
          <w:sz w:val="22"/>
          <w:szCs w:val="22"/>
        </w:rPr>
      </w:pPr>
      <w:r w:rsidRPr="00AA22C4">
        <w:rPr>
          <w:rFonts w:ascii="Lato" w:hAnsi="Lato"/>
          <w:color w:val="000000" w:themeColor="text1"/>
          <w:sz w:val="22"/>
          <w:szCs w:val="22"/>
        </w:rPr>
        <w:t xml:space="preserve">oznaczenie aktywności enzymu </w:t>
      </w:r>
      <w:r w:rsidRPr="00AA22C4">
        <w:rPr>
          <w:rStyle w:val="rynqvb"/>
          <w:rFonts w:ascii="Lato" w:hAnsi="Lato"/>
          <w:color w:val="000000" w:themeColor="text1"/>
          <w:sz w:val="22"/>
          <w:szCs w:val="22"/>
        </w:rPr>
        <w:t>IDUA</w:t>
      </w:r>
      <w:r w:rsidRPr="00AA22C4">
        <w:rPr>
          <w:rFonts w:ascii="Lato" w:hAnsi="Lato"/>
          <w:color w:val="000000" w:themeColor="text1"/>
          <w:sz w:val="22"/>
          <w:szCs w:val="22"/>
        </w:rPr>
        <w:t xml:space="preserve"> w leukocytach lub fibroblastach</w:t>
      </w:r>
      <w:r w:rsidR="00415816" w:rsidRPr="00AA22C4">
        <w:rPr>
          <w:rFonts w:ascii="Lato" w:hAnsi="Lato"/>
          <w:color w:val="000000" w:themeColor="text1"/>
          <w:sz w:val="22"/>
          <w:szCs w:val="22"/>
        </w:rPr>
        <w:t>,</w:t>
      </w:r>
    </w:p>
    <w:p w14:paraId="6D3FA14B" w14:textId="77777777" w:rsidR="005E347E" w:rsidRPr="00AA22C4" w:rsidRDefault="005E347E" w:rsidP="005E347E">
      <w:pPr>
        <w:pStyle w:val="Akapitzlist"/>
        <w:widowControl/>
        <w:numPr>
          <w:ilvl w:val="0"/>
          <w:numId w:val="101"/>
        </w:numPr>
        <w:spacing w:before="120" w:after="120" w:line="360" w:lineRule="auto"/>
        <w:contextualSpacing w:val="0"/>
        <w:jc w:val="both"/>
        <w:rPr>
          <w:rFonts w:ascii="Lato" w:hAnsi="Lato"/>
          <w:color w:val="000000" w:themeColor="text1"/>
          <w:sz w:val="22"/>
          <w:szCs w:val="22"/>
        </w:rPr>
      </w:pPr>
      <w:r w:rsidRPr="00AA22C4">
        <w:rPr>
          <w:rFonts w:ascii="Lato" w:hAnsi="Lato"/>
          <w:color w:val="000000" w:themeColor="text1"/>
          <w:sz w:val="22"/>
          <w:szCs w:val="22"/>
        </w:rPr>
        <w:t xml:space="preserve">badanie molekularne potwierdzające występowanie mutacji w obu allelach genu </w:t>
      </w:r>
      <w:r w:rsidRPr="00AA22C4">
        <w:rPr>
          <w:rStyle w:val="rynqvb"/>
          <w:rFonts w:ascii="Lato" w:hAnsi="Lato"/>
          <w:color w:val="000000" w:themeColor="text1"/>
          <w:sz w:val="22"/>
          <w:szCs w:val="22"/>
        </w:rPr>
        <w:t>IDUA.</w:t>
      </w:r>
    </w:p>
    <w:p w14:paraId="3D1BBC40" w14:textId="77777777" w:rsidR="005E347E" w:rsidRPr="00AA22C4" w:rsidRDefault="005E347E" w:rsidP="005E347E">
      <w:pPr>
        <w:pStyle w:val="Tekstpodstawowy"/>
        <w:spacing w:before="120" w:line="360" w:lineRule="auto"/>
        <w:ind w:left="357"/>
        <w:jc w:val="both"/>
        <w:rPr>
          <w:rFonts w:ascii="Lato" w:hAnsi="Lato" w:cs="Calibri"/>
          <w:color w:val="000000" w:themeColor="text1"/>
          <w:sz w:val="22"/>
          <w:szCs w:val="22"/>
          <w:u w:val="single"/>
        </w:rPr>
      </w:pPr>
      <w:r w:rsidRPr="00AA22C4">
        <w:rPr>
          <w:rFonts w:ascii="Lato" w:hAnsi="Lato" w:cs="Calibri"/>
          <w:color w:val="000000" w:themeColor="text1"/>
          <w:sz w:val="22"/>
          <w:szCs w:val="22"/>
          <w:u w:val="single"/>
        </w:rPr>
        <w:t>Leczenie:</w:t>
      </w:r>
    </w:p>
    <w:p w14:paraId="6C11B359" w14:textId="77777777" w:rsidR="005E347E" w:rsidRPr="00AA22C4" w:rsidRDefault="005E347E" w:rsidP="005E347E">
      <w:pPr>
        <w:pStyle w:val="Tekstpodstawowy"/>
        <w:spacing w:before="120" w:line="360" w:lineRule="auto"/>
        <w:ind w:left="357"/>
        <w:jc w:val="both"/>
        <w:rPr>
          <w:rFonts w:ascii="Lato" w:hAnsi="Lato" w:cs="Calibri"/>
          <w:color w:val="000000" w:themeColor="text1"/>
          <w:sz w:val="22"/>
          <w:szCs w:val="22"/>
        </w:rPr>
      </w:pPr>
      <w:r w:rsidRPr="00AA22C4">
        <w:rPr>
          <w:rFonts w:ascii="Lato" w:hAnsi="Lato" w:cs="Calibri"/>
          <w:color w:val="000000" w:themeColor="text1"/>
          <w:sz w:val="22"/>
          <w:szCs w:val="22"/>
        </w:rPr>
        <w:t xml:space="preserve">Dostępne metody leczenia obejmują enzymatyczną terapię zastępczą, przeszczepienie szpiku kostnego lub komórek macierzystych a także różnorodne podejścia łagodzące objawy </w:t>
      </w:r>
      <w:r w:rsidRPr="00AA22C4">
        <w:rPr>
          <w:rFonts w:ascii="Lato" w:hAnsi="Lato" w:cs="Calibri"/>
          <w:color w:val="000000" w:themeColor="text1"/>
          <w:sz w:val="22"/>
          <w:szCs w:val="22"/>
        </w:rPr>
        <w:lastRenderedPageBreak/>
        <w:t>choroby.</w:t>
      </w:r>
    </w:p>
    <w:p w14:paraId="7E1A3DD6" w14:textId="77777777" w:rsidR="005E347E" w:rsidRPr="00AA22C4" w:rsidRDefault="005E347E" w:rsidP="005E347E">
      <w:pPr>
        <w:pStyle w:val="Tekstpodstawowy"/>
        <w:spacing w:before="120" w:line="360" w:lineRule="auto"/>
        <w:ind w:left="357"/>
        <w:jc w:val="both"/>
        <w:rPr>
          <w:rFonts w:ascii="Lato" w:hAnsi="Lato" w:cs="Calibri"/>
          <w:color w:val="000000" w:themeColor="text1"/>
          <w:sz w:val="22"/>
          <w:szCs w:val="22"/>
        </w:rPr>
      </w:pPr>
      <w:r w:rsidRPr="00AA22C4">
        <w:rPr>
          <w:rFonts w:ascii="Lato" w:hAnsi="Lato" w:cs="Calibri"/>
          <w:color w:val="000000" w:themeColor="text1"/>
          <w:sz w:val="22"/>
          <w:szCs w:val="22"/>
        </w:rPr>
        <w:t xml:space="preserve">Leczenie przyczynowe </w:t>
      </w:r>
      <w:proofErr w:type="spellStart"/>
      <w:r w:rsidRPr="00AA22C4">
        <w:rPr>
          <w:rFonts w:ascii="Lato" w:hAnsi="Lato" w:cs="Calibri"/>
          <w:color w:val="000000" w:themeColor="text1"/>
          <w:sz w:val="22"/>
          <w:szCs w:val="22"/>
        </w:rPr>
        <w:t>mukopolisacharydozy</w:t>
      </w:r>
      <w:proofErr w:type="spellEnd"/>
      <w:r w:rsidRPr="00AA22C4">
        <w:rPr>
          <w:rFonts w:ascii="Lato" w:hAnsi="Lato" w:cs="Calibri"/>
          <w:color w:val="000000" w:themeColor="text1"/>
          <w:sz w:val="22"/>
          <w:szCs w:val="22"/>
        </w:rPr>
        <w:t xml:space="preserve"> typu 1 (MPS1) odbywa się w ramach programu lekowego B.24 (ICD-10 E 76.0). Polega ono na enzymatycznej terapii zastępczej z użyciem </w:t>
      </w:r>
      <w:proofErr w:type="spellStart"/>
      <w:r w:rsidRPr="00AA22C4">
        <w:rPr>
          <w:rFonts w:ascii="Lato" w:hAnsi="Lato" w:cs="Calibri"/>
          <w:color w:val="000000" w:themeColor="text1"/>
          <w:sz w:val="22"/>
          <w:szCs w:val="22"/>
        </w:rPr>
        <w:t>laronidazy</w:t>
      </w:r>
      <w:proofErr w:type="spellEnd"/>
      <w:r w:rsidRPr="00AA22C4">
        <w:rPr>
          <w:rFonts w:ascii="Lato" w:hAnsi="Lato" w:cs="Calibri"/>
          <w:color w:val="000000" w:themeColor="text1"/>
          <w:sz w:val="22"/>
          <w:szCs w:val="22"/>
        </w:rPr>
        <w:t xml:space="preserve">, rekombinowanego analogu naturalnego enzymu. </w:t>
      </w:r>
      <w:proofErr w:type="spellStart"/>
      <w:r w:rsidRPr="00AA22C4">
        <w:rPr>
          <w:rFonts w:ascii="Lato" w:hAnsi="Lato" w:cs="Calibri"/>
          <w:color w:val="000000" w:themeColor="text1"/>
          <w:sz w:val="22"/>
          <w:szCs w:val="22"/>
        </w:rPr>
        <w:t>Laronidazę</w:t>
      </w:r>
      <w:proofErr w:type="spellEnd"/>
      <w:r w:rsidRPr="00AA22C4">
        <w:rPr>
          <w:rFonts w:ascii="Lato" w:hAnsi="Lato" w:cs="Calibri"/>
          <w:color w:val="000000" w:themeColor="text1"/>
          <w:sz w:val="22"/>
          <w:szCs w:val="22"/>
        </w:rPr>
        <w:t xml:space="preserve"> podaje się pacjentowi dożylnie, w wolnym wlewie trwającym 3-4 godziny, raz w tygodniu, w dawce 100 jednostek na kilogram masy ciała.</w:t>
      </w:r>
    </w:p>
    <w:p w14:paraId="4FC33925" w14:textId="77777777" w:rsidR="005E347E" w:rsidRPr="00AA22C4" w:rsidRDefault="005E347E" w:rsidP="009038E8">
      <w:pPr>
        <w:pStyle w:val="Nagwek2"/>
        <w:numPr>
          <w:ilvl w:val="1"/>
          <w:numId w:val="16"/>
        </w:numPr>
        <w:spacing w:after="240"/>
        <w:ind w:left="851" w:hanging="851"/>
        <w:rPr>
          <w:rFonts w:ascii="Lato" w:hAnsi="Lato"/>
          <w:color w:val="000000" w:themeColor="text1"/>
          <w:kern w:val="1"/>
          <w:sz w:val="28"/>
          <w:szCs w:val="22"/>
          <w:lang w:eastAsia="ar-SA"/>
        </w:rPr>
      </w:pPr>
      <w:bookmarkStart w:id="5" w:name="_Toc514072278"/>
      <w:r w:rsidRPr="00AA22C4">
        <w:rPr>
          <w:rFonts w:ascii="Lato" w:hAnsi="Lato"/>
          <w:color w:val="000000" w:themeColor="text1"/>
          <w:kern w:val="1"/>
          <w:sz w:val="28"/>
          <w:szCs w:val="22"/>
          <w:lang w:eastAsia="ar-SA"/>
        </w:rPr>
        <w:t>Dane epidemiologiczne</w:t>
      </w:r>
      <w:bookmarkEnd w:id="5"/>
    </w:p>
    <w:p w14:paraId="0F742AC5" w14:textId="36C344B1" w:rsidR="005E347E" w:rsidRPr="00AA22C4" w:rsidRDefault="005E347E" w:rsidP="005E347E">
      <w:pPr>
        <w:suppressAutoHyphens/>
        <w:spacing w:before="120" w:after="120"/>
        <w:ind w:left="15"/>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Zabezpieczenie prawidłowego rozwoju nowonarodzonego dziecka przez wczesne wykrycie </w:t>
      </w:r>
      <w:r w:rsidRPr="00AA22C4">
        <w:rPr>
          <w:rFonts w:ascii="Lato" w:hAnsi="Lato"/>
          <w:color w:val="000000" w:themeColor="text1"/>
          <w:kern w:val="1"/>
          <w:sz w:val="22"/>
          <w:szCs w:val="22"/>
          <w:lang w:eastAsia="ar-SA"/>
        </w:rPr>
        <w:br/>
        <w:t>i leczenie choroby wrodzonej spełnia podstawowe oczekiwania społeczne wobec służby zdrowia konstytucyjnie gwarantowanej przez państwo. Badania przesiewowe ograniczają liczbę osób niepełnosprawnych wymagających opieki, a także w znacznym stopniu zmniejszają koszt społeczny ponoszony przez rodziny chorych. Szacuje się, że w Rzecz</w:t>
      </w:r>
      <w:r w:rsidR="007A48CA" w:rsidRPr="00AA22C4">
        <w:rPr>
          <w:rFonts w:ascii="Lato" w:hAnsi="Lato"/>
          <w:color w:val="000000" w:themeColor="text1"/>
          <w:kern w:val="1"/>
          <w:sz w:val="22"/>
          <w:szCs w:val="22"/>
          <w:lang w:eastAsia="ar-SA"/>
        </w:rPr>
        <w:t>y</w:t>
      </w:r>
      <w:r w:rsidRPr="00AA22C4">
        <w:rPr>
          <w:rFonts w:ascii="Lato" w:hAnsi="Lato"/>
          <w:color w:val="000000" w:themeColor="text1"/>
          <w:kern w:val="1"/>
          <w:sz w:val="22"/>
          <w:szCs w:val="22"/>
          <w:lang w:eastAsia="ar-SA"/>
        </w:rPr>
        <w:t xml:space="preserve">pospolitej Polskiej z chorobami wrodzonymi objętymi badaniami przesiewowymi rodzi się </w:t>
      </w:r>
      <w:r w:rsidR="000F25FD" w:rsidRPr="00AA22C4">
        <w:rPr>
          <w:rFonts w:ascii="Lato" w:hAnsi="Lato"/>
          <w:color w:val="000000" w:themeColor="text1"/>
          <w:kern w:val="1"/>
          <w:sz w:val="22"/>
          <w:szCs w:val="22"/>
          <w:lang w:eastAsia="ar-SA"/>
        </w:rPr>
        <w:t xml:space="preserve">średnio </w:t>
      </w:r>
      <w:r w:rsidRPr="00AA22C4">
        <w:rPr>
          <w:rFonts w:ascii="Lato" w:hAnsi="Lato"/>
          <w:color w:val="000000" w:themeColor="text1"/>
          <w:kern w:val="1"/>
          <w:sz w:val="22"/>
          <w:szCs w:val="22"/>
          <w:lang w:eastAsia="ar-SA"/>
        </w:rPr>
        <w:t xml:space="preserve">około </w:t>
      </w:r>
      <w:r w:rsidR="00AF23E1" w:rsidRPr="00AA22C4">
        <w:rPr>
          <w:rFonts w:ascii="Lato" w:hAnsi="Lato"/>
          <w:color w:val="000000" w:themeColor="text1"/>
          <w:kern w:val="1"/>
          <w:sz w:val="22"/>
          <w:szCs w:val="22"/>
          <w:lang w:eastAsia="ar-SA"/>
        </w:rPr>
        <w:t>350</w:t>
      </w:r>
      <w:r w:rsidRPr="00AA22C4">
        <w:rPr>
          <w:rFonts w:ascii="Lato" w:hAnsi="Lato"/>
          <w:color w:val="000000" w:themeColor="text1"/>
          <w:kern w:val="1"/>
          <w:sz w:val="22"/>
          <w:szCs w:val="22"/>
          <w:lang w:eastAsia="ar-SA"/>
        </w:rPr>
        <w:t xml:space="preserve"> dzieci rocznie. Oznacza to, że prowadzone badania przesiewowe dla 30 chorób, obejmujące całą populację noworodków, pozwalają uratować około </w:t>
      </w:r>
      <w:r w:rsidR="00AF23E1" w:rsidRPr="00AA22C4">
        <w:rPr>
          <w:rFonts w:ascii="Lato" w:hAnsi="Lato"/>
          <w:color w:val="000000" w:themeColor="text1"/>
          <w:kern w:val="1"/>
          <w:sz w:val="22"/>
          <w:szCs w:val="22"/>
          <w:lang w:eastAsia="ar-SA"/>
        </w:rPr>
        <w:t>350</w:t>
      </w:r>
      <w:r w:rsidRPr="00AA22C4">
        <w:rPr>
          <w:rFonts w:ascii="Lato" w:hAnsi="Lato"/>
          <w:color w:val="000000" w:themeColor="text1"/>
          <w:kern w:val="1"/>
          <w:sz w:val="22"/>
          <w:szCs w:val="22"/>
          <w:lang w:eastAsia="ar-SA"/>
        </w:rPr>
        <w:t xml:space="preserve"> dzieci rocznie. </w:t>
      </w:r>
      <w:r w:rsidRPr="00AA22C4">
        <w:rPr>
          <w:rFonts w:ascii="Lato" w:hAnsi="Lato"/>
          <w:color w:val="000000" w:themeColor="text1"/>
          <w:sz w:val="22"/>
          <w:szCs w:val="22"/>
        </w:rPr>
        <w:t>W ramach realizacji Programu, w latach 2015 - 2017, wykryto 1 078 noworodki z chorobami wrodzonymi objętymi badaniem przesiewowym. W latach 2019-202</w:t>
      </w:r>
      <w:r w:rsidR="006F5099" w:rsidRPr="00AA22C4">
        <w:rPr>
          <w:rFonts w:ascii="Lato" w:hAnsi="Lato"/>
          <w:color w:val="000000" w:themeColor="text1"/>
          <w:sz w:val="22"/>
          <w:szCs w:val="22"/>
        </w:rPr>
        <w:t>4</w:t>
      </w:r>
      <w:r w:rsidRPr="00AA22C4">
        <w:rPr>
          <w:rFonts w:ascii="Lato" w:hAnsi="Lato"/>
          <w:color w:val="000000" w:themeColor="text1"/>
          <w:sz w:val="22"/>
          <w:szCs w:val="22"/>
        </w:rPr>
        <w:t xml:space="preserve"> wykryto łącznie </w:t>
      </w:r>
      <w:r w:rsidR="006F5099" w:rsidRPr="00AA22C4">
        <w:rPr>
          <w:rFonts w:ascii="Lato" w:hAnsi="Lato"/>
          <w:color w:val="000000" w:themeColor="text1"/>
          <w:sz w:val="22"/>
          <w:szCs w:val="22"/>
        </w:rPr>
        <w:t>2028</w:t>
      </w:r>
      <w:r w:rsidRPr="00AA22C4">
        <w:rPr>
          <w:rFonts w:ascii="Lato" w:hAnsi="Lato"/>
          <w:color w:val="000000" w:themeColor="text1"/>
          <w:sz w:val="22"/>
          <w:szCs w:val="22"/>
        </w:rPr>
        <w:t xml:space="preserve"> przypadków chorób wrodzonych. </w:t>
      </w:r>
      <w:r w:rsidRPr="00AA22C4">
        <w:rPr>
          <w:rFonts w:ascii="Lato" w:hAnsi="Lato"/>
          <w:color w:val="000000" w:themeColor="text1"/>
          <w:kern w:val="1"/>
          <w:sz w:val="22"/>
          <w:szCs w:val="22"/>
          <w:lang w:eastAsia="ar-SA"/>
        </w:rPr>
        <w:t xml:space="preserve">Po wprowadzeniu do Programu badań 6 kolejnych chorób szacuje się, że będą one wykrywane u następnych 30-35 osób. Należy podkreślić, że choroby te stanowią zagrożenie życia i zdrowia, jeżeli pozostaną nierozpoznane. </w:t>
      </w:r>
    </w:p>
    <w:p w14:paraId="76997160" w14:textId="77777777" w:rsidR="005E347E" w:rsidRPr="00AA22C4" w:rsidRDefault="005E347E" w:rsidP="005E347E">
      <w:pPr>
        <w:pStyle w:val="Nagwek2"/>
        <w:numPr>
          <w:ilvl w:val="1"/>
          <w:numId w:val="16"/>
        </w:numPr>
        <w:ind w:left="851" w:hanging="851"/>
        <w:rPr>
          <w:rFonts w:ascii="Lato" w:hAnsi="Lato"/>
          <w:color w:val="000000" w:themeColor="text1"/>
          <w:kern w:val="1"/>
          <w:sz w:val="28"/>
          <w:szCs w:val="22"/>
          <w:lang w:eastAsia="ar-SA"/>
        </w:rPr>
      </w:pPr>
      <w:bookmarkStart w:id="6" w:name="_Toc514072279"/>
      <w:r w:rsidRPr="00AA22C4">
        <w:rPr>
          <w:rFonts w:ascii="Lato" w:hAnsi="Lato"/>
          <w:color w:val="000000" w:themeColor="text1"/>
          <w:kern w:val="1"/>
          <w:sz w:val="28"/>
          <w:szCs w:val="22"/>
          <w:lang w:eastAsia="ar-SA"/>
        </w:rPr>
        <w:t>Opis obecnego postępowania</w:t>
      </w:r>
      <w:bookmarkEnd w:id="6"/>
    </w:p>
    <w:p w14:paraId="779F5759" w14:textId="77777777"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Program badań przesiewowych noworodków jest jedynym postępowaniem, które umożliwia wczesne wykrycie, zdiagnozowanie i leczenie kilkudziesięciu chorób wrodzonych, które zagrażają życiu, zaburzają rozwój i prowadzą do nieodwracalnych zmian neurologicznych oraz niepełnosprawności intelektualnej w stopniu ciężkim. </w:t>
      </w:r>
    </w:p>
    <w:p w14:paraId="36E6EBB1" w14:textId="1489DE9C" w:rsidR="005E347E" w:rsidRPr="00AA22C4" w:rsidRDefault="005E347E" w:rsidP="005E347E">
      <w:pPr>
        <w:suppressAutoHyphens/>
        <w:spacing w:before="120" w:after="120"/>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W państwach Unii Europejskiej wszystkie noworodki objęte są tymi badaniami. Liczba badanych chorób sięga obecnie w Europie 30, a w USA w niektórych stanach dochodzi do 55 (przy czym obligatoryjnie we wszystkich stanach są badane 34 choroby). Postęp w świecie wymaga stałych prac nad przenoszeniem nowych rozwiązań na grunt naszego kraju oraz prowadzenia własnych prac badawczych. Program na lata 2015-2018 umożliwił objęcie badaniami przesiewowymi kolejnych chorób, w tym wrodzonego przerostu nadnerczy (WPN), </w:t>
      </w:r>
      <w:proofErr w:type="spellStart"/>
      <w:r w:rsidRPr="00AA22C4">
        <w:rPr>
          <w:rFonts w:ascii="Lato" w:hAnsi="Lato"/>
          <w:color w:val="000000" w:themeColor="text1"/>
          <w:kern w:val="1"/>
          <w:sz w:val="22"/>
          <w:szCs w:val="22"/>
          <w:lang w:eastAsia="ar-SA"/>
        </w:rPr>
        <w:t>argininobursztynurii</w:t>
      </w:r>
      <w:proofErr w:type="spellEnd"/>
      <w:r w:rsidRPr="00AA22C4">
        <w:rPr>
          <w:rFonts w:ascii="Lato" w:hAnsi="Lato"/>
          <w:color w:val="000000" w:themeColor="text1"/>
          <w:kern w:val="1"/>
          <w:sz w:val="22"/>
          <w:szCs w:val="22"/>
          <w:lang w:eastAsia="ar-SA"/>
        </w:rPr>
        <w:t xml:space="preserve"> (ASA), </w:t>
      </w:r>
      <w:proofErr w:type="spellStart"/>
      <w:r w:rsidRPr="00AA22C4">
        <w:rPr>
          <w:rFonts w:ascii="Lato" w:hAnsi="Lato"/>
          <w:color w:val="000000" w:themeColor="text1"/>
          <w:kern w:val="1"/>
          <w:sz w:val="22"/>
          <w:szCs w:val="22"/>
          <w:lang w:eastAsia="ar-SA"/>
        </w:rPr>
        <w:lastRenderedPageBreak/>
        <w:t>argininemii</w:t>
      </w:r>
      <w:proofErr w:type="spellEnd"/>
      <w:r w:rsidRPr="00AA22C4">
        <w:rPr>
          <w:rFonts w:ascii="Lato" w:hAnsi="Lato"/>
          <w:color w:val="000000" w:themeColor="text1"/>
          <w:kern w:val="1"/>
          <w:sz w:val="22"/>
          <w:szCs w:val="22"/>
          <w:lang w:eastAsia="ar-SA"/>
        </w:rPr>
        <w:t xml:space="preserve"> (ARG), deficytu białka trójfunkcyjnego (TFP), </w:t>
      </w:r>
      <w:proofErr w:type="spellStart"/>
      <w:r w:rsidRPr="00AA22C4">
        <w:rPr>
          <w:rFonts w:ascii="Lato" w:hAnsi="Lato"/>
          <w:color w:val="000000" w:themeColor="text1"/>
          <w:kern w:val="1"/>
          <w:sz w:val="22"/>
          <w:szCs w:val="22"/>
          <w:lang w:eastAsia="ar-SA"/>
        </w:rPr>
        <w:t>tyrozynemii</w:t>
      </w:r>
      <w:proofErr w:type="spellEnd"/>
      <w:r w:rsidRPr="00AA22C4">
        <w:rPr>
          <w:rFonts w:ascii="Lato" w:hAnsi="Lato"/>
          <w:color w:val="000000" w:themeColor="text1"/>
          <w:kern w:val="1"/>
          <w:sz w:val="22"/>
          <w:szCs w:val="22"/>
          <w:lang w:eastAsia="ar-SA"/>
        </w:rPr>
        <w:t xml:space="preserve"> typu II i </w:t>
      </w:r>
      <w:proofErr w:type="spellStart"/>
      <w:r w:rsidRPr="00AA22C4">
        <w:rPr>
          <w:rFonts w:ascii="Lato" w:hAnsi="Lato"/>
          <w:color w:val="000000" w:themeColor="text1"/>
          <w:kern w:val="1"/>
          <w:sz w:val="22"/>
          <w:szCs w:val="22"/>
          <w:lang w:eastAsia="ar-SA"/>
        </w:rPr>
        <w:t>cytrulinemii</w:t>
      </w:r>
      <w:proofErr w:type="spellEnd"/>
      <w:r w:rsidRPr="00AA22C4">
        <w:rPr>
          <w:rFonts w:ascii="Lato" w:hAnsi="Lato"/>
          <w:color w:val="000000" w:themeColor="text1"/>
          <w:kern w:val="1"/>
          <w:sz w:val="22"/>
          <w:szCs w:val="22"/>
          <w:lang w:eastAsia="ar-SA"/>
        </w:rPr>
        <w:t xml:space="preserve"> typu II. Aktualnie w Rzecz</w:t>
      </w:r>
      <w:r w:rsidR="007A48CA" w:rsidRPr="00AA22C4">
        <w:rPr>
          <w:rFonts w:ascii="Lato" w:hAnsi="Lato"/>
          <w:color w:val="000000" w:themeColor="text1"/>
          <w:kern w:val="1"/>
          <w:sz w:val="22"/>
          <w:szCs w:val="22"/>
          <w:lang w:eastAsia="ar-SA"/>
        </w:rPr>
        <w:t>y</w:t>
      </w:r>
      <w:r w:rsidRPr="00AA22C4">
        <w:rPr>
          <w:rFonts w:ascii="Lato" w:hAnsi="Lato"/>
          <w:color w:val="000000" w:themeColor="text1"/>
          <w:kern w:val="1"/>
          <w:sz w:val="22"/>
          <w:szCs w:val="22"/>
          <w:lang w:eastAsia="ar-SA"/>
        </w:rPr>
        <w:t>pospolitej Polskiej, w ramach realizowanej edycji Programu na lata 2019 - 2026, wykonuje się badania przesiewowe noworodków dla całej populacji, które obejmują 30 chorób wrodzonych.</w:t>
      </w:r>
    </w:p>
    <w:p w14:paraId="53ECB09A" w14:textId="553032AD" w:rsidR="005E347E" w:rsidRPr="00AA22C4" w:rsidRDefault="005E347E" w:rsidP="005E347E">
      <w:pPr>
        <w:suppressAutoHyphens/>
        <w:spacing w:before="120" w:after="120"/>
        <w:ind w:left="17"/>
        <w:jc w:val="both"/>
        <w:rPr>
          <w:rFonts w:ascii="Lato" w:eastAsia="Arial Unicode MS" w:hAnsi="Lato"/>
          <w:color w:val="000000" w:themeColor="text1"/>
          <w:kern w:val="1"/>
          <w:sz w:val="22"/>
          <w:szCs w:val="22"/>
          <w:lang w:eastAsia="ar-SA"/>
        </w:rPr>
      </w:pPr>
      <w:r w:rsidRPr="00AA22C4">
        <w:rPr>
          <w:rFonts w:ascii="Lato" w:eastAsia="Arial Unicode MS" w:hAnsi="Lato"/>
          <w:color w:val="000000" w:themeColor="text1"/>
          <w:kern w:val="1"/>
          <w:sz w:val="22"/>
          <w:szCs w:val="22"/>
          <w:lang w:eastAsia="ar-SA"/>
        </w:rPr>
        <w:t>Program badań przesiewowych wpisuje się w cele Strategii Rozwoju Kapitału Ludzkiego: „Poprawa zdrowia obywateli oraz efektywności systemu opieki zdrowotnej”. Realizacja i rozwój badań przesiewowych plasuje Rzeczpospolitą Polską w systemie krajów rozwiniętych, w których badaniami przesiewowym objęte są całe populacje noworodków (Ryc. 1, 2 i 3). Biorąc pod uwagę systematyczny postęp w medycynie, badania przesiewowe wymagają przede wszystkim kontynuowania dla chorób już objętych programem, jak i objęcia w niedalekiej przyszłości kolejnych, które są już badane w wielu krajach, takich jak galaktozemia lub są wdrażane, np. ciężki wrodzony niedobór odporności (ang. SCID) czy inne rzadkie wady metabolizmu. W związku ze stałym rozwojem metod analitycznych, w tym diagnostyki genetycznej są konieczne prace nad optymalizacją procedur dla poprawy efektywności diagnostyki i leczenia.</w:t>
      </w:r>
    </w:p>
    <w:p w14:paraId="3A3FF2D7" w14:textId="77777777" w:rsidR="005E347E" w:rsidRPr="00AA22C4" w:rsidRDefault="005E347E" w:rsidP="005E347E">
      <w:pPr>
        <w:suppressAutoHyphens/>
        <w:spacing w:before="120" w:after="120"/>
        <w:ind w:left="17"/>
        <w:jc w:val="both"/>
        <w:rPr>
          <w:rFonts w:ascii="Lato" w:hAnsi="Lato"/>
          <w:color w:val="000000" w:themeColor="text1"/>
          <w:sz w:val="22"/>
          <w:szCs w:val="22"/>
        </w:rPr>
      </w:pPr>
      <w:r w:rsidRPr="00AA22C4">
        <w:rPr>
          <w:rFonts w:ascii="Lato" w:hAnsi="Lato"/>
          <w:color w:val="000000" w:themeColor="text1"/>
          <w:sz w:val="22"/>
          <w:szCs w:val="22"/>
        </w:rPr>
        <w:t xml:space="preserve">Efekt społeczny i korzyść ekonomiczna badań przesiewowych noworodków są niekwestionowane na całym świecie, m.in. dlatego, że we wszystkich krajach Unii Europejskiej badania przesiewowe są realizowane jako program stały, finansowany przez resort zdrowia danego kraju. Koszt wykrycia choroby u 1 dziecka w badaniu przesiewowym odpowiada kosztom utrzymania osoby z niepełnosprawnością intelektualną w zakładzie opieki przez okres 2 - 3 lat. Dzieci chore wykryte w badaniach przesiewowych i wcześnie leczone uzyskują prawidłowy rozwój psychiczny i fizyczny i/lub znaczną poprawę jakości życia. </w:t>
      </w:r>
    </w:p>
    <w:p w14:paraId="2335D4C5" w14:textId="71D3E8F0" w:rsidR="005E347E" w:rsidRPr="00AA22C4" w:rsidRDefault="005E347E" w:rsidP="005E347E">
      <w:pPr>
        <w:suppressAutoHyphens/>
        <w:spacing w:before="120" w:after="120"/>
        <w:ind w:left="15"/>
        <w:contextualSpacing/>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 xml:space="preserve">Zarówno fenyloketonuria (PKU), wrodzona niedoczynność tarczycy (WNT), mukowiscydoza (CF), wrodzony przerost nadnerczy (WPN), deficyt biotynidazy (BIOT), wrodzone wady metabolizmu (WWM), jak i rdzeniowy zanik mięśni (SMA) spełniają kryteria WHO dla populacyjnych badań przesiewowych. Kontynuacja badań pozwoli wykorzystać istniejące laboratoria badań przesiewowych, które są wyposażone w jednakową aparaturę medyczną, sprzęt informatyczny oraz oprogramowanie, a także pracują </w:t>
      </w:r>
      <w:r w:rsidR="00B01154" w:rsidRPr="00AA22C4">
        <w:rPr>
          <w:rFonts w:ascii="Lato" w:hAnsi="Lato"/>
          <w:color w:val="000000" w:themeColor="text1"/>
          <w:kern w:val="1"/>
          <w:sz w:val="22"/>
          <w:szCs w:val="22"/>
          <w:lang w:eastAsia="ar-SA"/>
        </w:rPr>
        <w:t xml:space="preserve">zgodnie z </w:t>
      </w:r>
      <w:r w:rsidRPr="00AA22C4">
        <w:rPr>
          <w:rFonts w:ascii="Lato" w:hAnsi="Lato"/>
          <w:color w:val="000000" w:themeColor="text1"/>
          <w:kern w:val="1"/>
          <w:sz w:val="22"/>
          <w:szCs w:val="22"/>
          <w:lang w:eastAsia="ar-SA"/>
        </w:rPr>
        <w:t>jednolit</w:t>
      </w:r>
      <w:r w:rsidR="00B01154" w:rsidRPr="00AA22C4">
        <w:rPr>
          <w:rFonts w:ascii="Lato" w:hAnsi="Lato"/>
          <w:color w:val="000000" w:themeColor="text1"/>
          <w:kern w:val="1"/>
          <w:sz w:val="22"/>
          <w:szCs w:val="22"/>
          <w:lang w:eastAsia="ar-SA"/>
        </w:rPr>
        <w:t>ymi</w:t>
      </w:r>
      <w:r w:rsidRPr="00AA22C4">
        <w:rPr>
          <w:rFonts w:ascii="Lato" w:hAnsi="Lato"/>
          <w:color w:val="000000" w:themeColor="text1"/>
          <w:kern w:val="1"/>
          <w:sz w:val="22"/>
          <w:szCs w:val="22"/>
          <w:lang w:eastAsia="ar-SA"/>
        </w:rPr>
        <w:t xml:space="preserve"> procedur</w:t>
      </w:r>
      <w:r w:rsidR="00B01154" w:rsidRPr="00AA22C4">
        <w:rPr>
          <w:rFonts w:ascii="Lato" w:hAnsi="Lato"/>
          <w:color w:val="000000" w:themeColor="text1"/>
          <w:kern w:val="1"/>
          <w:sz w:val="22"/>
          <w:szCs w:val="22"/>
          <w:lang w:eastAsia="ar-SA"/>
        </w:rPr>
        <w:t>ami</w:t>
      </w:r>
      <w:r w:rsidRPr="00AA22C4">
        <w:rPr>
          <w:rFonts w:ascii="Lato" w:hAnsi="Lato"/>
          <w:color w:val="000000" w:themeColor="text1"/>
          <w:kern w:val="1"/>
          <w:sz w:val="22"/>
          <w:szCs w:val="22"/>
          <w:lang w:eastAsia="ar-SA"/>
        </w:rPr>
        <w:t>. Pozwoli to również na wykorzystanie dotychczasowych doświadczeń osób wykonujących badania, tj. techników laboratoryjnych, lekarzy, pielęgniarek, położnych a także osób odpowiedzialnych za prawidłowy przepływ informacji między szpitalami, a laboratoriami i klinikami.</w:t>
      </w:r>
    </w:p>
    <w:p w14:paraId="63303D31" w14:textId="0E2E2F81" w:rsidR="005E347E" w:rsidRPr="00AA22C4" w:rsidRDefault="005E347E" w:rsidP="005E347E">
      <w:pPr>
        <w:pStyle w:val="Tekstprzypisudolnego"/>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Doświadczenia z dotychczasowej realizacji badań przesiewowych stanowią bazę do dalszej modyfikacji i ewentualnego poszerzenia w przyszłości badań w Rzecz</w:t>
      </w:r>
      <w:r w:rsidR="007A48CA" w:rsidRPr="00AA22C4">
        <w:rPr>
          <w:rFonts w:ascii="Lato" w:hAnsi="Lato"/>
          <w:color w:val="000000" w:themeColor="text1"/>
          <w:sz w:val="22"/>
          <w:szCs w:val="22"/>
        </w:rPr>
        <w:t>y</w:t>
      </w:r>
      <w:r w:rsidRPr="00AA22C4">
        <w:rPr>
          <w:rFonts w:ascii="Lato" w:hAnsi="Lato"/>
          <w:color w:val="000000" w:themeColor="text1"/>
          <w:sz w:val="22"/>
          <w:szCs w:val="22"/>
        </w:rPr>
        <w:t xml:space="preserve">pospolitej Polskiej, </w:t>
      </w:r>
      <w:r w:rsidRPr="00AA22C4">
        <w:rPr>
          <w:rFonts w:ascii="Lato" w:hAnsi="Lato"/>
          <w:color w:val="000000" w:themeColor="text1"/>
          <w:sz w:val="22"/>
          <w:szCs w:val="22"/>
        </w:rPr>
        <w:lastRenderedPageBreak/>
        <w:t xml:space="preserve">zgodnie z trendem światowym. Program jest oparty na dotychczasowym schemacie organizacyjnym, który zostanie poszerzony o dodatkowe zadania i nowe testy, celem optymalizacji całej procedury. Zostanie wykorzystana elektroniczna transmisja danych z utworzeniem centralnej bazy danych w systemie „real </w:t>
      </w:r>
      <w:proofErr w:type="spellStart"/>
      <w:r w:rsidRPr="00AA22C4">
        <w:rPr>
          <w:rFonts w:ascii="Lato" w:hAnsi="Lato"/>
          <w:color w:val="000000" w:themeColor="text1"/>
          <w:sz w:val="22"/>
          <w:szCs w:val="22"/>
        </w:rPr>
        <w:t>time</w:t>
      </w:r>
      <w:proofErr w:type="spellEnd"/>
      <w:r w:rsidRPr="00AA22C4">
        <w:rPr>
          <w:rFonts w:ascii="Lato" w:hAnsi="Lato"/>
          <w:color w:val="000000" w:themeColor="text1"/>
          <w:sz w:val="22"/>
          <w:szCs w:val="22"/>
        </w:rPr>
        <w:t xml:space="preserve">”. </w:t>
      </w:r>
    </w:p>
    <w:p w14:paraId="4CA86069" w14:textId="198F0B87" w:rsidR="005E347E" w:rsidRPr="00AA22C4" w:rsidRDefault="005E347E" w:rsidP="005E347E">
      <w:pPr>
        <w:suppressAutoHyphens/>
        <w:spacing w:before="120" w:after="120"/>
        <w:ind w:left="17"/>
        <w:jc w:val="both"/>
        <w:rPr>
          <w:rFonts w:ascii="Lato" w:hAnsi="Lato"/>
          <w:color w:val="000000" w:themeColor="text1"/>
          <w:kern w:val="1"/>
          <w:sz w:val="22"/>
          <w:szCs w:val="22"/>
          <w:lang w:eastAsia="ar-SA"/>
        </w:rPr>
      </w:pPr>
      <w:r w:rsidRPr="00AA22C4">
        <w:rPr>
          <w:rFonts w:ascii="Lato" w:hAnsi="Lato"/>
          <w:color w:val="000000" w:themeColor="text1"/>
          <w:kern w:val="1"/>
          <w:sz w:val="22"/>
          <w:szCs w:val="22"/>
          <w:lang w:eastAsia="ar-SA"/>
        </w:rPr>
        <w:t>Mimo szerokiego katalogu chorób objętymi badaniami przesiewowymi, jest zasadne, aby w przyszłości objęto badaniem kolejne choroby, które są wykrywane w innych krajach rozwiniętych oraz utworzenie kompleksowego, wielozadaniowego modelu organizacji badań przesiewowych, w celu zapewnienia zarówno diagnostyki jak i efektywnego leczenia przez standaryzację procedur, a także monitorowanie krótko oraz długoterminowe.</w:t>
      </w:r>
    </w:p>
    <w:p w14:paraId="25AAFD26" w14:textId="0642720C" w:rsidR="00107D32" w:rsidRPr="00AA22C4" w:rsidRDefault="00107D32" w:rsidP="005E347E">
      <w:pPr>
        <w:suppressAutoHyphens/>
        <w:spacing w:before="120" w:after="120"/>
        <w:rPr>
          <w:rFonts w:ascii="Lato" w:eastAsia="Arial Unicode MS" w:hAnsi="Lato"/>
          <w:b/>
          <w:color w:val="000000" w:themeColor="text1"/>
          <w:kern w:val="1"/>
          <w:sz w:val="22"/>
          <w:szCs w:val="22"/>
          <w:lang w:eastAsia="ar-SA"/>
        </w:rPr>
      </w:pPr>
    </w:p>
    <w:p w14:paraId="5BB4CB5C" w14:textId="77777777" w:rsidR="009038E8" w:rsidRDefault="009038E8" w:rsidP="00467197">
      <w:pPr>
        <w:suppressAutoHyphens/>
        <w:spacing w:before="120" w:after="120"/>
        <w:ind w:left="17"/>
        <w:jc w:val="both"/>
        <w:rPr>
          <w:rFonts w:ascii="Lato" w:eastAsia="Arial Unicode MS" w:hAnsi="Lato"/>
          <w:b/>
          <w:color w:val="000000" w:themeColor="text1"/>
          <w:kern w:val="1"/>
          <w:sz w:val="22"/>
          <w:szCs w:val="22"/>
          <w:lang w:eastAsia="ar-SA"/>
        </w:rPr>
      </w:pPr>
    </w:p>
    <w:p w14:paraId="721B079B" w14:textId="777196D8" w:rsidR="00467197" w:rsidRPr="00AA22C4" w:rsidRDefault="00467197" w:rsidP="00467197">
      <w:pPr>
        <w:suppressAutoHyphens/>
        <w:spacing w:before="120" w:after="120"/>
        <w:ind w:left="17"/>
        <w:jc w:val="both"/>
        <w:rPr>
          <w:rFonts w:ascii="Lato" w:eastAsia="Arial Unicode MS" w:hAnsi="Lato"/>
          <w:b/>
          <w:color w:val="000000" w:themeColor="text1"/>
          <w:kern w:val="1"/>
          <w:sz w:val="22"/>
          <w:szCs w:val="22"/>
          <w:lang w:eastAsia="ar-SA"/>
        </w:rPr>
      </w:pPr>
      <w:r w:rsidRPr="00AA22C4">
        <w:rPr>
          <w:noProof/>
          <w:color w:val="000000" w:themeColor="text1"/>
        </w:rPr>
        <w:drawing>
          <wp:anchor distT="0" distB="0" distL="114300" distR="114300" simplePos="0" relativeHeight="251668992" behindDoc="0" locked="0" layoutInCell="1" allowOverlap="1" wp14:anchorId="18A5AE3E" wp14:editId="6F1E2D6E">
            <wp:simplePos x="0" y="0"/>
            <wp:positionH relativeFrom="margin">
              <wp:posOffset>33020</wp:posOffset>
            </wp:positionH>
            <wp:positionV relativeFrom="margin">
              <wp:posOffset>2680335</wp:posOffset>
            </wp:positionV>
            <wp:extent cx="5784850" cy="3886200"/>
            <wp:effectExtent l="0" t="0" r="6350" b="0"/>
            <wp:wrapSquare wrapText="bothSides"/>
            <wp:docPr id="19" name="Obraz 3" descr="Obraz zawierający tekst, mapa,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zawierający tekst, mapa, atlas&#10;&#10;Opis wygenerowany automatycznie"/>
                    <pic:cNvPicPr>
                      <a:picLocks noChangeAspect="1" noChangeArrowheads="1"/>
                    </pic:cNvPicPr>
                  </pic:nvPicPr>
                  <pic:blipFill rotWithShape="1">
                    <a:blip r:embed="rId9">
                      <a:extLst>
                        <a:ext uri="{28A0092B-C50C-407E-A947-70E740481C1C}">
                          <a14:useLocalDpi xmlns:a14="http://schemas.microsoft.com/office/drawing/2010/main" val="0"/>
                        </a:ext>
                      </a:extLst>
                    </a:blip>
                    <a:srcRect t="2758"/>
                    <a:stretch/>
                  </pic:blipFill>
                  <pic:spPr bwMode="auto">
                    <a:xfrm>
                      <a:off x="0" y="0"/>
                      <a:ext cx="5784850" cy="3886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A22C4">
        <w:rPr>
          <w:rFonts w:ascii="Lato" w:eastAsia="Arial Unicode MS" w:hAnsi="Lato"/>
          <w:b/>
          <w:color w:val="000000" w:themeColor="text1"/>
          <w:kern w:val="1"/>
          <w:sz w:val="22"/>
          <w:szCs w:val="22"/>
          <w:lang w:eastAsia="ar-SA"/>
        </w:rPr>
        <w:t xml:space="preserve">Ryc. 1 Procent noworodków objętych badaniami przesiewowymi w świecie według danych International </w:t>
      </w:r>
      <w:proofErr w:type="spellStart"/>
      <w:r w:rsidRPr="00AA22C4">
        <w:rPr>
          <w:rFonts w:ascii="Lato" w:eastAsia="Arial Unicode MS" w:hAnsi="Lato"/>
          <w:b/>
          <w:color w:val="000000" w:themeColor="text1"/>
          <w:kern w:val="1"/>
          <w:sz w:val="22"/>
          <w:szCs w:val="22"/>
          <w:lang w:eastAsia="ar-SA"/>
        </w:rPr>
        <w:t>Society</w:t>
      </w:r>
      <w:proofErr w:type="spellEnd"/>
      <w:r w:rsidRPr="00AA22C4">
        <w:rPr>
          <w:rFonts w:ascii="Lato" w:eastAsia="Arial Unicode MS" w:hAnsi="Lato"/>
          <w:b/>
          <w:color w:val="000000" w:themeColor="text1"/>
          <w:kern w:val="1"/>
          <w:sz w:val="22"/>
          <w:szCs w:val="22"/>
          <w:lang w:eastAsia="ar-SA"/>
        </w:rPr>
        <w:t xml:space="preserve"> for </w:t>
      </w:r>
      <w:proofErr w:type="spellStart"/>
      <w:r w:rsidRPr="00AA22C4">
        <w:rPr>
          <w:rFonts w:ascii="Lato" w:eastAsia="Arial Unicode MS" w:hAnsi="Lato"/>
          <w:b/>
          <w:color w:val="000000" w:themeColor="text1"/>
          <w:kern w:val="1"/>
          <w:sz w:val="22"/>
          <w:szCs w:val="22"/>
          <w:lang w:eastAsia="ar-SA"/>
        </w:rPr>
        <w:t>Newborn</w:t>
      </w:r>
      <w:proofErr w:type="spellEnd"/>
      <w:r w:rsidRPr="00AA22C4">
        <w:rPr>
          <w:rFonts w:ascii="Lato" w:eastAsia="Arial Unicode MS" w:hAnsi="Lato"/>
          <w:b/>
          <w:color w:val="000000" w:themeColor="text1"/>
          <w:kern w:val="1"/>
          <w:sz w:val="22"/>
          <w:szCs w:val="22"/>
          <w:lang w:eastAsia="ar-SA"/>
        </w:rPr>
        <w:t xml:space="preserve"> Screening (ISNS).</w:t>
      </w:r>
    </w:p>
    <w:p w14:paraId="11FFAD3D" w14:textId="6244A6BA" w:rsidR="00467197" w:rsidRPr="00AA22C4" w:rsidRDefault="00467197" w:rsidP="00467197">
      <w:pPr>
        <w:suppressAutoHyphens/>
        <w:spacing w:before="120" w:after="120"/>
        <w:ind w:left="17"/>
        <w:jc w:val="both"/>
        <w:rPr>
          <w:rFonts w:ascii="Lato" w:eastAsia="Arial Unicode MS" w:hAnsi="Lato"/>
          <w:b/>
          <w:color w:val="000000" w:themeColor="text1"/>
          <w:kern w:val="1"/>
          <w:sz w:val="22"/>
          <w:szCs w:val="22"/>
          <w:lang w:eastAsia="ar-SA"/>
        </w:rPr>
      </w:pPr>
    </w:p>
    <w:p w14:paraId="43F55678" w14:textId="77777777" w:rsidR="00107D32" w:rsidRPr="00AA22C4" w:rsidRDefault="00107D32" w:rsidP="005E347E">
      <w:pPr>
        <w:suppressAutoHyphens/>
        <w:spacing w:before="120" w:after="120"/>
        <w:rPr>
          <w:rFonts w:ascii="Lato" w:eastAsia="Arial Unicode MS" w:hAnsi="Lato"/>
          <w:b/>
          <w:color w:val="000000" w:themeColor="text1"/>
          <w:kern w:val="1"/>
          <w:sz w:val="22"/>
          <w:szCs w:val="22"/>
          <w:lang w:eastAsia="ar-SA"/>
        </w:rPr>
      </w:pPr>
    </w:p>
    <w:p w14:paraId="2D38D014" w14:textId="77777777" w:rsidR="00107D32" w:rsidRPr="00AA22C4" w:rsidRDefault="00107D32" w:rsidP="005E347E">
      <w:pPr>
        <w:suppressAutoHyphens/>
        <w:spacing w:before="120" w:after="120"/>
        <w:rPr>
          <w:rFonts w:ascii="Lato" w:eastAsia="Arial Unicode MS" w:hAnsi="Lato"/>
          <w:b/>
          <w:color w:val="000000" w:themeColor="text1"/>
          <w:kern w:val="1"/>
          <w:sz w:val="22"/>
          <w:szCs w:val="22"/>
          <w:lang w:eastAsia="ar-SA"/>
        </w:rPr>
      </w:pPr>
    </w:p>
    <w:p w14:paraId="6A5143B7" w14:textId="77777777" w:rsidR="00107D32" w:rsidRPr="00AA22C4" w:rsidRDefault="00107D32" w:rsidP="005E347E">
      <w:pPr>
        <w:suppressAutoHyphens/>
        <w:spacing w:before="120" w:after="120"/>
        <w:rPr>
          <w:rFonts w:ascii="Lato" w:eastAsia="Arial Unicode MS" w:hAnsi="Lato"/>
          <w:b/>
          <w:color w:val="000000" w:themeColor="text1"/>
          <w:kern w:val="1"/>
          <w:sz w:val="22"/>
          <w:szCs w:val="22"/>
          <w:lang w:eastAsia="ar-SA"/>
        </w:rPr>
      </w:pPr>
    </w:p>
    <w:p w14:paraId="5078A538" w14:textId="68AA5E8C" w:rsidR="005E347E" w:rsidRPr="00AA22C4" w:rsidRDefault="005E347E" w:rsidP="005E347E">
      <w:pPr>
        <w:suppressAutoHyphens/>
        <w:spacing w:before="120" w:after="120"/>
        <w:rPr>
          <w:rFonts w:ascii="Lato" w:eastAsia="Arial Unicode MS" w:hAnsi="Lato"/>
          <w:b/>
          <w:noProof/>
          <w:color w:val="000000" w:themeColor="text1"/>
          <w:kern w:val="1"/>
          <w:sz w:val="22"/>
          <w:szCs w:val="22"/>
        </w:rPr>
      </w:pPr>
      <w:r w:rsidRPr="00AA22C4">
        <w:rPr>
          <w:rFonts w:ascii="Lato" w:eastAsia="Arial Unicode MS" w:hAnsi="Lato"/>
          <w:b/>
          <w:color w:val="000000" w:themeColor="text1"/>
          <w:kern w:val="1"/>
          <w:sz w:val="22"/>
          <w:szCs w:val="22"/>
          <w:lang w:eastAsia="ar-SA"/>
        </w:rPr>
        <w:lastRenderedPageBreak/>
        <w:t>Ryc. 2 Rozwój badań przesiewowych w Rzecz</w:t>
      </w:r>
      <w:r w:rsidR="007A48CA" w:rsidRPr="00AA22C4">
        <w:rPr>
          <w:rFonts w:ascii="Lato" w:eastAsia="Arial Unicode MS" w:hAnsi="Lato"/>
          <w:b/>
          <w:color w:val="000000" w:themeColor="text1"/>
          <w:kern w:val="1"/>
          <w:sz w:val="22"/>
          <w:szCs w:val="22"/>
          <w:lang w:eastAsia="ar-SA"/>
        </w:rPr>
        <w:t>y</w:t>
      </w:r>
      <w:r w:rsidRPr="00AA22C4">
        <w:rPr>
          <w:rFonts w:ascii="Lato" w:eastAsia="Arial Unicode MS" w:hAnsi="Lato"/>
          <w:b/>
          <w:color w:val="000000" w:themeColor="text1"/>
          <w:kern w:val="1"/>
          <w:sz w:val="22"/>
          <w:szCs w:val="22"/>
          <w:lang w:eastAsia="ar-SA"/>
        </w:rPr>
        <w:t>pospolitej Polskiej.</w:t>
      </w:r>
      <w:r w:rsidRPr="00AA22C4">
        <w:rPr>
          <w:rFonts w:ascii="Lato" w:eastAsia="Arial Unicode MS" w:hAnsi="Lato"/>
          <w:b/>
          <w:noProof/>
          <w:color w:val="000000" w:themeColor="text1"/>
          <w:kern w:val="1"/>
          <w:sz w:val="22"/>
          <w:szCs w:val="22"/>
        </w:rPr>
        <w:t xml:space="preserve"> </w:t>
      </w:r>
      <w:r w:rsidR="005110F2" w:rsidRPr="00AA22C4">
        <w:rPr>
          <w:rFonts w:ascii="Lato" w:eastAsia="Arial Unicode MS" w:hAnsi="Lato"/>
          <w:b/>
          <w:noProof/>
          <w:color w:val="000000" w:themeColor="text1"/>
          <w:kern w:val="1"/>
          <w:sz w:val="22"/>
          <w:szCs w:val="22"/>
        </w:rPr>
        <w:drawing>
          <wp:inline distT="0" distB="0" distL="0" distR="0" wp14:anchorId="1A714B7A" wp14:editId="48CF9BF0">
            <wp:extent cx="5619750" cy="3810000"/>
            <wp:effectExtent l="0" t="0" r="0" b="0"/>
            <wp:docPr id="2" name="Obraz 888635106" descr="Obraz zawierający zrzut ekranu, tekst, diagram, Oprogramowanie multimedialn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88635106" descr="Obraz zawierający zrzut ekranu, tekst, diagram, Oprogramowanie multimedialne&#10;&#10;Opis wygenerowany automatyczni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9750" cy="3810000"/>
                    </a:xfrm>
                    <a:prstGeom prst="rect">
                      <a:avLst/>
                    </a:prstGeom>
                    <a:noFill/>
                    <a:ln>
                      <a:noFill/>
                    </a:ln>
                  </pic:spPr>
                </pic:pic>
              </a:graphicData>
            </a:graphic>
          </wp:inline>
        </w:drawing>
      </w:r>
    </w:p>
    <w:p w14:paraId="104C1ACB" w14:textId="4BFD8047" w:rsidR="005E347E" w:rsidRPr="00AA22C4" w:rsidRDefault="005E347E" w:rsidP="005E347E">
      <w:pPr>
        <w:suppressAutoHyphens/>
        <w:spacing w:before="120" w:after="120"/>
        <w:contextualSpacing/>
        <w:jc w:val="both"/>
        <w:rPr>
          <w:rFonts w:ascii="Lato" w:eastAsia="Arial Unicode MS" w:hAnsi="Lato"/>
          <w:b/>
          <w:color w:val="000000" w:themeColor="text1"/>
          <w:kern w:val="1"/>
          <w:sz w:val="22"/>
          <w:szCs w:val="22"/>
          <w:lang w:eastAsia="ar-SA"/>
        </w:rPr>
      </w:pPr>
      <w:r w:rsidRPr="00AA22C4">
        <w:rPr>
          <w:rFonts w:ascii="Lato" w:eastAsia="Arial Unicode MS" w:hAnsi="Lato"/>
          <w:b/>
          <w:color w:val="000000" w:themeColor="text1"/>
          <w:kern w:val="1"/>
          <w:sz w:val="22"/>
          <w:szCs w:val="22"/>
          <w:lang w:eastAsia="ar-SA"/>
        </w:rPr>
        <w:t>Ryc. 3. Badania przesiewowe noworodków - porównanie Rzecz</w:t>
      </w:r>
      <w:r w:rsidR="007A48CA" w:rsidRPr="00AA22C4">
        <w:rPr>
          <w:rFonts w:ascii="Lato" w:eastAsia="Arial Unicode MS" w:hAnsi="Lato"/>
          <w:b/>
          <w:color w:val="000000" w:themeColor="text1"/>
          <w:kern w:val="1"/>
          <w:sz w:val="22"/>
          <w:szCs w:val="22"/>
          <w:lang w:eastAsia="ar-SA"/>
        </w:rPr>
        <w:t>y</w:t>
      </w:r>
      <w:r w:rsidRPr="00AA22C4">
        <w:rPr>
          <w:rFonts w:ascii="Lato" w:eastAsia="Arial Unicode MS" w:hAnsi="Lato"/>
          <w:b/>
          <w:color w:val="000000" w:themeColor="text1"/>
          <w:kern w:val="1"/>
          <w:sz w:val="22"/>
          <w:szCs w:val="22"/>
          <w:lang w:eastAsia="ar-SA"/>
        </w:rPr>
        <w:t>pospolit</w:t>
      </w:r>
      <w:r w:rsidR="007A48CA" w:rsidRPr="00AA22C4">
        <w:rPr>
          <w:rFonts w:ascii="Lato" w:eastAsia="Arial Unicode MS" w:hAnsi="Lato"/>
          <w:b/>
          <w:color w:val="000000" w:themeColor="text1"/>
          <w:kern w:val="1"/>
          <w:sz w:val="22"/>
          <w:szCs w:val="22"/>
          <w:lang w:eastAsia="ar-SA"/>
        </w:rPr>
        <w:t>ej</w:t>
      </w:r>
      <w:r w:rsidRPr="00AA22C4">
        <w:rPr>
          <w:rFonts w:ascii="Lato" w:eastAsia="Arial Unicode MS" w:hAnsi="Lato"/>
          <w:b/>
          <w:color w:val="000000" w:themeColor="text1"/>
          <w:kern w:val="1"/>
          <w:sz w:val="22"/>
          <w:szCs w:val="22"/>
          <w:lang w:eastAsia="ar-SA"/>
        </w:rPr>
        <w:t xml:space="preserve"> Polsk</w:t>
      </w:r>
      <w:r w:rsidR="007A48CA" w:rsidRPr="00AA22C4">
        <w:rPr>
          <w:rFonts w:ascii="Lato" w:eastAsia="Arial Unicode MS" w:hAnsi="Lato"/>
          <w:b/>
          <w:color w:val="000000" w:themeColor="text1"/>
          <w:kern w:val="1"/>
          <w:sz w:val="22"/>
          <w:szCs w:val="22"/>
          <w:lang w:eastAsia="ar-SA"/>
        </w:rPr>
        <w:t>iej</w:t>
      </w:r>
      <w:r w:rsidRPr="00AA22C4">
        <w:rPr>
          <w:rFonts w:ascii="Lato" w:eastAsia="Arial Unicode MS" w:hAnsi="Lato"/>
          <w:b/>
          <w:color w:val="000000" w:themeColor="text1"/>
          <w:kern w:val="1"/>
          <w:sz w:val="22"/>
          <w:szCs w:val="22"/>
          <w:lang w:eastAsia="ar-SA"/>
        </w:rPr>
        <w:t xml:space="preserve"> z innymi krajami.</w:t>
      </w:r>
    </w:p>
    <w:p w14:paraId="52AC9CFC" w14:textId="122F5BA1" w:rsidR="005E347E" w:rsidRPr="00AA22C4" w:rsidRDefault="005110F2" w:rsidP="005E347E">
      <w:pPr>
        <w:suppressAutoHyphens/>
        <w:spacing w:before="120" w:after="120"/>
        <w:contextualSpacing/>
        <w:jc w:val="both"/>
        <w:rPr>
          <w:rFonts w:ascii="Lato" w:hAnsi="Lato"/>
          <w:color w:val="000000" w:themeColor="text1"/>
          <w:sz w:val="22"/>
          <w:szCs w:val="22"/>
        </w:rPr>
      </w:pPr>
      <w:r w:rsidRPr="00AA22C4">
        <w:rPr>
          <w:rFonts w:ascii="Lato" w:eastAsia="Arial Unicode MS" w:hAnsi="Lato"/>
          <w:noProof/>
          <w:color w:val="000000" w:themeColor="text1"/>
          <w:kern w:val="1"/>
          <w:szCs w:val="22"/>
        </w:rPr>
        <w:drawing>
          <wp:inline distT="0" distB="0" distL="0" distR="0" wp14:anchorId="076958D9" wp14:editId="1E57323F">
            <wp:extent cx="5743575" cy="3962400"/>
            <wp:effectExtent l="0" t="0" r="0" b="0"/>
            <wp:docPr id="3" name="Obraz 1014407706" descr="Obraz zawierający zrzut ekranu, tekst, linia, Równolegl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14407706" descr="Obraz zawierający zrzut ekranu, tekst, linia, Równolegle&#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3575" cy="3962400"/>
                    </a:xfrm>
                    <a:prstGeom prst="rect">
                      <a:avLst/>
                    </a:prstGeom>
                    <a:noFill/>
                    <a:ln>
                      <a:noFill/>
                    </a:ln>
                  </pic:spPr>
                </pic:pic>
              </a:graphicData>
            </a:graphic>
          </wp:inline>
        </w:drawing>
      </w:r>
    </w:p>
    <w:p w14:paraId="3E3F9876" w14:textId="5DDFD43C" w:rsidR="005E347E" w:rsidRPr="00AA22C4" w:rsidRDefault="005E347E" w:rsidP="005E347E">
      <w:pPr>
        <w:suppressAutoHyphens/>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lastRenderedPageBreak/>
        <w:t>Badania przesiewowe noworodków są rozwijane w Rzecz</w:t>
      </w:r>
      <w:r w:rsidR="007A48CA" w:rsidRPr="00AA22C4">
        <w:rPr>
          <w:rFonts w:ascii="Lato" w:hAnsi="Lato"/>
          <w:color w:val="000000" w:themeColor="text1"/>
          <w:sz w:val="22"/>
          <w:szCs w:val="22"/>
        </w:rPr>
        <w:t>y</w:t>
      </w:r>
      <w:r w:rsidRPr="00AA22C4">
        <w:rPr>
          <w:rFonts w:ascii="Lato" w:hAnsi="Lato"/>
          <w:color w:val="000000" w:themeColor="text1"/>
          <w:sz w:val="22"/>
          <w:szCs w:val="22"/>
        </w:rPr>
        <w:t xml:space="preserve">pospolitej Polskiej, podobnie jak w innych krajach Unii Europejskiej, USA, Kanadzie i wielu innych krajach. W </w:t>
      </w:r>
      <w:r w:rsidR="00B01154" w:rsidRPr="00AA22C4">
        <w:rPr>
          <w:rFonts w:ascii="Lato" w:hAnsi="Lato"/>
          <w:color w:val="000000" w:themeColor="text1"/>
          <w:sz w:val="22"/>
          <w:szCs w:val="22"/>
        </w:rPr>
        <w:t xml:space="preserve">związku z </w:t>
      </w:r>
      <w:r w:rsidRPr="00AA22C4">
        <w:rPr>
          <w:rFonts w:ascii="Lato" w:hAnsi="Lato"/>
          <w:color w:val="000000" w:themeColor="text1"/>
          <w:sz w:val="22"/>
          <w:szCs w:val="22"/>
        </w:rPr>
        <w:t>finansowanie</w:t>
      </w:r>
      <w:r w:rsidR="00B01154" w:rsidRPr="00AA22C4">
        <w:rPr>
          <w:rFonts w:ascii="Lato" w:hAnsi="Lato"/>
          <w:color w:val="000000" w:themeColor="text1"/>
          <w:sz w:val="22"/>
          <w:szCs w:val="22"/>
        </w:rPr>
        <w:t>m</w:t>
      </w:r>
      <w:r w:rsidRPr="00AA22C4">
        <w:rPr>
          <w:rFonts w:ascii="Lato" w:hAnsi="Lato"/>
          <w:color w:val="000000" w:themeColor="text1"/>
          <w:sz w:val="22"/>
          <w:szCs w:val="22"/>
        </w:rPr>
        <w:t xml:space="preserve"> ze środków z budżetu państwa prace badawcze i wdrożeniowe doprowadziły do ujednolicenia metod badań przesiewowych oraz utworzenia sieci współpracujących ze sobą ośrodków przesiewowych, podlegających kontroli jakości. W całym kraju funkcjonuje obecnie jednolity system organizacyjny oparty o komputerowy rejestr wszystkich noworodków, dzięki temu badaniem objęte jest prawie 100% populacji. Badania są wykonywane w wyspecjalizowanych laboratoriach badań przesiewowych spełniających warunki realizacji zadań wynikających z Programu w zakresie personelu, wyposażenia i warunków lokalowych. Współpracują w ramach jednolitej bazy danych i jednolitej procedury wykonania badań pod nadzorem IMID. </w:t>
      </w:r>
    </w:p>
    <w:p w14:paraId="39E8E22A" w14:textId="77777777" w:rsidR="005E347E" w:rsidRPr="00AA22C4" w:rsidRDefault="005E347E" w:rsidP="006F5099">
      <w:pPr>
        <w:suppressAutoHyphens/>
        <w:spacing w:before="240" w:after="120"/>
        <w:jc w:val="both"/>
        <w:rPr>
          <w:rStyle w:val="pismamzZnak"/>
          <w:rFonts w:ascii="Lato" w:hAnsi="Lato"/>
          <w:color w:val="000000" w:themeColor="text1"/>
        </w:rPr>
      </w:pPr>
      <w:r w:rsidRPr="00AA22C4">
        <w:rPr>
          <w:rStyle w:val="pismamzZnak"/>
          <w:rFonts w:ascii="Lato" w:hAnsi="Lato"/>
          <w:color w:val="000000" w:themeColor="text1"/>
        </w:rPr>
        <w:t>Laboratoria przesiewowe wskazane przez IMID:</w:t>
      </w:r>
    </w:p>
    <w:p w14:paraId="36394B16" w14:textId="77777777" w:rsidR="005E347E" w:rsidRPr="00AA22C4" w:rsidRDefault="005E347E" w:rsidP="005E347E">
      <w:pPr>
        <w:pStyle w:val="Akapitzlist"/>
        <w:numPr>
          <w:ilvl w:val="0"/>
          <w:numId w:val="83"/>
        </w:numPr>
        <w:spacing w:before="120" w:after="120"/>
        <w:jc w:val="both"/>
        <w:rPr>
          <w:rStyle w:val="pismamzZnak"/>
          <w:rFonts w:ascii="Lato" w:hAnsi="Lato"/>
          <w:color w:val="000000" w:themeColor="text1"/>
          <w:kern w:val="0"/>
        </w:rPr>
      </w:pPr>
      <w:r w:rsidRPr="00AA22C4">
        <w:rPr>
          <w:rStyle w:val="pismamzZnak"/>
          <w:rFonts w:ascii="Lato" w:hAnsi="Lato"/>
          <w:color w:val="000000" w:themeColor="text1"/>
          <w:kern w:val="0"/>
        </w:rPr>
        <w:t>Szpital Dziecięcy Polanki im. Macieja Płażyńskiego w Gdańsku</w:t>
      </w:r>
    </w:p>
    <w:p w14:paraId="4F025F10" w14:textId="77777777" w:rsidR="005E347E" w:rsidRPr="00AA22C4" w:rsidRDefault="005E347E" w:rsidP="005E347E">
      <w:pPr>
        <w:pStyle w:val="Akapitzlist"/>
        <w:spacing w:before="120" w:after="120"/>
        <w:ind w:left="1095"/>
        <w:jc w:val="both"/>
        <w:rPr>
          <w:rStyle w:val="pismamzZnak"/>
          <w:rFonts w:ascii="Lato" w:hAnsi="Lato"/>
          <w:color w:val="000000" w:themeColor="text1"/>
          <w:kern w:val="0"/>
        </w:rPr>
      </w:pPr>
      <w:r w:rsidRPr="00AA22C4">
        <w:rPr>
          <w:rStyle w:val="pismamzZnak"/>
          <w:rFonts w:ascii="Lato" w:hAnsi="Lato"/>
          <w:color w:val="000000" w:themeColor="text1"/>
          <w:kern w:val="0"/>
        </w:rPr>
        <w:t xml:space="preserve">Pracownia Badań Przesiewowych Noworodków </w:t>
      </w:r>
    </w:p>
    <w:p w14:paraId="2905BB03" w14:textId="77777777" w:rsidR="005E347E" w:rsidRPr="00AA22C4" w:rsidRDefault="005E347E" w:rsidP="005E347E">
      <w:pPr>
        <w:pStyle w:val="Akapitzlist"/>
        <w:spacing w:before="120" w:after="120"/>
        <w:ind w:left="1095"/>
        <w:jc w:val="both"/>
        <w:rPr>
          <w:rStyle w:val="pismamzZnak"/>
          <w:rFonts w:ascii="Lato" w:hAnsi="Lato"/>
          <w:color w:val="000000" w:themeColor="text1"/>
          <w:kern w:val="0"/>
        </w:rPr>
      </w:pPr>
      <w:r w:rsidRPr="00AA22C4">
        <w:rPr>
          <w:rStyle w:val="pismamzZnak"/>
          <w:rFonts w:ascii="Lato" w:hAnsi="Lato"/>
          <w:color w:val="000000" w:themeColor="text1"/>
          <w:kern w:val="0"/>
        </w:rPr>
        <w:t>ul. Polanki 119</w:t>
      </w:r>
    </w:p>
    <w:p w14:paraId="5BE41F88" w14:textId="77777777" w:rsidR="005E347E" w:rsidRPr="00AA22C4" w:rsidRDefault="005E347E" w:rsidP="005E347E">
      <w:pPr>
        <w:pStyle w:val="Akapitzlist"/>
        <w:spacing w:before="120" w:line="360" w:lineRule="auto"/>
        <w:ind w:left="1095"/>
        <w:jc w:val="both"/>
        <w:rPr>
          <w:rStyle w:val="pismamzZnak"/>
          <w:rFonts w:ascii="Lato" w:hAnsi="Lato"/>
          <w:color w:val="000000" w:themeColor="text1"/>
          <w:kern w:val="0"/>
        </w:rPr>
      </w:pPr>
      <w:r w:rsidRPr="00AA22C4">
        <w:rPr>
          <w:rStyle w:val="pismamzZnak"/>
          <w:rFonts w:ascii="Lato" w:hAnsi="Lato"/>
          <w:color w:val="000000" w:themeColor="text1"/>
          <w:kern w:val="0"/>
        </w:rPr>
        <w:t>80-308 GDAŃSK</w:t>
      </w:r>
    </w:p>
    <w:p w14:paraId="599A7C25" w14:textId="77777777" w:rsidR="005E347E" w:rsidRPr="00AA22C4" w:rsidRDefault="005E347E" w:rsidP="005E347E">
      <w:pPr>
        <w:pStyle w:val="Akapitzlist"/>
        <w:numPr>
          <w:ilvl w:val="0"/>
          <w:numId w:val="83"/>
        </w:numPr>
        <w:spacing w:after="120"/>
        <w:jc w:val="both"/>
        <w:rPr>
          <w:rStyle w:val="pismamzZnak"/>
          <w:rFonts w:ascii="Lato" w:hAnsi="Lato"/>
          <w:color w:val="000000" w:themeColor="text1"/>
          <w:kern w:val="0"/>
        </w:rPr>
      </w:pPr>
      <w:r w:rsidRPr="00AA22C4">
        <w:rPr>
          <w:rStyle w:val="pismamzZnak"/>
          <w:rFonts w:ascii="Lato" w:hAnsi="Lato"/>
          <w:color w:val="000000" w:themeColor="text1"/>
          <w:kern w:val="0"/>
        </w:rPr>
        <w:t xml:space="preserve">Zespół Wojewódzkich Przychodni Specjalistycznych </w:t>
      </w:r>
    </w:p>
    <w:p w14:paraId="16998C2F" w14:textId="77777777" w:rsidR="005E347E" w:rsidRPr="00AA22C4" w:rsidRDefault="005E347E" w:rsidP="005E347E">
      <w:pPr>
        <w:pStyle w:val="Akapitzlist"/>
        <w:spacing w:before="120" w:after="120"/>
        <w:ind w:left="1095"/>
        <w:jc w:val="both"/>
        <w:rPr>
          <w:rStyle w:val="pismamzZnak"/>
          <w:rFonts w:ascii="Lato" w:hAnsi="Lato"/>
          <w:color w:val="000000" w:themeColor="text1"/>
          <w:kern w:val="0"/>
        </w:rPr>
      </w:pPr>
      <w:r w:rsidRPr="00AA22C4">
        <w:rPr>
          <w:rStyle w:val="pismamzZnak"/>
          <w:rFonts w:ascii="Lato" w:hAnsi="Lato"/>
          <w:color w:val="000000" w:themeColor="text1"/>
          <w:kern w:val="0"/>
        </w:rPr>
        <w:t>Pracownia Badań Przesiewowych</w:t>
      </w:r>
    </w:p>
    <w:p w14:paraId="1BA39A67" w14:textId="77777777" w:rsidR="005E347E" w:rsidRPr="00AA22C4" w:rsidRDefault="005E347E" w:rsidP="005E347E">
      <w:pPr>
        <w:pStyle w:val="Akapitzlist"/>
        <w:spacing w:before="120" w:after="120"/>
        <w:ind w:left="1095"/>
        <w:jc w:val="both"/>
        <w:rPr>
          <w:rStyle w:val="pismamzZnak"/>
          <w:rFonts w:ascii="Lato" w:hAnsi="Lato"/>
          <w:color w:val="000000" w:themeColor="text1"/>
          <w:kern w:val="0"/>
        </w:rPr>
      </w:pPr>
      <w:r w:rsidRPr="00AA22C4">
        <w:rPr>
          <w:rStyle w:val="pismamzZnak"/>
          <w:rFonts w:ascii="Lato" w:hAnsi="Lato"/>
          <w:color w:val="000000" w:themeColor="text1"/>
          <w:kern w:val="0"/>
        </w:rPr>
        <w:t>ul. Powstańców 31</w:t>
      </w:r>
    </w:p>
    <w:p w14:paraId="6E672527" w14:textId="77777777" w:rsidR="005E347E" w:rsidRPr="00AA22C4" w:rsidRDefault="005E347E" w:rsidP="005E347E">
      <w:pPr>
        <w:pStyle w:val="Akapitzlist"/>
        <w:spacing w:before="120" w:after="120" w:line="360" w:lineRule="auto"/>
        <w:ind w:left="1095"/>
        <w:jc w:val="both"/>
        <w:rPr>
          <w:rStyle w:val="pismamzZnak"/>
          <w:rFonts w:ascii="Lato" w:hAnsi="Lato"/>
          <w:color w:val="000000" w:themeColor="text1"/>
          <w:kern w:val="0"/>
        </w:rPr>
      </w:pPr>
      <w:r w:rsidRPr="00AA22C4">
        <w:rPr>
          <w:rStyle w:val="pismamzZnak"/>
          <w:rFonts w:ascii="Lato" w:hAnsi="Lato"/>
          <w:color w:val="000000" w:themeColor="text1"/>
          <w:kern w:val="0"/>
        </w:rPr>
        <w:t>40-038 KATOWICE</w:t>
      </w:r>
    </w:p>
    <w:p w14:paraId="06092ACE" w14:textId="77777777" w:rsidR="005E347E" w:rsidRPr="00AA22C4" w:rsidRDefault="005E347E" w:rsidP="005E347E">
      <w:pPr>
        <w:pStyle w:val="Akapitzlist"/>
        <w:numPr>
          <w:ilvl w:val="0"/>
          <w:numId w:val="83"/>
        </w:numPr>
        <w:spacing w:before="120" w:after="120"/>
        <w:jc w:val="both"/>
        <w:rPr>
          <w:rStyle w:val="pismamzZnak"/>
          <w:rFonts w:ascii="Lato" w:hAnsi="Lato"/>
          <w:color w:val="000000" w:themeColor="text1"/>
          <w:kern w:val="0"/>
        </w:rPr>
      </w:pPr>
      <w:r w:rsidRPr="00AA22C4">
        <w:rPr>
          <w:rStyle w:val="pismamzZnak"/>
          <w:rFonts w:ascii="Lato" w:hAnsi="Lato"/>
          <w:color w:val="000000" w:themeColor="text1"/>
          <w:kern w:val="0"/>
        </w:rPr>
        <w:t>Uniwersytecki Szpital Dziecięcy w Krakowie</w:t>
      </w:r>
    </w:p>
    <w:p w14:paraId="28BBC806" w14:textId="77777777" w:rsidR="005E347E" w:rsidRPr="00AA22C4" w:rsidRDefault="005E347E" w:rsidP="005E347E">
      <w:pPr>
        <w:pStyle w:val="Akapitzlist"/>
        <w:spacing w:before="120" w:after="120"/>
        <w:ind w:left="1095"/>
        <w:jc w:val="both"/>
        <w:rPr>
          <w:rStyle w:val="pismamzZnak"/>
          <w:rFonts w:ascii="Lato" w:hAnsi="Lato"/>
          <w:color w:val="000000" w:themeColor="text1"/>
          <w:kern w:val="0"/>
        </w:rPr>
      </w:pPr>
      <w:r w:rsidRPr="00AA22C4">
        <w:rPr>
          <w:rStyle w:val="pismamzZnak"/>
          <w:rFonts w:ascii="Lato" w:hAnsi="Lato"/>
          <w:color w:val="000000" w:themeColor="text1"/>
          <w:kern w:val="0"/>
        </w:rPr>
        <w:t>Pracownia Badań Przesiewowych i Błędów Metabolicznych</w:t>
      </w:r>
    </w:p>
    <w:p w14:paraId="46F567F2" w14:textId="77777777" w:rsidR="005E347E" w:rsidRPr="00AA22C4" w:rsidRDefault="005E347E" w:rsidP="005E347E">
      <w:pPr>
        <w:pStyle w:val="Akapitzlist"/>
        <w:spacing w:before="120" w:after="120"/>
        <w:ind w:left="1095"/>
        <w:jc w:val="both"/>
        <w:rPr>
          <w:rStyle w:val="pismamzZnak"/>
          <w:rFonts w:ascii="Lato" w:hAnsi="Lato"/>
          <w:color w:val="000000" w:themeColor="text1"/>
          <w:kern w:val="0"/>
        </w:rPr>
      </w:pPr>
      <w:r w:rsidRPr="00AA22C4">
        <w:rPr>
          <w:rStyle w:val="pismamzZnak"/>
          <w:rFonts w:ascii="Lato" w:hAnsi="Lato"/>
          <w:color w:val="000000" w:themeColor="text1"/>
          <w:kern w:val="0"/>
        </w:rPr>
        <w:t>ul. Wielicka 265</w:t>
      </w:r>
    </w:p>
    <w:p w14:paraId="4FA1799E" w14:textId="77777777" w:rsidR="005E347E" w:rsidRPr="00AA22C4" w:rsidRDefault="005E347E" w:rsidP="005E347E">
      <w:pPr>
        <w:pStyle w:val="Akapitzlist"/>
        <w:spacing w:before="120" w:after="120" w:line="360" w:lineRule="auto"/>
        <w:ind w:left="1095"/>
        <w:jc w:val="both"/>
        <w:rPr>
          <w:rStyle w:val="pismamzZnak"/>
          <w:rFonts w:ascii="Lato" w:hAnsi="Lato"/>
          <w:color w:val="000000" w:themeColor="text1"/>
          <w:kern w:val="0"/>
        </w:rPr>
      </w:pPr>
      <w:r w:rsidRPr="00AA22C4">
        <w:rPr>
          <w:rStyle w:val="pismamzZnak"/>
          <w:rFonts w:ascii="Lato" w:hAnsi="Lato"/>
          <w:color w:val="000000" w:themeColor="text1"/>
          <w:kern w:val="0"/>
        </w:rPr>
        <w:t>30-663 KRAKÓW</w:t>
      </w:r>
    </w:p>
    <w:p w14:paraId="00C37FEA" w14:textId="77777777" w:rsidR="005E347E" w:rsidRPr="00AA22C4" w:rsidRDefault="005E347E" w:rsidP="005E347E">
      <w:pPr>
        <w:pStyle w:val="Akapitzlist"/>
        <w:numPr>
          <w:ilvl w:val="0"/>
          <w:numId w:val="83"/>
        </w:numPr>
        <w:spacing w:before="120" w:after="120"/>
        <w:jc w:val="both"/>
        <w:rPr>
          <w:rStyle w:val="pismamzZnak"/>
          <w:rFonts w:ascii="Lato" w:hAnsi="Lato"/>
          <w:color w:val="000000" w:themeColor="text1"/>
          <w:kern w:val="0"/>
        </w:rPr>
      </w:pPr>
      <w:r w:rsidRPr="00AA22C4">
        <w:rPr>
          <w:rStyle w:val="pismamzZnak"/>
          <w:rFonts w:ascii="Lato" w:hAnsi="Lato"/>
          <w:color w:val="000000" w:themeColor="text1"/>
          <w:kern w:val="0"/>
        </w:rPr>
        <w:t>Specjalistyczny Zespół Opieki Zdrowotnej nad Matką i Dzieckiem</w:t>
      </w:r>
    </w:p>
    <w:p w14:paraId="670EDB7E" w14:textId="77777777" w:rsidR="005E347E" w:rsidRPr="00AA22C4" w:rsidRDefault="005E347E" w:rsidP="005E347E">
      <w:pPr>
        <w:pStyle w:val="Akapitzlist"/>
        <w:spacing w:before="120" w:after="120"/>
        <w:ind w:left="1095"/>
        <w:jc w:val="both"/>
        <w:rPr>
          <w:rStyle w:val="pismamzZnak"/>
          <w:rFonts w:ascii="Lato" w:hAnsi="Lato"/>
          <w:color w:val="000000" w:themeColor="text1"/>
          <w:kern w:val="0"/>
        </w:rPr>
      </w:pPr>
      <w:r w:rsidRPr="00AA22C4">
        <w:rPr>
          <w:rStyle w:val="pismamzZnak"/>
          <w:rFonts w:ascii="Lato" w:hAnsi="Lato"/>
          <w:color w:val="000000" w:themeColor="text1"/>
          <w:kern w:val="0"/>
        </w:rPr>
        <w:t>Pracownia Badań Przesiewowych</w:t>
      </w:r>
    </w:p>
    <w:p w14:paraId="4007666A" w14:textId="77777777" w:rsidR="005E347E" w:rsidRPr="00AA22C4" w:rsidRDefault="005E347E" w:rsidP="005E347E">
      <w:pPr>
        <w:pStyle w:val="Akapitzlist"/>
        <w:spacing w:before="120" w:after="120"/>
        <w:ind w:left="1095"/>
        <w:jc w:val="both"/>
        <w:rPr>
          <w:rStyle w:val="pismamzZnak"/>
          <w:rFonts w:ascii="Lato" w:hAnsi="Lato"/>
          <w:color w:val="000000" w:themeColor="text1"/>
          <w:kern w:val="0"/>
        </w:rPr>
      </w:pPr>
      <w:r w:rsidRPr="00AA22C4">
        <w:rPr>
          <w:rStyle w:val="pismamzZnak"/>
          <w:rFonts w:ascii="Lato" w:hAnsi="Lato"/>
          <w:color w:val="000000" w:themeColor="text1"/>
          <w:kern w:val="0"/>
        </w:rPr>
        <w:t>ul. Nowowiejskiego 22/24</w:t>
      </w:r>
    </w:p>
    <w:p w14:paraId="76F0B630" w14:textId="77777777" w:rsidR="005E347E" w:rsidRPr="00AA22C4" w:rsidRDefault="005E347E" w:rsidP="005E347E">
      <w:pPr>
        <w:pStyle w:val="Akapitzlist"/>
        <w:spacing w:before="120" w:after="120" w:line="360" w:lineRule="auto"/>
        <w:ind w:left="1095"/>
        <w:jc w:val="both"/>
        <w:rPr>
          <w:rStyle w:val="pismamzZnak"/>
          <w:rFonts w:ascii="Lato" w:hAnsi="Lato"/>
          <w:color w:val="000000" w:themeColor="text1"/>
          <w:kern w:val="0"/>
        </w:rPr>
      </w:pPr>
      <w:r w:rsidRPr="00AA22C4">
        <w:rPr>
          <w:rStyle w:val="pismamzZnak"/>
          <w:rFonts w:ascii="Lato" w:hAnsi="Lato"/>
          <w:color w:val="000000" w:themeColor="text1"/>
          <w:kern w:val="0"/>
        </w:rPr>
        <w:t>61-732 POZNAŃ</w:t>
      </w:r>
    </w:p>
    <w:p w14:paraId="0B8A4CCC" w14:textId="77777777" w:rsidR="005E347E" w:rsidRPr="00AA22C4" w:rsidRDefault="005E347E" w:rsidP="005E347E">
      <w:pPr>
        <w:pStyle w:val="Akapitzlist"/>
        <w:numPr>
          <w:ilvl w:val="0"/>
          <w:numId w:val="83"/>
        </w:numPr>
        <w:spacing w:before="120" w:after="120"/>
        <w:jc w:val="both"/>
        <w:rPr>
          <w:rStyle w:val="pismamzZnak"/>
          <w:rFonts w:ascii="Lato" w:hAnsi="Lato"/>
          <w:color w:val="000000" w:themeColor="text1"/>
          <w:kern w:val="0"/>
        </w:rPr>
      </w:pPr>
      <w:r w:rsidRPr="00AA22C4">
        <w:rPr>
          <w:rStyle w:val="pismamzZnak"/>
          <w:rFonts w:ascii="Lato" w:hAnsi="Lato"/>
          <w:color w:val="000000" w:themeColor="text1"/>
          <w:kern w:val="0"/>
        </w:rPr>
        <w:t>Wojewódzki Szpital Specjalistyczny we Wrocławiu</w:t>
      </w:r>
    </w:p>
    <w:p w14:paraId="53B0DD3D" w14:textId="77777777" w:rsidR="005E347E" w:rsidRPr="00AA22C4" w:rsidRDefault="005E347E" w:rsidP="005E347E">
      <w:pPr>
        <w:pStyle w:val="Akapitzlist"/>
        <w:spacing w:before="120" w:after="120"/>
        <w:ind w:left="1095"/>
        <w:jc w:val="both"/>
        <w:rPr>
          <w:rStyle w:val="pismamzZnak"/>
          <w:rFonts w:ascii="Lato" w:hAnsi="Lato"/>
          <w:color w:val="000000" w:themeColor="text1"/>
          <w:kern w:val="0"/>
        </w:rPr>
      </w:pPr>
      <w:r w:rsidRPr="00AA22C4">
        <w:rPr>
          <w:rStyle w:val="pismamzZnak"/>
          <w:rFonts w:ascii="Lato" w:hAnsi="Lato"/>
          <w:color w:val="000000" w:themeColor="text1"/>
          <w:kern w:val="0"/>
        </w:rPr>
        <w:t xml:space="preserve">Pracownia Badań Przesiewowych  </w:t>
      </w:r>
    </w:p>
    <w:p w14:paraId="432450AA" w14:textId="77777777" w:rsidR="005E347E" w:rsidRPr="00AA22C4" w:rsidRDefault="005E347E" w:rsidP="005E347E">
      <w:pPr>
        <w:pStyle w:val="Akapitzlist"/>
        <w:spacing w:before="120" w:after="120"/>
        <w:ind w:left="1095"/>
        <w:jc w:val="both"/>
        <w:rPr>
          <w:rStyle w:val="pismamzZnak"/>
          <w:rFonts w:ascii="Lato" w:hAnsi="Lato"/>
          <w:color w:val="000000" w:themeColor="text1"/>
          <w:kern w:val="0"/>
        </w:rPr>
      </w:pPr>
      <w:r w:rsidRPr="00AA22C4">
        <w:rPr>
          <w:rStyle w:val="pismamzZnak"/>
          <w:rFonts w:ascii="Lato" w:hAnsi="Lato"/>
          <w:color w:val="000000" w:themeColor="text1"/>
          <w:kern w:val="0"/>
        </w:rPr>
        <w:t xml:space="preserve">ul. </w:t>
      </w:r>
      <w:proofErr w:type="spellStart"/>
      <w:r w:rsidRPr="00AA22C4">
        <w:rPr>
          <w:rStyle w:val="pismamzZnak"/>
          <w:rFonts w:ascii="Lato" w:hAnsi="Lato"/>
          <w:color w:val="000000" w:themeColor="text1"/>
          <w:kern w:val="0"/>
        </w:rPr>
        <w:t>Poświęcka</w:t>
      </w:r>
      <w:proofErr w:type="spellEnd"/>
      <w:r w:rsidRPr="00AA22C4">
        <w:rPr>
          <w:rStyle w:val="pismamzZnak"/>
          <w:rFonts w:ascii="Lato" w:hAnsi="Lato"/>
          <w:color w:val="000000" w:themeColor="text1"/>
          <w:kern w:val="0"/>
        </w:rPr>
        <w:t xml:space="preserve"> 8</w:t>
      </w:r>
    </w:p>
    <w:p w14:paraId="6036A7C5" w14:textId="029B0863" w:rsidR="005E347E" w:rsidRPr="00AA22C4" w:rsidRDefault="005E347E" w:rsidP="006F5099">
      <w:pPr>
        <w:pStyle w:val="Akapitzlist"/>
        <w:spacing w:before="120" w:after="240"/>
        <w:ind w:left="1094"/>
        <w:contextualSpacing w:val="0"/>
        <w:jc w:val="both"/>
        <w:rPr>
          <w:rFonts w:ascii="Lato" w:eastAsia="Calibri" w:hAnsi="Lato"/>
          <w:color w:val="000000" w:themeColor="text1"/>
          <w:kern w:val="0"/>
          <w:sz w:val="22"/>
          <w:szCs w:val="22"/>
          <w:lang w:eastAsia="en-US"/>
        </w:rPr>
      </w:pPr>
      <w:r w:rsidRPr="00AA22C4">
        <w:rPr>
          <w:rStyle w:val="pismamzZnak"/>
          <w:rFonts w:ascii="Lato" w:hAnsi="Lato"/>
          <w:color w:val="000000" w:themeColor="text1"/>
          <w:kern w:val="0"/>
        </w:rPr>
        <w:t>51-128 WROCŁAW</w:t>
      </w:r>
    </w:p>
    <w:p w14:paraId="2BCF08C2" w14:textId="77777777" w:rsidR="005E347E" w:rsidRPr="00AA22C4" w:rsidRDefault="005E347E" w:rsidP="005E347E">
      <w:pPr>
        <w:suppressAutoHyphens/>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 xml:space="preserve">Postępowanie diagnostyczne jest prowadzone przez wytypowane kliniki i poradnie, do których bezpośrednio są kierowane noworodki z podejrzeniem jednej z badanych chorób wrodzonych. Dane z poszczególnych laboratoriów są przekazywane do IMiD, co pozwala na pełną kontrolę procedury przesiewowej przez rejestr i nadzór nad obiegiem próbek krwi. W trakcie realizacji programu badań przesiewowych opracowano i wdrożono sukcesywnie badanie w kierunku 30 chorób wrodzonych, jest to liczba zbliżona do innych krajów europejskich, które idą w ślad za wiodącymi w tej dziedzinie Stanami Zjednoczonymi, w których niektóre stany badają 55 chorób. </w:t>
      </w:r>
    </w:p>
    <w:p w14:paraId="679D66EF" w14:textId="77777777" w:rsidR="005E347E" w:rsidRPr="00AA22C4" w:rsidRDefault="005E347E" w:rsidP="005E347E">
      <w:pPr>
        <w:pStyle w:val="Tekstprzypisudolnego"/>
        <w:spacing w:before="120" w:after="120"/>
        <w:jc w:val="both"/>
        <w:rPr>
          <w:rFonts w:ascii="Lato" w:hAnsi="Lato"/>
          <w:b/>
          <w:bCs/>
          <w:iCs/>
          <w:color w:val="000000" w:themeColor="text1"/>
          <w:sz w:val="22"/>
          <w:szCs w:val="22"/>
        </w:rPr>
      </w:pPr>
      <w:bookmarkStart w:id="7" w:name="_Toc491892663"/>
      <w:r w:rsidRPr="00AA22C4">
        <w:rPr>
          <w:rFonts w:ascii="Lato" w:hAnsi="Lato"/>
          <w:b/>
          <w:bCs/>
          <w:iCs/>
          <w:color w:val="000000" w:themeColor="text1"/>
          <w:sz w:val="22"/>
          <w:szCs w:val="22"/>
        </w:rPr>
        <w:lastRenderedPageBreak/>
        <w:t>Trudności w uzyskiwaniu świadczeń.</w:t>
      </w:r>
      <w:bookmarkEnd w:id="7"/>
    </w:p>
    <w:p w14:paraId="1C82CB2C"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Choroby objęte badaniami przesiewowymi należą do szczególnej grupy chorób rzadkich ponieważ wymagają rozpoznania w pierwszych dniach lub tygodniach po urodzeniu w celu bezzwłocznego włączenia leczenia, przed rozwojem nieodwracalnych zmian prowadzących do ciężkiej niepełnosprawności (PKU, WNT, SMA) lub ochrony przed stanem zagrożenia życia (MSUD, WPN, MCAD i inne). Dlatego jest konieczne prowadzenie badań przesiewowych noworodków, jako wczesnej profilaktyki specyficznej grupy chorób rzadkich.</w:t>
      </w:r>
    </w:p>
    <w:p w14:paraId="60B9237C" w14:textId="75B25358"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W ostatnim dziesięcioleciu w krajach wiodących, liczba chorób wrodzonych objętych badaniami przesiewowym zwiększyła się wielokrotnie. Ze względu na ograniczenia finansowe kolejne badania są wdrażane sukcesywnie. Kolejna wersja programu pozwoli na kontynuację dotychczas wprowadzonych badań przesiewowych, opracowanie norm własnych dla ostatnio wprowadzonych testów, modyfikację algorytmów analitycznych w celu poprawy czułości, a zwłaszcza specyficzności testów, tj. minimalizacji odsetka wyników fałszywie dodatnich. Ponadto przygotowanie wprowadzenia następnych testów, które obecnie nie są badane w Rzecz</w:t>
      </w:r>
      <w:r w:rsidR="007A48CA" w:rsidRPr="00AA22C4">
        <w:rPr>
          <w:rFonts w:ascii="Lato" w:hAnsi="Lato"/>
          <w:color w:val="000000" w:themeColor="text1"/>
          <w:sz w:val="22"/>
          <w:szCs w:val="22"/>
        </w:rPr>
        <w:t>y</w:t>
      </w:r>
      <w:r w:rsidRPr="00AA22C4">
        <w:rPr>
          <w:rFonts w:ascii="Lato" w:hAnsi="Lato"/>
          <w:color w:val="000000" w:themeColor="text1"/>
          <w:sz w:val="22"/>
          <w:szCs w:val="22"/>
        </w:rPr>
        <w:t>pospolitej Polskiej albo są w fazie badań pilotażowych.</w:t>
      </w:r>
    </w:p>
    <w:p w14:paraId="39933758" w14:textId="226DD53F" w:rsidR="005E347E" w:rsidRPr="00AA22C4" w:rsidRDefault="005E347E" w:rsidP="005E347E">
      <w:pPr>
        <w:pStyle w:val="Tekstprzypisudolnego"/>
        <w:spacing w:before="120" w:after="120"/>
        <w:jc w:val="both"/>
        <w:rPr>
          <w:rFonts w:ascii="Lato" w:hAnsi="Lato"/>
          <w:color w:val="000000" w:themeColor="text1"/>
          <w:sz w:val="22"/>
          <w:szCs w:val="22"/>
        </w:rPr>
      </w:pPr>
      <w:bookmarkStart w:id="8" w:name="_Toc491892666"/>
      <w:r w:rsidRPr="00AA22C4">
        <w:rPr>
          <w:rFonts w:ascii="Lato" w:hAnsi="Lato"/>
          <w:i/>
          <w:color w:val="000000" w:themeColor="text1"/>
          <w:sz w:val="22"/>
          <w:szCs w:val="22"/>
        </w:rPr>
        <w:t>Rządowy program badań przesiewowych noworodków na lata 2019 – 2026</w:t>
      </w:r>
      <w:r w:rsidRPr="00AA22C4">
        <w:rPr>
          <w:rFonts w:ascii="Lato" w:hAnsi="Lato"/>
          <w:color w:val="000000" w:themeColor="text1"/>
          <w:sz w:val="22"/>
          <w:szCs w:val="22"/>
        </w:rPr>
        <w:t xml:space="preserve"> zapewni wykonanie badań przesiewowych dla całej populacji noworodków, wstępną diagnostykę potwierdzającą z wdrożeniem leczenia oraz monitorowanie leczenia.</w:t>
      </w:r>
    </w:p>
    <w:p w14:paraId="5FBF0901" w14:textId="42FC4626" w:rsidR="005E347E" w:rsidRPr="00AA22C4" w:rsidRDefault="005E347E" w:rsidP="005E347E">
      <w:pPr>
        <w:pStyle w:val="Tekstprzypisudolnego"/>
        <w:spacing w:before="120" w:after="120"/>
        <w:jc w:val="both"/>
        <w:rPr>
          <w:rFonts w:ascii="Lato" w:hAnsi="Lato"/>
          <w:color w:val="000000" w:themeColor="text1"/>
          <w:spacing w:val="-2"/>
          <w:sz w:val="22"/>
          <w:szCs w:val="22"/>
        </w:rPr>
      </w:pPr>
      <w:r w:rsidRPr="00AA22C4">
        <w:rPr>
          <w:rFonts w:ascii="Lato" w:hAnsi="Lato"/>
          <w:color w:val="000000" w:themeColor="text1"/>
          <w:spacing w:val="-2"/>
          <w:sz w:val="22"/>
          <w:szCs w:val="22"/>
        </w:rPr>
        <w:t>Wprowadzone zostaną istotne zmiany organizacyjne mające na celu skrócenie czasu od urodzenia dziecka do uzyskania diagnozy, w tym transportu prób krwi ze szpitali przez system kurierski, wprowadzenie szybszych testów potwierdzających pierwszy etap badania przesiewowego i ograniczenie badań powtórnych. Wdrożenie nowego wielozadaniowego programu komputerowego do kompleksowego zarządzenia całą procedurą badań w Rzecz</w:t>
      </w:r>
      <w:r w:rsidR="007A48CA" w:rsidRPr="00AA22C4">
        <w:rPr>
          <w:rFonts w:ascii="Lato" w:hAnsi="Lato"/>
          <w:color w:val="000000" w:themeColor="text1"/>
          <w:spacing w:val="-2"/>
          <w:sz w:val="22"/>
          <w:szCs w:val="22"/>
        </w:rPr>
        <w:t>y</w:t>
      </w:r>
      <w:r w:rsidRPr="00AA22C4">
        <w:rPr>
          <w:rFonts w:ascii="Lato" w:hAnsi="Lato"/>
          <w:color w:val="000000" w:themeColor="text1"/>
          <w:spacing w:val="-2"/>
          <w:sz w:val="22"/>
          <w:szCs w:val="22"/>
        </w:rPr>
        <w:t xml:space="preserve">pospolitej Polskiej z jednolitą bazą danych, zapewni stałą, bezpieczną, elektroniczną komunikację wszystkich laboratoriów przesiewowych, monitorowanie etapów diagnostyki i leczenia, kontrole jakości, generowanie statystyki badań oraz ocenę efektywności Programu, zgodnie z rekomendacją ekspertów EUNENBS (ang. </w:t>
      </w:r>
      <w:proofErr w:type="spellStart"/>
      <w:r w:rsidRPr="00AA22C4">
        <w:rPr>
          <w:rFonts w:ascii="Lato" w:hAnsi="Lato"/>
          <w:color w:val="000000" w:themeColor="text1"/>
          <w:spacing w:val="-2"/>
          <w:sz w:val="22"/>
          <w:szCs w:val="22"/>
        </w:rPr>
        <w:t>European</w:t>
      </w:r>
      <w:proofErr w:type="spellEnd"/>
      <w:r w:rsidRPr="00AA22C4">
        <w:rPr>
          <w:rFonts w:ascii="Lato" w:hAnsi="Lato"/>
          <w:color w:val="000000" w:themeColor="text1"/>
          <w:spacing w:val="-2"/>
          <w:sz w:val="22"/>
          <w:szCs w:val="22"/>
        </w:rPr>
        <w:t xml:space="preserve"> Union Network of </w:t>
      </w:r>
      <w:proofErr w:type="spellStart"/>
      <w:r w:rsidRPr="00AA22C4">
        <w:rPr>
          <w:rFonts w:ascii="Lato" w:hAnsi="Lato"/>
          <w:color w:val="000000" w:themeColor="text1"/>
          <w:spacing w:val="-2"/>
          <w:sz w:val="22"/>
          <w:szCs w:val="22"/>
        </w:rPr>
        <w:t>Experts</w:t>
      </w:r>
      <w:proofErr w:type="spellEnd"/>
      <w:r w:rsidRPr="00AA22C4">
        <w:rPr>
          <w:rFonts w:ascii="Lato" w:hAnsi="Lato"/>
          <w:color w:val="000000" w:themeColor="text1"/>
          <w:spacing w:val="-2"/>
          <w:sz w:val="22"/>
          <w:szCs w:val="22"/>
        </w:rPr>
        <w:t xml:space="preserve"> on </w:t>
      </w:r>
      <w:proofErr w:type="spellStart"/>
      <w:r w:rsidRPr="00AA22C4">
        <w:rPr>
          <w:rFonts w:ascii="Lato" w:hAnsi="Lato"/>
          <w:color w:val="000000" w:themeColor="text1"/>
          <w:spacing w:val="-2"/>
          <w:sz w:val="22"/>
          <w:szCs w:val="22"/>
        </w:rPr>
        <w:t>Newborn</w:t>
      </w:r>
      <w:proofErr w:type="spellEnd"/>
      <w:r w:rsidRPr="00AA22C4">
        <w:rPr>
          <w:rFonts w:ascii="Lato" w:hAnsi="Lato"/>
          <w:color w:val="000000" w:themeColor="text1"/>
          <w:spacing w:val="-2"/>
          <w:sz w:val="22"/>
          <w:szCs w:val="22"/>
        </w:rPr>
        <w:t xml:space="preserve"> Screening) (1, 3). </w:t>
      </w:r>
    </w:p>
    <w:p w14:paraId="3EC943A1"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Zmiany organizacyjne oraz ewentualne wprowadzanie w kolejnych edycjach Programu badań kolejnych chorób odbywać się będzie z wykorzystaniem posiadanej aparatury pomiarowej (</w:t>
      </w:r>
      <w:proofErr w:type="spellStart"/>
      <w:r w:rsidRPr="00AA22C4">
        <w:rPr>
          <w:rFonts w:ascii="Lato" w:hAnsi="Lato"/>
          <w:color w:val="000000" w:themeColor="text1"/>
          <w:sz w:val="22"/>
          <w:szCs w:val="22"/>
        </w:rPr>
        <w:t>luminometry</w:t>
      </w:r>
      <w:proofErr w:type="spellEnd"/>
      <w:r w:rsidRPr="00AA22C4">
        <w:rPr>
          <w:rFonts w:ascii="Lato" w:hAnsi="Lato"/>
          <w:color w:val="000000" w:themeColor="text1"/>
          <w:sz w:val="22"/>
          <w:szCs w:val="22"/>
        </w:rPr>
        <w:t xml:space="preserve">, kolorymetry, spektrometry tandemowej spektrometrii mas (MS/MS), chromatografy cieczowe (HPLC), chromatografy gazowe z detekcją spektrometrem mas (GC/MS)) i sprzętu laboratoryjnego (wycinarki do prób krwi, czytniki kodów, dozowniki i pipety automatyczne, itp.) oraz sprzętu komputerowego z oprogramowaniem. </w:t>
      </w:r>
    </w:p>
    <w:p w14:paraId="4A345047" w14:textId="77777777" w:rsidR="005E347E" w:rsidRPr="00AA22C4" w:rsidRDefault="005E347E" w:rsidP="005E347E">
      <w:pPr>
        <w:pStyle w:val="Tekstprzypisudolnego"/>
        <w:numPr>
          <w:ilvl w:val="0"/>
          <w:numId w:val="1"/>
        </w:numPr>
        <w:spacing w:before="120" w:after="120"/>
        <w:ind w:left="567" w:hanging="567"/>
        <w:contextualSpacing/>
        <w:outlineLvl w:val="0"/>
        <w:rPr>
          <w:rFonts w:ascii="Lato" w:hAnsi="Lato"/>
          <w:color w:val="000000" w:themeColor="text1"/>
          <w:sz w:val="36"/>
          <w:szCs w:val="22"/>
        </w:rPr>
      </w:pPr>
      <w:bookmarkStart w:id="9" w:name="_Toc514072280"/>
      <w:bookmarkEnd w:id="8"/>
      <w:r w:rsidRPr="00AA22C4">
        <w:rPr>
          <w:rFonts w:ascii="Lato" w:hAnsi="Lato"/>
          <w:b/>
          <w:color w:val="000000" w:themeColor="text1"/>
          <w:sz w:val="36"/>
          <w:szCs w:val="22"/>
        </w:rPr>
        <w:lastRenderedPageBreak/>
        <w:t>Cele programu polityki zdrowotnej i mierniki efektywności jego realizacji</w:t>
      </w:r>
      <w:r w:rsidRPr="00AA22C4">
        <w:rPr>
          <w:rFonts w:ascii="Lato" w:hAnsi="Lato"/>
          <w:color w:val="000000" w:themeColor="text1"/>
          <w:sz w:val="36"/>
          <w:szCs w:val="22"/>
        </w:rPr>
        <w:t xml:space="preserve"> </w:t>
      </w:r>
      <w:bookmarkEnd w:id="9"/>
    </w:p>
    <w:p w14:paraId="53F896FF" w14:textId="77777777" w:rsidR="005E347E" w:rsidRPr="00AA22C4" w:rsidRDefault="005E347E" w:rsidP="005E347E">
      <w:pPr>
        <w:pStyle w:val="Tekstprzypisudolnego"/>
        <w:numPr>
          <w:ilvl w:val="1"/>
          <w:numId w:val="1"/>
        </w:numPr>
        <w:spacing w:before="120" w:after="120"/>
        <w:ind w:left="851" w:hanging="851"/>
        <w:jc w:val="both"/>
        <w:outlineLvl w:val="1"/>
        <w:rPr>
          <w:rFonts w:ascii="Lato" w:hAnsi="Lato"/>
          <w:b/>
          <w:bCs/>
          <w:color w:val="000000" w:themeColor="text1"/>
          <w:sz w:val="28"/>
          <w:szCs w:val="22"/>
        </w:rPr>
      </w:pPr>
      <w:bookmarkStart w:id="10" w:name="_Toc514072281"/>
      <w:r w:rsidRPr="00AA22C4">
        <w:rPr>
          <w:rFonts w:ascii="Lato" w:hAnsi="Lato"/>
          <w:b/>
          <w:bCs/>
          <w:color w:val="000000" w:themeColor="text1"/>
          <w:sz w:val="28"/>
          <w:szCs w:val="22"/>
        </w:rPr>
        <w:t>Cel główny</w:t>
      </w:r>
      <w:bookmarkEnd w:id="10"/>
      <w:r w:rsidRPr="00AA22C4">
        <w:rPr>
          <w:rFonts w:ascii="Lato" w:hAnsi="Lato"/>
          <w:b/>
          <w:bCs/>
          <w:color w:val="000000" w:themeColor="text1"/>
          <w:sz w:val="28"/>
          <w:szCs w:val="22"/>
        </w:rPr>
        <w:t xml:space="preserve"> </w:t>
      </w:r>
    </w:p>
    <w:p w14:paraId="02C5A15D" w14:textId="3339DB5E" w:rsidR="005E347E" w:rsidRPr="00AA22C4" w:rsidRDefault="005E347E" w:rsidP="005E347E">
      <w:pPr>
        <w:pStyle w:val="Tekstprzypisudolnego"/>
        <w:spacing w:before="120" w:after="120"/>
        <w:contextualSpacing/>
        <w:jc w:val="both"/>
        <w:rPr>
          <w:rFonts w:ascii="Lato" w:hAnsi="Lato"/>
          <w:color w:val="000000" w:themeColor="text1"/>
          <w:sz w:val="22"/>
          <w:szCs w:val="22"/>
        </w:rPr>
      </w:pPr>
      <w:r w:rsidRPr="00AA22C4">
        <w:rPr>
          <w:rFonts w:ascii="Lato" w:hAnsi="Lato"/>
          <w:bCs/>
          <w:color w:val="000000" w:themeColor="text1"/>
          <w:sz w:val="22"/>
          <w:szCs w:val="22"/>
        </w:rPr>
        <w:t xml:space="preserve">Celem głównym programu polityki zdrowotnej pn. </w:t>
      </w:r>
      <w:r w:rsidRPr="00AA22C4">
        <w:rPr>
          <w:rFonts w:ascii="Lato" w:hAnsi="Lato"/>
          <w:bCs/>
          <w:i/>
          <w:iCs/>
          <w:color w:val="000000" w:themeColor="text1"/>
          <w:sz w:val="22"/>
          <w:szCs w:val="22"/>
        </w:rPr>
        <w:t xml:space="preserve">Rządowy </w:t>
      </w:r>
      <w:r w:rsidRPr="00AA22C4">
        <w:rPr>
          <w:rFonts w:ascii="Lato" w:hAnsi="Lato"/>
          <w:bCs/>
          <w:i/>
          <w:color w:val="000000" w:themeColor="text1"/>
          <w:sz w:val="22"/>
          <w:szCs w:val="22"/>
        </w:rPr>
        <w:t xml:space="preserve">program badań przesiewowych noworodków na lata 2019-2026 </w:t>
      </w:r>
      <w:r w:rsidRPr="00AA22C4">
        <w:rPr>
          <w:rFonts w:ascii="Lato" w:hAnsi="Lato"/>
          <w:bCs/>
          <w:color w:val="000000" w:themeColor="text1"/>
          <w:sz w:val="22"/>
          <w:szCs w:val="22"/>
        </w:rPr>
        <w:t>jest ob</w:t>
      </w:r>
      <w:r w:rsidRPr="00AA22C4">
        <w:rPr>
          <w:rFonts w:ascii="Lato" w:hAnsi="Lato"/>
          <w:color w:val="000000" w:themeColor="text1"/>
          <w:sz w:val="22"/>
          <w:szCs w:val="22"/>
        </w:rPr>
        <w:t xml:space="preserve">niżenie umieralności noworodków, niemowląt i dzieci z powodu chorób wrodzonych oraz zapobieganie ciężkiemu i trwałemu upośledzeniu fizycznemu i intelektualnemu, wynikającemu z tych chorób. </w:t>
      </w:r>
    </w:p>
    <w:p w14:paraId="72CC0F66"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p>
    <w:p w14:paraId="1977B91D" w14:textId="77777777" w:rsidR="005E347E" w:rsidRPr="00AA22C4" w:rsidRDefault="005E347E" w:rsidP="005E347E">
      <w:pPr>
        <w:pStyle w:val="Tekstprzypisudolnego"/>
        <w:numPr>
          <w:ilvl w:val="1"/>
          <w:numId w:val="1"/>
        </w:numPr>
        <w:spacing w:before="120" w:after="120"/>
        <w:ind w:left="851" w:hanging="851"/>
        <w:jc w:val="both"/>
        <w:outlineLvl w:val="1"/>
        <w:rPr>
          <w:rFonts w:ascii="Lato" w:hAnsi="Lato"/>
          <w:b/>
          <w:color w:val="000000" w:themeColor="text1"/>
          <w:sz w:val="28"/>
          <w:szCs w:val="22"/>
        </w:rPr>
      </w:pPr>
      <w:bookmarkStart w:id="11" w:name="_Toc514072282"/>
      <w:r w:rsidRPr="00AA22C4">
        <w:rPr>
          <w:rFonts w:ascii="Lato" w:hAnsi="Lato"/>
          <w:b/>
          <w:color w:val="000000" w:themeColor="text1"/>
          <w:sz w:val="28"/>
          <w:szCs w:val="22"/>
        </w:rPr>
        <w:t>Cele szczegółowe:</w:t>
      </w:r>
      <w:bookmarkEnd w:id="11"/>
    </w:p>
    <w:p w14:paraId="21055E16"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Do celów szczegółowych zalicza się:</w:t>
      </w:r>
    </w:p>
    <w:p w14:paraId="65F72F95" w14:textId="77777777" w:rsidR="005E347E" w:rsidRPr="00AA22C4" w:rsidRDefault="005E347E" w:rsidP="005E347E">
      <w:pPr>
        <w:pStyle w:val="Tekstprzypisudolnego"/>
        <w:numPr>
          <w:ilvl w:val="0"/>
          <w:numId w:val="20"/>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wczesne rozpoznanie i wdrożenie leczenia (w tym monitoring) 30 chorób wrodzonych objętych badaniem przesiewowym przez prowadzenie:</w:t>
      </w:r>
    </w:p>
    <w:p w14:paraId="56E94CCE" w14:textId="77777777" w:rsidR="005E347E" w:rsidRPr="00AA22C4" w:rsidRDefault="005E347E" w:rsidP="005E347E">
      <w:pPr>
        <w:pStyle w:val="Tekstprzypisudolnego"/>
        <w:numPr>
          <w:ilvl w:val="0"/>
          <w:numId w:val="2"/>
        </w:numPr>
        <w:tabs>
          <w:tab w:val="num" w:pos="1135"/>
        </w:tabs>
        <w:spacing w:before="120" w:after="120"/>
        <w:ind w:left="1004" w:hanging="284"/>
        <w:contextualSpacing/>
        <w:jc w:val="both"/>
        <w:rPr>
          <w:rFonts w:ascii="Lato" w:hAnsi="Lato"/>
          <w:color w:val="000000" w:themeColor="text1"/>
          <w:sz w:val="22"/>
          <w:szCs w:val="22"/>
        </w:rPr>
      </w:pPr>
      <w:r w:rsidRPr="00AA22C4">
        <w:rPr>
          <w:rFonts w:ascii="Lato" w:hAnsi="Lato"/>
          <w:color w:val="000000" w:themeColor="text1"/>
          <w:sz w:val="22"/>
          <w:szCs w:val="22"/>
        </w:rPr>
        <w:t xml:space="preserve"> badań przesiewowych w kierunku wrodzonej niedoczynności tarczycy (WNT),</w:t>
      </w:r>
    </w:p>
    <w:p w14:paraId="4F346755" w14:textId="77777777" w:rsidR="005E347E" w:rsidRPr="00AA22C4" w:rsidRDefault="005E347E" w:rsidP="005E347E">
      <w:pPr>
        <w:pStyle w:val="Tekstprzypisudolnego"/>
        <w:numPr>
          <w:ilvl w:val="0"/>
          <w:numId w:val="2"/>
        </w:numPr>
        <w:tabs>
          <w:tab w:val="num" w:pos="1135"/>
        </w:tabs>
        <w:spacing w:before="120" w:after="120"/>
        <w:ind w:left="1004" w:hanging="284"/>
        <w:contextualSpacing/>
        <w:jc w:val="both"/>
        <w:rPr>
          <w:rFonts w:ascii="Lato" w:hAnsi="Lato"/>
          <w:color w:val="000000" w:themeColor="text1"/>
          <w:sz w:val="22"/>
          <w:szCs w:val="22"/>
        </w:rPr>
      </w:pPr>
      <w:r w:rsidRPr="00AA22C4">
        <w:rPr>
          <w:rFonts w:ascii="Lato" w:hAnsi="Lato"/>
          <w:color w:val="000000" w:themeColor="text1"/>
          <w:sz w:val="22"/>
          <w:szCs w:val="22"/>
        </w:rPr>
        <w:t xml:space="preserve"> badań przesiewowych w kierunku wrodzonego przerostu nadnerczy (WPN),</w:t>
      </w:r>
    </w:p>
    <w:p w14:paraId="286D0252" w14:textId="77777777" w:rsidR="005E347E" w:rsidRPr="00AA22C4" w:rsidRDefault="005E347E" w:rsidP="005E347E">
      <w:pPr>
        <w:pStyle w:val="Tekstprzypisudolnego"/>
        <w:numPr>
          <w:ilvl w:val="0"/>
          <w:numId w:val="2"/>
        </w:numPr>
        <w:tabs>
          <w:tab w:val="num" w:pos="1135"/>
        </w:tabs>
        <w:spacing w:before="120" w:after="120"/>
        <w:ind w:left="1004" w:hanging="284"/>
        <w:contextualSpacing/>
        <w:jc w:val="both"/>
        <w:rPr>
          <w:rFonts w:ascii="Lato" w:hAnsi="Lato"/>
          <w:color w:val="000000" w:themeColor="text1"/>
          <w:sz w:val="22"/>
          <w:szCs w:val="22"/>
        </w:rPr>
      </w:pPr>
      <w:r w:rsidRPr="00AA22C4">
        <w:rPr>
          <w:rFonts w:ascii="Lato" w:hAnsi="Lato"/>
          <w:color w:val="000000" w:themeColor="text1"/>
          <w:sz w:val="22"/>
          <w:szCs w:val="22"/>
        </w:rPr>
        <w:t xml:space="preserve"> badań przesiewowych w kierunku mukowiscydozy (CF),</w:t>
      </w:r>
    </w:p>
    <w:p w14:paraId="78FEC07A" w14:textId="77777777" w:rsidR="005E347E" w:rsidRPr="00AA22C4" w:rsidRDefault="005E347E" w:rsidP="005E347E">
      <w:pPr>
        <w:pStyle w:val="Tekstprzypisudolnego"/>
        <w:numPr>
          <w:ilvl w:val="0"/>
          <w:numId w:val="2"/>
        </w:numPr>
        <w:tabs>
          <w:tab w:val="num" w:pos="1135"/>
        </w:tabs>
        <w:spacing w:before="120" w:after="120"/>
        <w:ind w:left="1004" w:hanging="284"/>
        <w:contextualSpacing/>
        <w:jc w:val="both"/>
        <w:rPr>
          <w:rFonts w:ascii="Lato" w:hAnsi="Lato"/>
          <w:color w:val="000000" w:themeColor="text1"/>
          <w:sz w:val="22"/>
          <w:szCs w:val="22"/>
        </w:rPr>
      </w:pPr>
      <w:r w:rsidRPr="00AA22C4">
        <w:rPr>
          <w:rFonts w:ascii="Lato" w:hAnsi="Lato"/>
          <w:color w:val="000000" w:themeColor="text1"/>
          <w:sz w:val="22"/>
          <w:szCs w:val="22"/>
        </w:rPr>
        <w:t xml:space="preserve"> badań przesiewowych w kierunku fenyloketonurii (PKU),</w:t>
      </w:r>
    </w:p>
    <w:p w14:paraId="602B0D77" w14:textId="77777777" w:rsidR="005E347E" w:rsidRPr="00AA22C4" w:rsidRDefault="005E347E" w:rsidP="005E347E">
      <w:pPr>
        <w:pStyle w:val="Tekstprzypisudolnego"/>
        <w:numPr>
          <w:ilvl w:val="0"/>
          <w:numId w:val="2"/>
        </w:numPr>
        <w:tabs>
          <w:tab w:val="num" w:pos="1135"/>
        </w:tabs>
        <w:spacing w:before="120" w:after="120"/>
        <w:ind w:left="1004" w:hanging="284"/>
        <w:contextualSpacing/>
        <w:jc w:val="both"/>
        <w:rPr>
          <w:rFonts w:ascii="Lato" w:hAnsi="Lato"/>
          <w:color w:val="000000" w:themeColor="text1"/>
          <w:sz w:val="22"/>
          <w:szCs w:val="22"/>
        </w:rPr>
      </w:pPr>
      <w:r w:rsidRPr="00AA22C4">
        <w:rPr>
          <w:rFonts w:ascii="Lato" w:hAnsi="Lato"/>
          <w:color w:val="000000" w:themeColor="text1"/>
          <w:sz w:val="22"/>
          <w:szCs w:val="22"/>
        </w:rPr>
        <w:t>badań przesiewowych w kierunku deficytu biotynidazy (BIOT),</w:t>
      </w:r>
    </w:p>
    <w:p w14:paraId="6EB085E3" w14:textId="77777777" w:rsidR="005E347E" w:rsidRPr="00AA22C4" w:rsidRDefault="005E347E" w:rsidP="005E347E">
      <w:pPr>
        <w:pStyle w:val="Tekstprzypisudolnego"/>
        <w:numPr>
          <w:ilvl w:val="0"/>
          <w:numId w:val="2"/>
        </w:numPr>
        <w:tabs>
          <w:tab w:val="num" w:pos="1135"/>
        </w:tabs>
        <w:spacing w:before="120" w:after="120"/>
        <w:ind w:left="1004" w:hanging="284"/>
        <w:contextualSpacing/>
        <w:jc w:val="both"/>
        <w:rPr>
          <w:rFonts w:ascii="Lato" w:hAnsi="Lato"/>
          <w:color w:val="000000" w:themeColor="text1"/>
          <w:sz w:val="22"/>
          <w:szCs w:val="22"/>
        </w:rPr>
      </w:pPr>
      <w:r w:rsidRPr="00AA22C4">
        <w:rPr>
          <w:rFonts w:ascii="Lato" w:hAnsi="Lato"/>
          <w:color w:val="000000" w:themeColor="text1"/>
          <w:sz w:val="22"/>
          <w:szCs w:val="22"/>
        </w:rPr>
        <w:t>badań przesiewowych w kierunku rdzeniowego zaniku mięśni (SMA):</w:t>
      </w:r>
    </w:p>
    <w:p w14:paraId="050D58BE" w14:textId="77777777" w:rsidR="005E347E" w:rsidRPr="00AA22C4" w:rsidRDefault="005E347E" w:rsidP="005E347E">
      <w:pPr>
        <w:pStyle w:val="Tekstprzypisudolnego"/>
        <w:numPr>
          <w:ilvl w:val="0"/>
          <w:numId w:val="68"/>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skrócenie czasu od urodzenia dziecka do uzyskania pozytywnego wyniku genetycznego badania</w:t>
      </w:r>
      <w:r w:rsidRPr="00AA22C4">
        <w:rPr>
          <w:rFonts w:ascii="Lato" w:hAnsi="Lato"/>
          <w:color w:val="000000" w:themeColor="text1"/>
        </w:rPr>
        <w:t xml:space="preserve"> </w:t>
      </w:r>
      <w:r w:rsidRPr="00AA22C4">
        <w:rPr>
          <w:rFonts w:ascii="Lato" w:hAnsi="Lato"/>
          <w:color w:val="000000" w:themeColor="text1"/>
          <w:sz w:val="22"/>
          <w:szCs w:val="22"/>
        </w:rPr>
        <w:t xml:space="preserve">w kierunku SMA oraz </w:t>
      </w:r>
    </w:p>
    <w:p w14:paraId="6C122D7D" w14:textId="77777777" w:rsidR="005E347E" w:rsidRPr="00AA22C4" w:rsidRDefault="005E347E" w:rsidP="005E347E">
      <w:pPr>
        <w:pStyle w:val="Tekstprzypisudolnego"/>
        <w:numPr>
          <w:ilvl w:val="0"/>
          <w:numId w:val="68"/>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czasu od urodzenia do rozpoczęcia leczenia w kierunku SMA,</w:t>
      </w:r>
    </w:p>
    <w:p w14:paraId="106804A8" w14:textId="77777777" w:rsidR="005E347E" w:rsidRPr="00AA22C4" w:rsidRDefault="005E347E" w:rsidP="005E347E">
      <w:pPr>
        <w:pStyle w:val="Tekstprzypisudolnego"/>
        <w:numPr>
          <w:ilvl w:val="0"/>
          <w:numId w:val="2"/>
        </w:numPr>
        <w:tabs>
          <w:tab w:val="num" w:pos="1135"/>
        </w:tabs>
        <w:spacing w:before="120" w:after="120"/>
        <w:ind w:left="1004" w:hanging="284"/>
        <w:contextualSpacing/>
        <w:jc w:val="both"/>
        <w:rPr>
          <w:rFonts w:ascii="Lato" w:hAnsi="Lato"/>
          <w:color w:val="000000" w:themeColor="text1"/>
          <w:sz w:val="22"/>
          <w:szCs w:val="22"/>
        </w:rPr>
      </w:pPr>
      <w:r w:rsidRPr="00AA22C4">
        <w:rPr>
          <w:rFonts w:ascii="Lato" w:hAnsi="Lato"/>
          <w:color w:val="000000" w:themeColor="text1"/>
          <w:sz w:val="22"/>
          <w:szCs w:val="22"/>
        </w:rPr>
        <w:t>badań przesiewowych w kierunku rzadkich wad metabolizmu metodą MS/MS (WWM);</w:t>
      </w:r>
    </w:p>
    <w:p w14:paraId="01875868" w14:textId="77777777" w:rsidR="005E347E" w:rsidRPr="00AA22C4" w:rsidRDefault="005E347E" w:rsidP="005E347E">
      <w:pPr>
        <w:pStyle w:val="Tekstprzypisudolnego"/>
        <w:numPr>
          <w:ilvl w:val="0"/>
          <w:numId w:val="20"/>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podniesienie kwalifikacji personelu medycznego na temat badań przesiewowych przez publikacje w czasopismach i realizację szkoleń dla kadry medycznej;</w:t>
      </w:r>
    </w:p>
    <w:p w14:paraId="40574A2C" w14:textId="77777777" w:rsidR="005E347E" w:rsidRPr="00AA22C4" w:rsidRDefault="005E347E" w:rsidP="005E347E">
      <w:pPr>
        <w:pStyle w:val="Tekstprzypisudolnego"/>
        <w:numPr>
          <w:ilvl w:val="0"/>
          <w:numId w:val="20"/>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 xml:space="preserve">obniżenie kosztów leczenia i opieki nad dziećmi z chorobami wrodzonymi; </w:t>
      </w:r>
    </w:p>
    <w:p w14:paraId="6FC56342" w14:textId="77777777" w:rsidR="005E347E" w:rsidRPr="00AA22C4" w:rsidRDefault="005E347E" w:rsidP="005E347E">
      <w:pPr>
        <w:pStyle w:val="Tekstprzypisudolnego"/>
        <w:numPr>
          <w:ilvl w:val="0"/>
          <w:numId w:val="20"/>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upowszechnianie wiedzy o badaniach przesiewowych w społeczeństwie;</w:t>
      </w:r>
    </w:p>
    <w:p w14:paraId="027DC827" w14:textId="77777777" w:rsidR="005E347E" w:rsidRPr="00AA22C4" w:rsidRDefault="005E347E" w:rsidP="005E347E">
      <w:pPr>
        <w:pStyle w:val="Tekstprzypisudolnego"/>
        <w:numPr>
          <w:ilvl w:val="0"/>
          <w:numId w:val="20"/>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opracowanie i wdrożenie nowego modelu zintegrowanych badań przesiewowych, który obejmuje:</w:t>
      </w:r>
    </w:p>
    <w:p w14:paraId="2E74264F" w14:textId="722CA05F" w:rsidR="005E347E" w:rsidRPr="00AA22C4" w:rsidRDefault="005E347E" w:rsidP="005E347E">
      <w:pPr>
        <w:pStyle w:val="Tekstprzypisudolnego"/>
        <w:numPr>
          <w:ilvl w:val="0"/>
          <w:numId w:val="21"/>
        </w:numPr>
        <w:tabs>
          <w:tab w:val="left" w:pos="1134"/>
        </w:tabs>
        <w:spacing w:before="120" w:after="120"/>
        <w:ind w:left="1037" w:hanging="340"/>
        <w:contextualSpacing/>
        <w:jc w:val="both"/>
        <w:rPr>
          <w:rFonts w:ascii="Lato" w:hAnsi="Lato"/>
          <w:color w:val="000000" w:themeColor="text1"/>
          <w:sz w:val="22"/>
          <w:szCs w:val="22"/>
        </w:rPr>
      </w:pPr>
      <w:r w:rsidRPr="00AA22C4">
        <w:rPr>
          <w:rFonts w:ascii="Lato" w:hAnsi="Lato"/>
          <w:color w:val="000000" w:themeColor="text1"/>
          <w:sz w:val="22"/>
          <w:szCs w:val="22"/>
        </w:rPr>
        <w:t xml:space="preserve"> wprowadzenie nowego programu do zarządzania realizacją badań przesiewowych, w tym wprowadzenie możliwości śledzenia kolejnych etapów badań na </w:t>
      </w:r>
      <w:r w:rsidR="00A76196" w:rsidRPr="00AA22C4">
        <w:rPr>
          <w:rFonts w:ascii="Lato" w:hAnsi="Lato"/>
          <w:color w:val="000000" w:themeColor="text1"/>
          <w:sz w:val="22"/>
          <w:szCs w:val="22"/>
        </w:rPr>
        <w:t xml:space="preserve">przeznaczonej temu </w:t>
      </w:r>
      <w:r w:rsidRPr="00AA22C4">
        <w:rPr>
          <w:rFonts w:ascii="Lato" w:hAnsi="Lato"/>
          <w:color w:val="000000" w:themeColor="text1"/>
          <w:sz w:val="22"/>
          <w:szCs w:val="22"/>
        </w:rPr>
        <w:t>stronie internetowej, z zachowaniem ochrony danych i ochroną przed nieuprawnionym dostępem,</w:t>
      </w:r>
    </w:p>
    <w:p w14:paraId="38EE69A3" w14:textId="77777777" w:rsidR="005E347E" w:rsidRPr="00AA22C4" w:rsidRDefault="005E347E" w:rsidP="005E347E">
      <w:pPr>
        <w:pStyle w:val="Tekstprzypisudolnego"/>
        <w:numPr>
          <w:ilvl w:val="0"/>
          <w:numId w:val="21"/>
        </w:numPr>
        <w:tabs>
          <w:tab w:val="left" w:pos="1134"/>
        </w:tabs>
        <w:spacing w:before="120" w:after="120"/>
        <w:ind w:left="1037" w:hanging="340"/>
        <w:contextualSpacing/>
        <w:jc w:val="both"/>
        <w:rPr>
          <w:rFonts w:ascii="Lato" w:hAnsi="Lato"/>
          <w:color w:val="000000" w:themeColor="text1"/>
          <w:sz w:val="22"/>
          <w:szCs w:val="22"/>
        </w:rPr>
      </w:pPr>
      <w:r w:rsidRPr="00AA22C4">
        <w:rPr>
          <w:rFonts w:ascii="Lato" w:hAnsi="Lato"/>
          <w:color w:val="000000" w:themeColor="text1"/>
          <w:sz w:val="22"/>
          <w:szCs w:val="22"/>
        </w:rPr>
        <w:lastRenderedPageBreak/>
        <w:t>wykonywanie badań biochemicznych w zakresie diagnostyki i monitorowania leczenia chorób wykrytych w badaniach przesiewowych,</w:t>
      </w:r>
    </w:p>
    <w:p w14:paraId="2D5760E4" w14:textId="5BE14A6D" w:rsidR="005E347E" w:rsidRPr="00AA22C4" w:rsidRDefault="007C7607" w:rsidP="005E347E">
      <w:pPr>
        <w:pStyle w:val="Tekstprzypisudolnego"/>
        <w:numPr>
          <w:ilvl w:val="0"/>
          <w:numId w:val="21"/>
        </w:numPr>
        <w:tabs>
          <w:tab w:val="left" w:pos="1134"/>
        </w:tabs>
        <w:spacing w:before="120" w:after="120"/>
        <w:ind w:left="1037" w:hanging="340"/>
        <w:contextualSpacing/>
        <w:jc w:val="both"/>
        <w:rPr>
          <w:rFonts w:ascii="Lato" w:hAnsi="Lato"/>
          <w:color w:val="000000" w:themeColor="text1"/>
          <w:sz w:val="22"/>
          <w:szCs w:val="22"/>
        </w:rPr>
      </w:pPr>
      <w:r w:rsidRPr="00AA22C4">
        <w:rPr>
          <w:rFonts w:ascii="Lato" w:hAnsi="Lato"/>
          <w:color w:val="000000" w:themeColor="text1"/>
          <w:sz w:val="22"/>
          <w:szCs w:val="22"/>
        </w:rPr>
        <w:t xml:space="preserve">wykonanie </w:t>
      </w:r>
      <w:r w:rsidR="005E347E" w:rsidRPr="00AA22C4">
        <w:rPr>
          <w:rFonts w:ascii="Lato" w:hAnsi="Lato"/>
          <w:color w:val="000000" w:themeColor="text1"/>
          <w:sz w:val="22"/>
          <w:szCs w:val="22"/>
        </w:rPr>
        <w:t>bada</w:t>
      </w:r>
      <w:r w:rsidRPr="00AA22C4">
        <w:rPr>
          <w:rFonts w:ascii="Lato" w:hAnsi="Lato"/>
          <w:color w:val="000000" w:themeColor="text1"/>
          <w:sz w:val="22"/>
          <w:szCs w:val="22"/>
        </w:rPr>
        <w:t>ń</w:t>
      </w:r>
      <w:r w:rsidR="005E347E" w:rsidRPr="00AA22C4">
        <w:rPr>
          <w:rFonts w:ascii="Lato" w:hAnsi="Lato"/>
          <w:color w:val="000000" w:themeColor="text1"/>
          <w:sz w:val="22"/>
          <w:szCs w:val="22"/>
        </w:rPr>
        <w:t xml:space="preserve"> pilotażow</w:t>
      </w:r>
      <w:r w:rsidRPr="00AA22C4">
        <w:rPr>
          <w:rFonts w:ascii="Lato" w:hAnsi="Lato"/>
          <w:color w:val="000000" w:themeColor="text1"/>
          <w:sz w:val="22"/>
          <w:szCs w:val="22"/>
        </w:rPr>
        <w:t>ych,</w:t>
      </w:r>
      <w:r w:rsidR="005E347E" w:rsidRPr="00AA22C4">
        <w:rPr>
          <w:rFonts w:ascii="Lato" w:hAnsi="Lato"/>
          <w:color w:val="000000" w:themeColor="text1"/>
          <w:sz w:val="22"/>
          <w:szCs w:val="22"/>
        </w:rPr>
        <w:t xml:space="preserve"> walidację </w:t>
      </w:r>
      <w:r w:rsidRPr="00AA22C4">
        <w:rPr>
          <w:rFonts w:ascii="Lato" w:hAnsi="Lato"/>
          <w:color w:val="000000" w:themeColor="text1"/>
          <w:sz w:val="22"/>
          <w:szCs w:val="22"/>
        </w:rPr>
        <w:t xml:space="preserve">i wdrożenie </w:t>
      </w:r>
      <w:r w:rsidR="005E347E" w:rsidRPr="00AA22C4">
        <w:rPr>
          <w:rFonts w:ascii="Lato" w:hAnsi="Lato"/>
          <w:color w:val="000000" w:themeColor="text1"/>
          <w:sz w:val="22"/>
          <w:szCs w:val="22"/>
        </w:rPr>
        <w:t>nowych testów przesiewowych,</w:t>
      </w:r>
    </w:p>
    <w:p w14:paraId="0C2CDA08" w14:textId="77777777" w:rsidR="005E347E" w:rsidRPr="00AA22C4" w:rsidRDefault="005E347E" w:rsidP="005E347E">
      <w:pPr>
        <w:pStyle w:val="Tekstprzypisudolnego"/>
        <w:numPr>
          <w:ilvl w:val="0"/>
          <w:numId w:val="21"/>
        </w:numPr>
        <w:tabs>
          <w:tab w:val="left" w:pos="1134"/>
        </w:tabs>
        <w:spacing w:before="120" w:after="120"/>
        <w:ind w:left="1037" w:hanging="340"/>
        <w:contextualSpacing/>
        <w:jc w:val="both"/>
        <w:rPr>
          <w:rFonts w:ascii="Lato" w:hAnsi="Lato"/>
          <w:color w:val="000000" w:themeColor="text1"/>
          <w:sz w:val="22"/>
          <w:szCs w:val="22"/>
        </w:rPr>
      </w:pPr>
      <w:r w:rsidRPr="00AA22C4">
        <w:rPr>
          <w:rFonts w:ascii="Lato" w:hAnsi="Lato"/>
          <w:color w:val="000000" w:themeColor="text1"/>
          <w:sz w:val="22"/>
          <w:szCs w:val="22"/>
        </w:rPr>
        <w:t>monitorowanie leczenia rdzeniowego zaniku mięśni do rejestru leczonych przedobjawowo,</w:t>
      </w:r>
    </w:p>
    <w:p w14:paraId="2FB51829" w14:textId="77777777" w:rsidR="005E347E" w:rsidRPr="00AA22C4" w:rsidRDefault="005E347E" w:rsidP="005E347E">
      <w:pPr>
        <w:pStyle w:val="Tekstprzypisudolnego"/>
        <w:numPr>
          <w:ilvl w:val="0"/>
          <w:numId w:val="21"/>
        </w:numPr>
        <w:tabs>
          <w:tab w:val="left" w:pos="1134"/>
        </w:tabs>
        <w:spacing w:before="120" w:after="120"/>
        <w:ind w:left="1037" w:hanging="340"/>
        <w:contextualSpacing/>
        <w:jc w:val="both"/>
        <w:rPr>
          <w:rFonts w:ascii="Lato" w:hAnsi="Lato"/>
          <w:color w:val="000000" w:themeColor="text1"/>
          <w:sz w:val="22"/>
          <w:szCs w:val="22"/>
        </w:rPr>
      </w:pPr>
      <w:r w:rsidRPr="00AA22C4">
        <w:rPr>
          <w:rFonts w:ascii="Lato" w:hAnsi="Lato"/>
          <w:color w:val="000000" w:themeColor="text1"/>
          <w:sz w:val="22"/>
          <w:szCs w:val="22"/>
        </w:rPr>
        <w:t>upowszechnienie rekomendacji dla postępowania diagnostyczno-leczniczego dla wrodzonych wad metabolizmu wykrywanych metodą MS/MS,</w:t>
      </w:r>
    </w:p>
    <w:p w14:paraId="516C99A9" w14:textId="77777777" w:rsidR="005E347E" w:rsidRPr="00AA22C4" w:rsidRDefault="005E347E" w:rsidP="005E347E">
      <w:pPr>
        <w:pStyle w:val="Tekstprzypisudolnego"/>
        <w:numPr>
          <w:ilvl w:val="0"/>
          <w:numId w:val="21"/>
        </w:numPr>
        <w:spacing w:before="120" w:after="120"/>
        <w:ind w:left="1037" w:hanging="340"/>
        <w:contextualSpacing/>
        <w:jc w:val="both"/>
        <w:rPr>
          <w:rFonts w:ascii="Lato" w:hAnsi="Lato"/>
          <w:color w:val="000000" w:themeColor="text1"/>
          <w:sz w:val="22"/>
          <w:szCs w:val="22"/>
        </w:rPr>
      </w:pPr>
      <w:r w:rsidRPr="00AA22C4">
        <w:rPr>
          <w:rFonts w:ascii="Lato" w:hAnsi="Lato"/>
          <w:color w:val="000000" w:themeColor="text1"/>
          <w:sz w:val="22"/>
          <w:szCs w:val="22"/>
        </w:rPr>
        <w:t>poszerzenie i modernizację komunikacji elektronicznej do pracy „on-line",</w:t>
      </w:r>
    </w:p>
    <w:p w14:paraId="4E4FCE26" w14:textId="6E7E9BA2" w:rsidR="005E347E" w:rsidRPr="00AA22C4" w:rsidRDefault="005E347E" w:rsidP="005E347E">
      <w:pPr>
        <w:pStyle w:val="Tekstprzypisudolnego"/>
        <w:numPr>
          <w:ilvl w:val="0"/>
          <w:numId w:val="21"/>
        </w:numPr>
        <w:tabs>
          <w:tab w:val="left" w:pos="993"/>
        </w:tabs>
        <w:spacing w:before="120" w:after="120"/>
        <w:ind w:left="1037" w:hanging="340"/>
        <w:contextualSpacing/>
        <w:jc w:val="both"/>
        <w:rPr>
          <w:rFonts w:ascii="Lato" w:hAnsi="Lato"/>
          <w:color w:val="000000" w:themeColor="text1"/>
          <w:sz w:val="22"/>
          <w:szCs w:val="22"/>
        </w:rPr>
      </w:pPr>
      <w:r w:rsidRPr="00AA22C4">
        <w:rPr>
          <w:rFonts w:ascii="Lato" w:hAnsi="Lato"/>
          <w:color w:val="000000" w:themeColor="text1"/>
          <w:sz w:val="22"/>
          <w:szCs w:val="22"/>
        </w:rPr>
        <w:t xml:space="preserve">prowadzenie monitorowania leczenia wrodzonych wad metabolizmu (WWM) w </w:t>
      </w:r>
      <w:r w:rsidR="00B01154" w:rsidRPr="00AA22C4">
        <w:rPr>
          <w:rFonts w:ascii="Lato" w:hAnsi="Lato"/>
          <w:color w:val="000000" w:themeColor="text1"/>
          <w:sz w:val="22"/>
          <w:szCs w:val="22"/>
        </w:rPr>
        <w:t xml:space="preserve">1. </w:t>
      </w:r>
      <w:r w:rsidRPr="00AA22C4">
        <w:rPr>
          <w:rFonts w:ascii="Lato" w:hAnsi="Lato"/>
          <w:color w:val="000000" w:themeColor="text1"/>
          <w:sz w:val="22"/>
          <w:szCs w:val="22"/>
        </w:rPr>
        <w:t>r</w:t>
      </w:r>
      <w:r w:rsidR="00B01154" w:rsidRPr="00AA22C4">
        <w:rPr>
          <w:rFonts w:ascii="Lato" w:hAnsi="Lato"/>
          <w:color w:val="000000" w:themeColor="text1"/>
          <w:sz w:val="22"/>
          <w:szCs w:val="22"/>
        </w:rPr>
        <w:t>.</w:t>
      </w:r>
      <w:r w:rsidRPr="00AA22C4">
        <w:rPr>
          <w:rFonts w:ascii="Lato" w:hAnsi="Lato"/>
          <w:color w:val="000000" w:themeColor="text1"/>
          <w:sz w:val="22"/>
          <w:szCs w:val="22"/>
        </w:rPr>
        <w:t xml:space="preserve"> ż</w:t>
      </w:r>
      <w:r w:rsidR="00B01154" w:rsidRPr="00AA22C4">
        <w:rPr>
          <w:rFonts w:ascii="Lato" w:hAnsi="Lato"/>
          <w:color w:val="000000" w:themeColor="text1"/>
          <w:sz w:val="22"/>
          <w:szCs w:val="22"/>
        </w:rPr>
        <w:t>.</w:t>
      </w:r>
      <w:r w:rsidRPr="00AA22C4">
        <w:rPr>
          <w:rFonts w:ascii="Lato" w:hAnsi="Lato"/>
          <w:color w:val="000000" w:themeColor="text1"/>
          <w:sz w:val="22"/>
          <w:szCs w:val="22"/>
        </w:rPr>
        <w:t xml:space="preserve"> – rejestr leczonych.</w:t>
      </w:r>
    </w:p>
    <w:p w14:paraId="66A454E7" w14:textId="77777777" w:rsidR="005E347E" w:rsidRPr="00AA22C4" w:rsidRDefault="005E347E" w:rsidP="005E347E">
      <w:pPr>
        <w:pStyle w:val="Tekstprzypisudolnego"/>
        <w:tabs>
          <w:tab w:val="left" w:pos="993"/>
        </w:tabs>
        <w:spacing w:before="120" w:after="120"/>
        <w:ind w:left="1037"/>
        <w:contextualSpacing/>
        <w:jc w:val="both"/>
        <w:rPr>
          <w:rFonts w:ascii="Lato" w:hAnsi="Lato"/>
          <w:color w:val="000000" w:themeColor="text1"/>
          <w:sz w:val="22"/>
          <w:szCs w:val="22"/>
        </w:rPr>
      </w:pPr>
    </w:p>
    <w:p w14:paraId="495A1E99" w14:textId="77777777" w:rsidR="005E347E" w:rsidRPr="00AA22C4" w:rsidRDefault="005E347E" w:rsidP="005E347E">
      <w:pPr>
        <w:pStyle w:val="Tekstprzypisudolnego"/>
        <w:numPr>
          <w:ilvl w:val="1"/>
          <w:numId w:val="1"/>
        </w:numPr>
        <w:spacing w:before="120" w:after="120"/>
        <w:ind w:left="709" w:hanging="709"/>
        <w:jc w:val="both"/>
        <w:outlineLvl w:val="1"/>
        <w:rPr>
          <w:rFonts w:ascii="Lato" w:hAnsi="Lato"/>
          <w:b/>
          <w:color w:val="000000" w:themeColor="text1"/>
          <w:sz w:val="28"/>
          <w:szCs w:val="22"/>
        </w:rPr>
      </w:pPr>
      <w:bookmarkStart w:id="12" w:name="_Toc514072283"/>
      <w:r w:rsidRPr="00AA22C4">
        <w:rPr>
          <w:rFonts w:ascii="Lato" w:hAnsi="Lato"/>
          <w:b/>
          <w:color w:val="000000" w:themeColor="text1"/>
          <w:sz w:val="28"/>
          <w:szCs w:val="22"/>
        </w:rPr>
        <w:t>Mierniki efektywności realizacji programu polityki zdrowotnej</w:t>
      </w:r>
      <w:bookmarkEnd w:id="12"/>
    </w:p>
    <w:p w14:paraId="2154B704" w14:textId="1E84F92B" w:rsidR="005E347E" w:rsidRPr="00AA22C4" w:rsidRDefault="0077160D" w:rsidP="00AA22C4">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1. </w:t>
      </w:r>
      <w:r w:rsidR="005E347E" w:rsidRPr="00AA22C4">
        <w:rPr>
          <w:rFonts w:ascii="Lato" w:hAnsi="Lato"/>
          <w:color w:val="000000" w:themeColor="text1"/>
          <w:sz w:val="22"/>
          <w:szCs w:val="22"/>
        </w:rPr>
        <w:t>Jako miernik efektywności dla celu pierwszego, który odnosi się do wczesnego rozpoznania i wdrożenia leczenia 30 chorób wrodzonych objętych badaniem przesiewowym, przyjęto liczbę noworodków wykrytych w badaniach przesiewowych z chorobami wrodzonymi, objętymi zakresem badań przesiewowych i skierowanych do dalszego leczenia.</w:t>
      </w:r>
    </w:p>
    <w:p w14:paraId="49FDC95A" w14:textId="5A14EA1F" w:rsidR="005E347E" w:rsidRPr="00AA22C4" w:rsidRDefault="0077160D" w:rsidP="00AA22C4">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2. </w:t>
      </w:r>
      <w:r w:rsidR="005E347E" w:rsidRPr="00AA22C4">
        <w:rPr>
          <w:rFonts w:ascii="Lato" w:hAnsi="Lato"/>
          <w:color w:val="000000" w:themeColor="text1"/>
          <w:sz w:val="22"/>
          <w:szCs w:val="22"/>
        </w:rPr>
        <w:t xml:space="preserve">Dla celu drugiego, dotyczącego podniesienie kwalifikacji personelu medycznego na temat badań przesiewowych przez realizację szkoleń dla kadry medycznej przyjęto liczbę personelu medycznego (z podziałem na wykonywany zawód) przeszkolonego w ramach Programu. </w:t>
      </w:r>
    </w:p>
    <w:p w14:paraId="282264AD" w14:textId="6480E8A7" w:rsidR="005E347E" w:rsidRPr="00AA22C4" w:rsidRDefault="0077160D" w:rsidP="00AA22C4">
      <w:pPr>
        <w:jc w:val="both"/>
        <w:rPr>
          <w:rFonts w:ascii="Lato" w:hAnsi="Lato"/>
          <w:color w:val="000000" w:themeColor="text1"/>
          <w:sz w:val="22"/>
          <w:szCs w:val="22"/>
        </w:rPr>
      </w:pPr>
      <w:r w:rsidRPr="00AA22C4">
        <w:rPr>
          <w:rFonts w:ascii="Lato" w:hAnsi="Lato"/>
          <w:color w:val="000000" w:themeColor="text1"/>
          <w:sz w:val="22"/>
          <w:szCs w:val="22"/>
        </w:rPr>
        <w:t xml:space="preserve">3. </w:t>
      </w:r>
      <w:r w:rsidR="005E347E" w:rsidRPr="00AA22C4">
        <w:rPr>
          <w:rFonts w:ascii="Lato" w:hAnsi="Lato"/>
          <w:color w:val="000000" w:themeColor="text1"/>
          <w:sz w:val="22"/>
          <w:szCs w:val="22"/>
        </w:rPr>
        <w:t xml:space="preserve">Z uwagi na trudności związane z oszacowaniem kosztów, które zostaną obniżone dzięki wczesnemu wykryciu choroby, jako miernik efektywności ekonomicznej przyjęto analizę kosztów dla dwóch chorób z badanego panelu – fenyloketonurii i wrodzonej niedoczynności tarczycy (w latach 2015-2017 wykryto łącznie 490 chorych). Jeżeli choroby te nie zostaną wykryte w pierwszym miesiącu życia w badaniach przesiewowych, prowadzą do upośledzenia umysłowego w stopniu ciężkim, które uniemożliwia samodzielne funkcjonowanie i powoduje konieczność opieki pielęgnacyjnej oraz utrzymania przez całe życie. Przeżywalność tych chorych jest taka sama jak zdrowych osób. </w:t>
      </w:r>
    </w:p>
    <w:p w14:paraId="4A7D18AA" w14:textId="77777777" w:rsidR="005E347E" w:rsidRPr="00AA22C4" w:rsidRDefault="005E347E" w:rsidP="00804077">
      <w:pPr>
        <w:jc w:val="both"/>
        <w:rPr>
          <w:rFonts w:ascii="Lato" w:hAnsi="Lato"/>
          <w:b/>
          <w:color w:val="000000" w:themeColor="text1"/>
          <w:sz w:val="22"/>
          <w:szCs w:val="22"/>
        </w:rPr>
      </w:pPr>
    </w:p>
    <w:p w14:paraId="29B63D94" w14:textId="77777777" w:rsidR="00467197" w:rsidRPr="00AA22C4" w:rsidRDefault="00467197" w:rsidP="00804077">
      <w:pPr>
        <w:jc w:val="both"/>
        <w:rPr>
          <w:rFonts w:ascii="Lato" w:hAnsi="Lato"/>
          <w:b/>
          <w:color w:val="000000" w:themeColor="text1"/>
          <w:sz w:val="22"/>
          <w:szCs w:val="22"/>
        </w:rPr>
      </w:pPr>
    </w:p>
    <w:p w14:paraId="3A45BDD6" w14:textId="77777777" w:rsidR="006F5099" w:rsidRPr="00AA22C4" w:rsidRDefault="006F5099" w:rsidP="00804077">
      <w:pPr>
        <w:jc w:val="both"/>
        <w:rPr>
          <w:rFonts w:ascii="Lato" w:hAnsi="Lato"/>
          <w:b/>
          <w:color w:val="000000" w:themeColor="text1"/>
          <w:sz w:val="22"/>
          <w:szCs w:val="22"/>
        </w:rPr>
      </w:pPr>
    </w:p>
    <w:p w14:paraId="52E9DB1F" w14:textId="77777777" w:rsidR="00FA48FC" w:rsidRDefault="00FA48FC" w:rsidP="005E347E">
      <w:pPr>
        <w:ind w:left="720"/>
        <w:jc w:val="both"/>
        <w:rPr>
          <w:rFonts w:ascii="Lato" w:hAnsi="Lato"/>
          <w:b/>
          <w:color w:val="000000" w:themeColor="text1"/>
          <w:sz w:val="22"/>
          <w:szCs w:val="22"/>
        </w:rPr>
      </w:pPr>
    </w:p>
    <w:p w14:paraId="5C8B3F2D" w14:textId="77777777" w:rsidR="009038E8" w:rsidRPr="00AA22C4" w:rsidRDefault="009038E8" w:rsidP="005E347E">
      <w:pPr>
        <w:ind w:left="720"/>
        <w:jc w:val="both"/>
        <w:rPr>
          <w:rFonts w:ascii="Lato" w:hAnsi="Lato"/>
          <w:b/>
          <w:color w:val="000000" w:themeColor="text1"/>
          <w:sz w:val="22"/>
          <w:szCs w:val="22"/>
        </w:rPr>
      </w:pPr>
    </w:p>
    <w:p w14:paraId="4084FB52" w14:textId="77777777" w:rsidR="00FA48FC" w:rsidRPr="00AA22C4" w:rsidRDefault="00FA48FC" w:rsidP="005E347E">
      <w:pPr>
        <w:ind w:left="720"/>
        <w:jc w:val="both"/>
        <w:rPr>
          <w:rFonts w:ascii="Lato" w:hAnsi="Lato"/>
          <w:b/>
          <w:color w:val="000000" w:themeColor="text1"/>
          <w:sz w:val="22"/>
          <w:szCs w:val="22"/>
        </w:rPr>
      </w:pPr>
    </w:p>
    <w:p w14:paraId="3C28071A" w14:textId="2AE8D01F" w:rsidR="005E347E" w:rsidRPr="00AA22C4" w:rsidRDefault="005E347E" w:rsidP="005E347E">
      <w:pPr>
        <w:ind w:left="720"/>
        <w:jc w:val="both"/>
        <w:rPr>
          <w:rFonts w:ascii="Lato" w:hAnsi="Lato"/>
          <w:b/>
          <w:color w:val="000000" w:themeColor="text1"/>
          <w:sz w:val="22"/>
          <w:szCs w:val="22"/>
        </w:rPr>
      </w:pPr>
      <w:r w:rsidRPr="00AA22C4">
        <w:rPr>
          <w:rFonts w:ascii="Lato" w:hAnsi="Lato"/>
          <w:b/>
          <w:color w:val="000000" w:themeColor="text1"/>
          <w:sz w:val="22"/>
          <w:szCs w:val="22"/>
        </w:rPr>
        <w:lastRenderedPageBreak/>
        <w:t>Tab. 2. Bilans badań przesiewowych w latach 2015 – 2017.</w:t>
      </w:r>
    </w:p>
    <w:tbl>
      <w:tblPr>
        <w:tblpPr w:leftFromText="141" w:rightFromText="141" w:vertAnchor="text" w:horzAnchor="margin" w:tblpXSpec="right" w:tblpY="177"/>
        <w:tblW w:w="8526" w:type="dxa"/>
        <w:tblLayout w:type="fixed"/>
        <w:tblCellMar>
          <w:top w:w="55" w:type="dxa"/>
          <w:left w:w="55" w:type="dxa"/>
          <w:bottom w:w="55" w:type="dxa"/>
          <w:right w:w="55" w:type="dxa"/>
        </w:tblCellMar>
        <w:tblLook w:val="04A0" w:firstRow="1" w:lastRow="0" w:firstColumn="1" w:lastColumn="0" w:noHBand="0" w:noVBand="1"/>
      </w:tblPr>
      <w:tblGrid>
        <w:gridCol w:w="2090"/>
        <w:gridCol w:w="1639"/>
        <w:gridCol w:w="1342"/>
        <w:gridCol w:w="1811"/>
        <w:gridCol w:w="1644"/>
      </w:tblGrid>
      <w:tr w:rsidR="00B3776C" w:rsidRPr="00B3776C" w14:paraId="1DE16B39" w14:textId="77777777" w:rsidTr="00775DDD">
        <w:trPr>
          <w:trHeight w:val="276"/>
        </w:trPr>
        <w:tc>
          <w:tcPr>
            <w:tcW w:w="2090" w:type="dxa"/>
            <w:tcBorders>
              <w:top w:val="single" w:sz="2" w:space="0" w:color="000000"/>
              <w:left w:val="single" w:sz="2" w:space="0" w:color="000000"/>
              <w:bottom w:val="single" w:sz="2" w:space="0" w:color="000000"/>
              <w:right w:val="nil"/>
            </w:tcBorders>
            <w:vAlign w:val="center"/>
            <w:hideMark/>
          </w:tcPr>
          <w:p w14:paraId="66A54603" w14:textId="77777777" w:rsidR="005E347E" w:rsidRPr="00AA22C4" w:rsidRDefault="005E347E" w:rsidP="00775DDD">
            <w:pPr>
              <w:pStyle w:val="Zawartotabeli"/>
              <w:snapToGrid w:val="0"/>
              <w:spacing w:before="40" w:after="40"/>
              <w:jc w:val="center"/>
              <w:rPr>
                <w:rFonts w:ascii="Lato" w:hAnsi="Lato"/>
                <w:b/>
                <w:bCs/>
                <w:color w:val="000000" w:themeColor="text1"/>
                <w:sz w:val="22"/>
                <w:szCs w:val="22"/>
              </w:rPr>
            </w:pPr>
            <w:r w:rsidRPr="00AA22C4">
              <w:rPr>
                <w:rFonts w:ascii="Lato" w:hAnsi="Lato"/>
                <w:b/>
                <w:bCs/>
                <w:color w:val="000000" w:themeColor="text1"/>
                <w:sz w:val="22"/>
                <w:szCs w:val="22"/>
              </w:rPr>
              <w:t>Choroba wrodzona</w:t>
            </w:r>
          </w:p>
        </w:tc>
        <w:tc>
          <w:tcPr>
            <w:tcW w:w="1639" w:type="dxa"/>
            <w:tcBorders>
              <w:top w:val="single" w:sz="2" w:space="0" w:color="000000"/>
              <w:left w:val="single" w:sz="2" w:space="0" w:color="000000"/>
              <w:bottom w:val="single" w:sz="2" w:space="0" w:color="000000"/>
              <w:right w:val="nil"/>
            </w:tcBorders>
            <w:vAlign w:val="center"/>
            <w:hideMark/>
          </w:tcPr>
          <w:p w14:paraId="6D7BCB8F" w14:textId="77777777" w:rsidR="005E347E" w:rsidRPr="00AA22C4" w:rsidRDefault="005E347E" w:rsidP="00775DDD">
            <w:pPr>
              <w:pStyle w:val="Zawartotabeli"/>
              <w:snapToGrid w:val="0"/>
              <w:spacing w:before="40" w:after="40"/>
              <w:jc w:val="center"/>
              <w:rPr>
                <w:rFonts w:ascii="Lato" w:hAnsi="Lato"/>
                <w:b/>
                <w:bCs/>
                <w:color w:val="000000" w:themeColor="text1"/>
                <w:sz w:val="22"/>
                <w:szCs w:val="22"/>
              </w:rPr>
            </w:pPr>
            <w:r w:rsidRPr="00AA22C4">
              <w:rPr>
                <w:rFonts w:ascii="Lato" w:hAnsi="Lato"/>
                <w:b/>
                <w:bCs/>
                <w:color w:val="000000" w:themeColor="text1"/>
                <w:sz w:val="22"/>
                <w:szCs w:val="22"/>
              </w:rPr>
              <w:t>Liczba badanych</w:t>
            </w:r>
          </w:p>
          <w:p w14:paraId="413D316C" w14:textId="77777777" w:rsidR="005E347E" w:rsidRPr="00AA22C4" w:rsidRDefault="005E347E" w:rsidP="00775DDD">
            <w:pPr>
              <w:pStyle w:val="Zawartotabeli"/>
              <w:spacing w:before="40" w:after="40"/>
              <w:jc w:val="center"/>
              <w:rPr>
                <w:rFonts w:ascii="Lato" w:hAnsi="Lato"/>
                <w:b/>
                <w:bCs/>
                <w:color w:val="000000" w:themeColor="text1"/>
                <w:sz w:val="22"/>
                <w:szCs w:val="22"/>
              </w:rPr>
            </w:pPr>
            <w:r w:rsidRPr="00AA22C4">
              <w:rPr>
                <w:rFonts w:ascii="Lato" w:hAnsi="Lato"/>
                <w:b/>
                <w:bCs/>
                <w:color w:val="000000" w:themeColor="text1"/>
                <w:sz w:val="22"/>
                <w:szCs w:val="22"/>
              </w:rPr>
              <w:t>Noworodków</w:t>
            </w:r>
          </w:p>
        </w:tc>
        <w:tc>
          <w:tcPr>
            <w:tcW w:w="1342" w:type="dxa"/>
            <w:tcBorders>
              <w:top w:val="single" w:sz="2" w:space="0" w:color="000000"/>
              <w:left w:val="single" w:sz="2" w:space="0" w:color="000000"/>
              <w:bottom w:val="single" w:sz="2" w:space="0" w:color="000000"/>
              <w:right w:val="nil"/>
            </w:tcBorders>
            <w:vAlign w:val="center"/>
          </w:tcPr>
          <w:p w14:paraId="639DDB77" w14:textId="77777777" w:rsidR="005E347E" w:rsidRPr="00AA22C4" w:rsidRDefault="005E347E" w:rsidP="00775DDD">
            <w:pPr>
              <w:pStyle w:val="Zawartotabeli"/>
              <w:snapToGrid w:val="0"/>
              <w:spacing w:before="40" w:after="40"/>
              <w:jc w:val="center"/>
              <w:rPr>
                <w:rFonts w:ascii="Lato" w:hAnsi="Lato"/>
                <w:b/>
                <w:bCs/>
                <w:color w:val="000000" w:themeColor="text1"/>
                <w:sz w:val="22"/>
                <w:szCs w:val="22"/>
              </w:rPr>
            </w:pPr>
            <w:r w:rsidRPr="00AA22C4">
              <w:rPr>
                <w:rFonts w:ascii="Lato" w:hAnsi="Lato"/>
                <w:b/>
                <w:bCs/>
                <w:color w:val="000000" w:themeColor="text1"/>
                <w:sz w:val="22"/>
                <w:szCs w:val="22"/>
              </w:rPr>
              <w:t>Liczba</w:t>
            </w:r>
          </w:p>
          <w:p w14:paraId="39F95F43" w14:textId="77777777" w:rsidR="005E347E" w:rsidRPr="00AA22C4" w:rsidRDefault="005E347E" w:rsidP="00775DDD">
            <w:pPr>
              <w:pStyle w:val="Zawartotabeli"/>
              <w:spacing w:before="40" w:after="40"/>
              <w:jc w:val="center"/>
              <w:rPr>
                <w:rFonts w:ascii="Lato" w:hAnsi="Lato"/>
                <w:b/>
                <w:bCs/>
                <w:color w:val="000000" w:themeColor="text1"/>
                <w:sz w:val="22"/>
                <w:szCs w:val="22"/>
              </w:rPr>
            </w:pPr>
            <w:r w:rsidRPr="00AA22C4">
              <w:rPr>
                <w:rFonts w:ascii="Lato" w:hAnsi="Lato"/>
                <w:b/>
                <w:bCs/>
                <w:color w:val="000000" w:themeColor="text1"/>
                <w:sz w:val="22"/>
                <w:szCs w:val="22"/>
              </w:rPr>
              <w:t>wykrytych chorych</w:t>
            </w:r>
          </w:p>
          <w:p w14:paraId="2EC870EC" w14:textId="77777777" w:rsidR="005E347E" w:rsidRPr="00AA22C4" w:rsidRDefault="005E347E" w:rsidP="00775DDD">
            <w:pPr>
              <w:pStyle w:val="Zawartotabeli"/>
              <w:spacing w:before="40" w:after="40"/>
              <w:jc w:val="center"/>
              <w:rPr>
                <w:rFonts w:ascii="Lato" w:hAnsi="Lato"/>
                <w:b/>
                <w:bCs/>
                <w:color w:val="000000" w:themeColor="text1"/>
                <w:sz w:val="22"/>
                <w:szCs w:val="22"/>
              </w:rPr>
            </w:pPr>
          </w:p>
        </w:tc>
        <w:tc>
          <w:tcPr>
            <w:tcW w:w="1811" w:type="dxa"/>
            <w:tcBorders>
              <w:top w:val="single" w:sz="2" w:space="0" w:color="000000"/>
              <w:left w:val="single" w:sz="2" w:space="0" w:color="000000"/>
              <w:bottom w:val="single" w:sz="2" w:space="0" w:color="000000"/>
              <w:right w:val="nil"/>
            </w:tcBorders>
            <w:vAlign w:val="center"/>
            <w:hideMark/>
          </w:tcPr>
          <w:p w14:paraId="5AA0D092" w14:textId="77777777" w:rsidR="005E347E" w:rsidRPr="00AA22C4" w:rsidRDefault="005E347E" w:rsidP="00775DDD">
            <w:pPr>
              <w:pStyle w:val="Zawartotabeli"/>
              <w:snapToGrid w:val="0"/>
              <w:spacing w:before="40" w:after="40"/>
              <w:jc w:val="center"/>
              <w:rPr>
                <w:rFonts w:ascii="Lato" w:hAnsi="Lato"/>
                <w:b/>
                <w:bCs/>
                <w:color w:val="000000" w:themeColor="text1"/>
                <w:sz w:val="22"/>
                <w:szCs w:val="22"/>
              </w:rPr>
            </w:pPr>
            <w:r w:rsidRPr="00AA22C4">
              <w:rPr>
                <w:rFonts w:ascii="Lato" w:hAnsi="Lato"/>
                <w:b/>
                <w:bCs/>
                <w:color w:val="000000" w:themeColor="text1"/>
                <w:sz w:val="22"/>
                <w:szCs w:val="22"/>
              </w:rPr>
              <w:t>Koszt badań przesiewowych w okresie 3 lat</w:t>
            </w:r>
          </w:p>
        </w:tc>
        <w:tc>
          <w:tcPr>
            <w:tcW w:w="1644" w:type="dxa"/>
            <w:tcBorders>
              <w:top w:val="single" w:sz="2" w:space="0" w:color="000000"/>
              <w:left w:val="single" w:sz="2" w:space="0" w:color="000000"/>
              <w:bottom w:val="single" w:sz="2" w:space="0" w:color="000000"/>
              <w:right w:val="single" w:sz="2" w:space="0" w:color="000000"/>
            </w:tcBorders>
            <w:vAlign w:val="center"/>
            <w:hideMark/>
          </w:tcPr>
          <w:p w14:paraId="666E4BC6" w14:textId="77777777" w:rsidR="005E347E" w:rsidRPr="00AA22C4" w:rsidRDefault="005E347E" w:rsidP="00775DDD">
            <w:pPr>
              <w:pStyle w:val="Zawartotabeli"/>
              <w:snapToGrid w:val="0"/>
              <w:spacing w:before="40" w:after="40"/>
              <w:jc w:val="center"/>
              <w:rPr>
                <w:rFonts w:ascii="Lato" w:hAnsi="Lato"/>
                <w:b/>
                <w:bCs/>
                <w:color w:val="000000" w:themeColor="text1"/>
                <w:sz w:val="22"/>
                <w:szCs w:val="22"/>
              </w:rPr>
            </w:pPr>
            <w:r w:rsidRPr="00AA22C4">
              <w:rPr>
                <w:rFonts w:ascii="Lato" w:hAnsi="Lato"/>
                <w:b/>
                <w:bCs/>
                <w:color w:val="000000" w:themeColor="text1"/>
                <w:sz w:val="22"/>
                <w:szCs w:val="22"/>
              </w:rPr>
              <w:t>Koszt wykrycia</w:t>
            </w:r>
          </w:p>
          <w:p w14:paraId="305DE9DC" w14:textId="77777777" w:rsidR="005E347E" w:rsidRPr="00AA22C4" w:rsidRDefault="005E347E" w:rsidP="00775DDD">
            <w:pPr>
              <w:pStyle w:val="Zawartotabeli"/>
              <w:spacing w:before="40" w:after="40"/>
              <w:jc w:val="center"/>
              <w:rPr>
                <w:rFonts w:ascii="Lato" w:hAnsi="Lato"/>
                <w:b/>
                <w:bCs/>
                <w:color w:val="000000" w:themeColor="text1"/>
                <w:sz w:val="22"/>
                <w:szCs w:val="22"/>
              </w:rPr>
            </w:pPr>
            <w:r w:rsidRPr="00AA22C4">
              <w:rPr>
                <w:rFonts w:ascii="Lato" w:hAnsi="Lato"/>
                <w:b/>
                <w:bCs/>
                <w:color w:val="000000" w:themeColor="text1"/>
                <w:sz w:val="22"/>
                <w:szCs w:val="22"/>
              </w:rPr>
              <w:t>1 chorego noworodka</w:t>
            </w:r>
          </w:p>
        </w:tc>
      </w:tr>
      <w:tr w:rsidR="00B3776C" w:rsidRPr="00B3776C" w14:paraId="5775C9B4" w14:textId="77777777" w:rsidTr="00775DDD">
        <w:trPr>
          <w:trHeight w:val="389"/>
        </w:trPr>
        <w:tc>
          <w:tcPr>
            <w:tcW w:w="2090" w:type="dxa"/>
            <w:tcBorders>
              <w:top w:val="nil"/>
              <w:left w:val="single" w:sz="2" w:space="0" w:color="000000"/>
              <w:bottom w:val="single" w:sz="2" w:space="0" w:color="000000"/>
              <w:right w:val="nil"/>
            </w:tcBorders>
            <w:vAlign w:val="center"/>
            <w:hideMark/>
          </w:tcPr>
          <w:p w14:paraId="6BDB3C6D" w14:textId="77777777" w:rsidR="005E347E" w:rsidRPr="00AA22C4" w:rsidRDefault="005E347E" w:rsidP="00775DDD">
            <w:pPr>
              <w:pStyle w:val="Zawartotabeli"/>
              <w:snapToGrid w:val="0"/>
              <w:spacing w:before="40" w:after="40"/>
              <w:rPr>
                <w:rFonts w:ascii="Lato" w:hAnsi="Lato"/>
                <w:color w:val="000000" w:themeColor="text1"/>
                <w:sz w:val="22"/>
                <w:szCs w:val="22"/>
              </w:rPr>
            </w:pPr>
            <w:r w:rsidRPr="00AA22C4">
              <w:rPr>
                <w:rFonts w:ascii="Lato" w:hAnsi="Lato"/>
                <w:color w:val="000000" w:themeColor="text1"/>
                <w:sz w:val="22"/>
                <w:szCs w:val="22"/>
              </w:rPr>
              <w:t>Fenyloketonuria (PKU)</w:t>
            </w:r>
          </w:p>
        </w:tc>
        <w:tc>
          <w:tcPr>
            <w:tcW w:w="1639" w:type="dxa"/>
            <w:tcBorders>
              <w:top w:val="nil"/>
              <w:left w:val="single" w:sz="8" w:space="0" w:color="000000"/>
              <w:bottom w:val="single" w:sz="8" w:space="0" w:color="000000"/>
              <w:right w:val="nil"/>
            </w:tcBorders>
            <w:shd w:val="clear" w:color="auto" w:fill="auto"/>
            <w:vAlign w:val="center"/>
          </w:tcPr>
          <w:p w14:paraId="54AA0FD1" w14:textId="77777777" w:rsidR="005E347E" w:rsidRPr="00AA22C4" w:rsidRDefault="005E347E" w:rsidP="00775DDD">
            <w:pPr>
              <w:pStyle w:val="Zawartotabeli"/>
              <w:snapToGrid w:val="0"/>
              <w:spacing w:before="40" w:after="40"/>
              <w:ind w:left="5" w:right="290" w:firstLine="64"/>
              <w:jc w:val="center"/>
              <w:rPr>
                <w:rFonts w:ascii="Lato" w:hAnsi="Lato"/>
                <w:color w:val="000000" w:themeColor="text1"/>
                <w:sz w:val="22"/>
                <w:szCs w:val="22"/>
              </w:rPr>
            </w:pPr>
            <w:r w:rsidRPr="00AA22C4">
              <w:rPr>
                <w:rFonts w:ascii="Lato" w:hAnsi="Lato"/>
                <w:color w:val="000000" w:themeColor="text1"/>
                <w:sz w:val="22"/>
                <w:szCs w:val="22"/>
              </w:rPr>
              <w:t>1 143 000</w:t>
            </w:r>
          </w:p>
        </w:tc>
        <w:tc>
          <w:tcPr>
            <w:tcW w:w="1342" w:type="dxa"/>
            <w:tcBorders>
              <w:top w:val="nil"/>
              <w:left w:val="single" w:sz="8" w:space="0" w:color="000000"/>
              <w:bottom w:val="single" w:sz="8" w:space="0" w:color="000000"/>
              <w:right w:val="nil"/>
            </w:tcBorders>
            <w:shd w:val="clear" w:color="auto" w:fill="auto"/>
            <w:vAlign w:val="center"/>
          </w:tcPr>
          <w:p w14:paraId="1B2DA643" w14:textId="77777777" w:rsidR="005E347E" w:rsidRPr="00AA22C4" w:rsidRDefault="005E347E" w:rsidP="00775DDD">
            <w:pPr>
              <w:pStyle w:val="Zawartotabeli"/>
              <w:snapToGrid w:val="0"/>
              <w:spacing w:before="40" w:after="40"/>
              <w:jc w:val="center"/>
              <w:rPr>
                <w:rFonts w:ascii="Lato" w:hAnsi="Lato"/>
                <w:b/>
                <w:bCs/>
                <w:color w:val="000000" w:themeColor="text1"/>
                <w:sz w:val="22"/>
                <w:szCs w:val="22"/>
              </w:rPr>
            </w:pPr>
            <w:r w:rsidRPr="00AA22C4">
              <w:rPr>
                <w:rFonts w:ascii="Lato" w:hAnsi="Lato"/>
                <w:color w:val="000000" w:themeColor="text1"/>
                <w:sz w:val="22"/>
                <w:szCs w:val="22"/>
              </w:rPr>
              <w:t>173</w:t>
            </w:r>
          </w:p>
        </w:tc>
        <w:tc>
          <w:tcPr>
            <w:tcW w:w="1811" w:type="dxa"/>
            <w:tcBorders>
              <w:top w:val="nil"/>
              <w:left w:val="single" w:sz="8" w:space="0" w:color="000000"/>
              <w:bottom w:val="single" w:sz="8" w:space="0" w:color="000000"/>
              <w:right w:val="nil"/>
            </w:tcBorders>
            <w:shd w:val="clear" w:color="auto" w:fill="auto"/>
            <w:vAlign w:val="center"/>
          </w:tcPr>
          <w:p w14:paraId="415009F1" w14:textId="77777777" w:rsidR="005E347E" w:rsidRPr="00AA22C4" w:rsidRDefault="005E347E" w:rsidP="00775DDD">
            <w:pPr>
              <w:pStyle w:val="Zawartotabeli"/>
              <w:snapToGrid w:val="0"/>
              <w:spacing w:before="40" w:after="40"/>
              <w:jc w:val="center"/>
              <w:rPr>
                <w:rFonts w:ascii="Lato" w:hAnsi="Lato"/>
                <w:color w:val="000000" w:themeColor="text1"/>
                <w:sz w:val="22"/>
                <w:szCs w:val="22"/>
              </w:rPr>
            </w:pPr>
            <w:r w:rsidRPr="00AA22C4">
              <w:rPr>
                <w:rFonts w:ascii="Lato" w:hAnsi="Lato"/>
                <w:color w:val="000000" w:themeColor="text1"/>
                <w:sz w:val="22"/>
                <w:szCs w:val="22"/>
              </w:rPr>
              <w:t xml:space="preserve">8 441 499,45 zł </w:t>
            </w:r>
          </w:p>
        </w:tc>
        <w:tc>
          <w:tcPr>
            <w:tcW w:w="1644" w:type="dxa"/>
            <w:tcBorders>
              <w:top w:val="nil"/>
              <w:left w:val="single" w:sz="8" w:space="0" w:color="000000"/>
              <w:bottom w:val="single" w:sz="8" w:space="0" w:color="000000"/>
              <w:right w:val="single" w:sz="8" w:space="0" w:color="000000"/>
            </w:tcBorders>
            <w:shd w:val="clear" w:color="auto" w:fill="auto"/>
            <w:vAlign w:val="center"/>
          </w:tcPr>
          <w:p w14:paraId="369A45D5" w14:textId="77777777" w:rsidR="005E347E" w:rsidRPr="00AA22C4" w:rsidRDefault="005E347E" w:rsidP="00775DDD">
            <w:pPr>
              <w:pStyle w:val="Zawartotabeli"/>
              <w:snapToGrid w:val="0"/>
              <w:spacing w:before="40" w:after="40"/>
              <w:jc w:val="center"/>
              <w:rPr>
                <w:rFonts w:ascii="Lato" w:hAnsi="Lato"/>
                <w:color w:val="000000" w:themeColor="text1"/>
                <w:sz w:val="22"/>
                <w:szCs w:val="22"/>
              </w:rPr>
            </w:pPr>
            <w:r w:rsidRPr="00AA22C4">
              <w:rPr>
                <w:rFonts w:ascii="Lato" w:hAnsi="Lato"/>
                <w:color w:val="000000" w:themeColor="text1"/>
                <w:sz w:val="22"/>
                <w:szCs w:val="22"/>
              </w:rPr>
              <w:t>48 794,79 zł</w:t>
            </w:r>
          </w:p>
        </w:tc>
      </w:tr>
      <w:tr w:rsidR="00B3776C" w:rsidRPr="00B3776C" w14:paraId="033783D1" w14:textId="77777777" w:rsidTr="00775DDD">
        <w:trPr>
          <w:trHeight w:val="389"/>
        </w:trPr>
        <w:tc>
          <w:tcPr>
            <w:tcW w:w="2090" w:type="dxa"/>
            <w:tcBorders>
              <w:top w:val="nil"/>
              <w:left w:val="single" w:sz="2" w:space="0" w:color="000000"/>
              <w:bottom w:val="single" w:sz="2" w:space="0" w:color="000000"/>
              <w:right w:val="nil"/>
            </w:tcBorders>
            <w:vAlign w:val="center"/>
            <w:hideMark/>
          </w:tcPr>
          <w:p w14:paraId="5CC7E99D" w14:textId="77777777" w:rsidR="005E347E" w:rsidRPr="00AA22C4" w:rsidRDefault="005E347E" w:rsidP="00775DDD">
            <w:pPr>
              <w:pStyle w:val="Zawartotabeli"/>
              <w:snapToGrid w:val="0"/>
              <w:spacing w:before="40" w:after="40"/>
              <w:rPr>
                <w:rFonts w:ascii="Lato" w:hAnsi="Lato"/>
                <w:color w:val="000000" w:themeColor="text1"/>
                <w:sz w:val="22"/>
                <w:szCs w:val="22"/>
              </w:rPr>
            </w:pPr>
            <w:r w:rsidRPr="00AA22C4">
              <w:rPr>
                <w:rFonts w:ascii="Lato" w:hAnsi="Lato"/>
                <w:color w:val="000000" w:themeColor="text1"/>
                <w:sz w:val="22"/>
                <w:szCs w:val="22"/>
              </w:rPr>
              <w:t>Wrodzona niedoczynność tarczycy (WNT)</w:t>
            </w:r>
          </w:p>
        </w:tc>
        <w:tc>
          <w:tcPr>
            <w:tcW w:w="1639" w:type="dxa"/>
            <w:tcBorders>
              <w:top w:val="nil"/>
              <w:left w:val="single" w:sz="8" w:space="0" w:color="000000"/>
              <w:bottom w:val="single" w:sz="8" w:space="0" w:color="000000"/>
              <w:right w:val="nil"/>
            </w:tcBorders>
            <w:shd w:val="clear" w:color="auto" w:fill="auto"/>
            <w:vAlign w:val="center"/>
          </w:tcPr>
          <w:p w14:paraId="7C5A0319" w14:textId="77777777" w:rsidR="005E347E" w:rsidRPr="00AA22C4" w:rsidRDefault="005E347E" w:rsidP="00775DDD">
            <w:pPr>
              <w:pStyle w:val="Zawartotabeli"/>
              <w:snapToGrid w:val="0"/>
              <w:spacing w:before="40" w:after="40"/>
              <w:ind w:left="5" w:right="290" w:firstLine="64"/>
              <w:jc w:val="center"/>
              <w:rPr>
                <w:rFonts w:ascii="Lato" w:hAnsi="Lato"/>
                <w:color w:val="000000" w:themeColor="text1"/>
                <w:sz w:val="22"/>
                <w:szCs w:val="22"/>
              </w:rPr>
            </w:pPr>
            <w:r w:rsidRPr="00AA22C4">
              <w:rPr>
                <w:rFonts w:ascii="Lato" w:hAnsi="Lato"/>
                <w:color w:val="000000" w:themeColor="text1"/>
                <w:sz w:val="22"/>
                <w:szCs w:val="22"/>
              </w:rPr>
              <w:t>1 143 000</w:t>
            </w:r>
          </w:p>
        </w:tc>
        <w:tc>
          <w:tcPr>
            <w:tcW w:w="1342" w:type="dxa"/>
            <w:tcBorders>
              <w:top w:val="nil"/>
              <w:left w:val="single" w:sz="8" w:space="0" w:color="000000"/>
              <w:bottom w:val="single" w:sz="8" w:space="0" w:color="000000"/>
              <w:right w:val="nil"/>
            </w:tcBorders>
            <w:shd w:val="clear" w:color="auto" w:fill="auto"/>
            <w:vAlign w:val="center"/>
          </w:tcPr>
          <w:p w14:paraId="2435D8D5" w14:textId="77777777" w:rsidR="005E347E" w:rsidRPr="00AA22C4" w:rsidRDefault="005E347E" w:rsidP="00775DDD">
            <w:pPr>
              <w:pStyle w:val="Zawartotabeli"/>
              <w:snapToGrid w:val="0"/>
              <w:spacing w:before="40" w:after="40"/>
              <w:jc w:val="center"/>
              <w:rPr>
                <w:rFonts w:ascii="Lato" w:hAnsi="Lato"/>
                <w:b/>
                <w:bCs/>
                <w:color w:val="000000" w:themeColor="text1"/>
                <w:sz w:val="22"/>
                <w:szCs w:val="22"/>
              </w:rPr>
            </w:pPr>
            <w:r w:rsidRPr="00AA22C4">
              <w:rPr>
                <w:rFonts w:ascii="Lato" w:hAnsi="Lato"/>
                <w:color w:val="000000" w:themeColor="text1"/>
                <w:sz w:val="22"/>
                <w:szCs w:val="22"/>
              </w:rPr>
              <w:t>317</w:t>
            </w:r>
          </w:p>
        </w:tc>
        <w:tc>
          <w:tcPr>
            <w:tcW w:w="1811" w:type="dxa"/>
            <w:tcBorders>
              <w:top w:val="nil"/>
              <w:left w:val="single" w:sz="8" w:space="0" w:color="000000"/>
              <w:bottom w:val="single" w:sz="8" w:space="0" w:color="000000"/>
              <w:right w:val="nil"/>
            </w:tcBorders>
            <w:shd w:val="clear" w:color="auto" w:fill="auto"/>
            <w:vAlign w:val="center"/>
          </w:tcPr>
          <w:p w14:paraId="40CC3BDF" w14:textId="77777777" w:rsidR="005E347E" w:rsidRPr="00AA22C4" w:rsidRDefault="005E347E" w:rsidP="00775DDD">
            <w:pPr>
              <w:pStyle w:val="Zawartotabeli"/>
              <w:snapToGrid w:val="0"/>
              <w:spacing w:before="40" w:after="40"/>
              <w:jc w:val="center"/>
              <w:rPr>
                <w:rFonts w:ascii="Lato" w:hAnsi="Lato"/>
                <w:color w:val="000000" w:themeColor="text1"/>
                <w:sz w:val="22"/>
                <w:szCs w:val="22"/>
              </w:rPr>
            </w:pPr>
            <w:r w:rsidRPr="00AA22C4">
              <w:rPr>
                <w:rFonts w:ascii="Lato" w:hAnsi="Lato"/>
                <w:color w:val="000000" w:themeColor="text1"/>
                <w:sz w:val="22"/>
                <w:szCs w:val="22"/>
              </w:rPr>
              <w:t>10 252 845,18 zł</w:t>
            </w:r>
          </w:p>
        </w:tc>
        <w:tc>
          <w:tcPr>
            <w:tcW w:w="1644" w:type="dxa"/>
            <w:tcBorders>
              <w:top w:val="nil"/>
              <w:left w:val="single" w:sz="8" w:space="0" w:color="000000"/>
              <w:bottom w:val="single" w:sz="8" w:space="0" w:color="000000"/>
              <w:right w:val="single" w:sz="8" w:space="0" w:color="000000"/>
            </w:tcBorders>
            <w:shd w:val="clear" w:color="auto" w:fill="auto"/>
            <w:vAlign w:val="center"/>
          </w:tcPr>
          <w:p w14:paraId="7621A157" w14:textId="77777777" w:rsidR="005E347E" w:rsidRPr="00AA22C4" w:rsidRDefault="005E347E" w:rsidP="00775DDD">
            <w:pPr>
              <w:pStyle w:val="Zawartotabeli"/>
              <w:snapToGrid w:val="0"/>
              <w:spacing w:before="40" w:after="40"/>
              <w:jc w:val="center"/>
              <w:rPr>
                <w:rFonts w:ascii="Lato" w:hAnsi="Lato"/>
                <w:color w:val="000000" w:themeColor="text1"/>
                <w:sz w:val="22"/>
                <w:szCs w:val="22"/>
              </w:rPr>
            </w:pPr>
            <w:r w:rsidRPr="00AA22C4">
              <w:rPr>
                <w:rFonts w:ascii="Lato" w:hAnsi="Lato"/>
                <w:color w:val="000000" w:themeColor="text1"/>
                <w:sz w:val="22"/>
                <w:szCs w:val="22"/>
              </w:rPr>
              <w:t>32 343,36 zł</w:t>
            </w:r>
          </w:p>
        </w:tc>
      </w:tr>
      <w:tr w:rsidR="00B3776C" w:rsidRPr="00B3776C" w14:paraId="1F3AF2B5" w14:textId="77777777" w:rsidTr="00775DDD">
        <w:trPr>
          <w:trHeight w:val="389"/>
        </w:trPr>
        <w:tc>
          <w:tcPr>
            <w:tcW w:w="2090" w:type="dxa"/>
            <w:tcBorders>
              <w:top w:val="nil"/>
              <w:left w:val="single" w:sz="2" w:space="0" w:color="000000"/>
              <w:bottom w:val="single" w:sz="2" w:space="0" w:color="000000"/>
              <w:right w:val="nil"/>
            </w:tcBorders>
            <w:vAlign w:val="center"/>
            <w:hideMark/>
          </w:tcPr>
          <w:p w14:paraId="03C88A1F" w14:textId="77777777" w:rsidR="005E347E" w:rsidRPr="00AA22C4" w:rsidRDefault="005E347E" w:rsidP="00775DDD">
            <w:pPr>
              <w:pStyle w:val="Zawartotabeli"/>
              <w:snapToGrid w:val="0"/>
              <w:spacing w:before="40" w:after="40"/>
              <w:ind w:firstLine="370"/>
              <w:jc w:val="center"/>
              <w:rPr>
                <w:rFonts w:ascii="Lato" w:hAnsi="Lato"/>
                <w:b/>
                <w:bCs/>
                <w:color w:val="000000" w:themeColor="text1"/>
                <w:sz w:val="22"/>
                <w:szCs w:val="22"/>
              </w:rPr>
            </w:pPr>
            <w:r w:rsidRPr="00AA22C4">
              <w:rPr>
                <w:rFonts w:ascii="Lato" w:hAnsi="Lato"/>
                <w:b/>
                <w:bCs/>
                <w:color w:val="000000" w:themeColor="text1"/>
                <w:sz w:val="22"/>
                <w:szCs w:val="22"/>
              </w:rPr>
              <w:t>-</w:t>
            </w:r>
          </w:p>
        </w:tc>
        <w:tc>
          <w:tcPr>
            <w:tcW w:w="1639" w:type="dxa"/>
            <w:tcBorders>
              <w:top w:val="nil"/>
              <w:left w:val="single" w:sz="8" w:space="0" w:color="000000"/>
              <w:bottom w:val="single" w:sz="8" w:space="0" w:color="000000"/>
              <w:right w:val="nil"/>
            </w:tcBorders>
            <w:shd w:val="clear" w:color="auto" w:fill="auto"/>
            <w:vAlign w:val="center"/>
          </w:tcPr>
          <w:p w14:paraId="3F678CA6" w14:textId="77777777" w:rsidR="005E347E" w:rsidRPr="00AA22C4" w:rsidRDefault="005E347E" w:rsidP="00775DDD">
            <w:pPr>
              <w:pStyle w:val="Zawartotabeli"/>
              <w:snapToGrid w:val="0"/>
              <w:spacing w:before="40" w:after="40"/>
              <w:ind w:left="5" w:right="290" w:firstLine="64"/>
              <w:jc w:val="center"/>
              <w:rPr>
                <w:rFonts w:ascii="Lato" w:hAnsi="Lato"/>
                <w:b/>
                <w:bCs/>
                <w:color w:val="000000" w:themeColor="text1"/>
                <w:sz w:val="22"/>
                <w:szCs w:val="22"/>
              </w:rPr>
            </w:pPr>
            <w:r w:rsidRPr="00AA22C4">
              <w:rPr>
                <w:rFonts w:ascii="Lato" w:hAnsi="Lato"/>
                <w:b/>
                <w:bCs/>
                <w:color w:val="000000" w:themeColor="text1"/>
                <w:sz w:val="22"/>
                <w:szCs w:val="22"/>
              </w:rPr>
              <w:t>2 286 000</w:t>
            </w:r>
          </w:p>
        </w:tc>
        <w:tc>
          <w:tcPr>
            <w:tcW w:w="1342" w:type="dxa"/>
            <w:tcBorders>
              <w:top w:val="nil"/>
              <w:left w:val="single" w:sz="8" w:space="0" w:color="000000"/>
              <w:bottom w:val="single" w:sz="8" w:space="0" w:color="000000"/>
              <w:right w:val="nil"/>
            </w:tcBorders>
            <w:shd w:val="clear" w:color="auto" w:fill="auto"/>
            <w:vAlign w:val="center"/>
          </w:tcPr>
          <w:p w14:paraId="028B8E6C" w14:textId="77777777" w:rsidR="005E347E" w:rsidRPr="00AA22C4" w:rsidRDefault="005E347E" w:rsidP="00775DDD">
            <w:pPr>
              <w:pStyle w:val="Zawartotabeli"/>
              <w:snapToGrid w:val="0"/>
              <w:spacing w:before="40" w:after="40"/>
              <w:jc w:val="center"/>
              <w:rPr>
                <w:rFonts w:ascii="Lato" w:hAnsi="Lato"/>
                <w:b/>
                <w:bCs/>
                <w:color w:val="000000" w:themeColor="text1"/>
                <w:sz w:val="22"/>
                <w:szCs w:val="22"/>
              </w:rPr>
            </w:pPr>
            <w:r w:rsidRPr="00AA22C4">
              <w:rPr>
                <w:rFonts w:ascii="Lato" w:hAnsi="Lato"/>
                <w:b/>
                <w:bCs/>
                <w:color w:val="000000" w:themeColor="text1"/>
                <w:sz w:val="22"/>
                <w:szCs w:val="22"/>
              </w:rPr>
              <w:t>490</w:t>
            </w:r>
          </w:p>
        </w:tc>
        <w:tc>
          <w:tcPr>
            <w:tcW w:w="1811" w:type="dxa"/>
            <w:tcBorders>
              <w:top w:val="nil"/>
              <w:left w:val="single" w:sz="8" w:space="0" w:color="000000"/>
              <w:bottom w:val="single" w:sz="8" w:space="0" w:color="000000"/>
              <w:right w:val="nil"/>
            </w:tcBorders>
            <w:shd w:val="clear" w:color="auto" w:fill="auto"/>
            <w:vAlign w:val="center"/>
          </w:tcPr>
          <w:p w14:paraId="3EE36C6C" w14:textId="77777777" w:rsidR="005E347E" w:rsidRPr="00AA22C4" w:rsidRDefault="005E347E" w:rsidP="00775DDD">
            <w:pPr>
              <w:pStyle w:val="Zawartotabeli"/>
              <w:snapToGrid w:val="0"/>
              <w:spacing w:before="40" w:after="40"/>
              <w:jc w:val="center"/>
              <w:rPr>
                <w:rFonts w:ascii="Lato" w:hAnsi="Lato"/>
                <w:b/>
                <w:bCs/>
                <w:color w:val="000000" w:themeColor="text1"/>
                <w:sz w:val="22"/>
                <w:szCs w:val="22"/>
              </w:rPr>
            </w:pPr>
            <w:r w:rsidRPr="00AA22C4">
              <w:rPr>
                <w:rFonts w:ascii="Lato" w:hAnsi="Lato"/>
                <w:b/>
                <w:bCs/>
                <w:color w:val="000000" w:themeColor="text1"/>
                <w:sz w:val="22"/>
                <w:szCs w:val="22"/>
              </w:rPr>
              <w:t>18 694 344,63 zł</w:t>
            </w:r>
          </w:p>
        </w:tc>
        <w:tc>
          <w:tcPr>
            <w:tcW w:w="1644" w:type="dxa"/>
            <w:tcBorders>
              <w:top w:val="nil"/>
              <w:left w:val="single" w:sz="8" w:space="0" w:color="000000"/>
              <w:bottom w:val="single" w:sz="8" w:space="0" w:color="000000"/>
              <w:right w:val="single" w:sz="8" w:space="0" w:color="000000"/>
            </w:tcBorders>
            <w:shd w:val="clear" w:color="auto" w:fill="auto"/>
            <w:vAlign w:val="center"/>
          </w:tcPr>
          <w:p w14:paraId="35C34500" w14:textId="77777777" w:rsidR="005E347E" w:rsidRPr="00AA22C4" w:rsidRDefault="005E347E" w:rsidP="00775DDD">
            <w:pPr>
              <w:pStyle w:val="Zawartotabeli"/>
              <w:snapToGrid w:val="0"/>
              <w:spacing w:before="40" w:after="40"/>
              <w:jc w:val="center"/>
              <w:rPr>
                <w:rFonts w:ascii="Lato" w:hAnsi="Lato"/>
                <w:b/>
                <w:bCs/>
                <w:color w:val="000000" w:themeColor="text1"/>
                <w:sz w:val="22"/>
                <w:szCs w:val="22"/>
              </w:rPr>
            </w:pPr>
            <w:r w:rsidRPr="00AA22C4">
              <w:rPr>
                <w:rFonts w:ascii="Lato" w:hAnsi="Lato"/>
                <w:b/>
                <w:color w:val="000000" w:themeColor="text1"/>
                <w:sz w:val="22"/>
                <w:szCs w:val="22"/>
              </w:rPr>
              <w:t>38 151,72 zł</w:t>
            </w:r>
          </w:p>
        </w:tc>
      </w:tr>
    </w:tbl>
    <w:p w14:paraId="337DDE33" w14:textId="77777777" w:rsidR="005E347E" w:rsidRPr="00AA22C4" w:rsidRDefault="005E347E" w:rsidP="005E347E">
      <w:pPr>
        <w:spacing w:before="120" w:after="120"/>
        <w:ind w:left="720"/>
        <w:jc w:val="both"/>
        <w:rPr>
          <w:rFonts w:ascii="Lato" w:hAnsi="Lato"/>
          <w:color w:val="000000" w:themeColor="text1"/>
          <w:sz w:val="22"/>
          <w:szCs w:val="22"/>
        </w:rPr>
      </w:pPr>
      <w:r w:rsidRPr="00AA22C4">
        <w:rPr>
          <w:rFonts w:ascii="Lato" w:hAnsi="Lato"/>
          <w:color w:val="000000" w:themeColor="text1"/>
          <w:sz w:val="22"/>
          <w:szCs w:val="22"/>
        </w:rPr>
        <w:t>Średni koszt wykrycia choroby w badaniach przesiewowych 1 dziecka z PKU lub WNT, zagrożonego upośledzeniem umysłowym w stopniu ciężkim, wyniósł w omawianym okresie:</w:t>
      </w:r>
    </w:p>
    <w:p w14:paraId="7EC21933" w14:textId="77777777" w:rsidR="005E347E" w:rsidRPr="00AA22C4" w:rsidRDefault="005E347E" w:rsidP="005E347E">
      <w:pPr>
        <w:spacing w:before="120" w:after="120"/>
        <w:ind w:left="720"/>
        <w:jc w:val="both"/>
        <w:rPr>
          <w:rFonts w:ascii="Lato" w:hAnsi="Lato"/>
          <w:b/>
          <w:bCs/>
          <w:color w:val="000000" w:themeColor="text1"/>
          <w:sz w:val="22"/>
          <w:szCs w:val="22"/>
        </w:rPr>
      </w:pPr>
      <w:r w:rsidRPr="00AA22C4">
        <w:rPr>
          <w:rFonts w:ascii="Lato" w:hAnsi="Lato"/>
          <w:b/>
          <w:bCs/>
          <w:color w:val="000000" w:themeColor="text1"/>
          <w:sz w:val="22"/>
          <w:szCs w:val="22"/>
        </w:rPr>
        <w:t>18 694 344,63 zł / 490 chorych =   38 151,72 zł.</w:t>
      </w:r>
    </w:p>
    <w:p w14:paraId="774DAF16" w14:textId="77777777" w:rsidR="005E347E" w:rsidRPr="00AA22C4" w:rsidRDefault="005E347E" w:rsidP="005E347E">
      <w:pPr>
        <w:spacing w:before="120" w:after="120"/>
        <w:ind w:left="720"/>
        <w:jc w:val="both"/>
        <w:rPr>
          <w:rFonts w:ascii="Lato" w:hAnsi="Lato"/>
          <w:color w:val="000000" w:themeColor="text1"/>
          <w:sz w:val="22"/>
          <w:szCs w:val="22"/>
        </w:rPr>
      </w:pPr>
      <w:r w:rsidRPr="00AA22C4">
        <w:rPr>
          <w:rFonts w:ascii="Lato" w:hAnsi="Lato"/>
          <w:color w:val="000000" w:themeColor="text1"/>
          <w:sz w:val="22"/>
          <w:szCs w:val="22"/>
        </w:rPr>
        <w:t>Kalkulacja bilansu koszt badań przesiewowych / koszt opieki osoby niepełnosprawnej opiera się na następujących założeniach: dzieci chore nie wykryte w przesiewie trafiają do domów pomocy społecznej (założenie przyjęte dla potrzeb niniejszej kalkulacji). Przyjmując, iż średni wiek przekazania dziecka do domu pomocy wynosi 5 lat (do tego czasu koszt ponoszą rodzice, a nie Skarb Państwa). Średnie dalsze trwanie życia osoby urodzonej w 2016 r. wynosi 77,9 lat (48). 77,9 lat – 5 lat opieka domowa = 72,9 lat utrzymania w domu pomocy społecznej. Średni koszt roczny dla 1 chorego w 2015 r. należy przyjąć na poziomie 21 768 zł (49).</w:t>
      </w:r>
    </w:p>
    <w:p w14:paraId="7A42DF0B" w14:textId="77777777" w:rsidR="005E347E" w:rsidRPr="00AA22C4" w:rsidRDefault="005E347E" w:rsidP="005E347E">
      <w:pPr>
        <w:spacing w:before="120" w:after="120"/>
        <w:ind w:left="720"/>
        <w:jc w:val="both"/>
        <w:rPr>
          <w:rFonts w:ascii="Lato" w:hAnsi="Lato"/>
          <w:color w:val="000000" w:themeColor="text1"/>
          <w:sz w:val="22"/>
          <w:szCs w:val="22"/>
        </w:rPr>
      </w:pPr>
      <w:r w:rsidRPr="00AA22C4">
        <w:rPr>
          <w:rFonts w:ascii="Lato" w:hAnsi="Lato"/>
          <w:color w:val="000000" w:themeColor="text1"/>
          <w:sz w:val="22"/>
          <w:szCs w:val="22"/>
        </w:rPr>
        <w:t xml:space="preserve">Koszt wykrycia jednego chorego odpowiada kosztom pobytu chorego w domu pomocy społecznej w okresie krótszym niż 2 lata. Koszt utrzymania 1 chorego przez całe życie wyniesie średnio: 72,9 lat x 21 768 zł/rok = 1 586 887,20 zł. </w:t>
      </w:r>
    </w:p>
    <w:p w14:paraId="7273932B" w14:textId="130E0B9E" w:rsidR="005E347E" w:rsidRPr="00AA22C4" w:rsidRDefault="005E347E" w:rsidP="005E347E">
      <w:pPr>
        <w:spacing w:before="120" w:after="120"/>
        <w:ind w:left="720"/>
        <w:jc w:val="both"/>
        <w:rPr>
          <w:rFonts w:ascii="Lato" w:hAnsi="Lato"/>
          <w:color w:val="000000" w:themeColor="text1"/>
          <w:sz w:val="22"/>
          <w:szCs w:val="22"/>
        </w:rPr>
      </w:pPr>
      <w:r w:rsidRPr="00AA22C4">
        <w:rPr>
          <w:rFonts w:ascii="Lato" w:hAnsi="Lato"/>
          <w:bCs/>
          <w:color w:val="000000" w:themeColor="text1"/>
          <w:sz w:val="22"/>
          <w:szCs w:val="22"/>
        </w:rPr>
        <w:t>W</w:t>
      </w:r>
      <w:r w:rsidR="00B01154" w:rsidRPr="00AA22C4">
        <w:rPr>
          <w:rFonts w:ascii="Lato" w:hAnsi="Lato"/>
          <w:bCs/>
          <w:color w:val="000000" w:themeColor="text1"/>
          <w:sz w:val="22"/>
          <w:szCs w:val="22"/>
        </w:rPr>
        <w:t xml:space="preserve"> </w:t>
      </w:r>
      <w:proofErr w:type="gramStart"/>
      <w:r w:rsidR="00B01154" w:rsidRPr="00AA22C4">
        <w:rPr>
          <w:rFonts w:ascii="Lato" w:hAnsi="Lato"/>
          <w:bCs/>
          <w:color w:val="000000" w:themeColor="text1"/>
          <w:sz w:val="22"/>
          <w:szCs w:val="22"/>
        </w:rPr>
        <w:t xml:space="preserve">okresie </w:t>
      </w:r>
      <w:r w:rsidRPr="00AA22C4">
        <w:rPr>
          <w:rFonts w:ascii="Lato" w:hAnsi="Lato"/>
          <w:bCs/>
          <w:color w:val="000000" w:themeColor="text1"/>
          <w:sz w:val="22"/>
          <w:szCs w:val="22"/>
        </w:rPr>
        <w:t xml:space="preserve"> roku</w:t>
      </w:r>
      <w:proofErr w:type="gramEnd"/>
      <w:r w:rsidRPr="00AA22C4">
        <w:rPr>
          <w:rFonts w:ascii="Lato" w:hAnsi="Lato"/>
          <w:bCs/>
          <w:color w:val="000000" w:themeColor="text1"/>
          <w:sz w:val="22"/>
          <w:szCs w:val="22"/>
        </w:rPr>
        <w:t xml:space="preserve">, podczas badań przesiewowych, wykrywa się średnio (w okresie 2015-2017) 163 chorych na fenyloketonurię i wrodzoną niedoczynność tarczycy łącznie. W przypadku ich  niewykrycia, koszt utrzymania ww. chorych przez całe życie (ok. 72,9 lat) wynosi 258 662 614,00 zł. Biorąc pod uwagę, iż przeciętny roczny koszt edycji Programu badań przesiewowych na lata 2019 – 2022 wynosił ok. 38 000 000 zł, roczne oszczędności dla budżetu państwa wynoszą ok. 220 662 614 zł. </w:t>
      </w:r>
      <w:r w:rsidRPr="00AA22C4">
        <w:rPr>
          <w:rFonts w:ascii="Lato" w:hAnsi="Lato"/>
          <w:color w:val="000000" w:themeColor="text1"/>
          <w:sz w:val="22"/>
          <w:szCs w:val="22"/>
        </w:rPr>
        <w:t xml:space="preserve">Alternatywnie, przyjmując </w:t>
      </w:r>
      <w:r w:rsidRPr="00AA22C4">
        <w:rPr>
          <w:rFonts w:ascii="Lato" w:hAnsi="Lato"/>
          <w:color w:val="000000" w:themeColor="text1"/>
          <w:sz w:val="22"/>
          <w:szCs w:val="22"/>
          <w:u w:val="single"/>
        </w:rPr>
        <w:t>tylko 1</w:t>
      </w:r>
      <w:r w:rsidR="001E3B12" w:rsidRPr="00AA22C4">
        <w:rPr>
          <w:rFonts w:ascii="Lato" w:hAnsi="Lato"/>
          <w:color w:val="000000" w:themeColor="text1"/>
          <w:sz w:val="22"/>
          <w:szCs w:val="22"/>
          <w:u w:val="single"/>
        </w:rPr>
        <w:t> </w:t>
      </w:r>
      <w:r w:rsidRPr="00AA22C4">
        <w:rPr>
          <w:rFonts w:ascii="Lato" w:hAnsi="Lato"/>
          <w:color w:val="000000" w:themeColor="text1"/>
          <w:sz w:val="22"/>
          <w:szCs w:val="22"/>
          <w:u w:val="single"/>
        </w:rPr>
        <w:t>406 zł</w:t>
      </w:r>
      <w:r w:rsidRPr="00AA22C4">
        <w:rPr>
          <w:rFonts w:ascii="Lato" w:hAnsi="Lato"/>
          <w:color w:val="000000" w:themeColor="text1"/>
          <w:sz w:val="22"/>
          <w:szCs w:val="22"/>
        </w:rPr>
        <w:t xml:space="preserve"> – koszt miesięczny świadczenia pielęgnacyjnego przyznanego dla opiekuna osoby niepełnosprawnej (w 2017 r.) - koszt roczny opieki dla 1 chorego </w:t>
      </w:r>
      <w:r w:rsidRPr="00AA22C4">
        <w:rPr>
          <w:rFonts w:ascii="Lato" w:hAnsi="Lato"/>
          <w:color w:val="000000" w:themeColor="text1"/>
          <w:sz w:val="22"/>
          <w:szCs w:val="22"/>
        </w:rPr>
        <w:lastRenderedPageBreak/>
        <w:t>wyniesie 16 872 zł, a w ciągu całego życia (ok. 72,9 lat) – 1 229 968,80 zł (50). Dla 163 chorych wykrytych rocznie z PKU i WNT, koszt opieki w ciągu 72,9 lat wyniesie 200 484 914 zł. Odejmując średni roczny koszt programu badań przesiewowych (38 000 000 zł) oszczędność dla budżetu państwa wynoszą ok. </w:t>
      </w:r>
      <w:r w:rsidRPr="00AA22C4">
        <w:rPr>
          <w:rFonts w:ascii="Lato" w:hAnsi="Lato"/>
          <w:bCs/>
          <w:color w:val="000000" w:themeColor="text1"/>
          <w:sz w:val="22"/>
          <w:szCs w:val="22"/>
        </w:rPr>
        <w:t>162 484 914 zł rocznie.</w:t>
      </w:r>
    </w:p>
    <w:p w14:paraId="56E1C14B" w14:textId="77777777" w:rsidR="005E347E" w:rsidRPr="00AA22C4" w:rsidRDefault="005E347E" w:rsidP="005E347E">
      <w:pPr>
        <w:spacing w:before="120" w:after="120"/>
        <w:ind w:left="720"/>
        <w:jc w:val="both"/>
        <w:rPr>
          <w:rFonts w:ascii="Lato" w:hAnsi="Lato"/>
          <w:bCs/>
          <w:color w:val="000000" w:themeColor="text1"/>
          <w:sz w:val="22"/>
          <w:szCs w:val="22"/>
        </w:rPr>
      </w:pPr>
      <w:r w:rsidRPr="00AA22C4">
        <w:rPr>
          <w:rFonts w:ascii="Lato" w:hAnsi="Lato"/>
          <w:bCs/>
          <w:color w:val="000000" w:themeColor="text1"/>
          <w:sz w:val="22"/>
          <w:szCs w:val="22"/>
        </w:rPr>
        <w:t xml:space="preserve">Oszczędności związane z wykryciem 490 chorych w latach 2015-2017 wynoszą </w:t>
      </w:r>
      <w:r w:rsidRPr="00AA22C4">
        <w:rPr>
          <w:rFonts w:ascii="Lato" w:hAnsi="Lato"/>
          <w:bCs/>
          <w:color w:val="000000" w:themeColor="text1"/>
          <w:sz w:val="22"/>
          <w:szCs w:val="22"/>
        </w:rPr>
        <w:br/>
        <w:t xml:space="preserve">od 3 (lata) x 162 484 914 = </w:t>
      </w:r>
      <w:r w:rsidRPr="00AA22C4">
        <w:rPr>
          <w:rFonts w:ascii="Lato" w:hAnsi="Lato"/>
          <w:bCs/>
          <w:color w:val="000000" w:themeColor="text1"/>
          <w:sz w:val="22"/>
          <w:szCs w:val="22"/>
          <w:u w:val="single"/>
        </w:rPr>
        <w:t>487 454 742 zł,</w:t>
      </w:r>
      <w:r w:rsidRPr="00AA22C4">
        <w:rPr>
          <w:rFonts w:ascii="Lato" w:hAnsi="Lato"/>
          <w:bCs/>
          <w:color w:val="000000" w:themeColor="text1"/>
          <w:sz w:val="22"/>
          <w:szCs w:val="22"/>
        </w:rPr>
        <w:t xml:space="preserve"> w przypadku gdyby wszyscy pozostawali pod opieką rodziny, do 3 x 220 662 614 = </w:t>
      </w:r>
      <w:r w:rsidRPr="00AA22C4">
        <w:rPr>
          <w:rFonts w:ascii="Lato" w:hAnsi="Lato"/>
          <w:bCs/>
          <w:color w:val="000000" w:themeColor="text1"/>
          <w:sz w:val="22"/>
          <w:szCs w:val="22"/>
          <w:u w:val="single"/>
        </w:rPr>
        <w:t>661 987 842 zł</w:t>
      </w:r>
      <w:r w:rsidRPr="00AA22C4">
        <w:rPr>
          <w:rFonts w:ascii="Lato" w:hAnsi="Lato"/>
          <w:bCs/>
          <w:color w:val="000000" w:themeColor="text1"/>
          <w:sz w:val="22"/>
          <w:szCs w:val="22"/>
        </w:rPr>
        <w:t xml:space="preserve">, gdyby wszyscy chorzy pozostawali w domach pomocy społecznej. </w:t>
      </w:r>
    </w:p>
    <w:p w14:paraId="2DC15102" w14:textId="77777777" w:rsidR="005E347E" w:rsidRPr="00AA22C4" w:rsidRDefault="005E347E" w:rsidP="005E347E">
      <w:pPr>
        <w:spacing w:before="120" w:after="120"/>
        <w:ind w:left="720"/>
        <w:jc w:val="both"/>
        <w:rPr>
          <w:rFonts w:ascii="Lato" w:hAnsi="Lato"/>
          <w:bCs/>
          <w:color w:val="000000" w:themeColor="text1"/>
          <w:sz w:val="22"/>
          <w:szCs w:val="22"/>
        </w:rPr>
      </w:pPr>
      <w:r w:rsidRPr="00AA22C4">
        <w:rPr>
          <w:rFonts w:ascii="Lato" w:hAnsi="Lato"/>
          <w:bCs/>
          <w:color w:val="000000" w:themeColor="text1"/>
          <w:sz w:val="22"/>
          <w:szCs w:val="22"/>
        </w:rPr>
        <w:t xml:space="preserve">Należy mieć na uwadze, iż powyższych wyliczeń nie można traktować jako szczegółowych danych na temat oszczędności wynikających z realizacji Programu. Celem wyliczeń jest przedstawienie orientacyjnej skali kosztów, które Skarb Państwa może ponieść w przypadku zaprzestania wykonywania badań przesiewowych. Ponadto, przedstawione wyliczenia nie obejmują kluczowych aspektów takich jak wysokość inflacji, lub waloryzacji świadczeń, otrzymywanych innych świadczeń/zasiłków przyznawanych osobom niepełnosprawnym lub ich opiekunom, kosztów wykrycia i leczenia choroby, itd. Należy także wskazać, iż przedstawione obliczenia odnoszą się tylko do 2 chorób z 30, które wykrywa się w ramach prowadzonego Programu. Uśrednione wartości odnoszą się do ogółu społeczeństwa, niemniej jednak, wysokość potencjalnie zaoszczędzonych środków jednoznacznie wskazuje korzyści dla stanu zdrowia ludności, a także dla Skarbu Państwa. </w:t>
      </w:r>
    </w:p>
    <w:p w14:paraId="6C4D8FBE" w14:textId="77777777" w:rsidR="005E347E" w:rsidRPr="00AA22C4" w:rsidRDefault="005E347E" w:rsidP="005E347E">
      <w:pPr>
        <w:spacing w:before="120" w:after="120"/>
        <w:ind w:left="720"/>
        <w:jc w:val="both"/>
        <w:rPr>
          <w:rFonts w:ascii="Lato" w:hAnsi="Lato"/>
          <w:color w:val="000000" w:themeColor="text1"/>
          <w:sz w:val="22"/>
          <w:szCs w:val="22"/>
        </w:rPr>
      </w:pPr>
      <w:r w:rsidRPr="00AA22C4">
        <w:rPr>
          <w:rFonts w:ascii="Lato" w:hAnsi="Lato"/>
          <w:bCs/>
          <w:color w:val="000000" w:themeColor="text1"/>
          <w:sz w:val="22"/>
          <w:szCs w:val="22"/>
        </w:rPr>
        <w:t xml:space="preserve">W zakresie badań przesiewowych w kierunku rdzeniowego zaniku mięśni (SMA), należy podkreślić, że </w:t>
      </w:r>
      <w:r w:rsidRPr="00AA22C4">
        <w:rPr>
          <w:rFonts w:ascii="Lato" w:hAnsi="Lato"/>
          <w:color w:val="000000" w:themeColor="text1"/>
          <w:sz w:val="22"/>
          <w:szCs w:val="22"/>
        </w:rPr>
        <w:t xml:space="preserve">wraz ze wzrostem wykrywalności chorych z SMA, wzrośnie liczba pacjentów diagnozowanych przedobjawowo lub we wczesnym stadium rozwoju choroby. W związku z powyższym możliwe będzie wcześniejsze wdrożenie leczenia u pacjentów, którzy zdiagnozowani byliby w późniejszym okresie po wystąpieniu objawów. Oznacza to, że wprowadzenie badań przesiewowych w kierunku SMA nie zwiększy liczby diagnozowanych pacjentów, którym należy podać leczenie, a tylko przyspieszy diagnozę, zdecydowanie poprawiając rokowanie tej grupy chorych. </w:t>
      </w:r>
    </w:p>
    <w:p w14:paraId="769059F1" w14:textId="731F77F4" w:rsidR="005E347E" w:rsidRPr="00AA22C4" w:rsidRDefault="005E347E" w:rsidP="005E347E">
      <w:pPr>
        <w:spacing w:before="120" w:after="120"/>
        <w:ind w:left="720"/>
        <w:jc w:val="both"/>
        <w:rPr>
          <w:rFonts w:ascii="Lato" w:hAnsi="Lato"/>
          <w:color w:val="000000" w:themeColor="text1"/>
          <w:sz w:val="22"/>
          <w:szCs w:val="22"/>
        </w:rPr>
      </w:pPr>
      <w:r w:rsidRPr="00AA22C4">
        <w:rPr>
          <w:rFonts w:ascii="Lato" w:hAnsi="Lato"/>
          <w:color w:val="000000" w:themeColor="text1"/>
          <w:sz w:val="22"/>
          <w:szCs w:val="22"/>
        </w:rPr>
        <w:t xml:space="preserve">W ciągu pierwszych 14 miesięcy funkcjonowania badań przesiewowych w kierunku SMA zbadano ok. 250 tysięcy noworodków. U 36 stwierdzono obecność homozygotycznej delecji </w:t>
      </w:r>
      <w:proofErr w:type="spellStart"/>
      <w:r w:rsidRPr="00AA22C4">
        <w:rPr>
          <w:rFonts w:ascii="Lato" w:hAnsi="Lato"/>
          <w:color w:val="000000" w:themeColor="text1"/>
          <w:sz w:val="22"/>
          <w:szCs w:val="22"/>
        </w:rPr>
        <w:t>eksonu</w:t>
      </w:r>
      <w:proofErr w:type="spellEnd"/>
      <w:r w:rsidRPr="00AA22C4">
        <w:rPr>
          <w:rFonts w:ascii="Lato" w:hAnsi="Lato"/>
          <w:color w:val="000000" w:themeColor="text1"/>
          <w:sz w:val="22"/>
          <w:szCs w:val="22"/>
        </w:rPr>
        <w:t xml:space="preserve"> 7 genu </w:t>
      </w:r>
      <w:r w:rsidRPr="00AA22C4">
        <w:rPr>
          <w:rFonts w:ascii="Lato" w:hAnsi="Lato"/>
          <w:i/>
          <w:iCs/>
          <w:color w:val="000000" w:themeColor="text1"/>
          <w:sz w:val="22"/>
          <w:szCs w:val="22"/>
        </w:rPr>
        <w:t>SMN1</w:t>
      </w:r>
      <w:r w:rsidRPr="00AA22C4">
        <w:rPr>
          <w:rFonts w:ascii="Lato" w:hAnsi="Lato"/>
          <w:color w:val="000000" w:themeColor="text1"/>
          <w:sz w:val="22"/>
          <w:szCs w:val="22"/>
        </w:rPr>
        <w:t xml:space="preserve"> potwierdzając rdzeniowy zanik mięśni. Częstość występowania SMA w populacji polskiej wynosi zatem ok. 1/7000, co jest zbieżne z wcześniej oszacowaną zachorowalnością.  U 27 noworodków wdrożono leczenie w ramach programu lekowego lub badania klinicznego, zaś pozostałe pozostają w </w:t>
      </w:r>
      <w:r w:rsidRPr="00AA22C4">
        <w:rPr>
          <w:rFonts w:ascii="Lato" w:hAnsi="Lato"/>
          <w:color w:val="000000" w:themeColor="text1"/>
          <w:sz w:val="22"/>
          <w:szCs w:val="22"/>
        </w:rPr>
        <w:lastRenderedPageBreak/>
        <w:t xml:space="preserve">obserwacji, a leczenie zostanie włączone po stwierdzeniu pogorszenia stanu dziecka. Dotychczasowa kwalifikacja pacjentów do terapii </w:t>
      </w:r>
      <w:proofErr w:type="spellStart"/>
      <w:r w:rsidRPr="00AA22C4">
        <w:rPr>
          <w:rFonts w:ascii="Lato" w:hAnsi="Lato"/>
          <w:color w:val="000000" w:themeColor="text1"/>
          <w:sz w:val="22"/>
          <w:szCs w:val="22"/>
        </w:rPr>
        <w:t>Nusinersenem</w:t>
      </w:r>
      <w:proofErr w:type="spellEnd"/>
      <w:r w:rsidRPr="00AA22C4">
        <w:rPr>
          <w:rFonts w:ascii="Lato" w:hAnsi="Lato"/>
          <w:color w:val="000000" w:themeColor="text1"/>
          <w:sz w:val="22"/>
          <w:szCs w:val="22"/>
        </w:rPr>
        <w:t xml:space="preserve"> obejmowała dzieci zdiagnozowane objawowo w różnym wieku w związku z wprowadzeniem leczenia od 2019 r. (kumulacja; przed 2019 r. leczenie było niedostępne </w:t>
      </w:r>
      <w:r w:rsidRPr="00AA22C4">
        <w:rPr>
          <w:rFonts w:ascii="Lato" w:hAnsi="Lato"/>
          <w:color w:val="000000" w:themeColor="text1"/>
          <w:sz w:val="22"/>
          <w:szCs w:val="22"/>
        </w:rPr>
        <w:br/>
        <w:t>w Rzecz</w:t>
      </w:r>
      <w:r w:rsidR="007A48CA" w:rsidRPr="00AA22C4">
        <w:rPr>
          <w:rFonts w:ascii="Lato" w:hAnsi="Lato"/>
          <w:color w:val="000000" w:themeColor="text1"/>
          <w:sz w:val="22"/>
          <w:szCs w:val="22"/>
        </w:rPr>
        <w:t>y</w:t>
      </w:r>
      <w:r w:rsidRPr="00AA22C4">
        <w:rPr>
          <w:rFonts w:ascii="Lato" w:hAnsi="Lato"/>
          <w:color w:val="000000" w:themeColor="text1"/>
          <w:sz w:val="22"/>
          <w:szCs w:val="22"/>
        </w:rPr>
        <w:t xml:space="preserve">pospolitej Polskiej). W związku z brakiem danych dotyczących leczenia SMA </w:t>
      </w:r>
      <w:r w:rsidRPr="00AA22C4">
        <w:rPr>
          <w:rFonts w:ascii="Lato" w:hAnsi="Lato"/>
          <w:color w:val="000000" w:themeColor="text1"/>
          <w:sz w:val="22"/>
          <w:szCs w:val="22"/>
        </w:rPr>
        <w:br/>
        <w:t xml:space="preserve">w Polsce, nie jest możliwe przeprowadzenie pełnej analizy efektywności kosztowej </w:t>
      </w:r>
      <w:r w:rsidRPr="00AA22C4">
        <w:rPr>
          <w:rFonts w:ascii="Lato" w:hAnsi="Lato"/>
          <w:color w:val="000000" w:themeColor="text1"/>
          <w:sz w:val="22"/>
          <w:szCs w:val="22"/>
        </w:rPr>
        <w:br/>
        <w:t>i oszacowanie wydatków, które zostaną obniżone dzięki wczesnemu wykryciu rdzeniowego zaniku mięśni (ze względu na za krótki okres wdrożenia badań przesiewowych), dlatego podstawę stanowić mogą analizy i podjęte decyzje w sprawie wprowadzenia badań przesiewowych w krajach z bardziej zaawansowanym programem przesiewowym oraz prowadzących leczenie dłużej.</w:t>
      </w:r>
    </w:p>
    <w:p w14:paraId="1AD75E60" w14:textId="77777777" w:rsidR="005E347E" w:rsidRPr="00AA22C4" w:rsidRDefault="005E347E" w:rsidP="00804077">
      <w:pPr>
        <w:spacing w:before="120" w:after="120"/>
        <w:ind w:left="720"/>
        <w:jc w:val="both"/>
        <w:rPr>
          <w:rFonts w:ascii="Lato" w:hAnsi="Lato"/>
          <w:bCs/>
          <w:color w:val="000000" w:themeColor="text1"/>
          <w:sz w:val="22"/>
          <w:szCs w:val="22"/>
        </w:rPr>
      </w:pPr>
      <w:r w:rsidRPr="00AA22C4">
        <w:rPr>
          <w:rFonts w:ascii="Lato" w:hAnsi="Lato"/>
          <w:color w:val="000000" w:themeColor="text1"/>
          <w:sz w:val="22"/>
          <w:szCs w:val="22"/>
        </w:rPr>
        <w:t>Większość przypadków rdzeniowego zaniku mięśni to postacie ciężkie, których objawy kliniczne pojawiają się już w pierwszych miesiącach życia, a moment potwierdzenia rozpoznania klinicznego badaniem genetycznym zależy od dostępności do badań, w tym ich finansowania oraz doświadczenia ośrodka prowadzącego pacjenta. Opóźnienie rozpoznania choroby wiąże się z wystąpieniem zmian o charakterze neurodegeneracyjnym, których cofnięcie nie jest możliwe nawet z zastosowaniem leczenia celowanego. Dzięki wprowadzeniu badań przesiewowych noworodków w kierunku SMA możliwe będzie znaczne skrócenie czasu od urodzenia do zdiagnozowania choroby wrodzonej (</w:t>
      </w:r>
      <w:r w:rsidRPr="00AA22C4">
        <w:rPr>
          <w:rFonts w:ascii="Lato" w:hAnsi="Lato"/>
          <w:bCs/>
          <w:color w:val="000000" w:themeColor="text1"/>
          <w:sz w:val="22"/>
          <w:szCs w:val="22"/>
        </w:rPr>
        <w:t>na podstawie badań genetycznych, w dwustopniowym teście przesiewowym – RT-PCR i MLPA)</w:t>
      </w:r>
      <w:r w:rsidRPr="00AA22C4">
        <w:rPr>
          <w:rFonts w:ascii="Lato" w:hAnsi="Lato"/>
          <w:color w:val="000000" w:themeColor="text1"/>
          <w:sz w:val="22"/>
          <w:szCs w:val="22"/>
        </w:rPr>
        <w:t xml:space="preserve">, a więc szybkie rozpoznanie oraz natychmiastowe wdrożenie leczenia choroby. Rozpoczęcie leczenia w okresie przedobjawowym umożliwia zatrzymanie procesu degeneracji (obumierania) </w:t>
      </w:r>
      <w:proofErr w:type="spellStart"/>
      <w:r w:rsidRPr="00AA22C4">
        <w:rPr>
          <w:rFonts w:ascii="Lato" w:hAnsi="Lato"/>
          <w:color w:val="000000" w:themeColor="text1"/>
          <w:sz w:val="22"/>
          <w:szCs w:val="22"/>
        </w:rPr>
        <w:t>motoneuronów</w:t>
      </w:r>
      <w:proofErr w:type="spellEnd"/>
      <w:r w:rsidRPr="00AA22C4">
        <w:rPr>
          <w:rFonts w:ascii="Lato" w:hAnsi="Lato"/>
          <w:color w:val="000000" w:themeColor="text1"/>
          <w:sz w:val="22"/>
          <w:szCs w:val="22"/>
        </w:rPr>
        <w:t xml:space="preserve"> rdzenia kręgowego, które w konsekwencji prowadzi do unieruchomienia oraz niewydolności oddechowej i śmierci (54, 55). </w:t>
      </w:r>
      <w:r w:rsidRPr="00AA22C4">
        <w:rPr>
          <w:rFonts w:ascii="Lato" w:hAnsi="Lato"/>
          <w:bCs/>
          <w:color w:val="000000" w:themeColor="text1"/>
          <w:sz w:val="22"/>
          <w:szCs w:val="22"/>
        </w:rPr>
        <w:t>Zgodnie z wynikami badania klinicznego NURTURE (56 czas obserwacji pacjentów 2,9 lat) przedobjawowe wprowadzenie leczenia ma wysoką efektywność i u większości dzieci zapobiega wystąpieniu ciężkich objawów klinicznych czy wręcz przedwczesnej śmierci pacjentów. Żadne z dzieci włączonych do badania po upływie 2,9 roku od włączenia leczenia nie wymagało ciągłej wentylacji mechanicznej, wszystkie osiągnęły zdolność do samodzielnego siedzenia, zaś znacząca większość zdolność chodzenia z pomocą drugiej osoby 92%) lub samodzielnego chodzenia (88%). Dla porównania, dzieci z typem I SMA wymagają ciągłej wentylacji lub umierają w średnim wieku 1,2 roku.</w:t>
      </w:r>
    </w:p>
    <w:p w14:paraId="37260C75" w14:textId="77777777" w:rsidR="00D66BB2" w:rsidRPr="00AA22C4" w:rsidRDefault="00D66BB2" w:rsidP="00804077">
      <w:pPr>
        <w:spacing w:before="120" w:after="120"/>
        <w:ind w:left="720"/>
        <w:jc w:val="both"/>
        <w:rPr>
          <w:rFonts w:ascii="Lato" w:hAnsi="Lato"/>
          <w:bCs/>
          <w:color w:val="000000" w:themeColor="text1"/>
          <w:sz w:val="22"/>
          <w:szCs w:val="22"/>
        </w:rPr>
      </w:pPr>
    </w:p>
    <w:p w14:paraId="534C4B09" w14:textId="77777777" w:rsidR="005E347E" w:rsidRPr="00AA22C4" w:rsidRDefault="005E347E" w:rsidP="005E347E">
      <w:pPr>
        <w:spacing w:before="120" w:after="120"/>
        <w:ind w:left="720"/>
        <w:jc w:val="both"/>
        <w:rPr>
          <w:rFonts w:ascii="Lato" w:hAnsi="Lato"/>
          <w:color w:val="000000" w:themeColor="text1"/>
          <w:sz w:val="22"/>
          <w:szCs w:val="22"/>
        </w:rPr>
      </w:pPr>
      <w:r w:rsidRPr="00AA22C4">
        <w:rPr>
          <w:rFonts w:ascii="Lato" w:hAnsi="Lato"/>
          <w:bCs/>
          <w:color w:val="000000" w:themeColor="text1"/>
          <w:sz w:val="22"/>
          <w:szCs w:val="22"/>
        </w:rPr>
        <w:lastRenderedPageBreak/>
        <w:t>Wdrożenie badań przesiewowych jest także ekonomicznie uzasadnione w przypadku, gdy dostępne jest finansowanie leczenia z wykorzystaniem leków sierocych (61). Wyliczono, że w przypadku pacjentów SMA koszt roku życia bez progresji choroby jest niższy w przypadku dzieci, u których rdzeniowy zanik mięśni zidentyfikowano w trakcie badań przesiewowych w porównaniu do pacjentów zdiagnozowanych po wystąpieniu objawów klinicznych. Dlatego wczesne rozpoznanie i szybkie wdrożenie l</w:t>
      </w:r>
      <w:r w:rsidRPr="00AA22C4">
        <w:rPr>
          <w:rFonts w:ascii="Lato" w:hAnsi="Lato"/>
          <w:color w:val="000000" w:themeColor="text1"/>
          <w:sz w:val="22"/>
          <w:szCs w:val="22"/>
        </w:rPr>
        <w:t>eczenia przyczynowego zatrzymuje lub nawet cofa postęp choroby, ponadto zapobiega lub znacznie redukuje nasilenie objawów choroby. Dodatkowo wczesna interwencja zapobiega śmierci dzieci lub ich ciężkiej niepełnosprawności.</w:t>
      </w:r>
      <w:r w:rsidRPr="00AA22C4">
        <w:rPr>
          <w:rFonts w:ascii="Lato" w:hAnsi="Lato"/>
          <w:bCs/>
          <w:color w:val="000000" w:themeColor="text1"/>
          <w:sz w:val="22"/>
          <w:szCs w:val="22"/>
        </w:rPr>
        <w:t xml:space="preserve"> Wpływa istotnie na zmniejszenie niepełnosprawności i w znaczniej części pozwoli uzyskać prawidłowy rozwój dzieci chorych na SMA. </w:t>
      </w:r>
      <w:r w:rsidRPr="00AA22C4">
        <w:rPr>
          <w:rFonts w:ascii="Lato" w:hAnsi="Lato"/>
          <w:color w:val="000000" w:themeColor="text1"/>
          <w:sz w:val="22"/>
          <w:szCs w:val="22"/>
        </w:rPr>
        <w:t xml:space="preserve">Dzieci, które nigdy nie siedziały, wymagały oddechu wspomaganego, karmienia dojelitowego, będą mogły przyjąć postawę siedzącą, samodzielnie oddychać oraz jeść; pacjenci, którzy nie chodzili lub tracili tę umiejętność w przebiegu choroby, będą zdolni do samodzielnej egzystencji, pracy i samoobsługi, jak również chodzenia. Wpłynie to znacząco na zmniejszenie kosztów </w:t>
      </w:r>
      <w:r w:rsidRPr="00AA22C4">
        <w:rPr>
          <w:rFonts w:ascii="Lato" w:hAnsi="Lato"/>
          <w:color w:val="000000" w:themeColor="text1"/>
          <w:kern w:val="28"/>
          <w:sz w:val="22"/>
          <w:szCs w:val="22"/>
        </w:rPr>
        <w:t xml:space="preserve">leczenia objawowego (m.in. opieka wielospecjalistyczna, hospitalizacje związane z leczeniem powikłań, oddech wspomagany, żywienie dojelitowe, rehabilitacja, leczenie ortopedyczne) oraz obniżenie kosztów społecznych (opieka nad pacjentem niepełnosprawnym ruchowo, renty). Niestety w związku z faktem, iż </w:t>
      </w:r>
      <w:r w:rsidRPr="00AA22C4">
        <w:rPr>
          <w:rFonts w:ascii="Lato" w:hAnsi="Lato"/>
          <w:color w:val="000000" w:themeColor="text1"/>
          <w:sz w:val="22"/>
          <w:szCs w:val="22"/>
        </w:rPr>
        <w:t>rdzeniowy zanik mięśni, zaliczany do grupy chorób układu mięśniowo-szkieletowego, ze względu na częstość występowania (choroba rzadka &lt;1/2000 urodzeń) nie znajduje się w grupie zaburzeń powodujących najbardziej znaczący wzrost wskaźnika DALY (lata życia skorygowane niesprawnością) dla wszystkich chorób oraz grupy chorób układu mięśniowo – szkieletowego. Jednocześnie należy podkreślić, iż najcięższe postacie rdzeniowego zaniku mięśni (SMA) znacząco wpływają na liczbę lat życia utraconych wskutek przedwczesnej śmierci lub uszczerbku na zdrowiu z powodu tej choroby, w związku z szybkim wystąpieniem jej objawów klinicznych.</w:t>
      </w:r>
    </w:p>
    <w:p w14:paraId="30E78105" w14:textId="65038C1E" w:rsidR="005E347E" w:rsidRPr="00AA22C4" w:rsidRDefault="00FC43BD" w:rsidP="00AA22C4">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4.</w:t>
      </w:r>
      <w:r w:rsidR="009038E8">
        <w:rPr>
          <w:rFonts w:ascii="Lato" w:hAnsi="Lato"/>
          <w:color w:val="000000" w:themeColor="text1"/>
          <w:sz w:val="22"/>
          <w:szCs w:val="22"/>
        </w:rPr>
        <w:t xml:space="preserve"> </w:t>
      </w:r>
      <w:r w:rsidR="005E347E" w:rsidRPr="00AA22C4">
        <w:rPr>
          <w:rFonts w:ascii="Lato" w:hAnsi="Lato"/>
          <w:color w:val="000000" w:themeColor="text1"/>
          <w:sz w:val="22"/>
          <w:szCs w:val="22"/>
        </w:rPr>
        <w:t xml:space="preserve">Jako miernik efektywności dla celu czwartego przyjęto liczbę wyprodukowanych materiałów informacyjnych na temat badań przesiewowych, liczbę szpitali, do których materiały te zostały rozesłane oraz liczbę wejść na stronę internetową Programu. </w:t>
      </w:r>
    </w:p>
    <w:p w14:paraId="3C4D741C" w14:textId="1F7FAD54" w:rsidR="005E347E" w:rsidRPr="00AA22C4" w:rsidRDefault="00FC43BD" w:rsidP="00AA22C4">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5. </w:t>
      </w:r>
      <w:r w:rsidR="005E347E" w:rsidRPr="00AA22C4">
        <w:rPr>
          <w:rFonts w:ascii="Lato" w:hAnsi="Lato"/>
          <w:color w:val="000000" w:themeColor="text1"/>
          <w:sz w:val="22"/>
          <w:szCs w:val="22"/>
        </w:rPr>
        <w:t xml:space="preserve">Dla punktu piątego miernikiem efektywności będzie: </w:t>
      </w:r>
    </w:p>
    <w:p w14:paraId="026C211B" w14:textId="68015814" w:rsidR="005E347E" w:rsidRPr="00AA22C4" w:rsidRDefault="00A64486" w:rsidP="00AA22C4">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1) </w:t>
      </w:r>
      <w:r w:rsidR="005E347E" w:rsidRPr="00AA22C4">
        <w:rPr>
          <w:rFonts w:ascii="Lato" w:hAnsi="Lato"/>
          <w:color w:val="000000" w:themeColor="text1"/>
          <w:sz w:val="22"/>
          <w:szCs w:val="22"/>
        </w:rPr>
        <w:t xml:space="preserve">czas transportu próbki krwi ze szpitala do laboratorium na następny dzień roboczy </w:t>
      </w:r>
      <w:r w:rsidR="005E347E" w:rsidRPr="00AA22C4">
        <w:rPr>
          <w:rFonts w:ascii="Lato" w:hAnsi="Lato"/>
          <w:color w:val="000000" w:themeColor="text1"/>
          <w:sz w:val="22"/>
          <w:szCs w:val="22"/>
        </w:rPr>
        <w:br/>
      </w:r>
      <w:r w:rsidR="00051E11" w:rsidRPr="00AA22C4">
        <w:rPr>
          <w:rFonts w:ascii="Lato" w:hAnsi="Lato"/>
          <w:color w:val="000000" w:themeColor="text1"/>
          <w:sz w:val="22"/>
          <w:szCs w:val="22"/>
        </w:rPr>
        <w:t xml:space="preserve">(duże miasta), do 3 dni roboczych (małe miejscowości) </w:t>
      </w:r>
      <w:r w:rsidR="005E347E" w:rsidRPr="00AA22C4">
        <w:rPr>
          <w:rFonts w:ascii="Lato" w:hAnsi="Lato"/>
          <w:color w:val="000000" w:themeColor="text1"/>
          <w:sz w:val="22"/>
          <w:szCs w:val="22"/>
        </w:rPr>
        <w:t xml:space="preserve">dla co najmniej 80% oddziałów do końca 2019 r. wprowadzenie dla opiekunów prawnych noworodków możliwości monitorowania </w:t>
      </w:r>
      <w:r w:rsidR="005E347E" w:rsidRPr="00AA22C4">
        <w:rPr>
          <w:rFonts w:ascii="Lato" w:hAnsi="Lato"/>
          <w:color w:val="000000" w:themeColor="text1"/>
          <w:sz w:val="22"/>
          <w:szCs w:val="22"/>
        </w:rPr>
        <w:lastRenderedPageBreak/>
        <w:t>etapów badań przesiewowych ich dziecka na stronie internetowej z zabezpieczeniem przed nieuprawnionym dostępem i zapewniającą adekwatną ochronę danych osobowych, do końca 202</w:t>
      </w:r>
      <w:r w:rsidR="00051E11" w:rsidRPr="00AA22C4">
        <w:rPr>
          <w:rFonts w:ascii="Lato" w:hAnsi="Lato"/>
          <w:color w:val="000000" w:themeColor="text1"/>
          <w:sz w:val="22"/>
          <w:szCs w:val="22"/>
        </w:rPr>
        <w:t>4</w:t>
      </w:r>
      <w:r w:rsidR="005E347E" w:rsidRPr="00AA22C4">
        <w:rPr>
          <w:rFonts w:ascii="Lato" w:hAnsi="Lato"/>
          <w:color w:val="000000" w:themeColor="text1"/>
          <w:sz w:val="22"/>
          <w:szCs w:val="22"/>
        </w:rPr>
        <w:t xml:space="preserve"> r. oraz przeprowadzenie walidacji nowych testów przesiewowych do końca 2026 r.</w:t>
      </w:r>
      <w:r w:rsidRPr="00AA22C4">
        <w:rPr>
          <w:rFonts w:ascii="Lato" w:hAnsi="Lato"/>
          <w:color w:val="000000" w:themeColor="text1"/>
          <w:sz w:val="22"/>
          <w:szCs w:val="22"/>
        </w:rPr>
        <w:t>;</w:t>
      </w:r>
    </w:p>
    <w:p w14:paraId="093EAE80" w14:textId="169CDFF1" w:rsidR="00171CC2" w:rsidRPr="00AA22C4" w:rsidRDefault="00A64486" w:rsidP="00AA22C4">
      <w:pPr>
        <w:pStyle w:val="pismamz"/>
        <w:tabs>
          <w:tab w:val="left" w:pos="5400"/>
        </w:tabs>
        <w:spacing w:before="120" w:after="240"/>
        <w:rPr>
          <w:rFonts w:ascii="Lato" w:eastAsia="Times New Roman" w:hAnsi="Lato"/>
          <w:color w:val="000000" w:themeColor="text1"/>
          <w:lang w:eastAsia="pl-PL"/>
        </w:rPr>
      </w:pPr>
      <w:r w:rsidRPr="00AA22C4">
        <w:rPr>
          <w:rFonts w:ascii="Lato" w:hAnsi="Lato"/>
          <w:color w:val="000000" w:themeColor="text1"/>
        </w:rPr>
        <w:t xml:space="preserve">2) </w:t>
      </w:r>
      <w:r w:rsidR="005C7CBC" w:rsidRPr="00AA22C4">
        <w:rPr>
          <w:rFonts w:ascii="Lato" w:hAnsi="Lato"/>
          <w:color w:val="000000" w:themeColor="text1"/>
        </w:rPr>
        <w:t xml:space="preserve">dla jednostek chorobowych objętych badaniami pilotażowymi określenie wartości </w:t>
      </w:r>
      <w:r w:rsidR="005C7CBC" w:rsidRPr="00AA22C4">
        <w:rPr>
          <w:rFonts w:ascii="Lato" w:eastAsia="Times New Roman" w:hAnsi="Lato"/>
          <w:color w:val="000000" w:themeColor="text1"/>
          <w:lang w:eastAsia="pl-PL"/>
        </w:rPr>
        <w:t>predykcyjnej</w:t>
      </w:r>
      <w:r w:rsidR="002B5235" w:rsidRPr="00AA22C4">
        <w:rPr>
          <w:rFonts w:ascii="Lato" w:eastAsia="Times New Roman" w:hAnsi="Lato"/>
          <w:color w:val="000000" w:themeColor="text1"/>
          <w:lang w:eastAsia="pl-PL"/>
        </w:rPr>
        <w:t xml:space="preserve"> dodatniej</w:t>
      </w:r>
      <w:r w:rsidR="005C7CBC" w:rsidRPr="00AA22C4">
        <w:rPr>
          <w:rFonts w:ascii="Lato" w:eastAsia="Times New Roman" w:hAnsi="Lato"/>
          <w:color w:val="000000" w:themeColor="text1"/>
          <w:lang w:eastAsia="pl-PL"/>
        </w:rPr>
        <w:t xml:space="preserve"> </w:t>
      </w:r>
      <w:r w:rsidR="00FB0B53" w:rsidRPr="00AA22C4">
        <w:rPr>
          <w:rFonts w:ascii="Lato" w:eastAsia="Times New Roman" w:hAnsi="Lato"/>
          <w:color w:val="000000" w:themeColor="text1"/>
          <w:lang w:eastAsia="pl-PL"/>
        </w:rPr>
        <w:t xml:space="preserve">PPV </w:t>
      </w:r>
      <w:r w:rsidR="005C7CBC" w:rsidRPr="00AA22C4">
        <w:rPr>
          <w:rFonts w:ascii="Lato" w:eastAsia="Times New Roman" w:hAnsi="Lato"/>
          <w:color w:val="000000" w:themeColor="text1"/>
          <w:lang w:eastAsia="pl-PL"/>
        </w:rPr>
        <w:t>(</w:t>
      </w:r>
      <w:r w:rsidR="00171CC2" w:rsidRPr="00AA22C4">
        <w:rPr>
          <w:rFonts w:ascii="Lato" w:eastAsia="Times New Roman" w:hAnsi="Lato"/>
          <w:color w:val="000000" w:themeColor="text1"/>
          <w:lang w:eastAsia="pl-PL"/>
        </w:rPr>
        <w:t xml:space="preserve">ang. </w:t>
      </w:r>
      <w:proofErr w:type="spellStart"/>
      <w:r w:rsidR="00171CC2" w:rsidRPr="00AA22C4">
        <w:rPr>
          <w:rFonts w:ascii="Lato" w:eastAsia="Times New Roman" w:hAnsi="Lato"/>
          <w:color w:val="000000" w:themeColor="text1"/>
          <w:lang w:eastAsia="pl-PL"/>
        </w:rPr>
        <w:t>Positive</w:t>
      </w:r>
      <w:proofErr w:type="spellEnd"/>
      <w:r w:rsidR="00171CC2" w:rsidRPr="00AA22C4">
        <w:rPr>
          <w:rFonts w:ascii="Lato" w:eastAsia="Times New Roman" w:hAnsi="Lato"/>
          <w:color w:val="000000" w:themeColor="text1"/>
          <w:lang w:eastAsia="pl-PL"/>
        </w:rPr>
        <w:t xml:space="preserve"> </w:t>
      </w:r>
      <w:proofErr w:type="spellStart"/>
      <w:r w:rsidR="00171CC2" w:rsidRPr="00AA22C4">
        <w:rPr>
          <w:rFonts w:ascii="Lato" w:eastAsia="Times New Roman" w:hAnsi="Lato"/>
          <w:color w:val="000000" w:themeColor="text1"/>
          <w:lang w:eastAsia="pl-PL"/>
        </w:rPr>
        <w:t>predictive</w:t>
      </w:r>
      <w:proofErr w:type="spellEnd"/>
      <w:r w:rsidR="00171CC2" w:rsidRPr="00AA22C4">
        <w:rPr>
          <w:rFonts w:ascii="Lato" w:eastAsia="Times New Roman" w:hAnsi="Lato"/>
          <w:color w:val="000000" w:themeColor="text1"/>
          <w:lang w:eastAsia="pl-PL"/>
        </w:rPr>
        <w:t xml:space="preserve"> </w:t>
      </w:r>
      <w:proofErr w:type="spellStart"/>
      <w:r w:rsidR="00171CC2" w:rsidRPr="00AA22C4">
        <w:rPr>
          <w:rFonts w:ascii="Lato" w:eastAsia="Times New Roman" w:hAnsi="Lato"/>
          <w:color w:val="000000" w:themeColor="text1"/>
          <w:lang w:eastAsia="pl-PL"/>
        </w:rPr>
        <w:t>value</w:t>
      </w:r>
      <w:proofErr w:type="spellEnd"/>
      <w:r w:rsidR="00171CC2" w:rsidRPr="00AA22C4">
        <w:rPr>
          <w:rFonts w:ascii="Lato" w:eastAsia="Times New Roman" w:hAnsi="Lato"/>
          <w:color w:val="000000" w:themeColor="text1"/>
          <w:lang w:eastAsia="pl-PL"/>
        </w:rPr>
        <w:t>).   PPV jest wskaźnikiem który mówi, jaka jest proporcja wyników dodatnich testu, które faktycznie oznaczają obecność choroby, czyli określa, jak duże jest prawdopodobieństwo, że pacjent, który otrzymał pozytywny wynik testu, rzeczywiście jest chory.</w:t>
      </w:r>
      <w:r w:rsidR="005A2B28" w:rsidRPr="00AA22C4">
        <w:rPr>
          <w:rFonts w:ascii="Lato" w:eastAsia="Times New Roman" w:hAnsi="Lato"/>
          <w:color w:val="000000" w:themeColor="text1"/>
          <w:lang w:eastAsia="pl-PL"/>
        </w:rPr>
        <w:t xml:space="preserve"> PPV jest wyrażane jako procent lub wartość od 0 do 1</w:t>
      </w:r>
      <w:r w:rsidRPr="00AA22C4">
        <w:rPr>
          <w:rFonts w:ascii="Lato" w:eastAsia="Times New Roman" w:hAnsi="Lato"/>
          <w:color w:val="000000" w:themeColor="text1"/>
          <w:lang w:eastAsia="pl-PL"/>
        </w:rPr>
        <w:t>;</w:t>
      </w:r>
      <w:r w:rsidR="005A2B28" w:rsidRPr="00AA22C4">
        <w:rPr>
          <w:rFonts w:ascii="Lato" w:eastAsia="Times New Roman" w:hAnsi="Lato"/>
          <w:color w:val="000000" w:themeColor="text1"/>
          <w:lang w:eastAsia="pl-PL"/>
        </w:rPr>
        <w:t xml:space="preserve"> </w:t>
      </w:r>
    </w:p>
    <w:p w14:paraId="44B925FD" w14:textId="003A0EB1" w:rsidR="005E347E" w:rsidRPr="00AA22C4" w:rsidRDefault="00A64486" w:rsidP="009038E8">
      <w:pPr>
        <w:pStyle w:val="pismamz"/>
        <w:tabs>
          <w:tab w:val="left" w:pos="5400"/>
        </w:tabs>
        <w:spacing w:before="240" w:after="120"/>
        <w:rPr>
          <w:rFonts w:ascii="Lato" w:hAnsi="Lato"/>
          <w:color w:val="000000" w:themeColor="text1"/>
        </w:rPr>
      </w:pPr>
      <w:r w:rsidRPr="00AA22C4">
        <w:rPr>
          <w:rFonts w:ascii="Lato" w:hAnsi="Lato"/>
          <w:color w:val="000000" w:themeColor="text1"/>
        </w:rPr>
        <w:t xml:space="preserve">3) </w:t>
      </w:r>
      <w:r w:rsidR="005E347E" w:rsidRPr="00AA22C4">
        <w:rPr>
          <w:rFonts w:ascii="Lato" w:hAnsi="Lato"/>
          <w:color w:val="000000" w:themeColor="text1"/>
        </w:rPr>
        <w:t>dla badań przesiewowych w kierunku SMA, którego celem jest wczesne, przedobjawowe wykrycie chorych dzieci, stosowana będzie ocena porównawcza:</w:t>
      </w:r>
    </w:p>
    <w:p w14:paraId="0DF3424E" w14:textId="1B47F0E0" w:rsidR="005E347E" w:rsidRPr="00AA22C4" w:rsidRDefault="005E347E" w:rsidP="009038E8">
      <w:pPr>
        <w:pStyle w:val="pismamz"/>
        <w:numPr>
          <w:ilvl w:val="0"/>
          <w:numId w:val="117"/>
        </w:numPr>
        <w:tabs>
          <w:tab w:val="left" w:pos="5400"/>
        </w:tabs>
        <w:spacing w:before="480"/>
        <w:rPr>
          <w:rFonts w:ascii="Lato" w:hAnsi="Lato"/>
          <w:color w:val="000000" w:themeColor="text1"/>
        </w:rPr>
      </w:pPr>
      <w:r w:rsidRPr="00AA22C4">
        <w:rPr>
          <w:rFonts w:ascii="Lato" w:hAnsi="Lato"/>
          <w:color w:val="000000" w:themeColor="text1"/>
        </w:rPr>
        <w:t xml:space="preserve"> czasu (liczba dni) od urodzenia dziecka do diagnozy (data wydania wyniku testu genetycznego), przed wprowadzeniem badań przesiewowych oraz po ich wprowadzeniu. Wskaźnik w liczbach średniej liczby dni oraz jej procentowy spadek. Docelowo wynik genetycznego badania przesiewowego powinien być wydawany do 7 dni roboczych od rejestracji (dostarczenia próbki krwi na bibule</w:t>
      </w:r>
      <w:r w:rsidR="00EA0485" w:rsidRPr="00AA22C4">
        <w:rPr>
          <w:rFonts w:ascii="Lato" w:hAnsi="Lato"/>
          <w:color w:val="000000" w:themeColor="text1"/>
        </w:rPr>
        <w:t>)</w:t>
      </w:r>
      <w:r w:rsidR="00A64486" w:rsidRPr="00AA22C4">
        <w:rPr>
          <w:rFonts w:ascii="Lato" w:hAnsi="Lato"/>
          <w:color w:val="000000" w:themeColor="text1"/>
        </w:rPr>
        <w:t>;</w:t>
      </w:r>
      <w:r w:rsidRPr="00AA22C4">
        <w:rPr>
          <w:rFonts w:ascii="Lato" w:hAnsi="Lato"/>
          <w:color w:val="000000" w:themeColor="text1"/>
        </w:rPr>
        <w:t xml:space="preserve"> </w:t>
      </w:r>
    </w:p>
    <w:p w14:paraId="48436800" w14:textId="74E17146" w:rsidR="005E347E" w:rsidRPr="00AA22C4" w:rsidRDefault="00A64486" w:rsidP="00AA22C4">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4) o</w:t>
      </w:r>
      <w:r w:rsidR="005E347E" w:rsidRPr="00AA22C4">
        <w:rPr>
          <w:rFonts w:ascii="Lato" w:hAnsi="Lato"/>
          <w:color w:val="000000" w:themeColor="text1"/>
          <w:sz w:val="22"/>
          <w:szCs w:val="22"/>
        </w:rPr>
        <w:t>pracowanie i upowszechnianie rekomendacji dla postępowania diagnostyczno-leczniczego dla wrodzonych wad metabolizmu wykrywanych metodą MS/MS do końca 2026 r.</w:t>
      </w:r>
      <w:r w:rsidRPr="00AA22C4">
        <w:rPr>
          <w:rFonts w:ascii="Lato" w:hAnsi="Lato"/>
          <w:color w:val="000000" w:themeColor="text1"/>
          <w:sz w:val="22"/>
          <w:szCs w:val="22"/>
        </w:rPr>
        <w:t>;</w:t>
      </w:r>
    </w:p>
    <w:p w14:paraId="5CF9B4A5" w14:textId="07C375CE" w:rsidR="005E347E" w:rsidRPr="00AA22C4" w:rsidRDefault="00A64486" w:rsidP="00AA22C4">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5) </w:t>
      </w:r>
      <w:r w:rsidR="005E347E" w:rsidRPr="00AA22C4">
        <w:rPr>
          <w:rFonts w:ascii="Lato" w:hAnsi="Lato"/>
          <w:color w:val="000000" w:themeColor="text1"/>
          <w:sz w:val="22"/>
          <w:szCs w:val="22"/>
        </w:rPr>
        <w:t>poszerzenie pracy laboratoriów przesiewowych „on-line” do końca 2024 r.</w:t>
      </w:r>
      <w:r w:rsidRPr="00AA22C4">
        <w:rPr>
          <w:rFonts w:ascii="Lato" w:hAnsi="Lato"/>
          <w:color w:val="000000" w:themeColor="text1"/>
          <w:sz w:val="22"/>
          <w:szCs w:val="22"/>
        </w:rPr>
        <w:t>;</w:t>
      </w:r>
    </w:p>
    <w:p w14:paraId="72940650" w14:textId="241FE256" w:rsidR="005E347E" w:rsidRPr="00AA22C4" w:rsidRDefault="00A64486" w:rsidP="00AA22C4">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6) </w:t>
      </w:r>
      <w:r w:rsidR="005E347E" w:rsidRPr="00AA22C4">
        <w:rPr>
          <w:rFonts w:ascii="Lato" w:hAnsi="Lato"/>
          <w:color w:val="000000" w:themeColor="text1"/>
          <w:sz w:val="22"/>
          <w:szCs w:val="22"/>
        </w:rPr>
        <w:t xml:space="preserve">prowadzenie monitorowania leczenia wrodzonych wad metabolizmu (WWM) </w:t>
      </w:r>
      <w:r w:rsidR="005E347E" w:rsidRPr="00AA22C4">
        <w:rPr>
          <w:rFonts w:ascii="Lato" w:hAnsi="Lato"/>
          <w:color w:val="000000" w:themeColor="text1"/>
          <w:sz w:val="22"/>
          <w:szCs w:val="22"/>
        </w:rPr>
        <w:br/>
        <w:t>w</w:t>
      </w:r>
      <w:r w:rsidR="00B01154" w:rsidRPr="00AA22C4">
        <w:rPr>
          <w:rFonts w:ascii="Lato" w:hAnsi="Lato"/>
          <w:color w:val="000000" w:themeColor="text1"/>
          <w:sz w:val="22"/>
          <w:szCs w:val="22"/>
        </w:rPr>
        <w:t xml:space="preserve">1. r. ż. </w:t>
      </w:r>
      <w:r w:rsidR="005E347E" w:rsidRPr="00AA22C4">
        <w:rPr>
          <w:rFonts w:ascii="Lato" w:hAnsi="Lato"/>
          <w:color w:val="000000" w:themeColor="text1"/>
          <w:sz w:val="22"/>
          <w:szCs w:val="22"/>
        </w:rPr>
        <w:t xml:space="preserve">– rejestr leczonych do końca 2020 r. </w:t>
      </w:r>
    </w:p>
    <w:p w14:paraId="33C32C3D" w14:textId="570BD001" w:rsidR="005E347E" w:rsidRPr="00AA22C4" w:rsidRDefault="005E347E" w:rsidP="005E347E">
      <w:pPr>
        <w:pStyle w:val="Tekstprzypisudolnego"/>
        <w:spacing w:before="120" w:after="120"/>
        <w:jc w:val="both"/>
        <w:rPr>
          <w:rFonts w:ascii="Lato" w:hAnsi="Lato"/>
          <w:color w:val="000000" w:themeColor="text1"/>
          <w:sz w:val="22"/>
          <w:szCs w:val="22"/>
        </w:rPr>
      </w:pPr>
      <w:bookmarkStart w:id="13" w:name="_Hlk177729934"/>
      <w:r w:rsidRPr="00AA22C4">
        <w:rPr>
          <w:rFonts w:ascii="Lato" w:hAnsi="Lato"/>
          <w:color w:val="000000" w:themeColor="text1"/>
          <w:sz w:val="22"/>
          <w:szCs w:val="22"/>
        </w:rPr>
        <w:t xml:space="preserve">W ramach programu „Strateg” dla celu 4. </w:t>
      </w:r>
      <w:r w:rsidRPr="00AA22C4">
        <w:rPr>
          <w:rFonts w:ascii="Lato" w:hAnsi="Lato"/>
          <w:i/>
          <w:color w:val="000000" w:themeColor="text1"/>
          <w:sz w:val="22"/>
          <w:szCs w:val="22"/>
        </w:rPr>
        <w:t>Poprawa zdrowia obywateli oraz efektywności systemu opieki zdrowotnej</w:t>
      </w:r>
      <w:r w:rsidRPr="00AA22C4">
        <w:rPr>
          <w:rFonts w:ascii="Lato" w:hAnsi="Lato"/>
          <w:color w:val="000000" w:themeColor="text1"/>
          <w:sz w:val="22"/>
          <w:szCs w:val="22"/>
        </w:rPr>
        <w:t xml:space="preserve"> przyjęto, jako wskaźnik udział procentowy liczby noworodków objętych badaniami przesiewowym w ogólnej liczbie noworodków w danym roku kalendarzowym.</w:t>
      </w:r>
    </w:p>
    <w:bookmarkEnd w:id="13"/>
    <w:p w14:paraId="6184FFB1" w14:textId="77777777" w:rsidR="005E347E" w:rsidRPr="00AA22C4" w:rsidRDefault="005E347E" w:rsidP="005E347E">
      <w:pPr>
        <w:pStyle w:val="Tekstprzypisudolnego"/>
        <w:spacing w:before="120" w:after="120"/>
        <w:jc w:val="both"/>
        <w:rPr>
          <w:rFonts w:ascii="Lato" w:hAnsi="Lato"/>
          <w:color w:val="000000" w:themeColor="text1"/>
          <w:sz w:val="22"/>
          <w:szCs w:val="22"/>
        </w:rPr>
      </w:pPr>
    </w:p>
    <w:p w14:paraId="4BA25339" w14:textId="77777777" w:rsidR="00D66BB2" w:rsidRPr="00AA22C4" w:rsidRDefault="00D66BB2" w:rsidP="005E347E">
      <w:pPr>
        <w:pStyle w:val="Tekstprzypisudolnego"/>
        <w:spacing w:before="120" w:after="120"/>
        <w:jc w:val="both"/>
        <w:rPr>
          <w:rFonts w:ascii="Lato" w:hAnsi="Lato"/>
          <w:color w:val="000000" w:themeColor="text1"/>
          <w:sz w:val="22"/>
          <w:szCs w:val="22"/>
        </w:rPr>
      </w:pPr>
    </w:p>
    <w:p w14:paraId="46901EFD" w14:textId="77777777" w:rsidR="00D66BB2" w:rsidRDefault="00D66BB2" w:rsidP="005E347E">
      <w:pPr>
        <w:pStyle w:val="Tekstprzypisudolnego"/>
        <w:spacing w:before="120" w:after="120"/>
        <w:jc w:val="both"/>
        <w:rPr>
          <w:rFonts w:ascii="Lato" w:hAnsi="Lato"/>
          <w:color w:val="000000" w:themeColor="text1"/>
          <w:sz w:val="22"/>
          <w:szCs w:val="22"/>
        </w:rPr>
      </w:pPr>
    </w:p>
    <w:p w14:paraId="47F97BC0" w14:textId="77777777" w:rsidR="009038E8" w:rsidRDefault="009038E8" w:rsidP="005E347E">
      <w:pPr>
        <w:pStyle w:val="Tekstprzypisudolnego"/>
        <w:spacing w:before="120" w:after="120"/>
        <w:jc w:val="both"/>
        <w:rPr>
          <w:rFonts w:ascii="Lato" w:hAnsi="Lato"/>
          <w:color w:val="000000" w:themeColor="text1"/>
          <w:sz w:val="22"/>
          <w:szCs w:val="22"/>
        </w:rPr>
      </w:pPr>
    </w:p>
    <w:p w14:paraId="1F72BE2F" w14:textId="77777777" w:rsidR="009038E8" w:rsidRDefault="009038E8" w:rsidP="005E347E">
      <w:pPr>
        <w:pStyle w:val="Tekstprzypisudolnego"/>
        <w:spacing w:before="120" w:after="120"/>
        <w:jc w:val="both"/>
        <w:rPr>
          <w:rFonts w:ascii="Lato" w:hAnsi="Lato"/>
          <w:color w:val="000000" w:themeColor="text1"/>
          <w:sz w:val="22"/>
          <w:szCs w:val="22"/>
        </w:rPr>
      </w:pPr>
    </w:p>
    <w:p w14:paraId="0B23CCC6" w14:textId="77777777" w:rsidR="009038E8" w:rsidRPr="00AA22C4" w:rsidRDefault="009038E8" w:rsidP="005E347E">
      <w:pPr>
        <w:pStyle w:val="Tekstprzypisudolnego"/>
        <w:spacing w:before="120" w:after="120"/>
        <w:jc w:val="both"/>
        <w:rPr>
          <w:rFonts w:ascii="Lato" w:hAnsi="Lato"/>
          <w:color w:val="000000" w:themeColor="text1"/>
          <w:sz w:val="22"/>
          <w:szCs w:val="22"/>
        </w:rPr>
      </w:pPr>
    </w:p>
    <w:p w14:paraId="6E2237F9" w14:textId="77777777" w:rsidR="00D66BB2" w:rsidRPr="00AA22C4" w:rsidRDefault="00D66BB2" w:rsidP="005E347E">
      <w:pPr>
        <w:pStyle w:val="Tekstprzypisudolnego"/>
        <w:spacing w:before="120" w:after="120"/>
        <w:jc w:val="both"/>
        <w:rPr>
          <w:rFonts w:ascii="Lato" w:hAnsi="Lato"/>
          <w:color w:val="000000" w:themeColor="text1"/>
          <w:sz w:val="22"/>
          <w:szCs w:val="22"/>
        </w:rPr>
      </w:pPr>
    </w:p>
    <w:p w14:paraId="465219D8" w14:textId="77777777" w:rsidR="005E347E" w:rsidRPr="00AA22C4" w:rsidRDefault="005E347E" w:rsidP="005E347E">
      <w:pPr>
        <w:pStyle w:val="Tekstprzypisudolnego"/>
        <w:numPr>
          <w:ilvl w:val="0"/>
          <w:numId w:val="1"/>
        </w:numPr>
        <w:spacing w:before="120" w:after="120"/>
        <w:ind w:left="426" w:hanging="568"/>
        <w:contextualSpacing/>
        <w:jc w:val="both"/>
        <w:outlineLvl w:val="0"/>
        <w:rPr>
          <w:rFonts w:ascii="Lato" w:hAnsi="Lato"/>
          <w:b/>
          <w:color w:val="000000" w:themeColor="text1"/>
          <w:sz w:val="36"/>
          <w:szCs w:val="22"/>
        </w:rPr>
      </w:pPr>
      <w:bookmarkStart w:id="14" w:name="_Toc514072284"/>
      <w:r w:rsidRPr="00AA22C4">
        <w:rPr>
          <w:rFonts w:ascii="Lato" w:hAnsi="Lato"/>
          <w:b/>
          <w:color w:val="000000" w:themeColor="text1"/>
          <w:sz w:val="36"/>
          <w:szCs w:val="22"/>
        </w:rPr>
        <w:lastRenderedPageBreak/>
        <w:t>Charakterystyka populacji docelowej oraz interwencji</w:t>
      </w:r>
      <w:bookmarkEnd w:id="14"/>
      <w:r w:rsidRPr="00AA22C4">
        <w:rPr>
          <w:rFonts w:ascii="Lato" w:hAnsi="Lato"/>
          <w:b/>
          <w:color w:val="000000" w:themeColor="text1"/>
          <w:sz w:val="36"/>
          <w:szCs w:val="22"/>
        </w:rPr>
        <w:t xml:space="preserve"> </w:t>
      </w:r>
    </w:p>
    <w:p w14:paraId="56B64690" w14:textId="77777777" w:rsidR="005E347E" w:rsidRPr="00AA22C4" w:rsidRDefault="005E347E" w:rsidP="00AC00F4">
      <w:pPr>
        <w:pStyle w:val="Tekstprzypisudolnego"/>
        <w:numPr>
          <w:ilvl w:val="1"/>
          <w:numId w:val="1"/>
        </w:numPr>
        <w:spacing w:before="240" w:after="120"/>
        <w:ind w:left="992" w:hanging="992"/>
        <w:jc w:val="both"/>
        <w:outlineLvl w:val="1"/>
        <w:rPr>
          <w:rFonts w:ascii="Lato" w:hAnsi="Lato"/>
          <w:b/>
          <w:color w:val="000000" w:themeColor="text1"/>
          <w:sz w:val="28"/>
          <w:szCs w:val="22"/>
        </w:rPr>
      </w:pPr>
      <w:bookmarkStart w:id="15" w:name="_Toc514072285"/>
      <w:r w:rsidRPr="00AA22C4">
        <w:rPr>
          <w:rFonts w:ascii="Lato" w:hAnsi="Lato"/>
          <w:b/>
          <w:color w:val="000000" w:themeColor="text1"/>
          <w:sz w:val="28"/>
          <w:szCs w:val="22"/>
        </w:rPr>
        <w:t>Populacja docelowa</w:t>
      </w:r>
      <w:bookmarkEnd w:id="15"/>
    </w:p>
    <w:p w14:paraId="29BDED03" w14:textId="0423D6F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Program polityki zdrowotnej pn. </w:t>
      </w:r>
      <w:r w:rsidRPr="00AA22C4">
        <w:rPr>
          <w:rFonts w:ascii="Lato" w:hAnsi="Lato"/>
          <w:i/>
          <w:iCs/>
          <w:color w:val="000000" w:themeColor="text1"/>
          <w:sz w:val="22"/>
          <w:szCs w:val="22"/>
        </w:rPr>
        <w:t xml:space="preserve">Rządowy </w:t>
      </w:r>
      <w:r w:rsidRPr="00AA22C4">
        <w:rPr>
          <w:rFonts w:ascii="Lato" w:hAnsi="Lato"/>
          <w:i/>
          <w:color w:val="000000" w:themeColor="text1"/>
          <w:sz w:val="22"/>
          <w:szCs w:val="22"/>
        </w:rPr>
        <w:t>program badań przesiewowych noworodków na lata 2019-2026</w:t>
      </w:r>
      <w:r w:rsidRPr="00AA22C4">
        <w:rPr>
          <w:rFonts w:ascii="Lato" w:hAnsi="Lato"/>
          <w:color w:val="000000" w:themeColor="text1"/>
          <w:sz w:val="22"/>
          <w:szCs w:val="22"/>
        </w:rPr>
        <w:t>, podobnie jak poprzednie edycje, jest skierowany do wszystkich dzieci urodzonych w Rzecz</w:t>
      </w:r>
      <w:r w:rsidR="007A48CA" w:rsidRPr="00AA22C4">
        <w:rPr>
          <w:rFonts w:ascii="Lato" w:hAnsi="Lato"/>
          <w:color w:val="000000" w:themeColor="text1"/>
          <w:sz w:val="22"/>
          <w:szCs w:val="22"/>
        </w:rPr>
        <w:t>y</w:t>
      </w:r>
      <w:r w:rsidRPr="00AA22C4">
        <w:rPr>
          <w:rFonts w:ascii="Lato" w:hAnsi="Lato"/>
          <w:color w:val="000000" w:themeColor="text1"/>
          <w:sz w:val="22"/>
          <w:szCs w:val="22"/>
        </w:rPr>
        <w:t xml:space="preserve">pospolitej Polskiej, bez względu na narodowość opiekunów prawnych oraz status ubezpieczenia. </w:t>
      </w:r>
    </w:p>
    <w:p w14:paraId="763A58BD" w14:textId="3A3BD736" w:rsidR="005E347E" w:rsidRPr="00AA22C4" w:rsidRDefault="005E347E" w:rsidP="00AC00F4">
      <w:pPr>
        <w:pStyle w:val="Tekstprzypisudolnego"/>
        <w:spacing w:before="120" w:after="120"/>
        <w:jc w:val="both"/>
        <w:outlineLvl w:val="1"/>
        <w:rPr>
          <w:rFonts w:ascii="Lato" w:hAnsi="Lato"/>
          <w:color w:val="000000" w:themeColor="text1"/>
          <w:sz w:val="22"/>
          <w:szCs w:val="22"/>
        </w:rPr>
      </w:pPr>
      <w:r w:rsidRPr="00AA22C4">
        <w:rPr>
          <w:rFonts w:ascii="Lato" w:hAnsi="Lato"/>
          <w:color w:val="000000" w:themeColor="text1"/>
          <w:sz w:val="22"/>
          <w:szCs w:val="22"/>
        </w:rPr>
        <w:t xml:space="preserve">Liczba dzieci objętych badaniami przesiewowymi w głównej mierze jest uzależniona od liczby urodzeń w danym roku. </w:t>
      </w:r>
      <w:r w:rsidR="00AC00F4" w:rsidRPr="00AA22C4">
        <w:rPr>
          <w:rFonts w:ascii="Lato" w:hAnsi="Lato"/>
          <w:color w:val="000000" w:themeColor="text1"/>
          <w:sz w:val="22"/>
          <w:szCs w:val="22"/>
        </w:rPr>
        <w:t xml:space="preserve">W Programie pierwotnie założono, że w każdym roku, tj. od 2019 r. do 2026 r. Program obejmie ok. 350 tys. dzieci – łącznie ok. 2,8 mln noworodków. </w:t>
      </w:r>
      <w:bookmarkStart w:id="16" w:name="_Toc514072286"/>
      <w:r w:rsidR="00CB169B" w:rsidRPr="00AA22C4">
        <w:rPr>
          <w:rFonts w:ascii="Lato" w:hAnsi="Lato"/>
          <w:color w:val="000000" w:themeColor="text1"/>
          <w:sz w:val="22"/>
          <w:szCs w:val="22"/>
        </w:rPr>
        <w:t xml:space="preserve"> </w:t>
      </w:r>
      <w:r w:rsidR="00A86B71" w:rsidRPr="00AA22C4">
        <w:rPr>
          <w:rFonts w:ascii="Lato" w:hAnsi="Lato"/>
          <w:color w:val="000000" w:themeColor="text1"/>
          <w:sz w:val="22"/>
          <w:szCs w:val="22"/>
        </w:rPr>
        <w:t>Następnie</w:t>
      </w:r>
      <w:r w:rsidRPr="00AA22C4">
        <w:rPr>
          <w:rFonts w:ascii="Lato" w:hAnsi="Lato"/>
          <w:color w:val="000000" w:themeColor="text1"/>
          <w:sz w:val="22"/>
          <w:szCs w:val="22"/>
        </w:rPr>
        <w:t xml:space="preserve"> zaktualizowano założenia dla lat 2023-2026, w których przyjęto liczbę urodzeń w tych latach na poziomie 275 tys. </w:t>
      </w:r>
      <w:r w:rsidR="003A4704" w:rsidRPr="00AA22C4">
        <w:rPr>
          <w:rFonts w:ascii="Lato" w:hAnsi="Lato"/>
          <w:color w:val="000000" w:themeColor="text1"/>
          <w:sz w:val="22"/>
          <w:szCs w:val="22"/>
        </w:rPr>
        <w:t>Z uwagi na dalsz</w:t>
      </w:r>
      <w:r w:rsidR="00F01334" w:rsidRPr="00AA22C4">
        <w:rPr>
          <w:rFonts w:ascii="Lato" w:hAnsi="Lato"/>
          <w:color w:val="000000" w:themeColor="text1"/>
          <w:sz w:val="22"/>
          <w:szCs w:val="22"/>
        </w:rPr>
        <w:t>ą</w:t>
      </w:r>
      <w:r w:rsidR="003A4704" w:rsidRPr="00AA22C4">
        <w:rPr>
          <w:rFonts w:ascii="Lato" w:hAnsi="Lato"/>
          <w:color w:val="000000" w:themeColor="text1"/>
          <w:sz w:val="22"/>
          <w:szCs w:val="22"/>
        </w:rPr>
        <w:t xml:space="preserve"> tendencję spadkową liczby urodzeń w Polsce, </w:t>
      </w:r>
      <w:r w:rsidR="00A86B71" w:rsidRPr="00AA22C4">
        <w:rPr>
          <w:rFonts w:ascii="Lato" w:hAnsi="Lato"/>
          <w:color w:val="000000" w:themeColor="text1"/>
          <w:sz w:val="22"/>
          <w:szCs w:val="22"/>
        </w:rPr>
        <w:t>wskaźnik ten dla</w:t>
      </w:r>
      <w:r w:rsidR="003A4704" w:rsidRPr="00AA22C4">
        <w:rPr>
          <w:rFonts w:ascii="Lato" w:hAnsi="Lato"/>
          <w:color w:val="000000" w:themeColor="text1"/>
          <w:sz w:val="22"/>
          <w:szCs w:val="22"/>
        </w:rPr>
        <w:t xml:space="preserve"> lat 2025-2026 </w:t>
      </w:r>
      <w:r w:rsidR="000F25FD" w:rsidRPr="00AA22C4">
        <w:rPr>
          <w:rFonts w:ascii="Lato" w:hAnsi="Lato"/>
          <w:color w:val="000000" w:themeColor="text1"/>
          <w:sz w:val="22"/>
          <w:szCs w:val="22"/>
        </w:rPr>
        <w:t xml:space="preserve">ustalono ostatecznie na poziomie </w:t>
      </w:r>
      <w:r w:rsidR="003A4704" w:rsidRPr="00AA22C4">
        <w:rPr>
          <w:rFonts w:ascii="Lato" w:hAnsi="Lato"/>
          <w:color w:val="000000" w:themeColor="text1"/>
          <w:sz w:val="22"/>
          <w:szCs w:val="22"/>
        </w:rPr>
        <w:t>251 tys.</w:t>
      </w:r>
      <w:r w:rsidR="00CB169B" w:rsidRPr="00AA22C4">
        <w:rPr>
          <w:rFonts w:ascii="Lato" w:hAnsi="Lato"/>
          <w:color w:val="000000" w:themeColor="text1"/>
          <w:sz w:val="22"/>
          <w:szCs w:val="22"/>
        </w:rPr>
        <w:t xml:space="preserve"> </w:t>
      </w:r>
    </w:p>
    <w:p w14:paraId="376B43E5" w14:textId="77777777" w:rsidR="005E347E" w:rsidRPr="00AA22C4" w:rsidRDefault="005E347E" w:rsidP="005E347E">
      <w:pPr>
        <w:pStyle w:val="Tekstprzypisudolnego"/>
        <w:numPr>
          <w:ilvl w:val="1"/>
          <w:numId w:val="1"/>
        </w:numPr>
        <w:spacing w:before="120" w:after="120"/>
        <w:ind w:left="709" w:hanging="709"/>
        <w:jc w:val="both"/>
        <w:outlineLvl w:val="1"/>
        <w:rPr>
          <w:rFonts w:ascii="Lato" w:hAnsi="Lato"/>
          <w:b/>
          <w:color w:val="000000" w:themeColor="text1"/>
          <w:sz w:val="28"/>
          <w:szCs w:val="28"/>
        </w:rPr>
      </w:pPr>
      <w:r w:rsidRPr="00AA22C4">
        <w:rPr>
          <w:rFonts w:ascii="Lato" w:hAnsi="Lato"/>
          <w:b/>
          <w:color w:val="000000" w:themeColor="text1"/>
          <w:sz w:val="28"/>
          <w:szCs w:val="28"/>
        </w:rPr>
        <w:t>Kryteria kwalifikacji do udziału w programie polityki zdrowotnej oraz kryteria wyłączenia z programu polityki zdrowotnej</w:t>
      </w:r>
      <w:bookmarkEnd w:id="16"/>
    </w:p>
    <w:p w14:paraId="29187E23"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Każdy opiekun prawny dziecka przed wykonaniem badania zostanie poinformowany przez personel medyczny o planowanych badaniach przesiewowych i otrzyma ulotkę informacyjną na ten temat. W ramach działań promocyjnych, na każdy oddział położniczo-ginekologiczny zostaną dostarczone materiały promocyjno-informujące (ulotki i plakat) o Programie i jego założeniach. </w:t>
      </w:r>
    </w:p>
    <w:p w14:paraId="2BABC54E"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Kryterium włączającym do udziału w Programie jest urodzenie dziecka w Polsce. Podejmowane interwencje w ramach Programu przewidują objęcie badaniem w pierwszych dobach życia każdego dziecka.</w:t>
      </w:r>
    </w:p>
    <w:p w14:paraId="77BD0AD6"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Kryterium wyłączającym z udziału w Programie jest brak zgody na wykonanie badania przesiewowego wyrażonego na piśmie przez matkę/opiekuna prawnego dziecka. </w:t>
      </w:r>
    </w:p>
    <w:p w14:paraId="2A55BB37" w14:textId="77777777" w:rsidR="005E347E" w:rsidRPr="00AA22C4" w:rsidRDefault="005E347E" w:rsidP="005E347E">
      <w:pPr>
        <w:pStyle w:val="Tekstprzypisudolnego"/>
        <w:numPr>
          <w:ilvl w:val="1"/>
          <w:numId w:val="1"/>
        </w:numPr>
        <w:spacing w:before="120" w:after="120"/>
        <w:ind w:left="709" w:hanging="709"/>
        <w:jc w:val="both"/>
        <w:outlineLvl w:val="1"/>
        <w:rPr>
          <w:rFonts w:ascii="Lato" w:hAnsi="Lato"/>
          <w:b/>
          <w:color w:val="000000" w:themeColor="text1"/>
          <w:sz w:val="28"/>
          <w:szCs w:val="22"/>
        </w:rPr>
      </w:pPr>
      <w:bookmarkStart w:id="17" w:name="_Toc514072287"/>
      <w:r w:rsidRPr="00AA22C4">
        <w:rPr>
          <w:rFonts w:ascii="Lato" w:hAnsi="Lato"/>
          <w:b/>
          <w:color w:val="000000" w:themeColor="text1"/>
          <w:sz w:val="28"/>
          <w:szCs w:val="22"/>
        </w:rPr>
        <w:t>Planowane interwencje</w:t>
      </w:r>
      <w:bookmarkEnd w:id="17"/>
    </w:p>
    <w:p w14:paraId="35FBF00B"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 xml:space="preserve">W ramach Programu są planowane następujące interwencje: </w:t>
      </w:r>
    </w:p>
    <w:p w14:paraId="1D349F47" w14:textId="77777777" w:rsidR="005E347E" w:rsidRPr="00AA22C4" w:rsidRDefault="005E347E" w:rsidP="005E347E">
      <w:pPr>
        <w:pStyle w:val="Tekstprzypisudolnego"/>
        <w:numPr>
          <w:ilvl w:val="0"/>
          <w:numId w:val="23"/>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 xml:space="preserve">badania przesiewowe w kierunku: </w:t>
      </w:r>
    </w:p>
    <w:p w14:paraId="06CF3300" w14:textId="77777777" w:rsidR="005E347E" w:rsidRPr="00AA22C4" w:rsidRDefault="005E347E" w:rsidP="005E347E">
      <w:pPr>
        <w:pStyle w:val="Tekstprzypisudolnego"/>
        <w:numPr>
          <w:ilvl w:val="0"/>
          <w:numId w:val="2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wrodzonej niedoczynności tarczycy,</w:t>
      </w:r>
    </w:p>
    <w:p w14:paraId="55E4300F" w14:textId="77777777" w:rsidR="005E347E" w:rsidRPr="00AA22C4" w:rsidRDefault="005E347E" w:rsidP="005E347E">
      <w:pPr>
        <w:pStyle w:val="Tekstprzypisudolnego"/>
        <w:numPr>
          <w:ilvl w:val="0"/>
          <w:numId w:val="2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fenyloketonurii,</w:t>
      </w:r>
    </w:p>
    <w:p w14:paraId="2E149DF8" w14:textId="77777777" w:rsidR="005E347E" w:rsidRPr="00AA22C4" w:rsidRDefault="005E347E" w:rsidP="005E347E">
      <w:pPr>
        <w:pStyle w:val="Tekstprzypisudolnego"/>
        <w:numPr>
          <w:ilvl w:val="0"/>
          <w:numId w:val="2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mukowiscydozy,</w:t>
      </w:r>
    </w:p>
    <w:p w14:paraId="67FD09DC" w14:textId="77777777" w:rsidR="005E347E" w:rsidRPr="00AA22C4" w:rsidRDefault="005E347E" w:rsidP="005E347E">
      <w:pPr>
        <w:pStyle w:val="Tekstprzypisudolnego"/>
        <w:numPr>
          <w:ilvl w:val="0"/>
          <w:numId w:val="2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rzadkich wad metabolizmu – MS/MS,</w:t>
      </w:r>
    </w:p>
    <w:p w14:paraId="717023CC" w14:textId="77777777" w:rsidR="005E347E" w:rsidRPr="00AA22C4" w:rsidRDefault="005E347E" w:rsidP="005E347E">
      <w:pPr>
        <w:pStyle w:val="Tekstprzypisudolnego"/>
        <w:numPr>
          <w:ilvl w:val="0"/>
          <w:numId w:val="2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lastRenderedPageBreak/>
        <w:t>wrodzonego przerostu nadnerczy,</w:t>
      </w:r>
    </w:p>
    <w:p w14:paraId="761A3202" w14:textId="77777777" w:rsidR="005E347E" w:rsidRPr="00AA22C4" w:rsidRDefault="005E347E" w:rsidP="005E347E">
      <w:pPr>
        <w:pStyle w:val="Tekstprzypisudolnego"/>
        <w:numPr>
          <w:ilvl w:val="0"/>
          <w:numId w:val="2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rdzeniowego zaniku mięśni,</w:t>
      </w:r>
    </w:p>
    <w:p w14:paraId="65FD5BF4" w14:textId="358783F9" w:rsidR="005E347E" w:rsidRPr="00AA22C4" w:rsidRDefault="005E347E" w:rsidP="005E347E">
      <w:pPr>
        <w:pStyle w:val="Tekstprzypisudolnego"/>
        <w:numPr>
          <w:ilvl w:val="0"/>
          <w:numId w:val="24"/>
        </w:numPr>
        <w:spacing w:before="120" w:after="120"/>
        <w:ind w:left="1077" w:hanging="357"/>
        <w:jc w:val="both"/>
        <w:rPr>
          <w:rFonts w:ascii="Lato" w:hAnsi="Lato"/>
          <w:color w:val="000000" w:themeColor="text1"/>
          <w:sz w:val="22"/>
          <w:szCs w:val="22"/>
        </w:rPr>
      </w:pPr>
      <w:r w:rsidRPr="00AA22C4">
        <w:rPr>
          <w:rFonts w:ascii="Lato" w:hAnsi="Lato"/>
          <w:color w:val="000000" w:themeColor="text1"/>
          <w:sz w:val="22"/>
          <w:szCs w:val="22"/>
        </w:rPr>
        <w:t>deficytu biotynidazy</w:t>
      </w:r>
      <w:r w:rsidR="008D0493" w:rsidRPr="00AA22C4">
        <w:rPr>
          <w:rFonts w:ascii="Lato" w:hAnsi="Lato"/>
          <w:color w:val="000000" w:themeColor="text1"/>
          <w:sz w:val="22"/>
          <w:szCs w:val="22"/>
        </w:rPr>
        <w:t>;</w:t>
      </w:r>
    </w:p>
    <w:p w14:paraId="43BD88C4" w14:textId="77777777" w:rsidR="00775DDD" w:rsidRPr="00AA22C4" w:rsidRDefault="00775DDD" w:rsidP="00753289">
      <w:pPr>
        <w:pStyle w:val="Tekstprzypisudolnego"/>
        <w:numPr>
          <w:ilvl w:val="0"/>
          <w:numId w:val="23"/>
        </w:numPr>
        <w:spacing w:before="120" w:after="120"/>
        <w:jc w:val="both"/>
        <w:rPr>
          <w:rFonts w:ascii="Lato" w:hAnsi="Lato"/>
          <w:color w:val="000000" w:themeColor="text1"/>
          <w:sz w:val="22"/>
          <w:szCs w:val="22"/>
        </w:rPr>
      </w:pPr>
      <w:r w:rsidRPr="00AA22C4">
        <w:rPr>
          <w:rFonts w:ascii="Lato" w:hAnsi="Lato"/>
          <w:color w:val="000000" w:themeColor="text1"/>
          <w:sz w:val="22"/>
          <w:szCs w:val="22"/>
        </w:rPr>
        <w:t>badania przesiewowe pilotażowe w kierunku:</w:t>
      </w:r>
    </w:p>
    <w:p w14:paraId="59349AF9" w14:textId="1C950CF5" w:rsidR="00775DDD" w:rsidRPr="00AA22C4" w:rsidRDefault="008501D7" w:rsidP="00753289">
      <w:pPr>
        <w:pStyle w:val="Tekstprzypisudolnego"/>
        <w:numPr>
          <w:ilvl w:val="0"/>
          <w:numId w:val="113"/>
        </w:numPr>
        <w:spacing w:before="120" w:after="120" w:line="276" w:lineRule="auto"/>
        <w:jc w:val="both"/>
        <w:rPr>
          <w:rFonts w:ascii="Lato" w:hAnsi="Lato"/>
          <w:color w:val="000000" w:themeColor="text1"/>
          <w:sz w:val="22"/>
          <w:szCs w:val="22"/>
        </w:rPr>
      </w:pPr>
      <w:r w:rsidRPr="00AA22C4">
        <w:rPr>
          <w:rFonts w:ascii="Lato" w:hAnsi="Lato"/>
          <w:color w:val="000000" w:themeColor="text1"/>
          <w:sz w:val="22"/>
          <w:szCs w:val="22"/>
        </w:rPr>
        <w:t>ciężkich złożonych niedoborów odporności (SCID)</w:t>
      </w:r>
      <w:r w:rsidR="00A3141C" w:rsidRPr="00AA22C4">
        <w:rPr>
          <w:rFonts w:ascii="Lato" w:hAnsi="Lato"/>
          <w:color w:val="000000" w:themeColor="text1"/>
          <w:sz w:val="22"/>
          <w:szCs w:val="22"/>
        </w:rPr>
        <w:t>,</w:t>
      </w:r>
    </w:p>
    <w:p w14:paraId="522A1F24" w14:textId="1934638F" w:rsidR="008501D7" w:rsidRPr="00AA22C4" w:rsidRDefault="008501D7" w:rsidP="00753289">
      <w:pPr>
        <w:pStyle w:val="Tekstprzypisudolnego"/>
        <w:numPr>
          <w:ilvl w:val="0"/>
          <w:numId w:val="113"/>
        </w:numPr>
        <w:spacing w:before="120" w:after="120" w:line="276" w:lineRule="auto"/>
        <w:jc w:val="both"/>
        <w:rPr>
          <w:rFonts w:ascii="Lato" w:hAnsi="Lato"/>
          <w:color w:val="000000" w:themeColor="text1"/>
          <w:sz w:val="22"/>
          <w:szCs w:val="22"/>
        </w:rPr>
      </w:pPr>
      <w:r w:rsidRPr="00AA22C4">
        <w:rPr>
          <w:rFonts w:ascii="Lato" w:hAnsi="Lato"/>
          <w:color w:val="000000" w:themeColor="text1"/>
          <w:sz w:val="22"/>
          <w:szCs w:val="22"/>
        </w:rPr>
        <w:t>galaktozemii</w:t>
      </w:r>
      <w:r w:rsidR="00A3141C" w:rsidRPr="00AA22C4">
        <w:rPr>
          <w:rFonts w:ascii="Lato" w:hAnsi="Lato"/>
          <w:color w:val="000000" w:themeColor="text1"/>
          <w:sz w:val="22"/>
          <w:szCs w:val="22"/>
        </w:rPr>
        <w:t>,</w:t>
      </w:r>
    </w:p>
    <w:p w14:paraId="34F99C5E" w14:textId="4BE9FE1A" w:rsidR="008501D7" w:rsidRPr="00AA22C4" w:rsidRDefault="008501D7" w:rsidP="00753289">
      <w:pPr>
        <w:pStyle w:val="Tekstprzypisudolnego"/>
        <w:numPr>
          <w:ilvl w:val="0"/>
          <w:numId w:val="113"/>
        </w:numPr>
        <w:spacing w:before="120" w:after="120" w:line="276" w:lineRule="auto"/>
        <w:jc w:val="both"/>
        <w:rPr>
          <w:rFonts w:ascii="Lato" w:hAnsi="Lato"/>
          <w:color w:val="000000" w:themeColor="text1"/>
          <w:sz w:val="22"/>
          <w:szCs w:val="22"/>
        </w:rPr>
      </w:pPr>
      <w:r w:rsidRPr="00AA22C4">
        <w:rPr>
          <w:rFonts w:ascii="Lato" w:hAnsi="Lato"/>
          <w:color w:val="000000" w:themeColor="text1"/>
          <w:sz w:val="22"/>
          <w:szCs w:val="22"/>
        </w:rPr>
        <w:t xml:space="preserve">choroby </w:t>
      </w:r>
      <w:proofErr w:type="spellStart"/>
      <w:r w:rsidRPr="00AA22C4">
        <w:rPr>
          <w:rFonts w:ascii="Lato" w:hAnsi="Lato"/>
          <w:color w:val="000000" w:themeColor="text1"/>
          <w:sz w:val="22"/>
          <w:szCs w:val="22"/>
        </w:rPr>
        <w:t>Pompe’go</w:t>
      </w:r>
      <w:proofErr w:type="spellEnd"/>
      <w:r w:rsidR="00A3141C" w:rsidRPr="00AA22C4">
        <w:rPr>
          <w:rFonts w:ascii="Lato" w:hAnsi="Lato"/>
          <w:color w:val="000000" w:themeColor="text1"/>
          <w:sz w:val="22"/>
          <w:szCs w:val="22"/>
        </w:rPr>
        <w:t>,</w:t>
      </w:r>
    </w:p>
    <w:p w14:paraId="66F09864" w14:textId="7CC1CE71" w:rsidR="008501D7" w:rsidRPr="00AA22C4" w:rsidRDefault="008501D7" w:rsidP="00753289">
      <w:pPr>
        <w:pStyle w:val="Tekstprzypisudolnego"/>
        <w:numPr>
          <w:ilvl w:val="0"/>
          <w:numId w:val="113"/>
        </w:numPr>
        <w:spacing w:before="120" w:after="120" w:line="276" w:lineRule="auto"/>
        <w:jc w:val="both"/>
        <w:rPr>
          <w:rFonts w:ascii="Lato" w:hAnsi="Lato"/>
          <w:color w:val="000000" w:themeColor="text1"/>
          <w:sz w:val="22"/>
          <w:szCs w:val="22"/>
        </w:rPr>
      </w:pPr>
      <w:r w:rsidRPr="00AA22C4">
        <w:rPr>
          <w:rFonts w:ascii="Lato" w:hAnsi="Lato"/>
          <w:color w:val="000000" w:themeColor="text1"/>
          <w:sz w:val="22"/>
          <w:szCs w:val="22"/>
        </w:rPr>
        <w:t xml:space="preserve">choroby </w:t>
      </w:r>
      <w:proofErr w:type="spellStart"/>
      <w:r w:rsidRPr="00AA22C4">
        <w:rPr>
          <w:rFonts w:ascii="Lato" w:hAnsi="Lato"/>
          <w:color w:val="000000" w:themeColor="text1"/>
          <w:sz w:val="22"/>
          <w:szCs w:val="22"/>
        </w:rPr>
        <w:t>Fabry’ego</w:t>
      </w:r>
      <w:proofErr w:type="spellEnd"/>
      <w:r w:rsidR="00A3141C" w:rsidRPr="00AA22C4">
        <w:rPr>
          <w:rFonts w:ascii="Lato" w:hAnsi="Lato"/>
          <w:color w:val="000000" w:themeColor="text1"/>
          <w:sz w:val="22"/>
          <w:szCs w:val="22"/>
        </w:rPr>
        <w:t>,</w:t>
      </w:r>
    </w:p>
    <w:p w14:paraId="371310CA" w14:textId="38A226A7" w:rsidR="008501D7" w:rsidRPr="00AA22C4" w:rsidRDefault="008501D7" w:rsidP="00753289">
      <w:pPr>
        <w:pStyle w:val="Tekstprzypisudolnego"/>
        <w:numPr>
          <w:ilvl w:val="0"/>
          <w:numId w:val="113"/>
        </w:numPr>
        <w:spacing w:before="120" w:after="120" w:line="276" w:lineRule="auto"/>
        <w:jc w:val="both"/>
        <w:rPr>
          <w:rFonts w:ascii="Lato" w:hAnsi="Lato"/>
          <w:color w:val="000000" w:themeColor="text1"/>
          <w:sz w:val="22"/>
          <w:szCs w:val="22"/>
        </w:rPr>
      </w:pPr>
      <w:r w:rsidRPr="00AA22C4">
        <w:rPr>
          <w:rFonts w:ascii="Lato" w:hAnsi="Lato"/>
          <w:color w:val="000000" w:themeColor="text1"/>
          <w:sz w:val="22"/>
          <w:szCs w:val="22"/>
        </w:rPr>
        <w:t xml:space="preserve">choroby </w:t>
      </w:r>
      <w:proofErr w:type="spellStart"/>
      <w:r w:rsidRPr="00AA22C4">
        <w:rPr>
          <w:rFonts w:ascii="Lato" w:hAnsi="Lato"/>
          <w:color w:val="000000" w:themeColor="text1"/>
          <w:sz w:val="22"/>
          <w:szCs w:val="22"/>
        </w:rPr>
        <w:t>Gaucher’a</w:t>
      </w:r>
      <w:proofErr w:type="spellEnd"/>
      <w:r w:rsidR="00A3141C" w:rsidRPr="00AA22C4">
        <w:rPr>
          <w:rFonts w:ascii="Lato" w:hAnsi="Lato"/>
          <w:color w:val="000000" w:themeColor="text1"/>
          <w:sz w:val="22"/>
          <w:szCs w:val="22"/>
        </w:rPr>
        <w:t>,</w:t>
      </w:r>
    </w:p>
    <w:p w14:paraId="7177F4C4" w14:textId="7E64681A" w:rsidR="008501D7" w:rsidRPr="00AA22C4" w:rsidRDefault="008501D7" w:rsidP="00753289">
      <w:pPr>
        <w:pStyle w:val="Tekstprzypisudolnego"/>
        <w:numPr>
          <w:ilvl w:val="0"/>
          <w:numId w:val="113"/>
        </w:numPr>
        <w:spacing w:before="120" w:after="120" w:line="276" w:lineRule="auto"/>
        <w:jc w:val="both"/>
        <w:rPr>
          <w:rFonts w:ascii="Lato" w:hAnsi="Lato"/>
          <w:color w:val="000000" w:themeColor="text1"/>
          <w:sz w:val="22"/>
          <w:szCs w:val="22"/>
        </w:rPr>
      </w:pPr>
      <w:proofErr w:type="spellStart"/>
      <w:r w:rsidRPr="00AA22C4">
        <w:rPr>
          <w:rFonts w:ascii="Lato" w:hAnsi="Lato"/>
          <w:color w:val="000000" w:themeColor="text1"/>
          <w:sz w:val="22"/>
          <w:szCs w:val="22"/>
        </w:rPr>
        <w:t>mukopolisacharydozy</w:t>
      </w:r>
      <w:proofErr w:type="spellEnd"/>
      <w:r w:rsidRPr="00AA22C4">
        <w:rPr>
          <w:rFonts w:ascii="Lato" w:hAnsi="Lato"/>
          <w:color w:val="000000" w:themeColor="text1"/>
          <w:sz w:val="22"/>
          <w:szCs w:val="22"/>
        </w:rPr>
        <w:t xml:space="preserve"> I</w:t>
      </w:r>
      <w:r w:rsidR="00A3141C" w:rsidRPr="00AA22C4">
        <w:rPr>
          <w:rFonts w:ascii="Lato" w:hAnsi="Lato"/>
          <w:color w:val="000000" w:themeColor="text1"/>
          <w:sz w:val="22"/>
          <w:szCs w:val="22"/>
        </w:rPr>
        <w:t>,</w:t>
      </w:r>
    </w:p>
    <w:p w14:paraId="534E3CAF" w14:textId="21B2C7F3" w:rsidR="00374E04" w:rsidRPr="00AA22C4" w:rsidRDefault="000E38C7" w:rsidP="007417D0">
      <w:pPr>
        <w:spacing w:before="360" w:after="120"/>
        <w:ind w:left="1080"/>
        <w:rPr>
          <w:rFonts w:ascii="Lato" w:hAnsi="Lato"/>
          <w:color w:val="000000" w:themeColor="text1"/>
          <w:sz w:val="22"/>
          <w:szCs w:val="22"/>
          <w:u w:val="single"/>
        </w:rPr>
      </w:pPr>
      <w:r w:rsidRPr="00AA22C4">
        <w:rPr>
          <w:rFonts w:ascii="Lato" w:hAnsi="Lato"/>
          <w:color w:val="000000" w:themeColor="text1"/>
          <w:sz w:val="22"/>
          <w:szCs w:val="22"/>
          <w:u w:val="single"/>
        </w:rPr>
        <w:t xml:space="preserve">ad. </w:t>
      </w:r>
      <w:r w:rsidR="007417D0">
        <w:rPr>
          <w:rFonts w:ascii="Lato" w:hAnsi="Lato"/>
          <w:color w:val="000000" w:themeColor="text1"/>
          <w:sz w:val="22"/>
          <w:szCs w:val="22"/>
          <w:u w:val="single"/>
        </w:rPr>
        <w:t xml:space="preserve">2 </w:t>
      </w:r>
      <w:r w:rsidRPr="009038E8">
        <w:rPr>
          <w:rFonts w:ascii="Lato" w:hAnsi="Lato"/>
          <w:color w:val="000000" w:themeColor="text1"/>
          <w:sz w:val="22"/>
          <w:szCs w:val="22"/>
          <w:u w:val="single"/>
        </w:rPr>
        <w:t>a) Ciężkie złożone niedobory odporności (SCID</w:t>
      </w:r>
      <w:r w:rsidR="00E264F9" w:rsidRPr="009038E8">
        <w:rPr>
          <w:rFonts w:ascii="Lato" w:hAnsi="Lato"/>
          <w:color w:val="000000" w:themeColor="text1"/>
          <w:sz w:val="22"/>
          <w:szCs w:val="22"/>
          <w:u w:val="single"/>
        </w:rPr>
        <w:t>)</w:t>
      </w:r>
      <w:r w:rsidRPr="00AA22C4">
        <w:rPr>
          <w:rFonts w:ascii="Lato" w:hAnsi="Lato"/>
          <w:color w:val="000000" w:themeColor="text1"/>
          <w:sz w:val="22"/>
          <w:szCs w:val="22"/>
          <w:u w:val="single"/>
        </w:rPr>
        <w:t xml:space="preserve"> </w:t>
      </w:r>
    </w:p>
    <w:p w14:paraId="4F06A719" w14:textId="58C0A1F5" w:rsidR="00374E04" w:rsidRPr="00AA22C4" w:rsidRDefault="00374E04" w:rsidP="007417D0">
      <w:pPr>
        <w:ind w:left="1080"/>
        <w:jc w:val="both"/>
        <w:rPr>
          <w:rFonts w:ascii="Lato" w:hAnsi="Lato"/>
          <w:color w:val="000000" w:themeColor="text1"/>
          <w:sz w:val="22"/>
          <w:szCs w:val="22"/>
        </w:rPr>
      </w:pPr>
      <w:r w:rsidRPr="00AA22C4">
        <w:rPr>
          <w:rFonts w:ascii="Lato" w:hAnsi="Lato"/>
          <w:color w:val="000000" w:themeColor="text1"/>
          <w:sz w:val="22"/>
          <w:szCs w:val="22"/>
        </w:rPr>
        <w:t xml:space="preserve">Planowane jest wprowadzenie podwójnego testu obejmującego </w:t>
      </w:r>
      <w:r w:rsidR="00E54BD3" w:rsidRPr="00AA22C4">
        <w:rPr>
          <w:rFonts w:ascii="Lato" w:hAnsi="Lato"/>
          <w:color w:val="000000" w:themeColor="text1"/>
          <w:sz w:val="22"/>
          <w:szCs w:val="22"/>
        </w:rPr>
        <w:t>SCID i SMA</w:t>
      </w:r>
      <w:r w:rsidRPr="00AA22C4">
        <w:rPr>
          <w:rFonts w:ascii="Lato" w:hAnsi="Lato"/>
          <w:color w:val="000000" w:themeColor="text1"/>
          <w:sz w:val="22"/>
          <w:szCs w:val="22"/>
        </w:rPr>
        <w:t>.</w:t>
      </w:r>
      <w:r w:rsidR="00753289" w:rsidRPr="00AA22C4">
        <w:rPr>
          <w:rFonts w:ascii="Lato" w:hAnsi="Lato"/>
          <w:color w:val="000000" w:themeColor="text1"/>
          <w:sz w:val="22"/>
          <w:szCs w:val="22"/>
        </w:rPr>
        <w:t xml:space="preserve"> </w:t>
      </w:r>
      <w:r w:rsidRPr="00AA22C4">
        <w:rPr>
          <w:rFonts w:ascii="Lato" w:hAnsi="Lato"/>
          <w:color w:val="000000" w:themeColor="text1"/>
          <w:sz w:val="22"/>
          <w:szCs w:val="22"/>
        </w:rPr>
        <w:t>Walidacja testu podwójnego SMA/SCID jest na tyle zaawansowana, że pozwoli na</w:t>
      </w:r>
      <w:r w:rsidR="00753289" w:rsidRPr="00AA22C4">
        <w:rPr>
          <w:rFonts w:ascii="Lato" w:hAnsi="Lato"/>
          <w:color w:val="000000" w:themeColor="text1"/>
          <w:sz w:val="22"/>
          <w:szCs w:val="22"/>
        </w:rPr>
        <w:t xml:space="preserve"> </w:t>
      </w:r>
      <w:r w:rsidRPr="00AA22C4">
        <w:rPr>
          <w:rFonts w:ascii="Lato" w:hAnsi="Lato"/>
          <w:color w:val="000000" w:themeColor="text1"/>
          <w:sz w:val="22"/>
          <w:szCs w:val="22"/>
        </w:rPr>
        <w:t>wstrzymanie wykonywania badań SMA testem pojedynczym (jak to ma miejsce obecnie</w:t>
      </w:r>
      <w:r w:rsidR="00753289" w:rsidRPr="00AA22C4">
        <w:rPr>
          <w:rFonts w:ascii="Lato" w:hAnsi="Lato"/>
          <w:color w:val="000000" w:themeColor="text1"/>
          <w:sz w:val="22"/>
          <w:szCs w:val="22"/>
        </w:rPr>
        <w:t xml:space="preserve"> </w:t>
      </w:r>
      <w:r w:rsidRPr="00AA22C4">
        <w:rPr>
          <w:rFonts w:ascii="Lato" w:hAnsi="Lato"/>
          <w:color w:val="000000" w:themeColor="text1"/>
          <w:sz w:val="22"/>
          <w:szCs w:val="22"/>
        </w:rPr>
        <w:t xml:space="preserve">w ramach Programu) i w przypadku partii prób krwi testowanej pilotażowo wykonywanie badań zestawem SMA/SCID. Po zakończeniu pilotażu </w:t>
      </w:r>
      <w:r w:rsidR="00ED2EC3" w:rsidRPr="00AA22C4">
        <w:rPr>
          <w:rFonts w:ascii="Lato" w:hAnsi="Lato"/>
          <w:color w:val="000000" w:themeColor="text1"/>
          <w:sz w:val="22"/>
          <w:szCs w:val="22"/>
        </w:rPr>
        <w:t xml:space="preserve">jest </w:t>
      </w:r>
      <w:r w:rsidRPr="00AA22C4">
        <w:rPr>
          <w:rFonts w:ascii="Lato" w:hAnsi="Lato"/>
          <w:color w:val="000000" w:themeColor="text1"/>
          <w:sz w:val="22"/>
          <w:szCs w:val="22"/>
        </w:rPr>
        <w:t>planowane sukcesywne wdrożenie testu SMA/SCID dla całej populacji i zakończenie testowania za pomocą testu pojedynczego.</w:t>
      </w:r>
      <w:r w:rsidR="00ED2EC3" w:rsidRPr="00AA22C4">
        <w:rPr>
          <w:rFonts w:ascii="Lato" w:hAnsi="Lato"/>
          <w:color w:val="000000" w:themeColor="text1"/>
          <w:sz w:val="22"/>
          <w:szCs w:val="22"/>
        </w:rPr>
        <w:t xml:space="preserve"> </w:t>
      </w:r>
    </w:p>
    <w:p w14:paraId="4D45559B" w14:textId="359D977D" w:rsidR="00374E04" w:rsidRPr="00AA22C4" w:rsidRDefault="000E38C7" w:rsidP="007417D0">
      <w:pPr>
        <w:spacing w:before="360" w:after="120"/>
        <w:ind w:left="1080"/>
        <w:rPr>
          <w:rFonts w:ascii="Lato" w:hAnsi="Lato"/>
          <w:color w:val="000000" w:themeColor="text1"/>
          <w:sz w:val="22"/>
          <w:szCs w:val="22"/>
          <w:u w:val="single"/>
        </w:rPr>
      </w:pPr>
      <w:r w:rsidRPr="00AA22C4">
        <w:rPr>
          <w:rFonts w:ascii="Lato" w:hAnsi="Lato"/>
          <w:color w:val="000000" w:themeColor="text1"/>
          <w:sz w:val="22"/>
          <w:szCs w:val="22"/>
          <w:u w:val="single"/>
        </w:rPr>
        <w:t>ad.</w:t>
      </w:r>
      <w:r w:rsidR="007417D0">
        <w:rPr>
          <w:rFonts w:ascii="Lato" w:hAnsi="Lato"/>
          <w:color w:val="000000" w:themeColor="text1"/>
          <w:sz w:val="22"/>
          <w:szCs w:val="22"/>
          <w:u w:val="single"/>
        </w:rPr>
        <w:t xml:space="preserve"> 2</w:t>
      </w:r>
      <w:r w:rsidRPr="00AA22C4">
        <w:rPr>
          <w:rFonts w:ascii="Lato" w:hAnsi="Lato"/>
          <w:color w:val="000000" w:themeColor="text1"/>
          <w:sz w:val="22"/>
          <w:szCs w:val="22"/>
          <w:u w:val="single"/>
        </w:rPr>
        <w:t xml:space="preserve"> b) </w:t>
      </w:r>
      <w:r w:rsidR="00374E04" w:rsidRPr="00AA22C4">
        <w:rPr>
          <w:rFonts w:ascii="Lato" w:hAnsi="Lato"/>
          <w:color w:val="000000" w:themeColor="text1"/>
          <w:sz w:val="22"/>
          <w:szCs w:val="22"/>
          <w:u w:val="single"/>
        </w:rPr>
        <w:t>Galaktozemia</w:t>
      </w:r>
    </w:p>
    <w:p w14:paraId="707A4063" w14:textId="71122884" w:rsidR="00374E04" w:rsidRPr="00AA22C4" w:rsidRDefault="00374E04" w:rsidP="007417D0">
      <w:pPr>
        <w:ind w:left="1080"/>
        <w:jc w:val="both"/>
        <w:rPr>
          <w:rFonts w:ascii="Lato" w:hAnsi="Lato"/>
          <w:color w:val="000000" w:themeColor="text1"/>
          <w:sz w:val="22"/>
          <w:szCs w:val="22"/>
        </w:rPr>
      </w:pPr>
      <w:r w:rsidRPr="00AA22C4">
        <w:rPr>
          <w:rFonts w:ascii="Lato" w:hAnsi="Lato"/>
          <w:color w:val="000000" w:themeColor="text1"/>
          <w:sz w:val="22"/>
          <w:szCs w:val="22"/>
        </w:rPr>
        <w:t>Planowane jest wykorzystanie komercyjnych testów do badania przesiewowego w</w:t>
      </w:r>
      <w:r w:rsidR="00753289" w:rsidRPr="00AA22C4">
        <w:rPr>
          <w:rFonts w:ascii="Lato" w:hAnsi="Lato"/>
          <w:color w:val="000000" w:themeColor="text1"/>
          <w:sz w:val="22"/>
          <w:szCs w:val="22"/>
        </w:rPr>
        <w:t xml:space="preserve"> </w:t>
      </w:r>
      <w:r w:rsidRPr="00AA22C4">
        <w:rPr>
          <w:rFonts w:ascii="Lato" w:hAnsi="Lato"/>
          <w:color w:val="000000" w:themeColor="text1"/>
          <w:sz w:val="22"/>
          <w:szCs w:val="22"/>
        </w:rPr>
        <w:t xml:space="preserve">kierunku galaktozemii – test do oznaczania enzymu GALT oraz całkowitej galaktozy GAL. Oba oznaczenia </w:t>
      </w:r>
      <w:r w:rsidR="00ED2EC3" w:rsidRPr="00AA22C4">
        <w:rPr>
          <w:rFonts w:ascii="Lato" w:hAnsi="Lato"/>
          <w:color w:val="000000" w:themeColor="text1"/>
          <w:sz w:val="22"/>
          <w:szCs w:val="22"/>
        </w:rPr>
        <w:t xml:space="preserve">są </w:t>
      </w:r>
      <w:r w:rsidRPr="00AA22C4">
        <w:rPr>
          <w:rFonts w:ascii="Lato" w:hAnsi="Lato"/>
          <w:color w:val="000000" w:themeColor="text1"/>
          <w:sz w:val="22"/>
          <w:szCs w:val="22"/>
        </w:rPr>
        <w:t>wykorzystywane w celu uzyskania wysokiej czułości specyficzności oraz różnicowania typów galaktozemii.</w:t>
      </w:r>
      <w:r w:rsidR="00ED2EC3" w:rsidRPr="00AA22C4">
        <w:rPr>
          <w:rFonts w:ascii="Lato" w:hAnsi="Lato"/>
          <w:color w:val="000000" w:themeColor="text1"/>
          <w:sz w:val="22"/>
          <w:szCs w:val="22"/>
        </w:rPr>
        <w:t xml:space="preserve"> </w:t>
      </w:r>
    </w:p>
    <w:p w14:paraId="07513E4E" w14:textId="3D3237F6" w:rsidR="00374E04" w:rsidRPr="00AA22C4" w:rsidRDefault="00E54BD3" w:rsidP="007417D0">
      <w:pPr>
        <w:spacing w:before="360" w:after="120"/>
        <w:ind w:left="1080"/>
        <w:rPr>
          <w:rFonts w:ascii="Lato" w:hAnsi="Lato"/>
          <w:color w:val="000000" w:themeColor="text1"/>
          <w:sz w:val="22"/>
          <w:szCs w:val="22"/>
        </w:rPr>
      </w:pPr>
      <w:r w:rsidRPr="007417D0">
        <w:rPr>
          <w:rFonts w:ascii="Lato" w:hAnsi="Lato"/>
          <w:color w:val="000000" w:themeColor="text1"/>
          <w:sz w:val="22"/>
          <w:szCs w:val="22"/>
          <w:u w:val="single"/>
        </w:rPr>
        <w:t xml:space="preserve">ad. </w:t>
      </w:r>
      <w:r w:rsidR="007417D0">
        <w:rPr>
          <w:rFonts w:ascii="Lato" w:hAnsi="Lato"/>
          <w:color w:val="000000" w:themeColor="text1"/>
          <w:sz w:val="22"/>
          <w:szCs w:val="22"/>
          <w:u w:val="single"/>
        </w:rPr>
        <w:t xml:space="preserve">2 </w:t>
      </w:r>
      <w:r w:rsidR="00753289" w:rsidRPr="007417D0">
        <w:rPr>
          <w:rFonts w:ascii="Lato" w:hAnsi="Lato"/>
          <w:color w:val="000000" w:themeColor="text1"/>
          <w:sz w:val="22"/>
          <w:szCs w:val="22"/>
          <w:u w:val="single"/>
        </w:rPr>
        <w:t>c-f)</w:t>
      </w:r>
      <w:r w:rsidR="00753289" w:rsidRPr="00AA22C4">
        <w:rPr>
          <w:rFonts w:ascii="Lato" w:hAnsi="Lato"/>
          <w:color w:val="000000" w:themeColor="text1"/>
          <w:sz w:val="22"/>
          <w:szCs w:val="22"/>
          <w:u w:val="single"/>
        </w:rPr>
        <w:t xml:space="preserve"> </w:t>
      </w:r>
      <w:r w:rsidR="00374E04" w:rsidRPr="00AA22C4">
        <w:rPr>
          <w:rFonts w:ascii="Lato" w:hAnsi="Lato"/>
          <w:color w:val="000000" w:themeColor="text1"/>
          <w:sz w:val="22"/>
          <w:szCs w:val="22"/>
          <w:u w:val="single"/>
        </w:rPr>
        <w:t>Lizosomalne choroby spichrzeniowe</w:t>
      </w:r>
      <w:r w:rsidR="00ED2EC3" w:rsidRPr="00AA22C4">
        <w:rPr>
          <w:rFonts w:ascii="Lato" w:hAnsi="Lato"/>
          <w:color w:val="000000" w:themeColor="text1"/>
          <w:sz w:val="22"/>
          <w:szCs w:val="22"/>
          <w:u w:val="single"/>
        </w:rPr>
        <w:t xml:space="preserve"> </w:t>
      </w:r>
      <w:r w:rsidR="00E02345" w:rsidRPr="00AA22C4">
        <w:rPr>
          <w:rFonts w:ascii="Lato" w:hAnsi="Lato"/>
          <w:color w:val="000000" w:themeColor="text1"/>
          <w:sz w:val="22"/>
          <w:szCs w:val="22"/>
          <w:u w:val="single"/>
        </w:rPr>
        <w:t xml:space="preserve"> </w:t>
      </w:r>
    </w:p>
    <w:p w14:paraId="15AA5D7B" w14:textId="63362AA9" w:rsidR="00374E04" w:rsidRPr="00AA22C4" w:rsidRDefault="00374E04" w:rsidP="007417D0">
      <w:pPr>
        <w:ind w:left="1080"/>
        <w:jc w:val="both"/>
        <w:rPr>
          <w:rFonts w:ascii="Lato" w:hAnsi="Lato"/>
          <w:color w:val="000000" w:themeColor="text1"/>
          <w:sz w:val="22"/>
          <w:szCs w:val="22"/>
        </w:rPr>
      </w:pPr>
      <w:r w:rsidRPr="00AA22C4">
        <w:rPr>
          <w:rFonts w:ascii="Lato" w:hAnsi="Lato"/>
          <w:color w:val="000000" w:themeColor="text1"/>
          <w:sz w:val="22"/>
          <w:szCs w:val="22"/>
        </w:rPr>
        <w:t xml:space="preserve">W okresie pilotażowym </w:t>
      </w:r>
      <w:r w:rsidR="00ED2EC3" w:rsidRPr="00AA22C4">
        <w:rPr>
          <w:rFonts w:ascii="Lato" w:hAnsi="Lato"/>
          <w:color w:val="000000" w:themeColor="text1"/>
          <w:sz w:val="22"/>
          <w:szCs w:val="22"/>
        </w:rPr>
        <w:t xml:space="preserve">jest </w:t>
      </w:r>
      <w:r w:rsidRPr="00AA22C4">
        <w:rPr>
          <w:rFonts w:ascii="Lato" w:hAnsi="Lato"/>
          <w:color w:val="000000" w:themeColor="text1"/>
          <w:sz w:val="22"/>
          <w:szCs w:val="22"/>
        </w:rPr>
        <w:t>planowane wykonanie badań dla 4 chorób, a decyzja</w:t>
      </w:r>
      <w:r w:rsidR="00753289" w:rsidRPr="00AA22C4">
        <w:rPr>
          <w:rFonts w:ascii="Lato" w:hAnsi="Lato"/>
          <w:color w:val="000000" w:themeColor="text1"/>
          <w:sz w:val="22"/>
          <w:szCs w:val="22"/>
        </w:rPr>
        <w:t xml:space="preserve"> </w:t>
      </w:r>
      <w:r w:rsidRPr="00AA22C4">
        <w:rPr>
          <w:rFonts w:ascii="Lato" w:hAnsi="Lato"/>
          <w:color w:val="000000" w:themeColor="text1"/>
          <w:sz w:val="22"/>
          <w:szCs w:val="22"/>
        </w:rPr>
        <w:t>czy wprowadzić komplet 4 chorób powinna zostać podjęta po zakończeniu badań</w:t>
      </w:r>
      <w:r w:rsidR="00753289" w:rsidRPr="00AA22C4">
        <w:rPr>
          <w:rFonts w:ascii="Lato" w:hAnsi="Lato"/>
          <w:color w:val="000000" w:themeColor="text1"/>
          <w:sz w:val="22"/>
          <w:szCs w:val="22"/>
        </w:rPr>
        <w:t xml:space="preserve"> </w:t>
      </w:r>
      <w:r w:rsidRPr="00AA22C4">
        <w:rPr>
          <w:rFonts w:ascii="Lato" w:hAnsi="Lato"/>
          <w:color w:val="000000" w:themeColor="text1"/>
          <w:sz w:val="22"/>
          <w:szCs w:val="22"/>
        </w:rPr>
        <w:t xml:space="preserve">pilotażowych i walidacji. W przypadku chorób spichrzeniowych </w:t>
      </w:r>
      <w:r w:rsidR="00E02345" w:rsidRPr="00AA22C4">
        <w:rPr>
          <w:rFonts w:ascii="Lato" w:hAnsi="Lato"/>
          <w:color w:val="000000" w:themeColor="text1"/>
          <w:sz w:val="22"/>
          <w:szCs w:val="22"/>
        </w:rPr>
        <w:t xml:space="preserve">jest </w:t>
      </w:r>
      <w:r w:rsidRPr="00AA22C4">
        <w:rPr>
          <w:rFonts w:ascii="Lato" w:hAnsi="Lato"/>
          <w:color w:val="000000" w:themeColor="text1"/>
          <w:sz w:val="22"/>
          <w:szCs w:val="22"/>
        </w:rPr>
        <w:t>konieczne przeprowadzanie kilkustopniowych testów weryfikacyjnych w celu potwierdzenia</w:t>
      </w:r>
      <w:r w:rsidR="00753289" w:rsidRPr="00AA22C4">
        <w:rPr>
          <w:rFonts w:ascii="Lato" w:hAnsi="Lato"/>
          <w:color w:val="000000" w:themeColor="text1"/>
          <w:sz w:val="22"/>
          <w:szCs w:val="22"/>
        </w:rPr>
        <w:t xml:space="preserve"> </w:t>
      </w:r>
      <w:r w:rsidRPr="00AA22C4">
        <w:rPr>
          <w:rFonts w:ascii="Lato" w:hAnsi="Lato"/>
          <w:color w:val="000000" w:themeColor="text1"/>
          <w:sz w:val="22"/>
          <w:szCs w:val="22"/>
        </w:rPr>
        <w:t>diagnozy. Precyzyjna weryfikacja pozwala na eliminację wyników fałszywie dodatnich i</w:t>
      </w:r>
      <w:r w:rsidR="005230D6" w:rsidRPr="00AA22C4">
        <w:rPr>
          <w:rFonts w:ascii="Lato" w:hAnsi="Lato"/>
          <w:color w:val="000000" w:themeColor="text1"/>
          <w:sz w:val="22"/>
          <w:szCs w:val="22"/>
        </w:rPr>
        <w:t xml:space="preserve"> </w:t>
      </w:r>
      <w:r w:rsidRPr="00AA22C4">
        <w:rPr>
          <w:rFonts w:ascii="Lato" w:hAnsi="Lato"/>
          <w:color w:val="000000" w:themeColor="text1"/>
          <w:sz w:val="22"/>
          <w:szCs w:val="22"/>
        </w:rPr>
        <w:t>natychmiastowe rozpoczęcie enzymatycznej terapii zastępczej oraz innych interwencji</w:t>
      </w:r>
      <w:r w:rsidR="007417D0">
        <w:rPr>
          <w:rFonts w:ascii="Lato" w:hAnsi="Lato"/>
          <w:color w:val="000000" w:themeColor="text1"/>
          <w:sz w:val="22"/>
          <w:szCs w:val="22"/>
        </w:rPr>
        <w:t xml:space="preserve"> </w:t>
      </w:r>
      <w:r w:rsidRPr="00AA22C4">
        <w:rPr>
          <w:rFonts w:ascii="Lato" w:hAnsi="Lato"/>
          <w:color w:val="000000" w:themeColor="text1"/>
          <w:sz w:val="22"/>
          <w:szCs w:val="22"/>
        </w:rPr>
        <w:t>terapeutycznych od momentu postawienia diagnozy.</w:t>
      </w:r>
    </w:p>
    <w:p w14:paraId="776BF293" w14:textId="77777777" w:rsidR="007417D0" w:rsidRDefault="007417D0" w:rsidP="007417D0">
      <w:pPr>
        <w:spacing w:after="240"/>
        <w:ind w:left="1080"/>
        <w:jc w:val="both"/>
        <w:rPr>
          <w:rFonts w:ascii="Lato" w:hAnsi="Lato"/>
          <w:color w:val="000000" w:themeColor="text1"/>
          <w:sz w:val="22"/>
          <w:szCs w:val="22"/>
        </w:rPr>
      </w:pPr>
    </w:p>
    <w:p w14:paraId="023208D1" w14:textId="72385D9B" w:rsidR="00374E04" w:rsidRPr="00AA22C4" w:rsidRDefault="00374E04" w:rsidP="007417D0">
      <w:pPr>
        <w:spacing w:after="240"/>
        <w:ind w:left="1080"/>
        <w:jc w:val="both"/>
        <w:rPr>
          <w:rFonts w:ascii="Lato" w:hAnsi="Lato"/>
          <w:color w:val="000000" w:themeColor="text1"/>
          <w:sz w:val="22"/>
          <w:szCs w:val="22"/>
        </w:rPr>
      </w:pPr>
      <w:r w:rsidRPr="00AA22C4">
        <w:rPr>
          <w:rFonts w:ascii="Lato" w:hAnsi="Lato"/>
          <w:color w:val="000000" w:themeColor="text1"/>
          <w:sz w:val="22"/>
          <w:szCs w:val="22"/>
        </w:rPr>
        <w:t>Aby badania pilotażowe były rzetelne i kompleksowe, niezbędne jest opracowanie i</w:t>
      </w:r>
      <w:r w:rsidR="00753289" w:rsidRPr="00AA22C4">
        <w:rPr>
          <w:rFonts w:ascii="Lato" w:hAnsi="Lato"/>
          <w:color w:val="000000" w:themeColor="text1"/>
          <w:sz w:val="22"/>
          <w:szCs w:val="22"/>
        </w:rPr>
        <w:t xml:space="preserve"> </w:t>
      </w:r>
      <w:r w:rsidRPr="00AA22C4">
        <w:rPr>
          <w:rFonts w:ascii="Lato" w:hAnsi="Lato"/>
          <w:color w:val="000000" w:themeColor="text1"/>
          <w:sz w:val="22"/>
          <w:szCs w:val="22"/>
        </w:rPr>
        <w:t>wdrożenie dodatkowych metod diagnostycznych. Badania pilotażowe umożliwią</w:t>
      </w:r>
      <w:r w:rsidR="00753289" w:rsidRPr="00AA22C4">
        <w:rPr>
          <w:rFonts w:ascii="Lato" w:hAnsi="Lato"/>
          <w:color w:val="000000" w:themeColor="text1"/>
          <w:sz w:val="22"/>
          <w:szCs w:val="22"/>
        </w:rPr>
        <w:t xml:space="preserve"> </w:t>
      </w:r>
      <w:r w:rsidRPr="00AA22C4">
        <w:rPr>
          <w:rFonts w:ascii="Lato" w:hAnsi="Lato"/>
          <w:color w:val="000000" w:themeColor="text1"/>
          <w:sz w:val="22"/>
          <w:szCs w:val="22"/>
        </w:rPr>
        <w:t xml:space="preserve">opracowanie wspólnie z klinicystami i genetykami algorytmu analitycznodiagnostycznego, aby zapewnić odpowiednie postępowanie terapeutyczne dla pacjentów oraz wsparcie i poradnictwo genetyczne dla rodzin dotkniętych chorobą. </w:t>
      </w:r>
    </w:p>
    <w:p w14:paraId="464BA747" w14:textId="04C40B61" w:rsidR="00B13182" w:rsidRPr="00AA22C4" w:rsidRDefault="00B13182" w:rsidP="007417D0">
      <w:pPr>
        <w:ind w:left="1080"/>
        <w:jc w:val="both"/>
        <w:rPr>
          <w:rFonts w:ascii="Lato" w:hAnsi="Lato"/>
          <w:color w:val="000000" w:themeColor="text1"/>
          <w:sz w:val="22"/>
          <w:szCs w:val="22"/>
        </w:rPr>
      </w:pPr>
      <w:r w:rsidRPr="00AA22C4">
        <w:rPr>
          <w:rFonts w:ascii="Lato" w:hAnsi="Lato"/>
          <w:color w:val="000000" w:themeColor="text1"/>
          <w:sz w:val="22"/>
          <w:szCs w:val="22"/>
        </w:rPr>
        <w:t>W 202</w:t>
      </w:r>
      <w:r w:rsidR="00753289" w:rsidRPr="00AA22C4">
        <w:rPr>
          <w:rFonts w:ascii="Lato" w:hAnsi="Lato"/>
          <w:color w:val="000000" w:themeColor="text1"/>
          <w:sz w:val="22"/>
          <w:szCs w:val="22"/>
        </w:rPr>
        <w:t>5</w:t>
      </w:r>
      <w:r w:rsidRPr="00AA22C4">
        <w:rPr>
          <w:rFonts w:ascii="Lato" w:hAnsi="Lato"/>
          <w:color w:val="000000" w:themeColor="text1"/>
          <w:sz w:val="22"/>
          <w:szCs w:val="22"/>
        </w:rPr>
        <w:t xml:space="preserve"> r. zaplanowano wykonanie w ramach pilotażu: </w:t>
      </w:r>
      <w:r w:rsidR="00753289" w:rsidRPr="00AA22C4">
        <w:rPr>
          <w:rFonts w:ascii="Lato" w:hAnsi="Lato"/>
          <w:color w:val="000000" w:themeColor="text1"/>
          <w:sz w:val="22"/>
          <w:szCs w:val="22"/>
        </w:rPr>
        <w:t>70</w:t>
      </w:r>
      <w:r w:rsidRPr="00AA22C4">
        <w:rPr>
          <w:rFonts w:ascii="Lato" w:hAnsi="Lato"/>
          <w:color w:val="000000" w:themeColor="text1"/>
          <w:sz w:val="22"/>
          <w:szCs w:val="22"/>
        </w:rPr>
        <w:t xml:space="preserve"> tys. badań w kierunku SMA/SCID, </w:t>
      </w:r>
      <w:r w:rsidR="00753289" w:rsidRPr="00AA22C4">
        <w:rPr>
          <w:rFonts w:ascii="Lato" w:hAnsi="Lato"/>
          <w:color w:val="000000" w:themeColor="text1"/>
          <w:sz w:val="22"/>
          <w:szCs w:val="22"/>
        </w:rPr>
        <w:t>7</w:t>
      </w:r>
      <w:r w:rsidRPr="00AA22C4">
        <w:rPr>
          <w:rFonts w:ascii="Lato" w:hAnsi="Lato"/>
          <w:color w:val="000000" w:themeColor="text1"/>
          <w:sz w:val="22"/>
          <w:szCs w:val="22"/>
        </w:rPr>
        <w:t xml:space="preserve">5 tys. badań w kierunku galaktozemii oraz </w:t>
      </w:r>
      <w:r w:rsidR="00753289" w:rsidRPr="00AA22C4">
        <w:rPr>
          <w:rFonts w:ascii="Lato" w:hAnsi="Lato"/>
          <w:color w:val="000000" w:themeColor="text1"/>
          <w:sz w:val="22"/>
          <w:szCs w:val="22"/>
        </w:rPr>
        <w:t>7</w:t>
      </w:r>
      <w:r w:rsidRPr="00AA22C4">
        <w:rPr>
          <w:rFonts w:ascii="Lato" w:hAnsi="Lato"/>
          <w:color w:val="000000" w:themeColor="text1"/>
          <w:sz w:val="22"/>
          <w:szCs w:val="22"/>
        </w:rPr>
        <w:t xml:space="preserve">5 tys. badań w kierunku lizosomalnych chorób spichrzeniowych. </w:t>
      </w:r>
    </w:p>
    <w:p w14:paraId="112C6036" w14:textId="2EDBD730" w:rsidR="00B13182" w:rsidRPr="00AA22C4" w:rsidRDefault="00B13182" w:rsidP="007417D0">
      <w:pPr>
        <w:ind w:left="1080"/>
        <w:jc w:val="both"/>
        <w:rPr>
          <w:rFonts w:ascii="Lato" w:hAnsi="Lato"/>
          <w:color w:val="000000" w:themeColor="text1"/>
          <w:sz w:val="22"/>
          <w:szCs w:val="22"/>
        </w:rPr>
      </w:pPr>
      <w:r w:rsidRPr="00AA22C4">
        <w:rPr>
          <w:rFonts w:ascii="Lato" w:hAnsi="Lato"/>
          <w:color w:val="000000" w:themeColor="text1"/>
          <w:sz w:val="22"/>
          <w:szCs w:val="22"/>
        </w:rPr>
        <w:t>W 2026 r.</w:t>
      </w:r>
      <w:r w:rsidR="008319C5" w:rsidRPr="00AA22C4">
        <w:rPr>
          <w:rFonts w:ascii="Lato" w:hAnsi="Lato"/>
          <w:color w:val="000000" w:themeColor="text1"/>
          <w:sz w:val="22"/>
          <w:szCs w:val="22"/>
        </w:rPr>
        <w:t>,</w:t>
      </w:r>
      <w:r w:rsidRPr="00AA22C4">
        <w:rPr>
          <w:rFonts w:ascii="Lato" w:hAnsi="Lato"/>
          <w:color w:val="000000" w:themeColor="text1"/>
          <w:sz w:val="22"/>
          <w:szCs w:val="22"/>
        </w:rPr>
        <w:t xml:space="preserve"> </w:t>
      </w:r>
      <w:r w:rsidR="00753289" w:rsidRPr="00AA22C4">
        <w:rPr>
          <w:rFonts w:ascii="Lato" w:hAnsi="Lato"/>
          <w:color w:val="000000" w:themeColor="text1"/>
          <w:sz w:val="22"/>
          <w:szCs w:val="22"/>
        </w:rPr>
        <w:t xml:space="preserve">w przypadku </w:t>
      </w:r>
      <w:r w:rsidR="008319C5" w:rsidRPr="00AA22C4">
        <w:rPr>
          <w:rFonts w:ascii="Lato" w:hAnsi="Lato"/>
          <w:color w:val="000000" w:themeColor="text1"/>
          <w:sz w:val="22"/>
          <w:szCs w:val="22"/>
        </w:rPr>
        <w:t xml:space="preserve">pozytywnych wyników pilotażu, zabezpieczono środki na </w:t>
      </w:r>
      <w:r w:rsidRPr="00AA22C4">
        <w:rPr>
          <w:rFonts w:ascii="Lato" w:hAnsi="Lato"/>
          <w:color w:val="000000" w:themeColor="text1"/>
          <w:sz w:val="22"/>
          <w:szCs w:val="22"/>
        </w:rPr>
        <w:t>wykonanie 2</w:t>
      </w:r>
      <w:r w:rsidR="00753289" w:rsidRPr="00AA22C4">
        <w:rPr>
          <w:rFonts w:ascii="Lato" w:hAnsi="Lato"/>
          <w:color w:val="000000" w:themeColor="text1"/>
          <w:sz w:val="22"/>
          <w:szCs w:val="22"/>
        </w:rPr>
        <w:t>51</w:t>
      </w:r>
      <w:r w:rsidRPr="00AA22C4">
        <w:rPr>
          <w:rFonts w:ascii="Lato" w:hAnsi="Lato"/>
          <w:color w:val="000000" w:themeColor="text1"/>
          <w:sz w:val="22"/>
          <w:szCs w:val="22"/>
        </w:rPr>
        <w:t xml:space="preserve"> tys. badań w kierunku SMA/SCID, 2</w:t>
      </w:r>
      <w:r w:rsidR="00753289" w:rsidRPr="00AA22C4">
        <w:rPr>
          <w:rFonts w:ascii="Lato" w:hAnsi="Lato"/>
          <w:color w:val="000000" w:themeColor="text1"/>
          <w:sz w:val="22"/>
          <w:szCs w:val="22"/>
        </w:rPr>
        <w:t>51</w:t>
      </w:r>
      <w:r w:rsidRPr="00AA22C4">
        <w:rPr>
          <w:rFonts w:ascii="Lato" w:hAnsi="Lato"/>
          <w:color w:val="000000" w:themeColor="text1"/>
          <w:sz w:val="22"/>
          <w:szCs w:val="22"/>
        </w:rPr>
        <w:t xml:space="preserve"> tys. badań w kierunku galaktozemii oraz </w:t>
      </w:r>
      <w:r w:rsidR="00753289" w:rsidRPr="00AA22C4">
        <w:rPr>
          <w:rFonts w:ascii="Lato" w:hAnsi="Lato"/>
          <w:color w:val="000000" w:themeColor="text1"/>
          <w:sz w:val="22"/>
          <w:szCs w:val="22"/>
        </w:rPr>
        <w:t>251</w:t>
      </w:r>
      <w:r w:rsidRPr="00AA22C4">
        <w:rPr>
          <w:rFonts w:ascii="Lato" w:hAnsi="Lato"/>
          <w:color w:val="000000" w:themeColor="text1"/>
          <w:sz w:val="22"/>
          <w:szCs w:val="22"/>
        </w:rPr>
        <w:t xml:space="preserve"> tys. badań w kierunku lizosomalnych chorób spichrzeniowych</w:t>
      </w:r>
      <w:r w:rsidR="008319C5" w:rsidRPr="00AA22C4">
        <w:rPr>
          <w:rFonts w:ascii="Lato" w:hAnsi="Lato"/>
          <w:color w:val="000000" w:themeColor="text1"/>
          <w:sz w:val="22"/>
          <w:szCs w:val="22"/>
        </w:rPr>
        <w:t>, analogicznie do liczby badań planowanych do wykonania w ramach realizowanego dotychczas programu obejmującego 30 chorób.</w:t>
      </w:r>
    </w:p>
    <w:p w14:paraId="21F5E5D0" w14:textId="77777777" w:rsidR="005E347E" w:rsidRPr="00AA22C4" w:rsidRDefault="005E347E" w:rsidP="007417D0">
      <w:pPr>
        <w:pStyle w:val="Tekstprzypisudolnego"/>
        <w:spacing w:before="120" w:after="120"/>
        <w:ind w:left="1080"/>
        <w:jc w:val="both"/>
        <w:rPr>
          <w:rFonts w:ascii="Lato" w:hAnsi="Lato"/>
          <w:i/>
          <w:color w:val="000000" w:themeColor="text1"/>
          <w:sz w:val="22"/>
          <w:szCs w:val="22"/>
        </w:rPr>
      </w:pPr>
      <w:r w:rsidRPr="00AA22C4">
        <w:rPr>
          <w:rFonts w:ascii="Lato" w:hAnsi="Lato"/>
          <w:color w:val="000000" w:themeColor="text1"/>
          <w:sz w:val="22"/>
          <w:szCs w:val="22"/>
        </w:rPr>
        <w:t xml:space="preserve">Charakterystykę powyższych chorób przedstawiono w części </w:t>
      </w:r>
      <w:r w:rsidRPr="00AA22C4">
        <w:rPr>
          <w:rFonts w:ascii="Lato" w:hAnsi="Lato"/>
          <w:i/>
          <w:color w:val="000000" w:themeColor="text1"/>
          <w:sz w:val="22"/>
          <w:szCs w:val="22"/>
        </w:rPr>
        <w:t>1.1. Opis problemu zdrowotnego.</w:t>
      </w:r>
    </w:p>
    <w:p w14:paraId="717E1189" w14:textId="77777777" w:rsidR="005E347E" w:rsidRPr="00AA22C4" w:rsidRDefault="005E347E" w:rsidP="007417D0">
      <w:pPr>
        <w:pStyle w:val="Tekstprzypisudolnego"/>
        <w:numPr>
          <w:ilvl w:val="0"/>
          <w:numId w:val="23"/>
        </w:numPr>
        <w:spacing w:before="360" w:after="120"/>
        <w:ind w:left="714" w:hanging="357"/>
        <w:contextualSpacing/>
        <w:jc w:val="both"/>
        <w:rPr>
          <w:rFonts w:ascii="Lato" w:hAnsi="Lato"/>
          <w:color w:val="000000" w:themeColor="text1"/>
          <w:sz w:val="22"/>
          <w:szCs w:val="22"/>
        </w:rPr>
      </w:pPr>
      <w:r w:rsidRPr="00AA22C4">
        <w:rPr>
          <w:rFonts w:ascii="Lato" w:hAnsi="Lato"/>
          <w:color w:val="000000" w:themeColor="text1"/>
          <w:sz w:val="22"/>
          <w:szCs w:val="22"/>
        </w:rPr>
        <w:t>prowadzenie rejestru noworodków – baza danych noworodków, u których wykonano badanie przesiewowe oraz baza umożliwiająca monitorowanie leczenia chorych;</w:t>
      </w:r>
    </w:p>
    <w:p w14:paraId="0C739EB9" w14:textId="49D9EA0F" w:rsidR="005E347E" w:rsidRPr="00AA22C4" w:rsidRDefault="005E347E" w:rsidP="005E347E">
      <w:pPr>
        <w:pStyle w:val="Tekstprzypisudolnego"/>
        <w:numPr>
          <w:ilvl w:val="0"/>
          <w:numId w:val="23"/>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przeprowadzenie szkoleń oraz udział pracowników IMiD w konferencjach naukowych o tematyce związanej z badaniami przesiewowymi;</w:t>
      </w:r>
    </w:p>
    <w:p w14:paraId="4A9CCCB0" w14:textId="77777777" w:rsidR="005E347E" w:rsidRPr="00AA22C4" w:rsidRDefault="005E347E" w:rsidP="005E347E">
      <w:pPr>
        <w:pStyle w:val="Tekstprzypisudolnego"/>
        <w:numPr>
          <w:ilvl w:val="0"/>
          <w:numId w:val="23"/>
        </w:numPr>
        <w:spacing w:before="120" w:after="120"/>
        <w:ind w:left="714" w:hanging="357"/>
        <w:jc w:val="both"/>
        <w:rPr>
          <w:rFonts w:ascii="Lato" w:hAnsi="Lato"/>
          <w:color w:val="000000" w:themeColor="text1"/>
          <w:sz w:val="22"/>
          <w:szCs w:val="22"/>
        </w:rPr>
      </w:pPr>
      <w:r w:rsidRPr="00AA22C4">
        <w:rPr>
          <w:rFonts w:ascii="Lato" w:hAnsi="Lato"/>
          <w:color w:val="000000" w:themeColor="text1"/>
          <w:sz w:val="22"/>
          <w:szCs w:val="22"/>
        </w:rPr>
        <w:t>prowadzenie działalności promocyjnej prowadzonych badań przesiewowych.</w:t>
      </w:r>
    </w:p>
    <w:p w14:paraId="7C655F97"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Badania przesiewowe w Rzeczpospolitej Polskiej realizują laboratoria, które są wyposażone w ujednolicony system diagnostyczny: aparaturę, sprzęt laboratoryjny i komputerowy oraz specjalistyczne oprogramowanie. Testy przesiewowe są wykonywane zgodnie z procedurą opracowaną przez IMiD. Testy diagnostyczne są kupowane dla całego kraju w drodze centralnego przetargu realizowanego przez Zakład Zamówień Publicznych przy Ministrze Zdrowia. Krew noworodków do badań jest pobierana we wszystkich szpitalach niezależnie od formy organizacyjno-prawnej podmiotów leczniczych, a także w przypadku porodów domowych. Na podstawie badań laboratoryjnych noworodki, u których podejrzewa się chorobę, są wzywane do wytypowanej kliniki lub specjalistycznej poradni. Wszystkie dane rodzica i noworodka oraz wyniki badań laboratoryjnych są rejestrowane w centralnym rejestrze i archiwizowane zgodnie z wymogami dokumentacji medycznej oraz zabezpieczone zgodnie z </w:t>
      </w:r>
      <w:r w:rsidRPr="00AA22C4">
        <w:rPr>
          <w:rFonts w:ascii="Lato" w:hAnsi="Lato"/>
          <w:color w:val="000000" w:themeColor="text1"/>
          <w:sz w:val="22"/>
          <w:szCs w:val="22"/>
        </w:rPr>
        <w:lastRenderedPageBreak/>
        <w:t>obowiązującymi przepisami dotyczącymi ochrony danych osobowych tj.  rozporządzeniem Parlamentu Europejskiego i Rady</w:t>
      </w:r>
      <w:r w:rsidRPr="00AA22C4">
        <w:rPr>
          <w:rFonts w:ascii="Lato" w:hAnsi="Lato"/>
          <w:color w:val="000000" w:themeColor="text1"/>
        </w:rPr>
        <w:t xml:space="preserve"> </w:t>
      </w:r>
      <w:r w:rsidRPr="00AA22C4">
        <w:rPr>
          <w:rFonts w:ascii="Lato" w:hAnsi="Lato"/>
          <w:color w:val="000000" w:themeColor="text1"/>
          <w:sz w:val="22"/>
          <w:szCs w:val="22"/>
        </w:rPr>
        <w:t xml:space="preserve">(UE) 2016/679 z dnia 27 kwietnia 2016 r. w sprawie ochrony osób fizycznych w związku z przetwarzaniem danych osobowych i w sprawie swobodnego przepływu takich danych oraz uchylenia dyrektywy 95/46/WE (ogólne rozporządzenie </w:t>
      </w:r>
      <w:r w:rsidRPr="00AA22C4">
        <w:rPr>
          <w:rFonts w:ascii="Lato" w:hAnsi="Lato"/>
          <w:color w:val="000000" w:themeColor="text1"/>
          <w:sz w:val="22"/>
          <w:szCs w:val="22"/>
        </w:rPr>
        <w:br/>
        <w:t xml:space="preserve">o ochronie danych) (Dz. Urz. UE L nr 119 z 4 maja 2016 r., s. 1, z późn. zm.) oraz ustawą z dnia 10 maja 2018 r. o ochronie danych osobowych (Dz. U z 2019 r. poz. 1781). Drugim etapem badań przesiewowych jest diagnostyka potwierdzająca i różnicowa wykonywana w specjalistycznym laboratorium oraz ocena kliniczna przez lekarza specjalistę. Trzeci etap, obejmuje badania specjalistyczne, badania kontrolne oraz monitorowanie leczenia rejestrowane w bazie przesiewowej. </w:t>
      </w:r>
    </w:p>
    <w:p w14:paraId="58111406" w14:textId="77777777" w:rsidR="005E347E" w:rsidRPr="00AA22C4" w:rsidRDefault="005E347E" w:rsidP="005E347E">
      <w:pPr>
        <w:pStyle w:val="Tekstprzypisudolnego"/>
        <w:spacing w:before="120" w:after="120"/>
        <w:contextualSpacing/>
        <w:jc w:val="both"/>
        <w:rPr>
          <w:rFonts w:ascii="Lato" w:hAnsi="Lato"/>
          <w:bCs/>
          <w:color w:val="000000" w:themeColor="text1"/>
          <w:sz w:val="22"/>
          <w:szCs w:val="22"/>
        </w:rPr>
      </w:pPr>
      <w:r w:rsidRPr="00AA22C4">
        <w:rPr>
          <w:rFonts w:ascii="Lato" w:hAnsi="Lato"/>
          <w:bCs/>
          <w:color w:val="000000" w:themeColor="text1"/>
          <w:sz w:val="22"/>
          <w:szCs w:val="22"/>
        </w:rPr>
        <w:t xml:space="preserve">Ogólny sposób realizacji zadań: </w:t>
      </w:r>
    </w:p>
    <w:p w14:paraId="223A00E0" w14:textId="77777777" w:rsidR="005E347E" w:rsidRPr="00AA22C4" w:rsidRDefault="005E347E" w:rsidP="005E347E">
      <w:pPr>
        <w:pStyle w:val="Tekstprzypisudolnego"/>
        <w:numPr>
          <w:ilvl w:val="0"/>
          <w:numId w:val="26"/>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realizator Programu, zawrze umowy z akredytowanymi przy IMiD laboratoriami przesiewowymi na wykonywanie badań w ustalonych rejonach kraju;</w:t>
      </w:r>
    </w:p>
    <w:p w14:paraId="26404AEC" w14:textId="77777777" w:rsidR="005E347E" w:rsidRPr="00AA22C4" w:rsidRDefault="005E347E" w:rsidP="005E347E">
      <w:pPr>
        <w:pStyle w:val="Tekstprzypisudolnego"/>
        <w:numPr>
          <w:ilvl w:val="0"/>
          <w:numId w:val="26"/>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badania przesiewowe noworodków będą wykonywane w całym kraju zgodnie z Programem oraz rekomendacjami IMiD i przyjętymi standardami diagnostyczno-leczniczymi;</w:t>
      </w:r>
    </w:p>
    <w:p w14:paraId="0B870665" w14:textId="77777777" w:rsidR="005E347E" w:rsidRPr="00AA22C4" w:rsidRDefault="005E347E" w:rsidP="005E347E">
      <w:pPr>
        <w:pStyle w:val="Tekstprzypisudolnego"/>
        <w:numPr>
          <w:ilvl w:val="0"/>
          <w:numId w:val="26"/>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realizacja Programu jest oparta o specjalistyczny program komputerowy, zarządzający logistyką badań, w którym są rejestrowane wszystkie operacje procedury diagnostycznej;</w:t>
      </w:r>
    </w:p>
    <w:p w14:paraId="560D0F2E" w14:textId="77777777" w:rsidR="005E347E" w:rsidRPr="00AA22C4" w:rsidRDefault="005E347E" w:rsidP="005E347E">
      <w:pPr>
        <w:pStyle w:val="Tekstprzypisudolnego"/>
        <w:numPr>
          <w:ilvl w:val="0"/>
          <w:numId w:val="26"/>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stosuje się jednakowe testy diagnostyczne, aparaturę pomiarową, zasady oceny wyników, postępowanie diagnostyczno-lecznicze oraz dokumentację i sprawozdawczość;</w:t>
      </w:r>
    </w:p>
    <w:p w14:paraId="4E0C4448" w14:textId="6FB1E66F" w:rsidR="005E347E" w:rsidRPr="00AA22C4" w:rsidRDefault="005E347E" w:rsidP="00C3398C">
      <w:pPr>
        <w:pStyle w:val="Tekstprzypisudolnego"/>
        <w:numPr>
          <w:ilvl w:val="0"/>
          <w:numId w:val="26"/>
        </w:numPr>
        <w:spacing w:after="120"/>
        <w:ind w:left="714" w:hanging="357"/>
        <w:jc w:val="both"/>
        <w:rPr>
          <w:rFonts w:ascii="Lato" w:hAnsi="Lato"/>
          <w:color w:val="000000" w:themeColor="text1"/>
          <w:sz w:val="22"/>
          <w:szCs w:val="22"/>
        </w:rPr>
      </w:pPr>
      <w:r w:rsidRPr="00AA22C4">
        <w:rPr>
          <w:rFonts w:ascii="Lato" w:hAnsi="Lato"/>
          <w:color w:val="000000" w:themeColor="text1"/>
          <w:sz w:val="22"/>
          <w:szCs w:val="22"/>
        </w:rPr>
        <w:t>badaniami przesiewowymi będą objęte wszystkie noworodki urodzone w Rzecz</w:t>
      </w:r>
      <w:r w:rsidR="007A48CA" w:rsidRPr="00AA22C4">
        <w:rPr>
          <w:rFonts w:ascii="Lato" w:hAnsi="Lato"/>
          <w:color w:val="000000" w:themeColor="text1"/>
          <w:sz w:val="22"/>
          <w:szCs w:val="22"/>
        </w:rPr>
        <w:t>y</w:t>
      </w:r>
      <w:r w:rsidRPr="00AA22C4">
        <w:rPr>
          <w:rFonts w:ascii="Lato" w:hAnsi="Lato"/>
          <w:color w:val="000000" w:themeColor="text1"/>
          <w:sz w:val="22"/>
          <w:szCs w:val="22"/>
        </w:rPr>
        <w:t>pospolitej Polskiej z wyłączeniem przypadków pisemnej odmowy zgody na badania przesiewowe wyrażonej przez rodzica lub opiekuna prawnego dziecka.</w:t>
      </w:r>
    </w:p>
    <w:p w14:paraId="47A45F90" w14:textId="0A9FB117" w:rsidR="005E347E" w:rsidRPr="00AA22C4" w:rsidRDefault="005E347E" w:rsidP="005E347E">
      <w:pPr>
        <w:pStyle w:val="Tekstprzypisudolnego"/>
        <w:spacing w:before="120" w:after="120"/>
        <w:jc w:val="both"/>
        <w:rPr>
          <w:rFonts w:ascii="Lato" w:hAnsi="Lato"/>
          <w:bCs/>
          <w:color w:val="000000" w:themeColor="text1"/>
          <w:sz w:val="22"/>
          <w:szCs w:val="22"/>
        </w:rPr>
      </w:pPr>
      <w:r w:rsidRPr="00AA22C4">
        <w:rPr>
          <w:rFonts w:ascii="Lato" w:hAnsi="Lato"/>
          <w:bCs/>
          <w:color w:val="000000" w:themeColor="text1"/>
          <w:sz w:val="22"/>
          <w:szCs w:val="22"/>
        </w:rPr>
        <w:t xml:space="preserve">Badania w kierunku rdzeniowego zaniku mięśni wprowadzane były od 2021 r., zaczynając </w:t>
      </w:r>
      <w:r w:rsidRPr="00AA22C4">
        <w:rPr>
          <w:rFonts w:ascii="Lato" w:hAnsi="Lato"/>
          <w:bCs/>
          <w:color w:val="000000" w:themeColor="text1"/>
          <w:sz w:val="22"/>
          <w:szCs w:val="22"/>
        </w:rPr>
        <w:br/>
        <w:t xml:space="preserve">od województwa mazowieckiego oraz następnie sukcesywnie w pozostałych województwach takich jak: lubelskie, łódzkie, podlaskie, warmińsko-mazurskie, zachodniopomorskie, pomorskie, kujawsko </w:t>
      </w:r>
      <w:r w:rsidR="0028079C" w:rsidRPr="00AA22C4">
        <w:rPr>
          <w:rFonts w:ascii="Lato" w:hAnsi="Lato"/>
          <w:bCs/>
          <w:color w:val="000000" w:themeColor="text1"/>
          <w:sz w:val="22"/>
          <w:szCs w:val="22"/>
        </w:rPr>
        <w:t>–</w:t>
      </w:r>
      <w:r w:rsidRPr="00AA22C4">
        <w:rPr>
          <w:rFonts w:ascii="Lato" w:hAnsi="Lato"/>
          <w:bCs/>
          <w:color w:val="000000" w:themeColor="text1"/>
          <w:sz w:val="22"/>
          <w:szCs w:val="22"/>
        </w:rPr>
        <w:t xml:space="preserve"> pomorskie</w:t>
      </w:r>
      <w:r w:rsidR="0028079C" w:rsidRPr="00AA22C4">
        <w:rPr>
          <w:rFonts w:ascii="Lato" w:hAnsi="Lato"/>
          <w:bCs/>
          <w:color w:val="000000" w:themeColor="text1"/>
          <w:sz w:val="22"/>
          <w:szCs w:val="22"/>
        </w:rPr>
        <w:t>,</w:t>
      </w:r>
      <w:r w:rsidRPr="00AA22C4">
        <w:rPr>
          <w:rFonts w:ascii="Lato" w:hAnsi="Lato"/>
          <w:bCs/>
          <w:color w:val="000000" w:themeColor="text1"/>
          <w:sz w:val="22"/>
          <w:szCs w:val="22"/>
        </w:rPr>
        <w:t xml:space="preserve"> lubuskie, wielkopolskie. Natomiast w 2022 r. badanie wprowadz</w:t>
      </w:r>
      <w:r w:rsidR="00EC4D8D" w:rsidRPr="00AA22C4">
        <w:rPr>
          <w:rFonts w:ascii="Lato" w:hAnsi="Lato"/>
          <w:bCs/>
          <w:color w:val="000000" w:themeColor="text1"/>
          <w:sz w:val="22"/>
          <w:szCs w:val="22"/>
        </w:rPr>
        <w:t>o</w:t>
      </w:r>
      <w:r w:rsidRPr="00AA22C4">
        <w:rPr>
          <w:rFonts w:ascii="Lato" w:hAnsi="Lato"/>
          <w:bCs/>
          <w:color w:val="000000" w:themeColor="text1"/>
          <w:sz w:val="22"/>
          <w:szCs w:val="22"/>
        </w:rPr>
        <w:t xml:space="preserve">ne zostało w pozostałych województwach. </w:t>
      </w:r>
    </w:p>
    <w:p w14:paraId="07F2F640" w14:textId="77777777" w:rsidR="005E347E" w:rsidRPr="00AA22C4" w:rsidRDefault="005E347E" w:rsidP="005E347E">
      <w:pPr>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Harmonogram wprowadzania badań przesiewowych w kierunku rdzeniowego zaniku mięśni (SMA) ze względów organizacyjnych zakładał stopniowe wdrażanie na terenie całego kraju. Wynikało to z ograniczeń organizacyjnych m.in. konieczności zakupu odpowiedniego sprzętu, zatrudnienia i przeszkolenia personelu do wykonywania badań, wdrożenia i optymalizacji </w:t>
      </w:r>
      <w:r w:rsidRPr="00AA22C4">
        <w:rPr>
          <w:rFonts w:ascii="Lato" w:hAnsi="Lato"/>
          <w:color w:val="000000" w:themeColor="text1"/>
          <w:sz w:val="22"/>
          <w:szCs w:val="22"/>
        </w:rPr>
        <w:lastRenderedPageBreak/>
        <w:t>organizacji pracy zgodnie GLP, umożliwiającej w końcowej fazie badanie całej populacji noworodków. Wskazanie konkretnej liczby noworodków wynikało z szacowanej liczby urodzeń na dany rok i planu wdrożeń w poszczególnych województwach. Do czasu wprowadzenia badań przesiewowych na terenie całego kraju do leczenia była kwalifikowana analogiczna liczba dzieci rocznie, tj. ok. 50 przypadków – część z badań przesiewowych (przedobjawowe), a część z diagnostyki klinicznej (objawowe).</w:t>
      </w:r>
    </w:p>
    <w:p w14:paraId="0EDDAE0D" w14:textId="77777777" w:rsidR="005E347E" w:rsidRPr="00AA22C4" w:rsidRDefault="005E347E" w:rsidP="005E347E">
      <w:pPr>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Do udziału w badaniach przesiewowych nie są tworzone określone kryteria doboru pacjentów, podstawowym i jedynym wymogiem jest zgoda rodzica albo opiekuna prawnego na pobranie krwi do badań przesiewowych. </w:t>
      </w:r>
    </w:p>
    <w:p w14:paraId="696AD00F" w14:textId="77777777" w:rsidR="005E347E" w:rsidRPr="00AA22C4" w:rsidRDefault="005E347E" w:rsidP="005E347E">
      <w:pPr>
        <w:pStyle w:val="Tekstprzypisudolnego"/>
        <w:spacing w:before="120" w:after="120"/>
        <w:jc w:val="both"/>
        <w:rPr>
          <w:rFonts w:ascii="Lato" w:hAnsi="Lato"/>
          <w:b/>
          <w:color w:val="000000" w:themeColor="text1"/>
          <w:sz w:val="22"/>
          <w:szCs w:val="22"/>
        </w:rPr>
      </w:pPr>
      <w:r w:rsidRPr="00AA22C4">
        <w:rPr>
          <w:rFonts w:ascii="Lato" w:hAnsi="Lato"/>
          <w:b/>
          <w:color w:val="000000" w:themeColor="text1"/>
          <w:sz w:val="22"/>
          <w:szCs w:val="22"/>
        </w:rPr>
        <w:t>Diagnostyka specjalistyczna i monitorowanie leczenia - celowość i zasady realizacji</w:t>
      </w:r>
    </w:p>
    <w:p w14:paraId="41BCB726"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Następnymi etapami po badaniu populacyjnym w etapie pierwszym jest ustalenie ostatecznego rozpoznania, rozpoczęcie właściwego leczenia, monitorowanego w dłuższym okresie. Zgodnie z definicją badań przesiewowych noworodków celem badań jest wczesne wykrycie choroby co zapobiega lub znacznie zmniejsza ryzyko wystąpienia poważnych powikłań, a więc również redukuje odsetek zgonów noworodków i niemowląt. Analiza tych wskaźników oraz przebiegu choroby wykrytej w badaniach przesiewowych pozwala na całkowitą ocenę efektywności programu. O skuteczności programu badań przesiewowych świadczy więc nie tylko liczba rozpoznanych przypadków chorób wrodzonych, ale przede wszystkim możliwość zapobiegania klinicznemu ujawnieniu się choroby wraz z jej odległymi skutkami. Dlatego program badań przesiewowych pozwalający na wysunięcie podejrzenia określonej choroby wymaga sprawnie działającego systemu, który obejmuje również badania potwierdzające dane podejrzenie, a także zapewnia monitorowanie leczenia w ramach zarówno krótkoterminowej obserwacji w pierwszych latach życia, jak i długoterminowej, tj. w całym wieku rozwojowym (29, 32, 42). Ogólny sposób diagnostyki chorób wrodzonych objętych badaniami przesiewowymi </w:t>
      </w:r>
      <w:r w:rsidR="000259B4" w:rsidRPr="00AA22C4">
        <w:rPr>
          <w:rFonts w:ascii="Lato" w:hAnsi="Lato"/>
          <w:color w:val="000000" w:themeColor="text1"/>
          <w:sz w:val="22"/>
          <w:szCs w:val="22"/>
        </w:rPr>
        <w:t xml:space="preserve">(w tym również badaniami pilotażowymi) </w:t>
      </w:r>
      <w:r w:rsidRPr="00AA22C4">
        <w:rPr>
          <w:rFonts w:ascii="Lato" w:hAnsi="Lato"/>
          <w:color w:val="000000" w:themeColor="text1"/>
          <w:sz w:val="22"/>
          <w:szCs w:val="22"/>
        </w:rPr>
        <w:t>przedstawia się następująco:</w:t>
      </w:r>
    </w:p>
    <w:p w14:paraId="7FCB15A0" w14:textId="77777777" w:rsidR="005E347E" w:rsidRPr="00AA22C4" w:rsidRDefault="005E347E" w:rsidP="005E347E">
      <w:pPr>
        <w:pStyle w:val="Tekstprzypisudolnego"/>
        <w:numPr>
          <w:ilvl w:val="0"/>
          <w:numId w:val="40"/>
        </w:numPr>
        <w:spacing w:before="120" w:after="120"/>
        <w:jc w:val="both"/>
        <w:rPr>
          <w:rFonts w:ascii="Lato" w:hAnsi="Lato"/>
          <w:color w:val="000000" w:themeColor="text1"/>
          <w:sz w:val="22"/>
          <w:szCs w:val="22"/>
        </w:rPr>
      </w:pPr>
      <w:r w:rsidRPr="00AA22C4">
        <w:rPr>
          <w:rFonts w:ascii="Lato" w:hAnsi="Lato"/>
          <w:color w:val="000000" w:themeColor="text1"/>
          <w:sz w:val="22"/>
          <w:szCs w:val="22"/>
        </w:rPr>
        <w:t>badania przesiewowe: pobranie krwi na bibułę, transport bibuły przesiewowej do laboratorium, wykonanie badań laboratoryjnych;</w:t>
      </w:r>
    </w:p>
    <w:p w14:paraId="2D099FC0" w14:textId="77777777" w:rsidR="005E347E" w:rsidRPr="00AA22C4" w:rsidRDefault="005E347E" w:rsidP="005E347E">
      <w:pPr>
        <w:pStyle w:val="Tekstprzypisudolnego"/>
        <w:numPr>
          <w:ilvl w:val="0"/>
          <w:numId w:val="40"/>
        </w:numPr>
        <w:spacing w:before="120" w:after="120"/>
        <w:jc w:val="both"/>
        <w:rPr>
          <w:rFonts w:ascii="Lato" w:hAnsi="Lato"/>
          <w:color w:val="000000" w:themeColor="text1"/>
          <w:sz w:val="22"/>
          <w:szCs w:val="22"/>
        </w:rPr>
      </w:pPr>
      <w:r w:rsidRPr="00AA22C4">
        <w:rPr>
          <w:rFonts w:ascii="Lato" w:hAnsi="Lato"/>
          <w:color w:val="000000" w:themeColor="text1"/>
          <w:sz w:val="22"/>
          <w:szCs w:val="22"/>
        </w:rPr>
        <w:t>badania weryfikujące/potwierdzające – w przypadku podejrzenia wrodzonej wady metabolizmu;</w:t>
      </w:r>
    </w:p>
    <w:p w14:paraId="65424FB5" w14:textId="77777777" w:rsidR="005E347E" w:rsidRPr="00AA22C4" w:rsidRDefault="005E347E" w:rsidP="005E347E">
      <w:pPr>
        <w:pStyle w:val="Tekstprzypisudolnego"/>
        <w:numPr>
          <w:ilvl w:val="0"/>
          <w:numId w:val="40"/>
        </w:numPr>
        <w:spacing w:before="120" w:after="120"/>
        <w:jc w:val="both"/>
        <w:rPr>
          <w:rFonts w:ascii="Lato" w:hAnsi="Lato"/>
          <w:color w:val="000000" w:themeColor="text1"/>
          <w:sz w:val="22"/>
          <w:szCs w:val="22"/>
        </w:rPr>
      </w:pPr>
      <w:r w:rsidRPr="00AA22C4">
        <w:rPr>
          <w:rFonts w:ascii="Lato" w:hAnsi="Lato"/>
          <w:color w:val="000000" w:themeColor="text1"/>
          <w:sz w:val="22"/>
          <w:szCs w:val="22"/>
        </w:rPr>
        <w:t>ustalenie wstępnego rozpoznania – z określeniem niezbędnego postępowania terapeutycznego, konsultacja specjalisty pediatrii metabolicznej, poinformowanie rodziny o chorobie;</w:t>
      </w:r>
    </w:p>
    <w:p w14:paraId="3BF8AD1E" w14:textId="77777777" w:rsidR="005E347E" w:rsidRPr="00AA22C4" w:rsidRDefault="005E347E" w:rsidP="005E347E">
      <w:pPr>
        <w:pStyle w:val="Tekstprzypisudolnego"/>
        <w:numPr>
          <w:ilvl w:val="0"/>
          <w:numId w:val="40"/>
        </w:numPr>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wstępne zalecenia terapeutyczne z parametrami monitorowania choroby </w:t>
      </w:r>
      <w:r w:rsidRPr="00AA22C4">
        <w:rPr>
          <w:rFonts w:ascii="Lato" w:hAnsi="Lato"/>
          <w:color w:val="000000" w:themeColor="text1"/>
          <w:sz w:val="22"/>
          <w:szCs w:val="22"/>
        </w:rPr>
        <w:br/>
      </w:r>
      <w:r w:rsidRPr="00AA22C4">
        <w:rPr>
          <w:rFonts w:ascii="Lato" w:hAnsi="Lato"/>
          <w:color w:val="000000" w:themeColor="text1"/>
          <w:sz w:val="22"/>
          <w:szCs w:val="22"/>
        </w:rPr>
        <w:lastRenderedPageBreak/>
        <w:t>i wskazaniami kompleksowej opieki wielospecjalistycznej;</w:t>
      </w:r>
    </w:p>
    <w:p w14:paraId="4E1633FC" w14:textId="77777777" w:rsidR="005E347E" w:rsidRPr="00AA22C4" w:rsidRDefault="005E347E" w:rsidP="005E347E">
      <w:pPr>
        <w:pStyle w:val="Tekstprzypisudolnego"/>
        <w:numPr>
          <w:ilvl w:val="0"/>
          <w:numId w:val="40"/>
        </w:numPr>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prospektywna analiza wyników badań przesiewowych (wczesnego rozpoznania </w:t>
      </w:r>
      <w:r w:rsidRPr="00AA22C4">
        <w:rPr>
          <w:rFonts w:ascii="Lato" w:hAnsi="Lato"/>
          <w:color w:val="000000" w:themeColor="text1"/>
          <w:sz w:val="22"/>
          <w:szCs w:val="22"/>
        </w:rPr>
        <w:br/>
        <w:t>i przebiegu krótko- i długoterminowego choroby).</w:t>
      </w:r>
    </w:p>
    <w:p w14:paraId="44D52D74" w14:textId="77777777" w:rsidR="005E347E" w:rsidRPr="00AA22C4" w:rsidRDefault="005E347E" w:rsidP="005E347E">
      <w:pPr>
        <w:pStyle w:val="Tekstprzypisudolnego"/>
        <w:spacing w:before="120" w:after="120"/>
        <w:jc w:val="both"/>
        <w:rPr>
          <w:rFonts w:ascii="Lato" w:hAnsi="Lato"/>
          <w:b/>
          <w:color w:val="000000" w:themeColor="text1"/>
          <w:sz w:val="22"/>
          <w:szCs w:val="22"/>
        </w:rPr>
      </w:pPr>
      <w:r w:rsidRPr="00AA22C4">
        <w:rPr>
          <w:rFonts w:ascii="Lato" w:hAnsi="Lato"/>
          <w:b/>
          <w:color w:val="000000" w:themeColor="text1"/>
          <w:sz w:val="22"/>
          <w:szCs w:val="22"/>
        </w:rPr>
        <w:t>Problemy praktyczne na poszczególnych etapach:</w:t>
      </w:r>
    </w:p>
    <w:p w14:paraId="413D8BFD" w14:textId="6239559F" w:rsidR="005E347E" w:rsidRPr="00AA22C4" w:rsidRDefault="005A2FB1" w:rsidP="007417D0">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1. </w:t>
      </w:r>
      <w:r w:rsidR="005E347E" w:rsidRPr="00AA22C4">
        <w:rPr>
          <w:rFonts w:ascii="Lato" w:hAnsi="Lato"/>
          <w:color w:val="000000" w:themeColor="text1"/>
          <w:sz w:val="22"/>
          <w:szCs w:val="22"/>
        </w:rPr>
        <w:t xml:space="preserve">Brak zgody na wykonywanie badań przesiewowych, zwłaszcza na badania molekularne (SMA, CF), uniemożliwiają wykonanie badań lub znacznie opóźniają jego wykonanie. </w:t>
      </w:r>
    </w:p>
    <w:p w14:paraId="7130425F" w14:textId="5E5C53EE" w:rsidR="005E347E" w:rsidRPr="00AA22C4" w:rsidRDefault="005A2FB1" w:rsidP="007417D0">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2. </w:t>
      </w:r>
      <w:r w:rsidR="005E347E" w:rsidRPr="00AA22C4">
        <w:rPr>
          <w:rFonts w:ascii="Lato" w:hAnsi="Lato"/>
          <w:color w:val="000000" w:themeColor="text1"/>
          <w:sz w:val="22"/>
          <w:szCs w:val="22"/>
        </w:rPr>
        <w:t>Przy intensywnym leczeniu farmakologicznym lub ciężkim stanie dziecka można otrzymać wyniki fałszywie dodatnie w kierunku WPN czy WWM.</w:t>
      </w:r>
    </w:p>
    <w:p w14:paraId="636F3211" w14:textId="65F820BE" w:rsidR="005E347E" w:rsidRPr="00AA22C4" w:rsidRDefault="005A2FB1" w:rsidP="007417D0">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3. </w:t>
      </w:r>
      <w:r w:rsidR="005E347E" w:rsidRPr="00AA22C4">
        <w:rPr>
          <w:rFonts w:ascii="Lato" w:hAnsi="Lato"/>
          <w:color w:val="000000" w:themeColor="text1"/>
          <w:sz w:val="22"/>
          <w:szCs w:val="22"/>
        </w:rPr>
        <w:t xml:space="preserve">Obecność nieprawidłowych metabolitów w badaniu przesiewowym u noworodka może mieć wtórne podłoże związane tylko z zaburzeniami z okresu prenatalnego lub okołoporodowego (np.  wcześniactwo, niska masa urodzeniowa, sposób żywienia, stosowane leki, schorzenia u matki). Wówczas niezbędne jest powtórzenie analiz i/lub przeprowadzenie dodatkowych testów. W przypadku podejrzenia wrodzonej wady metabolizmu niezbędne jest wykonanie dodatkowych badań biochemicznych, takich jak: </w:t>
      </w:r>
    </w:p>
    <w:p w14:paraId="3BE0A43F" w14:textId="42DB1112" w:rsidR="005E347E" w:rsidRPr="00AA22C4" w:rsidRDefault="005A2FB1" w:rsidP="007417D0">
      <w:pPr>
        <w:pStyle w:val="Tekstprzypisudolnego"/>
        <w:spacing w:before="120" w:after="120"/>
        <w:ind w:left="737"/>
        <w:jc w:val="both"/>
        <w:rPr>
          <w:rFonts w:ascii="Lato" w:hAnsi="Lato"/>
          <w:color w:val="000000" w:themeColor="text1"/>
          <w:sz w:val="22"/>
          <w:szCs w:val="22"/>
        </w:rPr>
      </w:pPr>
      <w:r w:rsidRPr="00AA22C4">
        <w:rPr>
          <w:rFonts w:ascii="Lato" w:hAnsi="Lato"/>
          <w:color w:val="000000" w:themeColor="text1"/>
          <w:sz w:val="22"/>
          <w:szCs w:val="22"/>
        </w:rPr>
        <w:t xml:space="preserve">1) </w:t>
      </w:r>
      <w:r w:rsidR="005E347E" w:rsidRPr="00AA22C4">
        <w:rPr>
          <w:rFonts w:ascii="Lato" w:hAnsi="Lato"/>
          <w:color w:val="000000" w:themeColor="text1"/>
          <w:sz w:val="22"/>
          <w:szCs w:val="22"/>
        </w:rPr>
        <w:t>profil kwasów organicznych w moczu metodą chromatografii gazowej sprzężonej ze spektrometrią masową (GC-MS)</w:t>
      </w:r>
      <w:r w:rsidRPr="00AA22C4">
        <w:rPr>
          <w:rFonts w:ascii="Lato" w:hAnsi="Lato"/>
          <w:color w:val="000000" w:themeColor="text1"/>
          <w:sz w:val="22"/>
          <w:szCs w:val="22"/>
        </w:rPr>
        <w:t>;</w:t>
      </w:r>
    </w:p>
    <w:p w14:paraId="3409D835" w14:textId="692AC810" w:rsidR="005E347E" w:rsidRPr="00AA22C4" w:rsidRDefault="005A2FB1" w:rsidP="007417D0">
      <w:pPr>
        <w:pStyle w:val="Tekstprzypisudolnego"/>
        <w:spacing w:before="120" w:after="120"/>
        <w:ind w:left="737"/>
        <w:jc w:val="both"/>
        <w:rPr>
          <w:rFonts w:ascii="Lato" w:hAnsi="Lato"/>
          <w:color w:val="000000" w:themeColor="text1"/>
          <w:sz w:val="22"/>
          <w:szCs w:val="22"/>
        </w:rPr>
      </w:pPr>
      <w:r w:rsidRPr="00AA22C4">
        <w:rPr>
          <w:rFonts w:ascii="Lato" w:hAnsi="Lato"/>
          <w:color w:val="000000" w:themeColor="text1"/>
          <w:sz w:val="22"/>
          <w:szCs w:val="22"/>
        </w:rPr>
        <w:t xml:space="preserve">2) </w:t>
      </w:r>
      <w:r w:rsidR="005E347E" w:rsidRPr="00AA22C4">
        <w:rPr>
          <w:rFonts w:ascii="Lato" w:hAnsi="Lato"/>
          <w:color w:val="000000" w:themeColor="text1"/>
          <w:sz w:val="22"/>
          <w:szCs w:val="22"/>
        </w:rPr>
        <w:t>oznaczenie stężenia aminokwasów metodą ilościową w osoczu</w:t>
      </w:r>
      <w:r w:rsidRPr="00AA22C4">
        <w:rPr>
          <w:rFonts w:ascii="Lato" w:hAnsi="Lato"/>
          <w:color w:val="000000" w:themeColor="text1"/>
          <w:sz w:val="22"/>
          <w:szCs w:val="22"/>
        </w:rPr>
        <w:t>;</w:t>
      </w:r>
    </w:p>
    <w:p w14:paraId="78B8427E" w14:textId="2949F690" w:rsidR="005E347E" w:rsidRPr="00AA22C4" w:rsidRDefault="005A2FB1" w:rsidP="007417D0">
      <w:pPr>
        <w:pStyle w:val="Tekstprzypisudolnego"/>
        <w:spacing w:before="120" w:after="120"/>
        <w:ind w:left="737"/>
        <w:jc w:val="both"/>
        <w:rPr>
          <w:rFonts w:ascii="Lato" w:hAnsi="Lato"/>
          <w:color w:val="000000" w:themeColor="text1"/>
          <w:sz w:val="22"/>
          <w:szCs w:val="22"/>
        </w:rPr>
      </w:pPr>
      <w:r w:rsidRPr="00AA22C4">
        <w:rPr>
          <w:rFonts w:ascii="Lato" w:hAnsi="Lato"/>
          <w:color w:val="000000" w:themeColor="text1"/>
          <w:sz w:val="22"/>
          <w:szCs w:val="22"/>
        </w:rPr>
        <w:t xml:space="preserve">3) </w:t>
      </w:r>
      <w:r w:rsidR="005E347E" w:rsidRPr="00AA22C4">
        <w:rPr>
          <w:rFonts w:ascii="Lato" w:hAnsi="Lato"/>
          <w:color w:val="000000" w:themeColor="text1"/>
          <w:sz w:val="22"/>
          <w:szCs w:val="22"/>
        </w:rPr>
        <w:t>oznaczenie aktywności enzymu, którego niedobór jest podstawą rozpoznania choroby</w:t>
      </w:r>
      <w:r w:rsidRPr="00AA22C4">
        <w:rPr>
          <w:rFonts w:ascii="Lato" w:hAnsi="Lato"/>
          <w:color w:val="000000" w:themeColor="text1"/>
          <w:sz w:val="22"/>
          <w:szCs w:val="22"/>
        </w:rPr>
        <w:t>;</w:t>
      </w:r>
    </w:p>
    <w:p w14:paraId="4FDBC26D" w14:textId="3D2CB5FA" w:rsidR="005E347E" w:rsidRPr="00AA22C4" w:rsidRDefault="005A2FB1" w:rsidP="007417D0">
      <w:pPr>
        <w:pStyle w:val="Tekstprzypisudolnego"/>
        <w:spacing w:before="120" w:after="120"/>
        <w:ind w:left="737"/>
        <w:jc w:val="both"/>
        <w:rPr>
          <w:rFonts w:ascii="Lato" w:hAnsi="Lato"/>
          <w:color w:val="000000" w:themeColor="text1"/>
          <w:sz w:val="22"/>
          <w:szCs w:val="22"/>
        </w:rPr>
      </w:pPr>
      <w:r w:rsidRPr="00AA22C4">
        <w:rPr>
          <w:rFonts w:ascii="Lato" w:hAnsi="Lato"/>
          <w:color w:val="000000" w:themeColor="text1"/>
          <w:sz w:val="22"/>
          <w:szCs w:val="22"/>
        </w:rPr>
        <w:t xml:space="preserve">4) </w:t>
      </w:r>
      <w:r w:rsidR="005E347E" w:rsidRPr="00AA22C4">
        <w:rPr>
          <w:rFonts w:ascii="Lato" w:hAnsi="Lato"/>
          <w:color w:val="000000" w:themeColor="text1"/>
          <w:sz w:val="22"/>
          <w:szCs w:val="22"/>
        </w:rPr>
        <w:t>badania molekularne – zidentyfikowanie mutacji patogennych w analizie DNA (konieczne celem ostatecznego potwierdzenia rozpoznania).</w:t>
      </w:r>
    </w:p>
    <w:p w14:paraId="3CBEA3BE" w14:textId="77777777" w:rsidR="005E347E" w:rsidRPr="00AA22C4" w:rsidRDefault="005E347E" w:rsidP="007417D0">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W przypadku nieprawidłowego wyniku badania przesiewowego noworodków, sugerującego podejrzenie wrodzonej wady metabolizmu, jest niezbędne pilne wykonanie diagnostyki weryfikującej, która w większości przypadków stanowi diagnostykę potwierdzającą wysunięte podejrzenie. Na tym etapie w badania przesiewowe noworodków są zaangażowani, poza diagnostami laboratoryjnymi, lekarze specjaliści w dziedzinie pediatrii metabolicznej, a także specjaliści w dziedzinie laboratoryjnej diagnostyki genetycznej. W zależności od podejrzenia danej jednostki chorobowej, są przeprowadzane analizy laboratoryjne w celu potwierdzenia lub wykluczenia choroby. </w:t>
      </w:r>
    </w:p>
    <w:p w14:paraId="789C892F" w14:textId="77777777" w:rsidR="005E347E" w:rsidRPr="00AA22C4" w:rsidRDefault="005E347E" w:rsidP="007417D0">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W niektórych sytuacjach, np. wykrycia podwyższonego stężenia C5OH, jest niezbędne przeprowadzenie diagnostyki różnicowej w kierunku kilku wrodzonych wad metabolizmu: 3- </w:t>
      </w:r>
      <w:proofErr w:type="spellStart"/>
      <w:r w:rsidRPr="00AA22C4">
        <w:rPr>
          <w:rFonts w:ascii="Lato" w:hAnsi="Lato"/>
          <w:color w:val="000000" w:themeColor="text1"/>
          <w:sz w:val="22"/>
          <w:szCs w:val="22"/>
        </w:rPr>
        <w:t>metylokrotonyloglicynurii</w:t>
      </w:r>
      <w:proofErr w:type="spellEnd"/>
      <w:r w:rsidRPr="00AA22C4">
        <w:rPr>
          <w:rFonts w:ascii="Lato" w:hAnsi="Lato"/>
          <w:color w:val="000000" w:themeColor="text1"/>
          <w:sz w:val="22"/>
          <w:szCs w:val="22"/>
        </w:rPr>
        <w:t>, deficytu wielu karboksylaz, deficytu beta-</w:t>
      </w:r>
      <w:proofErr w:type="spellStart"/>
      <w:r w:rsidRPr="00AA22C4">
        <w:rPr>
          <w:rFonts w:ascii="Lato" w:hAnsi="Lato"/>
          <w:color w:val="000000" w:themeColor="text1"/>
          <w:sz w:val="22"/>
          <w:szCs w:val="22"/>
        </w:rPr>
        <w:t>ketotiolazy</w:t>
      </w:r>
      <w:proofErr w:type="spellEnd"/>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acydurii</w:t>
      </w:r>
      <w:proofErr w:type="spellEnd"/>
      <w:r w:rsidRPr="00AA22C4">
        <w:rPr>
          <w:rFonts w:ascii="Lato" w:hAnsi="Lato"/>
          <w:color w:val="000000" w:themeColor="text1"/>
          <w:sz w:val="22"/>
          <w:szCs w:val="22"/>
        </w:rPr>
        <w:t xml:space="preserve"> </w:t>
      </w:r>
      <w:r w:rsidRPr="00AA22C4">
        <w:rPr>
          <w:rFonts w:ascii="Lato" w:hAnsi="Lato"/>
          <w:color w:val="000000" w:themeColor="text1"/>
          <w:sz w:val="22"/>
          <w:szCs w:val="22"/>
        </w:rPr>
        <w:lastRenderedPageBreak/>
        <w:t>3- </w:t>
      </w:r>
      <w:proofErr w:type="spellStart"/>
      <w:r w:rsidRPr="00AA22C4">
        <w:rPr>
          <w:rFonts w:ascii="Lato" w:hAnsi="Lato"/>
          <w:color w:val="000000" w:themeColor="text1"/>
          <w:sz w:val="22"/>
          <w:szCs w:val="22"/>
        </w:rPr>
        <w:t>hydroksy</w:t>
      </w:r>
      <w:proofErr w:type="spellEnd"/>
      <w:r w:rsidRPr="00AA22C4">
        <w:rPr>
          <w:rFonts w:ascii="Lato" w:hAnsi="Lato"/>
          <w:color w:val="000000" w:themeColor="text1"/>
          <w:sz w:val="22"/>
          <w:szCs w:val="22"/>
        </w:rPr>
        <w:t xml:space="preserve"> 3-metyloglutarowej czy </w:t>
      </w:r>
      <w:proofErr w:type="spellStart"/>
      <w:r w:rsidRPr="00AA22C4">
        <w:rPr>
          <w:rFonts w:ascii="Lato" w:hAnsi="Lato"/>
          <w:color w:val="000000" w:themeColor="text1"/>
          <w:sz w:val="22"/>
          <w:szCs w:val="22"/>
        </w:rPr>
        <w:t>acydurii</w:t>
      </w:r>
      <w:proofErr w:type="spellEnd"/>
      <w:r w:rsidRPr="00AA22C4">
        <w:rPr>
          <w:rFonts w:ascii="Lato" w:hAnsi="Lato"/>
          <w:color w:val="000000" w:themeColor="text1"/>
          <w:sz w:val="22"/>
          <w:szCs w:val="22"/>
        </w:rPr>
        <w:t xml:space="preserve"> 3-metyloglutakonowej typu I.</w:t>
      </w:r>
    </w:p>
    <w:p w14:paraId="2847D61F" w14:textId="77777777" w:rsidR="005E347E" w:rsidRPr="00AA22C4" w:rsidRDefault="005E347E" w:rsidP="007417D0">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W niektórych przypadkach nieprawidłowy wynik badania przesiewowego noworodków jest spowodowany ciężkim stanem klinicznym pacjenta i/lub stosowanym leczeniem (głównie farmakoterapią), co wymaga różnicowania pomiędzy pierwotną wrodzoną wadą metabolizmu, a wtórnym pochodzeniem wykrywanych w badaniu przesiewowym patologicznych metabolitów.</w:t>
      </w:r>
    </w:p>
    <w:p w14:paraId="66EE3B73" w14:textId="77777777" w:rsidR="005E347E" w:rsidRPr="00AA22C4" w:rsidRDefault="005E347E" w:rsidP="007417D0">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Brak objawów klinicznych u noworodka, co wynika z </w:t>
      </w:r>
      <w:proofErr w:type="spellStart"/>
      <w:r w:rsidRPr="00AA22C4">
        <w:rPr>
          <w:rFonts w:ascii="Lato" w:hAnsi="Lato"/>
          <w:color w:val="000000" w:themeColor="text1"/>
          <w:sz w:val="22"/>
          <w:szCs w:val="22"/>
        </w:rPr>
        <w:t>przedobjawowej</w:t>
      </w:r>
      <w:proofErr w:type="spellEnd"/>
      <w:r w:rsidRPr="00AA22C4">
        <w:rPr>
          <w:rFonts w:ascii="Lato" w:hAnsi="Lato"/>
          <w:color w:val="000000" w:themeColor="text1"/>
          <w:sz w:val="22"/>
          <w:szCs w:val="22"/>
        </w:rPr>
        <w:t xml:space="preserve"> identyfikacji wrodzonej wady metabolizmu, wymaga specjalistycznej wiedzy, pozwalającej na ustalenie rozpoznania. W niektórych przypadkach, tj. wątpliwych co do rozpoznania na poziomie biochemicznym, oraz wówczas gdy należy określić postać choroby, jest konieczna analiza DNA dziecka. Badania potwierdzające są wykonywane po wezwaniu pacjenta do Specjalistycznej Poradni lub Kliniki. W takim przypadku laboratorium w którym wykonano badanie przesiewowe kontaktuje się z lekarzem specjalistą w dziedzinie pediatrii metabolicznej lub z pediatrą posiadającym doświadczenie w opiece nad pacjentami z wrodzonymi wadami metabolizmu (z uwzględnieniem zasad ochrony danych osobowych) w pobliżu miejsca zamieszkania pacjenta. Lekarz ten otrzymuje faksem lub e-mailem kopię wyniku badania przesiewowego wraz z ankietą zależną od typu wykrytego zaburzenia (załącznik nr 2, 4, 5 i 7). Następnie przesyła wypełnioną ankietę wraz </w:t>
      </w:r>
      <w:r w:rsidRPr="00AA22C4">
        <w:rPr>
          <w:rFonts w:ascii="Lato" w:hAnsi="Lato"/>
          <w:color w:val="000000" w:themeColor="text1"/>
          <w:sz w:val="22"/>
          <w:szCs w:val="22"/>
        </w:rPr>
        <w:br/>
        <w:t>z materiałem biologicznym pobranym od dziecka do Zakładu Badań Przesiewowych i Diagnostyki Metabolicznej IMiD na badania potwierdzające.</w:t>
      </w:r>
    </w:p>
    <w:p w14:paraId="5C6BA2F6" w14:textId="34909237" w:rsidR="005E347E" w:rsidRPr="00AA22C4" w:rsidRDefault="00516F49" w:rsidP="00AA22C4">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4. </w:t>
      </w:r>
      <w:r w:rsidR="005E347E" w:rsidRPr="00AA22C4">
        <w:rPr>
          <w:rFonts w:ascii="Lato" w:hAnsi="Lato"/>
          <w:color w:val="000000" w:themeColor="text1"/>
          <w:sz w:val="22"/>
          <w:szCs w:val="22"/>
        </w:rPr>
        <w:t xml:space="preserve">Po ustaleniu rozpoznania choroby wykrytej w badaniu przesiewowym noworodków </w:t>
      </w:r>
      <w:r w:rsidR="00B01154" w:rsidRPr="00AA22C4">
        <w:rPr>
          <w:rFonts w:ascii="Lato" w:hAnsi="Lato"/>
          <w:color w:val="000000" w:themeColor="text1"/>
          <w:sz w:val="22"/>
          <w:szCs w:val="22"/>
        </w:rPr>
        <w:t xml:space="preserve">na podstawie </w:t>
      </w:r>
      <w:r w:rsidR="005E347E" w:rsidRPr="00AA22C4">
        <w:rPr>
          <w:rFonts w:ascii="Lato" w:hAnsi="Lato"/>
          <w:color w:val="000000" w:themeColor="text1"/>
          <w:sz w:val="22"/>
          <w:szCs w:val="22"/>
        </w:rPr>
        <w:t>wynik</w:t>
      </w:r>
      <w:r w:rsidR="00B01154" w:rsidRPr="00AA22C4">
        <w:rPr>
          <w:rFonts w:ascii="Lato" w:hAnsi="Lato"/>
          <w:color w:val="000000" w:themeColor="text1"/>
          <w:sz w:val="22"/>
          <w:szCs w:val="22"/>
        </w:rPr>
        <w:t xml:space="preserve">ów </w:t>
      </w:r>
      <w:r w:rsidR="005E347E" w:rsidRPr="00AA22C4">
        <w:rPr>
          <w:rFonts w:ascii="Lato" w:hAnsi="Lato"/>
          <w:color w:val="000000" w:themeColor="text1"/>
          <w:sz w:val="22"/>
          <w:szCs w:val="22"/>
        </w:rPr>
        <w:t>badań</w:t>
      </w:r>
      <w:r w:rsidR="00B01154" w:rsidRPr="00AA22C4">
        <w:rPr>
          <w:rFonts w:ascii="Lato" w:hAnsi="Lato"/>
          <w:color w:val="000000" w:themeColor="text1"/>
          <w:sz w:val="22"/>
          <w:szCs w:val="22"/>
        </w:rPr>
        <w:t xml:space="preserve">, o który mowa </w:t>
      </w:r>
      <w:r w:rsidR="005E347E" w:rsidRPr="00AA22C4">
        <w:rPr>
          <w:rFonts w:ascii="Lato" w:hAnsi="Lato"/>
          <w:color w:val="000000" w:themeColor="text1"/>
          <w:sz w:val="22"/>
          <w:szCs w:val="22"/>
        </w:rPr>
        <w:t>wyżej, specjalista pediatrii metabolicznej (lub lekarz pediatra w porozumieniu ze specjalistą), określa wskazania co do trybu leczenia, udziela informacji matce lub opiekunom prawnym pacjenta o specyfice choroby i zaplanowanym postępowaniu.</w:t>
      </w:r>
    </w:p>
    <w:p w14:paraId="28579EB2" w14:textId="29460978" w:rsidR="005E347E" w:rsidRPr="00AA22C4" w:rsidRDefault="00516F49" w:rsidP="00AA22C4">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5. </w:t>
      </w:r>
      <w:r w:rsidR="005E347E" w:rsidRPr="00AA22C4">
        <w:rPr>
          <w:rFonts w:ascii="Lato" w:hAnsi="Lato"/>
          <w:color w:val="000000" w:themeColor="text1"/>
          <w:sz w:val="22"/>
          <w:szCs w:val="22"/>
        </w:rPr>
        <w:t>Od tego momentu pacjent pozostaje pod stałą opieką ośrodka specjalistycznego, który jest odpowiedzialny za koordynację kompleksowej opieki wielospecjalistycznej dopasowanej do danego pacjenta, w tym za monitorowanie długoterminowe (</w:t>
      </w:r>
      <w:proofErr w:type="spellStart"/>
      <w:r w:rsidR="005E347E" w:rsidRPr="00AA22C4">
        <w:rPr>
          <w:rFonts w:ascii="Lato" w:hAnsi="Lato"/>
          <w:color w:val="000000" w:themeColor="text1"/>
          <w:sz w:val="22"/>
          <w:szCs w:val="22"/>
        </w:rPr>
        <w:t>follow-up</w:t>
      </w:r>
      <w:proofErr w:type="spellEnd"/>
      <w:r w:rsidR="005E347E" w:rsidRPr="00AA22C4">
        <w:rPr>
          <w:rFonts w:ascii="Lato" w:hAnsi="Lato"/>
          <w:color w:val="000000" w:themeColor="text1"/>
          <w:sz w:val="22"/>
          <w:szCs w:val="22"/>
        </w:rPr>
        <w:t xml:space="preserve">) (Tab. 8). Po 12 </w:t>
      </w:r>
      <w:proofErr w:type="spellStart"/>
      <w:r w:rsidR="002426AC" w:rsidRPr="00AA22C4">
        <w:rPr>
          <w:rFonts w:ascii="Lato" w:hAnsi="Lato"/>
          <w:color w:val="000000" w:themeColor="text1"/>
          <w:sz w:val="22"/>
          <w:szCs w:val="22"/>
        </w:rPr>
        <w:t>m.</w:t>
      </w:r>
      <w:proofErr w:type="gramStart"/>
      <w:r w:rsidR="002426AC" w:rsidRPr="00AA22C4">
        <w:rPr>
          <w:rFonts w:ascii="Lato" w:hAnsi="Lato"/>
          <w:color w:val="000000" w:themeColor="text1"/>
          <w:sz w:val="22"/>
          <w:szCs w:val="22"/>
        </w:rPr>
        <w:t>ż.</w:t>
      </w:r>
      <w:r w:rsidR="005E347E" w:rsidRPr="00AA22C4">
        <w:rPr>
          <w:rFonts w:ascii="Lato" w:hAnsi="Lato"/>
          <w:color w:val="000000" w:themeColor="text1"/>
          <w:sz w:val="22"/>
          <w:szCs w:val="22"/>
        </w:rPr>
        <w:t>dziecka</w:t>
      </w:r>
      <w:proofErr w:type="spellEnd"/>
      <w:proofErr w:type="gramEnd"/>
      <w:r w:rsidR="005E347E" w:rsidRPr="00AA22C4">
        <w:rPr>
          <w:rFonts w:ascii="Lato" w:hAnsi="Lato"/>
          <w:color w:val="000000" w:themeColor="text1"/>
          <w:sz w:val="22"/>
          <w:szCs w:val="22"/>
        </w:rPr>
        <w:t xml:space="preserve"> lekarz prowadzący przekazuje wypełnioną ankietę monitorowania leczenia u pacjenta zależną od typu zidentyfikowanej choroby (załącznik nr 3 i 6).</w:t>
      </w:r>
    </w:p>
    <w:p w14:paraId="446FD8A6" w14:textId="77777777" w:rsidR="00ED5013" w:rsidRPr="00AA22C4" w:rsidRDefault="005E347E" w:rsidP="00ED5013">
      <w:pPr>
        <w:pStyle w:val="Tekstprzypisudolnego"/>
        <w:spacing w:before="120" w:after="120"/>
        <w:jc w:val="both"/>
        <w:rPr>
          <w:rFonts w:ascii="Lato" w:hAnsi="Lato"/>
          <w:i/>
          <w:color w:val="000000" w:themeColor="text1"/>
          <w:sz w:val="22"/>
          <w:szCs w:val="22"/>
        </w:rPr>
      </w:pPr>
      <w:r w:rsidRPr="00AA22C4">
        <w:rPr>
          <w:rFonts w:ascii="Lato" w:hAnsi="Lato"/>
          <w:color w:val="000000" w:themeColor="text1"/>
          <w:sz w:val="22"/>
          <w:szCs w:val="22"/>
        </w:rPr>
        <w:t xml:space="preserve">Szczegółowy opis planowanych interwencji znajduje się w części 4.1. </w:t>
      </w:r>
      <w:r w:rsidRPr="00AA22C4">
        <w:rPr>
          <w:rFonts w:ascii="Lato" w:hAnsi="Lato"/>
          <w:i/>
          <w:color w:val="000000" w:themeColor="text1"/>
          <w:sz w:val="22"/>
          <w:szCs w:val="22"/>
        </w:rPr>
        <w:t xml:space="preserve">Etapy programu polityki zdrowotnej i działania podejmowane w ramach etapów. </w:t>
      </w:r>
    </w:p>
    <w:p w14:paraId="11D724CF" w14:textId="77777777" w:rsidR="001C0012" w:rsidRPr="00AA22C4" w:rsidRDefault="00ED5013" w:rsidP="005E347E">
      <w:pPr>
        <w:pStyle w:val="Tekstprzypisudolnego"/>
        <w:spacing w:before="120" w:after="120"/>
        <w:jc w:val="both"/>
        <w:rPr>
          <w:rFonts w:ascii="Lato" w:hAnsi="Lato"/>
          <w:bCs/>
          <w:color w:val="000000" w:themeColor="text1"/>
          <w:sz w:val="22"/>
          <w:szCs w:val="22"/>
        </w:rPr>
      </w:pPr>
      <w:r w:rsidRPr="00AA22C4">
        <w:rPr>
          <w:rFonts w:ascii="Lato" w:hAnsi="Lato"/>
          <w:bCs/>
          <w:color w:val="000000" w:themeColor="text1"/>
          <w:sz w:val="22"/>
          <w:szCs w:val="22"/>
        </w:rPr>
        <w:t xml:space="preserve">W przypadku badań pilotażowych obowiązuje ogólna zasada postępowania w odniesieniu do dzieci z pozytywnym wynikiem testu przesiewowego. Polega ona na bezzwłocznym skierowaniu do lekarza specjalisty, który może zlecić dalsze badania diagnostyczne, w tym genetyczne lub </w:t>
      </w:r>
      <w:r w:rsidRPr="00AA22C4">
        <w:rPr>
          <w:rFonts w:ascii="Lato" w:hAnsi="Lato"/>
          <w:bCs/>
          <w:color w:val="000000" w:themeColor="text1"/>
          <w:sz w:val="22"/>
          <w:szCs w:val="22"/>
        </w:rPr>
        <w:lastRenderedPageBreak/>
        <w:t>molekularne. Szczegółowe algorytmy postępowania dla poszczególnych chorób uwzględnionych w badaniu pilotażowym zostaną opracowane w pierwszym etapie projektu. Będzie on obejmował walidację testów, ustalenie norm oraz określenie wartości predykcyjnej dodatniej (PPV).</w:t>
      </w:r>
    </w:p>
    <w:p w14:paraId="05ABDE23" w14:textId="77777777" w:rsidR="005E347E" w:rsidRPr="00AA22C4" w:rsidRDefault="005E347E" w:rsidP="005E347E">
      <w:pPr>
        <w:pStyle w:val="Tekstprzypisudolnego"/>
        <w:spacing w:before="120" w:after="120"/>
        <w:jc w:val="both"/>
        <w:rPr>
          <w:rFonts w:ascii="Lato" w:hAnsi="Lato"/>
          <w:b/>
          <w:bCs/>
          <w:iCs/>
          <w:color w:val="000000" w:themeColor="text1"/>
          <w:sz w:val="22"/>
          <w:szCs w:val="22"/>
        </w:rPr>
      </w:pPr>
      <w:bookmarkStart w:id="18" w:name="_Toc491892671"/>
      <w:r w:rsidRPr="00AA22C4">
        <w:rPr>
          <w:rFonts w:ascii="Lato" w:hAnsi="Lato"/>
          <w:b/>
          <w:bCs/>
          <w:iCs/>
          <w:color w:val="000000" w:themeColor="text1"/>
          <w:sz w:val="22"/>
          <w:szCs w:val="22"/>
        </w:rPr>
        <w:t>Promowanie współpracy między różnymi instytucjami i organizacjami.</w:t>
      </w:r>
      <w:bookmarkEnd w:id="18"/>
    </w:p>
    <w:p w14:paraId="2D759C63" w14:textId="77777777" w:rsidR="005E347E" w:rsidRPr="00AA22C4" w:rsidRDefault="005E347E" w:rsidP="005E347E">
      <w:pPr>
        <w:pStyle w:val="Tekstprzypisudolnego"/>
        <w:contextualSpacing/>
        <w:jc w:val="both"/>
        <w:rPr>
          <w:rFonts w:ascii="Lato" w:hAnsi="Lato"/>
          <w:i/>
          <w:color w:val="000000" w:themeColor="text1"/>
          <w:sz w:val="22"/>
          <w:szCs w:val="22"/>
        </w:rPr>
      </w:pPr>
      <w:r w:rsidRPr="00AA22C4">
        <w:rPr>
          <w:rFonts w:ascii="Lato" w:hAnsi="Lato"/>
          <w:color w:val="000000" w:themeColor="text1"/>
          <w:sz w:val="22"/>
          <w:szCs w:val="22"/>
        </w:rPr>
        <w:t xml:space="preserve">Realizacja oraz doskonalenie Programu wymaga współpracy z doświadczonymi ekspertami i  instytucjami, a także z towarzystwami naukowymi (Polskie Towarzystwo Wrodzonych Wad Metabolizmu, Polskie Towarzystwo Fenyloketonurii, Polskie Towarzystwo Mukowiscydozy oraz  Polskie Towarzystwo Endokrynologii Dziecięcej, Polskie Towarzystwo Neurologów Dziecięcych, Polskie Towarzystwo Genetyki Człowieka, International </w:t>
      </w:r>
      <w:proofErr w:type="spellStart"/>
      <w:r w:rsidRPr="00AA22C4">
        <w:rPr>
          <w:rFonts w:ascii="Lato" w:hAnsi="Lato"/>
          <w:color w:val="000000" w:themeColor="text1"/>
          <w:sz w:val="22"/>
          <w:szCs w:val="22"/>
        </w:rPr>
        <w:t>Society</w:t>
      </w:r>
      <w:proofErr w:type="spellEnd"/>
      <w:r w:rsidRPr="00AA22C4">
        <w:rPr>
          <w:rFonts w:ascii="Lato" w:hAnsi="Lato"/>
          <w:color w:val="000000" w:themeColor="text1"/>
          <w:sz w:val="22"/>
          <w:szCs w:val="22"/>
        </w:rPr>
        <w:t xml:space="preserve"> for </w:t>
      </w:r>
      <w:proofErr w:type="spellStart"/>
      <w:r w:rsidRPr="00AA22C4">
        <w:rPr>
          <w:rFonts w:ascii="Lato" w:hAnsi="Lato"/>
          <w:color w:val="000000" w:themeColor="text1"/>
          <w:sz w:val="22"/>
          <w:szCs w:val="22"/>
        </w:rPr>
        <w:t>Neonatal</w:t>
      </w:r>
      <w:proofErr w:type="spellEnd"/>
      <w:r w:rsidRPr="00AA22C4">
        <w:rPr>
          <w:rFonts w:ascii="Lato" w:hAnsi="Lato"/>
          <w:color w:val="000000" w:themeColor="text1"/>
          <w:sz w:val="22"/>
          <w:szCs w:val="22"/>
        </w:rPr>
        <w:t xml:space="preserve"> Screening (ISNS) i inne), które stanowią istotną pomoc dla ośrodków przesiewowych wraz z  organizacjami rodziców, jak np.: „Ars Vivendi” czy „</w:t>
      </w:r>
      <w:proofErr w:type="spellStart"/>
      <w:r w:rsidRPr="00AA22C4">
        <w:rPr>
          <w:rFonts w:ascii="Lato" w:hAnsi="Lato"/>
          <w:color w:val="000000" w:themeColor="text1"/>
          <w:sz w:val="22"/>
          <w:szCs w:val="22"/>
        </w:rPr>
        <w:t>Matio</w:t>
      </w:r>
      <w:proofErr w:type="spellEnd"/>
      <w:r w:rsidRPr="00AA22C4">
        <w:rPr>
          <w:rFonts w:ascii="Lato" w:hAnsi="Lato"/>
          <w:color w:val="000000" w:themeColor="text1"/>
          <w:sz w:val="22"/>
          <w:szCs w:val="22"/>
        </w:rPr>
        <w:t xml:space="preserve">” oraz z organizacjami </w:t>
      </w:r>
      <w:proofErr w:type="spellStart"/>
      <w:r w:rsidRPr="00AA22C4">
        <w:rPr>
          <w:rFonts w:ascii="Lato" w:hAnsi="Lato"/>
          <w:color w:val="000000" w:themeColor="text1"/>
          <w:sz w:val="22"/>
          <w:szCs w:val="22"/>
        </w:rPr>
        <w:t>pacjenckimi</w:t>
      </w:r>
      <w:proofErr w:type="spellEnd"/>
      <w:r w:rsidRPr="00AA22C4">
        <w:rPr>
          <w:rFonts w:ascii="Lato" w:hAnsi="Lato"/>
          <w:color w:val="000000" w:themeColor="text1"/>
          <w:sz w:val="22"/>
          <w:szCs w:val="22"/>
        </w:rPr>
        <w:t xml:space="preserve"> (Fundacja SMA, Fundacja Pomocy Chorym na Zanik Mięśni, Polskie Towarzystwo Chorób Nerwowo- Mięśniowych)</w:t>
      </w:r>
      <w:r w:rsidRPr="00AA22C4">
        <w:rPr>
          <w:rFonts w:ascii="Lato" w:hAnsi="Lato"/>
          <w:color w:val="000000" w:themeColor="text1"/>
        </w:rPr>
        <w:t>.</w:t>
      </w:r>
    </w:p>
    <w:p w14:paraId="13FD5A3C" w14:textId="77777777" w:rsidR="005E347E" w:rsidRPr="00AA22C4" w:rsidRDefault="005E347E" w:rsidP="005E347E">
      <w:pPr>
        <w:pStyle w:val="Tekstprzypisudolnego"/>
        <w:numPr>
          <w:ilvl w:val="1"/>
          <w:numId w:val="1"/>
        </w:numPr>
        <w:spacing w:before="120" w:after="120"/>
        <w:ind w:left="709" w:hanging="709"/>
        <w:jc w:val="both"/>
        <w:outlineLvl w:val="1"/>
        <w:rPr>
          <w:rFonts w:ascii="Lato" w:hAnsi="Lato"/>
          <w:b/>
          <w:color w:val="000000" w:themeColor="text1"/>
          <w:sz w:val="28"/>
          <w:szCs w:val="22"/>
        </w:rPr>
      </w:pPr>
      <w:bookmarkStart w:id="19" w:name="_Toc514072288"/>
      <w:r w:rsidRPr="00AA22C4">
        <w:rPr>
          <w:rFonts w:ascii="Lato" w:hAnsi="Lato"/>
          <w:b/>
          <w:color w:val="000000" w:themeColor="text1"/>
          <w:sz w:val="28"/>
          <w:szCs w:val="22"/>
        </w:rPr>
        <w:t>Sposób udzielania świadczeń zdrowotnych w ramach programu polityki zdrowotnej</w:t>
      </w:r>
      <w:bookmarkEnd w:id="19"/>
    </w:p>
    <w:p w14:paraId="797B6238"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Finansowanie badań przesiewowych noworodków w zakresie katalogu chorób określonych </w:t>
      </w:r>
      <w:r w:rsidRPr="00AA22C4">
        <w:rPr>
          <w:rFonts w:ascii="Lato" w:hAnsi="Lato"/>
          <w:color w:val="000000" w:themeColor="text1"/>
          <w:sz w:val="22"/>
          <w:szCs w:val="22"/>
        </w:rPr>
        <w:br/>
        <w:t>w Programie odbywa się w 100% ze środków Programu będących w dyspozycji ministra właściwego do spraw zdrowia, w ramach części 46 – Zdrowie, dział 851 – Ochrona zdrowia, rozdział 85149 – Programy polityki zdrowotnej.</w:t>
      </w:r>
    </w:p>
    <w:p w14:paraId="0D7407EA" w14:textId="275DB0E0"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Ewentualna dalsza diagnostyka i leczenie danego schorzenia odbywa się na warunkach określonych w ustawie z dnia 27 sierpnia 2004 r. o świadczeniach opieki zdrowotnej finansowanych ze środków publicznych (Dz. U. </w:t>
      </w:r>
      <w:r w:rsidR="002879F9" w:rsidRPr="00AA22C4">
        <w:rPr>
          <w:rFonts w:ascii="Lato" w:hAnsi="Lato"/>
          <w:color w:val="000000" w:themeColor="text1"/>
          <w:sz w:val="22"/>
          <w:szCs w:val="22"/>
        </w:rPr>
        <w:t xml:space="preserve">z </w:t>
      </w:r>
      <w:r w:rsidRPr="00AA22C4">
        <w:rPr>
          <w:rFonts w:ascii="Lato" w:hAnsi="Lato"/>
          <w:color w:val="000000" w:themeColor="text1"/>
          <w:sz w:val="22"/>
          <w:szCs w:val="22"/>
        </w:rPr>
        <w:t xml:space="preserve">2024 </w:t>
      </w:r>
      <w:r w:rsidR="002879F9" w:rsidRPr="00AA22C4">
        <w:rPr>
          <w:rFonts w:ascii="Lato" w:hAnsi="Lato"/>
          <w:color w:val="000000" w:themeColor="text1"/>
          <w:sz w:val="22"/>
          <w:szCs w:val="22"/>
        </w:rPr>
        <w:t xml:space="preserve">r. </w:t>
      </w:r>
      <w:r w:rsidRPr="00AA22C4">
        <w:rPr>
          <w:rFonts w:ascii="Lato" w:hAnsi="Lato"/>
          <w:color w:val="000000" w:themeColor="text1"/>
          <w:sz w:val="22"/>
          <w:szCs w:val="22"/>
        </w:rPr>
        <w:t>poz. 146</w:t>
      </w:r>
      <w:r w:rsidR="002879F9" w:rsidRPr="00AA22C4">
        <w:rPr>
          <w:rFonts w:ascii="Lato" w:hAnsi="Lato"/>
          <w:color w:val="000000" w:themeColor="text1"/>
          <w:sz w:val="22"/>
          <w:szCs w:val="22"/>
        </w:rPr>
        <w:t>, z późn. zm.</w:t>
      </w:r>
      <w:r w:rsidRPr="00AA22C4">
        <w:rPr>
          <w:rFonts w:ascii="Lato" w:hAnsi="Lato"/>
          <w:color w:val="000000" w:themeColor="text1"/>
          <w:sz w:val="22"/>
          <w:szCs w:val="22"/>
        </w:rPr>
        <w:t>).</w:t>
      </w:r>
    </w:p>
    <w:p w14:paraId="3760625E" w14:textId="77777777" w:rsidR="005E347E" w:rsidRPr="00AA22C4" w:rsidRDefault="005E347E" w:rsidP="005E347E">
      <w:pPr>
        <w:pStyle w:val="Tekstprzypisudolnego"/>
        <w:numPr>
          <w:ilvl w:val="1"/>
          <w:numId w:val="1"/>
        </w:numPr>
        <w:spacing w:before="120" w:after="120"/>
        <w:ind w:hanging="1080"/>
        <w:jc w:val="both"/>
        <w:outlineLvl w:val="1"/>
        <w:rPr>
          <w:rFonts w:ascii="Lato" w:hAnsi="Lato"/>
          <w:b/>
          <w:color w:val="000000" w:themeColor="text1"/>
          <w:sz w:val="28"/>
          <w:szCs w:val="22"/>
        </w:rPr>
      </w:pPr>
      <w:bookmarkStart w:id="20" w:name="_Toc514072289"/>
      <w:r w:rsidRPr="00AA22C4">
        <w:rPr>
          <w:rFonts w:ascii="Lato" w:hAnsi="Lato"/>
          <w:b/>
          <w:color w:val="000000" w:themeColor="text1"/>
          <w:sz w:val="28"/>
          <w:szCs w:val="22"/>
        </w:rPr>
        <w:t>Sposób zakończenia udziału w programie polityki zdrowotnej</w:t>
      </w:r>
      <w:bookmarkEnd w:id="20"/>
    </w:p>
    <w:p w14:paraId="07AA7922" w14:textId="4AC07A56" w:rsidR="005E347E"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W przypadku noworodków, u których nie wykryto choroby, udział w Programie kończy </w:t>
      </w:r>
      <w:r w:rsidRPr="00AA22C4">
        <w:rPr>
          <w:rFonts w:ascii="Lato" w:hAnsi="Lato"/>
          <w:color w:val="000000" w:themeColor="text1"/>
          <w:sz w:val="22"/>
          <w:szCs w:val="22"/>
        </w:rPr>
        <w:br/>
        <w:t>się w momencie wykonania badania i analizy jego wyniku. W przypadku noworodków, u których stwierdzono podejrzenie choroby, udział w Programie trwa do momentu ustalenia ostatecznej diagnozy (potwierdzenia choroby lub jej wykluczenia). Noworodkom, u których potwierdzono diagnozę, w ramach Programu finansuje się badania kontrolne, które mają na celu ocenić skuteczność prowadzonej terapii. W wyjątkowych przypadkach, badania kontrolne są wykonywane do 18</w:t>
      </w:r>
      <w:r w:rsidR="00A04888" w:rsidRPr="00AA22C4">
        <w:rPr>
          <w:rFonts w:ascii="Lato" w:hAnsi="Lato"/>
          <w:color w:val="000000" w:themeColor="text1"/>
          <w:sz w:val="22"/>
          <w:szCs w:val="22"/>
        </w:rPr>
        <w:t>.</w:t>
      </w:r>
      <w:r w:rsidRPr="00AA22C4">
        <w:rPr>
          <w:rFonts w:ascii="Lato" w:hAnsi="Lato"/>
          <w:color w:val="000000" w:themeColor="text1"/>
          <w:sz w:val="22"/>
          <w:szCs w:val="22"/>
        </w:rPr>
        <w:t xml:space="preserve"> </w:t>
      </w:r>
      <w:r w:rsidR="00A04888" w:rsidRPr="00AA22C4">
        <w:rPr>
          <w:rFonts w:ascii="Lato" w:hAnsi="Lato"/>
          <w:color w:val="000000" w:themeColor="text1"/>
          <w:sz w:val="22"/>
          <w:szCs w:val="22"/>
        </w:rPr>
        <w:t>r.</w:t>
      </w:r>
      <w:r w:rsidRPr="00AA22C4">
        <w:rPr>
          <w:rFonts w:ascii="Lato" w:hAnsi="Lato"/>
          <w:color w:val="000000" w:themeColor="text1"/>
          <w:sz w:val="22"/>
          <w:szCs w:val="22"/>
        </w:rPr>
        <w:t xml:space="preserve"> ż. </w:t>
      </w:r>
    </w:p>
    <w:p w14:paraId="3C5F8583" w14:textId="77777777" w:rsidR="007417D0" w:rsidRPr="00AA22C4" w:rsidRDefault="007417D0" w:rsidP="005E347E">
      <w:pPr>
        <w:pStyle w:val="Tekstprzypisudolnego"/>
        <w:spacing w:before="120" w:after="120"/>
        <w:jc w:val="both"/>
        <w:rPr>
          <w:rFonts w:ascii="Lato" w:hAnsi="Lato"/>
          <w:color w:val="000000" w:themeColor="text1"/>
          <w:sz w:val="22"/>
          <w:szCs w:val="22"/>
        </w:rPr>
      </w:pPr>
    </w:p>
    <w:p w14:paraId="31F5BDAE"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lastRenderedPageBreak/>
        <w:t xml:space="preserve">W przypadku wykrycia podejrzenia choroby, rodzic/opiekun prawny dziecka jest o tym fakcie niezwłocznie informowany (telefonicznie lub listownie – w zależności od rozpoznania). Każdy opiekun otrzymuje wsparcie w zakresie wskazania do jakiej placówki medycznej może się zgłosić celem potwierdzenia diagnozy i rozpoczęcia leczenia. W przypadku braku zgody na wykonanie badania przesiewowego w pierwszych dobach życia, realizator podejmuje próbę wykonania badania po wypisie dziecka ze szpitala. W tym celu, do rodziców/opiekunów prawnych dziecka jest wysyłany list obejmujący informację o istocie realizacji badań przesiewowych (załącznik nr 8) wraz z bibułą (na którą należy pobrać próbkę krwi, a następnie należy odesłać do nadawcy) oraz oświadczeniem o udzieleniu zgody na badania przesiewowe (którą należy podpisać i odesłać do nadawcy). </w:t>
      </w:r>
    </w:p>
    <w:p w14:paraId="3B7A9C1F" w14:textId="77777777" w:rsidR="005E347E" w:rsidRPr="00AA22C4" w:rsidRDefault="005E347E" w:rsidP="005E347E">
      <w:pPr>
        <w:spacing w:before="120" w:after="120"/>
        <w:jc w:val="both"/>
        <w:rPr>
          <w:rFonts w:ascii="Lato" w:hAnsi="Lato"/>
          <w:b/>
          <w:bCs/>
          <w:iCs/>
          <w:color w:val="000000" w:themeColor="text1"/>
          <w:sz w:val="22"/>
          <w:szCs w:val="22"/>
        </w:rPr>
      </w:pPr>
      <w:bookmarkStart w:id="21" w:name="_Toc491892672"/>
      <w:r w:rsidRPr="00AA22C4">
        <w:rPr>
          <w:rFonts w:ascii="Lato" w:hAnsi="Lato"/>
          <w:b/>
          <w:bCs/>
          <w:iCs/>
          <w:color w:val="000000" w:themeColor="text1"/>
          <w:sz w:val="22"/>
          <w:szCs w:val="22"/>
        </w:rPr>
        <w:t>Możliwość ponownego wykorzystania programu w przyszłości lub kontynuowanie jego realizacji przez inne jednostki.</w:t>
      </w:r>
      <w:bookmarkEnd w:id="21"/>
    </w:p>
    <w:p w14:paraId="69C417EB" w14:textId="77777777" w:rsidR="005E347E" w:rsidRPr="00AA22C4" w:rsidRDefault="005E347E" w:rsidP="005E347E">
      <w:pPr>
        <w:spacing w:before="120" w:after="120"/>
        <w:jc w:val="both"/>
        <w:rPr>
          <w:rFonts w:ascii="Lato" w:hAnsi="Lato"/>
          <w:color w:val="000000" w:themeColor="text1"/>
          <w:sz w:val="22"/>
          <w:szCs w:val="22"/>
        </w:rPr>
      </w:pPr>
      <w:r w:rsidRPr="00AA22C4">
        <w:rPr>
          <w:rFonts w:ascii="Lato" w:hAnsi="Lato"/>
          <w:color w:val="000000" w:themeColor="text1"/>
          <w:sz w:val="22"/>
          <w:szCs w:val="22"/>
        </w:rPr>
        <w:t>Badania przesiewowe noworodków nie należą do badań standardowych, dla których wypracowano stałe normy i standardy diagnostyczne oraz lecznicze, lecz ciągle rozwijanym specjalistycznym działem chemii klinicznej, czego dowodem są setki publikacji naukowych oraz specjalistyczne konferencje poświęcone metodyce i technice przesiewowej jak i poszczególnym chorobom, np. mukowiscydozie, ukazujące się rokrocznie. Z tego względu badania przesiewowe jako działanie profilaktyczne, ważne zwłaszcza dla przyszłych rodziców, powinny być zakwalifikowane jako stałe działanie profilaktyczne w ochronie zdrowia, a ze względu na konieczność nadążania za szybkim postępem w świecie powinny być prowadzone w dotychczasowej formie organizacyjnej, jako program polityki zdrowotnej Ministerstwa Zdrowia. Program powinien być kontynuowany w kolejnych latach.</w:t>
      </w:r>
    </w:p>
    <w:p w14:paraId="22D6773A" w14:textId="77777777" w:rsidR="005E347E" w:rsidRPr="00AA22C4" w:rsidRDefault="005E347E" w:rsidP="007417D0">
      <w:pPr>
        <w:pStyle w:val="Tekstprzypisudolnego"/>
        <w:numPr>
          <w:ilvl w:val="0"/>
          <w:numId w:val="1"/>
        </w:numPr>
        <w:spacing w:before="360" w:after="120"/>
        <w:ind w:hanging="1077"/>
        <w:contextualSpacing/>
        <w:jc w:val="both"/>
        <w:outlineLvl w:val="0"/>
        <w:rPr>
          <w:rFonts w:ascii="Lato" w:hAnsi="Lato"/>
          <w:b/>
          <w:color w:val="000000" w:themeColor="text1"/>
          <w:sz w:val="36"/>
          <w:szCs w:val="36"/>
        </w:rPr>
      </w:pPr>
      <w:bookmarkStart w:id="22" w:name="_Toc514072290"/>
      <w:r w:rsidRPr="00AA22C4">
        <w:rPr>
          <w:rFonts w:ascii="Lato" w:hAnsi="Lato"/>
          <w:b/>
          <w:color w:val="000000" w:themeColor="text1"/>
          <w:sz w:val="36"/>
          <w:szCs w:val="36"/>
        </w:rPr>
        <w:t>Organizacja programu polityki zdrowotnej</w:t>
      </w:r>
      <w:bookmarkEnd w:id="22"/>
      <w:r w:rsidRPr="00AA22C4">
        <w:rPr>
          <w:rFonts w:ascii="Lato" w:hAnsi="Lato"/>
          <w:b/>
          <w:color w:val="000000" w:themeColor="text1"/>
          <w:sz w:val="36"/>
          <w:szCs w:val="36"/>
        </w:rPr>
        <w:t xml:space="preserve"> </w:t>
      </w:r>
    </w:p>
    <w:p w14:paraId="18A8B248" w14:textId="77777777" w:rsidR="005E347E" w:rsidRPr="00AA22C4" w:rsidRDefault="005E347E" w:rsidP="005E347E">
      <w:pPr>
        <w:pStyle w:val="Tekstprzypisudolnego"/>
        <w:numPr>
          <w:ilvl w:val="1"/>
          <w:numId w:val="1"/>
        </w:numPr>
        <w:spacing w:before="120" w:after="120"/>
        <w:ind w:left="709" w:hanging="709"/>
        <w:jc w:val="both"/>
        <w:outlineLvl w:val="1"/>
        <w:rPr>
          <w:rFonts w:ascii="Lato" w:hAnsi="Lato"/>
          <w:b/>
          <w:color w:val="000000" w:themeColor="text1"/>
          <w:sz w:val="28"/>
          <w:szCs w:val="22"/>
        </w:rPr>
      </w:pPr>
      <w:bookmarkStart w:id="23" w:name="_Toc514072291"/>
      <w:r w:rsidRPr="00AA22C4">
        <w:rPr>
          <w:rFonts w:ascii="Lato" w:hAnsi="Lato"/>
          <w:b/>
          <w:color w:val="000000" w:themeColor="text1"/>
          <w:sz w:val="28"/>
          <w:szCs w:val="22"/>
        </w:rPr>
        <w:t xml:space="preserve">Etapy programu polityki zdrowotnej i działania podejmowane </w:t>
      </w:r>
      <w:r w:rsidRPr="00AA22C4">
        <w:rPr>
          <w:rFonts w:ascii="Lato" w:hAnsi="Lato"/>
          <w:b/>
          <w:color w:val="000000" w:themeColor="text1"/>
          <w:sz w:val="28"/>
          <w:szCs w:val="22"/>
        </w:rPr>
        <w:br/>
        <w:t>w ramach etapów</w:t>
      </w:r>
      <w:bookmarkEnd w:id="23"/>
    </w:p>
    <w:p w14:paraId="1ACC2F34" w14:textId="469D1A8F" w:rsidR="005E347E" w:rsidRPr="00AA22C4" w:rsidRDefault="005E347E" w:rsidP="005E347E">
      <w:pPr>
        <w:pStyle w:val="Tekstprzypisudolnego"/>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W Rzecz</w:t>
      </w:r>
      <w:r w:rsidR="007A48CA" w:rsidRPr="00AA22C4">
        <w:rPr>
          <w:rFonts w:ascii="Lato" w:hAnsi="Lato"/>
          <w:color w:val="000000" w:themeColor="text1"/>
          <w:sz w:val="22"/>
          <w:szCs w:val="22"/>
        </w:rPr>
        <w:t>y</w:t>
      </w:r>
      <w:r w:rsidRPr="00AA22C4">
        <w:rPr>
          <w:rFonts w:ascii="Lato" w:hAnsi="Lato"/>
          <w:color w:val="000000" w:themeColor="text1"/>
          <w:sz w:val="22"/>
          <w:szCs w:val="22"/>
        </w:rPr>
        <w:t>pospolitej Polskiej badania przesiewowe są oparte na systemie opracowanym w IMiD. Bazuje on na pełnej komputerowej kontroli wszystkich etapów przesiewu (</w:t>
      </w:r>
      <w:r w:rsidR="00B01154" w:rsidRPr="00AA22C4">
        <w:rPr>
          <w:rFonts w:ascii="Lato" w:hAnsi="Lato"/>
          <w:color w:val="000000" w:themeColor="text1"/>
          <w:sz w:val="22"/>
          <w:szCs w:val="22"/>
        </w:rPr>
        <w:t xml:space="preserve">odpowiednie </w:t>
      </w:r>
      <w:r w:rsidRPr="00AA22C4">
        <w:rPr>
          <w:rFonts w:ascii="Lato" w:hAnsi="Lato"/>
          <w:color w:val="000000" w:themeColor="text1"/>
          <w:sz w:val="22"/>
          <w:szCs w:val="22"/>
        </w:rPr>
        <w:t>oprogramowanie), począwszy od pobierania próbek krwi na bibułę aż do finalnej diagnozy lekarza prowadzącego diagnostykę potwierdzającą, a w następnym etapie badania kontrolne i monitorowanie leczenia. Podstawą bezpieczeństwa systemu jest wprowadzenie dzielonych etykiet z kodem paskowym oraz standardowych bibuł do pobrań, które są dostarczane przez producentów zestawów diagnostycznych.</w:t>
      </w:r>
    </w:p>
    <w:p w14:paraId="263B9677"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p>
    <w:p w14:paraId="57080C06" w14:textId="61D962B3" w:rsidR="005E347E" w:rsidRPr="00AA22C4" w:rsidRDefault="005E347E" w:rsidP="005E347E">
      <w:pPr>
        <w:pStyle w:val="Tekstprzypisudolnego"/>
        <w:spacing w:before="120" w:after="120"/>
        <w:contextualSpacing/>
        <w:jc w:val="both"/>
        <w:rPr>
          <w:rFonts w:ascii="Lato" w:hAnsi="Lato"/>
          <w:b/>
          <w:bCs/>
          <w:color w:val="000000" w:themeColor="text1"/>
          <w:sz w:val="22"/>
          <w:szCs w:val="22"/>
        </w:rPr>
      </w:pPr>
      <w:bookmarkStart w:id="24" w:name="_Toc491892680"/>
      <w:r w:rsidRPr="00AA22C4">
        <w:rPr>
          <w:rFonts w:ascii="Lato" w:hAnsi="Lato"/>
          <w:b/>
          <w:bCs/>
          <w:color w:val="000000" w:themeColor="text1"/>
          <w:sz w:val="22"/>
          <w:szCs w:val="22"/>
        </w:rPr>
        <w:t>Ryc. 4. Ogólny schemat obiegu etykiet i bibuł w badaniach przesiewowych</w:t>
      </w:r>
      <w:bookmarkEnd w:id="24"/>
    </w:p>
    <w:p w14:paraId="6AC2363E" w14:textId="4AC73D1E" w:rsidR="005E347E" w:rsidRPr="00AA22C4" w:rsidRDefault="00D36156" w:rsidP="005E347E">
      <w:pPr>
        <w:pStyle w:val="Tekstprzypisudolnego"/>
        <w:spacing w:before="120" w:after="120"/>
        <w:contextualSpacing/>
        <w:jc w:val="both"/>
        <w:rPr>
          <w:rFonts w:ascii="Lato" w:hAnsi="Lato"/>
          <w:b/>
          <w:bCs/>
          <w:color w:val="000000" w:themeColor="text1"/>
          <w:sz w:val="22"/>
          <w:szCs w:val="22"/>
        </w:rPr>
      </w:pPr>
      <w:r w:rsidRPr="00AA22C4">
        <w:rPr>
          <w:noProof/>
          <w:color w:val="000000" w:themeColor="text1"/>
        </w:rPr>
        <w:drawing>
          <wp:anchor distT="0" distB="0" distL="114300" distR="114300" simplePos="0" relativeHeight="251671040" behindDoc="0" locked="0" layoutInCell="1" allowOverlap="1" wp14:anchorId="58807719" wp14:editId="2CAA068C">
            <wp:simplePos x="0" y="0"/>
            <wp:positionH relativeFrom="column">
              <wp:posOffset>-3175</wp:posOffset>
            </wp:positionH>
            <wp:positionV relativeFrom="paragraph">
              <wp:posOffset>254635</wp:posOffset>
            </wp:positionV>
            <wp:extent cx="6122670" cy="4779645"/>
            <wp:effectExtent l="0" t="0" r="0" b="1905"/>
            <wp:wrapTopAndBottom/>
            <wp:docPr id="18"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5"/>
                    <pic:cNvPicPr>
                      <a:picLocks noChangeAspect="1" noChangeArrowheads="1"/>
                    </pic:cNvPicPr>
                  </pic:nvPicPr>
                  <pic:blipFill>
                    <a:blip r:embed="rId12"/>
                    <a:stretch>
                      <a:fillRect/>
                    </a:stretch>
                  </pic:blipFill>
                  <pic:spPr bwMode="auto">
                    <a:xfrm>
                      <a:off x="0" y="0"/>
                      <a:ext cx="6122670" cy="4779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A7D03A"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p>
    <w:p w14:paraId="3BEC0388"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Legenda:</w:t>
      </w:r>
    </w:p>
    <w:p w14:paraId="685056AA" w14:textId="77777777" w:rsidR="005E347E" w:rsidRPr="00AA22C4" w:rsidRDefault="005E347E" w:rsidP="005E347E">
      <w:pPr>
        <w:pStyle w:val="Tekstprzypisudolnego"/>
        <w:numPr>
          <w:ilvl w:val="0"/>
          <w:numId w:val="33"/>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wysyłka etykiet z kodem (kody rejestrowane wg szpitali i oddziałów);</w:t>
      </w:r>
    </w:p>
    <w:p w14:paraId="6D19A4ED" w14:textId="77777777" w:rsidR="005E347E" w:rsidRPr="00AA22C4" w:rsidRDefault="005E347E" w:rsidP="005E347E">
      <w:pPr>
        <w:pStyle w:val="Tekstprzypisudolnego"/>
        <w:numPr>
          <w:ilvl w:val="0"/>
          <w:numId w:val="33"/>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wysyłka czystych bibuł do pobrań krwi;</w:t>
      </w:r>
    </w:p>
    <w:p w14:paraId="0BD90AE4" w14:textId="77777777" w:rsidR="005E347E" w:rsidRPr="00AA22C4" w:rsidRDefault="005E347E" w:rsidP="005E347E">
      <w:pPr>
        <w:pStyle w:val="Tekstprzypisudolnego"/>
        <w:numPr>
          <w:ilvl w:val="0"/>
          <w:numId w:val="33"/>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wklejenie etykietek (część bez kodu paskowego) do szpitalnego rejestru pobrań i do Książeczki Zdrowia Dziecka;</w:t>
      </w:r>
    </w:p>
    <w:p w14:paraId="20838ACC" w14:textId="77777777" w:rsidR="005E347E" w:rsidRPr="00AA22C4" w:rsidRDefault="005E347E" w:rsidP="005E347E">
      <w:pPr>
        <w:pStyle w:val="Tekstprzypisudolnego"/>
        <w:numPr>
          <w:ilvl w:val="0"/>
          <w:numId w:val="33"/>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naklejenie etykiet z kodem paskowym na bibuły do pobrań;</w:t>
      </w:r>
    </w:p>
    <w:p w14:paraId="71706FE6" w14:textId="77777777" w:rsidR="005E347E" w:rsidRPr="00AA22C4" w:rsidRDefault="005E347E" w:rsidP="005E347E">
      <w:pPr>
        <w:pStyle w:val="Tekstprzypisudolnego"/>
        <w:numPr>
          <w:ilvl w:val="0"/>
          <w:numId w:val="33"/>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odesłanie bibuły z wysuszoną krwią do laboratorium przesiewowego (lub informacji o kodzie);</w:t>
      </w:r>
    </w:p>
    <w:p w14:paraId="0181C8D0" w14:textId="77777777" w:rsidR="005E347E" w:rsidRPr="00AA22C4" w:rsidRDefault="005E347E" w:rsidP="005E347E">
      <w:pPr>
        <w:pStyle w:val="Tekstprzypisudolnego"/>
        <w:numPr>
          <w:ilvl w:val="0"/>
          <w:numId w:val="33"/>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wysyłka do rodziców czystej bibuły z kodem paskowym na powtórne pobranie krwi;</w:t>
      </w:r>
    </w:p>
    <w:p w14:paraId="6B018995" w14:textId="77777777" w:rsidR="005E347E" w:rsidRPr="00AA22C4" w:rsidRDefault="005E347E" w:rsidP="005E347E">
      <w:pPr>
        <w:pStyle w:val="Tekstprzypisudolnego"/>
        <w:numPr>
          <w:ilvl w:val="0"/>
          <w:numId w:val="33"/>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odesłanie pobranej bibuły (lub odmowy pobrania) do laboratorium;</w:t>
      </w:r>
    </w:p>
    <w:p w14:paraId="350817E9" w14:textId="77777777" w:rsidR="005E347E" w:rsidRPr="00AA22C4" w:rsidRDefault="005E347E" w:rsidP="005E347E">
      <w:pPr>
        <w:pStyle w:val="Tekstprzypisudolnego"/>
        <w:numPr>
          <w:ilvl w:val="0"/>
          <w:numId w:val="33"/>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 xml:space="preserve">wezwanie noworodka do Kliniki lub Poradni Specjalistycznej (informacja do rodziców </w:t>
      </w:r>
      <w:r w:rsidRPr="00AA22C4">
        <w:rPr>
          <w:rFonts w:ascii="Lato" w:hAnsi="Lato"/>
          <w:color w:val="000000" w:themeColor="text1"/>
          <w:sz w:val="22"/>
          <w:szCs w:val="22"/>
        </w:rPr>
        <w:br/>
        <w:t>i do lekarza w Klinice lub Poradni Specjalistycznej);</w:t>
      </w:r>
    </w:p>
    <w:p w14:paraId="0F6C4BC7" w14:textId="77777777" w:rsidR="0032602F" w:rsidRPr="00AA22C4" w:rsidRDefault="0032602F" w:rsidP="0032602F">
      <w:pPr>
        <w:pStyle w:val="Tekstprzypisudolnego"/>
        <w:spacing w:before="120" w:after="120"/>
        <w:contextualSpacing/>
        <w:jc w:val="both"/>
        <w:rPr>
          <w:rFonts w:ascii="Lato" w:hAnsi="Lato"/>
          <w:color w:val="000000" w:themeColor="text1"/>
          <w:sz w:val="22"/>
          <w:szCs w:val="22"/>
        </w:rPr>
      </w:pPr>
    </w:p>
    <w:p w14:paraId="128A118D" w14:textId="77777777" w:rsidR="005E347E" w:rsidRPr="00AA22C4" w:rsidRDefault="005E347E" w:rsidP="005E347E">
      <w:pPr>
        <w:pStyle w:val="Tekstprzypisudolnego"/>
        <w:numPr>
          <w:ilvl w:val="0"/>
          <w:numId w:val="33"/>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zgłoszenie się rodziców z dzieckiem do Kliniki lub Poradni Specjalistycznej;</w:t>
      </w:r>
    </w:p>
    <w:p w14:paraId="55D001C6" w14:textId="77777777" w:rsidR="005E347E" w:rsidRPr="00AA22C4" w:rsidRDefault="005E347E" w:rsidP="005E347E">
      <w:pPr>
        <w:pStyle w:val="Tekstprzypisudolnego"/>
        <w:numPr>
          <w:ilvl w:val="0"/>
          <w:numId w:val="33"/>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odesłanie przez lekarza z Kliniki lub Poradni Specjalistycznej informacji o wizycie dziecka i wstępnej diagnozie;</w:t>
      </w:r>
    </w:p>
    <w:p w14:paraId="27E0E192" w14:textId="77777777" w:rsidR="005E347E" w:rsidRPr="00AA22C4" w:rsidRDefault="005E347E" w:rsidP="005E347E">
      <w:pPr>
        <w:pStyle w:val="Tekstprzypisudolnego"/>
        <w:numPr>
          <w:ilvl w:val="0"/>
          <w:numId w:val="33"/>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monitorowanie leczenia – przekazanie czystych bibuł z kodami podczas wizyty kontrolnej;</w:t>
      </w:r>
    </w:p>
    <w:p w14:paraId="793A734E" w14:textId="77777777" w:rsidR="005E347E" w:rsidRPr="00AA22C4" w:rsidRDefault="005E347E" w:rsidP="005E347E">
      <w:pPr>
        <w:pStyle w:val="Tekstprzypisudolnego"/>
        <w:numPr>
          <w:ilvl w:val="0"/>
          <w:numId w:val="33"/>
        </w:numPr>
        <w:spacing w:before="120" w:after="120"/>
        <w:jc w:val="both"/>
        <w:rPr>
          <w:rFonts w:ascii="Lato" w:hAnsi="Lato"/>
          <w:color w:val="000000" w:themeColor="text1"/>
          <w:sz w:val="22"/>
          <w:szCs w:val="22"/>
        </w:rPr>
      </w:pPr>
      <w:r w:rsidRPr="00AA22C4">
        <w:rPr>
          <w:rFonts w:ascii="Lato" w:hAnsi="Lato"/>
          <w:color w:val="000000" w:themeColor="text1"/>
          <w:sz w:val="22"/>
          <w:szCs w:val="22"/>
        </w:rPr>
        <w:t>monitorowanie leczenia – przesłanie pobranej bibuły do laboratorium.</w:t>
      </w:r>
    </w:p>
    <w:p w14:paraId="52666C4C" w14:textId="2CF23165" w:rsidR="005E347E" w:rsidRPr="00AA22C4" w:rsidRDefault="005E347E" w:rsidP="005E347E">
      <w:pPr>
        <w:pStyle w:val="Tekstprzypisudolnego"/>
        <w:spacing w:before="120" w:after="120"/>
        <w:jc w:val="both"/>
        <w:rPr>
          <w:rFonts w:ascii="Lato" w:hAnsi="Lato"/>
          <w:b/>
          <w:bCs/>
          <w:color w:val="000000" w:themeColor="text1"/>
          <w:sz w:val="22"/>
          <w:szCs w:val="22"/>
        </w:rPr>
      </w:pPr>
      <w:bookmarkStart w:id="25" w:name="_Toc491892682"/>
      <w:r w:rsidRPr="00AA22C4">
        <w:rPr>
          <w:rFonts w:ascii="Lato" w:hAnsi="Lato"/>
          <w:b/>
          <w:bCs/>
          <w:color w:val="000000" w:themeColor="text1"/>
          <w:sz w:val="22"/>
          <w:szCs w:val="22"/>
        </w:rPr>
        <w:t>Wprowadzenie</w:t>
      </w:r>
      <w:bookmarkEnd w:id="25"/>
      <w:r w:rsidRPr="00AA22C4">
        <w:rPr>
          <w:rFonts w:ascii="Lato" w:hAnsi="Lato"/>
          <w:b/>
          <w:bCs/>
          <w:color w:val="000000" w:themeColor="text1"/>
          <w:sz w:val="22"/>
          <w:szCs w:val="22"/>
        </w:rPr>
        <w:t xml:space="preserve"> – w zakresie </w:t>
      </w:r>
      <w:r w:rsidR="00B01154" w:rsidRPr="00AA22C4">
        <w:rPr>
          <w:rFonts w:ascii="Lato" w:hAnsi="Lato"/>
          <w:b/>
          <w:bCs/>
          <w:color w:val="000000" w:themeColor="text1"/>
          <w:sz w:val="22"/>
          <w:szCs w:val="22"/>
        </w:rPr>
        <w:t xml:space="preserve">odpowiedniego </w:t>
      </w:r>
      <w:r w:rsidRPr="00AA22C4">
        <w:rPr>
          <w:rFonts w:ascii="Lato" w:hAnsi="Lato"/>
          <w:b/>
          <w:bCs/>
          <w:color w:val="000000" w:themeColor="text1"/>
          <w:sz w:val="22"/>
          <w:szCs w:val="22"/>
        </w:rPr>
        <w:t>oprogramowania</w:t>
      </w:r>
    </w:p>
    <w:p w14:paraId="3E558E47" w14:textId="625DB047" w:rsidR="005E347E" w:rsidRPr="00AA22C4" w:rsidRDefault="00B01154"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Odpowiednie </w:t>
      </w:r>
      <w:r w:rsidR="005E347E" w:rsidRPr="00AA22C4">
        <w:rPr>
          <w:rFonts w:ascii="Lato" w:hAnsi="Lato"/>
          <w:color w:val="000000" w:themeColor="text1"/>
          <w:sz w:val="22"/>
          <w:szCs w:val="22"/>
        </w:rPr>
        <w:t>oprogramowanie do przeprowadzenia badań przesiewowych to aplikacja komputerowa zapewniająca kompleksową obsługę organizacji i zarządzania badaniami przesiewowymi noworodków w Rzecz</w:t>
      </w:r>
      <w:r w:rsidR="007A48CA" w:rsidRPr="00AA22C4">
        <w:rPr>
          <w:rFonts w:ascii="Lato" w:hAnsi="Lato"/>
          <w:color w:val="000000" w:themeColor="text1"/>
          <w:sz w:val="22"/>
          <w:szCs w:val="22"/>
        </w:rPr>
        <w:t>y</w:t>
      </w:r>
      <w:r w:rsidR="005E347E" w:rsidRPr="00AA22C4">
        <w:rPr>
          <w:rFonts w:ascii="Lato" w:hAnsi="Lato"/>
          <w:color w:val="000000" w:themeColor="text1"/>
          <w:sz w:val="22"/>
          <w:szCs w:val="22"/>
        </w:rPr>
        <w:t>pospolitej Polskiej. Za pomocą programu są rejestrowane dane noworodków oraz wyniki badań wykonywanych w ramach badań przesiewowych. Program umożliwia tworzenie testów analitycznych, pomiar tych testów na podłączonych analizatorach i wykonanie obliczeń wyników oraz kwalifikację tych wyników. Po zakończeniu testów program narzuca i kontroluje właściwe postępowanie diagnostyczne w przypadku podejrzenia jednej z wykrywanych chorób. Program rejestruje i kontroluje również czynności wykonywane w celu prawidłowego i pełnego wykonania badań przesiewowych dla każdego noworodka urodzonego w Polsce. Pierwsza wersja programu powstała w 1993 r. i obejmowała tylko analizę w kierunku wrodzonej niedoczynności tarczycy. Przez następne lata program był sukcesywnie rozwijany i dostosowywany do zmieniających się badań przesiewowych.</w:t>
      </w:r>
    </w:p>
    <w:p w14:paraId="73401E7E" w14:textId="2907CB81"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Nowe oprogramowanie pracuje </w:t>
      </w:r>
      <w:r w:rsidR="00B01154" w:rsidRPr="00AA22C4">
        <w:rPr>
          <w:rFonts w:ascii="Lato" w:hAnsi="Lato"/>
          <w:color w:val="000000" w:themeColor="text1"/>
          <w:sz w:val="22"/>
          <w:szCs w:val="22"/>
        </w:rPr>
        <w:t xml:space="preserve">na podstawie </w:t>
      </w:r>
      <w:r w:rsidRPr="00AA22C4">
        <w:rPr>
          <w:rFonts w:ascii="Lato" w:hAnsi="Lato"/>
          <w:color w:val="000000" w:themeColor="text1"/>
          <w:sz w:val="22"/>
          <w:szCs w:val="22"/>
        </w:rPr>
        <w:t>architektur</w:t>
      </w:r>
      <w:r w:rsidR="00B01154" w:rsidRPr="00AA22C4">
        <w:rPr>
          <w:rFonts w:ascii="Lato" w:hAnsi="Lato"/>
          <w:color w:val="000000" w:themeColor="text1"/>
          <w:sz w:val="22"/>
          <w:szCs w:val="22"/>
        </w:rPr>
        <w:t>y</w:t>
      </w:r>
      <w:r w:rsidRPr="00AA22C4">
        <w:rPr>
          <w:rFonts w:ascii="Lato" w:hAnsi="Lato"/>
          <w:color w:val="000000" w:themeColor="text1"/>
          <w:sz w:val="22"/>
          <w:szCs w:val="22"/>
        </w:rPr>
        <w:t xml:space="preserve"> klient-serwer co pozwala na rozdzielenie zadań fizycznego przechowywania danych (odczyt/zapis/archiwizacja/kontrola dostępu/kontrola integralności) wykonywanego na serwerze baz danych od zadania prezentacji (wyświetlania/wprowadzania/drukowania) danych, wykonywanego przez oprogramowanie klienta. </w:t>
      </w:r>
    </w:p>
    <w:p w14:paraId="7DDECCC5"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Zadaniem serwera baz danych jest tylko fizyczny odczyt, zapis i utrzymanie integralności danych przesyłanych lub żądanych przez klientów oraz archiwizacja tych danych. Serwer danych pilnuje również uprawnień danego klienta do dostępu do danych. Każdy użytkownik łączący się z serwerem musi mieć odpowiednie uprawnienia nadane przez administratora danych (np. lokalizacja, czas połączenia, itp.). Dla każdego użytkownika jest przydzielany również określony zakres dostępnych danych i określony zakres dostępnych operacji na danych (np. użytkownik może tylko odczytywać dane bez możliwości ich zmiany, użytkownik może odczytać nazwisko ale może mieć zablokowany odczyt adresu). </w:t>
      </w:r>
    </w:p>
    <w:p w14:paraId="67628B4A"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lastRenderedPageBreak/>
        <w:t xml:space="preserve">Zadaniem klienta jest przyjmowanie danych od użytkowników oraz ich prezentacja zgodnie </w:t>
      </w:r>
      <w:r w:rsidRPr="00AA22C4">
        <w:rPr>
          <w:rFonts w:ascii="Lato" w:hAnsi="Lato"/>
          <w:color w:val="000000" w:themeColor="text1"/>
          <w:sz w:val="22"/>
          <w:szCs w:val="22"/>
        </w:rPr>
        <w:br/>
        <w:t>z powiązaniami i znaczeniem w rzeczywistości, którą dane te modelują. Klient sprawdza również poprawność i logiczną spójność danych wprowadzanych przez użytkowników przed ich przesłaniem do serwera. Ponadto, klient sprawdza także uprawnienia użytkowników do dostępu do określonych kategorii danych. Szczególnym rodzajem klienta jest pośrednik, którego zadaniem jest transformacja i agregacja danych przed przesłaniem do następnego klienta (tzw. cienkiego klienta – „cienkiego”, nie obarczonego wiedzą o logice danych, np. z poziomu przeglądarki internetowej), który służy już tylko do prezentacji tych danych. Taka architektura pozwala na stosunkowo łatwe rozszerzanie programu o dodatkową funkcjonalność, np. dostęp lekarzy do danych leczonych dzieci.</w:t>
      </w:r>
    </w:p>
    <w:p w14:paraId="4A867B1C" w14:textId="3DA32AD4"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Do komunikacji pomiędzy serwerem a klientami używany jest protokół TCP/IP standardowo wykorzystywany w obecnych sieciach internetowych i intranetowych. Pozwala to na dostęp do danych z dowolnego miejsca z zachowaniem zasad bezpieczeństwa przez szyfrowanie transmisji danych (protokół SSL, VPN), co daje pewność, że dane przekazywane w trakcie pracy programu nie zostaną przechwycone i wykorzystane przez osoby nieuprawnione. </w:t>
      </w:r>
    </w:p>
    <w:p w14:paraId="242DCA39" w14:textId="77777777" w:rsidR="005E347E" w:rsidRPr="00AA22C4" w:rsidRDefault="005E347E" w:rsidP="005E347E">
      <w:pPr>
        <w:pStyle w:val="Tekstprzypisudolnego"/>
        <w:spacing w:before="120"/>
        <w:contextualSpacing/>
        <w:rPr>
          <w:rFonts w:ascii="Lato" w:hAnsi="Lato"/>
          <w:b/>
          <w:bCs/>
          <w:color w:val="000000" w:themeColor="text1"/>
          <w:sz w:val="22"/>
          <w:szCs w:val="22"/>
        </w:rPr>
      </w:pPr>
      <w:bookmarkStart w:id="26" w:name="_Toc491892683"/>
      <w:r w:rsidRPr="00AA22C4">
        <w:rPr>
          <w:rFonts w:ascii="Lato" w:hAnsi="Lato"/>
          <w:b/>
          <w:color w:val="000000" w:themeColor="text1"/>
          <w:sz w:val="22"/>
          <w:szCs w:val="22"/>
        </w:rPr>
        <w:t>Ryc. 5.</w:t>
      </w:r>
      <w:r w:rsidRPr="00AA22C4">
        <w:rPr>
          <w:rFonts w:ascii="Lato" w:hAnsi="Lato"/>
          <w:color w:val="000000" w:themeColor="text1"/>
          <w:sz w:val="22"/>
          <w:szCs w:val="22"/>
        </w:rPr>
        <w:t xml:space="preserve"> </w:t>
      </w:r>
      <w:r w:rsidRPr="00AA22C4">
        <w:rPr>
          <w:rFonts w:ascii="Lato" w:hAnsi="Lato"/>
          <w:b/>
          <w:bCs/>
          <w:color w:val="000000" w:themeColor="text1"/>
          <w:sz w:val="22"/>
          <w:szCs w:val="22"/>
        </w:rPr>
        <w:t>Główne elementy programu i ich cechy:</w:t>
      </w:r>
      <w:bookmarkEnd w:id="26"/>
    </w:p>
    <w:p w14:paraId="0BB3B983" w14:textId="37AEE1C1" w:rsidR="005E347E" w:rsidRPr="00AA22C4" w:rsidRDefault="007417D0" w:rsidP="005E347E">
      <w:pPr>
        <w:pStyle w:val="Tekstprzypisudolnego"/>
        <w:spacing w:before="120"/>
        <w:contextualSpacing/>
        <w:jc w:val="both"/>
        <w:rPr>
          <w:rFonts w:ascii="Lato" w:hAnsi="Lato"/>
          <w:color w:val="000000" w:themeColor="text1"/>
          <w:sz w:val="22"/>
          <w:szCs w:val="22"/>
        </w:rPr>
      </w:pPr>
      <w:r w:rsidRPr="00AA22C4">
        <w:rPr>
          <w:noProof/>
          <w:color w:val="000000" w:themeColor="text1"/>
        </w:rPr>
        <w:drawing>
          <wp:anchor distT="0" distB="0" distL="0" distR="0" simplePos="0" relativeHeight="251652608" behindDoc="0" locked="0" layoutInCell="1" allowOverlap="1" wp14:anchorId="1EDCEE9A" wp14:editId="1D9D3107">
            <wp:simplePos x="0" y="0"/>
            <wp:positionH relativeFrom="column">
              <wp:posOffset>1637030</wp:posOffset>
            </wp:positionH>
            <wp:positionV relativeFrom="paragraph">
              <wp:posOffset>224790</wp:posOffset>
            </wp:positionV>
            <wp:extent cx="2560320" cy="2560320"/>
            <wp:effectExtent l="0" t="0" r="0" b="0"/>
            <wp:wrapTopAndBottom/>
            <wp:docPr id="17" name="Obraz190" descr="Obraz zawierający tekst, zrzut ekranu, Czcionka, Jaskrawoniebieski&#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190" descr="Obraz zawierający tekst, zrzut ekranu, Czcionka, Jaskrawoniebieski&#10;&#10;Opis wygenerowany automatyczni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0320" cy="2560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0910A" w14:textId="77777777" w:rsidR="005E347E" w:rsidRPr="00AA22C4" w:rsidRDefault="005E347E" w:rsidP="005E347E">
      <w:pPr>
        <w:pStyle w:val="Tekstprzypisudolnego"/>
        <w:spacing w:before="120"/>
        <w:contextualSpacing/>
        <w:jc w:val="both"/>
        <w:rPr>
          <w:rFonts w:ascii="Lato" w:hAnsi="Lato"/>
          <w:color w:val="000000" w:themeColor="text1"/>
          <w:sz w:val="22"/>
          <w:szCs w:val="22"/>
        </w:rPr>
      </w:pPr>
    </w:p>
    <w:p w14:paraId="7230A4A3" w14:textId="77777777" w:rsidR="007417D0" w:rsidRPr="00AA22C4" w:rsidRDefault="007417D0" w:rsidP="005E347E">
      <w:pPr>
        <w:pStyle w:val="Tekstprzypisudolnego"/>
        <w:spacing w:before="120"/>
        <w:contextualSpacing/>
        <w:jc w:val="both"/>
        <w:rPr>
          <w:rFonts w:ascii="Lato" w:hAnsi="Lato"/>
          <w:color w:val="000000" w:themeColor="text1"/>
          <w:sz w:val="22"/>
          <w:szCs w:val="22"/>
        </w:rPr>
      </w:pPr>
    </w:p>
    <w:p w14:paraId="392958CA" w14:textId="77777777" w:rsidR="005E347E" w:rsidRPr="00AA22C4" w:rsidRDefault="005E347E" w:rsidP="005E347E">
      <w:pPr>
        <w:pStyle w:val="Tekstprzypisudolnego"/>
        <w:numPr>
          <w:ilvl w:val="0"/>
          <w:numId w:val="4"/>
        </w:numPr>
        <w:spacing w:before="120" w:after="120"/>
        <w:contextualSpacing/>
        <w:jc w:val="both"/>
        <w:rPr>
          <w:rFonts w:ascii="Lato" w:hAnsi="Lato"/>
          <w:color w:val="000000" w:themeColor="text1"/>
          <w:sz w:val="22"/>
          <w:szCs w:val="22"/>
        </w:rPr>
      </w:pPr>
      <w:bookmarkStart w:id="27" w:name="__RefHeading___Toc3937_653959226"/>
      <w:bookmarkEnd w:id="27"/>
      <w:r w:rsidRPr="00AA22C4">
        <w:rPr>
          <w:rFonts w:ascii="Lato" w:hAnsi="Lato"/>
          <w:color w:val="000000" w:themeColor="text1"/>
          <w:sz w:val="22"/>
          <w:szCs w:val="22"/>
        </w:rPr>
        <w:t>Dane:</w:t>
      </w:r>
    </w:p>
    <w:p w14:paraId="02401AF9" w14:textId="77777777" w:rsidR="005E347E" w:rsidRPr="00AA22C4" w:rsidRDefault="005E347E" w:rsidP="005E347E">
      <w:pPr>
        <w:pStyle w:val="Tekstprzypisudolnego"/>
        <w:numPr>
          <w:ilvl w:val="1"/>
          <w:numId w:val="4"/>
        </w:numPr>
        <w:spacing w:before="120" w:after="120"/>
        <w:contextualSpacing/>
        <w:jc w:val="both"/>
        <w:rPr>
          <w:rFonts w:ascii="Lato" w:hAnsi="Lato"/>
          <w:color w:val="000000" w:themeColor="text1"/>
          <w:sz w:val="22"/>
          <w:szCs w:val="22"/>
        </w:rPr>
      </w:pPr>
      <w:bookmarkStart w:id="28" w:name="__RefHeading___Toc3939_653959226"/>
      <w:bookmarkEnd w:id="28"/>
      <w:r w:rsidRPr="00AA22C4">
        <w:rPr>
          <w:rFonts w:ascii="Lato" w:hAnsi="Lato"/>
          <w:color w:val="000000" w:themeColor="text1"/>
          <w:sz w:val="22"/>
          <w:szCs w:val="22"/>
        </w:rPr>
        <w:t>modelują rzeczywiste obiekty uczestniczące w badaniach przesiewowych;</w:t>
      </w:r>
    </w:p>
    <w:p w14:paraId="705770E9" w14:textId="77777777" w:rsidR="005E347E" w:rsidRPr="00AA22C4" w:rsidRDefault="005E347E" w:rsidP="005E347E">
      <w:pPr>
        <w:pStyle w:val="Tekstprzypisudolnego"/>
        <w:numPr>
          <w:ilvl w:val="1"/>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mają atrybuty i właściwości;</w:t>
      </w:r>
    </w:p>
    <w:p w14:paraId="65938C29" w14:textId="77777777" w:rsidR="005E347E" w:rsidRPr="00AA22C4" w:rsidRDefault="005E347E" w:rsidP="005E347E">
      <w:pPr>
        <w:pStyle w:val="Tekstprzypisudolnego"/>
        <w:numPr>
          <w:ilvl w:val="1"/>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mogą być powiązane ze sobą za pomocą hierarchii lub relacji;</w:t>
      </w:r>
    </w:p>
    <w:p w14:paraId="6874F8DA" w14:textId="77777777" w:rsidR="005E347E" w:rsidRPr="00AA22C4" w:rsidRDefault="005E347E" w:rsidP="005E347E">
      <w:pPr>
        <w:pStyle w:val="Tekstprzypisudolnego"/>
        <w:numPr>
          <w:ilvl w:val="1"/>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dane są przechowywane w bazie danych;</w:t>
      </w:r>
    </w:p>
    <w:p w14:paraId="6A7BBBFA" w14:textId="77777777" w:rsidR="005E347E" w:rsidRPr="00AA22C4" w:rsidRDefault="005E347E" w:rsidP="005E347E">
      <w:pPr>
        <w:pStyle w:val="Tekstprzypisudolnego"/>
        <w:numPr>
          <w:ilvl w:val="1"/>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lastRenderedPageBreak/>
        <w:t xml:space="preserve">przykładowe dane: </w:t>
      </w:r>
    </w:p>
    <w:p w14:paraId="27E75E88" w14:textId="77777777" w:rsidR="005E347E" w:rsidRPr="00AA22C4" w:rsidRDefault="005E347E" w:rsidP="005E347E">
      <w:pPr>
        <w:pStyle w:val="Tekstprzypisudolnego"/>
        <w:numPr>
          <w:ilvl w:val="2"/>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etykiety z kodem,</w:t>
      </w:r>
    </w:p>
    <w:p w14:paraId="722252C8" w14:textId="77777777" w:rsidR="005E347E" w:rsidRPr="00AA22C4" w:rsidRDefault="005E347E" w:rsidP="005E347E">
      <w:pPr>
        <w:pStyle w:val="Tekstprzypisudolnego"/>
        <w:numPr>
          <w:ilvl w:val="2"/>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bibuły (dane noworodków):</w:t>
      </w:r>
    </w:p>
    <w:p w14:paraId="29CEB885" w14:textId="77777777" w:rsidR="005E347E" w:rsidRPr="00AA22C4" w:rsidRDefault="005E347E" w:rsidP="005E347E">
      <w:pPr>
        <w:pStyle w:val="Tekstprzypisudolnego"/>
        <w:spacing w:before="120" w:after="120"/>
        <w:ind w:left="1440"/>
        <w:contextualSpacing/>
        <w:jc w:val="both"/>
        <w:rPr>
          <w:rFonts w:ascii="Lato" w:hAnsi="Lato"/>
          <w:color w:val="000000" w:themeColor="text1"/>
          <w:sz w:val="22"/>
          <w:szCs w:val="22"/>
        </w:rPr>
      </w:pPr>
      <w:r w:rsidRPr="00AA22C4">
        <w:rPr>
          <w:rFonts w:ascii="Lato" w:hAnsi="Lato"/>
          <w:color w:val="000000" w:themeColor="text1"/>
          <w:sz w:val="22"/>
          <w:szCs w:val="22"/>
        </w:rPr>
        <w:t>– wyniki wykonanych badań,</w:t>
      </w:r>
    </w:p>
    <w:p w14:paraId="7A899583" w14:textId="77777777" w:rsidR="005E347E" w:rsidRPr="00AA22C4" w:rsidRDefault="005E347E" w:rsidP="005E347E">
      <w:pPr>
        <w:pStyle w:val="Tekstprzypisudolnego"/>
        <w:numPr>
          <w:ilvl w:val="2"/>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protokoły testów (dane testów analitycznych wykonywanych w laboratoriach),</w:t>
      </w:r>
    </w:p>
    <w:p w14:paraId="0B39C292" w14:textId="77777777" w:rsidR="005E347E" w:rsidRPr="00AA22C4" w:rsidRDefault="005E347E" w:rsidP="005E347E">
      <w:pPr>
        <w:pStyle w:val="Tekstprzypisudolnego"/>
        <w:numPr>
          <w:ilvl w:val="2"/>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analizy (dane definiujące analizy wykonywane w laboratoriach) – analizy są nadrzędne w stosunku do:</w:t>
      </w:r>
    </w:p>
    <w:p w14:paraId="41EA17CE" w14:textId="77777777" w:rsidR="005E347E" w:rsidRPr="00AA22C4" w:rsidRDefault="005E347E" w:rsidP="005E347E">
      <w:pPr>
        <w:pStyle w:val="Tekstprzypisudolnego"/>
        <w:spacing w:before="120" w:after="120"/>
        <w:ind w:left="1440"/>
        <w:contextualSpacing/>
        <w:jc w:val="both"/>
        <w:rPr>
          <w:rFonts w:ascii="Lato" w:hAnsi="Lato"/>
          <w:color w:val="000000" w:themeColor="text1"/>
          <w:sz w:val="22"/>
          <w:szCs w:val="22"/>
        </w:rPr>
      </w:pPr>
      <w:r w:rsidRPr="00AA22C4">
        <w:rPr>
          <w:rFonts w:ascii="Lato" w:hAnsi="Lato"/>
          <w:color w:val="000000" w:themeColor="text1"/>
          <w:sz w:val="22"/>
          <w:szCs w:val="22"/>
        </w:rPr>
        <w:t>– zestawy odczynników (informacja o odczynnikach służących do wykonywania i ewaluacji testów),</w:t>
      </w:r>
    </w:p>
    <w:p w14:paraId="4CA01F97" w14:textId="77777777" w:rsidR="005E347E" w:rsidRPr="00AA22C4" w:rsidRDefault="005E347E" w:rsidP="005E347E">
      <w:pPr>
        <w:pStyle w:val="Tekstprzypisudolnego"/>
        <w:spacing w:before="120" w:after="120"/>
        <w:ind w:left="1440"/>
        <w:contextualSpacing/>
        <w:jc w:val="both"/>
        <w:rPr>
          <w:rFonts w:ascii="Lato" w:hAnsi="Lato"/>
          <w:color w:val="000000" w:themeColor="text1"/>
          <w:sz w:val="22"/>
          <w:szCs w:val="22"/>
        </w:rPr>
      </w:pPr>
      <w:r w:rsidRPr="00AA22C4">
        <w:rPr>
          <w:rFonts w:ascii="Lato" w:hAnsi="Lato"/>
          <w:color w:val="000000" w:themeColor="text1"/>
          <w:sz w:val="22"/>
          <w:szCs w:val="22"/>
        </w:rPr>
        <w:t>– normy (dane określające sposób klasyfikacji wyników badań),</w:t>
      </w:r>
    </w:p>
    <w:p w14:paraId="35E8B0F5" w14:textId="77777777" w:rsidR="005E347E" w:rsidRPr="00AA22C4" w:rsidRDefault="005E347E" w:rsidP="005E347E">
      <w:pPr>
        <w:pStyle w:val="Tekstprzypisudolnego"/>
        <w:spacing w:before="120" w:after="120"/>
        <w:ind w:left="1440"/>
        <w:contextualSpacing/>
        <w:jc w:val="both"/>
        <w:rPr>
          <w:rFonts w:ascii="Lato" w:hAnsi="Lato"/>
          <w:color w:val="000000" w:themeColor="text1"/>
          <w:sz w:val="22"/>
          <w:szCs w:val="22"/>
        </w:rPr>
      </w:pPr>
      <w:r w:rsidRPr="00AA22C4">
        <w:rPr>
          <w:rFonts w:ascii="Lato" w:hAnsi="Lato"/>
          <w:color w:val="000000" w:themeColor="text1"/>
          <w:sz w:val="22"/>
          <w:szCs w:val="22"/>
        </w:rPr>
        <w:t>– matryce (dane określające sposób tworzenia testów analitycznych),</w:t>
      </w:r>
    </w:p>
    <w:p w14:paraId="3AD97D52" w14:textId="77777777" w:rsidR="005E347E" w:rsidRPr="00AA22C4" w:rsidRDefault="005E347E" w:rsidP="005E347E">
      <w:pPr>
        <w:pStyle w:val="Tekstprzypisudolnego"/>
        <w:numPr>
          <w:ilvl w:val="2"/>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laboratoria (dane laboratoriów wykonujących badania),</w:t>
      </w:r>
    </w:p>
    <w:p w14:paraId="44A99638" w14:textId="77777777" w:rsidR="005E347E" w:rsidRPr="00AA22C4" w:rsidRDefault="005E347E" w:rsidP="005E347E">
      <w:pPr>
        <w:pStyle w:val="Tekstprzypisudolnego"/>
        <w:numPr>
          <w:ilvl w:val="2"/>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szpitale (dane oddziałów szpitalnych),</w:t>
      </w:r>
    </w:p>
    <w:p w14:paraId="38F4BD9B" w14:textId="77777777" w:rsidR="005E347E" w:rsidRPr="00AA22C4" w:rsidRDefault="005E347E" w:rsidP="005E347E">
      <w:pPr>
        <w:pStyle w:val="Tekstprzypisudolnego"/>
        <w:numPr>
          <w:ilvl w:val="2"/>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kliniki (dane klinik i poradni prowadzących diagnostykę weryfikacyjną).</w:t>
      </w:r>
    </w:p>
    <w:p w14:paraId="201AC64B" w14:textId="77777777" w:rsidR="005E347E" w:rsidRPr="00AA22C4" w:rsidRDefault="005E347E" w:rsidP="005E347E">
      <w:pPr>
        <w:pStyle w:val="Tekstprzypisudolnego"/>
        <w:numPr>
          <w:ilvl w:val="0"/>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Zadania:</w:t>
      </w:r>
    </w:p>
    <w:p w14:paraId="3E35DCB3" w14:textId="77777777" w:rsidR="005E347E" w:rsidRPr="00AA22C4" w:rsidRDefault="005E347E" w:rsidP="005E347E">
      <w:pPr>
        <w:pStyle w:val="Tekstprzypisudolnego"/>
        <w:numPr>
          <w:ilvl w:val="1"/>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definiują czynności do wykonania lub wykonane w przeszłości;</w:t>
      </w:r>
    </w:p>
    <w:p w14:paraId="3360945F" w14:textId="77777777" w:rsidR="005E347E" w:rsidRPr="00AA22C4" w:rsidRDefault="005E347E" w:rsidP="005E347E">
      <w:pPr>
        <w:pStyle w:val="Tekstprzypisudolnego"/>
        <w:numPr>
          <w:ilvl w:val="1"/>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przypisane są do konkretnych danych (bibuł);</w:t>
      </w:r>
    </w:p>
    <w:p w14:paraId="1B28D615" w14:textId="77777777" w:rsidR="005E347E" w:rsidRPr="00AA22C4" w:rsidRDefault="005E347E" w:rsidP="005E347E">
      <w:pPr>
        <w:pStyle w:val="Tekstprzypisudolnego"/>
        <w:numPr>
          <w:ilvl w:val="1"/>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mają określony czas startu i zakończenia;</w:t>
      </w:r>
    </w:p>
    <w:p w14:paraId="08A9A7BE" w14:textId="77777777" w:rsidR="005E347E" w:rsidRPr="00AA22C4" w:rsidRDefault="005E347E" w:rsidP="005E347E">
      <w:pPr>
        <w:pStyle w:val="Tekstprzypisudolnego"/>
        <w:numPr>
          <w:ilvl w:val="1"/>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mogą zmieniać swój stan w czasie ich wykonywania;</w:t>
      </w:r>
    </w:p>
    <w:p w14:paraId="6F94DBC4" w14:textId="77777777" w:rsidR="005E347E" w:rsidRPr="00AA22C4" w:rsidRDefault="005E347E" w:rsidP="005E347E">
      <w:pPr>
        <w:pStyle w:val="Tekstprzypisudolnego"/>
        <w:numPr>
          <w:ilvl w:val="1"/>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zadania to też są dane;</w:t>
      </w:r>
    </w:p>
    <w:p w14:paraId="3CBFF3CD" w14:textId="77777777" w:rsidR="005E347E" w:rsidRPr="00AA22C4" w:rsidRDefault="005E347E" w:rsidP="005E347E">
      <w:pPr>
        <w:pStyle w:val="Tekstprzypisudolnego"/>
        <w:numPr>
          <w:ilvl w:val="1"/>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mają określoną kolejność wykonywania;</w:t>
      </w:r>
    </w:p>
    <w:p w14:paraId="2AF8D438" w14:textId="77777777" w:rsidR="005E347E" w:rsidRPr="00AA22C4" w:rsidRDefault="005E347E" w:rsidP="005E347E">
      <w:pPr>
        <w:pStyle w:val="Tekstprzypisudolnego"/>
        <w:numPr>
          <w:ilvl w:val="1"/>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przykładowe zadania:</w:t>
      </w:r>
    </w:p>
    <w:p w14:paraId="26F22C88" w14:textId="77777777" w:rsidR="005E347E" w:rsidRPr="00AA22C4" w:rsidRDefault="005E347E" w:rsidP="005E347E">
      <w:pPr>
        <w:pStyle w:val="Tekstprzypisudolnego"/>
        <w:numPr>
          <w:ilvl w:val="2"/>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wykonaj analizy z powtórnego pobrania:</w:t>
      </w:r>
    </w:p>
    <w:p w14:paraId="33A31C1F" w14:textId="77777777" w:rsidR="005E347E" w:rsidRPr="00AA22C4" w:rsidRDefault="005E347E" w:rsidP="005E347E">
      <w:pPr>
        <w:pStyle w:val="Tekstprzypisudolnego"/>
        <w:spacing w:before="120" w:after="120"/>
        <w:ind w:left="703" w:firstLine="737"/>
        <w:contextualSpacing/>
        <w:jc w:val="both"/>
        <w:rPr>
          <w:rFonts w:ascii="Lato" w:hAnsi="Lato"/>
          <w:color w:val="000000" w:themeColor="text1"/>
          <w:sz w:val="22"/>
          <w:szCs w:val="22"/>
        </w:rPr>
      </w:pPr>
      <w:r w:rsidRPr="00AA22C4">
        <w:rPr>
          <w:rFonts w:ascii="Lato" w:hAnsi="Lato"/>
          <w:color w:val="000000" w:themeColor="text1"/>
          <w:sz w:val="22"/>
          <w:szCs w:val="22"/>
        </w:rPr>
        <w:t>– wyślij bibułę do rodziców,</w:t>
      </w:r>
    </w:p>
    <w:p w14:paraId="137AAC61" w14:textId="77777777" w:rsidR="005E347E" w:rsidRPr="00AA22C4" w:rsidRDefault="005E347E" w:rsidP="005E347E">
      <w:pPr>
        <w:pStyle w:val="Tekstprzypisudolnego"/>
        <w:spacing w:before="120" w:after="120"/>
        <w:ind w:left="720" w:firstLine="720"/>
        <w:contextualSpacing/>
        <w:jc w:val="both"/>
        <w:rPr>
          <w:rFonts w:ascii="Lato" w:hAnsi="Lato"/>
          <w:color w:val="000000" w:themeColor="text1"/>
          <w:sz w:val="22"/>
          <w:szCs w:val="22"/>
        </w:rPr>
      </w:pPr>
      <w:r w:rsidRPr="00AA22C4">
        <w:rPr>
          <w:rFonts w:ascii="Lato" w:hAnsi="Lato"/>
          <w:color w:val="000000" w:themeColor="text1"/>
          <w:sz w:val="22"/>
          <w:szCs w:val="22"/>
        </w:rPr>
        <w:t>– czekaj na powrót bibuły,</w:t>
      </w:r>
    </w:p>
    <w:p w14:paraId="6433B3EB" w14:textId="77777777" w:rsidR="005E347E" w:rsidRPr="00AA22C4" w:rsidRDefault="005E347E" w:rsidP="005E347E">
      <w:pPr>
        <w:pStyle w:val="Tekstprzypisudolnego"/>
        <w:spacing w:before="120" w:after="120"/>
        <w:ind w:left="720" w:firstLine="720"/>
        <w:contextualSpacing/>
        <w:jc w:val="both"/>
        <w:rPr>
          <w:rFonts w:ascii="Lato" w:hAnsi="Lato"/>
          <w:color w:val="000000" w:themeColor="text1"/>
          <w:sz w:val="22"/>
          <w:szCs w:val="22"/>
        </w:rPr>
      </w:pPr>
      <w:r w:rsidRPr="00AA22C4">
        <w:rPr>
          <w:rFonts w:ascii="Lato" w:hAnsi="Lato"/>
          <w:color w:val="000000" w:themeColor="text1"/>
          <w:sz w:val="22"/>
          <w:szCs w:val="22"/>
        </w:rPr>
        <w:t>– wyślij potwierdzenie,</w:t>
      </w:r>
    </w:p>
    <w:p w14:paraId="2E8A1E6E" w14:textId="77777777" w:rsidR="005E347E" w:rsidRPr="00AA22C4" w:rsidRDefault="005E347E" w:rsidP="005E347E">
      <w:pPr>
        <w:pStyle w:val="Tekstprzypisudolnego"/>
        <w:numPr>
          <w:ilvl w:val="2"/>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wyślij wezwanie do kliniki lub poradni:</w:t>
      </w:r>
    </w:p>
    <w:p w14:paraId="03BE368F" w14:textId="77777777" w:rsidR="005E347E" w:rsidRPr="00AA22C4" w:rsidRDefault="005E347E" w:rsidP="005E347E">
      <w:pPr>
        <w:pStyle w:val="Tekstprzypisudolnego"/>
        <w:spacing w:before="120" w:after="120"/>
        <w:ind w:left="1440"/>
        <w:contextualSpacing/>
        <w:jc w:val="both"/>
        <w:rPr>
          <w:rFonts w:ascii="Lato" w:hAnsi="Lato"/>
          <w:color w:val="000000" w:themeColor="text1"/>
          <w:sz w:val="22"/>
          <w:szCs w:val="22"/>
        </w:rPr>
      </w:pPr>
      <w:r w:rsidRPr="00AA22C4">
        <w:rPr>
          <w:rFonts w:ascii="Lato" w:hAnsi="Lato"/>
          <w:color w:val="000000" w:themeColor="text1"/>
          <w:sz w:val="22"/>
          <w:szCs w:val="22"/>
        </w:rPr>
        <w:t>– czekaj na informację o wizycie,</w:t>
      </w:r>
    </w:p>
    <w:p w14:paraId="333FC233" w14:textId="77777777" w:rsidR="005E347E" w:rsidRPr="00AA22C4" w:rsidRDefault="005E347E" w:rsidP="005E347E">
      <w:pPr>
        <w:pStyle w:val="Tekstprzypisudolnego"/>
        <w:spacing w:before="120" w:after="120"/>
        <w:ind w:left="1440"/>
        <w:contextualSpacing/>
        <w:jc w:val="both"/>
        <w:rPr>
          <w:rFonts w:ascii="Lato" w:hAnsi="Lato"/>
          <w:color w:val="000000" w:themeColor="text1"/>
          <w:sz w:val="22"/>
          <w:szCs w:val="22"/>
        </w:rPr>
      </w:pPr>
      <w:r w:rsidRPr="00AA22C4">
        <w:rPr>
          <w:rFonts w:ascii="Lato" w:hAnsi="Lato"/>
          <w:color w:val="000000" w:themeColor="text1"/>
          <w:sz w:val="22"/>
          <w:szCs w:val="22"/>
        </w:rPr>
        <w:t>– czekaj na informację o diagnozie.</w:t>
      </w:r>
    </w:p>
    <w:p w14:paraId="3009E57C" w14:textId="77777777" w:rsidR="005E347E" w:rsidRPr="00AA22C4" w:rsidRDefault="005E347E" w:rsidP="005E347E">
      <w:pPr>
        <w:pStyle w:val="Tekstprzypisudolnego"/>
        <w:numPr>
          <w:ilvl w:val="0"/>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Procedury:</w:t>
      </w:r>
    </w:p>
    <w:p w14:paraId="06B5A06A" w14:textId="77777777" w:rsidR="005E347E" w:rsidRPr="00AA22C4" w:rsidRDefault="005E347E" w:rsidP="005E347E">
      <w:pPr>
        <w:pStyle w:val="Tekstprzypisudolnego"/>
        <w:numPr>
          <w:ilvl w:val="1"/>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czynności wykonywane dla pojedynczych danych lub dla grupy danych przechowywanych w bazie;</w:t>
      </w:r>
    </w:p>
    <w:p w14:paraId="00D7B83C" w14:textId="77777777" w:rsidR="005E347E" w:rsidRPr="00AA22C4" w:rsidRDefault="005E347E" w:rsidP="005E347E">
      <w:pPr>
        <w:pStyle w:val="Tekstprzypisudolnego"/>
        <w:numPr>
          <w:ilvl w:val="1"/>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 xml:space="preserve">procedury mogą zmieniać, usuwać lub tworzyć dane; </w:t>
      </w:r>
    </w:p>
    <w:p w14:paraId="6EC39256" w14:textId="77777777" w:rsidR="005E347E" w:rsidRPr="00AA22C4" w:rsidRDefault="005E347E" w:rsidP="005E347E">
      <w:pPr>
        <w:pStyle w:val="Tekstprzypisudolnego"/>
        <w:numPr>
          <w:ilvl w:val="1"/>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procedury mogą rozpoczynać, zmieniać stan lub kończyć zadania;</w:t>
      </w:r>
    </w:p>
    <w:p w14:paraId="5FD1E474" w14:textId="77777777" w:rsidR="005E347E" w:rsidRPr="00AA22C4" w:rsidRDefault="005E347E" w:rsidP="005E347E">
      <w:pPr>
        <w:pStyle w:val="Tekstprzypisudolnego"/>
        <w:numPr>
          <w:ilvl w:val="1"/>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przykładowe procedury:</w:t>
      </w:r>
    </w:p>
    <w:p w14:paraId="12361B39" w14:textId="77777777" w:rsidR="005E347E" w:rsidRPr="00AA22C4" w:rsidRDefault="005E347E" w:rsidP="005E347E">
      <w:pPr>
        <w:pStyle w:val="Tekstprzypisudolnego"/>
        <w:numPr>
          <w:ilvl w:val="2"/>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lastRenderedPageBreak/>
        <w:t>sprawdź powtórne pobrania,</w:t>
      </w:r>
    </w:p>
    <w:p w14:paraId="40BF0E75" w14:textId="77777777" w:rsidR="005E347E" w:rsidRPr="00AA22C4" w:rsidRDefault="005E347E" w:rsidP="005E347E">
      <w:pPr>
        <w:pStyle w:val="Tekstprzypisudolnego"/>
        <w:numPr>
          <w:ilvl w:val="2"/>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sprawdź kontrolne bibuły dla wcześniaków,</w:t>
      </w:r>
    </w:p>
    <w:p w14:paraId="7C9A738B" w14:textId="77777777" w:rsidR="005E347E" w:rsidRPr="00AA22C4" w:rsidRDefault="005E347E" w:rsidP="005E347E">
      <w:pPr>
        <w:pStyle w:val="Tekstprzypisudolnego"/>
        <w:numPr>
          <w:ilvl w:val="2"/>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sprawdź bibuły zastępcze,</w:t>
      </w:r>
    </w:p>
    <w:p w14:paraId="4C4FA1EB" w14:textId="77777777" w:rsidR="005E347E" w:rsidRPr="00AA22C4" w:rsidRDefault="005E347E" w:rsidP="005E347E">
      <w:pPr>
        <w:pStyle w:val="Tekstprzypisudolnego"/>
        <w:numPr>
          <w:ilvl w:val="2"/>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wyślij bibuły do rodziców,</w:t>
      </w:r>
    </w:p>
    <w:p w14:paraId="2603891E" w14:textId="77777777" w:rsidR="005E347E" w:rsidRPr="00AA22C4" w:rsidRDefault="005E347E" w:rsidP="005E347E">
      <w:pPr>
        <w:pStyle w:val="Tekstprzypisudolnego"/>
        <w:numPr>
          <w:ilvl w:val="2"/>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wyślij potwierdzenie do rodziców,</w:t>
      </w:r>
    </w:p>
    <w:p w14:paraId="70B00815" w14:textId="77777777" w:rsidR="005E347E" w:rsidRPr="00AA22C4" w:rsidRDefault="005E347E" w:rsidP="005E347E">
      <w:pPr>
        <w:pStyle w:val="Tekstprzypisudolnego"/>
        <w:numPr>
          <w:ilvl w:val="2"/>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wyślij ponaglenia do rodziców,</w:t>
      </w:r>
    </w:p>
    <w:p w14:paraId="2C32F2B5" w14:textId="77777777" w:rsidR="005E347E" w:rsidRPr="00AA22C4" w:rsidRDefault="005E347E" w:rsidP="005E347E">
      <w:pPr>
        <w:pStyle w:val="Tekstprzypisudolnego"/>
        <w:numPr>
          <w:ilvl w:val="2"/>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wyślij wezwania,</w:t>
      </w:r>
    </w:p>
    <w:p w14:paraId="3995E4F1" w14:textId="77777777" w:rsidR="005E347E" w:rsidRPr="00AA22C4" w:rsidRDefault="005E347E" w:rsidP="005E347E">
      <w:pPr>
        <w:pStyle w:val="Tekstprzypisudolnego"/>
        <w:numPr>
          <w:ilvl w:val="2"/>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wyślij skierowania,</w:t>
      </w:r>
    </w:p>
    <w:p w14:paraId="467CCD90" w14:textId="77777777" w:rsidR="005E347E" w:rsidRPr="00AA22C4" w:rsidRDefault="005E347E" w:rsidP="005E347E">
      <w:pPr>
        <w:pStyle w:val="Tekstprzypisudolnego"/>
        <w:numPr>
          <w:ilvl w:val="2"/>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importuj dane z zewnątrz systemu,</w:t>
      </w:r>
    </w:p>
    <w:p w14:paraId="3CE6E940" w14:textId="77777777" w:rsidR="005E347E" w:rsidRPr="00AA22C4" w:rsidRDefault="005E347E" w:rsidP="005E347E">
      <w:pPr>
        <w:pStyle w:val="Tekstprzypisudolnego"/>
        <w:numPr>
          <w:ilvl w:val="2"/>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kwalifikacja wsteczna wyników,</w:t>
      </w:r>
    </w:p>
    <w:p w14:paraId="018F1139" w14:textId="77777777" w:rsidR="005E347E" w:rsidRPr="00AA22C4" w:rsidRDefault="005E347E" w:rsidP="005E347E">
      <w:pPr>
        <w:pStyle w:val="Tekstprzypisudolnego"/>
        <w:numPr>
          <w:ilvl w:val="2"/>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sprawdź zagubione kody.</w:t>
      </w:r>
    </w:p>
    <w:p w14:paraId="68946A6E" w14:textId="77777777" w:rsidR="005E347E" w:rsidRPr="00AA22C4" w:rsidRDefault="005E347E" w:rsidP="005E347E">
      <w:pPr>
        <w:pStyle w:val="Tekstprzypisudolnego"/>
        <w:numPr>
          <w:ilvl w:val="0"/>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Operacje:</w:t>
      </w:r>
    </w:p>
    <w:p w14:paraId="20C3FD0B" w14:textId="77777777" w:rsidR="005E347E" w:rsidRPr="00AA22C4" w:rsidRDefault="005E347E" w:rsidP="005E347E">
      <w:pPr>
        <w:pStyle w:val="Tekstprzypisudolnego"/>
        <w:numPr>
          <w:ilvl w:val="1"/>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zmiana sposobu prezentacji danych;</w:t>
      </w:r>
    </w:p>
    <w:p w14:paraId="19CF5056" w14:textId="77777777" w:rsidR="005E347E" w:rsidRPr="00AA22C4" w:rsidRDefault="005E347E" w:rsidP="005E347E">
      <w:pPr>
        <w:pStyle w:val="Tekstprzypisudolnego"/>
        <w:numPr>
          <w:ilvl w:val="1"/>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agregacja i wnioskowanie z danych:</w:t>
      </w:r>
    </w:p>
    <w:p w14:paraId="4149B5B4" w14:textId="77777777" w:rsidR="005E347E" w:rsidRPr="00AA22C4" w:rsidRDefault="005E347E" w:rsidP="005E347E">
      <w:pPr>
        <w:pStyle w:val="Tekstprzypisudolnego"/>
        <w:numPr>
          <w:ilvl w:val="2"/>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operacje nie powodują zmiany danych wejściowych ale mogą tworzyć dane statystyczne;</w:t>
      </w:r>
    </w:p>
    <w:p w14:paraId="43CC98A7" w14:textId="77777777" w:rsidR="005E347E" w:rsidRPr="00AA22C4" w:rsidRDefault="005E347E" w:rsidP="005E347E">
      <w:pPr>
        <w:pStyle w:val="Tekstprzypisudolnego"/>
        <w:numPr>
          <w:ilvl w:val="1"/>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przykładowe operacje:</w:t>
      </w:r>
    </w:p>
    <w:p w14:paraId="1B09057A" w14:textId="77777777" w:rsidR="005E347E" w:rsidRPr="00AA22C4" w:rsidRDefault="005E347E" w:rsidP="005E347E">
      <w:pPr>
        <w:pStyle w:val="Tekstprzypisudolnego"/>
        <w:numPr>
          <w:ilvl w:val="2"/>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wydruk danych,</w:t>
      </w:r>
    </w:p>
    <w:p w14:paraId="4423E5BF" w14:textId="77777777" w:rsidR="005E347E" w:rsidRPr="00AA22C4" w:rsidRDefault="005E347E" w:rsidP="005E347E">
      <w:pPr>
        <w:pStyle w:val="Tekstprzypisudolnego"/>
        <w:numPr>
          <w:ilvl w:val="2"/>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eksport danych do zewnętrznych systemów,</w:t>
      </w:r>
    </w:p>
    <w:p w14:paraId="3031B4B8" w14:textId="77777777" w:rsidR="005E347E" w:rsidRPr="00AA22C4" w:rsidRDefault="005E347E" w:rsidP="005E347E">
      <w:pPr>
        <w:pStyle w:val="Tekstprzypisudolnego"/>
        <w:numPr>
          <w:ilvl w:val="2"/>
          <w:numId w:val="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tworzenie raportów i rozliczeń.</w:t>
      </w:r>
    </w:p>
    <w:p w14:paraId="4947EF1B" w14:textId="132E217C" w:rsidR="005E347E" w:rsidRPr="00AA22C4" w:rsidRDefault="00B01154" w:rsidP="0032602F">
      <w:pPr>
        <w:pStyle w:val="Tekstprzypisudolnego"/>
        <w:spacing w:before="240" w:after="240"/>
        <w:rPr>
          <w:rFonts w:ascii="Lato" w:hAnsi="Lato"/>
          <w:b/>
          <w:bCs/>
          <w:color w:val="000000" w:themeColor="text1"/>
          <w:sz w:val="22"/>
          <w:szCs w:val="22"/>
        </w:rPr>
      </w:pPr>
      <w:r w:rsidRPr="00AA22C4">
        <w:rPr>
          <w:rFonts w:ascii="Lato" w:hAnsi="Lato"/>
          <w:b/>
          <w:bCs/>
          <w:color w:val="000000" w:themeColor="text1"/>
          <w:sz w:val="22"/>
          <w:szCs w:val="22"/>
        </w:rPr>
        <w:t xml:space="preserve">Odpowiednie </w:t>
      </w:r>
      <w:r w:rsidR="005E347E" w:rsidRPr="00AA22C4">
        <w:rPr>
          <w:rFonts w:ascii="Lato" w:hAnsi="Lato"/>
          <w:b/>
          <w:bCs/>
          <w:color w:val="000000" w:themeColor="text1"/>
          <w:sz w:val="22"/>
          <w:szCs w:val="22"/>
        </w:rPr>
        <w:t>oprogramowanie gromadzi następujące typy danych:</w:t>
      </w:r>
    </w:p>
    <w:p w14:paraId="67ACBB31" w14:textId="77777777" w:rsidR="005E347E" w:rsidRPr="00AA22C4" w:rsidRDefault="005E347E" w:rsidP="005E347E">
      <w:pPr>
        <w:pStyle w:val="Tekstprzypisudolnego"/>
        <w:numPr>
          <w:ilvl w:val="0"/>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rejestr osobowy:</w:t>
      </w:r>
    </w:p>
    <w:p w14:paraId="68964594" w14:textId="77777777" w:rsidR="005E347E" w:rsidRPr="00AA22C4" w:rsidRDefault="005E347E" w:rsidP="005E347E">
      <w:pPr>
        <w:pStyle w:val="Tekstprzypisudolnego"/>
        <w:numPr>
          <w:ilvl w:val="1"/>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dane noworodków i wyniki badań,</w:t>
      </w:r>
    </w:p>
    <w:p w14:paraId="67F8257D" w14:textId="77777777" w:rsidR="005E347E" w:rsidRPr="00AA22C4" w:rsidRDefault="005E347E" w:rsidP="005E347E">
      <w:pPr>
        <w:pStyle w:val="Tekstprzypisudolnego"/>
        <w:numPr>
          <w:ilvl w:val="1"/>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dane lekarzy;</w:t>
      </w:r>
    </w:p>
    <w:p w14:paraId="35C32DBD" w14:textId="77777777" w:rsidR="005E347E" w:rsidRPr="00AA22C4" w:rsidRDefault="005E347E" w:rsidP="005E347E">
      <w:pPr>
        <w:pStyle w:val="Tekstprzypisudolnego"/>
        <w:numPr>
          <w:ilvl w:val="0"/>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rejestr medyczny:</w:t>
      </w:r>
    </w:p>
    <w:p w14:paraId="1BBE72C5" w14:textId="77777777" w:rsidR="005E347E" w:rsidRPr="00AA22C4" w:rsidRDefault="005E347E" w:rsidP="005E347E">
      <w:pPr>
        <w:pStyle w:val="Tekstprzypisudolnego"/>
        <w:numPr>
          <w:ilvl w:val="1"/>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kody na etykietach,</w:t>
      </w:r>
    </w:p>
    <w:p w14:paraId="7445B180" w14:textId="77777777" w:rsidR="005E347E" w:rsidRPr="00AA22C4" w:rsidRDefault="005E347E" w:rsidP="005E347E">
      <w:pPr>
        <w:pStyle w:val="Tekstprzypisudolnego"/>
        <w:numPr>
          <w:ilvl w:val="1"/>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dane laboratoriów,</w:t>
      </w:r>
    </w:p>
    <w:p w14:paraId="30B775B6" w14:textId="77777777" w:rsidR="005E347E" w:rsidRPr="00AA22C4" w:rsidRDefault="005E347E" w:rsidP="005E347E">
      <w:pPr>
        <w:pStyle w:val="Tekstprzypisudolnego"/>
        <w:numPr>
          <w:ilvl w:val="1"/>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dane oddziałów szpitalnych,</w:t>
      </w:r>
    </w:p>
    <w:p w14:paraId="092B847D" w14:textId="77777777" w:rsidR="005E347E" w:rsidRPr="00AA22C4" w:rsidRDefault="005E347E" w:rsidP="005E347E">
      <w:pPr>
        <w:pStyle w:val="Tekstprzypisudolnego"/>
        <w:numPr>
          <w:ilvl w:val="1"/>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dane klinik i poradni z diagnostyką weryfikacyjną i leczeniem chorych;</w:t>
      </w:r>
    </w:p>
    <w:p w14:paraId="658659D1" w14:textId="77777777" w:rsidR="005E347E" w:rsidRPr="00AA22C4" w:rsidRDefault="005E347E" w:rsidP="005E347E">
      <w:pPr>
        <w:pStyle w:val="Tekstprzypisudolnego"/>
        <w:numPr>
          <w:ilvl w:val="0"/>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rejestr testów:</w:t>
      </w:r>
    </w:p>
    <w:p w14:paraId="6E309FC8" w14:textId="77777777" w:rsidR="005E347E" w:rsidRPr="00AA22C4" w:rsidRDefault="005E347E" w:rsidP="005E347E">
      <w:pPr>
        <w:pStyle w:val="Tekstprzypisudolnego"/>
        <w:numPr>
          <w:ilvl w:val="1"/>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definicje i dane analiz wykonywanych podczas testów,</w:t>
      </w:r>
    </w:p>
    <w:p w14:paraId="5A6EBB55" w14:textId="77777777" w:rsidR="005E347E" w:rsidRPr="00AA22C4" w:rsidRDefault="005E347E" w:rsidP="005E347E">
      <w:pPr>
        <w:pStyle w:val="Tekstprzypisudolnego"/>
        <w:numPr>
          <w:ilvl w:val="1"/>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protokoły testów,</w:t>
      </w:r>
    </w:p>
    <w:p w14:paraId="6515997F" w14:textId="77777777" w:rsidR="005E347E" w:rsidRPr="00AA22C4" w:rsidRDefault="005E347E" w:rsidP="005E347E">
      <w:pPr>
        <w:pStyle w:val="Tekstprzypisudolnego"/>
        <w:numPr>
          <w:ilvl w:val="1"/>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wyniki pomiarów na analizatorach,</w:t>
      </w:r>
    </w:p>
    <w:p w14:paraId="08AE9361" w14:textId="77777777" w:rsidR="005E347E" w:rsidRPr="00AA22C4" w:rsidRDefault="005E347E" w:rsidP="005E347E">
      <w:pPr>
        <w:pStyle w:val="Tekstprzypisudolnego"/>
        <w:numPr>
          <w:ilvl w:val="1"/>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obliczenia i klasyfikacja wyników według norm;</w:t>
      </w:r>
    </w:p>
    <w:p w14:paraId="2C58957B" w14:textId="77777777" w:rsidR="005E347E" w:rsidRPr="00AA22C4" w:rsidRDefault="005E347E" w:rsidP="005E347E">
      <w:pPr>
        <w:pStyle w:val="Tekstprzypisudolnego"/>
        <w:numPr>
          <w:ilvl w:val="0"/>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lastRenderedPageBreak/>
        <w:t>rejestr diagnostyki weryfikacyjnej:</w:t>
      </w:r>
    </w:p>
    <w:p w14:paraId="5D6B4DB9" w14:textId="77777777" w:rsidR="005E347E" w:rsidRPr="00AA22C4" w:rsidRDefault="005E347E" w:rsidP="005E347E">
      <w:pPr>
        <w:pStyle w:val="Tekstprzypisudolnego"/>
        <w:numPr>
          <w:ilvl w:val="1"/>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wezwania do Klinik,</w:t>
      </w:r>
    </w:p>
    <w:p w14:paraId="78919B54" w14:textId="77777777" w:rsidR="005E347E" w:rsidRPr="00AA22C4" w:rsidRDefault="005E347E" w:rsidP="005E347E">
      <w:pPr>
        <w:pStyle w:val="Tekstprzypisudolnego"/>
        <w:numPr>
          <w:ilvl w:val="1"/>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wysyłka i badania dla powtórnych pobrań krwi,</w:t>
      </w:r>
    </w:p>
    <w:p w14:paraId="0500DFA7" w14:textId="77777777" w:rsidR="005E347E" w:rsidRPr="00AA22C4" w:rsidRDefault="005E347E" w:rsidP="005E347E">
      <w:pPr>
        <w:pStyle w:val="Tekstprzypisudolnego"/>
        <w:numPr>
          <w:ilvl w:val="1"/>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skierowania na dodatkowe badania (np. molekularne),</w:t>
      </w:r>
    </w:p>
    <w:p w14:paraId="0D90C025" w14:textId="77777777" w:rsidR="005E347E" w:rsidRPr="00AA22C4" w:rsidRDefault="005E347E" w:rsidP="005E347E">
      <w:pPr>
        <w:pStyle w:val="Tekstprzypisudolnego"/>
        <w:numPr>
          <w:ilvl w:val="1"/>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finalna diagnoza i wyniki badań (LC/MS/MS, GC/MS, HPLC, Genetyka i inne) po wizycie dziecka w Klinice;</w:t>
      </w:r>
    </w:p>
    <w:p w14:paraId="052800F2" w14:textId="77777777" w:rsidR="005E347E" w:rsidRPr="00AA22C4" w:rsidRDefault="005E347E" w:rsidP="005E347E">
      <w:pPr>
        <w:pStyle w:val="Tekstprzypisudolnego"/>
        <w:numPr>
          <w:ilvl w:val="0"/>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rejestr leczonych:</w:t>
      </w:r>
    </w:p>
    <w:p w14:paraId="6AB8EB8D" w14:textId="77777777" w:rsidR="005E347E" w:rsidRPr="00AA22C4" w:rsidRDefault="005E347E" w:rsidP="005E347E">
      <w:pPr>
        <w:pStyle w:val="Tekstprzypisudolnego"/>
        <w:numPr>
          <w:ilvl w:val="1"/>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wyniki badań wykonanych w czasie kontroli przebiegu leczenia chorych;</w:t>
      </w:r>
    </w:p>
    <w:p w14:paraId="53315D6F" w14:textId="77777777" w:rsidR="005E347E" w:rsidRPr="00AA22C4" w:rsidRDefault="005E347E" w:rsidP="005E347E">
      <w:pPr>
        <w:pStyle w:val="Tekstprzypisudolnego"/>
        <w:numPr>
          <w:ilvl w:val="0"/>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rejestr kontroli jakości:</w:t>
      </w:r>
    </w:p>
    <w:p w14:paraId="27DA43AB" w14:textId="77777777" w:rsidR="005E347E" w:rsidRPr="00AA22C4" w:rsidRDefault="005E347E" w:rsidP="005E347E">
      <w:pPr>
        <w:pStyle w:val="Tekstprzypisudolnego"/>
        <w:numPr>
          <w:ilvl w:val="1"/>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dane próbek kontrolnych,</w:t>
      </w:r>
    </w:p>
    <w:p w14:paraId="7B62B083" w14:textId="77777777" w:rsidR="005E347E" w:rsidRPr="00AA22C4" w:rsidRDefault="005E347E" w:rsidP="005E347E">
      <w:pPr>
        <w:pStyle w:val="Tekstprzypisudolnego"/>
        <w:numPr>
          <w:ilvl w:val="1"/>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wyniki badań wykonywanych dla próbek kontrolnych;</w:t>
      </w:r>
    </w:p>
    <w:p w14:paraId="141A970A" w14:textId="77777777" w:rsidR="005E347E" w:rsidRPr="00AA22C4" w:rsidRDefault="005E347E" w:rsidP="005E347E">
      <w:pPr>
        <w:pStyle w:val="Tekstprzypisudolnego"/>
        <w:numPr>
          <w:ilvl w:val="0"/>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rejestr kompletności:</w:t>
      </w:r>
    </w:p>
    <w:p w14:paraId="5B212170" w14:textId="77777777" w:rsidR="005E347E" w:rsidRPr="00AA22C4" w:rsidRDefault="005E347E" w:rsidP="005E347E">
      <w:pPr>
        <w:pStyle w:val="Tekstprzypisudolnego"/>
        <w:numPr>
          <w:ilvl w:val="1"/>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rejestr zgubionych etykiet z kodem,</w:t>
      </w:r>
    </w:p>
    <w:p w14:paraId="210CB87B" w14:textId="77777777" w:rsidR="005E347E" w:rsidRPr="00AA22C4" w:rsidRDefault="005E347E" w:rsidP="005E347E">
      <w:pPr>
        <w:pStyle w:val="Tekstprzypisudolnego"/>
        <w:numPr>
          <w:ilvl w:val="1"/>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rejestr zgodności przesyłanych bibuł;</w:t>
      </w:r>
    </w:p>
    <w:p w14:paraId="000E04A7" w14:textId="77777777" w:rsidR="005E347E" w:rsidRPr="00AA22C4" w:rsidRDefault="005E347E" w:rsidP="005E347E">
      <w:pPr>
        <w:pStyle w:val="Tekstprzypisudolnego"/>
        <w:numPr>
          <w:ilvl w:val="0"/>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rejestr statystyczny:</w:t>
      </w:r>
    </w:p>
    <w:p w14:paraId="34D53676" w14:textId="77777777" w:rsidR="005E347E" w:rsidRPr="00AA22C4" w:rsidRDefault="005E347E" w:rsidP="005E347E">
      <w:pPr>
        <w:pStyle w:val="Tekstprzypisudolnego"/>
        <w:numPr>
          <w:ilvl w:val="1"/>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rozliczanie testów i zużycia odczynników,</w:t>
      </w:r>
    </w:p>
    <w:p w14:paraId="729724C2" w14:textId="77777777" w:rsidR="005E347E" w:rsidRPr="00AA22C4" w:rsidRDefault="005E347E" w:rsidP="005E347E">
      <w:pPr>
        <w:pStyle w:val="Tekstprzypisudolnego"/>
        <w:numPr>
          <w:ilvl w:val="1"/>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podstawowe dane epidemiologiczne – rozkłady i statystyka wyników, statystyka danych okołoporodowych (rejestrowanych w programie),</w:t>
      </w:r>
    </w:p>
    <w:p w14:paraId="2B6A106D" w14:textId="77777777" w:rsidR="005E347E" w:rsidRPr="00AA22C4" w:rsidRDefault="005E347E" w:rsidP="005E347E">
      <w:pPr>
        <w:pStyle w:val="Tekstprzypisudolnego"/>
        <w:numPr>
          <w:ilvl w:val="1"/>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rozliczenia z instytucjami zlecającymi i nadzorującymi badania;</w:t>
      </w:r>
    </w:p>
    <w:p w14:paraId="1F04F972" w14:textId="77777777" w:rsidR="005E347E" w:rsidRPr="00AA22C4" w:rsidRDefault="005E347E" w:rsidP="005E347E">
      <w:pPr>
        <w:pStyle w:val="Tekstprzypisudolnego"/>
        <w:numPr>
          <w:ilvl w:val="0"/>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rejestr dostępu:</w:t>
      </w:r>
    </w:p>
    <w:p w14:paraId="1CE247B5" w14:textId="77777777" w:rsidR="005E347E" w:rsidRPr="00AA22C4" w:rsidRDefault="005E347E" w:rsidP="005E347E">
      <w:pPr>
        <w:pStyle w:val="Tekstprzypisudolnego"/>
        <w:numPr>
          <w:ilvl w:val="1"/>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dane pracowników laboratorium,</w:t>
      </w:r>
    </w:p>
    <w:p w14:paraId="2FE5B48F" w14:textId="77777777" w:rsidR="005E347E" w:rsidRPr="00AA22C4" w:rsidRDefault="005E347E" w:rsidP="005E347E">
      <w:pPr>
        <w:pStyle w:val="Tekstprzypisudolnego"/>
        <w:numPr>
          <w:ilvl w:val="1"/>
          <w:numId w:val="5"/>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hasła i uprawnienia użytkowników programu.</w:t>
      </w:r>
    </w:p>
    <w:p w14:paraId="1A4CA892" w14:textId="6BC75F5F" w:rsidR="005E347E" w:rsidRPr="00AA22C4" w:rsidRDefault="005E347E" w:rsidP="0032602F">
      <w:pPr>
        <w:pStyle w:val="Tekstprzypisudolnego"/>
        <w:spacing w:before="240" w:after="240"/>
        <w:jc w:val="both"/>
        <w:rPr>
          <w:rFonts w:ascii="Lato" w:hAnsi="Lato"/>
          <w:b/>
          <w:bCs/>
          <w:color w:val="000000" w:themeColor="text1"/>
          <w:sz w:val="22"/>
          <w:szCs w:val="22"/>
        </w:rPr>
      </w:pPr>
      <w:bookmarkStart w:id="29" w:name="_Toc491892684"/>
      <w:r w:rsidRPr="00AA22C4">
        <w:rPr>
          <w:rFonts w:ascii="Lato" w:hAnsi="Lato"/>
          <w:b/>
          <w:bCs/>
          <w:color w:val="000000" w:themeColor="text1"/>
          <w:sz w:val="22"/>
          <w:szCs w:val="22"/>
        </w:rPr>
        <w:t xml:space="preserve">Szczegółowy opis niektórych zadań oprogramowania </w:t>
      </w:r>
      <w:r w:rsidR="00B01154" w:rsidRPr="00AA22C4">
        <w:rPr>
          <w:rFonts w:ascii="Lato" w:hAnsi="Lato"/>
          <w:b/>
          <w:bCs/>
          <w:color w:val="000000" w:themeColor="text1"/>
          <w:sz w:val="22"/>
          <w:szCs w:val="22"/>
        </w:rPr>
        <w:t xml:space="preserve">przeznaczonego </w:t>
      </w:r>
      <w:r w:rsidRPr="00AA22C4">
        <w:rPr>
          <w:rFonts w:ascii="Lato" w:hAnsi="Lato"/>
          <w:b/>
          <w:bCs/>
          <w:color w:val="000000" w:themeColor="text1"/>
          <w:sz w:val="22"/>
          <w:szCs w:val="22"/>
        </w:rPr>
        <w:t xml:space="preserve">badaniom przesiewowym </w:t>
      </w:r>
      <w:bookmarkEnd w:id="29"/>
    </w:p>
    <w:p w14:paraId="09EB9B9F" w14:textId="77777777" w:rsidR="005E347E" w:rsidRPr="00AA22C4" w:rsidRDefault="005E347E" w:rsidP="005E347E">
      <w:pPr>
        <w:pStyle w:val="Tekstprzypisudolnego"/>
        <w:numPr>
          <w:ilvl w:val="0"/>
          <w:numId w:val="6"/>
        </w:numPr>
        <w:tabs>
          <w:tab w:val="clear" w:pos="720"/>
          <w:tab w:val="num" w:pos="426"/>
        </w:tabs>
        <w:spacing w:before="120" w:after="120"/>
        <w:contextualSpacing/>
        <w:rPr>
          <w:rFonts w:ascii="Lato" w:hAnsi="Lato"/>
          <w:color w:val="000000" w:themeColor="text1"/>
          <w:sz w:val="22"/>
          <w:szCs w:val="22"/>
        </w:rPr>
      </w:pPr>
      <w:r w:rsidRPr="00AA22C4">
        <w:rPr>
          <w:rFonts w:ascii="Lato" w:hAnsi="Lato"/>
          <w:color w:val="000000" w:themeColor="text1"/>
          <w:sz w:val="22"/>
          <w:szCs w:val="22"/>
        </w:rPr>
        <w:t>Nadzór nad obiegiem etykiet z kodem:</w:t>
      </w:r>
    </w:p>
    <w:p w14:paraId="2EBDC72E" w14:textId="581634FC" w:rsidR="005E347E" w:rsidRPr="00AA22C4" w:rsidRDefault="005E347E" w:rsidP="005E347E">
      <w:pPr>
        <w:pStyle w:val="Tekstprzypisudolnego"/>
        <w:numPr>
          <w:ilvl w:val="1"/>
          <w:numId w:val="6"/>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Wydruk niepowtarzalnych kodów na etykietach</w:t>
      </w:r>
      <w:r w:rsidR="00FE404C" w:rsidRPr="00AA22C4">
        <w:rPr>
          <w:rFonts w:ascii="Lato" w:hAnsi="Lato"/>
          <w:color w:val="000000" w:themeColor="text1"/>
          <w:sz w:val="22"/>
          <w:szCs w:val="22"/>
        </w:rPr>
        <w:t>.</w:t>
      </w:r>
    </w:p>
    <w:p w14:paraId="418EEDD4" w14:textId="66FB7EFC" w:rsidR="005E347E" w:rsidRPr="00AA22C4" w:rsidRDefault="005E347E" w:rsidP="005E347E">
      <w:pPr>
        <w:pStyle w:val="Tekstprzypisudolnego"/>
        <w:numPr>
          <w:ilvl w:val="1"/>
          <w:numId w:val="6"/>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Rejestracja kodów w programie z przypisaniem do laboratorium</w:t>
      </w:r>
      <w:r w:rsidR="00FE404C" w:rsidRPr="00AA22C4">
        <w:rPr>
          <w:rFonts w:ascii="Lato" w:hAnsi="Lato"/>
          <w:color w:val="000000" w:themeColor="text1"/>
          <w:sz w:val="22"/>
          <w:szCs w:val="22"/>
        </w:rPr>
        <w:t>.</w:t>
      </w:r>
    </w:p>
    <w:p w14:paraId="2346A7BF" w14:textId="594388C6" w:rsidR="005E347E" w:rsidRPr="00AA22C4" w:rsidRDefault="005E347E" w:rsidP="005E347E">
      <w:pPr>
        <w:pStyle w:val="Tekstprzypisudolnego"/>
        <w:numPr>
          <w:ilvl w:val="1"/>
          <w:numId w:val="6"/>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Rejestracja wysyłki kodów do oddziałów szpitalnych</w:t>
      </w:r>
      <w:r w:rsidR="00FE404C" w:rsidRPr="00AA22C4">
        <w:rPr>
          <w:rFonts w:ascii="Lato" w:hAnsi="Lato"/>
          <w:color w:val="000000" w:themeColor="text1"/>
          <w:sz w:val="22"/>
          <w:szCs w:val="22"/>
        </w:rPr>
        <w:t>.</w:t>
      </w:r>
    </w:p>
    <w:p w14:paraId="689E1A09" w14:textId="0EE2FE1B" w:rsidR="005E347E" w:rsidRPr="00AA22C4" w:rsidRDefault="005E347E" w:rsidP="005E347E">
      <w:pPr>
        <w:pStyle w:val="Tekstprzypisudolnego"/>
        <w:numPr>
          <w:ilvl w:val="1"/>
          <w:numId w:val="6"/>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Rejestracja próbek krwi na bibule</w:t>
      </w:r>
      <w:r w:rsidR="00FE404C" w:rsidRPr="00AA22C4">
        <w:rPr>
          <w:rFonts w:ascii="Lato" w:hAnsi="Lato"/>
          <w:color w:val="000000" w:themeColor="text1"/>
          <w:sz w:val="22"/>
          <w:szCs w:val="22"/>
        </w:rPr>
        <w:t>.</w:t>
      </w:r>
    </w:p>
    <w:p w14:paraId="1459A855" w14:textId="77777777" w:rsidR="005E347E" w:rsidRPr="00AA22C4" w:rsidRDefault="005E347E" w:rsidP="005E347E">
      <w:pPr>
        <w:pStyle w:val="Tekstprzypisudolnego"/>
        <w:numPr>
          <w:ilvl w:val="1"/>
          <w:numId w:val="6"/>
        </w:numPr>
        <w:spacing w:before="120"/>
        <w:contextualSpacing/>
        <w:rPr>
          <w:rFonts w:ascii="Lato" w:hAnsi="Lato"/>
          <w:color w:val="000000" w:themeColor="text1"/>
          <w:sz w:val="22"/>
          <w:szCs w:val="22"/>
        </w:rPr>
      </w:pPr>
      <w:r w:rsidRPr="00AA22C4">
        <w:rPr>
          <w:rFonts w:ascii="Lato" w:hAnsi="Lato"/>
          <w:color w:val="000000" w:themeColor="text1"/>
          <w:sz w:val="22"/>
          <w:szCs w:val="22"/>
        </w:rPr>
        <w:t>Kontrola kompletności zwrotów kodów na bibule.</w:t>
      </w:r>
    </w:p>
    <w:p w14:paraId="4E9B8F48" w14:textId="77777777" w:rsidR="005E347E" w:rsidRPr="00AA22C4" w:rsidRDefault="005E347E" w:rsidP="005E347E">
      <w:pPr>
        <w:pStyle w:val="Tekstprzypisudolnego"/>
        <w:spacing w:before="120" w:after="120"/>
        <w:ind w:left="426"/>
        <w:contextualSpacing/>
        <w:rPr>
          <w:rFonts w:ascii="Lato" w:hAnsi="Lato"/>
          <w:color w:val="000000" w:themeColor="text1"/>
          <w:sz w:val="22"/>
          <w:szCs w:val="22"/>
        </w:rPr>
      </w:pPr>
      <w:r w:rsidRPr="00AA22C4">
        <w:rPr>
          <w:rFonts w:ascii="Lato" w:hAnsi="Lato"/>
          <w:color w:val="000000" w:themeColor="text1"/>
          <w:sz w:val="22"/>
          <w:szCs w:val="22"/>
        </w:rPr>
        <w:t>2. Rejestracja bibuł w laboratorium:</w:t>
      </w:r>
    </w:p>
    <w:p w14:paraId="40D4A528" w14:textId="77777777" w:rsidR="005E347E" w:rsidRPr="00AA22C4" w:rsidRDefault="005E347E" w:rsidP="005E347E">
      <w:pPr>
        <w:pStyle w:val="Tekstprzypisudolnego"/>
        <w:numPr>
          <w:ilvl w:val="1"/>
          <w:numId w:val="7"/>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Rejestracja danych z bibuły:</w:t>
      </w:r>
    </w:p>
    <w:p w14:paraId="38D0CDDE" w14:textId="77777777" w:rsidR="005E347E" w:rsidRPr="00AA22C4" w:rsidRDefault="005E347E" w:rsidP="005E347E">
      <w:pPr>
        <w:pStyle w:val="Tekstprzypisudolnego"/>
        <w:numPr>
          <w:ilvl w:val="2"/>
          <w:numId w:val="7"/>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kontrola poprawności kodu:</w:t>
      </w:r>
    </w:p>
    <w:p w14:paraId="3D768B6D" w14:textId="77777777" w:rsidR="005E347E" w:rsidRPr="00AA22C4" w:rsidRDefault="005E347E" w:rsidP="005E347E">
      <w:pPr>
        <w:pStyle w:val="Tekstprzypisudolnego"/>
        <w:spacing w:before="120" w:after="120"/>
        <w:ind w:left="1440"/>
        <w:contextualSpacing/>
        <w:jc w:val="both"/>
        <w:rPr>
          <w:rFonts w:ascii="Lato" w:hAnsi="Lato"/>
          <w:color w:val="000000" w:themeColor="text1"/>
          <w:sz w:val="22"/>
          <w:szCs w:val="22"/>
        </w:rPr>
      </w:pPr>
      <w:r w:rsidRPr="00AA22C4">
        <w:rPr>
          <w:rFonts w:ascii="Lato" w:hAnsi="Lato"/>
          <w:color w:val="000000" w:themeColor="text1"/>
          <w:sz w:val="22"/>
          <w:szCs w:val="22"/>
        </w:rPr>
        <w:t xml:space="preserve">– poprawny odczyt kodu kontrolowany jest przez użycie dodatkowego znaku </w:t>
      </w:r>
      <w:r w:rsidRPr="00AA22C4">
        <w:rPr>
          <w:rFonts w:ascii="Lato" w:hAnsi="Lato"/>
          <w:color w:val="000000" w:themeColor="text1"/>
          <w:sz w:val="22"/>
          <w:szCs w:val="22"/>
        </w:rPr>
        <w:lastRenderedPageBreak/>
        <w:t>kontrolnego w kodzie który sprawdzany jest przy odczycie, dodatkowo program sprawdza czy odczytany kod jest przypisany do szpitala,</w:t>
      </w:r>
    </w:p>
    <w:p w14:paraId="07CF9CE8" w14:textId="353B140C" w:rsidR="005E347E" w:rsidRPr="00AA22C4" w:rsidRDefault="005E347E" w:rsidP="005E347E">
      <w:pPr>
        <w:pStyle w:val="Tekstprzypisudolnego"/>
        <w:numPr>
          <w:ilvl w:val="2"/>
          <w:numId w:val="7"/>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weryfikacja poprawności wprowadzonych danych (pesel, masa ciała + wiek ciążowy, daty, itp.)</w:t>
      </w:r>
      <w:r w:rsidR="00FE404C" w:rsidRPr="00AA22C4">
        <w:rPr>
          <w:rFonts w:ascii="Lato" w:hAnsi="Lato"/>
          <w:color w:val="000000" w:themeColor="text1"/>
          <w:sz w:val="22"/>
          <w:szCs w:val="22"/>
        </w:rPr>
        <w:t>.</w:t>
      </w:r>
    </w:p>
    <w:p w14:paraId="42C32E9F" w14:textId="77777777" w:rsidR="005E347E" w:rsidRPr="00AA22C4" w:rsidRDefault="005E347E" w:rsidP="005E347E">
      <w:pPr>
        <w:pStyle w:val="Tekstprzypisudolnego"/>
        <w:numPr>
          <w:ilvl w:val="1"/>
          <w:numId w:val="7"/>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Weryfikacja przypisanych zadań:</w:t>
      </w:r>
    </w:p>
    <w:p w14:paraId="54E06865" w14:textId="77777777" w:rsidR="005E347E" w:rsidRPr="00AA22C4" w:rsidRDefault="005E347E" w:rsidP="005E347E">
      <w:pPr>
        <w:pStyle w:val="Tekstprzypisudolnego"/>
        <w:numPr>
          <w:ilvl w:val="2"/>
          <w:numId w:val="7"/>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aktualizacja przypisanych zadań:</w:t>
      </w:r>
    </w:p>
    <w:p w14:paraId="4011D457" w14:textId="77777777" w:rsidR="005E347E" w:rsidRPr="00AA22C4" w:rsidRDefault="005E347E" w:rsidP="005E347E">
      <w:pPr>
        <w:pStyle w:val="Tekstprzypisudolnego"/>
        <w:spacing w:before="120" w:after="120"/>
        <w:ind w:left="1440"/>
        <w:contextualSpacing/>
        <w:jc w:val="both"/>
        <w:rPr>
          <w:rFonts w:ascii="Lato" w:hAnsi="Lato"/>
          <w:color w:val="000000" w:themeColor="text1"/>
          <w:sz w:val="22"/>
          <w:szCs w:val="22"/>
        </w:rPr>
      </w:pPr>
      <w:r w:rsidRPr="00AA22C4">
        <w:rPr>
          <w:rFonts w:ascii="Lato" w:hAnsi="Lato"/>
          <w:color w:val="000000" w:themeColor="text1"/>
          <w:sz w:val="22"/>
          <w:szCs w:val="22"/>
        </w:rPr>
        <w:t>– w momencie zapisywania program sprawdza wszystkie przypisane do bibuły zadania i odpowiednio uaktualnia stan tych zadań,</w:t>
      </w:r>
    </w:p>
    <w:p w14:paraId="070BEBCB" w14:textId="77777777" w:rsidR="005E347E" w:rsidRPr="00AA22C4" w:rsidRDefault="005E347E" w:rsidP="005E347E">
      <w:pPr>
        <w:pStyle w:val="Tekstprzypisudolnego"/>
        <w:numPr>
          <w:ilvl w:val="2"/>
          <w:numId w:val="7"/>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przypisywanie nowych zadań:</w:t>
      </w:r>
    </w:p>
    <w:p w14:paraId="6F618A95" w14:textId="367CD9B7" w:rsidR="005E347E" w:rsidRPr="00AA22C4" w:rsidRDefault="005E347E" w:rsidP="005E347E">
      <w:pPr>
        <w:pStyle w:val="Tekstprzypisudolnego"/>
        <w:spacing w:before="120" w:after="120"/>
        <w:ind w:left="1440"/>
        <w:contextualSpacing/>
        <w:jc w:val="both"/>
        <w:rPr>
          <w:rFonts w:ascii="Lato" w:hAnsi="Lato"/>
          <w:color w:val="000000" w:themeColor="text1"/>
          <w:sz w:val="22"/>
          <w:szCs w:val="22"/>
        </w:rPr>
      </w:pPr>
      <w:r w:rsidRPr="00AA22C4">
        <w:rPr>
          <w:rFonts w:ascii="Lato" w:hAnsi="Lato"/>
          <w:color w:val="000000" w:themeColor="text1"/>
          <w:sz w:val="22"/>
          <w:szCs w:val="22"/>
        </w:rPr>
        <w:t>– jeśli wprowadzona bibuła wymaga wykonania określonych zadań to program automatycznie tworzy te zadania i później pilnuje ich wykonania</w:t>
      </w:r>
      <w:r w:rsidR="00FE404C" w:rsidRPr="00AA22C4">
        <w:rPr>
          <w:rFonts w:ascii="Lato" w:hAnsi="Lato"/>
          <w:color w:val="000000" w:themeColor="text1"/>
          <w:sz w:val="22"/>
          <w:szCs w:val="22"/>
        </w:rPr>
        <w:t>.</w:t>
      </w:r>
    </w:p>
    <w:p w14:paraId="0C0E6D0B" w14:textId="77777777" w:rsidR="005E347E" w:rsidRPr="00AA22C4" w:rsidRDefault="005E347E" w:rsidP="005E347E">
      <w:pPr>
        <w:pStyle w:val="Tekstprzypisudolnego"/>
        <w:numPr>
          <w:ilvl w:val="1"/>
          <w:numId w:val="7"/>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Zlecenie wykonania wymaganych badań:</w:t>
      </w:r>
    </w:p>
    <w:p w14:paraId="2079FCAA" w14:textId="77777777" w:rsidR="005E347E" w:rsidRPr="00AA22C4" w:rsidRDefault="005E347E" w:rsidP="005E347E">
      <w:pPr>
        <w:pStyle w:val="Tekstprzypisudolnego"/>
        <w:numPr>
          <w:ilvl w:val="2"/>
          <w:numId w:val="7"/>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sprawdzenie listy potrzebnych analiz</w:t>
      </w:r>
    </w:p>
    <w:p w14:paraId="02DECC0B" w14:textId="6EB914A6" w:rsidR="005E347E" w:rsidRPr="00AA22C4" w:rsidRDefault="005E347E" w:rsidP="005E347E">
      <w:pPr>
        <w:pStyle w:val="Tekstprzypisudolnego"/>
        <w:spacing w:before="120" w:after="120"/>
        <w:ind w:left="1440"/>
        <w:contextualSpacing/>
        <w:rPr>
          <w:rFonts w:ascii="Lato" w:hAnsi="Lato"/>
          <w:color w:val="000000" w:themeColor="text1"/>
          <w:sz w:val="22"/>
          <w:szCs w:val="22"/>
        </w:rPr>
      </w:pPr>
      <w:r w:rsidRPr="00AA22C4">
        <w:rPr>
          <w:rFonts w:ascii="Lato" w:hAnsi="Lato"/>
          <w:color w:val="000000" w:themeColor="text1"/>
          <w:sz w:val="22"/>
          <w:szCs w:val="22"/>
        </w:rPr>
        <w:t>– program zleca tylko te analizy które są wymagane</w:t>
      </w:r>
      <w:r w:rsidR="00FE404C" w:rsidRPr="00AA22C4">
        <w:rPr>
          <w:rFonts w:ascii="Lato" w:hAnsi="Lato"/>
          <w:color w:val="000000" w:themeColor="text1"/>
          <w:sz w:val="22"/>
          <w:szCs w:val="22"/>
        </w:rPr>
        <w:t>.</w:t>
      </w:r>
    </w:p>
    <w:p w14:paraId="38468402" w14:textId="77777777" w:rsidR="005E347E" w:rsidRPr="00AA22C4" w:rsidRDefault="005E347E" w:rsidP="005E347E">
      <w:pPr>
        <w:pStyle w:val="Tekstprzypisudolnego"/>
        <w:numPr>
          <w:ilvl w:val="1"/>
          <w:numId w:val="7"/>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Aktualizacja relacji między bibułami:</w:t>
      </w:r>
    </w:p>
    <w:p w14:paraId="04431B8C" w14:textId="77777777" w:rsidR="005E347E" w:rsidRPr="00AA22C4" w:rsidRDefault="005E347E" w:rsidP="005E347E">
      <w:pPr>
        <w:pStyle w:val="Tekstprzypisudolnego"/>
        <w:numPr>
          <w:ilvl w:val="2"/>
          <w:numId w:val="7"/>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bibuły z powtórnym pobraniem wysyłane do rodziców,</w:t>
      </w:r>
    </w:p>
    <w:p w14:paraId="1D8473AC" w14:textId="77777777" w:rsidR="005E347E" w:rsidRPr="00AA22C4" w:rsidRDefault="005E347E" w:rsidP="005E347E">
      <w:pPr>
        <w:pStyle w:val="Tekstprzypisudolnego"/>
        <w:numPr>
          <w:ilvl w:val="2"/>
          <w:numId w:val="7"/>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bibuły kontroli leczenia,</w:t>
      </w:r>
    </w:p>
    <w:p w14:paraId="7D564E98" w14:textId="77777777" w:rsidR="005E347E" w:rsidRPr="00AA22C4" w:rsidRDefault="005E347E" w:rsidP="005E347E">
      <w:pPr>
        <w:pStyle w:val="Tekstprzypisudolnego"/>
        <w:numPr>
          <w:ilvl w:val="2"/>
          <w:numId w:val="7"/>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bibuły z powtórnym pobraniem ze względu na niską masę urodzeniową.</w:t>
      </w:r>
    </w:p>
    <w:p w14:paraId="73121780" w14:textId="77777777" w:rsidR="005E347E" w:rsidRPr="00AA22C4" w:rsidRDefault="005E347E" w:rsidP="005E347E">
      <w:pPr>
        <w:pStyle w:val="Tekstprzypisudolnego"/>
        <w:numPr>
          <w:ilvl w:val="0"/>
          <w:numId w:val="8"/>
        </w:numPr>
        <w:tabs>
          <w:tab w:val="clear" w:pos="1004"/>
          <w:tab w:val="num" w:pos="709"/>
        </w:tabs>
        <w:spacing w:before="120" w:after="120"/>
        <w:contextualSpacing/>
        <w:rPr>
          <w:rFonts w:ascii="Lato" w:hAnsi="Lato"/>
          <w:color w:val="000000" w:themeColor="text1"/>
          <w:sz w:val="22"/>
          <w:szCs w:val="22"/>
        </w:rPr>
      </w:pPr>
      <w:r w:rsidRPr="00AA22C4">
        <w:rPr>
          <w:rFonts w:ascii="Lato" w:hAnsi="Lato"/>
          <w:color w:val="000000" w:themeColor="text1"/>
          <w:sz w:val="22"/>
          <w:szCs w:val="22"/>
        </w:rPr>
        <w:t>Wykonanie testów przesiewowych:</w:t>
      </w:r>
    </w:p>
    <w:p w14:paraId="181C7420" w14:textId="77777777" w:rsidR="005E347E" w:rsidRPr="00AA22C4" w:rsidRDefault="005E347E" w:rsidP="005E347E">
      <w:pPr>
        <w:pStyle w:val="Tekstprzypisudolnego"/>
        <w:numPr>
          <w:ilvl w:val="1"/>
          <w:numId w:val="8"/>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Tworzenie protokołu testu:</w:t>
      </w:r>
    </w:p>
    <w:p w14:paraId="169FB563" w14:textId="77777777" w:rsidR="005E347E" w:rsidRPr="00AA22C4" w:rsidRDefault="005E347E" w:rsidP="005E347E">
      <w:pPr>
        <w:pStyle w:val="Tekstprzypisudolnego"/>
        <w:numPr>
          <w:ilvl w:val="2"/>
          <w:numId w:val="8"/>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kontrola kodów i sterowanie wycinarką:</w:t>
      </w:r>
    </w:p>
    <w:p w14:paraId="07FE4E91" w14:textId="77777777" w:rsidR="005E347E" w:rsidRPr="00AA22C4" w:rsidRDefault="005E347E" w:rsidP="005E347E">
      <w:pPr>
        <w:pStyle w:val="Tekstprzypisudolnego"/>
        <w:spacing w:before="120" w:after="120"/>
        <w:ind w:left="1724"/>
        <w:contextualSpacing/>
        <w:jc w:val="both"/>
        <w:rPr>
          <w:rFonts w:ascii="Lato" w:hAnsi="Lato"/>
          <w:color w:val="000000" w:themeColor="text1"/>
          <w:sz w:val="22"/>
          <w:szCs w:val="22"/>
        </w:rPr>
      </w:pPr>
      <w:r w:rsidRPr="00AA22C4">
        <w:rPr>
          <w:rFonts w:ascii="Lato" w:hAnsi="Lato"/>
          <w:color w:val="000000" w:themeColor="text1"/>
          <w:sz w:val="22"/>
          <w:szCs w:val="22"/>
        </w:rPr>
        <w:t>– program całkowicie kontroluje proces wycinania (do płytek z kodem paskowym) przez sprawdzanie kodu bibuły i narzucenie wymaganej kolejności bibuł (krzywa wzorcowa i kontrole) oraz przez bezpośrednie sterowanie wycinarkami,</w:t>
      </w:r>
    </w:p>
    <w:p w14:paraId="4218BB9C" w14:textId="77777777" w:rsidR="005E347E" w:rsidRPr="00AA22C4" w:rsidRDefault="005E347E" w:rsidP="005E347E">
      <w:pPr>
        <w:pStyle w:val="Tekstprzypisudolnego"/>
        <w:numPr>
          <w:ilvl w:val="2"/>
          <w:numId w:val="8"/>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tworzenie listy bibuł przekazywanych na badania molekularne:</w:t>
      </w:r>
    </w:p>
    <w:p w14:paraId="49E22C95" w14:textId="4D5A15F8" w:rsidR="005E347E" w:rsidRPr="00AA22C4" w:rsidRDefault="005E347E" w:rsidP="005E347E">
      <w:pPr>
        <w:pStyle w:val="Tekstprzypisudolnego"/>
        <w:spacing w:before="120" w:after="120"/>
        <w:ind w:left="1724"/>
        <w:contextualSpacing/>
        <w:jc w:val="both"/>
        <w:rPr>
          <w:rFonts w:ascii="Lato" w:hAnsi="Lato"/>
          <w:color w:val="000000" w:themeColor="text1"/>
          <w:sz w:val="22"/>
          <w:szCs w:val="22"/>
        </w:rPr>
      </w:pPr>
      <w:r w:rsidRPr="00AA22C4">
        <w:rPr>
          <w:rFonts w:ascii="Lato" w:hAnsi="Lato"/>
          <w:color w:val="000000" w:themeColor="text1"/>
          <w:sz w:val="22"/>
          <w:szCs w:val="22"/>
        </w:rPr>
        <w:t>– automatyczne tworzenie listy (i późniejsza kontrola powrotu wyniku) zapewnia przesłanie wszystkich bibuł które wymagają dodatkowych badań weryfikacyjnych w zewnętrznych laboratoriach</w:t>
      </w:r>
      <w:r w:rsidR="00FE404C" w:rsidRPr="00AA22C4">
        <w:rPr>
          <w:rFonts w:ascii="Lato" w:hAnsi="Lato"/>
          <w:color w:val="000000" w:themeColor="text1"/>
          <w:sz w:val="22"/>
          <w:szCs w:val="22"/>
        </w:rPr>
        <w:t>.</w:t>
      </w:r>
    </w:p>
    <w:p w14:paraId="04D532F7" w14:textId="77777777" w:rsidR="005E347E" w:rsidRPr="00AA22C4" w:rsidRDefault="005E347E" w:rsidP="005E347E">
      <w:pPr>
        <w:pStyle w:val="Tekstprzypisudolnego"/>
        <w:numPr>
          <w:ilvl w:val="1"/>
          <w:numId w:val="8"/>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Pomiar na analizatorze:</w:t>
      </w:r>
    </w:p>
    <w:p w14:paraId="0210D140" w14:textId="77777777" w:rsidR="005E347E" w:rsidRPr="00AA22C4" w:rsidRDefault="005E347E" w:rsidP="005E347E">
      <w:pPr>
        <w:pStyle w:val="Tekstprzypisudolnego"/>
        <w:numPr>
          <w:ilvl w:val="2"/>
          <w:numId w:val="8"/>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kontrola płytki i sterowanie aparatem pomiarowym:</w:t>
      </w:r>
    </w:p>
    <w:p w14:paraId="5A383B79" w14:textId="1409BA11" w:rsidR="005E347E" w:rsidRPr="00AA22C4" w:rsidRDefault="005E347E" w:rsidP="005E347E">
      <w:pPr>
        <w:pStyle w:val="Tekstprzypisudolnego"/>
        <w:spacing w:before="120" w:after="120"/>
        <w:ind w:left="1724"/>
        <w:contextualSpacing/>
        <w:jc w:val="both"/>
        <w:rPr>
          <w:rFonts w:ascii="Lato" w:hAnsi="Lato"/>
          <w:color w:val="000000" w:themeColor="text1"/>
          <w:sz w:val="22"/>
          <w:szCs w:val="22"/>
        </w:rPr>
      </w:pPr>
      <w:r w:rsidRPr="00AA22C4">
        <w:rPr>
          <w:rFonts w:ascii="Lato" w:hAnsi="Lato"/>
          <w:color w:val="000000" w:themeColor="text1"/>
          <w:sz w:val="22"/>
          <w:szCs w:val="22"/>
        </w:rPr>
        <w:t>– płytki pomiarowe są oznaczone kodem paskowym co zapobiega zamianie płytek podczas pomiaru</w:t>
      </w:r>
      <w:r w:rsidR="00FE404C" w:rsidRPr="00AA22C4">
        <w:rPr>
          <w:rFonts w:ascii="Lato" w:hAnsi="Lato"/>
          <w:color w:val="000000" w:themeColor="text1"/>
          <w:sz w:val="22"/>
          <w:szCs w:val="22"/>
        </w:rPr>
        <w:t>.</w:t>
      </w:r>
    </w:p>
    <w:p w14:paraId="3A4E65C7" w14:textId="77777777" w:rsidR="005E347E" w:rsidRPr="00AA22C4" w:rsidRDefault="005E347E" w:rsidP="005E347E">
      <w:pPr>
        <w:pStyle w:val="Tekstprzypisudolnego"/>
        <w:numPr>
          <w:ilvl w:val="1"/>
          <w:numId w:val="8"/>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Importowanie widm masowych ze tandemowego spektrometru mas:</w:t>
      </w:r>
    </w:p>
    <w:p w14:paraId="6CA36572" w14:textId="5433D206" w:rsidR="005E347E" w:rsidRPr="00AA22C4" w:rsidRDefault="005E347E" w:rsidP="005E347E">
      <w:pPr>
        <w:pStyle w:val="Tekstprzypisudolnego"/>
        <w:numPr>
          <w:ilvl w:val="2"/>
          <w:numId w:val="8"/>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 xml:space="preserve">oprogramowanie producenta sterujące spektrometrem zapewnia jedynie </w:t>
      </w:r>
      <w:r w:rsidRPr="00AA22C4">
        <w:rPr>
          <w:rFonts w:ascii="Lato" w:hAnsi="Lato"/>
          <w:color w:val="000000" w:themeColor="text1"/>
          <w:sz w:val="22"/>
          <w:szCs w:val="22"/>
        </w:rPr>
        <w:lastRenderedPageBreak/>
        <w:t>sterowanie procesem pomiaru, właściwa interpretacja wyników pomiarów odbywa się już w specjalnym oprogramowaniu</w:t>
      </w:r>
      <w:r w:rsidR="00FE404C" w:rsidRPr="00AA22C4">
        <w:rPr>
          <w:rFonts w:ascii="Lato" w:hAnsi="Lato"/>
          <w:color w:val="000000" w:themeColor="text1"/>
          <w:sz w:val="22"/>
          <w:szCs w:val="22"/>
        </w:rPr>
        <w:t>.</w:t>
      </w:r>
    </w:p>
    <w:p w14:paraId="5377C4AB" w14:textId="77777777" w:rsidR="005E347E" w:rsidRPr="00AA22C4" w:rsidRDefault="005E347E" w:rsidP="005E347E">
      <w:pPr>
        <w:pStyle w:val="Tekstprzypisudolnego"/>
        <w:numPr>
          <w:ilvl w:val="1"/>
          <w:numId w:val="8"/>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Obliczenie stężeń szukanych substancji:</w:t>
      </w:r>
    </w:p>
    <w:p w14:paraId="34C0B082" w14:textId="77777777" w:rsidR="005E347E" w:rsidRPr="00AA22C4" w:rsidRDefault="005E347E" w:rsidP="005E347E">
      <w:pPr>
        <w:pStyle w:val="Tekstprzypisudolnego"/>
        <w:numPr>
          <w:ilvl w:val="2"/>
          <w:numId w:val="8"/>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aproksymacja krzywej standardowej:</w:t>
      </w:r>
    </w:p>
    <w:p w14:paraId="5F4043A4" w14:textId="77777777" w:rsidR="005E347E" w:rsidRPr="00AA22C4" w:rsidRDefault="005E347E" w:rsidP="005E347E">
      <w:pPr>
        <w:pStyle w:val="Tekstprzypisudolnego"/>
        <w:spacing w:before="120" w:after="120"/>
        <w:ind w:left="1724"/>
        <w:contextualSpacing/>
        <w:jc w:val="both"/>
        <w:rPr>
          <w:rFonts w:ascii="Lato" w:hAnsi="Lato"/>
          <w:color w:val="000000" w:themeColor="text1"/>
          <w:sz w:val="22"/>
          <w:szCs w:val="22"/>
        </w:rPr>
      </w:pPr>
      <w:r w:rsidRPr="00AA22C4">
        <w:rPr>
          <w:rFonts w:ascii="Lato" w:hAnsi="Lato"/>
          <w:color w:val="000000" w:themeColor="text1"/>
          <w:sz w:val="22"/>
          <w:szCs w:val="22"/>
        </w:rPr>
        <w:t>– automatyczna aproksymacja pozwala na szybkie i bezbłędne przekształcenie danych uzyskanych z aparatów pomiarowych na stężenia mierzonych substancji. Różne metody aproksymacji dla różnych analiz pozwalają na najlepsze (z najmniejszym błędem) obliczenie stężeń,</w:t>
      </w:r>
    </w:p>
    <w:p w14:paraId="3F6FD14E" w14:textId="77777777" w:rsidR="005E347E" w:rsidRPr="00AA22C4" w:rsidRDefault="005E347E" w:rsidP="005E347E">
      <w:pPr>
        <w:pStyle w:val="Tekstprzypisudolnego"/>
        <w:numPr>
          <w:ilvl w:val="2"/>
          <w:numId w:val="8"/>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przeliczenie widm na stężenia:</w:t>
      </w:r>
    </w:p>
    <w:p w14:paraId="3FBD784D" w14:textId="77777777" w:rsidR="005E347E" w:rsidRPr="00AA22C4" w:rsidRDefault="005E347E" w:rsidP="005E347E">
      <w:pPr>
        <w:pStyle w:val="Tekstprzypisudolnego"/>
        <w:spacing w:before="120" w:after="120"/>
        <w:ind w:left="1724"/>
        <w:contextualSpacing/>
        <w:jc w:val="both"/>
        <w:rPr>
          <w:rFonts w:ascii="Lato" w:hAnsi="Lato"/>
          <w:color w:val="000000" w:themeColor="text1"/>
          <w:sz w:val="22"/>
          <w:szCs w:val="22"/>
        </w:rPr>
      </w:pPr>
      <w:r w:rsidRPr="00AA22C4">
        <w:rPr>
          <w:rFonts w:ascii="Lato" w:hAnsi="Lato"/>
          <w:color w:val="000000" w:themeColor="text1"/>
          <w:sz w:val="22"/>
          <w:szCs w:val="22"/>
        </w:rPr>
        <w:t xml:space="preserve">– automatyczne przeliczanie widm pozwala na obliczenie stężeń dla ponad 20 różnych substancji (z jednego widma) oraz obliczenie ponad 80 parametrów pomocniczych, </w:t>
      </w:r>
    </w:p>
    <w:p w14:paraId="62BCE914" w14:textId="630D24B1" w:rsidR="005E347E" w:rsidRPr="00AA22C4" w:rsidRDefault="005E347E" w:rsidP="005E347E">
      <w:pPr>
        <w:pStyle w:val="Tekstprzypisudolnego"/>
        <w:numPr>
          <w:ilvl w:val="2"/>
          <w:numId w:val="8"/>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kontrola jakości testu</w:t>
      </w:r>
      <w:r w:rsidR="00FE404C" w:rsidRPr="00AA22C4">
        <w:rPr>
          <w:rFonts w:ascii="Lato" w:hAnsi="Lato"/>
          <w:color w:val="000000" w:themeColor="text1"/>
          <w:sz w:val="22"/>
          <w:szCs w:val="22"/>
        </w:rPr>
        <w:t>.</w:t>
      </w:r>
    </w:p>
    <w:p w14:paraId="04468C92" w14:textId="77777777" w:rsidR="005E347E" w:rsidRPr="00AA22C4" w:rsidRDefault="005E347E" w:rsidP="005E347E">
      <w:pPr>
        <w:pStyle w:val="Tekstprzypisudolnego"/>
        <w:numPr>
          <w:ilvl w:val="1"/>
          <w:numId w:val="8"/>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Klasyfikacja wyników:</w:t>
      </w:r>
    </w:p>
    <w:p w14:paraId="218B6A86" w14:textId="77777777" w:rsidR="005E347E" w:rsidRPr="00AA22C4" w:rsidRDefault="005E347E" w:rsidP="005E347E">
      <w:pPr>
        <w:pStyle w:val="Tekstprzypisudolnego"/>
        <w:numPr>
          <w:ilvl w:val="2"/>
          <w:numId w:val="8"/>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wybranie wyników z podwyższonym prawdopodobieństwem choroby zgodnie z określonymi kryteriami:</w:t>
      </w:r>
    </w:p>
    <w:p w14:paraId="7C8253F8" w14:textId="77777777" w:rsidR="005E347E" w:rsidRPr="00AA22C4" w:rsidRDefault="005E347E" w:rsidP="005E347E">
      <w:pPr>
        <w:pStyle w:val="Tekstprzypisudolnego"/>
        <w:spacing w:before="120" w:after="120"/>
        <w:ind w:left="1724"/>
        <w:contextualSpacing/>
        <w:jc w:val="both"/>
        <w:rPr>
          <w:rFonts w:ascii="Lato" w:hAnsi="Lato"/>
          <w:color w:val="000000" w:themeColor="text1"/>
          <w:sz w:val="22"/>
          <w:szCs w:val="22"/>
        </w:rPr>
      </w:pPr>
      <w:r w:rsidRPr="00AA22C4">
        <w:rPr>
          <w:rFonts w:ascii="Lato" w:hAnsi="Lato"/>
          <w:color w:val="000000" w:themeColor="text1"/>
          <w:sz w:val="22"/>
          <w:szCs w:val="22"/>
        </w:rPr>
        <w:t>– program umożliwia stosowanie różnych algorytmów klasyfikacji zależnie od rodzaju analizy i zmiany rodzaju lub producenta odczynników,</w:t>
      </w:r>
    </w:p>
    <w:p w14:paraId="2EDC4143" w14:textId="77777777" w:rsidR="005E347E" w:rsidRPr="00AA22C4" w:rsidRDefault="005E347E" w:rsidP="005E347E">
      <w:pPr>
        <w:pStyle w:val="Tekstprzypisudolnego"/>
        <w:numPr>
          <w:ilvl w:val="2"/>
          <w:numId w:val="8"/>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zlecenie odpowiednich zadań zależnie od klasyfikacji:</w:t>
      </w:r>
    </w:p>
    <w:p w14:paraId="52C07E08" w14:textId="77777777" w:rsidR="005E347E" w:rsidRPr="00AA22C4" w:rsidRDefault="005E347E" w:rsidP="005E347E">
      <w:pPr>
        <w:pStyle w:val="Tekstprzypisudolnego"/>
        <w:spacing w:before="120" w:after="120"/>
        <w:ind w:left="1724"/>
        <w:contextualSpacing/>
        <w:jc w:val="both"/>
        <w:rPr>
          <w:rFonts w:ascii="Lato" w:hAnsi="Lato"/>
          <w:color w:val="000000" w:themeColor="text1"/>
          <w:sz w:val="22"/>
          <w:szCs w:val="22"/>
        </w:rPr>
      </w:pPr>
      <w:r w:rsidRPr="00AA22C4">
        <w:rPr>
          <w:rFonts w:ascii="Lato" w:hAnsi="Lato"/>
          <w:color w:val="000000" w:themeColor="text1"/>
          <w:sz w:val="22"/>
          <w:szCs w:val="22"/>
        </w:rPr>
        <w:t>– automatyczne zlecanie zadań przez program zapobiega zagubieniu wyników które wymagają dalszej weryfikacji. Program w dalszym etapie kontroluje kompletność wykonania zadań.</w:t>
      </w:r>
    </w:p>
    <w:p w14:paraId="3DAFD8D1" w14:textId="77777777" w:rsidR="005E347E" w:rsidRPr="00AA22C4" w:rsidRDefault="005E347E" w:rsidP="005E347E">
      <w:pPr>
        <w:pStyle w:val="Tekstprzypisudolnego"/>
        <w:numPr>
          <w:ilvl w:val="0"/>
          <w:numId w:val="9"/>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 xml:space="preserve">Procedury </w:t>
      </w:r>
      <w:proofErr w:type="spellStart"/>
      <w:r w:rsidRPr="00AA22C4">
        <w:rPr>
          <w:rFonts w:ascii="Lato" w:hAnsi="Lato"/>
          <w:color w:val="000000" w:themeColor="text1"/>
          <w:sz w:val="22"/>
          <w:szCs w:val="22"/>
        </w:rPr>
        <w:t>potestowe</w:t>
      </w:r>
      <w:proofErr w:type="spellEnd"/>
      <w:r w:rsidRPr="00AA22C4">
        <w:rPr>
          <w:rFonts w:ascii="Lato" w:hAnsi="Lato"/>
          <w:color w:val="000000" w:themeColor="text1"/>
          <w:sz w:val="22"/>
          <w:szCs w:val="22"/>
        </w:rPr>
        <w:t>:</w:t>
      </w:r>
    </w:p>
    <w:p w14:paraId="1E1D9096" w14:textId="77777777" w:rsidR="005E347E" w:rsidRPr="00AA22C4" w:rsidRDefault="005E347E" w:rsidP="005E347E">
      <w:pPr>
        <w:pStyle w:val="Tekstprzypisudolnego"/>
        <w:numPr>
          <w:ilvl w:val="1"/>
          <w:numId w:val="9"/>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Wykonanie zadań zleconych w czasie klasyfikacji:</w:t>
      </w:r>
    </w:p>
    <w:p w14:paraId="6F4088FB" w14:textId="77777777" w:rsidR="005E347E" w:rsidRPr="00AA22C4" w:rsidRDefault="005E347E" w:rsidP="005E347E">
      <w:pPr>
        <w:pStyle w:val="Tekstprzypisudolnego"/>
        <w:numPr>
          <w:ilvl w:val="2"/>
          <w:numId w:val="9"/>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zadanie wykonania analizy z powtórnego pobrania krwi:</w:t>
      </w:r>
    </w:p>
    <w:p w14:paraId="19D3F1C2" w14:textId="77777777" w:rsidR="005E347E" w:rsidRPr="00AA22C4" w:rsidRDefault="005E347E" w:rsidP="005E347E">
      <w:pPr>
        <w:pStyle w:val="Tekstprzypisudolnego"/>
        <w:spacing w:before="120" w:after="120"/>
        <w:ind w:left="1724"/>
        <w:contextualSpacing/>
        <w:jc w:val="both"/>
        <w:rPr>
          <w:rFonts w:ascii="Lato" w:hAnsi="Lato"/>
          <w:color w:val="000000" w:themeColor="text1"/>
          <w:sz w:val="22"/>
          <w:szCs w:val="22"/>
        </w:rPr>
      </w:pPr>
      <w:r w:rsidRPr="00AA22C4">
        <w:rPr>
          <w:rFonts w:ascii="Lato" w:hAnsi="Lato"/>
          <w:color w:val="000000" w:themeColor="text1"/>
          <w:sz w:val="22"/>
          <w:szCs w:val="22"/>
        </w:rPr>
        <w:t>– w przypadku, gdy wynik badania przekracza normę w granicach błędu statystycznie ustalonego dla danego testu lub wynik badania jest niejednoznaczny (np. z powodu słabego nasączenia bibuły krwią) to jest wykonywana powtórna analiza kontrolna z nowej próbki krwi. Program umożliwia kontrolowanie uzyskania powtórnej bibuły i prawidłowego wykonania badań z tej nowej bibuły,</w:t>
      </w:r>
    </w:p>
    <w:p w14:paraId="72EE5A98" w14:textId="77777777" w:rsidR="005E347E" w:rsidRPr="00AA22C4" w:rsidRDefault="005E347E" w:rsidP="005E347E">
      <w:pPr>
        <w:pStyle w:val="Tekstprzypisudolnego"/>
        <w:numPr>
          <w:ilvl w:val="2"/>
          <w:numId w:val="9"/>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zadanie wezwania do kliniki:</w:t>
      </w:r>
    </w:p>
    <w:p w14:paraId="3D165F1F" w14:textId="77777777" w:rsidR="005E347E" w:rsidRPr="00AA22C4" w:rsidRDefault="005E347E" w:rsidP="005E347E">
      <w:pPr>
        <w:pStyle w:val="Tekstprzypisudolnego"/>
        <w:spacing w:before="120" w:after="120"/>
        <w:ind w:left="1724"/>
        <w:contextualSpacing/>
        <w:jc w:val="both"/>
        <w:rPr>
          <w:rFonts w:ascii="Lato" w:hAnsi="Lato"/>
          <w:color w:val="000000" w:themeColor="text1"/>
          <w:sz w:val="22"/>
          <w:szCs w:val="22"/>
        </w:rPr>
      </w:pPr>
      <w:r w:rsidRPr="00AA22C4">
        <w:rPr>
          <w:rFonts w:ascii="Lato" w:hAnsi="Lato"/>
          <w:color w:val="000000" w:themeColor="text1"/>
          <w:sz w:val="22"/>
          <w:szCs w:val="22"/>
        </w:rPr>
        <w:t xml:space="preserve">– w przypadku, gdy wynik jest poza ustaloną normą (ponad przyjęty błąd kwalifikujący do powtórzenie badania) wtedy noworodek jest wzywany na wizytę kontrolną do jednej ze specjalistycznych klinik – program kontroluje </w:t>
      </w:r>
      <w:r w:rsidRPr="00AA22C4">
        <w:rPr>
          <w:rFonts w:ascii="Lato" w:hAnsi="Lato"/>
          <w:color w:val="000000" w:themeColor="text1"/>
          <w:sz w:val="22"/>
          <w:szCs w:val="22"/>
        </w:rPr>
        <w:lastRenderedPageBreak/>
        <w:t>wysłanie wezwania i weryfikuje informację zwrotną uzyskaną po wizycie noworodka w klinice,</w:t>
      </w:r>
    </w:p>
    <w:p w14:paraId="1E4C034D" w14:textId="77777777" w:rsidR="005E347E" w:rsidRPr="00AA22C4" w:rsidRDefault="005E347E" w:rsidP="005E347E">
      <w:pPr>
        <w:pStyle w:val="Tekstprzypisudolnego"/>
        <w:numPr>
          <w:ilvl w:val="2"/>
          <w:numId w:val="9"/>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zadanie skierowania na dodatkowe badania:</w:t>
      </w:r>
    </w:p>
    <w:p w14:paraId="65276F0C" w14:textId="0A458574" w:rsidR="005E347E" w:rsidRPr="00AA22C4" w:rsidRDefault="005E347E" w:rsidP="005E347E">
      <w:pPr>
        <w:pStyle w:val="Tekstprzypisudolnego"/>
        <w:spacing w:before="120" w:after="120"/>
        <w:ind w:left="1724"/>
        <w:contextualSpacing/>
        <w:jc w:val="both"/>
        <w:rPr>
          <w:rFonts w:ascii="Lato" w:hAnsi="Lato"/>
          <w:color w:val="000000" w:themeColor="text1"/>
          <w:sz w:val="22"/>
          <w:szCs w:val="22"/>
        </w:rPr>
      </w:pPr>
      <w:r w:rsidRPr="00AA22C4">
        <w:rPr>
          <w:rFonts w:ascii="Lato" w:hAnsi="Lato"/>
          <w:color w:val="000000" w:themeColor="text1"/>
          <w:sz w:val="22"/>
          <w:szCs w:val="22"/>
        </w:rPr>
        <w:t>– w przypadku niektórych analiz zamiast wezwania noworodka do kliniki są wykonywane dodatkowe badania weryfikacyjne (np. badania molekularne dla analizy IRT w mukowiscydozie, badanie profilu steroidowego dla analizy 17- OHP we wrodzonym przeroście nadnerczy). Noworodek jest wzywany dopiero wtedy, gdy badania weryfikacyjne również potwierdzą podejrzenie choroby – program kontroluje wykonanie tych badań i zapewnia kompletność wykonania wszystkich wymaganych etapów badań</w:t>
      </w:r>
      <w:r w:rsidR="00FE404C" w:rsidRPr="00AA22C4">
        <w:rPr>
          <w:rFonts w:ascii="Lato" w:hAnsi="Lato"/>
          <w:color w:val="000000" w:themeColor="text1"/>
          <w:sz w:val="22"/>
          <w:szCs w:val="22"/>
        </w:rPr>
        <w:t>.</w:t>
      </w:r>
    </w:p>
    <w:p w14:paraId="34DC038A" w14:textId="77777777" w:rsidR="005E347E" w:rsidRPr="00AA22C4" w:rsidRDefault="005E347E" w:rsidP="005E347E">
      <w:pPr>
        <w:pStyle w:val="Tekstprzypisudolnego"/>
        <w:numPr>
          <w:ilvl w:val="1"/>
          <w:numId w:val="9"/>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Kontrola prawidłowości przebiegu badań:</w:t>
      </w:r>
    </w:p>
    <w:p w14:paraId="77809959" w14:textId="77777777" w:rsidR="005E347E" w:rsidRPr="00AA22C4" w:rsidRDefault="005E347E" w:rsidP="005E347E">
      <w:pPr>
        <w:pStyle w:val="Tekstprzypisudolnego"/>
        <w:numPr>
          <w:ilvl w:val="2"/>
          <w:numId w:val="9"/>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kontrola stanu wykonania zleconych zadań:</w:t>
      </w:r>
    </w:p>
    <w:p w14:paraId="1B87F1D5" w14:textId="77777777" w:rsidR="005E347E" w:rsidRPr="00AA22C4" w:rsidRDefault="005E347E" w:rsidP="005E347E">
      <w:pPr>
        <w:pStyle w:val="Tekstprzypisudolnego"/>
        <w:spacing w:before="120" w:after="120"/>
        <w:ind w:left="1724"/>
        <w:contextualSpacing/>
        <w:rPr>
          <w:rFonts w:ascii="Lato" w:hAnsi="Lato"/>
          <w:color w:val="000000" w:themeColor="text1"/>
          <w:sz w:val="22"/>
          <w:szCs w:val="22"/>
        </w:rPr>
      </w:pPr>
      <w:r w:rsidRPr="00AA22C4">
        <w:rPr>
          <w:rFonts w:ascii="Lato" w:hAnsi="Lato"/>
          <w:color w:val="000000" w:themeColor="text1"/>
          <w:sz w:val="22"/>
          <w:szCs w:val="22"/>
        </w:rPr>
        <w:t>– kontrola powrotu bibuły z powtórnym pobraniem,</w:t>
      </w:r>
    </w:p>
    <w:p w14:paraId="49552DA7" w14:textId="77777777" w:rsidR="005E347E" w:rsidRPr="00AA22C4" w:rsidRDefault="005E347E" w:rsidP="005E347E">
      <w:pPr>
        <w:pStyle w:val="Tekstprzypisudolnego"/>
        <w:spacing w:before="120" w:after="120"/>
        <w:ind w:left="1724"/>
        <w:contextualSpacing/>
        <w:rPr>
          <w:rFonts w:ascii="Lato" w:hAnsi="Lato"/>
          <w:color w:val="000000" w:themeColor="text1"/>
          <w:sz w:val="22"/>
          <w:szCs w:val="22"/>
        </w:rPr>
      </w:pPr>
      <w:r w:rsidRPr="00AA22C4">
        <w:rPr>
          <w:rFonts w:ascii="Lato" w:hAnsi="Lato"/>
          <w:color w:val="000000" w:themeColor="text1"/>
          <w:sz w:val="22"/>
          <w:szCs w:val="22"/>
        </w:rPr>
        <w:t>– kontrola wysłania wezwania,</w:t>
      </w:r>
    </w:p>
    <w:p w14:paraId="63C53F20" w14:textId="77777777" w:rsidR="005E347E" w:rsidRPr="00AA22C4" w:rsidRDefault="005E347E" w:rsidP="005E347E">
      <w:pPr>
        <w:pStyle w:val="Tekstprzypisudolnego"/>
        <w:spacing w:before="120" w:after="120"/>
        <w:ind w:left="1724"/>
        <w:contextualSpacing/>
        <w:rPr>
          <w:rFonts w:ascii="Lato" w:hAnsi="Lato"/>
          <w:color w:val="000000" w:themeColor="text1"/>
          <w:sz w:val="22"/>
          <w:szCs w:val="22"/>
        </w:rPr>
      </w:pPr>
      <w:r w:rsidRPr="00AA22C4">
        <w:rPr>
          <w:rFonts w:ascii="Lato" w:hAnsi="Lato"/>
          <w:color w:val="000000" w:themeColor="text1"/>
          <w:sz w:val="22"/>
          <w:szCs w:val="22"/>
        </w:rPr>
        <w:t>– kontrola zgłoszenia się dziecka w klinice,</w:t>
      </w:r>
    </w:p>
    <w:p w14:paraId="21139834" w14:textId="77777777" w:rsidR="005E347E" w:rsidRPr="00AA22C4" w:rsidRDefault="005E347E" w:rsidP="005E347E">
      <w:pPr>
        <w:pStyle w:val="Tekstprzypisudolnego"/>
        <w:spacing w:before="120" w:after="120"/>
        <w:ind w:left="1724"/>
        <w:contextualSpacing/>
        <w:rPr>
          <w:rFonts w:ascii="Lato" w:hAnsi="Lato"/>
          <w:color w:val="000000" w:themeColor="text1"/>
          <w:sz w:val="22"/>
          <w:szCs w:val="22"/>
        </w:rPr>
      </w:pPr>
      <w:r w:rsidRPr="00AA22C4">
        <w:rPr>
          <w:rFonts w:ascii="Lato" w:hAnsi="Lato"/>
          <w:color w:val="000000" w:themeColor="text1"/>
          <w:sz w:val="22"/>
          <w:szCs w:val="22"/>
        </w:rPr>
        <w:t>– kontrola wykonania dodatkowych badań (np. molekularnych),</w:t>
      </w:r>
    </w:p>
    <w:p w14:paraId="07C2B3BF" w14:textId="2FCCFF25" w:rsidR="005E347E" w:rsidRPr="00AA22C4" w:rsidRDefault="005E347E" w:rsidP="005E347E">
      <w:pPr>
        <w:pStyle w:val="Tekstprzypisudolnego"/>
        <w:numPr>
          <w:ilvl w:val="2"/>
          <w:numId w:val="9"/>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 xml:space="preserve">kontrola jakości badań </w:t>
      </w:r>
      <w:r w:rsidR="00B01154" w:rsidRPr="00AA22C4">
        <w:rPr>
          <w:rFonts w:ascii="Lato" w:hAnsi="Lato"/>
          <w:color w:val="000000" w:themeColor="text1"/>
          <w:sz w:val="22"/>
          <w:szCs w:val="22"/>
        </w:rPr>
        <w:t xml:space="preserve">na podstawie </w:t>
      </w:r>
      <w:r w:rsidRPr="00AA22C4">
        <w:rPr>
          <w:rFonts w:ascii="Lato" w:hAnsi="Lato"/>
          <w:color w:val="000000" w:themeColor="text1"/>
          <w:sz w:val="22"/>
          <w:szCs w:val="22"/>
        </w:rPr>
        <w:t>prób</w:t>
      </w:r>
      <w:r w:rsidR="00B01154" w:rsidRPr="00AA22C4">
        <w:rPr>
          <w:rFonts w:ascii="Lato" w:hAnsi="Lato"/>
          <w:color w:val="000000" w:themeColor="text1"/>
          <w:sz w:val="22"/>
          <w:szCs w:val="22"/>
        </w:rPr>
        <w:t xml:space="preserve">ek </w:t>
      </w:r>
      <w:r w:rsidRPr="00AA22C4">
        <w:rPr>
          <w:rFonts w:ascii="Lato" w:hAnsi="Lato"/>
          <w:color w:val="000000" w:themeColor="text1"/>
          <w:sz w:val="22"/>
          <w:szCs w:val="22"/>
        </w:rPr>
        <w:t>kontroli wewnętrznej i zewnętrznej:</w:t>
      </w:r>
    </w:p>
    <w:p w14:paraId="53766A59" w14:textId="6664F253" w:rsidR="005E347E" w:rsidRPr="00AA22C4" w:rsidRDefault="005E347E" w:rsidP="005E347E">
      <w:pPr>
        <w:pStyle w:val="Tekstprzypisudolnego"/>
        <w:spacing w:before="120" w:after="120"/>
        <w:ind w:left="1724"/>
        <w:contextualSpacing/>
        <w:jc w:val="both"/>
        <w:rPr>
          <w:rFonts w:ascii="Lato" w:hAnsi="Lato"/>
          <w:color w:val="000000" w:themeColor="text1"/>
          <w:sz w:val="22"/>
          <w:szCs w:val="22"/>
        </w:rPr>
      </w:pPr>
      <w:r w:rsidRPr="00AA22C4">
        <w:rPr>
          <w:rFonts w:ascii="Lato" w:hAnsi="Lato"/>
          <w:color w:val="000000" w:themeColor="text1"/>
          <w:sz w:val="22"/>
          <w:szCs w:val="22"/>
        </w:rPr>
        <w:t xml:space="preserve">– do każdej płytki pomiarowej są dodawane próbki kontroli wewnętrznej oraz okresowo są dodawane próbki kontroli zewnętrznej (próbki dostarczane przez zewnętrzne instytucje inne niż producent odczynników np. CDC </w:t>
      </w:r>
      <w:r w:rsidRPr="00AA22C4">
        <w:rPr>
          <w:rFonts w:ascii="Lato" w:hAnsi="Lato"/>
          <w:color w:val="000000" w:themeColor="text1"/>
          <w:sz w:val="22"/>
          <w:szCs w:val="22"/>
        </w:rPr>
        <w:br/>
        <w:t>z USA) – program tworzy listę pomiarów dla tych próbek co umożliwia później sprawdzanie i monitorowanie długofalowych trendów w pomiarach</w:t>
      </w:r>
      <w:r w:rsidR="00FE404C" w:rsidRPr="00AA22C4">
        <w:rPr>
          <w:rFonts w:ascii="Lato" w:hAnsi="Lato"/>
          <w:color w:val="000000" w:themeColor="text1"/>
          <w:sz w:val="22"/>
          <w:szCs w:val="22"/>
        </w:rPr>
        <w:t>.</w:t>
      </w:r>
    </w:p>
    <w:p w14:paraId="00DAA882" w14:textId="77777777" w:rsidR="005E347E" w:rsidRPr="00AA22C4" w:rsidRDefault="005E347E" w:rsidP="005E347E">
      <w:pPr>
        <w:pStyle w:val="Tekstprzypisudolnego"/>
        <w:numPr>
          <w:ilvl w:val="1"/>
          <w:numId w:val="9"/>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 xml:space="preserve">Kontrola kompletności badań: </w:t>
      </w:r>
    </w:p>
    <w:p w14:paraId="5F7F4456" w14:textId="77777777" w:rsidR="005E347E" w:rsidRPr="00AA22C4" w:rsidRDefault="005E347E" w:rsidP="005E347E">
      <w:pPr>
        <w:pStyle w:val="Tekstprzypisudolnego"/>
        <w:numPr>
          <w:ilvl w:val="2"/>
          <w:numId w:val="9"/>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czy wszystkie kody dotarły do laboratorium:</w:t>
      </w:r>
    </w:p>
    <w:p w14:paraId="306D9187" w14:textId="77777777" w:rsidR="005E347E" w:rsidRPr="00AA22C4" w:rsidRDefault="005E347E" w:rsidP="005E347E">
      <w:pPr>
        <w:pStyle w:val="Tekstprzypisudolnego"/>
        <w:spacing w:before="120" w:after="120"/>
        <w:ind w:left="1724"/>
        <w:contextualSpacing/>
        <w:jc w:val="both"/>
        <w:rPr>
          <w:rFonts w:ascii="Lato" w:hAnsi="Lato"/>
          <w:color w:val="000000" w:themeColor="text1"/>
          <w:sz w:val="22"/>
          <w:szCs w:val="22"/>
        </w:rPr>
      </w:pPr>
      <w:r w:rsidRPr="00AA22C4">
        <w:rPr>
          <w:rFonts w:ascii="Lato" w:hAnsi="Lato"/>
          <w:color w:val="000000" w:themeColor="text1"/>
          <w:sz w:val="22"/>
          <w:szCs w:val="22"/>
        </w:rPr>
        <w:t xml:space="preserve">– program kontroluje czy wszystkie kody wysłane do szpitali powróciły </w:t>
      </w:r>
      <w:r w:rsidRPr="00AA22C4">
        <w:rPr>
          <w:rFonts w:ascii="Lato" w:hAnsi="Lato"/>
          <w:color w:val="000000" w:themeColor="text1"/>
          <w:sz w:val="22"/>
          <w:szCs w:val="22"/>
        </w:rPr>
        <w:br/>
        <w:t>do laboratorium – zapobiega to ominięciu badań dla noworodków których bibuły zostały zagubione w czasie transportu próbek do laboratorium,</w:t>
      </w:r>
    </w:p>
    <w:p w14:paraId="7674B7C4" w14:textId="77777777" w:rsidR="005E347E" w:rsidRPr="00AA22C4" w:rsidRDefault="005E347E" w:rsidP="00AA22C4">
      <w:pPr>
        <w:pStyle w:val="Tekstprzypisudolnego"/>
        <w:numPr>
          <w:ilvl w:val="2"/>
          <w:numId w:val="9"/>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czy wszystkie kody zarejestrowane w laboratorium mają wykonany komplet badań przesiewowych:</w:t>
      </w:r>
    </w:p>
    <w:p w14:paraId="76BABE3B" w14:textId="49B149B8" w:rsidR="005E347E" w:rsidRPr="00AA22C4" w:rsidRDefault="005E347E" w:rsidP="005E347E">
      <w:pPr>
        <w:pStyle w:val="Tekstprzypisudolnego"/>
        <w:spacing w:before="120" w:after="120"/>
        <w:ind w:left="1724"/>
        <w:contextualSpacing/>
        <w:jc w:val="both"/>
        <w:rPr>
          <w:rFonts w:ascii="Lato" w:hAnsi="Lato"/>
          <w:color w:val="000000" w:themeColor="text1"/>
          <w:sz w:val="22"/>
          <w:szCs w:val="22"/>
        </w:rPr>
      </w:pPr>
      <w:r w:rsidRPr="00AA22C4">
        <w:rPr>
          <w:rFonts w:ascii="Lato" w:hAnsi="Lato"/>
          <w:color w:val="000000" w:themeColor="text1"/>
          <w:sz w:val="22"/>
          <w:szCs w:val="22"/>
        </w:rPr>
        <w:t xml:space="preserve">– oprogramowanie </w:t>
      </w:r>
      <w:r w:rsidR="00B01154" w:rsidRPr="00AA22C4">
        <w:rPr>
          <w:rFonts w:ascii="Lato" w:hAnsi="Lato"/>
          <w:color w:val="000000" w:themeColor="text1"/>
          <w:sz w:val="22"/>
          <w:szCs w:val="22"/>
        </w:rPr>
        <w:t xml:space="preserve">przeznaczone </w:t>
      </w:r>
      <w:r w:rsidRPr="00AA22C4">
        <w:rPr>
          <w:rFonts w:ascii="Lato" w:hAnsi="Lato"/>
          <w:color w:val="000000" w:themeColor="text1"/>
          <w:sz w:val="22"/>
          <w:szCs w:val="22"/>
        </w:rPr>
        <w:t>badaniom przesiewowym kontroluje czy wszystkie bibuły mają wykony pełen zakres analiz przewidzianych w badaniach przesiewowych,</w:t>
      </w:r>
    </w:p>
    <w:p w14:paraId="7520CA27" w14:textId="77777777" w:rsidR="005E347E" w:rsidRPr="00AA22C4" w:rsidRDefault="005E347E" w:rsidP="005E347E">
      <w:pPr>
        <w:pStyle w:val="Tekstprzypisudolnego"/>
        <w:spacing w:before="120" w:after="120"/>
        <w:ind w:left="1724"/>
        <w:contextualSpacing/>
        <w:jc w:val="both"/>
        <w:rPr>
          <w:rFonts w:ascii="Lato" w:hAnsi="Lato"/>
          <w:color w:val="000000" w:themeColor="text1"/>
          <w:sz w:val="22"/>
          <w:szCs w:val="22"/>
        </w:rPr>
      </w:pPr>
      <w:r w:rsidRPr="00AA22C4">
        <w:rPr>
          <w:rFonts w:ascii="Lato" w:hAnsi="Lato"/>
          <w:color w:val="000000" w:themeColor="text1"/>
          <w:sz w:val="22"/>
          <w:szCs w:val="22"/>
        </w:rPr>
        <w:t>– sprawdzane jest wykonanie wszystkich analiz w laboratorium,</w:t>
      </w:r>
    </w:p>
    <w:p w14:paraId="05F82997" w14:textId="77777777" w:rsidR="005E347E" w:rsidRPr="00AA22C4" w:rsidRDefault="005E347E" w:rsidP="005E347E">
      <w:pPr>
        <w:pStyle w:val="Tekstprzypisudolnego"/>
        <w:spacing w:before="120" w:after="120"/>
        <w:ind w:left="1724"/>
        <w:contextualSpacing/>
        <w:jc w:val="both"/>
        <w:rPr>
          <w:rFonts w:ascii="Lato" w:hAnsi="Lato"/>
          <w:color w:val="000000" w:themeColor="text1"/>
          <w:sz w:val="22"/>
          <w:szCs w:val="22"/>
        </w:rPr>
      </w:pPr>
      <w:r w:rsidRPr="00AA22C4">
        <w:rPr>
          <w:rFonts w:ascii="Lato" w:hAnsi="Lato"/>
          <w:color w:val="000000" w:themeColor="text1"/>
          <w:sz w:val="22"/>
          <w:szCs w:val="22"/>
        </w:rPr>
        <w:t xml:space="preserve">– sprawdzane jest również wykonanie kompletu analiz między laboratoriami </w:t>
      </w:r>
      <w:r w:rsidRPr="00AA22C4">
        <w:rPr>
          <w:rFonts w:ascii="Lato" w:hAnsi="Lato"/>
          <w:color w:val="000000" w:themeColor="text1"/>
          <w:sz w:val="22"/>
          <w:szCs w:val="22"/>
        </w:rPr>
        <w:lastRenderedPageBreak/>
        <w:t xml:space="preserve">(analiza MS/MS pobierana jest na oddzielnej bibule która jest wysyłana do IMD w Warszawie, natomiast druga bibuła jest przeznaczona na pozostałe analizy wykonywane w laboratoriach regionalnych) – w przypadku braku jednej z bibuł (zagubienie w transporcie) program kontroluje wykonanie brakujących analiz. </w:t>
      </w:r>
    </w:p>
    <w:p w14:paraId="1C603D3B" w14:textId="6FD5134E" w:rsidR="005E347E" w:rsidRPr="00AA22C4" w:rsidRDefault="005E347E" w:rsidP="0032602F">
      <w:pPr>
        <w:pStyle w:val="Tekstprzypisudolnego"/>
        <w:spacing w:before="240" w:after="120"/>
        <w:jc w:val="both"/>
        <w:rPr>
          <w:rFonts w:ascii="Lato" w:hAnsi="Lato"/>
          <w:color w:val="000000" w:themeColor="text1"/>
          <w:sz w:val="22"/>
          <w:szCs w:val="22"/>
        </w:rPr>
      </w:pPr>
      <w:bookmarkStart w:id="30" w:name="_Toc491892685"/>
      <w:r w:rsidRPr="00AA22C4">
        <w:rPr>
          <w:rFonts w:ascii="Lato" w:hAnsi="Lato"/>
          <w:b/>
          <w:bCs/>
          <w:color w:val="000000" w:themeColor="text1"/>
          <w:sz w:val="22"/>
          <w:szCs w:val="22"/>
        </w:rPr>
        <w:t>Podsumowanie</w:t>
      </w:r>
      <w:bookmarkEnd w:id="30"/>
    </w:p>
    <w:p w14:paraId="3319BCD4" w14:textId="11136A06" w:rsidR="005E347E" w:rsidRPr="00AA22C4" w:rsidRDefault="00B01154"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Odpowiednie </w:t>
      </w:r>
      <w:r w:rsidR="005E347E" w:rsidRPr="00AA22C4">
        <w:rPr>
          <w:rFonts w:ascii="Lato" w:hAnsi="Lato"/>
          <w:color w:val="000000" w:themeColor="text1"/>
          <w:sz w:val="22"/>
          <w:szCs w:val="22"/>
        </w:rPr>
        <w:t>oprogramowanie jest niezbędnym elementem badań przesiewowych w Rzecz</w:t>
      </w:r>
      <w:r w:rsidR="007A48CA" w:rsidRPr="00AA22C4">
        <w:rPr>
          <w:rFonts w:ascii="Lato" w:hAnsi="Lato"/>
          <w:color w:val="000000" w:themeColor="text1"/>
          <w:sz w:val="22"/>
          <w:szCs w:val="22"/>
        </w:rPr>
        <w:t>y</w:t>
      </w:r>
      <w:r w:rsidR="005E347E" w:rsidRPr="00AA22C4">
        <w:rPr>
          <w:rFonts w:ascii="Lato" w:hAnsi="Lato"/>
          <w:color w:val="000000" w:themeColor="text1"/>
          <w:sz w:val="22"/>
          <w:szCs w:val="22"/>
        </w:rPr>
        <w:t>pospolitej Polskiej. Program nie tylko umożliwia wykonywanie badań ale pozwala również na uniknięcie wielu błędów laboratoryjnych i ludzkich – które przy pracy bez oprogramowania są nieuniknione ze względu na bardzo dużą liczbę wykonywanych badań (</w:t>
      </w:r>
      <w:r w:rsidR="000F2E15" w:rsidRPr="00AA22C4">
        <w:rPr>
          <w:rFonts w:ascii="Lato" w:hAnsi="Lato"/>
          <w:color w:val="000000" w:themeColor="text1"/>
          <w:sz w:val="22"/>
          <w:szCs w:val="22"/>
        </w:rPr>
        <w:t xml:space="preserve">od </w:t>
      </w:r>
      <w:r w:rsidR="005E347E" w:rsidRPr="00AA22C4">
        <w:rPr>
          <w:rFonts w:ascii="Lato" w:hAnsi="Lato"/>
          <w:color w:val="000000" w:themeColor="text1"/>
          <w:sz w:val="22"/>
          <w:szCs w:val="22"/>
        </w:rPr>
        <w:t xml:space="preserve">ok. </w:t>
      </w:r>
      <w:r w:rsidR="000F2E15" w:rsidRPr="00AA22C4">
        <w:rPr>
          <w:rFonts w:ascii="Lato" w:hAnsi="Lato"/>
          <w:color w:val="000000" w:themeColor="text1"/>
          <w:sz w:val="22"/>
          <w:szCs w:val="22"/>
        </w:rPr>
        <w:t xml:space="preserve">250 do ok. </w:t>
      </w:r>
      <w:r w:rsidR="005E347E" w:rsidRPr="00AA22C4">
        <w:rPr>
          <w:rFonts w:ascii="Lato" w:hAnsi="Lato"/>
          <w:color w:val="000000" w:themeColor="text1"/>
          <w:sz w:val="22"/>
          <w:szCs w:val="22"/>
        </w:rPr>
        <w:t xml:space="preserve">400 tys. noworodków) razy 7 analiz co daje średnio 2.3 miliona badań rocznie łącznie z badaniami weryfikacyjnymi. W praktyce oznacza to wykonanie około </w:t>
      </w:r>
      <w:r w:rsidR="00F65506" w:rsidRPr="00AA22C4">
        <w:rPr>
          <w:rFonts w:ascii="Lato" w:hAnsi="Lato"/>
          <w:color w:val="000000" w:themeColor="text1"/>
          <w:sz w:val="22"/>
          <w:szCs w:val="22"/>
        </w:rPr>
        <w:t>3-4</w:t>
      </w:r>
      <w:r w:rsidR="005E347E" w:rsidRPr="00AA22C4">
        <w:rPr>
          <w:rFonts w:ascii="Lato" w:hAnsi="Lato"/>
          <w:color w:val="000000" w:themeColor="text1"/>
          <w:sz w:val="22"/>
          <w:szCs w:val="22"/>
        </w:rPr>
        <w:t xml:space="preserve"> milion</w:t>
      </w:r>
      <w:r w:rsidR="00F65506" w:rsidRPr="00AA22C4">
        <w:rPr>
          <w:rFonts w:ascii="Lato" w:hAnsi="Lato"/>
          <w:color w:val="000000" w:themeColor="text1"/>
          <w:sz w:val="22"/>
          <w:szCs w:val="22"/>
        </w:rPr>
        <w:t>ów</w:t>
      </w:r>
      <w:r w:rsidR="005E347E" w:rsidRPr="00AA22C4">
        <w:rPr>
          <w:rFonts w:ascii="Lato" w:hAnsi="Lato"/>
          <w:color w:val="000000" w:themeColor="text1"/>
          <w:sz w:val="22"/>
          <w:szCs w:val="22"/>
        </w:rPr>
        <w:t xml:space="preserve"> oznaczeń).</w:t>
      </w:r>
    </w:p>
    <w:p w14:paraId="7D6DD3EC"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IMiD – dotychczasowy realizator Programu zapewnił jednakową dla wszystkich laboratoriów aparaturę i sprzęt laboratoryjny niezbędny do wykonywania badań przesiewowych. Do niezbędnej aparatury należą wycinarki krążków z krwią pobraną na bibułę, wytrząsarki, płuczki, odciągarki krążków, aparaty pomiarowe. IMiD zapewniał obsługę serwisową (bieżąca konserwacja i naprawy) tych sprzętów oraz zapewnia aparaturę zamienną na czas napraw i przeglądów. IMiD prowadził również rejestr badań kontrolnych jakości pracy aparatów pomiarowych i wykonuje odpowiednie analizy statystyczne i porównawcze.</w:t>
      </w:r>
    </w:p>
    <w:p w14:paraId="79680CCD"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W IMiD wykonuje się również testy porównawcze i badawcze oraz odpowiednie analizy przed wprowadzeniem nowej aparatury i nowych testów analitycznych włącznie z prowadzeniem badań pilotażowych i badań do ustalenia zakresu norm.</w:t>
      </w:r>
    </w:p>
    <w:p w14:paraId="27C00F48" w14:textId="77777777" w:rsidR="005E347E" w:rsidRPr="00AA22C4" w:rsidRDefault="005E347E" w:rsidP="005E347E">
      <w:pPr>
        <w:pStyle w:val="Tekstprzypisudolnego"/>
        <w:spacing w:before="120" w:after="120"/>
        <w:jc w:val="both"/>
        <w:rPr>
          <w:rFonts w:ascii="Lato" w:hAnsi="Lato"/>
          <w:b/>
          <w:bCs/>
          <w:color w:val="000000" w:themeColor="text1"/>
          <w:sz w:val="22"/>
          <w:szCs w:val="22"/>
        </w:rPr>
      </w:pPr>
      <w:bookmarkStart w:id="31" w:name="_Toc491892688"/>
      <w:r w:rsidRPr="00AA22C4">
        <w:rPr>
          <w:rFonts w:ascii="Lato" w:hAnsi="Lato"/>
          <w:b/>
          <w:bCs/>
          <w:color w:val="000000" w:themeColor="text1"/>
          <w:sz w:val="22"/>
          <w:szCs w:val="22"/>
        </w:rPr>
        <w:t>Przygotowanie sprzętu komputerowego i oprogramowania.</w:t>
      </w:r>
      <w:bookmarkEnd w:id="31"/>
    </w:p>
    <w:p w14:paraId="0E170BE9"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IMiD dokonał również zakupu niezbędnego do badań przesiewowych sprzętu komputerowego i zapewnia niezbędną konserwację i naprawy. Komputery są przekazywane do wszystkich laboratoriów przesiewowych wraz z niezbędnym oprogramowaniem.</w:t>
      </w:r>
    </w:p>
    <w:p w14:paraId="25309973" w14:textId="474DEF12"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IMiD opracował także i rozwija oprogramowanie do zarządzania badaniami przesiewowymi. Oprogramowanie jest sukcesywnie przystosowywane do zmieniających się badań przesiewowych. Oprogramowanie </w:t>
      </w:r>
      <w:r w:rsidR="00B01154" w:rsidRPr="00AA22C4">
        <w:rPr>
          <w:rFonts w:ascii="Lato" w:hAnsi="Lato"/>
          <w:color w:val="000000" w:themeColor="text1"/>
          <w:sz w:val="22"/>
          <w:szCs w:val="22"/>
        </w:rPr>
        <w:t xml:space="preserve">przeznaczone </w:t>
      </w:r>
      <w:r w:rsidRPr="00AA22C4">
        <w:rPr>
          <w:rFonts w:ascii="Lato" w:hAnsi="Lato"/>
          <w:color w:val="000000" w:themeColor="text1"/>
          <w:sz w:val="22"/>
          <w:szCs w:val="22"/>
        </w:rPr>
        <w:t xml:space="preserve">do badań przesiewowych </w:t>
      </w:r>
      <w:r w:rsidR="00B01154" w:rsidRPr="00AA22C4">
        <w:rPr>
          <w:rFonts w:ascii="Lato" w:hAnsi="Lato"/>
          <w:color w:val="000000" w:themeColor="text1"/>
          <w:sz w:val="22"/>
          <w:szCs w:val="22"/>
        </w:rPr>
        <w:t xml:space="preserve">jest </w:t>
      </w:r>
      <w:r w:rsidRPr="00AA22C4">
        <w:rPr>
          <w:rFonts w:ascii="Lato" w:hAnsi="Lato"/>
          <w:color w:val="000000" w:themeColor="text1"/>
          <w:sz w:val="22"/>
          <w:szCs w:val="22"/>
        </w:rPr>
        <w:t>używane we wszystkich laboratoriach przesiewowych w kraju.</w:t>
      </w:r>
    </w:p>
    <w:p w14:paraId="5FD6BE82" w14:textId="77777777" w:rsidR="007417D0" w:rsidRDefault="007417D0" w:rsidP="005E347E">
      <w:pPr>
        <w:pStyle w:val="Tekstprzypisudolnego"/>
        <w:spacing w:before="120" w:after="120"/>
        <w:jc w:val="both"/>
        <w:rPr>
          <w:rFonts w:ascii="Lato" w:hAnsi="Lato"/>
          <w:b/>
          <w:bCs/>
          <w:color w:val="000000" w:themeColor="text1"/>
          <w:sz w:val="22"/>
          <w:szCs w:val="22"/>
        </w:rPr>
      </w:pPr>
      <w:bookmarkStart w:id="32" w:name="_Toc491892689"/>
    </w:p>
    <w:p w14:paraId="547BA645" w14:textId="4B1781AE" w:rsidR="005E347E" w:rsidRPr="00AA22C4" w:rsidRDefault="005E347E" w:rsidP="005E347E">
      <w:pPr>
        <w:pStyle w:val="Tekstprzypisudolnego"/>
        <w:spacing w:before="120" w:after="120"/>
        <w:jc w:val="both"/>
        <w:rPr>
          <w:rFonts w:ascii="Lato" w:hAnsi="Lato"/>
          <w:b/>
          <w:bCs/>
          <w:color w:val="000000" w:themeColor="text1"/>
          <w:sz w:val="22"/>
          <w:szCs w:val="22"/>
        </w:rPr>
      </w:pPr>
      <w:r w:rsidRPr="00AA22C4">
        <w:rPr>
          <w:rFonts w:ascii="Lato" w:hAnsi="Lato"/>
          <w:b/>
          <w:bCs/>
          <w:color w:val="000000" w:themeColor="text1"/>
          <w:sz w:val="22"/>
          <w:szCs w:val="22"/>
        </w:rPr>
        <w:lastRenderedPageBreak/>
        <w:t>Przygotowanie teleinformatyczne</w:t>
      </w:r>
      <w:bookmarkEnd w:id="32"/>
    </w:p>
    <w:p w14:paraId="26A68893"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IMiD dokonał zakupu serwerów baz danych, a także prowadzi ich konserwację. Zabezpiecza również wykonywanie kopii zapasowych danych. IMiD utrzymuje również infrastrukturę sieci komputerowej koniecznej do połączenia wszystkich laboratoriów oraz tworzenie i serwis oprogramowania do transmisji danych. W IMiD dostępna jest również strona internetowa poświęcona badaniom przesiewowym noworodków.</w:t>
      </w:r>
    </w:p>
    <w:p w14:paraId="5DD22B45"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W laboratoriach nieposiadających własnej sieci komputerowej IMiD przygotowuje </w:t>
      </w:r>
      <w:r w:rsidRPr="00AA22C4">
        <w:rPr>
          <w:rFonts w:ascii="Lato" w:hAnsi="Lato"/>
          <w:color w:val="000000" w:themeColor="text1"/>
          <w:sz w:val="22"/>
          <w:szCs w:val="22"/>
        </w:rPr>
        <w:br/>
        <w:t xml:space="preserve">i konserwuje odpowiednią sieć komputerową z okablowaniem i osprzętem sieciowym. IMiD </w:t>
      </w:r>
      <w:r w:rsidRPr="00AA22C4">
        <w:rPr>
          <w:rFonts w:ascii="Lato" w:hAnsi="Lato"/>
          <w:color w:val="000000" w:themeColor="text1"/>
          <w:sz w:val="22"/>
          <w:szCs w:val="22"/>
        </w:rPr>
        <w:br/>
        <w:t>w każdym laboratorium utworzył i konserwuje łącze do Internetu korzystające z sieci strukturalnej znajdującej się na terenie instytucji, której częścią jest laboratorium. Również IMiD zapewnia odpowiednią ochronę łącza przed atakami z zewnątrz.</w:t>
      </w:r>
    </w:p>
    <w:p w14:paraId="62D2D4EC" w14:textId="77777777" w:rsidR="005E347E" w:rsidRPr="00AA22C4" w:rsidRDefault="005E347E" w:rsidP="007417D0">
      <w:pPr>
        <w:pStyle w:val="Tekstprzypisudolnego"/>
        <w:spacing w:before="240" w:after="120"/>
        <w:jc w:val="both"/>
        <w:rPr>
          <w:rFonts w:ascii="Lato" w:hAnsi="Lato"/>
          <w:b/>
          <w:bCs/>
          <w:color w:val="000000" w:themeColor="text1"/>
          <w:sz w:val="22"/>
          <w:szCs w:val="22"/>
        </w:rPr>
      </w:pPr>
      <w:bookmarkStart w:id="33" w:name="_Toc491892690"/>
      <w:r w:rsidRPr="00AA22C4">
        <w:rPr>
          <w:rFonts w:ascii="Lato" w:hAnsi="Lato"/>
          <w:b/>
          <w:bCs/>
          <w:color w:val="000000" w:themeColor="text1"/>
          <w:sz w:val="22"/>
          <w:szCs w:val="22"/>
        </w:rPr>
        <w:t>Rozwój i prowadzenie badań potwierdzających.</w:t>
      </w:r>
      <w:bookmarkEnd w:id="33"/>
    </w:p>
    <w:p w14:paraId="4D3F604A"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IMiD prowadzi prace badawcze i wprowadza nowe testy służące wprowadzeniu dodatkowych badań diagnostycznych potwierdzających lub wykluczających chorobę. Badania są wykonywane metodą tandemowej spektrometrii mas (oznaczanie MMA, MCA, SUAC, profil steroidowy </w:t>
      </w:r>
      <w:r w:rsidRPr="00AA22C4">
        <w:rPr>
          <w:rFonts w:ascii="Lato" w:hAnsi="Lato"/>
          <w:color w:val="000000" w:themeColor="text1"/>
          <w:sz w:val="22"/>
          <w:szCs w:val="22"/>
        </w:rPr>
        <w:br/>
        <w:t>w WPN), metodą gazowej spektrometrii mas (GC/MS – profil metabolitów w moczu) i metodą HPLC (</w:t>
      </w:r>
      <w:proofErr w:type="spellStart"/>
      <w:r w:rsidRPr="00AA22C4">
        <w:rPr>
          <w:rFonts w:ascii="Lato" w:hAnsi="Lato"/>
          <w:color w:val="000000" w:themeColor="text1"/>
          <w:sz w:val="22"/>
          <w:szCs w:val="22"/>
        </w:rPr>
        <w:t>aminogram</w:t>
      </w:r>
      <w:proofErr w:type="spellEnd"/>
      <w:r w:rsidRPr="00AA22C4">
        <w:rPr>
          <w:rFonts w:ascii="Lato" w:hAnsi="Lato"/>
          <w:color w:val="000000" w:themeColor="text1"/>
          <w:sz w:val="22"/>
          <w:szCs w:val="22"/>
        </w:rPr>
        <w:t xml:space="preserve">, oznaczanie aktywności enzymatycznej w niektórych wadach metabolizmu, itp.). W szczególnych przypadkach diagnostycznych dodatkowo wykonywane są badania molekularne. </w:t>
      </w:r>
    </w:p>
    <w:p w14:paraId="135DC8B5" w14:textId="77777777" w:rsidR="005E347E" w:rsidRPr="00AA22C4" w:rsidRDefault="005E347E" w:rsidP="007417D0">
      <w:pPr>
        <w:pStyle w:val="Tekstprzypisudolnego"/>
        <w:spacing w:before="240" w:after="120"/>
        <w:jc w:val="both"/>
        <w:rPr>
          <w:rFonts w:ascii="Lato" w:hAnsi="Lato"/>
          <w:b/>
          <w:bCs/>
          <w:color w:val="000000" w:themeColor="text1"/>
          <w:sz w:val="22"/>
          <w:szCs w:val="22"/>
        </w:rPr>
      </w:pPr>
      <w:bookmarkStart w:id="34" w:name="_Toc491892691"/>
      <w:r w:rsidRPr="00AA22C4">
        <w:rPr>
          <w:rFonts w:ascii="Lato" w:hAnsi="Lato"/>
          <w:b/>
          <w:bCs/>
          <w:color w:val="000000" w:themeColor="text1"/>
          <w:sz w:val="22"/>
          <w:szCs w:val="22"/>
        </w:rPr>
        <w:t>Przygotowanie odczynników.</w:t>
      </w:r>
      <w:bookmarkEnd w:id="34"/>
    </w:p>
    <w:p w14:paraId="0FE988B8"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Wszystkie odczynniki używane do testów przesiewowych są zamawiane centralnie w drodze przetargu publicznego. Ze względu na krótki czas ważności odczynników IMiD jako realizator Programu w poprzednich latach kontrolował zużycie odczynników we wszystkich laboratoriach i uzgadniał bieżące zapotrzebowanie (liczby i czas przysłania odczynników w dostawie) z producentami odczynników. Każda partia odczynników poddawana była kontroli w IMiD przez wykonanie odpowiednich testów. Po skontrolowaniu odczynniki zostawały przesyłane do ośrodków regionalnych.</w:t>
      </w:r>
    </w:p>
    <w:p w14:paraId="0D2EC0D5" w14:textId="77777777" w:rsidR="005E347E" w:rsidRPr="00AA22C4" w:rsidRDefault="005E347E" w:rsidP="007417D0">
      <w:pPr>
        <w:pStyle w:val="Tekstprzypisudolnego"/>
        <w:spacing w:before="240" w:after="120"/>
        <w:jc w:val="both"/>
        <w:rPr>
          <w:rFonts w:ascii="Lato" w:hAnsi="Lato"/>
          <w:b/>
          <w:bCs/>
          <w:color w:val="000000" w:themeColor="text1"/>
          <w:sz w:val="22"/>
          <w:szCs w:val="22"/>
        </w:rPr>
      </w:pPr>
      <w:bookmarkStart w:id="35" w:name="_Toc491892692"/>
      <w:r w:rsidRPr="00AA22C4">
        <w:rPr>
          <w:rFonts w:ascii="Lato" w:hAnsi="Lato"/>
          <w:b/>
          <w:bCs/>
          <w:color w:val="000000" w:themeColor="text1"/>
          <w:sz w:val="22"/>
          <w:szCs w:val="22"/>
        </w:rPr>
        <w:t>Zewnętrzna kontrola jakości badań.</w:t>
      </w:r>
      <w:bookmarkEnd w:id="35"/>
    </w:p>
    <w:p w14:paraId="55A85184" w14:textId="77777777" w:rsidR="005E347E" w:rsidRPr="00AA22C4" w:rsidRDefault="005E347E" w:rsidP="005E347E">
      <w:pPr>
        <w:pStyle w:val="Tekstprzypisudolnego"/>
        <w:spacing w:before="120" w:after="120"/>
        <w:jc w:val="both"/>
        <w:rPr>
          <w:rFonts w:ascii="Lato" w:hAnsi="Lato"/>
          <w:b/>
          <w:bCs/>
          <w:color w:val="000000" w:themeColor="text1"/>
          <w:sz w:val="22"/>
          <w:szCs w:val="22"/>
        </w:rPr>
      </w:pPr>
      <w:r w:rsidRPr="00AA22C4">
        <w:rPr>
          <w:rFonts w:ascii="Lato" w:hAnsi="Lato"/>
          <w:color w:val="000000" w:themeColor="text1"/>
          <w:sz w:val="22"/>
          <w:szCs w:val="22"/>
        </w:rPr>
        <w:t xml:space="preserve">IMiD zapewnia również centralnie możliwość wykonywana badań z próbek kontrolnych dostępnych w różnych systemach zewnętrznej kontroli jakości badań (np. próbki z CDC – </w:t>
      </w:r>
      <w:proofErr w:type="spellStart"/>
      <w:r w:rsidRPr="00AA22C4">
        <w:rPr>
          <w:rFonts w:ascii="Lato" w:hAnsi="Lato"/>
          <w:color w:val="000000" w:themeColor="text1"/>
          <w:sz w:val="22"/>
          <w:szCs w:val="22"/>
        </w:rPr>
        <w:t>Centers</w:t>
      </w:r>
      <w:proofErr w:type="spellEnd"/>
      <w:r w:rsidRPr="00AA22C4">
        <w:rPr>
          <w:rFonts w:ascii="Lato" w:hAnsi="Lato"/>
          <w:color w:val="000000" w:themeColor="text1"/>
          <w:sz w:val="22"/>
          <w:szCs w:val="22"/>
        </w:rPr>
        <w:t xml:space="preserve"> for </w:t>
      </w:r>
      <w:proofErr w:type="spellStart"/>
      <w:r w:rsidRPr="00AA22C4">
        <w:rPr>
          <w:rFonts w:ascii="Lato" w:hAnsi="Lato"/>
          <w:color w:val="000000" w:themeColor="text1"/>
          <w:sz w:val="22"/>
          <w:szCs w:val="22"/>
        </w:rPr>
        <w:t>Disease</w:t>
      </w:r>
      <w:proofErr w:type="spellEnd"/>
      <w:r w:rsidRPr="00AA22C4">
        <w:rPr>
          <w:rFonts w:ascii="Lato" w:hAnsi="Lato"/>
          <w:color w:val="000000" w:themeColor="text1"/>
          <w:sz w:val="22"/>
          <w:szCs w:val="22"/>
        </w:rPr>
        <w:t xml:space="preserve"> Control and </w:t>
      </w:r>
      <w:proofErr w:type="spellStart"/>
      <w:r w:rsidRPr="00AA22C4">
        <w:rPr>
          <w:rFonts w:ascii="Lato" w:hAnsi="Lato"/>
          <w:color w:val="000000" w:themeColor="text1"/>
          <w:sz w:val="22"/>
          <w:szCs w:val="22"/>
        </w:rPr>
        <w:t>Prevention</w:t>
      </w:r>
      <w:proofErr w:type="spellEnd"/>
      <w:r w:rsidRPr="00AA22C4">
        <w:rPr>
          <w:rFonts w:ascii="Lato" w:hAnsi="Lato"/>
          <w:color w:val="000000" w:themeColor="text1"/>
          <w:sz w:val="22"/>
          <w:szCs w:val="22"/>
        </w:rPr>
        <w:t xml:space="preserve"> w USA). Próbki po odpowiednim oznaczeniu (za pomocą etykiet z kodem paskowym) są dostarczane do wszystkich laboratoriów </w:t>
      </w:r>
      <w:r w:rsidRPr="00AA22C4">
        <w:rPr>
          <w:rFonts w:ascii="Lato" w:hAnsi="Lato"/>
          <w:color w:val="000000" w:themeColor="text1"/>
          <w:sz w:val="22"/>
          <w:szCs w:val="22"/>
        </w:rPr>
        <w:lastRenderedPageBreak/>
        <w:t>przesiewowych. Po wykonaniu testów laboratoria odsyłają raport z wynikami uzyskanymi dla próbek kontrolnych. IMiD przekazuje te wyniki to organizatora kontroli jakości i po otrzymaniu zwrotnego raportu wykonuje odpowiednie analizy statystyczne dla wszystkich laboratoriów. Dzięki czemu zapewniona jest powtarzalność i zgodność wyników testów między laboratoriami.</w:t>
      </w:r>
      <w:bookmarkStart w:id="36" w:name="_Toc491892693"/>
    </w:p>
    <w:p w14:paraId="354C2040" w14:textId="493D9AF4" w:rsidR="005E347E" w:rsidRPr="00AA22C4" w:rsidRDefault="005E347E" w:rsidP="007417D0">
      <w:pPr>
        <w:pStyle w:val="Tekstprzypisudolnego"/>
        <w:spacing w:before="240" w:after="120"/>
        <w:jc w:val="both"/>
        <w:rPr>
          <w:rFonts w:ascii="Lato" w:hAnsi="Lato"/>
          <w:b/>
          <w:bCs/>
          <w:color w:val="000000" w:themeColor="text1"/>
          <w:sz w:val="22"/>
          <w:szCs w:val="22"/>
        </w:rPr>
      </w:pPr>
      <w:r w:rsidRPr="00AA22C4">
        <w:rPr>
          <w:rFonts w:ascii="Lato" w:hAnsi="Lato"/>
          <w:b/>
          <w:bCs/>
          <w:color w:val="000000" w:themeColor="text1"/>
          <w:sz w:val="22"/>
          <w:szCs w:val="22"/>
        </w:rPr>
        <w:t>Przygotowanie etykiet z identyfikatorem</w:t>
      </w:r>
      <w:bookmarkEnd w:id="36"/>
    </w:p>
    <w:p w14:paraId="447E1549"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Etykiety samoprzylepne z wydrukowanym kodem są używane do identyfikacji pobranej próbki krwi. Czyste etykiety są produkowane w wytwórni etykiet zgodnie z opracowaną w IMiD matrycą (matryca określa kształt i podział etykiety na części). Etykiety są nawijane w krążki po 1000 sztuk.</w:t>
      </w:r>
    </w:p>
    <w:p w14:paraId="340369C9"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Drukowanie identyfikatora w postaci kodu paskowego i znakowego (siedem liter lub/i cyfr, przy czym ostatni znak jest znakiem kontrolnym) wykonywane jest tylko w IMiD na specjalnej drukarce do etykiet wyposażonej w automatyczną nawijarkę. Drukowanie kodów i ich generowanie jest wykonywane przez oprogramowanie opracowane w IMiD zapewniające niepowtarzalność i ciągłość numeracji kodów. Część wydrukowanych etykiet pozostaje w IMiD, a część jest wysyłana do regionalnych ośrodków badań przesiewowych – informacja o wysłaniu etykiet do laboratorium jest rejestrowana w systemie.</w:t>
      </w:r>
    </w:p>
    <w:p w14:paraId="01FE1CD0" w14:textId="77777777" w:rsidR="005E347E"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Etykieta samoprzylepna składa się z kilku części. Części z kodem paskowym są naklejane w oddziałach noworodkowych szpitali na czyste bibuły przed pobraniem krwi. Jedna część z numerem bibuły ale bez kodu kreskowego zostaje wklejona do rejestru szpitalnego pobrań krwi do badań przesiewowych. Drugi odcinek bez kodu kreskowego jest wklejany do Książeczki Zdrowia Dziecka (zamiast tradycyjnego wpisu) i stanowi dowód pobrania próbki dla rodziców, lekarza, pielęgniarki lub położnej w czasie wizyty patronażowej. Kod wklejony do Książeczki Zdrowia Dziecka służy również do identyfikacji próbki w przypadku kontaktu rodziców lub opiekunów prawnych z ośrodkiem badań przesiewowych. Jednoznacznym identyfikatorem próbki i pacjenta jest kod nadany w szpitalu, dane osobowe wpisane na bibułę mogą zawierać błędy.</w:t>
      </w:r>
    </w:p>
    <w:p w14:paraId="52FC16EB" w14:textId="77777777" w:rsidR="007417D0" w:rsidRDefault="007417D0" w:rsidP="005E347E">
      <w:pPr>
        <w:pStyle w:val="Tekstprzypisudolnego"/>
        <w:spacing w:before="120" w:after="120"/>
        <w:jc w:val="both"/>
        <w:rPr>
          <w:rFonts w:ascii="Lato" w:hAnsi="Lato"/>
          <w:color w:val="000000" w:themeColor="text1"/>
          <w:sz w:val="22"/>
          <w:szCs w:val="22"/>
        </w:rPr>
      </w:pPr>
    </w:p>
    <w:p w14:paraId="4D58EF7C" w14:textId="77777777" w:rsidR="007417D0" w:rsidRDefault="007417D0" w:rsidP="005E347E">
      <w:pPr>
        <w:pStyle w:val="Tekstprzypisudolnego"/>
        <w:spacing w:before="120" w:after="120"/>
        <w:jc w:val="both"/>
        <w:rPr>
          <w:rFonts w:ascii="Lato" w:hAnsi="Lato"/>
          <w:color w:val="000000" w:themeColor="text1"/>
          <w:sz w:val="22"/>
          <w:szCs w:val="22"/>
        </w:rPr>
      </w:pPr>
    </w:p>
    <w:p w14:paraId="563CBBBA" w14:textId="77777777" w:rsidR="007417D0" w:rsidRDefault="007417D0" w:rsidP="005E347E">
      <w:pPr>
        <w:pStyle w:val="Tekstprzypisudolnego"/>
        <w:spacing w:before="120" w:after="120"/>
        <w:jc w:val="both"/>
        <w:rPr>
          <w:rFonts w:ascii="Lato" w:hAnsi="Lato"/>
          <w:color w:val="000000" w:themeColor="text1"/>
          <w:sz w:val="22"/>
          <w:szCs w:val="22"/>
        </w:rPr>
      </w:pPr>
    </w:p>
    <w:p w14:paraId="183D91BD" w14:textId="77777777" w:rsidR="007417D0" w:rsidRDefault="007417D0" w:rsidP="005E347E">
      <w:pPr>
        <w:pStyle w:val="Tekstprzypisudolnego"/>
        <w:spacing w:before="120" w:after="120"/>
        <w:jc w:val="both"/>
        <w:rPr>
          <w:rFonts w:ascii="Lato" w:hAnsi="Lato"/>
          <w:color w:val="000000" w:themeColor="text1"/>
          <w:sz w:val="22"/>
          <w:szCs w:val="22"/>
        </w:rPr>
      </w:pPr>
    </w:p>
    <w:p w14:paraId="3B5DD618" w14:textId="77777777" w:rsidR="007417D0" w:rsidRDefault="007417D0" w:rsidP="005E347E">
      <w:pPr>
        <w:pStyle w:val="Tekstprzypisudolnego"/>
        <w:spacing w:before="120" w:after="120"/>
        <w:jc w:val="both"/>
        <w:rPr>
          <w:rFonts w:ascii="Lato" w:hAnsi="Lato"/>
          <w:color w:val="000000" w:themeColor="text1"/>
          <w:sz w:val="22"/>
          <w:szCs w:val="22"/>
        </w:rPr>
      </w:pPr>
    </w:p>
    <w:p w14:paraId="6E34354F" w14:textId="77777777" w:rsidR="007417D0" w:rsidRDefault="007417D0" w:rsidP="005E347E">
      <w:pPr>
        <w:pStyle w:val="Tekstprzypisudolnego"/>
        <w:spacing w:before="120" w:after="120"/>
        <w:jc w:val="both"/>
        <w:rPr>
          <w:rFonts w:ascii="Lato" w:hAnsi="Lato"/>
          <w:color w:val="000000" w:themeColor="text1"/>
          <w:sz w:val="22"/>
          <w:szCs w:val="22"/>
        </w:rPr>
      </w:pPr>
    </w:p>
    <w:p w14:paraId="2D291785" w14:textId="0A117307" w:rsidR="005E347E" w:rsidRDefault="005E347E" w:rsidP="005E347E">
      <w:pPr>
        <w:pStyle w:val="Tekstprzypisudolnego"/>
        <w:spacing w:before="120" w:after="120"/>
        <w:jc w:val="both"/>
        <w:rPr>
          <w:rFonts w:ascii="Lato" w:hAnsi="Lato"/>
          <w:b/>
          <w:color w:val="000000" w:themeColor="text1"/>
          <w:sz w:val="22"/>
          <w:szCs w:val="22"/>
        </w:rPr>
      </w:pPr>
      <w:r w:rsidRPr="00AA22C4">
        <w:rPr>
          <w:rFonts w:ascii="Lato" w:hAnsi="Lato"/>
          <w:b/>
          <w:color w:val="000000" w:themeColor="text1"/>
          <w:sz w:val="22"/>
          <w:szCs w:val="22"/>
        </w:rPr>
        <w:lastRenderedPageBreak/>
        <w:t>Ryc. 5 Etykieta z kodem paskowym</w:t>
      </w:r>
    </w:p>
    <w:p w14:paraId="3295E4FD" w14:textId="77777777" w:rsidR="00181F00" w:rsidRPr="00AA22C4" w:rsidRDefault="00181F00" w:rsidP="005E347E">
      <w:pPr>
        <w:pStyle w:val="Tekstprzypisudolnego"/>
        <w:spacing w:before="120" w:after="120"/>
        <w:jc w:val="both"/>
        <w:rPr>
          <w:rFonts w:ascii="Lato" w:hAnsi="Lato"/>
          <w:b/>
          <w:color w:val="000000" w:themeColor="text1"/>
          <w:sz w:val="22"/>
          <w:szCs w:val="22"/>
        </w:rPr>
      </w:pPr>
    </w:p>
    <w:p w14:paraId="1C781B84" w14:textId="1CAA64B1" w:rsidR="005E347E" w:rsidRPr="00AA22C4" w:rsidRDefault="00F65506" w:rsidP="005E347E">
      <w:pPr>
        <w:pStyle w:val="Tekstprzypisudolnego"/>
        <w:spacing w:before="120" w:after="120"/>
        <w:jc w:val="center"/>
        <w:rPr>
          <w:rFonts w:ascii="Lato" w:hAnsi="Lato"/>
          <w:color w:val="000000" w:themeColor="text1"/>
          <w:sz w:val="22"/>
          <w:szCs w:val="22"/>
        </w:rPr>
      </w:pPr>
      <w:r w:rsidRPr="00AA22C4">
        <w:rPr>
          <w:rFonts w:ascii="Lato" w:hAnsi="Lato"/>
          <w:noProof/>
          <w:color w:val="000000" w:themeColor="text1"/>
          <w:sz w:val="22"/>
          <w:szCs w:val="22"/>
        </w:rPr>
        <w:drawing>
          <wp:inline distT="0" distB="0" distL="0" distR="0" wp14:anchorId="4FE59951" wp14:editId="360A8150">
            <wp:extent cx="2321376" cy="3383280"/>
            <wp:effectExtent l="0" t="0" r="3175" b="7620"/>
            <wp:docPr id="4" name="Obraz 47" descr="Obraz zawierający tekst, zrzut ekranu, Czcionka, parago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7" descr="Obraz zawierający tekst, zrzut ekranu, Czcionka, paragon&#10;&#10;Opis wygenerowany automatyczni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38459" cy="3408178"/>
                    </a:xfrm>
                    <a:prstGeom prst="rect">
                      <a:avLst/>
                    </a:prstGeom>
                    <a:solidFill>
                      <a:srgbClr val="FFFFFF"/>
                    </a:solidFill>
                    <a:ln>
                      <a:noFill/>
                    </a:ln>
                  </pic:spPr>
                </pic:pic>
              </a:graphicData>
            </a:graphic>
          </wp:inline>
        </w:drawing>
      </w:r>
    </w:p>
    <w:p w14:paraId="7466C22A" w14:textId="77777777" w:rsidR="007417D0" w:rsidRDefault="007417D0" w:rsidP="005E347E">
      <w:pPr>
        <w:pStyle w:val="Tekstprzypisudolnego"/>
        <w:spacing w:before="120" w:after="120"/>
        <w:jc w:val="both"/>
        <w:rPr>
          <w:rFonts w:ascii="Lato" w:hAnsi="Lato"/>
          <w:b/>
          <w:bCs/>
          <w:color w:val="000000" w:themeColor="text1"/>
          <w:sz w:val="22"/>
          <w:szCs w:val="22"/>
        </w:rPr>
      </w:pPr>
      <w:bookmarkStart w:id="37" w:name="_Toc491892694"/>
    </w:p>
    <w:p w14:paraId="4F5EA3DA" w14:textId="77777777" w:rsidR="007417D0" w:rsidRDefault="007417D0" w:rsidP="005E347E">
      <w:pPr>
        <w:pStyle w:val="Tekstprzypisudolnego"/>
        <w:spacing w:before="120" w:after="120"/>
        <w:jc w:val="both"/>
        <w:rPr>
          <w:rFonts w:ascii="Lato" w:hAnsi="Lato"/>
          <w:b/>
          <w:bCs/>
          <w:color w:val="000000" w:themeColor="text1"/>
          <w:sz w:val="22"/>
          <w:szCs w:val="22"/>
        </w:rPr>
      </w:pPr>
    </w:p>
    <w:p w14:paraId="49784ADE" w14:textId="2533CD7B" w:rsidR="005E347E" w:rsidRPr="00AA22C4" w:rsidRDefault="005E347E" w:rsidP="005E347E">
      <w:pPr>
        <w:pStyle w:val="Tekstprzypisudolnego"/>
        <w:spacing w:before="120" w:after="120"/>
        <w:jc w:val="both"/>
        <w:rPr>
          <w:rFonts w:ascii="Lato" w:hAnsi="Lato"/>
          <w:b/>
          <w:bCs/>
          <w:color w:val="000000" w:themeColor="text1"/>
          <w:sz w:val="22"/>
          <w:szCs w:val="22"/>
        </w:rPr>
      </w:pPr>
      <w:r w:rsidRPr="00AA22C4">
        <w:rPr>
          <w:rFonts w:ascii="Lato" w:hAnsi="Lato"/>
          <w:b/>
          <w:bCs/>
          <w:color w:val="000000" w:themeColor="text1"/>
          <w:sz w:val="22"/>
          <w:szCs w:val="22"/>
        </w:rPr>
        <w:t>Wysyłka czystych bibuł i etykiet z kodem</w:t>
      </w:r>
      <w:bookmarkEnd w:id="37"/>
    </w:p>
    <w:p w14:paraId="26DCF852" w14:textId="2CE975A2"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Po wydrukowaniu etykiety są rejestrowane w IMID, tak jak druki ścisłego zarachowania. Każda etykieta przed wysłaniem jest przypisana do właściwego oddziału noworodkowego lub ośrodka przesiewowego. Wszystkie dalsze operacje z próbką krwi dziecka pobraną na bibułę odbywają się pod kontrolą komputera z automatycznym odczytem kodów paskowych na bibule i na statywach w testach. Wraz z etykietami do oddziałów są wysyłane czyste bibuły do pobrań próbek krwi. Używana w Rzeczpospolitej Polskiej bibuła do badań, zapewnia bardzo dobrą nasiąkliwość i powtarzalność ilości nasączonej krwi. Czyste bibuły dostarczane były do IMiD i stąd dalej przekazywane do ośrodków regionalnych. Aktualny używany wzór bibuły przedstawiony jest poniżej.</w:t>
      </w:r>
    </w:p>
    <w:p w14:paraId="37AC6537" w14:textId="77777777" w:rsidR="007417D0" w:rsidRDefault="007417D0" w:rsidP="00B264D5">
      <w:pPr>
        <w:widowControl/>
        <w:spacing w:line="240" w:lineRule="auto"/>
        <w:rPr>
          <w:rFonts w:ascii="Lato" w:hAnsi="Lato"/>
          <w:b/>
          <w:color w:val="000000" w:themeColor="text1"/>
          <w:sz w:val="22"/>
          <w:szCs w:val="22"/>
        </w:rPr>
      </w:pPr>
    </w:p>
    <w:p w14:paraId="67B0DA0D" w14:textId="77777777" w:rsidR="007417D0" w:rsidRDefault="007417D0" w:rsidP="00B264D5">
      <w:pPr>
        <w:widowControl/>
        <w:spacing w:line="240" w:lineRule="auto"/>
        <w:rPr>
          <w:rFonts w:ascii="Lato" w:hAnsi="Lato"/>
          <w:b/>
          <w:color w:val="000000" w:themeColor="text1"/>
          <w:sz w:val="22"/>
          <w:szCs w:val="22"/>
        </w:rPr>
      </w:pPr>
    </w:p>
    <w:p w14:paraId="444118D8" w14:textId="77777777" w:rsidR="007417D0" w:rsidRDefault="007417D0" w:rsidP="00B264D5">
      <w:pPr>
        <w:widowControl/>
        <w:spacing w:line="240" w:lineRule="auto"/>
        <w:rPr>
          <w:rFonts w:ascii="Lato" w:hAnsi="Lato"/>
          <w:b/>
          <w:color w:val="000000" w:themeColor="text1"/>
          <w:sz w:val="22"/>
          <w:szCs w:val="22"/>
        </w:rPr>
      </w:pPr>
    </w:p>
    <w:p w14:paraId="3F2E126C" w14:textId="77777777" w:rsidR="007417D0" w:rsidRDefault="007417D0" w:rsidP="00B264D5">
      <w:pPr>
        <w:widowControl/>
        <w:spacing w:line="240" w:lineRule="auto"/>
        <w:rPr>
          <w:rFonts w:ascii="Lato" w:hAnsi="Lato"/>
          <w:b/>
          <w:color w:val="000000" w:themeColor="text1"/>
          <w:sz w:val="22"/>
          <w:szCs w:val="22"/>
        </w:rPr>
      </w:pPr>
    </w:p>
    <w:p w14:paraId="50AD0E78" w14:textId="77777777" w:rsidR="007417D0" w:rsidRDefault="007417D0" w:rsidP="00B264D5">
      <w:pPr>
        <w:widowControl/>
        <w:spacing w:line="240" w:lineRule="auto"/>
        <w:rPr>
          <w:rFonts w:ascii="Lato" w:hAnsi="Lato"/>
          <w:b/>
          <w:color w:val="000000" w:themeColor="text1"/>
          <w:sz w:val="22"/>
          <w:szCs w:val="22"/>
        </w:rPr>
      </w:pPr>
    </w:p>
    <w:p w14:paraId="188077D7" w14:textId="77777777" w:rsidR="007417D0" w:rsidRDefault="007417D0" w:rsidP="00B264D5">
      <w:pPr>
        <w:widowControl/>
        <w:spacing w:line="240" w:lineRule="auto"/>
        <w:rPr>
          <w:rFonts w:ascii="Lato" w:hAnsi="Lato"/>
          <w:b/>
          <w:color w:val="000000" w:themeColor="text1"/>
          <w:sz w:val="22"/>
          <w:szCs w:val="22"/>
        </w:rPr>
      </w:pPr>
    </w:p>
    <w:p w14:paraId="0587575A" w14:textId="77777777" w:rsidR="007417D0" w:rsidRDefault="007417D0" w:rsidP="00B264D5">
      <w:pPr>
        <w:widowControl/>
        <w:spacing w:line="240" w:lineRule="auto"/>
        <w:rPr>
          <w:rFonts w:ascii="Lato" w:hAnsi="Lato"/>
          <w:b/>
          <w:color w:val="000000" w:themeColor="text1"/>
          <w:sz w:val="22"/>
          <w:szCs w:val="22"/>
        </w:rPr>
      </w:pPr>
    </w:p>
    <w:p w14:paraId="1C68BFF1" w14:textId="37BE60EE" w:rsidR="005E347E" w:rsidRPr="00AA22C4" w:rsidRDefault="005E347E" w:rsidP="00B264D5">
      <w:pPr>
        <w:widowControl/>
        <w:spacing w:line="240" w:lineRule="auto"/>
        <w:rPr>
          <w:rFonts w:ascii="Lato" w:hAnsi="Lato"/>
          <w:b/>
          <w:color w:val="000000" w:themeColor="text1"/>
          <w:sz w:val="22"/>
          <w:szCs w:val="22"/>
        </w:rPr>
      </w:pPr>
      <w:r w:rsidRPr="00AA22C4">
        <w:rPr>
          <w:rFonts w:ascii="Lato" w:hAnsi="Lato"/>
          <w:b/>
          <w:color w:val="000000" w:themeColor="text1"/>
          <w:sz w:val="22"/>
          <w:szCs w:val="22"/>
        </w:rPr>
        <w:lastRenderedPageBreak/>
        <w:t>Ryc. 6 Awers bibuły do pobierania krwi– na bibule zaznaczono miejsce na próbki krwi oraz na wpisanie danych rodzica/opiekuna prawnego i noworodka wraz z adresem do kontaktu.</w:t>
      </w:r>
    </w:p>
    <w:p w14:paraId="62BCB7EC" w14:textId="30225CFA" w:rsidR="005E347E" w:rsidRPr="00AA22C4" w:rsidRDefault="00181F00" w:rsidP="005E347E">
      <w:pPr>
        <w:pStyle w:val="Tekstprzypisudolnego"/>
        <w:spacing w:before="120" w:after="120"/>
        <w:jc w:val="both"/>
        <w:rPr>
          <w:rFonts w:ascii="Lato" w:hAnsi="Lato"/>
          <w:b/>
          <w:color w:val="000000" w:themeColor="text1"/>
          <w:sz w:val="22"/>
          <w:szCs w:val="22"/>
        </w:rPr>
      </w:pPr>
      <w:r w:rsidRPr="00AA22C4">
        <w:rPr>
          <w:noProof/>
          <w:color w:val="000000" w:themeColor="text1"/>
        </w:rPr>
        <w:drawing>
          <wp:anchor distT="0" distB="0" distL="114935" distR="114935" simplePos="0" relativeHeight="251649536" behindDoc="0" locked="0" layoutInCell="1" allowOverlap="1" wp14:anchorId="1CBA4345" wp14:editId="10AEFF3D">
            <wp:simplePos x="0" y="0"/>
            <wp:positionH relativeFrom="column">
              <wp:posOffset>949325</wp:posOffset>
            </wp:positionH>
            <wp:positionV relativeFrom="page">
              <wp:posOffset>1524106</wp:posOffset>
            </wp:positionV>
            <wp:extent cx="3536425" cy="3398520"/>
            <wp:effectExtent l="0" t="0" r="6985" b="0"/>
            <wp:wrapNone/>
            <wp:docPr id="16" name="Obraz 3" descr="Obraz zawierający tekst, zrzut ekranu, Czcionka,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zawierający tekst, zrzut ekranu, Czcionka, numer&#10;&#10;Opis wygenerowany automatyczni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36425" cy="33985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CE8D3B0" w14:textId="06D828E0" w:rsidR="005E347E" w:rsidRPr="00AA22C4" w:rsidRDefault="005E347E" w:rsidP="005E347E">
      <w:pPr>
        <w:pStyle w:val="Tekstprzypisudolnego"/>
        <w:spacing w:before="120" w:after="120"/>
        <w:jc w:val="both"/>
        <w:rPr>
          <w:rFonts w:ascii="Lato" w:hAnsi="Lato"/>
          <w:b/>
          <w:color w:val="000000" w:themeColor="text1"/>
          <w:sz w:val="22"/>
          <w:szCs w:val="22"/>
        </w:rPr>
      </w:pPr>
    </w:p>
    <w:p w14:paraId="0B0E09EA" w14:textId="57979B5A" w:rsidR="005E347E" w:rsidRPr="00AA22C4" w:rsidRDefault="005E347E" w:rsidP="005E347E">
      <w:pPr>
        <w:pStyle w:val="Tekstprzypisudolnego"/>
        <w:spacing w:before="120" w:after="120"/>
        <w:jc w:val="both"/>
        <w:rPr>
          <w:rFonts w:ascii="Lato" w:hAnsi="Lato"/>
          <w:b/>
          <w:color w:val="000000" w:themeColor="text1"/>
          <w:sz w:val="22"/>
          <w:szCs w:val="22"/>
        </w:rPr>
      </w:pPr>
    </w:p>
    <w:p w14:paraId="349F1CF7" w14:textId="77777777" w:rsidR="005E347E" w:rsidRPr="00AA22C4" w:rsidRDefault="005E347E" w:rsidP="005E347E">
      <w:pPr>
        <w:pStyle w:val="Tekstprzypisudolnego"/>
        <w:spacing w:before="120" w:after="120"/>
        <w:jc w:val="both"/>
        <w:rPr>
          <w:rFonts w:ascii="Lato" w:hAnsi="Lato"/>
          <w:b/>
          <w:color w:val="000000" w:themeColor="text1"/>
          <w:sz w:val="22"/>
          <w:szCs w:val="22"/>
        </w:rPr>
      </w:pPr>
    </w:p>
    <w:p w14:paraId="57270A18" w14:textId="77777777" w:rsidR="005E347E" w:rsidRPr="00AA22C4" w:rsidRDefault="005E347E" w:rsidP="005E347E">
      <w:pPr>
        <w:pStyle w:val="Tekstprzypisudolnego"/>
        <w:spacing w:before="120" w:after="120"/>
        <w:jc w:val="both"/>
        <w:rPr>
          <w:rFonts w:ascii="Lato" w:hAnsi="Lato"/>
          <w:b/>
          <w:color w:val="000000" w:themeColor="text1"/>
          <w:sz w:val="22"/>
          <w:szCs w:val="22"/>
        </w:rPr>
      </w:pPr>
    </w:p>
    <w:p w14:paraId="0FBB16CF" w14:textId="77777777" w:rsidR="005E347E" w:rsidRPr="00AA22C4" w:rsidRDefault="005E347E" w:rsidP="005E347E">
      <w:pPr>
        <w:pStyle w:val="Tekstprzypisudolnego"/>
        <w:spacing w:before="120" w:after="120"/>
        <w:jc w:val="both"/>
        <w:rPr>
          <w:rFonts w:ascii="Lato" w:hAnsi="Lato"/>
          <w:color w:val="000000" w:themeColor="text1"/>
          <w:sz w:val="22"/>
          <w:szCs w:val="22"/>
        </w:rPr>
      </w:pPr>
    </w:p>
    <w:p w14:paraId="1766BFBE" w14:textId="7DA14D60" w:rsidR="005E347E" w:rsidRPr="00AA22C4" w:rsidRDefault="005E347E" w:rsidP="00F65506">
      <w:pPr>
        <w:pStyle w:val="Tekstprzypisudolnego"/>
        <w:spacing w:before="120" w:after="120"/>
        <w:jc w:val="center"/>
        <w:rPr>
          <w:rFonts w:ascii="Lato" w:hAnsi="Lato"/>
          <w:b/>
          <w:color w:val="000000" w:themeColor="text1"/>
          <w:sz w:val="22"/>
          <w:szCs w:val="22"/>
        </w:rPr>
      </w:pPr>
    </w:p>
    <w:p w14:paraId="5BD6ACDF" w14:textId="77777777" w:rsidR="005E347E" w:rsidRPr="00AA22C4" w:rsidRDefault="005E347E" w:rsidP="005E347E">
      <w:pPr>
        <w:pStyle w:val="Tekstprzypisudolnego"/>
        <w:spacing w:before="120" w:after="120"/>
        <w:jc w:val="both"/>
        <w:rPr>
          <w:rFonts w:ascii="Lato" w:hAnsi="Lato"/>
          <w:b/>
          <w:color w:val="000000" w:themeColor="text1"/>
          <w:sz w:val="22"/>
          <w:szCs w:val="22"/>
        </w:rPr>
      </w:pPr>
    </w:p>
    <w:p w14:paraId="55B2C07A" w14:textId="77777777" w:rsidR="005E347E" w:rsidRPr="00AA22C4" w:rsidRDefault="005E347E" w:rsidP="005E347E">
      <w:pPr>
        <w:pStyle w:val="Tekstprzypisudolnego"/>
        <w:spacing w:before="120" w:after="120"/>
        <w:jc w:val="both"/>
        <w:rPr>
          <w:rFonts w:ascii="Lato" w:hAnsi="Lato"/>
          <w:b/>
          <w:color w:val="000000" w:themeColor="text1"/>
          <w:sz w:val="22"/>
          <w:szCs w:val="22"/>
        </w:rPr>
      </w:pPr>
    </w:p>
    <w:p w14:paraId="458EDD84" w14:textId="77777777" w:rsidR="005E347E" w:rsidRPr="00AA22C4" w:rsidRDefault="005E347E" w:rsidP="005E347E">
      <w:pPr>
        <w:pStyle w:val="Tekstprzypisudolnego"/>
        <w:spacing w:before="120" w:after="120"/>
        <w:jc w:val="both"/>
        <w:rPr>
          <w:rFonts w:ascii="Lato" w:hAnsi="Lato"/>
          <w:b/>
          <w:color w:val="000000" w:themeColor="text1"/>
          <w:sz w:val="22"/>
          <w:szCs w:val="22"/>
        </w:rPr>
      </w:pPr>
    </w:p>
    <w:p w14:paraId="14D4D896" w14:textId="77777777" w:rsidR="005E347E" w:rsidRPr="00AA22C4" w:rsidRDefault="005E347E" w:rsidP="005E347E">
      <w:pPr>
        <w:pStyle w:val="Tekstprzypisudolnego"/>
        <w:spacing w:before="120" w:after="120"/>
        <w:jc w:val="both"/>
        <w:rPr>
          <w:rFonts w:ascii="Lato" w:hAnsi="Lato"/>
          <w:b/>
          <w:color w:val="000000" w:themeColor="text1"/>
          <w:sz w:val="22"/>
          <w:szCs w:val="22"/>
        </w:rPr>
      </w:pPr>
    </w:p>
    <w:p w14:paraId="4485BED8" w14:textId="77777777" w:rsidR="005E347E" w:rsidRPr="00AA22C4" w:rsidRDefault="005E347E" w:rsidP="005E347E">
      <w:pPr>
        <w:pStyle w:val="Tekstprzypisudolnego"/>
        <w:spacing w:before="120" w:after="120"/>
        <w:jc w:val="both"/>
        <w:rPr>
          <w:rFonts w:ascii="Lato" w:hAnsi="Lato"/>
          <w:b/>
          <w:color w:val="000000" w:themeColor="text1"/>
          <w:sz w:val="22"/>
          <w:szCs w:val="22"/>
        </w:rPr>
      </w:pPr>
    </w:p>
    <w:p w14:paraId="59F741D4" w14:textId="677CC22A" w:rsidR="005E347E" w:rsidRPr="00AA22C4" w:rsidRDefault="005110F2" w:rsidP="005E347E">
      <w:pPr>
        <w:pStyle w:val="Tekstprzypisudolnego"/>
        <w:spacing w:before="120" w:after="120"/>
        <w:jc w:val="both"/>
        <w:rPr>
          <w:rFonts w:ascii="Lato" w:hAnsi="Lato"/>
          <w:b/>
          <w:color w:val="000000" w:themeColor="text1"/>
          <w:sz w:val="22"/>
          <w:szCs w:val="22"/>
        </w:rPr>
      </w:pPr>
      <w:r w:rsidRPr="00AA22C4">
        <w:rPr>
          <w:noProof/>
          <w:color w:val="000000" w:themeColor="text1"/>
        </w:rPr>
        <w:drawing>
          <wp:anchor distT="0" distB="0" distL="114935" distR="114935" simplePos="0" relativeHeight="251654656" behindDoc="0" locked="0" layoutInCell="1" allowOverlap="1" wp14:anchorId="30B35FD2" wp14:editId="5CF828AB">
            <wp:simplePos x="0" y="0"/>
            <wp:positionH relativeFrom="margin">
              <wp:posOffset>1015365</wp:posOffset>
            </wp:positionH>
            <wp:positionV relativeFrom="paragraph">
              <wp:posOffset>689610</wp:posOffset>
            </wp:positionV>
            <wp:extent cx="3473450" cy="3450590"/>
            <wp:effectExtent l="0" t="0" r="0" b="0"/>
            <wp:wrapTopAndBottom/>
            <wp:docPr id="15" name="Obraz 4" descr="Obraz zawierający tekst, zrzut ekranu,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Obraz zawierający tekst, zrzut ekranu, Czcionka&#10;&#10;Opis wygenerowany automatyczni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73450" cy="34505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5E347E" w:rsidRPr="00AA22C4">
        <w:rPr>
          <w:rFonts w:ascii="Lato" w:hAnsi="Lato"/>
          <w:b/>
          <w:color w:val="000000" w:themeColor="text1"/>
          <w:sz w:val="22"/>
          <w:szCs w:val="22"/>
        </w:rPr>
        <w:t>Ryc. 7 Rewers bibuły do pobierania krwi – zawiera deklaracje zgody na badania molekularne wykonywane jako dodatkowe badania weryfikujące podejrzenie choroby.</w:t>
      </w:r>
    </w:p>
    <w:p w14:paraId="6488CF1A" w14:textId="77777777" w:rsidR="00B264D5" w:rsidRPr="00AA22C4" w:rsidRDefault="00B264D5" w:rsidP="005E347E">
      <w:pPr>
        <w:pStyle w:val="Tekstprzypisudolnego"/>
        <w:spacing w:before="120" w:after="120"/>
        <w:jc w:val="both"/>
        <w:rPr>
          <w:rFonts w:ascii="Lato" w:hAnsi="Lato"/>
          <w:b/>
          <w:bCs/>
          <w:color w:val="000000" w:themeColor="text1"/>
          <w:sz w:val="22"/>
          <w:szCs w:val="22"/>
        </w:rPr>
      </w:pPr>
      <w:bookmarkStart w:id="38" w:name="_Toc491892695"/>
    </w:p>
    <w:p w14:paraId="7DA5484A" w14:textId="206BD9A2" w:rsidR="005E347E" w:rsidRPr="00AA22C4" w:rsidRDefault="005E347E" w:rsidP="005E347E">
      <w:pPr>
        <w:pStyle w:val="Tekstprzypisudolnego"/>
        <w:spacing w:before="120" w:after="120"/>
        <w:jc w:val="both"/>
        <w:rPr>
          <w:rFonts w:ascii="Lato" w:hAnsi="Lato"/>
          <w:b/>
          <w:bCs/>
          <w:color w:val="000000" w:themeColor="text1"/>
          <w:sz w:val="22"/>
          <w:szCs w:val="22"/>
        </w:rPr>
      </w:pPr>
      <w:r w:rsidRPr="00AA22C4">
        <w:rPr>
          <w:rFonts w:ascii="Lato" w:hAnsi="Lato"/>
          <w:b/>
          <w:bCs/>
          <w:color w:val="000000" w:themeColor="text1"/>
          <w:sz w:val="22"/>
          <w:szCs w:val="22"/>
        </w:rPr>
        <w:lastRenderedPageBreak/>
        <w:t>Pobieranie próbek krwi od noworodka na bibułę.</w:t>
      </w:r>
      <w:bookmarkEnd w:id="38"/>
    </w:p>
    <w:p w14:paraId="48D33CC3"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Przed pobraniem krwi na bibułę rodzic/opiekun prawny powinien otrzymać ulotkę informacyjną dotycząca badań przesiewowych noworodków, która wyjaśnia cel pobierania krwi i potrzebę udzielenia zgody na ewentualne badania molekularne. Zgodę na badania molekularne opiekun prawny wyraża podpisując się na rewersie bibuły na badania przesiewowe. W przypadku pytań dodatkowych lekarz powinien udzielić wszelkich dodatkowych informacji związanych z badaniami.</w:t>
      </w:r>
    </w:p>
    <w:p w14:paraId="6ACEE4AC"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b/>
          <w:color w:val="000000" w:themeColor="text1"/>
          <w:sz w:val="22"/>
          <w:szCs w:val="22"/>
        </w:rPr>
        <w:t>W przypadku odmowy pobrania krwi na badanie</w:t>
      </w:r>
      <w:r w:rsidRPr="00AA22C4">
        <w:rPr>
          <w:rFonts w:ascii="Lato" w:hAnsi="Lato"/>
          <w:color w:val="000000" w:themeColor="text1"/>
          <w:sz w:val="22"/>
          <w:szCs w:val="22"/>
        </w:rPr>
        <w:t>:</w:t>
      </w:r>
    </w:p>
    <w:p w14:paraId="1E27808A" w14:textId="77777777" w:rsidR="005E347E" w:rsidRPr="00AA22C4" w:rsidRDefault="005E347E" w:rsidP="005E347E">
      <w:pPr>
        <w:pStyle w:val="Tekstprzypisudolnego"/>
        <w:numPr>
          <w:ilvl w:val="0"/>
          <w:numId w:val="10"/>
        </w:numPr>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Lekarz z oddziału powinien odbyć z matką lub opiekunem prawnym dziecka rozmowę wyjaśniającą. </w:t>
      </w:r>
    </w:p>
    <w:p w14:paraId="6C7AF0E4" w14:textId="77777777" w:rsidR="005E347E" w:rsidRPr="00AA22C4" w:rsidRDefault="005E347E" w:rsidP="005E347E">
      <w:pPr>
        <w:pStyle w:val="Tekstprzypisudolnego"/>
        <w:numPr>
          <w:ilvl w:val="0"/>
          <w:numId w:val="10"/>
        </w:numPr>
        <w:spacing w:before="120" w:after="120"/>
        <w:jc w:val="both"/>
        <w:rPr>
          <w:rFonts w:ascii="Lato" w:hAnsi="Lato"/>
          <w:color w:val="000000" w:themeColor="text1"/>
          <w:sz w:val="22"/>
          <w:szCs w:val="22"/>
        </w:rPr>
      </w:pPr>
      <w:r w:rsidRPr="00AA22C4">
        <w:rPr>
          <w:rFonts w:ascii="Lato" w:hAnsi="Lato"/>
          <w:color w:val="000000" w:themeColor="text1"/>
          <w:sz w:val="22"/>
          <w:szCs w:val="22"/>
        </w:rPr>
        <w:t>W razie odmowy podpisania zgody przez rodzica lub opiekuna prawnego lekarz wpisuje „Odmowa pobrania krwi i podpisu” i potwierdza własnoręcznym podpisem i pieczątką.</w:t>
      </w:r>
    </w:p>
    <w:p w14:paraId="437854F6" w14:textId="77777777" w:rsidR="005E347E" w:rsidRPr="00AA22C4" w:rsidRDefault="005E347E" w:rsidP="005E347E">
      <w:pPr>
        <w:pStyle w:val="Tekstprzypisudolnego"/>
        <w:numPr>
          <w:ilvl w:val="0"/>
          <w:numId w:val="10"/>
        </w:numPr>
        <w:spacing w:before="120" w:after="120"/>
        <w:jc w:val="both"/>
        <w:rPr>
          <w:rFonts w:ascii="Lato" w:hAnsi="Lato"/>
          <w:color w:val="000000" w:themeColor="text1"/>
          <w:sz w:val="22"/>
          <w:szCs w:val="22"/>
        </w:rPr>
      </w:pPr>
      <w:r w:rsidRPr="00AA22C4">
        <w:rPr>
          <w:rFonts w:ascii="Lato" w:hAnsi="Lato"/>
          <w:color w:val="000000" w:themeColor="text1"/>
          <w:sz w:val="22"/>
          <w:szCs w:val="22"/>
        </w:rPr>
        <w:t>Rodzic lub opiekun prawny dziecka może też odmówić zgody na badanie molekularne. Wtedy laboratorium wykona pozostałe badania i w przypadku wyniku dodatniego testu wezwie opiekuna prawnego z dzieckiem do kliniki lub poradni (bez wykonania dodatkowej diagnostyki molekularnej).</w:t>
      </w:r>
    </w:p>
    <w:p w14:paraId="7A603E33" w14:textId="77777777" w:rsidR="005E347E" w:rsidRPr="00AA22C4" w:rsidRDefault="005E347E" w:rsidP="005E347E">
      <w:pPr>
        <w:pStyle w:val="Tekstprzypisudolnego"/>
        <w:numPr>
          <w:ilvl w:val="0"/>
          <w:numId w:val="10"/>
        </w:numPr>
        <w:spacing w:before="120" w:after="120"/>
        <w:jc w:val="both"/>
        <w:rPr>
          <w:rFonts w:ascii="Lato" w:hAnsi="Lato"/>
          <w:color w:val="000000" w:themeColor="text1"/>
          <w:sz w:val="22"/>
          <w:szCs w:val="22"/>
        </w:rPr>
      </w:pPr>
      <w:r w:rsidRPr="00AA22C4">
        <w:rPr>
          <w:rFonts w:ascii="Lato" w:hAnsi="Lato"/>
          <w:color w:val="000000" w:themeColor="text1"/>
          <w:sz w:val="22"/>
          <w:szCs w:val="22"/>
        </w:rPr>
        <w:t>W przypadku niepodpisania zgody na wykonanie badania przesiewowego w pierwszych dobach życia, realizator podejmuje próbę wykonania badania po wypisie dziecka ze szpitala. W tym celu</w:t>
      </w:r>
      <w:r w:rsidRPr="00AA22C4">
        <w:rPr>
          <w:rFonts w:ascii="Lato" w:hAnsi="Lato"/>
          <w:color w:val="000000" w:themeColor="text1"/>
        </w:rPr>
        <w:t xml:space="preserve"> </w:t>
      </w:r>
      <w:r w:rsidRPr="00AA22C4">
        <w:rPr>
          <w:rFonts w:ascii="Lato" w:hAnsi="Lato"/>
          <w:color w:val="000000" w:themeColor="text1"/>
          <w:sz w:val="22"/>
          <w:szCs w:val="22"/>
        </w:rPr>
        <w:t>do rodziców/opiekunów prawnych dziecka jest wysyłany list (załącznik nr 8) wraz z bibułą (na którą należy pobrać próbkę krwi, a następnie należy odesłać do nadawcy) oraz oświadczeniem o odmowie udzielenia zgody na badania przesiewowe (którą należy podpisać i odesłać do nadawcy).</w:t>
      </w:r>
    </w:p>
    <w:p w14:paraId="593F2CC0" w14:textId="0B869163"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Badanie przesiewowe wykonuje się z wysuszonej kropli krwi. Próbkę pobiera się zgodnie z instrukcją przekazaną do wszystkich oddziałów noworodkowych w Rzecz</w:t>
      </w:r>
      <w:r w:rsidR="007A48CA" w:rsidRPr="00AA22C4">
        <w:rPr>
          <w:rFonts w:ascii="Lato" w:hAnsi="Lato"/>
          <w:color w:val="000000" w:themeColor="text1"/>
          <w:sz w:val="22"/>
          <w:szCs w:val="22"/>
        </w:rPr>
        <w:t>y</w:t>
      </w:r>
      <w:r w:rsidRPr="00AA22C4">
        <w:rPr>
          <w:rFonts w:ascii="Lato" w:hAnsi="Lato"/>
          <w:color w:val="000000" w:themeColor="text1"/>
          <w:sz w:val="22"/>
          <w:szCs w:val="22"/>
        </w:rPr>
        <w:t xml:space="preserve">pospolitej Polskiej – na czystą bibułę nakleja się etykietę z kodem paskowym, wpisuje dane rodzica/opiekuna prawnego i dziecka, rodzic lub opiekun prawny podpisuje zgodę na badania molekularne i następnie nasącza się bibułę krwią z nakłutej pięty noworodka. </w:t>
      </w:r>
    </w:p>
    <w:p w14:paraId="67A4B643"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Po pobraniu krwi i jej wysuszeniu, bibuła wraz z naklejoną etykietą z kodem wysyłana </w:t>
      </w:r>
      <w:r w:rsidRPr="00AA22C4">
        <w:rPr>
          <w:rFonts w:ascii="Lato" w:hAnsi="Lato"/>
          <w:color w:val="000000" w:themeColor="text1"/>
          <w:sz w:val="22"/>
          <w:szCs w:val="22"/>
        </w:rPr>
        <w:br/>
        <w:t>jest do przypisanego szpitalowi laboratorium przesiewowego – przesyłanie bibuł odbywa się pocztą lub kurierem.</w:t>
      </w:r>
    </w:p>
    <w:p w14:paraId="34F1137D"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W przypadku przenoszenia noworodka do innego oddziału szpitalnego lub innego szpitala przed pobraniem krwi, wraz z noworodkiem jest przekazywana do nowego oddziału bibuła z kodem </w:t>
      </w:r>
      <w:r w:rsidRPr="00AA22C4">
        <w:rPr>
          <w:rFonts w:ascii="Lato" w:hAnsi="Lato"/>
          <w:color w:val="000000" w:themeColor="text1"/>
          <w:sz w:val="22"/>
          <w:szCs w:val="22"/>
        </w:rPr>
        <w:lastRenderedPageBreak/>
        <w:t>(kod zawsze musi zostać nadany noworodkowi w szpitalu, w którym się urodził) oraz jest przekazywana informacja o braku pobrania. Dodatkowo informacja o przeniesieniu musi być przekazana do laboratorium. W nowym oddziale, który przyjął noworodka, krew jest pobierana na bibułę przekazaną wraz z noworodkiem, a w przypadku przekazania noworodka bez bibuły (lub z bibułą uszkodzoną) pobiera się krew na nową bibułę z kodem przypisanym do tego oddziału.</w:t>
      </w:r>
    </w:p>
    <w:p w14:paraId="1F857283"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W przypadku zgonu dziecka przed pobraniem krwi, do laboratorium jest przekazywana czysta bibuła z naklejonym kodem i adnotacją o zgonie.</w:t>
      </w:r>
    </w:p>
    <w:p w14:paraId="5D86C5BC"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Jeśli rodzic lub opiekun prawny opuszcza oddział przed pobraniem krwi, oddział przekazuje rodzicowi/opiekunowi prawnemu bibułę z kodem z zaleceniem jak najszybszego pobrania oraz przesyła do laboratorium informację o wydaniu bibuły z kodem matce/opiekunowi prawnemu wraz z danymi rodzica/opiekuna prawnego.</w:t>
      </w:r>
    </w:p>
    <w:p w14:paraId="165C9557"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W przypadku (nielicznych w kraju) porodów w domu, krew na bibułę (uzyskaną z laboratorium przesiewowego) jest pobierana przez położną i wysyłana do laboratorium bez kodu lub kodem przekazanym położnej przez laboratorium przesiewowe.</w:t>
      </w:r>
    </w:p>
    <w:p w14:paraId="78D9EE7D" w14:textId="6785D490" w:rsidR="005E347E" w:rsidRPr="00AA22C4" w:rsidRDefault="005E347E" w:rsidP="00181F00">
      <w:pPr>
        <w:pStyle w:val="Tekstprzypisudolnego"/>
        <w:spacing w:before="240" w:after="120"/>
        <w:jc w:val="both"/>
        <w:rPr>
          <w:rFonts w:ascii="Lato" w:hAnsi="Lato"/>
          <w:b/>
          <w:bCs/>
          <w:color w:val="000000" w:themeColor="text1"/>
          <w:sz w:val="22"/>
          <w:szCs w:val="22"/>
        </w:rPr>
      </w:pPr>
      <w:bookmarkStart w:id="39" w:name="_Toc491892696"/>
      <w:r w:rsidRPr="00AA22C4">
        <w:rPr>
          <w:rFonts w:ascii="Lato" w:hAnsi="Lato"/>
          <w:b/>
          <w:bCs/>
          <w:color w:val="000000" w:themeColor="text1"/>
          <w:sz w:val="22"/>
          <w:szCs w:val="22"/>
        </w:rPr>
        <w:t>Transport prób krwi na bibule do laboratorium przesiewowego.</w:t>
      </w:r>
      <w:bookmarkEnd w:id="39"/>
    </w:p>
    <w:p w14:paraId="5B9F20FA" w14:textId="77777777" w:rsidR="005E347E" w:rsidRPr="00AA22C4" w:rsidRDefault="005E347E" w:rsidP="005E347E">
      <w:pPr>
        <w:pStyle w:val="Tekstprzypisudolnego"/>
        <w:spacing w:before="120" w:after="120"/>
        <w:jc w:val="both"/>
        <w:rPr>
          <w:rFonts w:ascii="Lato" w:hAnsi="Lato"/>
          <w:color w:val="000000" w:themeColor="text1"/>
          <w:sz w:val="22"/>
          <w:szCs w:val="22"/>
          <w:lang w:eastAsia="en-US"/>
        </w:rPr>
      </w:pPr>
      <w:r w:rsidRPr="00AA22C4">
        <w:rPr>
          <w:rFonts w:ascii="Lato" w:hAnsi="Lato"/>
          <w:color w:val="000000" w:themeColor="text1"/>
          <w:sz w:val="22"/>
          <w:szCs w:val="22"/>
        </w:rPr>
        <w:t xml:space="preserve">Planuje się, aby bibuły z próbkami krwi były transportowane przez firmę kurierską wyłonioną w postępowaniu o udzielenie zamówienia publicznego ze wszystkich szpitali do laboratoriów przesiewowych. Firma kurierska powinna zostać wybrana przez realizatora w ciągu 6 miesięcy od dnia podpisania umowy na realizację Programu. Do czasu wybrania firmy kurierskiej, transport próbek będzie realizowany na zasadach obowiązujących w edycji Programu w 2015 - 2018, gdzie próbki krwi na bibułach były przekazywane przez dany szpital za pośrednictwem zawartej umowy z przewoźnikiem. Należy wskazać, iż transport próbek w poprzednich edycjach </w:t>
      </w:r>
      <w:r w:rsidRPr="00AA22C4">
        <w:rPr>
          <w:rFonts w:ascii="Lato" w:hAnsi="Lato"/>
          <w:color w:val="000000" w:themeColor="text1"/>
          <w:sz w:val="22"/>
          <w:szCs w:val="22"/>
          <w:lang w:eastAsia="en-US"/>
        </w:rPr>
        <w:t>dla całego kraju wynosił średnio 4 dni – gdzie, skrajnie najdłuższy czas transportu wynosił nawet 14 dni. Wydłużony czas transportu próbek krwi w zróżnicowanej temperaturze otoczenia pogarsza jakości próbek i może nieść za sobą błędne wyniki, a tym samym konieczność powtórzenia badania. Długi czas transportu powoduje również opóźnienie diagnostyki i włączenia leczenia w przypadku dzieci chorych.</w:t>
      </w:r>
    </w:p>
    <w:p w14:paraId="02C1027F"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Próbki krwi po wysuszeniu będą pakowane do specjalnej koperty z nadrukiem i adresem odbiorcy (laboratorium).</w:t>
      </w:r>
    </w:p>
    <w:p w14:paraId="41897649"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Próbki będą odbierane przez kurierów ze szpitali i dostarczane na następny dzień roboczy w godzinach porannych bezpośrednio do wyznaczonych laboratoriów za potwierdzeniem godziny i daty odbioru.</w:t>
      </w:r>
      <w:bookmarkStart w:id="40" w:name="_Toc491892697"/>
    </w:p>
    <w:p w14:paraId="78339E29" w14:textId="77777777" w:rsidR="005E347E" w:rsidRPr="00AA22C4" w:rsidRDefault="005E347E" w:rsidP="005E347E">
      <w:pPr>
        <w:pStyle w:val="Tekstprzypisudolnego"/>
        <w:spacing w:before="120" w:after="120"/>
        <w:jc w:val="both"/>
        <w:rPr>
          <w:rFonts w:ascii="Lato" w:hAnsi="Lato"/>
          <w:b/>
          <w:bCs/>
          <w:color w:val="000000" w:themeColor="text1"/>
          <w:sz w:val="22"/>
          <w:szCs w:val="22"/>
        </w:rPr>
      </w:pPr>
      <w:r w:rsidRPr="00AA22C4">
        <w:rPr>
          <w:rFonts w:ascii="Lato" w:hAnsi="Lato"/>
          <w:b/>
          <w:bCs/>
          <w:color w:val="000000" w:themeColor="text1"/>
          <w:sz w:val="22"/>
          <w:szCs w:val="22"/>
        </w:rPr>
        <w:lastRenderedPageBreak/>
        <w:t>Rejestracja w laboratorium</w:t>
      </w:r>
      <w:bookmarkEnd w:id="40"/>
    </w:p>
    <w:p w14:paraId="6F4779C9"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Próbki krwi dostarczone do laboratorium muszą być jak najszybciej zarejestrowane w systemie komputerowym aby zminimalizować ryzyko zgubienia bibuły w laboratorium.</w:t>
      </w:r>
    </w:p>
    <w:p w14:paraId="24180DA1" w14:textId="704AEDB3"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Rejestrację bibuły rozpoczyna się przez odczyt kodu z etykiety naklejonej na bibułę za pomocą czytnika kodów paskowych podłączonego do komputera, co zabezpiecza przed pomyłkami w odczycie kodu (jest sprawdzany ostatni siódmy znak będący znakiem kontrolnym kodu). Po odczycie identyfikatora, oprogramowanie </w:t>
      </w:r>
      <w:r w:rsidR="00B01154" w:rsidRPr="00AA22C4">
        <w:rPr>
          <w:rFonts w:ascii="Lato" w:hAnsi="Lato"/>
          <w:color w:val="000000" w:themeColor="text1"/>
          <w:sz w:val="22"/>
          <w:szCs w:val="22"/>
        </w:rPr>
        <w:t xml:space="preserve">odpowiednie </w:t>
      </w:r>
      <w:r w:rsidRPr="00AA22C4">
        <w:rPr>
          <w:rFonts w:ascii="Lato" w:hAnsi="Lato"/>
          <w:color w:val="000000" w:themeColor="text1"/>
          <w:sz w:val="22"/>
          <w:szCs w:val="22"/>
        </w:rPr>
        <w:t>do badań sprawdza czy odczytany kod jest przypisany do oddziału noworodkowego – tylko kody z przypisanym wcześniej oddziałem są uznawane za kody prawidłowe.</w:t>
      </w:r>
    </w:p>
    <w:p w14:paraId="49CFABD6"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Jeśli odczytany identyfikator jest prawidłowy, system pozwala na wpisanie danych z bibuły. Dla wszystkich próbek są wpisywane informacje zapisane na bibule jako „Dane rodzica lub opiekuna prawnego” i „Dane dziecka”. Adres jest wpisywany po wykonaniu analiz tylko w przypadku gdy jest potrzebne wysłanie listów do rodziców. Dodatkowo podczas rejestracji jest wprowadzana informacja o udzieleniu zgody na badania molekularne.</w:t>
      </w:r>
    </w:p>
    <w:p w14:paraId="3EFFFC1F" w14:textId="5762D29A"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Podczas rejestracji osoba wpisująca dane określa również jakość pobrania próbek krwi. Próbki z nieprawidłowym pobraniem (zbyt mało krwi, krew tylko z jednej strony bibuły, zalanie bibuły wodą lub inną cieczą, itp.) nie są przekazywane do badań i konieczne jest od razu wpisanie adresu </w:t>
      </w:r>
      <w:r w:rsidRPr="00AA22C4">
        <w:rPr>
          <w:rFonts w:ascii="Lato" w:hAnsi="Lato"/>
          <w:color w:val="000000" w:themeColor="text1"/>
          <w:sz w:val="22"/>
          <w:szCs w:val="22"/>
        </w:rPr>
        <w:br/>
        <w:t>aby do rodziców wysłać nową czystą bibułę na powtórne pobranie krwi. Do opiekuna prawnego dziecka jest wysyłana czysta bibuła z naklejonym identyfikatorem, dzięki czemu system może kontrolować czy bibuła wróciła od rodziców z pobraną krwią.</w:t>
      </w:r>
    </w:p>
    <w:p w14:paraId="7D7800C2"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Po zarejestrowaniu próbki są przekazywane do wykonania testów przesiewowych. </w:t>
      </w:r>
    </w:p>
    <w:p w14:paraId="7FC207F6" w14:textId="77777777" w:rsidR="005E347E" w:rsidRPr="00AA22C4" w:rsidRDefault="005E347E" w:rsidP="005E347E">
      <w:pPr>
        <w:pStyle w:val="Tekstprzypisudolnego"/>
        <w:spacing w:before="120" w:after="120"/>
        <w:jc w:val="both"/>
        <w:rPr>
          <w:rFonts w:ascii="Lato" w:hAnsi="Lato"/>
          <w:b/>
          <w:bCs/>
          <w:color w:val="000000" w:themeColor="text1"/>
          <w:sz w:val="22"/>
          <w:szCs w:val="22"/>
        </w:rPr>
      </w:pPr>
      <w:bookmarkStart w:id="41" w:name="_Toc491892698"/>
      <w:r w:rsidRPr="00AA22C4">
        <w:rPr>
          <w:rFonts w:ascii="Lato" w:hAnsi="Lato"/>
          <w:b/>
          <w:bCs/>
          <w:color w:val="000000" w:themeColor="text1"/>
          <w:sz w:val="22"/>
          <w:szCs w:val="22"/>
        </w:rPr>
        <w:t>Testy przesiewowe (Laboratorium)</w:t>
      </w:r>
      <w:bookmarkEnd w:id="41"/>
    </w:p>
    <w:p w14:paraId="51B86160"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Laboratorium jest obowiązane do bezzwłocznego wykonania testów przesiewowych. Praktycznie próbki są wstawiane do testu w dniu otrzymania. Laboratorium pracuje 6 dni w tygodniu. Analizy są wykonywane za pomocą testów ilościowych przeznaczonych do badań przesiewowych, zgodnie z instrukcją wytwórcy. Badanie metodą tandemowej spektrometrii mas (MS/MS) jest wykonywane metodą opracowaną i </w:t>
      </w:r>
      <w:proofErr w:type="spellStart"/>
      <w:r w:rsidRPr="00AA22C4">
        <w:rPr>
          <w:rFonts w:ascii="Lato" w:hAnsi="Lato"/>
          <w:color w:val="000000" w:themeColor="text1"/>
          <w:sz w:val="22"/>
          <w:szCs w:val="22"/>
        </w:rPr>
        <w:t>zwalidowaną</w:t>
      </w:r>
      <w:proofErr w:type="spellEnd"/>
      <w:r w:rsidRPr="00AA22C4">
        <w:rPr>
          <w:rFonts w:ascii="Lato" w:hAnsi="Lato"/>
          <w:color w:val="000000" w:themeColor="text1"/>
          <w:sz w:val="22"/>
          <w:szCs w:val="22"/>
        </w:rPr>
        <w:t xml:space="preserve"> w IMiD z wykorzystaniem odczynników, a nie komercyjnych testów. Wszystkie badania podlegają wewnętrznej i międzynarodowej kontroli jakości.</w:t>
      </w:r>
    </w:p>
    <w:p w14:paraId="297C8734" w14:textId="77777777" w:rsidR="005E347E" w:rsidRPr="00AA22C4" w:rsidRDefault="005E347E" w:rsidP="005E347E">
      <w:pPr>
        <w:pStyle w:val="Tekstprzypisudolnego"/>
        <w:spacing w:before="120" w:after="120"/>
        <w:jc w:val="both"/>
        <w:rPr>
          <w:rFonts w:ascii="Lato" w:hAnsi="Lato"/>
          <w:b/>
          <w:bCs/>
          <w:color w:val="000000" w:themeColor="text1"/>
          <w:sz w:val="22"/>
          <w:szCs w:val="22"/>
        </w:rPr>
      </w:pPr>
      <w:r w:rsidRPr="00AA22C4">
        <w:rPr>
          <w:rFonts w:ascii="Lato" w:hAnsi="Lato"/>
          <w:b/>
          <w:bCs/>
          <w:color w:val="000000" w:themeColor="text1"/>
          <w:sz w:val="22"/>
          <w:szCs w:val="22"/>
        </w:rPr>
        <w:t>Wykonywanie testów jest podzielone na kilka etapów:</w:t>
      </w:r>
    </w:p>
    <w:p w14:paraId="295B9BE0" w14:textId="7F598499"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1. Wycinanie krążków próbek krwi z bibuły (średnica 3.5mm) do płytek z kodem paskowym pod nadzorem </w:t>
      </w:r>
      <w:r w:rsidR="00B01154" w:rsidRPr="00AA22C4">
        <w:rPr>
          <w:rFonts w:ascii="Lato" w:hAnsi="Lato"/>
          <w:color w:val="000000" w:themeColor="text1"/>
          <w:sz w:val="22"/>
          <w:szCs w:val="22"/>
        </w:rPr>
        <w:t xml:space="preserve">właściwego </w:t>
      </w:r>
      <w:r w:rsidRPr="00AA22C4">
        <w:rPr>
          <w:rFonts w:ascii="Lato" w:hAnsi="Lato"/>
          <w:color w:val="000000" w:themeColor="text1"/>
          <w:sz w:val="22"/>
          <w:szCs w:val="22"/>
        </w:rPr>
        <w:t xml:space="preserve">oprogramowania. Oprogramowanie steruje wycinarką i kontroluje jaka </w:t>
      </w:r>
      <w:r w:rsidRPr="00AA22C4">
        <w:rPr>
          <w:rFonts w:ascii="Lato" w:hAnsi="Lato"/>
          <w:color w:val="000000" w:themeColor="text1"/>
          <w:sz w:val="22"/>
          <w:szCs w:val="22"/>
        </w:rPr>
        <w:lastRenderedPageBreak/>
        <w:t>bibuła może być wycięta do określonego dołka płytki pomiarowej. Do płytki wycinane są bibuły krzywej kalibrującej (wzorcowej), próbki kontroli wewnętrznej, próbki z bibuł noworodków, próbki z bibuł monitorowania leczenia oraz okresowe kontrole zewnętrzne (np. Atlanta CDC). Wszystkie wycinane próbki muszą zawierać kod paskowy, w tym standardy i kontrole wewnętrzne i zewnętrzne. Dane o płytce (numer płytki, identyfikatory bibuł i pozycja bibuły) w płytce są zapisywane w systemie. Osoba wycinająca dodatkowo kontroluje jakość pobrania krwi na bibule – w przypadku niewłaściwego pobrania krwi bibuła nie jest wycinana lecz do rodziców wysyłana jest nowa czysta bibuła na powtórne pobranie próbki krwi.</w:t>
      </w:r>
    </w:p>
    <w:p w14:paraId="3A77ACE1"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2. Pipetowanie (ekstrakcja) – nalewanie do dołków płytki roztworu ekstrakcyjnego.</w:t>
      </w:r>
    </w:p>
    <w:p w14:paraId="1C2FF8AD"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3. Inkubacja – zależnie od testu inkubacja trwa od kilku do kilkunastu godzin.</w:t>
      </w:r>
    </w:p>
    <w:p w14:paraId="7763BC84"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4. Usuwanie krążków bibuł i płukanie – w zależności od testu krążki są usuwane z dołka za pomocą specjalnej pompy próżniowej (płytki z </w:t>
      </w:r>
      <w:proofErr w:type="spellStart"/>
      <w:r w:rsidRPr="00AA22C4">
        <w:rPr>
          <w:rFonts w:ascii="Lato" w:hAnsi="Lato"/>
          <w:color w:val="000000" w:themeColor="text1"/>
          <w:sz w:val="22"/>
          <w:szCs w:val="22"/>
        </w:rPr>
        <w:t>opłaszczeniem</w:t>
      </w:r>
      <w:proofErr w:type="spellEnd"/>
      <w:r w:rsidRPr="00AA22C4">
        <w:rPr>
          <w:rFonts w:ascii="Lato" w:hAnsi="Lato"/>
          <w:color w:val="000000" w:themeColor="text1"/>
          <w:sz w:val="22"/>
          <w:szCs w:val="22"/>
        </w:rPr>
        <w:t xml:space="preserve"> przeciwciałem) lub roztwór jest przenoszony do nowej płytki za pomocą ręcznej pipety.</w:t>
      </w:r>
    </w:p>
    <w:p w14:paraId="48441295"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5. Pipetowanie (w zależności od testu) roztworu stopującego reakcję.</w:t>
      </w:r>
    </w:p>
    <w:p w14:paraId="7689B711"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6. Przygotowanie aparatów pomiarowych – wygrzewanie, płukanie wstępne, pomiary płytek wzorcowych dla kontroli jakości aparatu (wykonywane przed serią pomiarów). Wyniki pomiarów kontroli są zapisywane w systemie.</w:t>
      </w:r>
    </w:p>
    <w:p w14:paraId="1C40F852"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7a. Pomiar kolorymetryczny, </w:t>
      </w:r>
      <w:proofErr w:type="spellStart"/>
      <w:r w:rsidRPr="00AA22C4">
        <w:rPr>
          <w:rFonts w:ascii="Lato" w:hAnsi="Lato"/>
          <w:color w:val="000000" w:themeColor="text1"/>
          <w:sz w:val="22"/>
          <w:szCs w:val="22"/>
        </w:rPr>
        <w:t>luminometryczny</w:t>
      </w:r>
      <w:proofErr w:type="spellEnd"/>
      <w:r w:rsidRPr="00AA22C4">
        <w:rPr>
          <w:rFonts w:ascii="Lato" w:hAnsi="Lato"/>
          <w:color w:val="000000" w:themeColor="text1"/>
          <w:sz w:val="22"/>
          <w:szCs w:val="22"/>
        </w:rPr>
        <w:t xml:space="preserve"> i fluorymetryczny jest wykonywany na aparatach połączonych z komputerem. Mierzone płytki identyfikowane są przez kod umieszczony na płytce. Parametry pomiaru są programowane przez system a wyniki pomiaru są transmitowane bezpośrednio z aparatu do komputerowej bazy danych oprogramowania.</w:t>
      </w:r>
    </w:p>
    <w:p w14:paraId="0383200F"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7b. Pomiary na tandemowym spektrometrze mas są importowane przez system za pomocą modułu analizującego zmierzone widma masowe, opracowanego w IMiD. Same widma masowe są mierzone za pomocą oprogramowania sterującego spektrometrem i układem dostarczania próbki dostarczonego przez producenta spektrometru.</w:t>
      </w:r>
    </w:p>
    <w:p w14:paraId="587190C0"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Pomiar na tandemowym spektrometrze mas obejmuje:</w:t>
      </w:r>
    </w:p>
    <w:p w14:paraId="17CB0386" w14:textId="2840DF17" w:rsidR="005E347E" w:rsidRPr="00AA22C4" w:rsidRDefault="00A013CC" w:rsidP="00AA22C4">
      <w:pPr>
        <w:pStyle w:val="Tekstprzypisudolnego"/>
        <w:spacing w:before="120" w:after="120"/>
        <w:ind w:left="360"/>
        <w:jc w:val="both"/>
        <w:rPr>
          <w:rFonts w:ascii="Lato" w:hAnsi="Lato"/>
          <w:color w:val="000000" w:themeColor="text1"/>
          <w:sz w:val="22"/>
          <w:szCs w:val="22"/>
        </w:rPr>
      </w:pPr>
      <w:r w:rsidRPr="00AA22C4">
        <w:rPr>
          <w:rFonts w:ascii="Lato" w:hAnsi="Lato"/>
          <w:color w:val="000000" w:themeColor="text1"/>
          <w:sz w:val="22"/>
          <w:szCs w:val="22"/>
        </w:rPr>
        <w:t xml:space="preserve">1) </w:t>
      </w:r>
      <w:r w:rsidR="005E347E" w:rsidRPr="00AA22C4">
        <w:rPr>
          <w:rFonts w:ascii="Lato" w:hAnsi="Lato"/>
          <w:color w:val="000000" w:themeColor="text1"/>
          <w:sz w:val="22"/>
          <w:szCs w:val="22"/>
        </w:rPr>
        <w:t>sprawdzenie okresowe (raz w miesiącu lub częściej) – polega na kalibracji spektrometru za pomocą specjalnego roztworu – ustawia się czułość i rozdzielczość aparatu oraz kontroluje wykrywanie odpowiednich jonów kalibrujących</w:t>
      </w:r>
      <w:r w:rsidRPr="00AA22C4">
        <w:rPr>
          <w:rFonts w:ascii="Lato" w:hAnsi="Lato"/>
          <w:color w:val="000000" w:themeColor="text1"/>
          <w:sz w:val="22"/>
          <w:szCs w:val="22"/>
        </w:rPr>
        <w:t>;</w:t>
      </w:r>
    </w:p>
    <w:p w14:paraId="6252E320" w14:textId="5BBB4959" w:rsidR="005E347E" w:rsidRPr="00AA22C4" w:rsidRDefault="00A013CC" w:rsidP="00AA22C4">
      <w:pPr>
        <w:pStyle w:val="Tekstprzypisudolnego"/>
        <w:spacing w:before="120" w:after="120"/>
        <w:ind w:left="360"/>
        <w:jc w:val="both"/>
        <w:rPr>
          <w:rFonts w:ascii="Lato" w:hAnsi="Lato"/>
          <w:color w:val="000000" w:themeColor="text1"/>
          <w:sz w:val="22"/>
          <w:szCs w:val="22"/>
        </w:rPr>
      </w:pPr>
      <w:r w:rsidRPr="00AA22C4">
        <w:rPr>
          <w:rFonts w:ascii="Lato" w:hAnsi="Lato"/>
          <w:color w:val="000000" w:themeColor="text1"/>
          <w:sz w:val="22"/>
          <w:szCs w:val="22"/>
        </w:rPr>
        <w:t xml:space="preserve">2) </w:t>
      </w:r>
      <w:r w:rsidR="005E347E" w:rsidRPr="00AA22C4">
        <w:rPr>
          <w:rFonts w:ascii="Lato" w:hAnsi="Lato"/>
          <w:color w:val="000000" w:themeColor="text1"/>
          <w:sz w:val="22"/>
          <w:szCs w:val="22"/>
        </w:rPr>
        <w:t>sprawdzenie okresowe (raz w miesiącu lub częściej) – kontroluje się optymalne parametry pomiaru szukanych substancji (parametry zależne od konkretnego egzemplarza aparatu, np. czas dopływu próbki, parametry skupiania i rozbijania jonów)</w:t>
      </w:r>
      <w:r w:rsidRPr="00AA22C4">
        <w:rPr>
          <w:rFonts w:ascii="Lato" w:hAnsi="Lato"/>
          <w:color w:val="000000" w:themeColor="text1"/>
          <w:sz w:val="22"/>
          <w:szCs w:val="22"/>
        </w:rPr>
        <w:t>;</w:t>
      </w:r>
    </w:p>
    <w:p w14:paraId="20E02C5A" w14:textId="3AF9CCED" w:rsidR="005E347E" w:rsidRPr="00AA22C4" w:rsidRDefault="00A013CC" w:rsidP="00AA22C4">
      <w:pPr>
        <w:pStyle w:val="Tekstprzypisudolnego"/>
        <w:spacing w:before="120" w:after="120"/>
        <w:ind w:left="360"/>
        <w:jc w:val="both"/>
        <w:rPr>
          <w:rFonts w:ascii="Lato" w:hAnsi="Lato"/>
          <w:color w:val="000000" w:themeColor="text1"/>
          <w:sz w:val="22"/>
          <w:szCs w:val="22"/>
        </w:rPr>
      </w:pPr>
      <w:r w:rsidRPr="00AA22C4">
        <w:rPr>
          <w:rFonts w:ascii="Lato" w:hAnsi="Lato"/>
          <w:color w:val="000000" w:themeColor="text1"/>
          <w:sz w:val="22"/>
          <w:szCs w:val="22"/>
        </w:rPr>
        <w:lastRenderedPageBreak/>
        <w:t xml:space="preserve">3) </w:t>
      </w:r>
      <w:r w:rsidR="005E347E" w:rsidRPr="00AA22C4">
        <w:rPr>
          <w:rFonts w:ascii="Lato" w:hAnsi="Lato"/>
          <w:color w:val="000000" w:themeColor="text1"/>
          <w:sz w:val="22"/>
          <w:szCs w:val="22"/>
        </w:rPr>
        <w:t>przygotowanie okresowe roztworów ze standardami izotopowymi – rozpuszczenie z fazy stałej i dozowanie do probówek roztworu stężonego</w:t>
      </w:r>
      <w:r w:rsidRPr="00AA22C4">
        <w:rPr>
          <w:rFonts w:ascii="Lato" w:hAnsi="Lato"/>
          <w:color w:val="000000" w:themeColor="text1"/>
          <w:sz w:val="22"/>
          <w:szCs w:val="22"/>
        </w:rPr>
        <w:t>;</w:t>
      </w:r>
    </w:p>
    <w:p w14:paraId="5312377C" w14:textId="1C3761AA" w:rsidR="005E347E" w:rsidRPr="00AA22C4" w:rsidRDefault="00A013CC" w:rsidP="00AA22C4">
      <w:pPr>
        <w:pStyle w:val="Tekstprzypisudolnego"/>
        <w:spacing w:before="120" w:after="120"/>
        <w:ind w:left="360"/>
        <w:jc w:val="both"/>
        <w:rPr>
          <w:rFonts w:ascii="Lato" w:hAnsi="Lato"/>
          <w:color w:val="000000" w:themeColor="text1"/>
          <w:sz w:val="22"/>
          <w:szCs w:val="22"/>
        </w:rPr>
      </w:pPr>
      <w:r w:rsidRPr="00AA22C4">
        <w:rPr>
          <w:rFonts w:ascii="Lato" w:hAnsi="Lato"/>
          <w:color w:val="000000" w:themeColor="text1"/>
          <w:sz w:val="22"/>
          <w:szCs w:val="22"/>
        </w:rPr>
        <w:t xml:space="preserve">4) </w:t>
      </w:r>
      <w:r w:rsidR="005E347E" w:rsidRPr="00AA22C4">
        <w:rPr>
          <w:rFonts w:ascii="Lato" w:hAnsi="Lato"/>
          <w:color w:val="000000" w:themeColor="text1"/>
          <w:sz w:val="22"/>
          <w:szCs w:val="22"/>
        </w:rPr>
        <w:t>kalibracja okresowa (około raz na dwa tygodnie) – wykonuje się również pomiar krzywych wzorcowych zawierających substancje charakterystyczne dla szukanych chorób – krzywa kalibrująca pozwala na przeliczenie zmierzonych na aparacie intensywności określonych jonów na stężenie szukanej substancji; wyniki kalibracji są wprowadzane do modułu analizującego widma masowe</w:t>
      </w:r>
      <w:r w:rsidRPr="00AA22C4">
        <w:rPr>
          <w:rFonts w:ascii="Lato" w:hAnsi="Lato"/>
          <w:color w:val="000000" w:themeColor="text1"/>
          <w:sz w:val="22"/>
          <w:szCs w:val="22"/>
        </w:rPr>
        <w:t>;</w:t>
      </w:r>
    </w:p>
    <w:p w14:paraId="7CE77220" w14:textId="13AA67C4" w:rsidR="005E347E" w:rsidRPr="00AA22C4" w:rsidRDefault="00A013CC" w:rsidP="00AA22C4">
      <w:pPr>
        <w:pStyle w:val="Tekstprzypisudolnego"/>
        <w:spacing w:before="120" w:after="120"/>
        <w:ind w:left="360"/>
        <w:jc w:val="both"/>
        <w:rPr>
          <w:rFonts w:ascii="Lato" w:hAnsi="Lato"/>
          <w:color w:val="000000" w:themeColor="text1"/>
          <w:sz w:val="22"/>
          <w:szCs w:val="22"/>
        </w:rPr>
      </w:pPr>
      <w:r w:rsidRPr="00AA22C4">
        <w:rPr>
          <w:rFonts w:ascii="Lato" w:hAnsi="Lato"/>
          <w:color w:val="000000" w:themeColor="text1"/>
          <w:sz w:val="22"/>
          <w:szCs w:val="22"/>
        </w:rPr>
        <w:t xml:space="preserve">5) </w:t>
      </w:r>
      <w:r w:rsidR="005E347E" w:rsidRPr="00AA22C4">
        <w:rPr>
          <w:rFonts w:ascii="Lato" w:hAnsi="Lato"/>
          <w:color w:val="000000" w:themeColor="text1"/>
          <w:sz w:val="22"/>
          <w:szCs w:val="22"/>
        </w:rPr>
        <w:t xml:space="preserve">wzorce analityczne –co pół roku są wykonywane w IMiD własne krzywe wzorcowe – we krwi są rozpuszczane odpowiednie liczby wzorców badanych substancji (w kilku stężeniach) i następnie krew jest </w:t>
      </w:r>
      <w:proofErr w:type="spellStart"/>
      <w:r w:rsidR="005E347E" w:rsidRPr="00AA22C4">
        <w:rPr>
          <w:rFonts w:ascii="Lato" w:hAnsi="Lato"/>
          <w:color w:val="000000" w:themeColor="text1"/>
          <w:sz w:val="22"/>
          <w:szCs w:val="22"/>
        </w:rPr>
        <w:t>nakraplana</w:t>
      </w:r>
      <w:proofErr w:type="spellEnd"/>
      <w:r w:rsidR="005E347E" w:rsidRPr="00AA22C4">
        <w:rPr>
          <w:rFonts w:ascii="Lato" w:hAnsi="Lato"/>
          <w:color w:val="000000" w:themeColor="text1"/>
          <w:sz w:val="22"/>
          <w:szCs w:val="22"/>
        </w:rPr>
        <w:t xml:space="preserve"> na czyste bibuły. Wzorcowe próbki krwi po wysuszeniu są przechowywane w temperaturze - 20</w:t>
      </w:r>
      <w:r w:rsidR="005E347E" w:rsidRPr="00AA22C4">
        <w:rPr>
          <w:rFonts w:ascii="Cambria Math" w:hAnsi="Cambria Math" w:cs="Cambria Math"/>
          <w:color w:val="000000" w:themeColor="text1"/>
          <w:sz w:val="22"/>
          <w:szCs w:val="22"/>
        </w:rPr>
        <w:t>℃</w:t>
      </w:r>
      <w:r w:rsidR="005E347E" w:rsidRPr="00AA22C4">
        <w:rPr>
          <w:rFonts w:ascii="Lato" w:hAnsi="Lato"/>
          <w:color w:val="000000" w:themeColor="text1"/>
          <w:sz w:val="22"/>
          <w:szCs w:val="22"/>
        </w:rPr>
        <w:t>, a nast</w:t>
      </w:r>
      <w:r w:rsidR="005E347E" w:rsidRPr="00AA22C4">
        <w:rPr>
          <w:rFonts w:ascii="Lato" w:hAnsi="Lato" w:cs="Lato"/>
          <w:color w:val="000000" w:themeColor="text1"/>
          <w:sz w:val="22"/>
          <w:szCs w:val="22"/>
        </w:rPr>
        <w:t>ę</w:t>
      </w:r>
      <w:r w:rsidR="005E347E" w:rsidRPr="00AA22C4">
        <w:rPr>
          <w:rFonts w:ascii="Lato" w:hAnsi="Lato"/>
          <w:color w:val="000000" w:themeColor="text1"/>
          <w:sz w:val="22"/>
          <w:szCs w:val="22"/>
        </w:rPr>
        <w:t>pnie wycinane do test</w:t>
      </w:r>
      <w:r w:rsidR="005E347E" w:rsidRPr="00AA22C4">
        <w:rPr>
          <w:rFonts w:ascii="Lato" w:hAnsi="Lato" w:cs="Lato"/>
          <w:color w:val="000000" w:themeColor="text1"/>
          <w:sz w:val="22"/>
          <w:szCs w:val="22"/>
        </w:rPr>
        <w:t>ó</w:t>
      </w:r>
      <w:r w:rsidR="005E347E" w:rsidRPr="00AA22C4">
        <w:rPr>
          <w:rFonts w:ascii="Lato" w:hAnsi="Lato"/>
          <w:color w:val="000000" w:themeColor="text1"/>
          <w:sz w:val="22"/>
          <w:szCs w:val="22"/>
        </w:rPr>
        <w:t>w. Wykonywane s</w:t>
      </w:r>
      <w:r w:rsidR="005E347E" w:rsidRPr="00AA22C4">
        <w:rPr>
          <w:rFonts w:ascii="Lato" w:hAnsi="Lato" w:cs="Lato"/>
          <w:color w:val="000000" w:themeColor="text1"/>
          <w:sz w:val="22"/>
          <w:szCs w:val="22"/>
        </w:rPr>
        <w:t>ą</w:t>
      </w:r>
      <w:r w:rsidR="005E347E" w:rsidRPr="00AA22C4">
        <w:rPr>
          <w:rFonts w:ascii="Lato" w:hAnsi="Lato"/>
          <w:color w:val="000000" w:themeColor="text1"/>
          <w:sz w:val="22"/>
          <w:szCs w:val="22"/>
        </w:rPr>
        <w:t xml:space="preserve"> oddzielne wzorce do przesiewu noworodkowego (aminokwasy + </w:t>
      </w:r>
      <w:proofErr w:type="spellStart"/>
      <w:r w:rsidR="005E347E" w:rsidRPr="00AA22C4">
        <w:rPr>
          <w:rFonts w:ascii="Lato" w:hAnsi="Lato"/>
          <w:color w:val="000000" w:themeColor="text1"/>
          <w:sz w:val="22"/>
          <w:szCs w:val="22"/>
        </w:rPr>
        <w:t>acylokarnityn</w:t>
      </w:r>
      <w:proofErr w:type="spellEnd"/>
      <w:r w:rsidR="005E347E" w:rsidRPr="00AA22C4">
        <w:rPr>
          <w:rFonts w:ascii="Lato" w:hAnsi="Lato"/>
          <w:color w:val="000000" w:themeColor="text1"/>
          <w:sz w:val="22"/>
          <w:szCs w:val="22"/>
        </w:rPr>
        <w:t>) jak i dla badań weryfikacyjnych (krzywe MMA+MCA, krzywa SUAC, krzywa steroidowa)</w:t>
      </w:r>
      <w:r w:rsidRPr="00AA22C4">
        <w:rPr>
          <w:rFonts w:ascii="Lato" w:hAnsi="Lato"/>
          <w:color w:val="000000" w:themeColor="text1"/>
          <w:sz w:val="22"/>
          <w:szCs w:val="22"/>
        </w:rPr>
        <w:t>;</w:t>
      </w:r>
    </w:p>
    <w:p w14:paraId="56122CE9" w14:textId="0B5B75BD" w:rsidR="005E347E" w:rsidRPr="00AA22C4" w:rsidRDefault="00A013CC" w:rsidP="00AA22C4">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6) </w:t>
      </w:r>
      <w:r w:rsidR="005E347E" w:rsidRPr="00AA22C4">
        <w:rPr>
          <w:rFonts w:ascii="Lato" w:hAnsi="Lato"/>
          <w:color w:val="000000" w:themeColor="text1"/>
          <w:sz w:val="22"/>
          <w:szCs w:val="22"/>
        </w:rPr>
        <w:t>przygotowanie dzienne – rozcieńczanie roztworu stężonego do roztworu roboczego</w:t>
      </w:r>
      <w:r w:rsidRPr="00AA22C4">
        <w:rPr>
          <w:rFonts w:ascii="Lato" w:hAnsi="Lato"/>
          <w:color w:val="000000" w:themeColor="text1"/>
          <w:sz w:val="22"/>
          <w:szCs w:val="22"/>
        </w:rPr>
        <w:t>;</w:t>
      </w:r>
    </w:p>
    <w:p w14:paraId="1251C715" w14:textId="4EC09B97" w:rsidR="005E347E" w:rsidRPr="00AA22C4" w:rsidRDefault="00A013CC" w:rsidP="00AA22C4">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7) </w:t>
      </w:r>
      <w:r w:rsidR="005E347E" w:rsidRPr="00AA22C4">
        <w:rPr>
          <w:rFonts w:ascii="Lato" w:hAnsi="Lato"/>
          <w:color w:val="000000" w:themeColor="text1"/>
          <w:sz w:val="22"/>
          <w:szCs w:val="22"/>
        </w:rPr>
        <w:t>przygotowanie dzienne aparatu składające się ze sprawdzenia i obsługi dziennej sprężarek powietrza (filtry, skraplacz, itp.), sprawdzenia wytwornic azotu (ciśnienie, filtry), sprawdzenie automatycznego dozownika i pomp fazy nośnej (czyszczeniem lub wymiana części zużywalnych zaworów, sprawdzenie przecieków), sprawdzenie i udrożnienie przewodów dostarczających próbki do spektrometru, czyszczenie i sprawdzenie układu jonizującego na spektrometrze</w:t>
      </w:r>
      <w:r w:rsidRPr="00AA22C4">
        <w:rPr>
          <w:rFonts w:ascii="Lato" w:hAnsi="Lato"/>
          <w:color w:val="000000" w:themeColor="text1"/>
          <w:sz w:val="22"/>
          <w:szCs w:val="22"/>
        </w:rPr>
        <w:t>;</w:t>
      </w:r>
    </w:p>
    <w:p w14:paraId="664F1B56" w14:textId="4E1DD815" w:rsidR="005E347E" w:rsidRPr="00AA22C4" w:rsidRDefault="00A013CC" w:rsidP="00AA22C4">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8) </w:t>
      </w:r>
      <w:r w:rsidR="005E347E" w:rsidRPr="00AA22C4">
        <w:rPr>
          <w:rFonts w:ascii="Lato" w:hAnsi="Lato"/>
          <w:color w:val="000000" w:themeColor="text1"/>
          <w:sz w:val="22"/>
          <w:szCs w:val="22"/>
        </w:rPr>
        <w:t>właściwy pomiar płytki z roztworem po ekstrakcji – zalanie płytki fazą nośną, zaprogramowanie pomiaru płytki w aplikacji sterującej</w:t>
      </w:r>
      <w:r w:rsidRPr="00AA22C4">
        <w:rPr>
          <w:rFonts w:ascii="Lato" w:hAnsi="Lato"/>
          <w:color w:val="000000" w:themeColor="text1"/>
          <w:sz w:val="22"/>
          <w:szCs w:val="22"/>
        </w:rPr>
        <w:t>;</w:t>
      </w:r>
    </w:p>
    <w:p w14:paraId="03D8A09E" w14:textId="6D94BAAD" w:rsidR="005E347E" w:rsidRPr="00AA22C4" w:rsidRDefault="00A013CC" w:rsidP="00AA22C4">
      <w:pPr>
        <w:pStyle w:val="Tekstprzypisudolnego"/>
        <w:spacing w:before="120" w:after="120"/>
        <w:ind w:left="360"/>
        <w:jc w:val="both"/>
        <w:rPr>
          <w:rFonts w:ascii="Lato" w:hAnsi="Lato"/>
          <w:color w:val="000000" w:themeColor="text1"/>
          <w:sz w:val="22"/>
          <w:szCs w:val="22"/>
        </w:rPr>
      </w:pPr>
      <w:r w:rsidRPr="00AA22C4">
        <w:rPr>
          <w:rFonts w:ascii="Lato" w:hAnsi="Lato"/>
          <w:color w:val="000000" w:themeColor="text1"/>
          <w:sz w:val="22"/>
          <w:szCs w:val="22"/>
        </w:rPr>
        <w:t xml:space="preserve">9) </w:t>
      </w:r>
      <w:r w:rsidR="005E347E" w:rsidRPr="00AA22C4">
        <w:rPr>
          <w:rFonts w:ascii="Lato" w:hAnsi="Lato"/>
          <w:color w:val="000000" w:themeColor="text1"/>
          <w:sz w:val="22"/>
          <w:szCs w:val="22"/>
        </w:rPr>
        <w:t>import do systemu zmierzonych widm masowych, ocena jakościowa zmierzonych intensywności jonów, obliczenie stężeń szukanych substancji.</w:t>
      </w:r>
    </w:p>
    <w:p w14:paraId="28966FDE"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8. Ewaluacja wyników pomiarów, czyli przeliczenie wartości surowych </w:t>
      </w:r>
      <w:proofErr w:type="spellStart"/>
      <w:r w:rsidRPr="00AA22C4">
        <w:rPr>
          <w:rFonts w:ascii="Lato" w:hAnsi="Lato"/>
          <w:color w:val="000000" w:themeColor="text1"/>
          <w:sz w:val="22"/>
          <w:szCs w:val="22"/>
        </w:rPr>
        <w:t>zliczeń</w:t>
      </w:r>
      <w:proofErr w:type="spellEnd"/>
      <w:r w:rsidRPr="00AA22C4">
        <w:rPr>
          <w:rFonts w:ascii="Lato" w:hAnsi="Lato"/>
          <w:color w:val="000000" w:themeColor="text1"/>
          <w:sz w:val="22"/>
          <w:szCs w:val="22"/>
        </w:rPr>
        <w:t xml:space="preserve"> z aparatu pomiarowego na stężenia szukanych substancji za pomocą odpowiednich metod aproksymacji (np. regresja liniowa ważona, </w:t>
      </w:r>
      <w:proofErr w:type="spellStart"/>
      <w:r w:rsidRPr="00AA22C4">
        <w:rPr>
          <w:rFonts w:ascii="Lato" w:hAnsi="Lato"/>
          <w:color w:val="000000" w:themeColor="text1"/>
          <w:sz w:val="22"/>
          <w:szCs w:val="22"/>
        </w:rPr>
        <w:t>spline</w:t>
      </w:r>
      <w:proofErr w:type="spellEnd"/>
      <w:r w:rsidRPr="00AA22C4">
        <w:rPr>
          <w:rFonts w:ascii="Lato" w:hAnsi="Lato"/>
          <w:color w:val="000000" w:themeColor="text1"/>
          <w:sz w:val="22"/>
          <w:szCs w:val="22"/>
        </w:rPr>
        <w:t xml:space="preserve"> - zależnie od testu) i automatyczna klasyfikacja uzyskanego wyniku (z uwzględnieniem wartości uzyskanych w poprzednich testach) do odpowiedniej grupy ryzyka występowania choroby. System klasyfikuje wyniki do czterech grup:</w:t>
      </w:r>
    </w:p>
    <w:p w14:paraId="2E4E6068" w14:textId="69F76A81" w:rsidR="005E347E" w:rsidRPr="00AA22C4" w:rsidRDefault="005A63B9" w:rsidP="00AA22C4">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1) </w:t>
      </w:r>
      <w:r w:rsidR="005E347E" w:rsidRPr="00AA22C4">
        <w:rPr>
          <w:rFonts w:ascii="Lato" w:hAnsi="Lato"/>
          <w:color w:val="000000" w:themeColor="text1"/>
          <w:sz w:val="22"/>
          <w:szCs w:val="22"/>
        </w:rPr>
        <w:t xml:space="preserve">wartość graniczna, czyli uzyskany wynik jest blisko granicy normy lub wynik jest niepewny (tzn.  duży rozrzut pojedynczych oznaczeń – CV &gt; 15%) – w takim przypadku bibuła jest klasyfikowana do powtórzenia w innej płytce; po powtórzeniu liczona jest wartość średnia </w:t>
      </w:r>
      <w:r w:rsidR="005E347E" w:rsidRPr="00AA22C4">
        <w:rPr>
          <w:rFonts w:ascii="Lato" w:hAnsi="Lato"/>
          <w:color w:val="000000" w:themeColor="text1"/>
          <w:sz w:val="22"/>
          <w:szCs w:val="22"/>
        </w:rPr>
        <w:br/>
        <w:t>i są odrzucane wartości odstające</w:t>
      </w:r>
      <w:r w:rsidRPr="00AA22C4">
        <w:rPr>
          <w:rFonts w:ascii="Lato" w:hAnsi="Lato"/>
          <w:color w:val="000000" w:themeColor="text1"/>
          <w:sz w:val="22"/>
          <w:szCs w:val="22"/>
        </w:rPr>
        <w:t>;</w:t>
      </w:r>
    </w:p>
    <w:p w14:paraId="0FD53792" w14:textId="53BDBEA3" w:rsidR="005E347E" w:rsidRPr="00AA22C4" w:rsidRDefault="005A63B9" w:rsidP="00AA22C4">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lastRenderedPageBreak/>
        <w:t xml:space="preserve">2) </w:t>
      </w:r>
      <w:r w:rsidR="005E347E" w:rsidRPr="00AA22C4">
        <w:rPr>
          <w:rFonts w:ascii="Lato" w:hAnsi="Lato"/>
          <w:color w:val="000000" w:themeColor="text1"/>
          <w:sz w:val="22"/>
          <w:szCs w:val="22"/>
        </w:rPr>
        <w:t>wynik w normie – bibuła nie wymaga dalszych badań</w:t>
      </w:r>
      <w:r w:rsidRPr="00AA22C4">
        <w:rPr>
          <w:rFonts w:ascii="Lato" w:hAnsi="Lato"/>
          <w:color w:val="000000" w:themeColor="text1"/>
          <w:sz w:val="22"/>
          <w:szCs w:val="22"/>
        </w:rPr>
        <w:t>;</w:t>
      </w:r>
    </w:p>
    <w:p w14:paraId="01C1A1F4" w14:textId="31476302" w:rsidR="005E347E" w:rsidRPr="00AA22C4" w:rsidRDefault="005A63B9" w:rsidP="00AA22C4">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3) </w:t>
      </w:r>
      <w:r w:rsidR="005E347E" w:rsidRPr="00AA22C4">
        <w:rPr>
          <w:rFonts w:ascii="Lato" w:hAnsi="Lato"/>
          <w:color w:val="000000" w:themeColor="text1"/>
          <w:sz w:val="22"/>
          <w:szCs w:val="22"/>
        </w:rPr>
        <w:t>wynik podwyższony – wynik jest poza normą ale prawdopodobieństwo wystąpienia choroby jest niskie; w takim przypadku system narzuca wykonanie powtórnego oznaczenia z nowej próbki krwi noworodka – do rodziców wysyłana jest nowa czysta bibuła na powtórne pobranie</w:t>
      </w:r>
      <w:r w:rsidRPr="00AA22C4">
        <w:rPr>
          <w:rFonts w:ascii="Lato" w:hAnsi="Lato"/>
          <w:color w:val="000000" w:themeColor="text1"/>
          <w:sz w:val="22"/>
          <w:szCs w:val="22"/>
        </w:rPr>
        <w:t>;</w:t>
      </w:r>
    </w:p>
    <w:p w14:paraId="7C6EACCF" w14:textId="628EE2D8" w:rsidR="005E347E" w:rsidRPr="00AA22C4" w:rsidRDefault="005A63B9" w:rsidP="00AA22C4">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4) </w:t>
      </w:r>
      <w:r w:rsidR="005E347E" w:rsidRPr="00AA22C4">
        <w:rPr>
          <w:rFonts w:ascii="Lato" w:hAnsi="Lato"/>
          <w:color w:val="000000" w:themeColor="text1"/>
          <w:sz w:val="22"/>
          <w:szCs w:val="22"/>
        </w:rPr>
        <w:t>wynik patologiczny – wynik wskazuje na duże prawdopodobieństwo wystąpienia choroby i jest wymagana dalsza diagnostyka potwierdzająca, np. wezwanie noworodka do kliniki lub wykonanie badań genetycznych lub wykonanie dodatkowych badań metodą tandemowej spektrometrii mas; system narzuca wykonanie odpowiednich procedur (zależnie od testu) i monitoruje ich wykonanie.</w:t>
      </w:r>
    </w:p>
    <w:p w14:paraId="3CE8709F"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9. Kontrola jakości wykonania testu – w każdej płytce są umieszczone próbki kontroli jakości służące do oceny prawidłowości wykonania testu. Kontrola jakości polega na sprawdzeniu uzyskanych wartości stężeń (zgodnie z zaleceniami producenta) i sprawdzenie okresowe (sprawdzenie trendów) zmian w wartościach stężeń próbek kontrolnych. W przypadku kontroli zewnętrznych dodatkowo uzyskane wartości są raportowane do odpowiednich instytucji organizujących kontrolę, które po zebraniu informacji z kilkudziesięciu laboratoriów odsyłają odpowiednie raporty.</w:t>
      </w:r>
    </w:p>
    <w:p w14:paraId="3C355210"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10. Klasyfikacja wsteczna wyników jest wykonywana dla testu IRT (badanie w kierunku mukowiscydozy). Ze względu na dużą zmienność uzyskiwanych wyników (zależną od daty produkcji odczynników, laboratorium, pory roku) w teście IRT oprócz normy ilościowej wyrażonej w stężeniu IRT jest używana norma populacyjna wyrażona w </w:t>
      </w:r>
      <w:proofErr w:type="spellStart"/>
      <w:r w:rsidRPr="00AA22C4">
        <w:rPr>
          <w:rFonts w:ascii="Lato" w:hAnsi="Lato"/>
          <w:color w:val="000000" w:themeColor="text1"/>
          <w:sz w:val="22"/>
          <w:szCs w:val="22"/>
        </w:rPr>
        <w:t>percentylach</w:t>
      </w:r>
      <w:proofErr w:type="spellEnd"/>
      <w:r w:rsidRPr="00AA22C4">
        <w:rPr>
          <w:rFonts w:ascii="Lato" w:hAnsi="Lato"/>
          <w:color w:val="000000" w:themeColor="text1"/>
          <w:sz w:val="22"/>
          <w:szCs w:val="22"/>
        </w:rPr>
        <w:t xml:space="preserve"> z rozkładu wyników. Oznacza to, że z każdego tygodnia wybierany jest określony stały procent wyników o najwyższym stężeniu IRT – dla tych wybranych bibuł są wykonywane dodatkowe badania genetyczne.</w:t>
      </w:r>
    </w:p>
    <w:p w14:paraId="649A0288" w14:textId="77777777" w:rsidR="005E347E" w:rsidRPr="00AA22C4" w:rsidRDefault="005E347E" w:rsidP="005E347E">
      <w:pPr>
        <w:pStyle w:val="Tekstprzypisudolnego"/>
        <w:spacing w:before="120" w:after="120"/>
        <w:jc w:val="both"/>
        <w:rPr>
          <w:rFonts w:ascii="Lato" w:hAnsi="Lato"/>
          <w:color w:val="000000" w:themeColor="text1"/>
          <w:kern w:val="28"/>
          <w:sz w:val="22"/>
          <w:szCs w:val="22"/>
        </w:rPr>
      </w:pPr>
      <w:bookmarkStart w:id="42" w:name="_Toc491892699"/>
      <w:r w:rsidRPr="00AA22C4">
        <w:rPr>
          <w:rFonts w:ascii="Lato" w:hAnsi="Lato"/>
          <w:color w:val="000000" w:themeColor="text1"/>
          <w:sz w:val="22"/>
          <w:szCs w:val="22"/>
        </w:rPr>
        <w:t xml:space="preserve">W przypadku wprowadzonego badania w kierunku rdzeniowego zaniku mięśni, które </w:t>
      </w:r>
      <w:r w:rsidRPr="00AA22C4">
        <w:rPr>
          <w:rFonts w:ascii="Lato" w:hAnsi="Lato"/>
          <w:color w:val="000000" w:themeColor="text1"/>
          <w:kern w:val="28"/>
          <w:sz w:val="22"/>
          <w:szCs w:val="22"/>
        </w:rPr>
        <w:t xml:space="preserve">całkowicie jest oparte o badania genetyczne, technika wykonania badania będzie się różnić. Badanie jest wykonywane z wykorzystaniem komercyjnego zestawu, opartego o technikę PCR uzupełnioną o analizę krzywych topnienia produktów amplifikacji (RT-PCR-HRM) fragmentów genów </w:t>
      </w:r>
      <w:r w:rsidRPr="00AA22C4">
        <w:rPr>
          <w:rFonts w:ascii="Lato" w:hAnsi="Lato"/>
          <w:i/>
          <w:iCs/>
          <w:color w:val="000000" w:themeColor="text1"/>
          <w:kern w:val="28"/>
          <w:sz w:val="22"/>
          <w:szCs w:val="22"/>
        </w:rPr>
        <w:t>SMN1</w:t>
      </w:r>
      <w:r w:rsidRPr="00AA22C4">
        <w:rPr>
          <w:rFonts w:ascii="Lato" w:hAnsi="Lato"/>
          <w:color w:val="000000" w:themeColor="text1"/>
          <w:kern w:val="28"/>
          <w:sz w:val="22"/>
          <w:szCs w:val="22"/>
        </w:rPr>
        <w:t xml:space="preserve"> i </w:t>
      </w:r>
      <w:r w:rsidRPr="00AA22C4">
        <w:rPr>
          <w:rFonts w:ascii="Lato" w:hAnsi="Lato"/>
          <w:i/>
          <w:iCs/>
          <w:color w:val="000000" w:themeColor="text1"/>
          <w:kern w:val="28"/>
          <w:sz w:val="22"/>
          <w:szCs w:val="22"/>
        </w:rPr>
        <w:t>SMN2</w:t>
      </w:r>
      <w:r w:rsidRPr="00AA22C4">
        <w:rPr>
          <w:rFonts w:ascii="Lato" w:hAnsi="Lato"/>
          <w:color w:val="000000" w:themeColor="text1"/>
          <w:kern w:val="28"/>
          <w:sz w:val="22"/>
          <w:szCs w:val="22"/>
        </w:rPr>
        <w:t xml:space="preserve">. Test umożliwia identyfikację 95 – 98% pacjentów z rdzeniowym zanikiem mięśni z homozygotyczną delecją genu </w:t>
      </w:r>
      <w:r w:rsidRPr="00AA22C4">
        <w:rPr>
          <w:rFonts w:ascii="Lato" w:hAnsi="Lato"/>
          <w:i/>
          <w:iCs/>
          <w:color w:val="000000" w:themeColor="text1"/>
          <w:kern w:val="28"/>
          <w:sz w:val="22"/>
          <w:szCs w:val="22"/>
        </w:rPr>
        <w:t>SMN1</w:t>
      </w:r>
      <w:r w:rsidRPr="00AA22C4">
        <w:rPr>
          <w:rFonts w:ascii="Lato" w:hAnsi="Lato"/>
          <w:color w:val="000000" w:themeColor="text1"/>
          <w:kern w:val="28"/>
          <w:sz w:val="22"/>
          <w:szCs w:val="22"/>
        </w:rPr>
        <w:t xml:space="preserve">. Natomiast nie umożliwia dokładnego określenia liczby kopii genu </w:t>
      </w:r>
      <w:r w:rsidRPr="00AA22C4">
        <w:rPr>
          <w:rFonts w:ascii="Lato" w:hAnsi="Lato"/>
          <w:i/>
          <w:iCs/>
          <w:color w:val="000000" w:themeColor="text1"/>
          <w:kern w:val="28"/>
          <w:sz w:val="22"/>
          <w:szCs w:val="22"/>
        </w:rPr>
        <w:t>SMN1</w:t>
      </w:r>
      <w:r w:rsidRPr="00AA22C4">
        <w:rPr>
          <w:rFonts w:ascii="Lato" w:hAnsi="Lato"/>
          <w:color w:val="000000" w:themeColor="text1"/>
          <w:kern w:val="28"/>
          <w:sz w:val="22"/>
          <w:szCs w:val="22"/>
        </w:rPr>
        <w:t xml:space="preserve"> i </w:t>
      </w:r>
      <w:r w:rsidRPr="00AA22C4">
        <w:rPr>
          <w:rFonts w:ascii="Lato" w:hAnsi="Lato"/>
          <w:i/>
          <w:iCs/>
          <w:color w:val="000000" w:themeColor="text1"/>
          <w:kern w:val="28"/>
          <w:sz w:val="22"/>
          <w:szCs w:val="22"/>
        </w:rPr>
        <w:t>SMN2</w:t>
      </w:r>
      <w:r w:rsidRPr="00AA22C4">
        <w:rPr>
          <w:rFonts w:ascii="Lato" w:hAnsi="Lato"/>
          <w:color w:val="000000" w:themeColor="text1"/>
          <w:kern w:val="28"/>
          <w:sz w:val="22"/>
          <w:szCs w:val="22"/>
        </w:rPr>
        <w:t xml:space="preserve">, z wyjątkiem sytuacji, gdy u osoby badanej brak jest kopii jednego z genów. Brak kopii genu </w:t>
      </w:r>
      <w:r w:rsidRPr="00AA22C4">
        <w:rPr>
          <w:rFonts w:ascii="Lato" w:hAnsi="Lato"/>
          <w:i/>
          <w:iCs/>
          <w:color w:val="000000" w:themeColor="text1"/>
          <w:kern w:val="28"/>
          <w:sz w:val="22"/>
          <w:szCs w:val="22"/>
        </w:rPr>
        <w:t>SMN1</w:t>
      </w:r>
      <w:r w:rsidRPr="00AA22C4">
        <w:rPr>
          <w:rFonts w:ascii="Lato" w:hAnsi="Lato"/>
          <w:color w:val="000000" w:themeColor="text1"/>
          <w:kern w:val="28"/>
          <w:sz w:val="22"/>
          <w:szCs w:val="22"/>
        </w:rPr>
        <w:t xml:space="preserve"> jest wskazaniem do weryfikacji wyniku badania z wykorzystaniem rutynowego testu diagnostycznego (MLPA). Brak kopii genu </w:t>
      </w:r>
      <w:r w:rsidRPr="00AA22C4">
        <w:rPr>
          <w:rFonts w:ascii="Lato" w:hAnsi="Lato"/>
          <w:i/>
          <w:iCs/>
          <w:color w:val="000000" w:themeColor="text1"/>
          <w:kern w:val="28"/>
          <w:sz w:val="22"/>
          <w:szCs w:val="22"/>
        </w:rPr>
        <w:t>SMN2</w:t>
      </w:r>
      <w:r w:rsidRPr="00AA22C4">
        <w:rPr>
          <w:rFonts w:ascii="Lato" w:hAnsi="Lato"/>
          <w:color w:val="000000" w:themeColor="text1"/>
          <w:kern w:val="28"/>
          <w:sz w:val="22"/>
          <w:szCs w:val="22"/>
        </w:rPr>
        <w:t xml:space="preserve"> nie będzie raportowany, gdyż nie wiąże się ze zwiększonym ryzykiem wystąpienia choroby i ma charakter </w:t>
      </w:r>
      <w:r w:rsidRPr="00AA22C4">
        <w:rPr>
          <w:rFonts w:ascii="Lato" w:hAnsi="Lato"/>
          <w:color w:val="000000" w:themeColor="text1"/>
          <w:kern w:val="28"/>
          <w:sz w:val="22"/>
          <w:szCs w:val="22"/>
        </w:rPr>
        <w:lastRenderedPageBreak/>
        <w:t xml:space="preserve">polimorficzny – na podstawie badań przeprowadzonych dla populacji polskiej około 10% osób nie ma kopii genu </w:t>
      </w:r>
      <w:r w:rsidRPr="00AA22C4">
        <w:rPr>
          <w:rFonts w:ascii="Lato" w:hAnsi="Lato"/>
          <w:i/>
          <w:iCs/>
          <w:color w:val="000000" w:themeColor="text1"/>
          <w:kern w:val="28"/>
          <w:sz w:val="22"/>
          <w:szCs w:val="22"/>
        </w:rPr>
        <w:t>SMN2</w:t>
      </w:r>
      <w:r w:rsidRPr="00AA22C4">
        <w:rPr>
          <w:rFonts w:ascii="Lato" w:hAnsi="Lato"/>
          <w:color w:val="000000" w:themeColor="text1"/>
          <w:kern w:val="28"/>
          <w:sz w:val="22"/>
          <w:szCs w:val="22"/>
        </w:rPr>
        <w:t xml:space="preserve"> (62).</w:t>
      </w:r>
    </w:p>
    <w:p w14:paraId="036009A1" w14:textId="77777777" w:rsidR="005E347E" w:rsidRPr="00AA22C4" w:rsidRDefault="005E347E" w:rsidP="005E347E">
      <w:pPr>
        <w:pStyle w:val="Tekstprzypisudolnego"/>
        <w:spacing w:before="120" w:after="120"/>
        <w:jc w:val="both"/>
        <w:rPr>
          <w:rFonts w:ascii="Lato" w:hAnsi="Lato"/>
          <w:b/>
          <w:bCs/>
          <w:color w:val="000000" w:themeColor="text1"/>
          <w:kern w:val="28"/>
          <w:sz w:val="22"/>
          <w:szCs w:val="22"/>
        </w:rPr>
      </w:pPr>
      <w:r w:rsidRPr="00AA22C4">
        <w:rPr>
          <w:rFonts w:ascii="Lato" w:hAnsi="Lato"/>
          <w:color w:val="000000" w:themeColor="text1"/>
          <w:kern w:val="28"/>
          <w:sz w:val="22"/>
          <w:szCs w:val="22"/>
        </w:rPr>
        <w:t xml:space="preserve">Test wykorzystywany do badania został </w:t>
      </w:r>
      <w:proofErr w:type="spellStart"/>
      <w:r w:rsidRPr="00AA22C4">
        <w:rPr>
          <w:rFonts w:ascii="Lato" w:hAnsi="Lato"/>
          <w:color w:val="000000" w:themeColor="text1"/>
          <w:kern w:val="28"/>
          <w:sz w:val="22"/>
          <w:szCs w:val="22"/>
        </w:rPr>
        <w:t>zwalidowany</w:t>
      </w:r>
      <w:proofErr w:type="spellEnd"/>
      <w:r w:rsidRPr="00AA22C4">
        <w:rPr>
          <w:rFonts w:ascii="Lato" w:hAnsi="Lato"/>
          <w:color w:val="000000" w:themeColor="text1"/>
          <w:kern w:val="28"/>
          <w:sz w:val="22"/>
          <w:szCs w:val="22"/>
        </w:rPr>
        <w:t xml:space="preserve"> w ZGM IMiD z wykorzystaniem próbek DNA izolowanych z krwi obwodowej oraz z wysuszonych kropli krwi pobranych na bibułę do badań przesiewowych.</w:t>
      </w:r>
    </w:p>
    <w:p w14:paraId="165E2063" w14:textId="77777777" w:rsidR="005E347E" w:rsidRPr="00AA22C4" w:rsidRDefault="005E347E" w:rsidP="005E347E">
      <w:pPr>
        <w:pStyle w:val="Tekstprzypisudolnego"/>
        <w:spacing w:before="120" w:after="120"/>
        <w:jc w:val="both"/>
        <w:rPr>
          <w:rFonts w:ascii="Lato" w:hAnsi="Lato"/>
          <w:color w:val="000000" w:themeColor="text1"/>
          <w:kern w:val="28"/>
          <w:sz w:val="22"/>
          <w:szCs w:val="22"/>
        </w:rPr>
      </w:pPr>
      <w:r w:rsidRPr="00AA22C4">
        <w:rPr>
          <w:rFonts w:ascii="Lato" w:hAnsi="Lato"/>
          <w:b/>
          <w:bCs/>
          <w:color w:val="000000" w:themeColor="text1"/>
          <w:kern w:val="28"/>
          <w:sz w:val="22"/>
          <w:szCs w:val="22"/>
        </w:rPr>
        <w:t>Metodologia testu:</w:t>
      </w:r>
      <w:r w:rsidRPr="00AA22C4">
        <w:rPr>
          <w:rFonts w:ascii="Lato" w:hAnsi="Lato"/>
          <w:color w:val="000000" w:themeColor="text1"/>
          <w:kern w:val="28"/>
          <w:sz w:val="22"/>
          <w:szCs w:val="22"/>
        </w:rPr>
        <w:t xml:space="preserve"> Do badania wykorzystywany jest preparat uzyskany z wysuszonych kropli krwi pobranych na bibułę (DBS), który przygotowywany jest zgodnie z instrukcją producenta zestawu. Test oparty jest o amplifikację fragmentów </w:t>
      </w:r>
      <w:proofErr w:type="spellStart"/>
      <w:r w:rsidRPr="00AA22C4">
        <w:rPr>
          <w:rFonts w:ascii="Lato" w:hAnsi="Lato"/>
          <w:color w:val="000000" w:themeColor="text1"/>
          <w:kern w:val="28"/>
          <w:sz w:val="22"/>
          <w:szCs w:val="22"/>
        </w:rPr>
        <w:t>eksonu</w:t>
      </w:r>
      <w:proofErr w:type="spellEnd"/>
      <w:r w:rsidRPr="00AA22C4">
        <w:rPr>
          <w:rFonts w:ascii="Lato" w:hAnsi="Lato"/>
          <w:color w:val="000000" w:themeColor="text1"/>
          <w:kern w:val="28"/>
          <w:sz w:val="22"/>
          <w:szCs w:val="22"/>
        </w:rPr>
        <w:t xml:space="preserve"> 7 genów </w:t>
      </w:r>
      <w:r w:rsidRPr="00AA22C4">
        <w:rPr>
          <w:rFonts w:ascii="Lato" w:hAnsi="Lato"/>
          <w:i/>
          <w:iCs/>
          <w:color w:val="000000" w:themeColor="text1"/>
          <w:kern w:val="28"/>
          <w:sz w:val="22"/>
          <w:szCs w:val="22"/>
        </w:rPr>
        <w:t>SMN1</w:t>
      </w:r>
      <w:r w:rsidRPr="00AA22C4">
        <w:rPr>
          <w:rFonts w:ascii="Lato" w:hAnsi="Lato"/>
          <w:color w:val="000000" w:themeColor="text1"/>
          <w:kern w:val="28"/>
          <w:sz w:val="22"/>
          <w:szCs w:val="22"/>
        </w:rPr>
        <w:t xml:space="preserve"> i </w:t>
      </w:r>
      <w:r w:rsidRPr="00AA22C4">
        <w:rPr>
          <w:rFonts w:ascii="Lato" w:hAnsi="Lato"/>
          <w:i/>
          <w:iCs/>
          <w:color w:val="000000" w:themeColor="text1"/>
          <w:kern w:val="28"/>
          <w:sz w:val="22"/>
          <w:szCs w:val="22"/>
        </w:rPr>
        <w:t>SMN2</w:t>
      </w:r>
      <w:r w:rsidRPr="00AA22C4">
        <w:rPr>
          <w:rFonts w:ascii="Lato" w:hAnsi="Lato"/>
          <w:color w:val="000000" w:themeColor="text1"/>
          <w:kern w:val="28"/>
          <w:sz w:val="22"/>
          <w:szCs w:val="22"/>
        </w:rPr>
        <w:t xml:space="preserve"> oraz wykorzystanie sondy znakowanej barwnikiem fluorescencyjnym Cy5, która przyłącza się do amplifikowanego regionu. Po reakcji PCR, temperatura jest obniżana do 35</w:t>
      </w:r>
      <w:r w:rsidRPr="00AA22C4">
        <w:rPr>
          <w:rFonts w:ascii="Lato" w:hAnsi="Lato"/>
          <w:color w:val="000000" w:themeColor="text1"/>
          <w:kern w:val="28"/>
          <w:sz w:val="22"/>
          <w:szCs w:val="22"/>
          <w:vertAlign w:val="superscript"/>
        </w:rPr>
        <w:t>0</w:t>
      </w:r>
      <w:r w:rsidRPr="00AA22C4">
        <w:rPr>
          <w:rFonts w:ascii="Lato" w:hAnsi="Lato"/>
          <w:color w:val="000000" w:themeColor="text1"/>
          <w:kern w:val="28"/>
          <w:sz w:val="22"/>
          <w:szCs w:val="22"/>
        </w:rPr>
        <w:t xml:space="preserve">C, zaś sonda przyłącza się do </w:t>
      </w:r>
      <w:proofErr w:type="spellStart"/>
      <w:r w:rsidRPr="00AA22C4">
        <w:rPr>
          <w:rFonts w:ascii="Lato" w:hAnsi="Lato"/>
          <w:color w:val="000000" w:themeColor="text1"/>
          <w:kern w:val="28"/>
          <w:sz w:val="22"/>
          <w:szCs w:val="22"/>
        </w:rPr>
        <w:t>amplikonów</w:t>
      </w:r>
      <w:proofErr w:type="spellEnd"/>
      <w:r w:rsidRPr="00AA22C4">
        <w:rPr>
          <w:rFonts w:ascii="Lato" w:hAnsi="Lato"/>
          <w:color w:val="000000" w:themeColor="text1"/>
          <w:kern w:val="28"/>
          <w:sz w:val="22"/>
          <w:szCs w:val="22"/>
        </w:rPr>
        <w:t xml:space="preserve"> znajdujących się w mieszaninie reakcyjnej. Skutkuje to znacznym wzrostem fluorescencji w zakresie &gt;600nm. Następnie temperatura mieszaniny reakcyjnej jest stopniowo podwyższana, związana sonda uwalniana, a tym samym fluorescencja maleje. Temperatura uwolnienia sondy (Tm – temperatura topnienia) zależy od sekwencji fragmentu, z którym się połączyła. W przypadku testu MC002 w pierwszej kolejności uwalniane są sondy związane z genem </w:t>
      </w:r>
      <w:r w:rsidRPr="00AA22C4">
        <w:rPr>
          <w:rFonts w:ascii="Lato" w:hAnsi="Lato"/>
          <w:i/>
          <w:iCs/>
          <w:color w:val="000000" w:themeColor="text1"/>
          <w:kern w:val="28"/>
          <w:sz w:val="22"/>
          <w:szCs w:val="22"/>
        </w:rPr>
        <w:t>SMN2</w:t>
      </w:r>
      <w:r w:rsidRPr="00AA22C4">
        <w:rPr>
          <w:rFonts w:ascii="Lato" w:hAnsi="Lato"/>
          <w:color w:val="000000" w:themeColor="text1"/>
          <w:kern w:val="28"/>
          <w:sz w:val="22"/>
          <w:szCs w:val="22"/>
        </w:rPr>
        <w:t xml:space="preserve"> (56</w:t>
      </w:r>
      <w:r w:rsidRPr="00AA22C4">
        <w:rPr>
          <w:rFonts w:ascii="Lato" w:hAnsi="Lato"/>
          <w:color w:val="000000" w:themeColor="text1"/>
          <w:kern w:val="28"/>
          <w:sz w:val="22"/>
          <w:szCs w:val="22"/>
          <w:vertAlign w:val="superscript"/>
        </w:rPr>
        <w:t>0</w:t>
      </w:r>
      <w:r w:rsidRPr="00AA22C4">
        <w:rPr>
          <w:rFonts w:ascii="Lato" w:hAnsi="Lato"/>
          <w:color w:val="000000" w:themeColor="text1"/>
          <w:kern w:val="28"/>
          <w:sz w:val="22"/>
          <w:szCs w:val="22"/>
        </w:rPr>
        <w:t xml:space="preserve">C), a następnie z </w:t>
      </w:r>
      <w:r w:rsidRPr="00AA22C4">
        <w:rPr>
          <w:rFonts w:ascii="Lato" w:hAnsi="Lato"/>
          <w:i/>
          <w:iCs/>
          <w:color w:val="000000" w:themeColor="text1"/>
          <w:kern w:val="28"/>
          <w:sz w:val="22"/>
          <w:szCs w:val="22"/>
        </w:rPr>
        <w:t>SMN1</w:t>
      </w:r>
      <w:r w:rsidRPr="00AA22C4">
        <w:rPr>
          <w:rFonts w:ascii="Lato" w:hAnsi="Lato"/>
          <w:color w:val="000000" w:themeColor="text1"/>
          <w:kern w:val="28"/>
          <w:sz w:val="22"/>
          <w:szCs w:val="22"/>
        </w:rPr>
        <w:t xml:space="preserve"> (63</w:t>
      </w:r>
      <w:r w:rsidRPr="00AA22C4">
        <w:rPr>
          <w:rFonts w:ascii="Lato" w:hAnsi="Lato"/>
          <w:color w:val="000000" w:themeColor="text1"/>
          <w:kern w:val="28"/>
          <w:sz w:val="22"/>
          <w:szCs w:val="22"/>
          <w:vertAlign w:val="superscript"/>
        </w:rPr>
        <w:t>0</w:t>
      </w:r>
      <w:r w:rsidRPr="00AA22C4">
        <w:rPr>
          <w:rFonts w:ascii="Lato" w:hAnsi="Lato"/>
          <w:color w:val="000000" w:themeColor="text1"/>
          <w:kern w:val="28"/>
          <w:sz w:val="22"/>
          <w:szCs w:val="22"/>
        </w:rPr>
        <w:t>C). Wykres poziomu fluorescencji jest analizowany przy użyciu oprogramowania aparatu do RT-PCR i przekształcany w wykres, na którym maksima krzywej odpowiadają temperaturom z najwyższym spadkiem fluorescencji. Obecność dwóch maksimów temperatury (56</w:t>
      </w:r>
      <w:r w:rsidRPr="00AA22C4">
        <w:rPr>
          <w:rFonts w:ascii="Lato" w:hAnsi="Lato"/>
          <w:color w:val="000000" w:themeColor="text1"/>
          <w:kern w:val="28"/>
          <w:sz w:val="22"/>
          <w:szCs w:val="22"/>
          <w:vertAlign w:val="superscript"/>
        </w:rPr>
        <w:t>0</w:t>
      </w:r>
      <w:r w:rsidRPr="00AA22C4">
        <w:rPr>
          <w:rFonts w:ascii="Lato" w:hAnsi="Lato"/>
          <w:color w:val="000000" w:themeColor="text1"/>
          <w:kern w:val="28"/>
          <w:sz w:val="22"/>
          <w:szCs w:val="22"/>
        </w:rPr>
        <w:t>C i 63</w:t>
      </w:r>
      <w:r w:rsidRPr="00AA22C4">
        <w:rPr>
          <w:rFonts w:ascii="Lato" w:hAnsi="Lato"/>
          <w:color w:val="000000" w:themeColor="text1"/>
          <w:kern w:val="28"/>
          <w:sz w:val="22"/>
          <w:szCs w:val="22"/>
          <w:vertAlign w:val="superscript"/>
        </w:rPr>
        <w:t>0</w:t>
      </w:r>
      <w:r w:rsidRPr="00AA22C4">
        <w:rPr>
          <w:rFonts w:ascii="Lato" w:hAnsi="Lato"/>
          <w:color w:val="000000" w:themeColor="text1"/>
          <w:kern w:val="28"/>
          <w:sz w:val="22"/>
          <w:szCs w:val="22"/>
        </w:rPr>
        <w:t xml:space="preserve">C) świadczy o obecności przynajmniej jednej kopii genów </w:t>
      </w:r>
      <w:r w:rsidRPr="00AA22C4">
        <w:rPr>
          <w:rFonts w:ascii="Lato" w:hAnsi="Lato"/>
          <w:i/>
          <w:iCs/>
          <w:color w:val="000000" w:themeColor="text1"/>
          <w:kern w:val="28"/>
          <w:sz w:val="22"/>
          <w:szCs w:val="22"/>
        </w:rPr>
        <w:t>SMN1</w:t>
      </w:r>
      <w:r w:rsidRPr="00AA22C4">
        <w:rPr>
          <w:rFonts w:ascii="Lato" w:hAnsi="Lato"/>
          <w:color w:val="000000" w:themeColor="text1"/>
          <w:kern w:val="28"/>
          <w:sz w:val="22"/>
          <w:szCs w:val="22"/>
        </w:rPr>
        <w:t xml:space="preserve"> i </w:t>
      </w:r>
      <w:r w:rsidRPr="00AA22C4">
        <w:rPr>
          <w:rFonts w:ascii="Lato" w:hAnsi="Lato"/>
          <w:i/>
          <w:iCs/>
          <w:color w:val="000000" w:themeColor="text1"/>
          <w:kern w:val="28"/>
          <w:sz w:val="22"/>
          <w:szCs w:val="22"/>
        </w:rPr>
        <w:t>SMN2</w:t>
      </w:r>
      <w:r w:rsidRPr="00AA22C4">
        <w:rPr>
          <w:rFonts w:ascii="Lato" w:hAnsi="Lato"/>
          <w:color w:val="000000" w:themeColor="text1"/>
          <w:kern w:val="28"/>
          <w:sz w:val="22"/>
          <w:szCs w:val="22"/>
        </w:rPr>
        <w:t>. Brak maksimum w temperaturze 56</w:t>
      </w:r>
      <w:r w:rsidRPr="00AA22C4">
        <w:rPr>
          <w:rFonts w:ascii="Lato" w:hAnsi="Lato"/>
          <w:color w:val="000000" w:themeColor="text1"/>
          <w:kern w:val="28"/>
          <w:sz w:val="22"/>
          <w:szCs w:val="22"/>
          <w:vertAlign w:val="superscript"/>
        </w:rPr>
        <w:t>0</w:t>
      </w:r>
      <w:r w:rsidRPr="00AA22C4">
        <w:rPr>
          <w:rFonts w:ascii="Lato" w:hAnsi="Lato"/>
          <w:color w:val="000000" w:themeColor="text1"/>
          <w:kern w:val="28"/>
          <w:sz w:val="22"/>
          <w:szCs w:val="22"/>
        </w:rPr>
        <w:t>C lub 63</w:t>
      </w:r>
      <w:r w:rsidRPr="00AA22C4">
        <w:rPr>
          <w:rFonts w:ascii="Lato" w:hAnsi="Lato"/>
          <w:color w:val="000000" w:themeColor="text1"/>
          <w:kern w:val="28"/>
          <w:sz w:val="22"/>
          <w:szCs w:val="22"/>
          <w:vertAlign w:val="superscript"/>
        </w:rPr>
        <w:t>0</w:t>
      </w:r>
      <w:r w:rsidRPr="00AA22C4">
        <w:rPr>
          <w:rFonts w:ascii="Lato" w:hAnsi="Lato"/>
          <w:color w:val="000000" w:themeColor="text1"/>
          <w:kern w:val="28"/>
          <w:sz w:val="22"/>
          <w:szCs w:val="22"/>
        </w:rPr>
        <w:t xml:space="preserve">C oznacza odpowiednio: brak genu </w:t>
      </w:r>
      <w:r w:rsidRPr="00AA22C4">
        <w:rPr>
          <w:rFonts w:ascii="Lato" w:hAnsi="Lato"/>
          <w:i/>
          <w:iCs/>
          <w:color w:val="000000" w:themeColor="text1"/>
          <w:kern w:val="28"/>
          <w:sz w:val="22"/>
          <w:szCs w:val="22"/>
        </w:rPr>
        <w:t>SMN2</w:t>
      </w:r>
      <w:r w:rsidRPr="00AA22C4">
        <w:rPr>
          <w:rFonts w:ascii="Lato" w:hAnsi="Lato"/>
          <w:color w:val="000000" w:themeColor="text1"/>
          <w:kern w:val="28"/>
          <w:sz w:val="22"/>
          <w:szCs w:val="22"/>
        </w:rPr>
        <w:t xml:space="preserve"> lub </w:t>
      </w:r>
      <w:r w:rsidRPr="00AA22C4">
        <w:rPr>
          <w:rFonts w:ascii="Lato" w:hAnsi="Lato"/>
          <w:i/>
          <w:iCs/>
          <w:color w:val="000000" w:themeColor="text1"/>
          <w:kern w:val="28"/>
          <w:sz w:val="22"/>
          <w:szCs w:val="22"/>
        </w:rPr>
        <w:t>SMN1</w:t>
      </w:r>
      <w:r w:rsidRPr="00AA22C4">
        <w:rPr>
          <w:rFonts w:ascii="Lato" w:hAnsi="Lato"/>
          <w:color w:val="000000" w:themeColor="text1"/>
          <w:kern w:val="28"/>
          <w:sz w:val="22"/>
          <w:szCs w:val="22"/>
        </w:rPr>
        <w:t>. Brak jakiegokolwiek maksimum na wykresie oznacza konieczność ponownego przeprowadzenia reakcji. Dodatkowo na tym wykresie może być obecny niski pik kontrolny (maksimum ok. 49</w:t>
      </w:r>
      <w:r w:rsidRPr="00AA22C4">
        <w:rPr>
          <w:rFonts w:ascii="Lato" w:hAnsi="Lato"/>
          <w:color w:val="000000" w:themeColor="text1"/>
          <w:kern w:val="28"/>
          <w:sz w:val="22"/>
          <w:szCs w:val="22"/>
          <w:vertAlign w:val="superscript"/>
        </w:rPr>
        <w:t>0</w:t>
      </w:r>
      <w:r w:rsidRPr="00AA22C4">
        <w:rPr>
          <w:rFonts w:ascii="Lato" w:hAnsi="Lato"/>
          <w:color w:val="000000" w:themeColor="text1"/>
          <w:kern w:val="28"/>
          <w:sz w:val="22"/>
          <w:szCs w:val="22"/>
        </w:rPr>
        <w:t>C), którego obecność wskazuje na prawidłowe przeprowadzenie testu i użycie odpowiedniej ilości DNA. Jeśli pik kontrolny jest wysoki i występuje jako jedyny, świadczy to o zbyt małej ilości DNA użytego do przeprowadzenia reakcji.</w:t>
      </w:r>
    </w:p>
    <w:p w14:paraId="340D209A" w14:textId="77777777" w:rsidR="005E347E" w:rsidRPr="00AA22C4" w:rsidRDefault="005E347E" w:rsidP="005E347E">
      <w:pPr>
        <w:pStyle w:val="Tekstprzypisudolnego"/>
        <w:spacing w:before="120" w:after="120"/>
        <w:jc w:val="both"/>
        <w:rPr>
          <w:rFonts w:ascii="Lato" w:hAnsi="Lato"/>
          <w:color w:val="000000" w:themeColor="text1"/>
          <w:kern w:val="28"/>
          <w:sz w:val="22"/>
          <w:szCs w:val="22"/>
        </w:rPr>
      </w:pPr>
      <w:r w:rsidRPr="00AA22C4">
        <w:rPr>
          <w:rFonts w:ascii="Lato" w:hAnsi="Lato"/>
          <w:color w:val="000000" w:themeColor="text1"/>
          <w:kern w:val="28"/>
          <w:sz w:val="22"/>
          <w:szCs w:val="22"/>
        </w:rPr>
        <w:t xml:space="preserve">Do każdej reakcji amplifikacji stosowane są odpowiednie kontrole: dołączone do zestawu kontrola pozytywna SD075 (homozygotyczna delecja genu </w:t>
      </w:r>
      <w:r w:rsidRPr="00AA22C4">
        <w:rPr>
          <w:rFonts w:ascii="Lato" w:hAnsi="Lato"/>
          <w:i/>
          <w:iCs/>
          <w:color w:val="000000" w:themeColor="text1"/>
          <w:kern w:val="28"/>
          <w:sz w:val="22"/>
          <w:szCs w:val="22"/>
        </w:rPr>
        <w:t>SMN1</w:t>
      </w:r>
      <w:r w:rsidRPr="00AA22C4">
        <w:rPr>
          <w:rFonts w:ascii="Lato" w:hAnsi="Lato"/>
          <w:color w:val="000000" w:themeColor="text1"/>
          <w:kern w:val="28"/>
          <w:sz w:val="22"/>
          <w:szCs w:val="22"/>
        </w:rPr>
        <w:t xml:space="preserve">) i kontrola negatywna SD074 (obecne 1 kopia genu </w:t>
      </w:r>
      <w:r w:rsidRPr="00AA22C4">
        <w:rPr>
          <w:rFonts w:ascii="Lato" w:hAnsi="Lato"/>
          <w:i/>
          <w:iCs/>
          <w:color w:val="000000" w:themeColor="text1"/>
          <w:kern w:val="28"/>
          <w:sz w:val="22"/>
          <w:szCs w:val="22"/>
        </w:rPr>
        <w:t>SMN1</w:t>
      </w:r>
      <w:r w:rsidRPr="00AA22C4">
        <w:rPr>
          <w:rFonts w:ascii="Lato" w:hAnsi="Lato"/>
          <w:color w:val="000000" w:themeColor="text1"/>
          <w:kern w:val="28"/>
          <w:sz w:val="22"/>
          <w:szCs w:val="22"/>
        </w:rPr>
        <w:t xml:space="preserve"> i 4 kopie genu </w:t>
      </w:r>
      <w:r w:rsidRPr="00AA22C4">
        <w:rPr>
          <w:rFonts w:ascii="Lato" w:hAnsi="Lato"/>
          <w:i/>
          <w:iCs/>
          <w:color w:val="000000" w:themeColor="text1"/>
          <w:kern w:val="28"/>
          <w:sz w:val="22"/>
          <w:szCs w:val="22"/>
        </w:rPr>
        <w:t>SMN2</w:t>
      </w:r>
      <w:r w:rsidRPr="00AA22C4">
        <w:rPr>
          <w:rFonts w:ascii="Lato" w:hAnsi="Lato"/>
          <w:color w:val="000000" w:themeColor="text1"/>
          <w:kern w:val="28"/>
          <w:sz w:val="22"/>
          <w:szCs w:val="22"/>
        </w:rPr>
        <w:t xml:space="preserve">). Każdorazowo jest także wykonywana kontrola czystości reakcji PCR (próbka bez DNA). </w:t>
      </w:r>
    </w:p>
    <w:p w14:paraId="76A874FB" w14:textId="77777777" w:rsidR="005E347E" w:rsidRPr="00AA22C4" w:rsidRDefault="005E347E" w:rsidP="005E347E">
      <w:pPr>
        <w:pStyle w:val="Tekstprzypisudolnego"/>
        <w:spacing w:before="120" w:after="120"/>
        <w:jc w:val="both"/>
        <w:rPr>
          <w:rFonts w:ascii="Lato" w:hAnsi="Lato"/>
          <w:color w:val="000000" w:themeColor="text1"/>
          <w:kern w:val="28"/>
          <w:sz w:val="22"/>
          <w:szCs w:val="22"/>
        </w:rPr>
      </w:pPr>
      <w:r w:rsidRPr="00AA22C4">
        <w:rPr>
          <w:rFonts w:ascii="Lato" w:hAnsi="Lato"/>
          <w:color w:val="000000" w:themeColor="text1"/>
          <w:kern w:val="28"/>
          <w:sz w:val="22"/>
          <w:szCs w:val="22"/>
        </w:rPr>
        <w:t xml:space="preserve">W teście opartym o technikę RT-PCR-HRM (pierwszym etapie badania przesiewowego) mogą pojawić się wyniki fałszywie pozytywne, co może wynikać z obecności rzadkich polimorfizmów pojedynczych nukleotydów w obrębie sekwencji komplementarnej względem stosowanych starterów lub sond. Zgodnie z informacją zawartą w instrukcji do zestawu taka sytuacja może zdarzyć się w mniej niż 1/5000 próbek. Z tego powodu dla wszystkich próbek dających wynik </w:t>
      </w:r>
      <w:r w:rsidRPr="00AA22C4">
        <w:rPr>
          <w:rFonts w:ascii="Lato" w:hAnsi="Lato"/>
          <w:color w:val="000000" w:themeColor="text1"/>
          <w:kern w:val="28"/>
          <w:sz w:val="22"/>
          <w:szCs w:val="22"/>
        </w:rPr>
        <w:lastRenderedPageBreak/>
        <w:t xml:space="preserve">pozytywny, przeprowadzana jest weryfikacja wyniku z wykorzystaniem techniki MLPA (zestaw P021). Jest to podejście stosowane przez laboratoria zajmujące się badaniami przesiewowymi noworodków w kierunku SMA, jak również rekomendowane w protokole do testu przesiewowego (65-67, 71, 75, 76). W przypadkach wątpliwych (niski sygnał dla genu </w:t>
      </w:r>
      <w:r w:rsidRPr="00AA22C4">
        <w:rPr>
          <w:rFonts w:ascii="Lato" w:hAnsi="Lato"/>
          <w:i/>
          <w:iCs/>
          <w:color w:val="000000" w:themeColor="text1"/>
          <w:kern w:val="28"/>
          <w:sz w:val="22"/>
          <w:szCs w:val="22"/>
        </w:rPr>
        <w:t xml:space="preserve">SMN1 </w:t>
      </w:r>
      <w:r w:rsidRPr="00AA22C4">
        <w:rPr>
          <w:rFonts w:ascii="Lato" w:hAnsi="Lato"/>
          <w:color w:val="000000" w:themeColor="text1"/>
          <w:kern w:val="28"/>
          <w:sz w:val="22"/>
          <w:szCs w:val="22"/>
        </w:rPr>
        <w:t>dodatkowo stosowany jest test z wykorzystaniem techniki PCR-ACRS, która była stosowana jako rutynowa technika diagnostyczna w przypadku podejrzenia SMA przed wdrożeniem testów opartych o technikę MLPA (62).</w:t>
      </w:r>
    </w:p>
    <w:p w14:paraId="379CB480" w14:textId="77777777" w:rsidR="005E347E" w:rsidRPr="00AA22C4" w:rsidRDefault="005E347E" w:rsidP="005E347E">
      <w:pPr>
        <w:jc w:val="both"/>
        <w:rPr>
          <w:rFonts w:ascii="Lato" w:hAnsi="Lato"/>
          <w:color w:val="000000" w:themeColor="text1"/>
          <w:sz w:val="22"/>
          <w:szCs w:val="22"/>
        </w:rPr>
      </w:pPr>
      <w:r w:rsidRPr="00AA22C4">
        <w:rPr>
          <w:rFonts w:ascii="Lato" w:hAnsi="Lato"/>
          <w:color w:val="000000" w:themeColor="text1"/>
          <w:sz w:val="22"/>
          <w:szCs w:val="22"/>
        </w:rPr>
        <w:t xml:space="preserve">Wynik MLPA potwierdzający obecność </w:t>
      </w:r>
      <w:proofErr w:type="spellStart"/>
      <w:r w:rsidRPr="00AA22C4">
        <w:rPr>
          <w:rFonts w:ascii="Lato" w:hAnsi="Lato"/>
          <w:color w:val="000000" w:themeColor="text1"/>
          <w:sz w:val="22"/>
          <w:szCs w:val="22"/>
        </w:rPr>
        <w:t>homozygotyczej</w:t>
      </w:r>
      <w:proofErr w:type="spellEnd"/>
      <w:r w:rsidRPr="00AA22C4">
        <w:rPr>
          <w:rFonts w:ascii="Lato" w:hAnsi="Lato"/>
          <w:color w:val="000000" w:themeColor="text1"/>
          <w:sz w:val="22"/>
          <w:szCs w:val="22"/>
        </w:rPr>
        <w:t xml:space="preserve"> delecji </w:t>
      </w:r>
      <w:proofErr w:type="spellStart"/>
      <w:r w:rsidRPr="00AA22C4">
        <w:rPr>
          <w:rFonts w:ascii="Lato" w:hAnsi="Lato"/>
          <w:color w:val="000000" w:themeColor="text1"/>
          <w:sz w:val="22"/>
          <w:szCs w:val="22"/>
        </w:rPr>
        <w:t>eksonu</w:t>
      </w:r>
      <w:proofErr w:type="spellEnd"/>
      <w:r w:rsidRPr="00AA22C4">
        <w:rPr>
          <w:rFonts w:ascii="Lato" w:hAnsi="Lato"/>
          <w:color w:val="000000" w:themeColor="text1"/>
          <w:sz w:val="22"/>
          <w:szCs w:val="22"/>
        </w:rPr>
        <w:t xml:space="preserve"> 7 genu </w:t>
      </w:r>
      <w:r w:rsidRPr="00AA22C4">
        <w:rPr>
          <w:rFonts w:ascii="Lato" w:hAnsi="Lato"/>
          <w:i/>
          <w:iCs/>
          <w:color w:val="000000" w:themeColor="text1"/>
          <w:sz w:val="22"/>
          <w:szCs w:val="22"/>
        </w:rPr>
        <w:t>SMN1</w:t>
      </w:r>
      <w:r w:rsidRPr="00AA22C4">
        <w:rPr>
          <w:rFonts w:ascii="Lato" w:hAnsi="Lato"/>
          <w:color w:val="000000" w:themeColor="text1"/>
          <w:sz w:val="22"/>
          <w:szCs w:val="22"/>
        </w:rPr>
        <w:t xml:space="preserve"> jest wskazaniem do wezwania pacjenta do ośrodka zajmującego się leczeniem SMA (lista ośrodków ustalona we współpracy z Zespołem Koordynacyjnym ds. leczenia chorych na rdzeniowy zanik mięśni) w celu oceny klinicznej noworodka oraz pobrania krwi żylnej na badanie weryfikujące. Badanie wykonywane jest za pomocą testu MLPA z wykorzystaniem DNA izolowanego z krwi żylnej. Odbywa się w Zakładzie Genetyki Medycznej IMiD, który ma ponad 20-letnie doświadczenie w diagnostyce molekularnej rdzeniowego zaniku mięśni (SMA) oraz regularnie poddaje się testom kontroli jakości organizowanym przez </w:t>
      </w:r>
      <w:proofErr w:type="spellStart"/>
      <w:r w:rsidRPr="00AA22C4">
        <w:rPr>
          <w:rFonts w:ascii="Lato" w:hAnsi="Lato"/>
          <w:color w:val="000000" w:themeColor="text1"/>
          <w:sz w:val="22"/>
          <w:szCs w:val="22"/>
        </w:rPr>
        <w:t>European</w:t>
      </w:r>
      <w:proofErr w:type="spellEnd"/>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Molecular</w:t>
      </w:r>
      <w:proofErr w:type="spellEnd"/>
      <w:r w:rsidRPr="00AA22C4">
        <w:rPr>
          <w:rFonts w:ascii="Lato" w:hAnsi="Lato"/>
          <w:color w:val="000000" w:themeColor="text1"/>
          <w:sz w:val="22"/>
          <w:szCs w:val="22"/>
        </w:rPr>
        <w:t xml:space="preserve"> Genetics </w:t>
      </w:r>
      <w:proofErr w:type="spellStart"/>
      <w:r w:rsidRPr="00AA22C4">
        <w:rPr>
          <w:rFonts w:ascii="Lato" w:hAnsi="Lato"/>
          <w:color w:val="000000" w:themeColor="text1"/>
          <w:sz w:val="22"/>
          <w:szCs w:val="22"/>
        </w:rPr>
        <w:t>Quality</w:t>
      </w:r>
      <w:proofErr w:type="spellEnd"/>
      <w:r w:rsidRPr="00AA22C4">
        <w:rPr>
          <w:rFonts w:ascii="Lato" w:hAnsi="Lato"/>
          <w:color w:val="000000" w:themeColor="text1"/>
          <w:sz w:val="22"/>
          <w:szCs w:val="22"/>
        </w:rPr>
        <w:t xml:space="preserve"> Network (EMQN), z którego uzyskuje wyniki pozytywne potwierdzone certyfikatem jakości. Wynik badania natychmiast przekazywany jest do ośrodka kierującego, który w zależności od liczby kopii genu </w:t>
      </w:r>
      <w:r w:rsidRPr="00AA22C4">
        <w:rPr>
          <w:rFonts w:ascii="Lato" w:hAnsi="Lato"/>
          <w:i/>
          <w:iCs/>
          <w:color w:val="000000" w:themeColor="text1"/>
          <w:sz w:val="22"/>
          <w:szCs w:val="22"/>
        </w:rPr>
        <w:t>SMN2</w:t>
      </w:r>
      <w:r w:rsidRPr="00AA22C4">
        <w:rPr>
          <w:rFonts w:ascii="Lato" w:hAnsi="Lato"/>
          <w:color w:val="000000" w:themeColor="text1"/>
          <w:sz w:val="22"/>
          <w:szCs w:val="22"/>
        </w:rPr>
        <w:t xml:space="preserve">, wdraża odpowiednie postępowanie (leczenie lub obserwacja). </w:t>
      </w:r>
    </w:p>
    <w:p w14:paraId="11C55AF5" w14:textId="77777777" w:rsidR="005E347E" w:rsidRPr="00AA22C4" w:rsidRDefault="005E347E" w:rsidP="005E347E">
      <w:pPr>
        <w:jc w:val="both"/>
        <w:rPr>
          <w:rFonts w:ascii="Lato" w:hAnsi="Lato"/>
          <w:color w:val="000000" w:themeColor="text1"/>
          <w:sz w:val="22"/>
          <w:szCs w:val="22"/>
        </w:rPr>
      </w:pPr>
      <w:r w:rsidRPr="00AA22C4">
        <w:rPr>
          <w:rFonts w:ascii="Lato" w:hAnsi="Lato"/>
          <w:color w:val="000000" w:themeColor="text1"/>
          <w:sz w:val="22"/>
          <w:szCs w:val="22"/>
        </w:rPr>
        <w:t xml:space="preserve">W przypadku rdzeniowego zaniku mięśni nie jest konieczne prowadzenie dodatkowych badań (biochemicznych lub molekularnych) monitorujących przebieg leczenia. W chwili obecnej dalsze śledzenie losów pacjenta opiera się na ocenie jego stanu klinicznego w trakcie kolejnych wizyt </w:t>
      </w:r>
      <w:r w:rsidRPr="00AA22C4">
        <w:rPr>
          <w:rFonts w:ascii="Lato" w:hAnsi="Lato"/>
          <w:color w:val="000000" w:themeColor="text1"/>
          <w:sz w:val="22"/>
          <w:szCs w:val="22"/>
        </w:rPr>
        <w:br/>
        <w:t xml:space="preserve">w ośrodku regionalnym. </w:t>
      </w:r>
    </w:p>
    <w:p w14:paraId="5B3F3548" w14:textId="77777777" w:rsidR="005E347E" w:rsidRPr="00AA22C4" w:rsidRDefault="005E347E" w:rsidP="005E347E">
      <w:pPr>
        <w:pStyle w:val="Tekstprzypisudolnego"/>
        <w:spacing w:before="120" w:after="120"/>
        <w:jc w:val="both"/>
        <w:rPr>
          <w:rFonts w:ascii="Lato" w:hAnsi="Lato"/>
          <w:b/>
          <w:bCs/>
          <w:color w:val="000000" w:themeColor="text1"/>
          <w:sz w:val="22"/>
          <w:szCs w:val="22"/>
        </w:rPr>
      </w:pPr>
      <w:r w:rsidRPr="00AA22C4">
        <w:rPr>
          <w:rFonts w:ascii="Lato" w:hAnsi="Lato"/>
          <w:b/>
          <w:bCs/>
          <w:color w:val="000000" w:themeColor="text1"/>
          <w:sz w:val="22"/>
          <w:szCs w:val="22"/>
        </w:rPr>
        <w:t>Powiadamianie i wezwanie dziecka.</w:t>
      </w:r>
      <w:bookmarkEnd w:id="42"/>
    </w:p>
    <w:p w14:paraId="22EBE18D"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W przypadku, gdy jest wymagane wysłanie do rodzica lub opiekunów prawnych czystej bibuły na powtórne pobranie krwi (z powodu złego pobrania w szpitalu, zagubienia bibuły pobranej w szpitalu lub podwyższonego wyniku w teście przesiewowym), system umożliwia wprowadzenie adresu zamieszkania opiekuna używanego do korespondencji listownej – do opiekuna jest wysyłany list z informacją o konieczności pobrania krwi wraz z czystą bibułą i naklejoną etykietą z kodem paskowym. W sytuacji gdy wyniki badań powtórnych wykonanych z krwi pobranej na kolejną bibułę są w normie, do opiekunów prawnych dziecka wysyłana jest informacja o uzyskaniu z badań powtórnych wyników w normie i zakończeniu badań.</w:t>
      </w:r>
    </w:p>
    <w:p w14:paraId="4E38A242"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Do rodziców lub opiekunów prawnych jest wysyłana również prośba o wyrażenie zgody na badania genetyczne w przypadku, gdy potrzebne jest wykonanie badań genetycznych, a rodzic lub opiekun prawny nie wyraził zgody na bibule pobranej w szpitalu.</w:t>
      </w:r>
    </w:p>
    <w:p w14:paraId="6DB5951E" w14:textId="77777777" w:rsidR="005E347E" w:rsidRPr="00AA22C4" w:rsidRDefault="005E347E" w:rsidP="005E347E">
      <w:pPr>
        <w:pStyle w:val="Tekstprzypisudolnego"/>
        <w:jc w:val="both"/>
        <w:rPr>
          <w:rFonts w:ascii="Lato" w:hAnsi="Lato"/>
          <w:color w:val="000000" w:themeColor="text1"/>
          <w:sz w:val="22"/>
          <w:szCs w:val="22"/>
        </w:rPr>
      </w:pPr>
      <w:r w:rsidRPr="00AA22C4">
        <w:rPr>
          <w:rFonts w:ascii="Lato" w:hAnsi="Lato"/>
          <w:color w:val="000000" w:themeColor="text1"/>
          <w:sz w:val="22"/>
          <w:szCs w:val="22"/>
        </w:rPr>
        <w:lastRenderedPageBreak/>
        <w:t>Rodzic lub opiekunowie prawni dziecka mają możliwość uzyskania informacji telefonicznie, mailowo lub pisemnie o tym czy badania przesiewowe ich dziecka zostały wykonane (po ich zweryfikowaniu na podstawie numeru bibuły oraz dodatkowo peselu rodzica i daty i miejsca urodzenia dziecka). Po zweryfikowaniu i poinformowaniu rozmówcy o badaniach informacja z kim i kiedy została przeprowadzona rozmowa zostaje zapisana w komputerowej bazie przesiewowej.</w:t>
      </w:r>
    </w:p>
    <w:p w14:paraId="6A268340" w14:textId="73170D11"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Obecnie wezwania do Kliniki/Poradni Specjalistycznych na dalsze badania diagnostyczne są wykonywane telefonicznie (każdy kontakt z opiekunami prawnymi i lekarzami rejestrowany jest w systemie). W szczególnych sytuacjach związanych z realizacją programu badań przesiewowych, jak na przykład konieczność wezwania dziecka do dalszej diagnostyki, uprawniony pracownik laboratorium przesiewowego przekazuje telefonicznie informację o konieczności pilnej weryfikacji nieprawidłowego wyniku badania lekarzowi współpracującemu w ramach realizacji badań przesiewowych. Do odpowiedniej Kliniki lub Poradni Specjalistycznej, do której jest wzywany rodzic lub opiekun prawny z noworodkiem, przekazywana jest telefonicznie informacja (po zweryfikowaniu lekarza przekazywane są dane dotyczące pacjenta), a następnie jest kierowana korespondencja (listem, faksem lub mailem) z danymi dziecka i uzyskanymi wynikami badań stanowiących podstawę podejrzenia choroby. Dodatkowo do lekarza w Klinice/lub Poradni Specjalistycznej jest kierowany formularz zwrotny, na którym lekarz obowiązany jest podać do laboratorium datę zgłoszenia się rodziców lub opiekunów prawnych i informację o wykonanych badaniach oraz diagnozie wstępnej (wynika to z obowiązku monitorowania programu przesiewowego). Dopiero po wprowadzeniu tych informacji do systemu następuje zakończenie procedury badań przesiewowych noworodka i ewentualnie rozpoczyna się etap monitorowania przebiegu leczenia dziecka, który trwa do 18</w:t>
      </w:r>
      <w:r w:rsidR="00A04888" w:rsidRPr="00AA22C4">
        <w:rPr>
          <w:rFonts w:ascii="Lato" w:hAnsi="Lato"/>
          <w:color w:val="000000" w:themeColor="text1"/>
          <w:sz w:val="22"/>
          <w:szCs w:val="22"/>
        </w:rPr>
        <w:t>.</w:t>
      </w:r>
      <w:r w:rsidRPr="00AA22C4">
        <w:rPr>
          <w:rFonts w:ascii="Lato" w:hAnsi="Lato"/>
          <w:color w:val="000000" w:themeColor="text1"/>
          <w:sz w:val="22"/>
          <w:szCs w:val="22"/>
        </w:rPr>
        <w:t xml:space="preserve"> </w:t>
      </w:r>
      <w:r w:rsidR="00A04888" w:rsidRPr="00AA22C4">
        <w:rPr>
          <w:rFonts w:ascii="Lato" w:hAnsi="Lato"/>
          <w:color w:val="000000" w:themeColor="text1"/>
          <w:sz w:val="22"/>
          <w:szCs w:val="22"/>
        </w:rPr>
        <w:t>r.</w:t>
      </w:r>
      <w:r w:rsidRPr="00AA22C4">
        <w:rPr>
          <w:rFonts w:ascii="Lato" w:hAnsi="Lato"/>
          <w:color w:val="000000" w:themeColor="text1"/>
          <w:sz w:val="22"/>
          <w:szCs w:val="22"/>
        </w:rPr>
        <w:t xml:space="preserve"> ż.</w:t>
      </w:r>
    </w:p>
    <w:p w14:paraId="6286290E" w14:textId="77777777" w:rsidR="005E347E" w:rsidRPr="00AA22C4" w:rsidRDefault="005E347E" w:rsidP="005E347E">
      <w:pPr>
        <w:pStyle w:val="Tekstprzypisudolnego"/>
        <w:spacing w:before="120" w:after="120"/>
        <w:jc w:val="both"/>
        <w:rPr>
          <w:rFonts w:ascii="Lato" w:hAnsi="Lato"/>
          <w:b/>
          <w:bCs/>
          <w:color w:val="000000" w:themeColor="text1"/>
          <w:sz w:val="22"/>
          <w:szCs w:val="22"/>
        </w:rPr>
      </w:pPr>
      <w:bookmarkStart w:id="43" w:name="_Toc491892700"/>
      <w:r w:rsidRPr="00AA22C4">
        <w:rPr>
          <w:rFonts w:ascii="Lato" w:hAnsi="Lato"/>
          <w:b/>
          <w:bCs/>
          <w:color w:val="000000" w:themeColor="text1"/>
          <w:sz w:val="22"/>
          <w:szCs w:val="22"/>
        </w:rPr>
        <w:t>Kontrola komputerowa obiegu prób krwi i diagnostyki potwierdzającej.</w:t>
      </w:r>
      <w:bookmarkEnd w:id="43"/>
    </w:p>
    <w:p w14:paraId="4FE1F320" w14:textId="3C836A53" w:rsidR="005E347E" w:rsidRPr="00AA22C4" w:rsidRDefault="00B01154"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Właściwe </w:t>
      </w:r>
      <w:r w:rsidR="005E347E" w:rsidRPr="00AA22C4">
        <w:rPr>
          <w:rFonts w:ascii="Lato" w:hAnsi="Lato"/>
          <w:color w:val="000000" w:themeColor="text1"/>
          <w:sz w:val="22"/>
          <w:szCs w:val="22"/>
        </w:rPr>
        <w:t>oprogramowanie zapewnia pełną kontrolę procedury przesiewowej przez rejestr i nadzór zwrotu etykiet (próbek krwi), automatyczne śledzenie próbki w laboratorium, kontrolę etapów przesiewu od urodzin do wyniku testu oraz diagnozy i rozpoczęcia leczenia.</w:t>
      </w:r>
    </w:p>
    <w:p w14:paraId="2A38E1D3"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W przypadku wysyłania do rodzica lub opiekuna prawnego czystej bibuły na powtórne pobranie próbki krwi system monitoruje (na podstawie kodu paskowego) czy wysłana bibuła powróciła do laboratorium. Jeśli bibuła nie wraca w określonym czasie to następuje etap ponaglania rodzica lub opiekuna prawnego do przysłania bibuły (telefonicznie i/lub listownie) lub w przypadku zagubienia albo zniszczenia bibuły jest ponawiana procedura wysłania nowej czystej bibuły aż do uzyskania nowej próbki krwi lub do uzyskania pisemnej odmowy pobrania próbki </w:t>
      </w:r>
      <w:r w:rsidRPr="00AA22C4">
        <w:rPr>
          <w:rFonts w:ascii="Lato" w:hAnsi="Lato"/>
          <w:color w:val="000000" w:themeColor="text1"/>
          <w:sz w:val="22"/>
          <w:szCs w:val="22"/>
        </w:rPr>
        <w:lastRenderedPageBreak/>
        <w:t>krwi. W przypadku odmowy pobrania krwi fakt ten jest rejestrowany w systemie i system zaprzestaje monitorowania próbki.</w:t>
      </w:r>
    </w:p>
    <w:p w14:paraId="633C3544"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W przypadku braku zgody na badanie molekularne, na rewersie bibuły przesiewowej, która uniemożliwia wykonanie badania w kierunku SMA, po skierowaniu prośby o przekazanie pisemnie zgody lub odmowy, czas oczekiwania na odpowiedź wynosi 3 miesiące. Po tym okresie w systemie jest automatycznie likwidowana flaga „czeka na wykonanie”. </w:t>
      </w:r>
    </w:p>
    <w:p w14:paraId="17D454D6" w14:textId="21ACF0EF"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Zgodnie z przyjętą w Rzecz</w:t>
      </w:r>
      <w:r w:rsidR="007A48CA" w:rsidRPr="00AA22C4">
        <w:rPr>
          <w:rFonts w:ascii="Lato" w:hAnsi="Lato"/>
          <w:color w:val="000000" w:themeColor="text1"/>
          <w:sz w:val="22"/>
          <w:szCs w:val="22"/>
        </w:rPr>
        <w:t>y</w:t>
      </w:r>
      <w:r w:rsidRPr="00AA22C4">
        <w:rPr>
          <w:rFonts w:ascii="Lato" w:hAnsi="Lato"/>
          <w:color w:val="000000" w:themeColor="text1"/>
          <w:sz w:val="22"/>
          <w:szCs w:val="22"/>
        </w:rPr>
        <w:t>pospolitej Polskiej procedurą, gdy masa urodzeniowa noworodka jest niższa niż 1500 g jest wymagane powtórne pobranie krwi w wieku około 1 miesiąca życia, przed opuszczeniem szpitala (zależnie od ciężaru urodzenia i stanu dziecka). Nadesłanie powtórnego pobrania jest monitorowane w systemie.</w:t>
      </w:r>
    </w:p>
    <w:p w14:paraId="47C75522"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Okresowo jest monitorowane w systemie kompletność kodów zwróconych ze szpitala do laboratorium. W przypadku powstania nieciągłości w numeracji kodów program umożliwia wyszukiwanie brakujących kodów. Każdy brakujący kod musi być wyjaśniony (telefonicznie) z oddziałem noworodkowym, do którego kod został wysłany. W przypadku zniszczenia kodu (lub bibuły z kodem) bez przypisania do noworodka, informacja o zniszczeniu kodu jest wprowadzana do systemu. W przypadku przesłania kodu do innego oddziału następuje uzgodnienie z nowym oddziałem czasu pobrania próbki krwi noworodka. W przypadku, gdy brakujący kod został wydany matce/opiekunowi prawnemu bez pobrania na oddziale to dane rodzica/opiekuna wprowadzane są do systemu i następnie system monitoruje dostarczenie tego kodu lub umożliwia wysłanie do rodzica/opiekuna nowej czystej bibuły z kodem.</w:t>
      </w:r>
    </w:p>
    <w:p w14:paraId="4519C674"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System kontroluje również kompletność badań wykonanych u noworodka, czyli czy noworodek miał wykonany pełen zakres badań. Oznacza to, że jest sprawdzane czy oprócz badań wykonanych w ośrodku regionalnym ten sam noworodek ma wykonane badanie metodą tandemowej spektrometrii mas.</w:t>
      </w:r>
    </w:p>
    <w:p w14:paraId="08DF2676"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System generuje również listę próbek krwi przekazywanych na badania genetyczne wykonywanych w specjalistycznym laboratorium. Po przekazaniu listy na badania genetyczne system pozwala na wprowadzenie wyników znalezionych mutacji i monitoruje czy badanie genetyczne zostało wykonane.</w:t>
      </w:r>
    </w:p>
    <w:p w14:paraId="73D339EE" w14:textId="77777777" w:rsidR="005E347E" w:rsidRPr="00AA22C4" w:rsidRDefault="005E347E" w:rsidP="005E347E">
      <w:pPr>
        <w:pStyle w:val="Tekstprzypisudolnego"/>
        <w:spacing w:before="120" w:after="120"/>
        <w:jc w:val="both"/>
        <w:rPr>
          <w:rFonts w:ascii="Lato" w:hAnsi="Lato"/>
          <w:b/>
          <w:bCs/>
          <w:color w:val="000000" w:themeColor="text1"/>
          <w:sz w:val="22"/>
          <w:szCs w:val="22"/>
        </w:rPr>
      </w:pPr>
      <w:bookmarkStart w:id="44" w:name="_Toc491892701"/>
      <w:r w:rsidRPr="00AA22C4">
        <w:rPr>
          <w:rFonts w:ascii="Lato" w:hAnsi="Lato"/>
          <w:b/>
          <w:bCs/>
          <w:color w:val="000000" w:themeColor="text1"/>
          <w:sz w:val="22"/>
          <w:szCs w:val="22"/>
        </w:rPr>
        <w:t>Monitorowanie leczenia</w:t>
      </w:r>
      <w:bookmarkEnd w:id="44"/>
    </w:p>
    <w:p w14:paraId="09626117"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System umożliwia prowadzenie rejestru leczonych noworodków wykrytych w trakcie badań przesiewowych jak i pacjentów starszych, urodzonych przed wprowadzeniem systemu. Do każdego leczonego przypisywana jest pula kodów naklejonych na bibułę przy kolejnej wizycie w poradni. Rodzice lub pacjent może następnie te bibuły przysyłać bezpośrednio do laboratorium </w:t>
      </w:r>
      <w:r w:rsidRPr="00AA22C4">
        <w:rPr>
          <w:rFonts w:ascii="Lato" w:hAnsi="Lato"/>
          <w:color w:val="000000" w:themeColor="text1"/>
          <w:sz w:val="22"/>
          <w:szCs w:val="22"/>
        </w:rPr>
        <w:lastRenderedPageBreak/>
        <w:t>przesiewowego, które wykona odpowiednie testy – bibuły włączane są do rutynowych testów przesiewowych, dzięki czemu czas oczekiwania na wynik jest skrócony do minimum. Po wykonaniu testów wynik badania jest odsyłany do lekarza zlecającego.</w:t>
      </w:r>
    </w:p>
    <w:p w14:paraId="1E336C20"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Szczególne monitorowanie leczenia obejmuje pacjentów z fenyloketonurią (PKU), u których oznaczany jest poziom fenyloalaniny, w celu kontroli diety i odpowiedniej korekty przez dietetyka.</w:t>
      </w:r>
    </w:p>
    <w:p w14:paraId="35C7C704" w14:textId="77777777" w:rsidR="005E347E" w:rsidRPr="00AA22C4" w:rsidRDefault="005E347E" w:rsidP="005E347E">
      <w:pPr>
        <w:pStyle w:val="Tekstprzypisudolnego"/>
        <w:spacing w:before="120" w:after="120"/>
        <w:jc w:val="both"/>
        <w:rPr>
          <w:rFonts w:ascii="Lato" w:hAnsi="Lato"/>
          <w:b/>
          <w:bCs/>
          <w:color w:val="000000" w:themeColor="text1"/>
          <w:sz w:val="22"/>
          <w:szCs w:val="22"/>
        </w:rPr>
      </w:pPr>
      <w:bookmarkStart w:id="45" w:name="_Toc491892702"/>
      <w:r w:rsidRPr="00AA22C4">
        <w:rPr>
          <w:rFonts w:ascii="Lato" w:hAnsi="Lato"/>
          <w:b/>
          <w:bCs/>
          <w:color w:val="000000" w:themeColor="text1"/>
          <w:sz w:val="22"/>
          <w:szCs w:val="22"/>
        </w:rPr>
        <w:t>Przesiew selektywny</w:t>
      </w:r>
      <w:bookmarkEnd w:id="45"/>
    </w:p>
    <w:p w14:paraId="4C2AB18E" w14:textId="77777777" w:rsidR="005E347E" w:rsidRPr="00AA22C4" w:rsidRDefault="005E347E" w:rsidP="005E347E">
      <w:pPr>
        <w:pStyle w:val="Tekstprzypisudolnego"/>
        <w:spacing w:before="120" w:after="120"/>
        <w:jc w:val="both"/>
        <w:rPr>
          <w:rFonts w:ascii="Lato" w:hAnsi="Lato"/>
          <w:b/>
          <w:bCs/>
          <w:color w:val="000000" w:themeColor="text1"/>
          <w:sz w:val="22"/>
          <w:szCs w:val="22"/>
        </w:rPr>
      </w:pPr>
      <w:r w:rsidRPr="00AA22C4">
        <w:rPr>
          <w:rFonts w:ascii="Lato" w:hAnsi="Lato"/>
          <w:color w:val="000000" w:themeColor="text1"/>
          <w:sz w:val="22"/>
          <w:szCs w:val="22"/>
        </w:rPr>
        <w:t>System umożliwia również rejestrowanie i analizę próbek nadsyłanych w ramach tzw. selektywnych badań przesiewowych w kierunku wrodzonych wad metabolicznych. Próbki są przysyłane do laboratorium w postaci próbki krwi na bibule. Bibuły te, po oklejeniu specjalnym kodem paskowym, są rejestrowane w systemie i następnie są analizowane w rutynowych testach przesiewowych.</w:t>
      </w:r>
      <w:bookmarkStart w:id="46" w:name="_Toc491892703"/>
    </w:p>
    <w:p w14:paraId="1CEA6AE8" w14:textId="77777777" w:rsidR="005E347E" w:rsidRPr="00AA22C4" w:rsidRDefault="005E347E" w:rsidP="005E347E">
      <w:pPr>
        <w:pStyle w:val="Tekstprzypisudolnego"/>
        <w:spacing w:before="120" w:after="120"/>
        <w:jc w:val="both"/>
        <w:rPr>
          <w:rFonts w:ascii="Lato" w:hAnsi="Lato"/>
          <w:b/>
          <w:bCs/>
          <w:color w:val="000000" w:themeColor="text1"/>
          <w:sz w:val="22"/>
          <w:szCs w:val="22"/>
        </w:rPr>
      </w:pPr>
      <w:r w:rsidRPr="00AA22C4">
        <w:rPr>
          <w:rFonts w:ascii="Lato" w:hAnsi="Lato"/>
          <w:b/>
          <w:bCs/>
          <w:color w:val="000000" w:themeColor="text1"/>
          <w:sz w:val="22"/>
          <w:szCs w:val="22"/>
        </w:rPr>
        <w:t>Analiza statystyczna.</w:t>
      </w:r>
      <w:bookmarkEnd w:id="46"/>
    </w:p>
    <w:p w14:paraId="68140358" w14:textId="5E00F30A" w:rsidR="005E347E" w:rsidRPr="00AA22C4" w:rsidRDefault="00B01154"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Właściwe </w:t>
      </w:r>
      <w:r w:rsidR="005E347E" w:rsidRPr="00AA22C4">
        <w:rPr>
          <w:rFonts w:ascii="Lato" w:hAnsi="Lato"/>
          <w:color w:val="000000" w:themeColor="text1"/>
          <w:sz w:val="22"/>
          <w:szCs w:val="22"/>
        </w:rPr>
        <w:t>oprogramowanie umożliwia podstawowe analizy statystyczne, dotyczące czasu pobierania próbek krwi na oddziale, czasu transportu próbek do laboratorium, częstości wysyłania próbek przez poszczególne szpitale. Możliwa jest statystyka dla każdego oddziału noworodkowego, co ma szczególne znaczenie dla szczegółowej dokumentacji ze względu na istotność tych badań. Po wykonaniu badań jest możliwe generowanie rozkładu wszystkich lub wybranych wyników w celu weryfikacji poprawności badań i monitorowania zmian populacyjnych.</w:t>
      </w:r>
    </w:p>
    <w:p w14:paraId="62D14898" w14:textId="77777777" w:rsidR="005E347E" w:rsidRPr="00AA22C4" w:rsidRDefault="005E347E" w:rsidP="005E347E">
      <w:pPr>
        <w:pStyle w:val="Tekstprzypisudolnego"/>
        <w:spacing w:before="120" w:after="120"/>
        <w:jc w:val="both"/>
        <w:rPr>
          <w:rFonts w:ascii="Lato" w:hAnsi="Lato"/>
          <w:b/>
          <w:bCs/>
          <w:color w:val="000000" w:themeColor="text1"/>
          <w:sz w:val="22"/>
          <w:szCs w:val="22"/>
        </w:rPr>
      </w:pPr>
      <w:bookmarkStart w:id="47" w:name="_Toc491892704"/>
      <w:r w:rsidRPr="00AA22C4">
        <w:rPr>
          <w:rFonts w:ascii="Lato" w:hAnsi="Lato"/>
          <w:b/>
          <w:bCs/>
          <w:color w:val="000000" w:themeColor="text1"/>
          <w:sz w:val="22"/>
          <w:szCs w:val="22"/>
        </w:rPr>
        <w:t>Baza danych</w:t>
      </w:r>
      <w:bookmarkEnd w:id="47"/>
    </w:p>
    <w:p w14:paraId="11DAD234"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Rejestr noworodków jest oparty o unikatowy identyfikator połączony z peselem rodzica/opiekuna prawnego, który jest nadawany w momencie pobierania krwi na bibułę. Ten system umożliwia gromadzenie innych danych o dziecku zanim zostanie nadany PESEL, co ma miejsce w drugim lub trzecim miesiącu życia. Ponadto system umożliwia łączenie danych z innymi rejestrami, takimi jak karta analizy okołoporodowej i rejestr wad rozwojowych w celu poszerzenia dostępu do informacji dla lekarzy prowadzących diagnostykę potwierdzającą w badaniach przesiewowych oraz do celów analiz epidemiologicznych. W przyszłości rejestr ten może być podstawą dla rejestracji np.: wad wrodzonych u noworodków urodzonych przedwcześnie (</w:t>
      </w:r>
      <w:proofErr w:type="spellStart"/>
      <w:r w:rsidRPr="00AA22C4">
        <w:rPr>
          <w:rFonts w:ascii="Lato" w:hAnsi="Lato"/>
          <w:color w:val="000000" w:themeColor="text1"/>
          <w:sz w:val="22"/>
          <w:szCs w:val="22"/>
        </w:rPr>
        <w:t>Hbd</w:t>
      </w:r>
      <w:proofErr w:type="spellEnd"/>
      <w:r w:rsidRPr="00AA22C4">
        <w:rPr>
          <w:rFonts w:ascii="Lato" w:hAnsi="Lato"/>
          <w:color w:val="000000" w:themeColor="text1"/>
          <w:sz w:val="22"/>
          <w:szCs w:val="22"/>
        </w:rPr>
        <w:t>&lt; 37 tygodnia) oraz badań epidemiologicznych.</w:t>
      </w:r>
    </w:p>
    <w:p w14:paraId="5CDC7FF0" w14:textId="77777777" w:rsidR="00B264D5" w:rsidRDefault="00B264D5" w:rsidP="005E347E">
      <w:pPr>
        <w:pStyle w:val="Tekstprzypisudolnego"/>
        <w:spacing w:before="120" w:after="120"/>
        <w:jc w:val="both"/>
        <w:rPr>
          <w:rFonts w:ascii="Lato" w:hAnsi="Lato"/>
          <w:b/>
          <w:color w:val="000000" w:themeColor="text1"/>
          <w:sz w:val="22"/>
          <w:szCs w:val="22"/>
        </w:rPr>
      </w:pPr>
    </w:p>
    <w:p w14:paraId="7F27B35C" w14:textId="77777777" w:rsidR="00181F00" w:rsidRPr="00AA22C4" w:rsidRDefault="00181F00" w:rsidP="005E347E">
      <w:pPr>
        <w:pStyle w:val="Tekstprzypisudolnego"/>
        <w:spacing w:before="120" w:after="120"/>
        <w:jc w:val="both"/>
        <w:rPr>
          <w:rFonts w:ascii="Lato" w:hAnsi="Lato"/>
          <w:b/>
          <w:color w:val="000000" w:themeColor="text1"/>
          <w:sz w:val="22"/>
          <w:szCs w:val="22"/>
        </w:rPr>
      </w:pPr>
    </w:p>
    <w:p w14:paraId="12BEC659" w14:textId="018EC306" w:rsidR="005E347E" w:rsidRPr="00AA22C4" w:rsidRDefault="005E347E" w:rsidP="005E347E">
      <w:pPr>
        <w:pStyle w:val="Tekstprzypisudolnego"/>
        <w:spacing w:before="120" w:after="120"/>
        <w:jc w:val="both"/>
        <w:rPr>
          <w:rFonts w:ascii="Lato" w:hAnsi="Lato"/>
          <w:b/>
          <w:color w:val="000000" w:themeColor="text1"/>
          <w:sz w:val="22"/>
          <w:szCs w:val="22"/>
        </w:rPr>
      </w:pPr>
      <w:r w:rsidRPr="00AA22C4">
        <w:rPr>
          <w:rFonts w:ascii="Lato" w:hAnsi="Lato"/>
          <w:b/>
          <w:color w:val="000000" w:themeColor="text1"/>
          <w:sz w:val="22"/>
          <w:szCs w:val="22"/>
        </w:rPr>
        <w:lastRenderedPageBreak/>
        <w:t>Tab. 3 Markery w badaniach wrodzonych wad metabolizmu</w:t>
      </w:r>
    </w:p>
    <w:tbl>
      <w:tblPr>
        <w:tblW w:w="5118" w:type="pct"/>
        <w:tblLayout w:type="fixed"/>
        <w:tblCellMar>
          <w:left w:w="0" w:type="dxa"/>
          <w:right w:w="0" w:type="dxa"/>
        </w:tblCellMar>
        <w:tblLook w:val="04A0" w:firstRow="1" w:lastRow="0" w:firstColumn="1" w:lastColumn="0" w:noHBand="0" w:noVBand="1"/>
      </w:tblPr>
      <w:tblGrid>
        <w:gridCol w:w="677"/>
        <w:gridCol w:w="1928"/>
        <w:gridCol w:w="1371"/>
        <w:gridCol w:w="2751"/>
        <w:gridCol w:w="2524"/>
      </w:tblGrid>
      <w:tr w:rsidR="00B3776C" w:rsidRPr="00B3776C" w14:paraId="08E6B542" w14:textId="77777777" w:rsidTr="00775DDD">
        <w:trPr>
          <w:trHeight w:val="624"/>
        </w:trPr>
        <w:tc>
          <w:tcPr>
            <w:tcW w:w="366" w:type="pct"/>
            <w:tcBorders>
              <w:top w:val="single" w:sz="6" w:space="0" w:color="000000"/>
              <w:left w:val="single" w:sz="6" w:space="0" w:color="000000"/>
              <w:bottom w:val="single" w:sz="6" w:space="0" w:color="000000"/>
              <w:right w:val="single" w:sz="6" w:space="0" w:color="000000"/>
            </w:tcBorders>
            <w:shd w:val="clear" w:color="auto" w:fill="D9E2F3"/>
            <w:tcMar>
              <w:top w:w="31" w:type="dxa"/>
              <w:left w:w="131" w:type="dxa"/>
              <w:bottom w:w="65" w:type="dxa"/>
              <w:right w:w="131" w:type="dxa"/>
            </w:tcMar>
            <w:vAlign w:val="center"/>
            <w:hideMark/>
          </w:tcPr>
          <w:p w14:paraId="3BCBF350" w14:textId="77777777" w:rsidR="005E347E" w:rsidRPr="00AA22C4" w:rsidRDefault="005E347E" w:rsidP="00775DDD">
            <w:pPr>
              <w:pStyle w:val="Tekstprzypisudolnego"/>
              <w:spacing w:before="120" w:after="120" w:line="240" w:lineRule="auto"/>
              <w:contextualSpacing/>
              <w:jc w:val="center"/>
              <w:rPr>
                <w:rFonts w:ascii="Lato" w:hAnsi="Lato"/>
                <w:color w:val="000000" w:themeColor="text1"/>
              </w:rPr>
            </w:pPr>
            <w:r w:rsidRPr="00AA22C4">
              <w:rPr>
                <w:rFonts w:ascii="Lato" w:hAnsi="Lato"/>
                <w:b/>
                <w:bCs/>
                <w:color w:val="000000" w:themeColor="text1"/>
              </w:rPr>
              <w:t>l.p.</w:t>
            </w:r>
          </w:p>
        </w:tc>
        <w:tc>
          <w:tcPr>
            <w:tcW w:w="1042" w:type="pct"/>
            <w:tcBorders>
              <w:top w:val="single" w:sz="6" w:space="0" w:color="000000"/>
              <w:left w:val="single" w:sz="6" w:space="0" w:color="000000"/>
              <w:bottom w:val="single" w:sz="6" w:space="0" w:color="000000"/>
              <w:right w:val="single" w:sz="6" w:space="0" w:color="000000"/>
            </w:tcBorders>
            <w:shd w:val="clear" w:color="auto" w:fill="D9E2F3"/>
            <w:tcMar>
              <w:top w:w="44" w:type="dxa"/>
              <w:left w:w="131" w:type="dxa"/>
              <w:bottom w:w="65" w:type="dxa"/>
              <w:right w:w="131" w:type="dxa"/>
            </w:tcMar>
            <w:vAlign w:val="center"/>
            <w:hideMark/>
          </w:tcPr>
          <w:p w14:paraId="1A4219A2" w14:textId="77777777" w:rsidR="005E347E" w:rsidRPr="00AA22C4" w:rsidRDefault="005E347E" w:rsidP="00775DDD">
            <w:pPr>
              <w:pStyle w:val="Tekstprzypisudolnego"/>
              <w:spacing w:before="120" w:after="120" w:line="240" w:lineRule="auto"/>
              <w:contextualSpacing/>
              <w:jc w:val="center"/>
              <w:rPr>
                <w:rFonts w:ascii="Lato" w:hAnsi="Lato"/>
                <w:color w:val="000000" w:themeColor="text1"/>
              </w:rPr>
            </w:pPr>
            <w:r w:rsidRPr="00AA22C4">
              <w:rPr>
                <w:rFonts w:ascii="Lato" w:hAnsi="Lato"/>
                <w:b/>
                <w:bCs/>
                <w:color w:val="000000" w:themeColor="text1"/>
              </w:rPr>
              <w:t>Wada metabolizmu</w:t>
            </w:r>
          </w:p>
        </w:tc>
        <w:tc>
          <w:tcPr>
            <w:tcW w:w="741" w:type="pct"/>
            <w:tcBorders>
              <w:top w:val="single" w:sz="6" w:space="0" w:color="000000"/>
              <w:left w:val="single" w:sz="6" w:space="0" w:color="000000"/>
              <w:bottom w:val="single" w:sz="6" w:space="0" w:color="000000"/>
              <w:right w:val="single" w:sz="6" w:space="0" w:color="000000"/>
            </w:tcBorders>
            <w:shd w:val="clear" w:color="auto" w:fill="D9E2F3"/>
            <w:tcMar>
              <w:top w:w="31" w:type="dxa"/>
              <w:left w:w="131" w:type="dxa"/>
              <w:bottom w:w="65" w:type="dxa"/>
              <w:right w:w="131" w:type="dxa"/>
            </w:tcMar>
            <w:vAlign w:val="center"/>
            <w:hideMark/>
          </w:tcPr>
          <w:p w14:paraId="74DE1FF5" w14:textId="77777777" w:rsidR="005E347E" w:rsidRPr="00AA22C4" w:rsidRDefault="005E347E" w:rsidP="00775DDD">
            <w:pPr>
              <w:pStyle w:val="Tekstprzypisudolnego"/>
              <w:spacing w:before="120" w:after="120" w:line="240" w:lineRule="auto"/>
              <w:contextualSpacing/>
              <w:jc w:val="center"/>
              <w:rPr>
                <w:rFonts w:ascii="Lato" w:hAnsi="Lato"/>
                <w:color w:val="000000" w:themeColor="text1"/>
              </w:rPr>
            </w:pPr>
            <w:r w:rsidRPr="00AA22C4">
              <w:rPr>
                <w:rFonts w:ascii="Lato" w:hAnsi="Lato"/>
                <w:b/>
                <w:bCs/>
                <w:color w:val="000000" w:themeColor="text1"/>
              </w:rPr>
              <w:t>Marker MS/MS</w:t>
            </w:r>
          </w:p>
        </w:tc>
        <w:tc>
          <w:tcPr>
            <w:tcW w:w="1487" w:type="pct"/>
            <w:tcBorders>
              <w:top w:val="single" w:sz="6" w:space="0" w:color="000000"/>
              <w:left w:val="single" w:sz="6" w:space="0" w:color="000000"/>
              <w:bottom w:val="single" w:sz="6" w:space="0" w:color="000000"/>
              <w:right w:val="single" w:sz="6" w:space="0" w:color="000000"/>
            </w:tcBorders>
            <w:shd w:val="clear" w:color="auto" w:fill="D9E2F3"/>
            <w:tcMar>
              <w:top w:w="31" w:type="dxa"/>
              <w:left w:w="131" w:type="dxa"/>
              <w:bottom w:w="65" w:type="dxa"/>
              <w:right w:w="131" w:type="dxa"/>
            </w:tcMar>
            <w:vAlign w:val="center"/>
            <w:hideMark/>
          </w:tcPr>
          <w:p w14:paraId="087CFE7B" w14:textId="77777777" w:rsidR="005E347E" w:rsidRPr="00AA22C4" w:rsidRDefault="005E347E" w:rsidP="00775DDD">
            <w:pPr>
              <w:pStyle w:val="Tekstprzypisudolnego"/>
              <w:spacing w:before="120" w:after="120" w:line="240" w:lineRule="auto"/>
              <w:contextualSpacing/>
              <w:jc w:val="center"/>
              <w:rPr>
                <w:rFonts w:ascii="Lato" w:hAnsi="Lato"/>
                <w:color w:val="000000" w:themeColor="text1"/>
              </w:rPr>
            </w:pPr>
            <w:r w:rsidRPr="00AA22C4">
              <w:rPr>
                <w:rFonts w:ascii="Lato" w:hAnsi="Lato"/>
                <w:b/>
                <w:bCs/>
                <w:color w:val="000000" w:themeColor="text1"/>
              </w:rPr>
              <w:t>Marker GC/MS</w:t>
            </w:r>
          </w:p>
        </w:tc>
        <w:tc>
          <w:tcPr>
            <w:tcW w:w="1364" w:type="pct"/>
            <w:tcBorders>
              <w:top w:val="single" w:sz="6" w:space="0" w:color="000000"/>
              <w:left w:val="single" w:sz="6" w:space="0" w:color="000000"/>
              <w:bottom w:val="single" w:sz="6" w:space="0" w:color="000000"/>
              <w:right w:val="single" w:sz="6" w:space="0" w:color="000000"/>
            </w:tcBorders>
            <w:shd w:val="clear" w:color="auto" w:fill="D9E2F3"/>
            <w:tcMar>
              <w:top w:w="31" w:type="dxa"/>
              <w:left w:w="131" w:type="dxa"/>
              <w:bottom w:w="65" w:type="dxa"/>
              <w:right w:w="131" w:type="dxa"/>
            </w:tcMar>
            <w:vAlign w:val="center"/>
            <w:hideMark/>
          </w:tcPr>
          <w:p w14:paraId="3E3B6D8E" w14:textId="77777777" w:rsidR="005E347E" w:rsidRPr="00AA22C4" w:rsidRDefault="005E347E" w:rsidP="00775DDD">
            <w:pPr>
              <w:pStyle w:val="Tekstprzypisudolnego"/>
              <w:spacing w:before="120" w:after="120" w:line="240" w:lineRule="auto"/>
              <w:contextualSpacing/>
              <w:jc w:val="center"/>
              <w:rPr>
                <w:rFonts w:ascii="Lato" w:hAnsi="Lato"/>
                <w:color w:val="000000" w:themeColor="text1"/>
              </w:rPr>
            </w:pPr>
            <w:r w:rsidRPr="00AA22C4">
              <w:rPr>
                <w:rFonts w:ascii="Lato" w:hAnsi="Lato"/>
                <w:b/>
                <w:bCs/>
                <w:color w:val="000000" w:themeColor="text1"/>
              </w:rPr>
              <w:t>Enzym odpowiadający za chorobę</w:t>
            </w:r>
          </w:p>
        </w:tc>
      </w:tr>
      <w:tr w:rsidR="00B3776C" w:rsidRPr="00B3776C" w14:paraId="264D0AED" w14:textId="77777777" w:rsidTr="00775DDD">
        <w:trPr>
          <w:trHeight w:val="504"/>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15C46232" w14:textId="77777777" w:rsidR="005E347E" w:rsidRPr="00AA22C4" w:rsidRDefault="005E347E" w:rsidP="00775DDD">
            <w:pPr>
              <w:pStyle w:val="Tekstprzypisudolnego"/>
              <w:spacing w:before="120" w:after="120"/>
              <w:contextualSpacing/>
              <w:jc w:val="center"/>
              <w:rPr>
                <w:rFonts w:ascii="Lato" w:hAnsi="Lato"/>
                <w:color w:val="000000" w:themeColor="text1"/>
              </w:rPr>
            </w:pPr>
            <w:r w:rsidRPr="00AA22C4">
              <w:rPr>
                <w:rFonts w:ascii="Lato" w:hAnsi="Lato"/>
                <w:color w:val="000000" w:themeColor="text1"/>
              </w:rPr>
              <w:t>1</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29F7DB00"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Fenyloketonuria/</w:t>
            </w:r>
            <w:proofErr w:type="spellStart"/>
            <w:r w:rsidRPr="00AA22C4">
              <w:rPr>
                <w:rFonts w:ascii="Lato" w:hAnsi="Lato"/>
                <w:color w:val="000000" w:themeColor="text1"/>
              </w:rPr>
              <w:t>Hiperfenyloalaninemia</w:t>
            </w:r>
            <w:proofErr w:type="spellEnd"/>
            <w:r w:rsidRPr="00AA22C4">
              <w:rPr>
                <w:rFonts w:ascii="Lato" w:hAnsi="Lato"/>
                <w:color w:val="000000" w:themeColor="text1"/>
              </w:rPr>
              <w:t xml:space="preserve"> (PKU/HPA)</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49969BD" w14:textId="77777777" w:rsidR="005E347E" w:rsidRPr="00AA22C4" w:rsidRDefault="005E347E" w:rsidP="00775DDD">
            <w:pPr>
              <w:pStyle w:val="Tekstprzypisudolnego"/>
              <w:spacing w:before="120" w:after="120" w:line="276" w:lineRule="auto"/>
              <w:contextualSpacing/>
              <w:rPr>
                <w:rFonts w:ascii="Lato" w:hAnsi="Lato"/>
                <w:color w:val="000000" w:themeColor="text1"/>
              </w:rPr>
            </w:pPr>
            <w:proofErr w:type="spellStart"/>
            <w:r w:rsidRPr="00AA22C4">
              <w:rPr>
                <w:rFonts w:ascii="Lato" w:hAnsi="Lato"/>
                <w:color w:val="000000" w:themeColor="text1"/>
              </w:rPr>
              <w:t>Phe</w:t>
            </w:r>
            <w:proofErr w:type="spellEnd"/>
            <w:r w:rsidRPr="00AA22C4">
              <w:rPr>
                <w:rFonts w:ascii="Lato" w:hAnsi="Lato"/>
                <w:color w:val="000000" w:themeColor="text1"/>
              </w:rPr>
              <w:t xml:space="preserve">, </w:t>
            </w:r>
            <w:proofErr w:type="spellStart"/>
            <w:r w:rsidRPr="00AA22C4">
              <w:rPr>
                <w:rFonts w:ascii="Lato" w:hAnsi="Lato"/>
                <w:color w:val="000000" w:themeColor="text1"/>
              </w:rPr>
              <w:t>Phe</w:t>
            </w:r>
            <w:proofErr w:type="spellEnd"/>
            <w:r w:rsidRPr="00AA22C4">
              <w:rPr>
                <w:rFonts w:ascii="Lato" w:hAnsi="Lato"/>
                <w:color w:val="000000" w:themeColor="text1"/>
              </w:rPr>
              <w:t>/Tyr</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C7A503A"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 xml:space="preserve">Kwas </w:t>
            </w:r>
            <w:proofErr w:type="spellStart"/>
            <w:r w:rsidRPr="00AA22C4">
              <w:rPr>
                <w:rFonts w:ascii="Lato" w:hAnsi="Lato"/>
                <w:color w:val="000000" w:themeColor="text1"/>
              </w:rPr>
              <w:t>fenylomlekowy</w:t>
            </w:r>
            <w:proofErr w:type="spellEnd"/>
            <w:r w:rsidRPr="00AA22C4">
              <w:rPr>
                <w:rFonts w:ascii="Lato" w:hAnsi="Lato"/>
                <w:color w:val="000000" w:themeColor="text1"/>
              </w:rPr>
              <w:br/>
              <w:t xml:space="preserve">Kwas </w:t>
            </w:r>
            <w:proofErr w:type="spellStart"/>
            <w:r w:rsidRPr="00AA22C4">
              <w:rPr>
                <w:rFonts w:ascii="Lato" w:hAnsi="Lato"/>
                <w:color w:val="000000" w:themeColor="text1"/>
              </w:rPr>
              <w:t>fenylopirogronowy</w:t>
            </w:r>
            <w:proofErr w:type="spellEnd"/>
          </w:p>
        </w:tc>
        <w:tc>
          <w:tcPr>
            <w:tcW w:w="1364"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B648F5E"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Hydroksylaza fenyloalaniny (</w:t>
            </w:r>
            <w:r w:rsidRPr="00AA22C4">
              <w:rPr>
                <w:rFonts w:ascii="Lato" w:hAnsi="Lato"/>
                <w:i/>
                <w:iCs/>
                <w:color w:val="000000" w:themeColor="text1"/>
              </w:rPr>
              <w:t>deficyt PAH)</w:t>
            </w:r>
            <w:r w:rsidRPr="00AA22C4">
              <w:rPr>
                <w:rFonts w:ascii="Lato" w:hAnsi="Lato"/>
                <w:i/>
                <w:iCs/>
                <w:color w:val="000000" w:themeColor="text1"/>
              </w:rPr>
              <w:br/>
            </w:r>
            <w:r w:rsidRPr="00AA22C4">
              <w:rPr>
                <w:rFonts w:ascii="Lato" w:hAnsi="Lato"/>
                <w:color w:val="000000" w:themeColor="text1"/>
              </w:rPr>
              <w:t xml:space="preserve">Reduktaza </w:t>
            </w:r>
            <w:proofErr w:type="spellStart"/>
            <w:r w:rsidRPr="00AA22C4">
              <w:rPr>
                <w:rFonts w:ascii="Lato" w:hAnsi="Lato"/>
                <w:color w:val="000000" w:themeColor="text1"/>
              </w:rPr>
              <w:t>dihydropterydynowa</w:t>
            </w:r>
            <w:proofErr w:type="spellEnd"/>
            <w:r w:rsidRPr="00AA22C4">
              <w:rPr>
                <w:rFonts w:ascii="Lato" w:hAnsi="Lato"/>
                <w:color w:val="000000" w:themeColor="text1"/>
              </w:rPr>
              <w:t xml:space="preserve"> </w:t>
            </w:r>
            <w:r w:rsidRPr="00AA22C4">
              <w:rPr>
                <w:rFonts w:ascii="Lato" w:hAnsi="Lato"/>
                <w:i/>
                <w:iCs/>
                <w:color w:val="000000" w:themeColor="text1"/>
              </w:rPr>
              <w:t>(deficyt DHPR)</w:t>
            </w:r>
            <w:r w:rsidRPr="00AA22C4">
              <w:rPr>
                <w:rFonts w:ascii="Lato" w:hAnsi="Lato"/>
                <w:i/>
                <w:iCs/>
                <w:color w:val="000000" w:themeColor="text1"/>
              </w:rPr>
              <w:br/>
            </w:r>
            <w:proofErr w:type="spellStart"/>
            <w:r w:rsidRPr="00AA22C4">
              <w:rPr>
                <w:rFonts w:ascii="Lato" w:hAnsi="Lato"/>
                <w:color w:val="000000" w:themeColor="text1"/>
              </w:rPr>
              <w:t>Cyklohydrolaza</w:t>
            </w:r>
            <w:proofErr w:type="spellEnd"/>
            <w:r w:rsidRPr="00AA22C4">
              <w:rPr>
                <w:rFonts w:ascii="Lato" w:hAnsi="Lato"/>
                <w:color w:val="000000" w:themeColor="text1"/>
              </w:rPr>
              <w:t xml:space="preserve"> I </w:t>
            </w:r>
            <w:proofErr w:type="spellStart"/>
            <w:r w:rsidRPr="00AA22C4">
              <w:rPr>
                <w:rFonts w:ascii="Lato" w:hAnsi="Lato"/>
                <w:color w:val="000000" w:themeColor="text1"/>
              </w:rPr>
              <w:t>guanozynotrifosforanu</w:t>
            </w:r>
            <w:proofErr w:type="spellEnd"/>
            <w:r w:rsidRPr="00AA22C4">
              <w:rPr>
                <w:rFonts w:ascii="Lato" w:hAnsi="Lato"/>
                <w:color w:val="000000" w:themeColor="text1"/>
              </w:rPr>
              <w:t xml:space="preserve"> </w:t>
            </w:r>
          </w:p>
          <w:p w14:paraId="0BDD023C"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i/>
                <w:iCs/>
                <w:color w:val="000000" w:themeColor="text1"/>
              </w:rPr>
              <w:t>(deficyt GTP-CH)</w:t>
            </w:r>
            <w:r w:rsidRPr="00AA22C4">
              <w:rPr>
                <w:rFonts w:ascii="Lato" w:hAnsi="Lato"/>
                <w:i/>
                <w:iCs/>
                <w:color w:val="000000" w:themeColor="text1"/>
              </w:rPr>
              <w:br/>
            </w:r>
            <w:r w:rsidRPr="00AA22C4">
              <w:rPr>
                <w:rFonts w:ascii="Lato" w:hAnsi="Lato"/>
                <w:color w:val="000000" w:themeColor="text1"/>
              </w:rPr>
              <w:t>Syntetaza 6-pirogronylo-tetrahydropterynowa</w:t>
            </w:r>
          </w:p>
          <w:p w14:paraId="38AB7FA7"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i/>
                <w:iCs/>
                <w:color w:val="000000" w:themeColor="text1"/>
              </w:rPr>
              <w:t>(deficyt PTPS)</w:t>
            </w:r>
          </w:p>
        </w:tc>
      </w:tr>
      <w:tr w:rsidR="00B3776C" w:rsidRPr="00B3776C" w14:paraId="7FC2663B" w14:textId="77777777" w:rsidTr="00775DDD">
        <w:trPr>
          <w:trHeight w:val="1696"/>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74A8F718" w14:textId="77777777" w:rsidR="005E347E" w:rsidRPr="00AA22C4" w:rsidRDefault="005E347E" w:rsidP="00775DDD">
            <w:pPr>
              <w:pStyle w:val="Tekstprzypisudolnego"/>
              <w:spacing w:before="120" w:after="120"/>
              <w:contextualSpacing/>
              <w:jc w:val="center"/>
              <w:rPr>
                <w:rFonts w:ascii="Lato" w:hAnsi="Lato"/>
                <w:color w:val="000000" w:themeColor="text1"/>
              </w:rPr>
            </w:pPr>
            <w:r w:rsidRPr="00AA22C4">
              <w:rPr>
                <w:rFonts w:ascii="Lato" w:hAnsi="Lato"/>
                <w:color w:val="000000" w:themeColor="text1"/>
              </w:rPr>
              <w:t>2</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111C3B1F"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Choroba Syropu Klonowego (MSUD)</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0314E138" w14:textId="77777777" w:rsidR="005E347E" w:rsidRPr="00AA22C4" w:rsidRDefault="005E347E" w:rsidP="00775DDD">
            <w:pPr>
              <w:pStyle w:val="Tekstprzypisudolnego"/>
              <w:spacing w:before="120" w:after="120" w:line="276" w:lineRule="auto"/>
              <w:contextualSpacing/>
              <w:rPr>
                <w:rFonts w:ascii="Lato" w:hAnsi="Lato"/>
                <w:color w:val="000000" w:themeColor="text1"/>
              </w:rPr>
            </w:pPr>
            <w:proofErr w:type="spellStart"/>
            <w:r w:rsidRPr="00AA22C4">
              <w:rPr>
                <w:rFonts w:ascii="Lato" w:hAnsi="Lato"/>
                <w:color w:val="000000" w:themeColor="text1"/>
              </w:rPr>
              <w:t>Leu</w:t>
            </w:r>
            <w:proofErr w:type="spellEnd"/>
            <w:r w:rsidRPr="00AA22C4">
              <w:rPr>
                <w:rFonts w:ascii="Lato" w:hAnsi="Lato"/>
                <w:color w:val="000000" w:themeColor="text1"/>
              </w:rPr>
              <w:t xml:space="preserve">/ </w:t>
            </w:r>
            <w:proofErr w:type="spellStart"/>
            <w:r w:rsidRPr="00AA22C4">
              <w:rPr>
                <w:rFonts w:ascii="Lato" w:hAnsi="Lato"/>
                <w:color w:val="000000" w:themeColor="text1"/>
              </w:rPr>
              <w:t>Ileu</w:t>
            </w:r>
            <w:proofErr w:type="spellEnd"/>
            <w:r w:rsidRPr="00AA22C4">
              <w:rPr>
                <w:rFonts w:ascii="Lato" w:hAnsi="Lato"/>
                <w:color w:val="000000" w:themeColor="text1"/>
              </w:rPr>
              <w:t>, Val</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5310C35C"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 xml:space="preserve">Rozgałęzione keto- i </w:t>
            </w:r>
            <w:proofErr w:type="spellStart"/>
            <w:r w:rsidRPr="00AA22C4">
              <w:rPr>
                <w:rFonts w:ascii="Lato" w:hAnsi="Lato"/>
                <w:color w:val="000000" w:themeColor="text1"/>
              </w:rPr>
              <w:t>hydroksy</w:t>
            </w:r>
            <w:proofErr w:type="spellEnd"/>
            <w:r w:rsidRPr="00AA22C4">
              <w:rPr>
                <w:rFonts w:ascii="Lato" w:hAnsi="Lato"/>
                <w:color w:val="000000" w:themeColor="text1"/>
              </w:rPr>
              <w:t xml:space="preserve"> kwasy np.:</w:t>
            </w:r>
            <w:r w:rsidRPr="00AA22C4">
              <w:rPr>
                <w:rFonts w:ascii="Lato" w:hAnsi="Lato"/>
                <w:color w:val="000000" w:themeColor="text1"/>
              </w:rPr>
              <w:br/>
              <w:t>Kwas 2-hydroksyizowalerianowy,</w:t>
            </w:r>
            <w:r w:rsidRPr="00AA22C4">
              <w:rPr>
                <w:rFonts w:ascii="Lato" w:hAnsi="Lato"/>
                <w:color w:val="000000" w:themeColor="text1"/>
              </w:rPr>
              <w:br/>
              <w:t xml:space="preserve">Kwas 2-ketoizokaproinowy, </w:t>
            </w:r>
            <w:r w:rsidRPr="00AA22C4">
              <w:rPr>
                <w:rFonts w:ascii="Lato" w:hAnsi="Lato"/>
                <w:color w:val="000000" w:themeColor="text1"/>
              </w:rPr>
              <w:br/>
              <w:t>2-keto-3-metylowalerianowy</w:t>
            </w:r>
          </w:p>
        </w:tc>
        <w:tc>
          <w:tcPr>
            <w:tcW w:w="1364"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5238C19"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 xml:space="preserve">Kompleks dehydrogenazy rozgałęzionych </w:t>
            </w:r>
            <w:r w:rsidRPr="00AA22C4">
              <w:rPr>
                <w:rFonts w:ascii="Calibri" w:hAnsi="Calibri" w:cs="Calibri"/>
                <w:color w:val="000000" w:themeColor="text1"/>
                <w:lang w:val="el-GR"/>
              </w:rPr>
              <w:t>α</w:t>
            </w:r>
            <w:r w:rsidRPr="00AA22C4">
              <w:rPr>
                <w:rFonts w:ascii="Lato" w:hAnsi="Lato"/>
                <w:color w:val="000000" w:themeColor="text1"/>
                <w:lang w:val="el-GR"/>
              </w:rPr>
              <w:t>-</w:t>
            </w:r>
            <w:proofErr w:type="spellStart"/>
            <w:r w:rsidRPr="00AA22C4">
              <w:rPr>
                <w:rFonts w:ascii="Lato" w:hAnsi="Lato"/>
                <w:color w:val="000000" w:themeColor="text1"/>
              </w:rPr>
              <w:t>ketokwasów</w:t>
            </w:r>
            <w:proofErr w:type="spellEnd"/>
            <w:r w:rsidRPr="00AA22C4">
              <w:rPr>
                <w:rFonts w:ascii="Lato" w:hAnsi="Lato"/>
                <w:color w:val="000000" w:themeColor="text1"/>
              </w:rPr>
              <w:t xml:space="preserve"> (BCKDH)</w:t>
            </w:r>
          </w:p>
        </w:tc>
      </w:tr>
      <w:tr w:rsidR="00B3776C" w:rsidRPr="00B3776C" w14:paraId="31C4B9BA" w14:textId="77777777" w:rsidTr="00775DDD">
        <w:trPr>
          <w:trHeight w:val="2659"/>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5FD8ECC1" w14:textId="77777777" w:rsidR="005E347E" w:rsidRPr="00AA22C4" w:rsidRDefault="005E347E" w:rsidP="00775DDD">
            <w:pPr>
              <w:pStyle w:val="Tekstprzypisudolnego"/>
              <w:spacing w:before="120" w:after="120"/>
              <w:contextualSpacing/>
              <w:jc w:val="center"/>
              <w:rPr>
                <w:rFonts w:ascii="Lato" w:hAnsi="Lato"/>
                <w:color w:val="000000" w:themeColor="text1"/>
              </w:rPr>
            </w:pPr>
            <w:r w:rsidRPr="00AA22C4">
              <w:rPr>
                <w:rFonts w:ascii="Lato" w:hAnsi="Lato"/>
                <w:color w:val="000000" w:themeColor="text1"/>
              </w:rPr>
              <w:t>3</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1FFF83C1" w14:textId="77777777" w:rsidR="005E347E" w:rsidRPr="00AA22C4" w:rsidRDefault="005E347E" w:rsidP="00775DDD">
            <w:pPr>
              <w:pStyle w:val="Tekstprzypisudolnego"/>
              <w:spacing w:before="120" w:after="120" w:line="276" w:lineRule="auto"/>
              <w:contextualSpacing/>
              <w:rPr>
                <w:rFonts w:ascii="Lato" w:hAnsi="Lato"/>
                <w:color w:val="000000" w:themeColor="text1"/>
              </w:rPr>
            </w:pPr>
            <w:proofErr w:type="spellStart"/>
            <w:r w:rsidRPr="00AA22C4">
              <w:rPr>
                <w:rFonts w:ascii="Lato" w:hAnsi="Lato"/>
                <w:color w:val="000000" w:themeColor="text1"/>
              </w:rPr>
              <w:t>Homocystynuria</w:t>
            </w:r>
            <w:proofErr w:type="spellEnd"/>
            <w:r w:rsidRPr="00AA22C4">
              <w:rPr>
                <w:rFonts w:ascii="Lato" w:hAnsi="Lato"/>
                <w:color w:val="000000" w:themeColor="text1"/>
              </w:rPr>
              <w:t xml:space="preserve"> (HCY)</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86E3C36"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Met/</w:t>
            </w:r>
            <w:proofErr w:type="spellStart"/>
            <w:r w:rsidRPr="00AA22C4">
              <w:rPr>
                <w:rFonts w:ascii="Lato" w:hAnsi="Lato"/>
                <w:color w:val="000000" w:themeColor="text1"/>
              </w:rPr>
              <w:t>Hcy</w:t>
            </w:r>
            <w:proofErr w:type="spellEnd"/>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808A6D4"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Brak</w:t>
            </w:r>
          </w:p>
        </w:tc>
        <w:tc>
          <w:tcPr>
            <w:tcW w:w="1364"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EF4EA3B"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Calibri" w:hAnsi="Calibri" w:cs="Calibri"/>
                <w:color w:val="000000" w:themeColor="text1"/>
                <w:lang w:val="el-GR"/>
              </w:rPr>
              <w:t>β</w:t>
            </w:r>
            <w:r w:rsidRPr="00AA22C4">
              <w:rPr>
                <w:rFonts w:ascii="Lato" w:hAnsi="Lato"/>
                <w:color w:val="000000" w:themeColor="text1"/>
                <w:lang w:val="el-GR"/>
              </w:rPr>
              <w:t>-</w:t>
            </w:r>
            <w:r w:rsidRPr="00AA22C4">
              <w:rPr>
                <w:rFonts w:ascii="Lato" w:hAnsi="Lato"/>
                <w:color w:val="000000" w:themeColor="text1"/>
              </w:rPr>
              <w:t>syntetaza cystationiny</w:t>
            </w:r>
            <w:r w:rsidRPr="00AA22C4">
              <w:rPr>
                <w:rFonts w:ascii="Lato" w:hAnsi="Lato"/>
                <w:i/>
                <w:iCs/>
                <w:color w:val="000000" w:themeColor="text1"/>
              </w:rPr>
              <w:t xml:space="preserve">(klasyczna </w:t>
            </w:r>
            <w:proofErr w:type="spellStart"/>
            <w:r w:rsidRPr="00AA22C4">
              <w:rPr>
                <w:rFonts w:ascii="Lato" w:hAnsi="Lato"/>
                <w:i/>
                <w:iCs/>
                <w:color w:val="000000" w:themeColor="text1"/>
              </w:rPr>
              <w:t>Homocystynuria</w:t>
            </w:r>
            <w:proofErr w:type="spellEnd"/>
            <w:r w:rsidRPr="00AA22C4">
              <w:rPr>
                <w:rFonts w:ascii="Lato" w:hAnsi="Lato"/>
                <w:i/>
                <w:iCs/>
                <w:color w:val="000000" w:themeColor="text1"/>
              </w:rPr>
              <w:t>)</w:t>
            </w:r>
            <w:r w:rsidRPr="00AA22C4">
              <w:rPr>
                <w:rFonts w:ascii="Lato" w:hAnsi="Lato"/>
                <w:i/>
                <w:iCs/>
                <w:color w:val="000000" w:themeColor="text1"/>
              </w:rPr>
              <w:br/>
            </w:r>
            <w:r w:rsidRPr="00AA22C4">
              <w:rPr>
                <w:rFonts w:ascii="Lato" w:hAnsi="Lato"/>
                <w:color w:val="000000" w:themeColor="text1"/>
              </w:rPr>
              <w:t xml:space="preserve">Reduktaza </w:t>
            </w:r>
            <w:proofErr w:type="spellStart"/>
            <w:r w:rsidRPr="00AA22C4">
              <w:rPr>
                <w:rFonts w:ascii="Lato" w:hAnsi="Lato"/>
                <w:color w:val="000000" w:themeColor="text1"/>
              </w:rPr>
              <w:t>metylenotetrahydrofolanu</w:t>
            </w:r>
            <w:proofErr w:type="spellEnd"/>
            <w:r w:rsidRPr="00AA22C4">
              <w:rPr>
                <w:rFonts w:ascii="Lato" w:hAnsi="Lato"/>
                <w:color w:val="000000" w:themeColor="text1"/>
              </w:rPr>
              <w:t xml:space="preserve"> </w:t>
            </w:r>
          </w:p>
          <w:p w14:paraId="44CAC3C2"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i/>
                <w:iCs/>
                <w:color w:val="000000" w:themeColor="text1"/>
              </w:rPr>
              <w:t>(deficyt MTHFR)</w:t>
            </w:r>
            <w:r w:rsidRPr="00AA22C4">
              <w:rPr>
                <w:rFonts w:ascii="Lato" w:hAnsi="Lato"/>
                <w:i/>
                <w:iCs/>
                <w:color w:val="000000" w:themeColor="text1"/>
              </w:rPr>
              <w:br/>
            </w:r>
            <w:r w:rsidRPr="00AA22C4">
              <w:rPr>
                <w:rFonts w:ascii="Lato" w:hAnsi="Lato"/>
                <w:color w:val="000000" w:themeColor="text1"/>
              </w:rPr>
              <w:t xml:space="preserve">Defekt i zaburzenia syntezy </w:t>
            </w:r>
            <w:proofErr w:type="spellStart"/>
            <w:r w:rsidRPr="00AA22C4">
              <w:rPr>
                <w:rFonts w:ascii="Lato" w:hAnsi="Lato"/>
                <w:color w:val="000000" w:themeColor="text1"/>
              </w:rPr>
              <w:t>MeCbl</w:t>
            </w:r>
            <w:proofErr w:type="spellEnd"/>
            <w:r w:rsidRPr="00AA22C4">
              <w:rPr>
                <w:rFonts w:ascii="Lato" w:hAnsi="Lato"/>
                <w:color w:val="000000" w:themeColor="text1"/>
              </w:rPr>
              <w:t xml:space="preserve"> </w:t>
            </w:r>
          </w:p>
        </w:tc>
      </w:tr>
      <w:tr w:rsidR="00B3776C" w:rsidRPr="00B3776C" w14:paraId="4103BBE5" w14:textId="77777777" w:rsidTr="00775DDD">
        <w:trPr>
          <w:trHeight w:val="1091"/>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315DCA6" w14:textId="77777777" w:rsidR="005E347E" w:rsidRPr="00AA22C4" w:rsidRDefault="005E347E" w:rsidP="00775DDD">
            <w:pPr>
              <w:pStyle w:val="Tekstprzypisudolnego"/>
              <w:spacing w:before="120" w:after="120"/>
              <w:contextualSpacing/>
              <w:jc w:val="center"/>
              <w:rPr>
                <w:rFonts w:ascii="Lato" w:hAnsi="Lato"/>
                <w:color w:val="000000" w:themeColor="text1"/>
              </w:rPr>
            </w:pPr>
            <w:r w:rsidRPr="00AA22C4">
              <w:rPr>
                <w:rFonts w:ascii="Lato" w:hAnsi="Lato"/>
                <w:color w:val="000000" w:themeColor="text1"/>
              </w:rPr>
              <w:t>4</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tcPr>
          <w:p w14:paraId="58BEC277" w14:textId="77777777" w:rsidR="005E347E" w:rsidRPr="00AA22C4" w:rsidRDefault="005E347E" w:rsidP="00775DDD">
            <w:pPr>
              <w:pStyle w:val="Tekstprzypisudolnego"/>
              <w:spacing w:before="120" w:after="120" w:line="276" w:lineRule="auto"/>
              <w:contextualSpacing/>
              <w:rPr>
                <w:rFonts w:ascii="Lato" w:hAnsi="Lato"/>
                <w:color w:val="000000" w:themeColor="text1"/>
              </w:rPr>
            </w:pPr>
            <w:proofErr w:type="spellStart"/>
            <w:r w:rsidRPr="00AA22C4">
              <w:rPr>
                <w:rFonts w:ascii="Lato" w:hAnsi="Lato"/>
                <w:color w:val="000000" w:themeColor="text1"/>
              </w:rPr>
              <w:t>Cytrulinemia</w:t>
            </w:r>
            <w:proofErr w:type="spellEnd"/>
            <w:r w:rsidRPr="00AA22C4">
              <w:rPr>
                <w:rFonts w:ascii="Lato" w:hAnsi="Lato"/>
                <w:color w:val="000000" w:themeColor="text1"/>
              </w:rPr>
              <w:t xml:space="preserve"> </w:t>
            </w:r>
          </w:p>
          <w:p w14:paraId="29373A3B"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typu II, (CIT II, deficyt cytryny)</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46C1AB98" w14:textId="77777777" w:rsidR="005E347E" w:rsidRPr="00AA22C4" w:rsidRDefault="005E347E" w:rsidP="00775DDD">
            <w:pPr>
              <w:pStyle w:val="Tekstprzypisudolnego"/>
              <w:spacing w:before="120" w:after="120" w:line="276" w:lineRule="auto"/>
              <w:contextualSpacing/>
              <w:rPr>
                <w:rFonts w:ascii="Lato" w:hAnsi="Lato"/>
                <w:color w:val="000000" w:themeColor="text1"/>
              </w:rPr>
            </w:pPr>
            <w:proofErr w:type="spellStart"/>
            <w:r w:rsidRPr="00AA22C4">
              <w:rPr>
                <w:rFonts w:ascii="Lato" w:hAnsi="Lato"/>
                <w:color w:val="000000" w:themeColor="text1"/>
              </w:rPr>
              <w:t>Cit</w:t>
            </w:r>
            <w:proofErr w:type="spellEnd"/>
            <w:r w:rsidRPr="00AA22C4">
              <w:rPr>
                <w:rFonts w:ascii="Lato" w:hAnsi="Lato"/>
                <w:color w:val="000000" w:themeColor="text1"/>
              </w:rPr>
              <w:t>, Met</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0EE0CEF9"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Brak</w:t>
            </w:r>
          </w:p>
        </w:tc>
        <w:tc>
          <w:tcPr>
            <w:tcW w:w="1364"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6170D762"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 xml:space="preserve">Transporter </w:t>
            </w:r>
            <w:proofErr w:type="spellStart"/>
            <w:r w:rsidRPr="00AA22C4">
              <w:rPr>
                <w:rFonts w:ascii="Lato" w:hAnsi="Lato"/>
                <w:color w:val="000000" w:themeColor="text1"/>
              </w:rPr>
              <w:t>Asp-Glu</w:t>
            </w:r>
            <w:proofErr w:type="spellEnd"/>
          </w:p>
        </w:tc>
      </w:tr>
      <w:tr w:rsidR="00B3776C" w:rsidRPr="00B3776C" w14:paraId="07F27E4A" w14:textId="77777777" w:rsidTr="00775DDD">
        <w:trPr>
          <w:trHeight w:val="963"/>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74C0C3E" w14:textId="77777777" w:rsidR="005E347E" w:rsidRPr="00AA22C4" w:rsidRDefault="005E347E" w:rsidP="00775DDD">
            <w:pPr>
              <w:pStyle w:val="Tekstprzypisudolnego"/>
              <w:spacing w:before="120" w:after="120"/>
              <w:contextualSpacing/>
              <w:jc w:val="center"/>
              <w:rPr>
                <w:rFonts w:ascii="Lato" w:hAnsi="Lato"/>
                <w:color w:val="000000" w:themeColor="text1"/>
              </w:rPr>
            </w:pPr>
            <w:r w:rsidRPr="00AA22C4">
              <w:rPr>
                <w:rFonts w:ascii="Lato" w:hAnsi="Lato"/>
                <w:color w:val="000000" w:themeColor="text1"/>
              </w:rPr>
              <w:t>5</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4B7E8E60" w14:textId="77777777" w:rsidR="005E347E" w:rsidRPr="00AA22C4" w:rsidRDefault="005E347E" w:rsidP="00775DDD">
            <w:pPr>
              <w:pStyle w:val="Tekstprzypisudolnego"/>
              <w:spacing w:before="120" w:after="120" w:line="276" w:lineRule="auto"/>
              <w:contextualSpacing/>
              <w:rPr>
                <w:rFonts w:ascii="Lato" w:hAnsi="Lato"/>
                <w:color w:val="000000" w:themeColor="text1"/>
              </w:rPr>
            </w:pPr>
            <w:proofErr w:type="spellStart"/>
            <w:r w:rsidRPr="00AA22C4">
              <w:rPr>
                <w:rFonts w:ascii="Lato" w:hAnsi="Lato"/>
                <w:color w:val="000000" w:themeColor="text1"/>
              </w:rPr>
              <w:t>Cytrulinemia</w:t>
            </w:r>
            <w:proofErr w:type="spellEnd"/>
            <w:r w:rsidRPr="00AA22C4">
              <w:rPr>
                <w:rFonts w:ascii="Lato" w:hAnsi="Lato"/>
                <w:color w:val="000000" w:themeColor="text1"/>
              </w:rPr>
              <w:t xml:space="preserve"> </w:t>
            </w:r>
          </w:p>
          <w:p w14:paraId="5128C946"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typu I, (CIT I)</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4BE5873" w14:textId="77777777" w:rsidR="005E347E" w:rsidRPr="00AA22C4" w:rsidRDefault="005E347E" w:rsidP="00775DDD">
            <w:pPr>
              <w:pStyle w:val="Tekstprzypisudolnego"/>
              <w:spacing w:before="120" w:after="120" w:line="276" w:lineRule="auto"/>
              <w:contextualSpacing/>
              <w:rPr>
                <w:rFonts w:ascii="Lato" w:hAnsi="Lato"/>
                <w:color w:val="000000" w:themeColor="text1"/>
              </w:rPr>
            </w:pPr>
            <w:proofErr w:type="spellStart"/>
            <w:r w:rsidRPr="00AA22C4">
              <w:rPr>
                <w:rFonts w:ascii="Lato" w:hAnsi="Lato"/>
                <w:color w:val="000000" w:themeColor="text1"/>
              </w:rPr>
              <w:t>Cit</w:t>
            </w:r>
            <w:proofErr w:type="spellEnd"/>
            <w:r w:rsidRPr="00AA22C4">
              <w:rPr>
                <w:rFonts w:ascii="Lato" w:hAnsi="Lato"/>
                <w:color w:val="000000" w:themeColor="text1"/>
              </w:rPr>
              <w:t xml:space="preserve">, </w:t>
            </w:r>
            <w:proofErr w:type="spellStart"/>
            <w:r w:rsidRPr="00AA22C4">
              <w:rPr>
                <w:rFonts w:ascii="Lato" w:hAnsi="Lato"/>
                <w:color w:val="000000" w:themeColor="text1"/>
              </w:rPr>
              <w:t>Arg</w:t>
            </w:r>
            <w:proofErr w:type="spellEnd"/>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553FB56"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Brak</w:t>
            </w:r>
          </w:p>
        </w:tc>
        <w:tc>
          <w:tcPr>
            <w:tcW w:w="1364"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71DDD7A0" w14:textId="77777777" w:rsidR="005E347E" w:rsidRPr="00AA22C4" w:rsidRDefault="005E347E" w:rsidP="00775DDD">
            <w:pPr>
              <w:pStyle w:val="Tekstprzypisudolnego"/>
              <w:spacing w:before="120" w:after="120" w:line="276" w:lineRule="auto"/>
              <w:contextualSpacing/>
              <w:rPr>
                <w:rFonts w:ascii="Lato" w:hAnsi="Lato"/>
                <w:color w:val="000000" w:themeColor="text1"/>
              </w:rPr>
            </w:pPr>
          </w:p>
          <w:p w14:paraId="66A5F69B"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 xml:space="preserve">Syntetaza </w:t>
            </w:r>
            <w:proofErr w:type="spellStart"/>
            <w:r w:rsidRPr="00AA22C4">
              <w:rPr>
                <w:rFonts w:ascii="Lato" w:hAnsi="Lato"/>
                <w:color w:val="000000" w:themeColor="text1"/>
              </w:rPr>
              <w:t>argininobursztynianowa</w:t>
            </w:r>
            <w:proofErr w:type="spellEnd"/>
            <w:r w:rsidRPr="00AA22C4">
              <w:rPr>
                <w:rFonts w:ascii="Lato" w:hAnsi="Lato"/>
                <w:color w:val="000000" w:themeColor="text1"/>
              </w:rPr>
              <w:t xml:space="preserve"> </w:t>
            </w:r>
          </w:p>
        </w:tc>
      </w:tr>
      <w:tr w:rsidR="00B3776C" w:rsidRPr="00B3776C" w14:paraId="6B6AF72E" w14:textId="77777777" w:rsidTr="00775DDD">
        <w:trPr>
          <w:trHeight w:val="624"/>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7CE39886" w14:textId="77777777" w:rsidR="005E347E" w:rsidRPr="00AA22C4" w:rsidRDefault="005E347E" w:rsidP="00775DDD">
            <w:pPr>
              <w:pStyle w:val="Tekstprzypisudolnego"/>
              <w:spacing w:before="120" w:after="120"/>
              <w:contextualSpacing/>
              <w:jc w:val="center"/>
              <w:rPr>
                <w:rFonts w:ascii="Lato" w:hAnsi="Lato"/>
                <w:color w:val="000000" w:themeColor="text1"/>
              </w:rPr>
            </w:pPr>
            <w:r w:rsidRPr="00AA22C4">
              <w:rPr>
                <w:rFonts w:ascii="Lato" w:hAnsi="Lato"/>
                <w:color w:val="000000" w:themeColor="text1"/>
              </w:rPr>
              <w:t>6</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tcPr>
          <w:p w14:paraId="425F3CFF" w14:textId="77777777" w:rsidR="005E347E" w:rsidRPr="00AA22C4" w:rsidRDefault="005E347E" w:rsidP="00775DDD">
            <w:pPr>
              <w:pStyle w:val="Tekstprzypisudolnego"/>
              <w:spacing w:before="120" w:after="120" w:line="276" w:lineRule="auto"/>
              <w:contextualSpacing/>
              <w:rPr>
                <w:rFonts w:ascii="Lato" w:hAnsi="Lato"/>
                <w:color w:val="000000" w:themeColor="text1"/>
              </w:rPr>
            </w:pPr>
            <w:proofErr w:type="spellStart"/>
            <w:r w:rsidRPr="00AA22C4">
              <w:rPr>
                <w:rFonts w:ascii="Lato" w:hAnsi="Lato"/>
                <w:color w:val="000000" w:themeColor="text1"/>
              </w:rPr>
              <w:t>Argininemia</w:t>
            </w:r>
            <w:proofErr w:type="spellEnd"/>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5AB3E744" w14:textId="77777777" w:rsidR="005E347E" w:rsidRPr="00AA22C4" w:rsidRDefault="005E347E" w:rsidP="00775DDD">
            <w:pPr>
              <w:pStyle w:val="Tekstprzypisudolnego"/>
              <w:spacing w:before="120" w:after="120" w:line="276" w:lineRule="auto"/>
              <w:contextualSpacing/>
              <w:rPr>
                <w:rFonts w:ascii="Lato" w:hAnsi="Lato"/>
                <w:color w:val="000000" w:themeColor="text1"/>
              </w:rPr>
            </w:pPr>
            <w:proofErr w:type="spellStart"/>
            <w:r w:rsidRPr="00AA22C4">
              <w:rPr>
                <w:rFonts w:ascii="Lato" w:hAnsi="Lato"/>
                <w:color w:val="000000" w:themeColor="text1"/>
              </w:rPr>
              <w:t>Arg</w:t>
            </w:r>
            <w:proofErr w:type="spellEnd"/>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42BBF35F"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 xml:space="preserve">Kwas </w:t>
            </w:r>
            <w:proofErr w:type="spellStart"/>
            <w:r w:rsidRPr="00AA22C4">
              <w:rPr>
                <w:rFonts w:ascii="Lato" w:hAnsi="Lato"/>
                <w:color w:val="000000" w:themeColor="text1"/>
              </w:rPr>
              <w:t>orotowy</w:t>
            </w:r>
            <w:proofErr w:type="spellEnd"/>
          </w:p>
        </w:tc>
        <w:tc>
          <w:tcPr>
            <w:tcW w:w="1364"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3F744AEB"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Arginaza</w:t>
            </w:r>
          </w:p>
        </w:tc>
      </w:tr>
      <w:tr w:rsidR="00B3776C" w:rsidRPr="00B3776C" w14:paraId="4A36FB3C" w14:textId="77777777" w:rsidTr="00775DDD">
        <w:trPr>
          <w:trHeight w:val="624"/>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01998970" w14:textId="77777777" w:rsidR="005E347E" w:rsidRPr="00AA22C4" w:rsidRDefault="005E347E" w:rsidP="00775DDD">
            <w:pPr>
              <w:pStyle w:val="Tekstprzypisudolnego"/>
              <w:spacing w:before="120" w:after="120"/>
              <w:contextualSpacing/>
              <w:jc w:val="center"/>
              <w:rPr>
                <w:rFonts w:ascii="Lato" w:hAnsi="Lato"/>
                <w:color w:val="000000" w:themeColor="text1"/>
              </w:rPr>
            </w:pPr>
            <w:r w:rsidRPr="00AA22C4">
              <w:rPr>
                <w:rFonts w:ascii="Lato" w:hAnsi="Lato"/>
                <w:color w:val="000000" w:themeColor="text1"/>
              </w:rPr>
              <w:t>7</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7A3A4C8D" w14:textId="77777777" w:rsidR="005E347E" w:rsidRPr="00AA22C4" w:rsidRDefault="005E347E" w:rsidP="00775DDD">
            <w:pPr>
              <w:pStyle w:val="Tekstprzypisudolnego"/>
              <w:spacing w:before="120" w:after="120" w:line="276" w:lineRule="auto"/>
              <w:contextualSpacing/>
              <w:rPr>
                <w:rFonts w:ascii="Lato" w:hAnsi="Lato"/>
                <w:color w:val="000000" w:themeColor="text1"/>
              </w:rPr>
            </w:pPr>
            <w:proofErr w:type="spellStart"/>
            <w:r w:rsidRPr="00AA22C4">
              <w:rPr>
                <w:rFonts w:ascii="Lato" w:hAnsi="Lato"/>
                <w:color w:val="000000" w:themeColor="text1"/>
              </w:rPr>
              <w:t>Tyrozynemia</w:t>
            </w:r>
            <w:proofErr w:type="spellEnd"/>
            <w:r w:rsidRPr="00AA22C4">
              <w:rPr>
                <w:rFonts w:ascii="Lato" w:hAnsi="Lato"/>
                <w:color w:val="000000" w:themeColor="text1"/>
              </w:rPr>
              <w:t xml:space="preserve"> typu I (TYR I)</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997A646"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Tyr</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9D2A3C5" w14:textId="77777777" w:rsidR="005E347E" w:rsidRPr="00AA22C4" w:rsidRDefault="005E347E" w:rsidP="00775DDD">
            <w:pPr>
              <w:pStyle w:val="Tekstprzypisudolnego"/>
              <w:spacing w:before="120" w:after="120" w:line="276" w:lineRule="auto"/>
              <w:contextualSpacing/>
              <w:rPr>
                <w:rFonts w:ascii="Lato" w:hAnsi="Lato"/>
                <w:color w:val="000000" w:themeColor="text1"/>
              </w:rPr>
            </w:pPr>
            <w:proofErr w:type="spellStart"/>
            <w:r w:rsidRPr="00AA22C4">
              <w:rPr>
                <w:rFonts w:ascii="Lato" w:hAnsi="Lato"/>
                <w:color w:val="000000" w:themeColor="text1"/>
              </w:rPr>
              <w:t>Bursztynoloaceton</w:t>
            </w:r>
            <w:proofErr w:type="spellEnd"/>
          </w:p>
        </w:tc>
        <w:tc>
          <w:tcPr>
            <w:tcW w:w="1364"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0E19C53" w14:textId="77777777" w:rsidR="005E347E" w:rsidRPr="00AA22C4" w:rsidRDefault="005E347E" w:rsidP="00775DDD">
            <w:pPr>
              <w:pStyle w:val="Tekstprzypisudolnego"/>
              <w:spacing w:before="120" w:after="120" w:line="276" w:lineRule="auto"/>
              <w:contextualSpacing/>
              <w:rPr>
                <w:rFonts w:ascii="Lato" w:hAnsi="Lato"/>
                <w:color w:val="000000" w:themeColor="text1"/>
              </w:rPr>
            </w:pPr>
            <w:proofErr w:type="spellStart"/>
            <w:r w:rsidRPr="00AA22C4">
              <w:rPr>
                <w:rFonts w:ascii="Lato" w:hAnsi="Lato"/>
                <w:color w:val="000000" w:themeColor="text1"/>
              </w:rPr>
              <w:t>Fumaryloacetoacetaza</w:t>
            </w:r>
            <w:proofErr w:type="spellEnd"/>
            <w:r w:rsidRPr="00AA22C4">
              <w:rPr>
                <w:rFonts w:ascii="Lato" w:hAnsi="Lato"/>
                <w:color w:val="000000" w:themeColor="text1"/>
              </w:rPr>
              <w:t xml:space="preserve"> (FAH)</w:t>
            </w:r>
          </w:p>
        </w:tc>
      </w:tr>
      <w:tr w:rsidR="00B3776C" w:rsidRPr="00B3776C" w14:paraId="6FB1F8DC" w14:textId="77777777" w:rsidTr="00775DDD">
        <w:trPr>
          <w:trHeight w:val="624"/>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3A5119E5" w14:textId="77777777" w:rsidR="005E347E" w:rsidRPr="00AA22C4" w:rsidRDefault="005E347E" w:rsidP="00775DDD">
            <w:pPr>
              <w:pStyle w:val="Tekstprzypisudolnego"/>
              <w:spacing w:before="120" w:after="120"/>
              <w:contextualSpacing/>
              <w:jc w:val="center"/>
              <w:rPr>
                <w:rFonts w:ascii="Lato" w:hAnsi="Lato"/>
                <w:color w:val="000000" w:themeColor="text1"/>
              </w:rPr>
            </w:pPr>
            <w:r w:rsidRPr="00AA22C4">
              <w:rPr>
                <w:rFonts w:ascii="Lato" w:hAnsi="Lato"/>
                <w:color w:val="000000" w:themeColor="text1"/>
              </w:rPr>
              <w:lastRenderedPageBreak/>
              <w:t>8</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tcPr>
          <w:p w14:paraId="545B2BA6" w14:textId="77777777" w:rsidR="005E347E" w:rsidRPr="00AA22C4" w:rsidRDefault="005E347E" w:rsidP="00775DDD">
            <w:pPr>
              <w:pStyle w:val="Tekstprzypisudolnego"/>
              <w:spacing w:before="120" w:after="120" w:line="276" w:lineRule="auto"/>
              <w:contextualSpacing/>
              <w:rPr>
                <w:rFonts w:ascii="Lato" w:hAnsi="Lato"/>
                <w:color w:val="000000" w:themeColor="text1"/>
              </w:rPr>
            </w:pPr>
            <w:proofErr w:type="spellStart"/>
            <w:r w:rsidRPr="00AA22C4">
              <w:rPr>
                <w:rFonts w:ascii="Lato" w:hAnsi="Lato"/>
                <w:color w:val="000000" w:themeColor="text1"/>
              </w:rPr>
              <w:t>Tyrozynemia</w:t>
            </w:r>
            <w:proofErr w:type="spellEnd"/>
            <w:r w:rsidRPr="00AA22C4">
              <w:rPr>
                <w:rFonts w:ascii="Lato" w:hAnsi="Lato"/>
                <w:color w:val="000000" w:themeColor="text1"/>
              </w:rPr>
              <w:t xml:space="preserve"> typu II</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48A667C1"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 xml:space="preserve">Tyr, </w:t>
            </w:r>
            <w:proofErr w:type="spellStart"/>
            <w:r w:rsidRPr="00AA22C4">
              <w:rPr>
                <w:rFonts w:ascii="Lato" w:hAnsi="Lato"/>
                <w:color w:val="000000" w:themeColor="text1"/>
              </w:rPr>
              <w:t>Phe</w:t>
            </w:r>
            <w:proofErr w:type="spellEnd"/>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32E738E5"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4-hydroksyfenylo—</w:t>
            </w:r>
            <w:proofErr w:type="spellStart"/>
            <w:r w:rsidRPr="00AA22C4">
              <w:rPr>
                <w:rFonts w:ascii="Lato" w:hAnsi="Lato"/>
                <w:color w:val="000000" w:themeColor="text1"/>
              </w:rPr>
              <w:t>pirogronian</w:t>
            </w:r>
            <w:proofErr w:type="spellEnd"/>
            <w:r w:rsidRPr="00AA22C4">
              <w:rPr>
                <w:rFonts w:ascii="Lato" w:hAnsi="Lato"/>
                <w:color w:val="000000" w:themeColor="text1"/>
              </w:rPr>
              <w:t>, -mleczan</w:t>
            </w:r>
          </w:p>
        </w:tc>
        <w:tc>
          <w:tcPr>
            <w:tcW w:w="1364"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6B7E849A"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3-aminotransferaza</w:t>
            </w:r>
          </w:p>
        </w:tc>
      </w:tr>
      <w:tr w:rsidR="00B3776C" w:rsidRPr="00B3776C" w14:paraId="559D8281" w14:textId="77777777" w:rsidTr="00775DDD">
        <w:trPr>
          <w:trHeight w:val="966"/>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19A505F0" w14:textId="77777777" w:rsidR="005E347E" w:rsidRPr="00AA22C4" w:rsidRDefault="005E347E" w:rsidP="00775DDD">
            <w:pPr>
              <w:pStyle w:val="Tekstprzypisudolnego"/>
              <w:spacing w:before="120" w:after="120"/>
              <w:contextualSpacing/>
              <w:jc w:val="center"/>
              <w:rPr>
                <w:rFonts w:ascii="Lato" w:hAnsi="Lato"/>
                <w:color w:val="000000" w:themeColor="text1"/>
              </w:rPr>
            </w:pPr>
            <w:r w:rsidRPr="00AA22C4">
              <w:rPr>
                <w:rFonts w:ascii="Lato" w:hAnsi="Lato"/>
                <w:color w:val="000000" w:themeColor="text1"/>
              </w:rPr>
              <w:t>9</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6AE17EF5"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Deficyt MCAD</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67D074BD"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C8, C10, C10:1, C6</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431B5AB1" w14:textId="77777777" w:rsidR="005E347E" w:rsidRPr="00AA22C4" w:rsidRDefault="005E347E" w:rsidP="00775DDD">
            <w:pPr>
              <w:pStyle w:val="Tekstprzypisudolnego"/>
              <w:spacing w:before="120" w:after="120" w:line="276" w:lineRule="auto"/>
              <w:contextualSpacing/>
              <w:rPr>
                <w:rFonts w:ascii="Lato" w:hAnsi="Lato"/>
                <w:color w:val="000000" w:themeColor="text1"/>
              </w:rPr>
            </w:pPr>
            <w:proofErr w:type="spellStart"/>
            <w:r w:rsidRPr="00AA22C4">
              <w:rPr>
                <w:rFonts w:ascii="Lato" w:hAnsi="Lato"/>
                <w:color w:val="000000" w:themeColor="text1"/>
              </w:rPr>
              <w:t>Heksanyloglicyna</w:t>
            </w:r>
            <w:proofErr w:type="spellEnd"/>
            <w:r w:rsidRPr="00AA22C4">
              <w:rPr>
                <w:rFonts w:ascii="Lato" w:hAnsi="Lato"/>
                <w:color w:val="000000" w:themeColor="text1"/>
              </w:rPr>
              <w:t xml:space="preserve">, </w:t>
            </w:r>
            <w:proofErr w:type="spellStart"/>
            <w:r w:rsidRPr="00AA22C4">
              <w:rPr>
                <w:rFonts w:ascii="Lato" w:hAnsi="Lato"/>
                <w:color w:val="000000" w:themeColor="text1"/>
              </w:rPr>
              <w:t>Suberyloglicyna</w:t>
            </w:r>
            <w:proofErr w:type="spellEnd"/>
          </w:p>
        </w:tc>
        <w:tc>
          <w:tcPr>
            <w:tcW w:w="1364"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0B72FE96"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 xml:space="preserve">Dehydrogenaza </w:t>
            </w:r>
            <w:proofErr w:type="spellStart"/>
            <w:r w:rsidRPr="00AA22C4">
              <w:rPr>
                <w:rFonts w:ascii="Lato" w:hAnsi="Lato"/>
                <w:color w:val="000000" w:themeColor="text1"/>
              </w:rPr>
              <w:t>acylo-CoA</w:t>
            </w:r>
            <w:proofErr w:type="spellEnd"/>
            <w:r w:rsidRPr="00AA22C4">
              <w:rPr>
                <w:rFonts w:ascii="Lato" w:hAnsi="Lato"/>
                <w:color w:val="000000" w:themeColor="text1"/>
              </w:rPr>
              <w:t xml:space="preserve"> </w:t>
            </w:r>
            <w:proofErr w:type="spellStart"/>
            <w:r w:rsidRPr="00AA22C4">
              <w:rPr>
                <w:rFonts w:ascii="Lato" w:hAnsi="Lato"/>
                <w:color w:val="000000" w:themeColor="text1"/>
              </w:rPr>
              <w:t>średniołańcuchowych</w:t>
            </w:r>
            <w:proofErr w:type="spellEnd"/>
            <w:r w:rsidRPr="00AA22C4">
              <w:rPr>
                <w:rFonts w:ascii="Lato" w:hAnsi="Lato"/>
                <w:color w:val="000000" w:themeColor="text1"/>
              </w:rPr>
              <w:t xml:space="preserve"> kwasów tłuszczowych</w:t>
            </w:r>
          </w:p>
        </w:tc>
      </w:tr>
      <w:tr w:rsidR="00B3776C" w:rsidRPr="00B3776C" w14:paraId="1BFE796E" w14:textId="77777777" w:rsidTr="00775DDD">
        <w:trPr>
          <w:trHeight w:val="650"/>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16A469AE" w14:textId="77777777" w:rsidR="005E347E" w:rsidRPr="00AA22C4" w:rsidRDefault="005E347E" w:rsidP="00775DDD">
            <w:pPr>
              <w:pStyle w:val="Tekstprzypisudolnego"/>
              <w:spacing w:before="120" w:after="120"/>
              <w:contextualSpacing/>
              <w:jc w:val="center"/>
              <w:rPr>
                <w:rFonts w:ascii="Lato" w:hAnsi="Lato"/>
                <w:color w:val="000000" w:themeColor="text1"/>
              </w:rPr>
            </w:pPr>
            <w:r w:rsidRPr="00AA22C4">
              <w:rPr>
                <w:rFonts w:ascii="Lato" w:hAnsi="Lato"/>
                <w:color w:val="000000" w:themeColor="text1"/>
              </w:rPr>
              <w:t>10</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3C76F162"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Deficyt LCHAD</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3A1706C8"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C16-OH, C18:1OH, C18-OH</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206BF9C1"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Kwas 3-OH-adypinowy, 3-OH-oktanodikarboksylowy, 3-OH-sebacydowy, 3-OH-dodekanodikarboksylowy</w:t>
            </w:r>
          </w:p>
        </w:tc>
        <w:tc>
          <w:tcPr>
            <w:tcW w:w="1364"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9592572"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Dehydrogenaza 3-hydroksyacylo-CoA długołańcuchowych kwasów tłuszczowych</w:t>
            </w:r>
          </w:p>
        </w:tc>
      </w:tr>
      <w:tr w:rsidR="00B3776C" w:rsidRPr="00B3776C" w14:paraId="6EE0727D" w14:textId="77777777" w:rsidTr="00775DDD">
        <w:trPr>
          <w:trHeight w:val="1670"/>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0C8543D6" w14:textId="77777777" w:rsidR="005E347E" w:rsidRPr="00AA22C4" w:rsidRDefault="005E347E" w:rsidP="00775DDD">
            <w:pPr>
              <w:pStyle w:val="Tekstprzypisudolnego"/>
              <w:spacing w:before="120" w:after="120"/>
              <w:contextualSpacing/>
              <w:jc w:val="center"/>
              <w:rPr>
                <w:rFonts w:ascii="Lato" w:hAnsi="Lato"/>
                <w:color w:val="000000" w:themeColor="text1"/>
              </w:rPr>
            </w:pPr>
            <w:r w:rsidRPr="00AA22C4">
              <w:rPr>
                <w:rFonts w:ascii="Lato" w:hAnsi="Lato"/>
                <w:color w:val="000000" w:themeColor="text1"/>
              </w:rPr>
              <w:t>11</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tcPr>
          <w:p w14:paraId="6F88182B" w14:textId="77777777" w:rsidR="005E347E" w:rsidRPr="00AA22C4" w:rsidRDefault="005E347E" w:rsidP="00775DDD">
            <w:pPr>
              <w:pStyle w:val="Tekstprzypisudolnego"/>
              <w:spacing w:before="120" w:after="120" w:line="276" w:lineRule="auto"/>
              <w:contextualSpacing/>
              <w:rPr>
                <w:rFonts w:ascii="Lato" w:hAnsi="Lato"/>
                <w:color w:val="000000" w:themeColor="text1"/>
              </w:rPr>
            </w:pPr>
            <w:proofErr w:type="gramStart"/>
            <w:r w:rsidRPr="00AA22C4">
              <w:rPr>
                <w:rFonts w:ascii="Lato" w:hAnsi="Lato"/>
                <w:color w:val="000000" w:themeColor="text1"/>
              </w:rPr>
              <w:t>Deficyt  MTP</w:t>
            </w:r>
            <w:proofErr w:type="gramEnd"/>
            <w:r w:rsidRPr="00AA22C4">
              <w:rPr>
                <w:rFonts w:ascii="Lato" w:hAnsi="Lato"/>
                <w:color w:val="000000" w:themeColor="text1"/>
              </w:rPr>
              <w:t xml:space="preserve"> (mitochondrialnego białka trójfunkcyjnego)</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tcPr>
          <w:p w14:paraId="53142900"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C16-OH, C18:1OH, C18-OH</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tcPr>
          <w:p w14:paraId="4775B6BF"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 xml:space="preserve">Kwasy </w:t>
            </w:r>
            <w:proofErr w:type="spellStart"/>
            <w:r w:rsidRPr="00AA22C4">
              <w:rPr>
                <w:rFonts w:ascii="Lato" w:hAnsi="Lato"/>
                <w:color w:val="000000" w:themeColor="text1"/>
              </w:rPr>
              <w:t>dikarboksylowe</w:t>
            </w:r>
            <w:proofErr w:type="spellEnd"/>
            <w:r w:rsidRPr="00AA22C4">
              <w:rPr>
                <w:rFonts w:ascii="Lato" w:hAnsi="Lato"/>
                <w:color w:val="000000" w:themeColor="text1"/>
              </w:rPr>
              <w:t xml:space="preserve"> C6 – C14</w:t>
            </w:r>
          </w:p>
        </w:tc>
        <w:tc>
          <w:tcPr>
            <w:tcW w:w="1364"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09F09DC0"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 xml:space="preserve">Mitochondrialne białko trójfunkcyjne (MTP): </w:t>
            </w:r>
            <w:proofErr w:type="spellStart"/>
            <w:r w:rsidRPr="00AA22C4">
              <w:rPr>
                <w:rFonts w:ascii="Lato" w:hAnsi="Lato"/>
                <w:color w:val="000000" w:themeColor="text1"/>
              </w:rPr>
              <w:t>hydrataza</w:t>
            </w:r>
            <w:proofErr w:type="spellEnd"/>
            <w:r w:rsidRPr="00AA22C4">
              <w:rPr>
                <w:rFonts w:ascii="Lato" w:hAnsi="Lato"/>
                <w:color w:val="000000" w:themeColor="text1"/>
              </w:rPr>
              <w:t xml:space="preserve"> LCEH, dehydrogenaza LCHAD, </w:t>
            </w:r>
            <w:proofErr w:type="spellStart"/>
            <w:r w:rsidRPr="00AA22C4">
              <w:rPr>
                <w:rFonts w:ascii="Lato" w:hAnsi="Lato"/>
                <w:color w:val="000000" w:themeColor="text1"/>
              </w:rPr>
              <w:t>oksotiolaza</w:t>
            </w:r>
            <w:proofErr w:type="spellEnd"/>
            <w:r w:rsidRPr="00AA22C4">
              <w:rPr>
                <w:rFonts w:ascii="Lato" w:hAnsi="Lato"/>
                <w:color w:val="000000" w:themeColor="text1"/>
              </w:rPr>
              <w:t xml:space="preserve"> LCKAT</w:t>
            </w:r>
          </w:p>
        </w:tc>
      </w:tr>
      <w:tr w:rsidR="00B3776C" w:rsidRPr="00B3776C" w14:paraId="2F381342" w14:textId="77777777" w:rsidTr="00775DDD">
        <w:trPr>
          <w:trHeight w:val="1472"/>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339517E7" w14:textId="77777777" w:rsidR="005E347E" w:rsidRPr="00AA22C4" w:rsidRDefault="005E347E" w:rsidP="00775DDD">
            <w:pPr>
              <w:pStyle w:val="Tekstprzypisudolnego"/>
              <w:spacing w:before="120" w:after="120"/>
              <w:contextualSpacing/>
              <w:jc w:val="center"/>
              <w:rPr>
                <w:rFonts w:ascii="Lato" w:hAnsi="Lato"/>
                <w:color w:val="000000" w:themeColor="text1"/>
              </w:rPr>
            </w:pPr>
            <w:r w:rsidRPr="00AA22C4">
              <w:rPr>
                <w:rFonts w:ascii="Lato" w:hAnsi="Lato"/>
                <w:color w:val="000000" w:themeColor="text1"/>
              </w:rPr>
              <w:t>12</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79C2C15F"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Deficyt VLCAD</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3F814C27"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C14:1, C14, C16</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5E534AB5"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 xml:space="preserve">Kwasy </w:t>
            </w:r>
            <w:proofErr w:type="spellStart"/>
            <w:r w:rsidRPr="00AA22C4">
              <w:rPr>
                <w:rFonts w:ascii="Lato" w:hAnsi="Lato"/>
                <w:color w:val="000000" w:themeColor="text1"/>
              </w:rPr>
              <w:t>dikarboksylowe</w:t>
            </w:r>
            <w:proofErr w:type="spellEnd"/>
            <w:r w:rsidRPr="00AA22C4">
              <w:rPr>
                <w:rFonts w:ascii="Lato" w:hAnsi="Lato"/>
                <w:color w:val="000000" w:themeColor="text1"/>
              </w:rPr>
              <w:t xml:space="preserve"> C6 – C14</w:t>
            </w:r>
          </w:p>
        </w:tc>
        <w:tc>
          <w:tcPr>
            <w:tcW w:w="1364"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C65FA17"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 xml:space="preserve">Dehydrogenaza </w:t>
            </w:r>
            <w:proofErr w:type="spellStart"/>
            <w:r w:rsidRPr="00AA22C4">
              <w:rPr>
                <w:rFonts w:ascii="Lato" w:hAnsi="Lato"/>
                <w:color w:val="000000" w:themeColor="text1"/>
              </w:rPr>
              <w:t>acylo-CoA</w:t>
            </w:r>
            <w:proofErr w:type="spellEnd"/>
            <w:r w:rsidRPr="00AA22C4">
              <w:rPr>
                <w:rFonts w:ascii="Lato" w:hAnsi="Lato"/>
                <w:color w:val="000000" w:themeColor="text1"/>
              </w:rPr>
              <w:t xml:space="preserve"> bardzo długołańcuchowych kwasów tłuszczowych</w:t>
            </w:r>
          </w:p>
        </w:tc>
      </w:tr>
      <w:tr w:rsidR="00B3776C" w:rsidRPr="00B3776C" w14:paraId="138AB83C" w14:textId="77777777" w:rsidTr="00775DDD">
        <w:trPr>
          <w:trHeight w:val="2049"/>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154788B8" w14:textId="77777777" w:rsidR="005E347E" w:rsidRPr="00AA22C4" w:rsidRDefault="005E347E" w:rsidP="00775DDD">
            <w:pPr>
              <w:pStyle w:val="Tekstprzypisudolnego"/>
              <w:spacing w:before="120" w:after="120"/>
              <w:contextualSpacing/>
              <w:jc w:val="center"/>
              <w:rPr>
                <w:rFonts w:ascii="Lato" w:hAnsi="Lato"/>
                <w:color w:val="000000" w:themeColor="text1"/>
              </w:rPr>
            </w:pPr>
            <w:r w:rsidRPr="00AA22C4">
              <w:rPr>
                <w:rFonts w:ascii="Lato" w:hAnsi="Lato"/>
                <w:color w:val="000000" w:themeColor="text1"/>
              </w:rPr>
              <w:t>13</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7454C818"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 xml:space="preserve">Deficyt wielu dehydrogenaz </w:t>
            </w:r>
            <w:proofErr w:type="spellStart"/>
            <w:r w:rsidRPr="00AA22C4">
              <w:rPr>
                <w:rFonts w:ascii="Lato" w:hAnsi="Lato"/>
                <w:color w:val="000000" w:themeColor="text1"/>
              </w:rPr>
              <w:t>acylo-CoA</w:t>
            </w:r>
            <w:proofErr w:type="spellEnd"/>
            <w:r w:rsidRPr="00AA22C4">
              <w:rPr>
                <w:rFonts w:ascii="Lato" w:hAnsi="Lato"/>
                <w:color w:val="000000" w:themeColor="text1"/>
              </w:rPr>
              <w:t xml:space="preserve"> (GA II, MADD)</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738D24F8"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C4, C5, C8:1, C8, C12, C14, C16, C5DC</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08D03FCC"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 xml:space="preserve">Kwas </w:t>
            </w:r>
            <w:proofErr w:type="spellStart"/>
            <w:r w:rsidRPr="00AA22C4">
              <w:rPr>
                <w:rFonts w:ascii="Lato" w:hAnsi="Lato"/>
                <w:color w:val="000000" w:themeColor="text1"/>
              </w:rPr>
              <w:t>etylomalonowy</w:t>
            </w:r>
            <w:proofErr w:type="spellEnd"/>
            <w:r w:rsidRPr="00AA22C4">
              <w:rPr>
                <w:rFonts w:ascii="Lato" w:hAnsi="Lato"/>
                <w:color w:val="000000" w:themeColor="text1"/>
              </w:rPr>
              <w:t xml:space="preserve">, </w:t>
            </w:r>
            <w:proofErr w:type="spellStart"/>
            <w:r w:rsidRPr="00AA22C4">
              <w:rPr>
                <w:rFonts w:ascii="Lato" w:hAnsi="Lato"/>
                <w:color w:val="000000" w:themeColor="text1"/>
              </w:rPr>
              <w:t>glutarowy</w:t>
            </w:r>
            <w:proofErr w:type="spellEnd"/>
            <w:r w:rsidRPr="00AA22C4">
              <w:rPr>
                <w:rFonts w:ascii="Lato" w:hAnsi="Lato"/>
                <w:color w:val="000000" w:themeColor="text1"/>
              </w:rPr>
              <w:t>, 2-OH-glutarowy</w:t>
            </w:r>
          </w:p>
        </w:tc>
        <w:tc>
          <w:tcPr>
            <w:tcW w:w="1364"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82C38C5"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Flawoproteina przenosząca elektrony (ETF)</w:t>
            </w:r>
            <w:r w:rsidRPr="00AA22C4">
              <w:rPr>
                <w:rFonts w:ascii="Lato" w:hAnsi="Lato"/>
                <w:color w:val="000000" w:themeColor="text1"/>
              </w:rPr>
              <w:br/>
            </w:r>
            <w:proofErr w:type="spellStart"/>
            <w:r w:rsidRPr="00AA22C4">
              <w:rPr>
                <w:rFonts w:ascii="Lato" w:hAnsi="Lato"/>
                <w:color w:val="000000" w:themeColor="text1"/>
              </w:rPr>
              <w:t>Oksydoreduktaza</w:t>
            </w:r>
            <w:proofErr w:type="spellEnd"/>
            <w:r w:rsidRPr="00AA22C4">
              <w:rPr>
                <w:rFonts w:ascii="Lato" w:hAnsi="Lato"/>
                <w:color w:val="000000" w:themeColor="text1"/>
              </w:rPr>
              <w:t xml:space="preserve"> </w:t>
            </w:r>
            <w:proofErr w:type="spellStart"/>
            <w:proofErr w:type="gramStart"/>
            <w:r w:rsidRPr="00AA22C4">
              <w:rPr>
                <w:rFonts w:ascii="Lato" w:hAnsi="Lato"/>
                <w:color w:val="000000" w:themeColor="text1"/>
              </w:rPr>
              <w:t>ETF:koenzym</w:t>
            </w:r>
            <w:proofErr w:type="spellEnd"/>
            <w:proofErr w:type="gramEnd"/>
            <w:r w:rsidRPr="00AA22C4">
              <w:rPr>
                <w:rFonts w:ascii="Lato" w:hAnsi="Lato"/>
                <w:color w:val="000000" w:themeColor="text1"/>
              </w:rPr>
              <w:t xml:space="preserve"> Q (ETF-QO)</w:t>
            </w:r>
          </w:p>
        </w:tc>
      </w:tr>
      <w:tr w:rsidR="00B3776C" w:rsidRPr="00B3776C" w14:paraId="3C4FB31A" w14:textId="77777777" w:rsidTr="00775DDD">
        <w:trPr>
          <w:trHeight w:val="592"/>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4BCA8108" w14:textId="77777777" w:rsidR="005E347E" w:rsidRPr="00AA22C4" w:rsidRDefault="005E347E" w:rsidP="00775DDD">
            <w:pPr>
              <w:pStyle w:val="Tekstprzypisudolnego"/>
              <w:spacing w:before="120" w:after="120"/>
              <w:contextualSpacing/>
              <w:jc w:val="center"/>
              <w:rPr>
                <w:rFonts w:ascii="Lato" w:hAnsi="Lato"/>
                <w:color w:val="000000" w:themeColor="text1"/>
              </w:rPr>
            </w:pPr>
            <w:r w:rsidRPr="00AA22C4">
              <w:rPr>
                <w:rFonts w:ascii="Lato" w:hAnsi="Lato"/>
                <w:color w:val="000000" w:themeColor="text1"/>
              </w:rPr>
              <w:t>14</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32C4E254"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Deficyt CPT I</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462B82DD"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C0, C2</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0E4823AB"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Brak</w:t>
            </w:r>
          </w:p>
        </w:tc>
        <w:tc>
          <w:tcPr>
            <w:tcW w:w="1364"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008D0043"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Transferaza palmityno-</w:t>
            </w:r>
            <w:proofErr w:type="spellStart"/>
            <w:r w:rsidRPr="00AA22C4">
              <w:rPr>
                <w:rFonts w:ascii="Lato" w:hAnsi="Lato"/>
                <w:color w:val="000000" w:themeColor="text1"/>
              </w:rPr>
              <w:t>karnitynowa</w:t>
            </w:r>
            <w:proofErr w:type="spellEnd"/>
            <w:r w:rsidRPr="00AA22C4">
              <w:rPr>
                <w:rFonts w:ascii="Lato" w:hAnsi="Lato"/>
                <w:color w:val="000000" w:themeColor="text1"/>
              </w:rPr>
              <w:t xml:space="preserve"> I (CPT1)</w:t>
            </w:r>
          </w:p>
        </w:tc>
      </w:tr>
      <w:tr w:rsidR="00B3776C" w:rsidRPr="00B3776C" w14:paraId="38F4C307" w14:textId="77777777" w:rsidTr="00775DDD">
        <w:trPr>
          <w:trHeight w:val="671"/>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5896BF17" w14:textId="77777777" w:rsidR="005E347E" w:rsidRPr="00AA22C4" w:rsidRDefault="005E347E" w:rsidP="00775DDD">
            <w:pPr>
              <w:pStyle w:val="Tekstprzypisudolnego"/>
              <w:spacing w:before="120" w:after="120"/>
              <w:contextualSpacing/>
              <w:jc w:val="center"/>
              <w:rPr>
                <w:rFonts w:ascii="Lato" w:hAnsi="Lato"/>
                <w:color w:val="000000" w:themeColor="text1"/>
              </w:rPr>
            </w:pPr>
            <w:r w:rsidRPr="00AA22C4">
              <w:rPr>
                <w:rFonts w:ascii="Lato" w:hAnsi="Lato"/>
                <w:color w:val="000000" w:themeColor="text1"/>
              </w:rPr>
              <w:t>15</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2A2DC813"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Deficyt CPT II</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396137E7"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C16, C18:1, C18</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61AA58D4"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Brak</w:t>
            </w:r>
          </w:p>
        </w:tc>
        <w:tc>
          <w:tcPr>
            <w:tcW w:w="1364"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5F1EBAE5"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Transferaza palmityno-</w:t>
            </w:r>
            <w:proofErr w:type="spellStart"/>
            <w:r w:rsidRPr="00AA22C4">
              <w:rPr>
                <w:rFonts w:ascii="Lato" w:hAnsi="Lato"/>
                <w:color w:val="000000" w:themeColor="text1"/>
              </w:rPr>
              <w:t>karnitynowa</w:t>
            </w:r>
            <w:proofErr w:type="spellEnd"/>
            <w:r w:rsidRPr="00AA22C4">
              <w:rPr>
                <w:rFonts w:ascii="Lato" w:hAnsi="Lato"/>
                <w:color w:val="000000" w:themeColor="text1"/>
              </w:rPr>
              <w:t xml:space="preserve"> II (CPT2)</w:t>
            </w:r>
          </w:p>
        </w:tc>
      </w:tr>
      <w:tr w:rsidR="00B3776C" w:rsidRPr="00B3776C" w14:paraId="20F40A63" w14:textId="77777777" w:rsidTr="00775DDD">
        <w:trPr>
          <w:trHeight w:val="719"/>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20EAA33C" w14:textId="77777777" w:rsidR="005E347E" w:rsidRPr="00AA22C4" w:rsidRDefault="005E347E" w:rsidP="00775DDD">
            <w:pPr>
              <w:pStyle w:val="Tekstprzypisudolnego"/>
              <w:spacing w:before="120" w:after="120"/>
              <w:contextualSpacing/>
              <w:jc w:val="center"/>
              <w:rPr>
                <w:rFonts w:ascii="Lato" w:hAnsi="Lato"/>
                <w:color w:val="000000" w:themeColor="text1"/>
              </w:rPr>
            </w:pPr>
            <w:r w:rsidRPr="00AA22C4">
              <w:rPr>
                <w:rFonts w:ascii="Lato" w:hAnsi="Lato"/>
                <w:color w:val="000000" w:themeColor="text1"/>
              </w:rPr>
              <w:t>16</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6484F768"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 xml:space="preserve">Deficyt </w:t>
            </w:r>
            <w:proofErr w:type="spellStart"/>
            <w:r w:rsidRPr="00AA22C4">
              <w:rPr>
                <w:rFonts w:ascii="Lato" w:hAnsi="Lato"/>
                <w:color w:val="000000" w:themeColor="text1"/>
              </w:rPr>
              <w:t>translokazy</w:t>
            </w:r>
            <w:proofErr w:type="spellEnd"/>
            <w:r w:rsidRPr="00AA22C4">
              <w:rPr>
                <w:rFonts w:ascii="Lato" w:hAnsi="Lato"/>
                <w:color w:val="000000" w:themeColor="text1"/>
              </w:rPr>
              <w:t xml:space="preserve"> karnityny (CACT)</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5C143CFA"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C16, C18:1, C18</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0F7427C1"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Brak</w:t>
            </w:r>
          </w:p>
        </w:tc>
        <w:tc>
          <w:tcPr>
            <w:tcW w:w="1364"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7625BDEC" w14:textId="77777777" w:rsidR="005E347E" w:rsidRPr="00AA22C4" w:rsidRDefault="005E347E" w:rsidP="00775DDD">
            <w:pPr>
              <w:pStyle w:val="Tekstprzypisudolnego"/>
              <w:spacing w:before="120" w:after="120" w:line="276" w:lineRule="auto"/>
              <w:contextualSpacing/>
              <w:rPr>
                <w:rFonts w:ascii="Lato" w:hAnsi="Lato"/>
                <w:color w:val="000000" w:themeColor="text1"/>
              </w:rPr>
            </w:pPr>
            <w:proofErr w:type="spellStart"/>
            <w:r w:rsidRPr="00AA22C4">
              <w:rPr>
                <w:rFonts w:ascii="Lato" w:hAnsi="Lato"/>
                <w:color w:val="000000" w:themeColor="text1"/>
              </w:rPr>
              <w:t>Translokaza</w:t>
            </w:r>
            <w:proofErr w:type="spellEnd"/>
            <w:r w:rsidRPr="00AA22C4">
              <w:rPr>
                <w:rFonts w:ascii="Lato" w:hAnsi="Lato"/>
                <w:color w:val="000000" w:themeColor="text1"/>
              </w:rPr>
              <w:t xml:space="preserve"> karnityny (CACT)</w:t>
            </w:r>
          </w:p>
        </w:tc>
      </w:tr>
      <w:tr w:rsidR="00B3776C" w:rsidRPr="00B3776C" w14:paraId="6A1B7FB1" w14:textId="77777777" w:rsidTr="00775DDD">
        <w:trPr>
          <w:trHeight w:val="1191"/>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4D3F30FC" w14:textId="77777777" w:rsidR="005E347E" w:rsidRPr="00AA22C4" w:rsidRDefault="005E347E" w:rsidP="00775DDD">
            <w:pPr>
              <w:pStyle w:val="Tekstprzypisudolnego"/>
              <w:spacing w:before="120" w:after="120"/>
              <w:contextualSpacing/>
              <w:jc w:val="center"/>
              <w:rPr>
                <w:rFonts w:ascii="Lato" w:hAnsi="Lato"/>
                <w:color w:val="000000" w:themeColor="text1"/>
              </w:rPr>
            </w:pPr>
            <w:r w:rsidRPr="00AA22C4">
              <w:rPr>
                <w:rFonts w:ascii="Lato" w:hAnsi="Lato"/>
                <w:color w:val="000000" w:themeColor="text1"/>
              </w:rPr>
              <w:t>17</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0C471628"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Deficyt transportera karnityny (pierwotny deficyt karnityny, CUD)</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1E29B182"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C0</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408B8BD0"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Brak</w:t>
            </w:r>
          </w:p>
        </w:tc>
        <w:tc>
          <w:tcPr>
            <w:tcW w:w="1364"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47F7E42"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Transporter karnityny (białko OCTN2)</w:t>
            </w:r>
          </w:p>
        </w:tc>
      </w:tr>
      <w:tr w:rsidR="00B3776C" w:rsidRPr="00B3776C" w14:paraId="79BC6F28" w14:textId="77777777" w:rsidTr="00775DDD">
        <w:trPr>
          <w:trHeight w:val="1290"/>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3BFEA1B6" w14:textId="77777777" w:rsidR="005E347E" w:rsidRPr="00AA22C4" w:rsidRDefault="005E347E" w:rsidP="00775DDD">
            <w:pPr>
              <w:pStyle w:val="Tekstprzypisudolnego"/>
              <w:spacing w:before="120" w:after="120"/>
              <w:contextualSpacing/>
              <w:jc w:val="center"/>
              <w:rPr>
                <w:rFonts w:ascii="Lato" w:hAnsi="Lato"/>
                <w:color w:val="000000" w:themeColor="text1"/>
              </w:rPr>
            </w:pPr>
            <w:r w:rsidRPr="00AA22C4">
              <w:rPr>
                <w:rFonts w:ascii="Lato" w:hAnsi="Lato"/>
                <w:color w:val="000000" w:themeColor="text1"/>
              </w:rPr>
              <w:lastRenderedPageBreak/>
              <w:t>18</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328E98FC"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Deficyt wielu karboksylaz (MCD)</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238FDB88"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C0 – C16</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60E5BE08"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 xml:space="preserve">Kwas mlekowy, 3-OH-izowalerianowy, 3-OH-propionowy, </w:t>
            </w:r>
            <w:proofErr w:type="spellStart"/>
            <w:r w:rsidRPr="00AA22C4">
              <w:rPr>
                <w:rFonts w:ascii="Lato" w:hAnsi="Lato"/>
                <w:color w:val="000000" w:themeColor="text1"/>
              </w:rPr>
              <w:t>metylocytrynowy</w:t>
            </w:r>
            <w:proofErr w:type="spellEnd"/>
            <w:r w:rsidRPr="00AA22C4">
              <w:rPr>
                <w:rFonts w:ascii="Lato" w:hAnsi="Lato"/>
                <w:color w:val="000000" w:themeColor="text1"/>
              </w:rPr>
              <w:t>,</w:t>
            </w:r>
            <w:r w:rsidRPr="00AA22C4">
              <w:rPr>
                <w:rFonts w:ascii="Lato" w:hAnsi="Lato"/>
                <w:color w:val="000000" w:themeColor="text1"/>
              </w:rPr>
              <w:br/>
              <w:t>3-metylokrotonyloglicyna</w:t>
            </w:r>
          </w:p>
        </w:tc>
        <w:tc>
          <w:tcPr>
            <w:tcW w:w="1364"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8B819A3"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 xml:space="preserve">Syntetaza </w:t>
            </w:r>
            <w:proofErr w:type="spellStart"/>
            <w:r w:rsidRPr="00AA22C4">
              <w:rPr>
                <w:rFonts w:ascii="Lato" w:hAnsi="Lato"/>
                <w:color w:val="000000" w:themeColor="text1"/>
              </w:rPr>
              <w:t>holokarboksylazy</w:t>
            </w:r>
            <w:proofErr w:type="spellEnd"/>
            <w:r w:rsidRPr="00AA22C4">
              <w:rPr>
                <w:rFonts w:ascii="Lato" w:hAnsi="Lato"/>
                <w:color w:val="000000" w:themeColor="text1"/>
              </w:rPr>
              <w:t xml:space="preserve"> (HCS)</w:t>
            </w:r>
            <w:r w:rsidRPr="00AA22C4">
              <w:rPr>
                <w:rFonts w:ascii="Lato" w:hAnsi="Lato"/>
                <w:color w:val="000000" w:themeColor="text1"/>
              </w:rPr>
              <w:br/>
            </w:r>
            <w:proofErr w:type="spellStart"/>
            <w:r w:rsidRPr="00AA22C4">
              <w:rPr>
                <w:rFonts w:ascii="Lato" w:hAnsi="Lato"/>
                <w:color w:val="000000" w:themeColor="text1"/>
              </w:rPr>
              <w:t>Biotynidaza</w:t>
            </w:r>
            <w:proofErr w:type="spellEnd"/>
            <w:r w:rsidRPr="00AA22C4">
              <w:rPr>
                <w:rFonts w:ascii="Lato" w:hAnsi="Lato"/>
                <w:color w:val="000000" w:themeColor="text1"/>
              </w:rPr>
              <w:t xml:space="preserve"> (BTD)</w:t>
            </w:r>
          </w:p>
        </w:tc>
      </w:tr>
      <w:tr w:rsidR="00B3776C" w:rsidRPr="00B3776C" w14:paraId="3595A45F" w14:textId="77777777" w:rsidTr="00775DDD">
        <w:trPr>
          <w:trHeight w:val="1159"/>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D0155C7" w14:textId="77777777" w:rsidR="005E347E" w:rsidRPr="00AA22C4" w:rsidRDefault="005E347E" w:rsidP="00775DDD">
            <w:pPr>
              <w:pStyle w:val="Tekstprzypisudolnego"/>
              <w:spacing w:before="120" w:after="120"/>
              <w:contextualSpacing/>
              <w:jc w:val="both"/>
              <w:rPr>
                <w:rFonts w:ascii="Lato" w:hAnsi="Lato"/>
                <w:color w:val="000000" w:themeColor="text1"/>
              </w:rPr>
            </w:pPr>
            <w:r w:rsidRPr="00AA22C4">
              <w:rPr>
                <w:rFonts w:ascii="Lato" w:hAnsi="Lato"/>
                <w:color w:val="000000" w:themeColor="text1"/>
              </w:rPr>
              <w:t>19</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4744A40F" w14:textId="77777777" w:rsidR="005E347E" w:rsidRPr="00AA22C4" w:rsidRDefault="005E347E" w:rsidP="00775DDD">
            <w:pPr>
              <w:pStyle w:val="Tekstprzypisudolnego"/>
              <w:spacing w:before="120" w:after="120" w:line="276" w:lineRule="auto"/>
              <w:contextualSpacing/>
              <w:rPr>
                <w:rFonts w:ascii="Lato" w:hAnsi="Lato"/>
                <w:color w:val="000000" w:themeColor="text1"/>
              </w:rPr>
            </w:pPr>
            <w:proofErr w:type="spellStart"/>
            <w:r w:rsidRPr="00AA22C4">
              <w:rPr>
                <w:rFonts w:ascii="Lato" w:hAnsi="Lato"/>
                <w:color w:val="000000" w:themeColor="text1"/>
              </w:rPr>
              <w:t>Acyduria</w:t>
            </w:r>
            <w:proofErr w:type="spellEnd"/>
            <w:r w:rsidRPr="00AA22C4">
              <w:rPr>
                <w:rFonts w:ascii="Lato" w:hAnsi="Lato"/>
                <w:color w:val="000000" w:themeColor="text1"/>
              </w:rPr>
              <w:t xml:space="preserve"> </w:t>
            </w:r>
            <w:proofErr w:type="spellStart"/>
            <w:r w:rsidRPr="00AA22C4">
              <w:rPr>
                <w:rFonts w:ascii="Lato" w:hAnsi="Lato"/>
                <w:color w:val="000000" w:themeColor="text1"/>
              </w:rPr>
              <w:t>glutarowa</w:t>
            </w:r>
            <w:proofErr w:type="spellEnd"/>
            <w:r w:rsidRPr="00AA22C4">
              <w:rPr>
                <w:rFonts w:ascii="Lato" w:hAnsi="Lato"/>
                <w:color w:val="000000" w:themeColor="text1"/>
              </w:rPr>
              <w:t xml:space="preserve"> typu I (GAI)</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F56BB73"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C5DC</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D62091D"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 xml:space="preserve">Kwas </w:t>
            </w:r>
            <w:proofErr w:type="spellStart"/>
            <w:r w:rsidRPr="00AA22C4">
              <w:rPr>
                <w:rFonts w:ascii="Lato" w:hAnsi="Lato"/>
                <w:color w:val="000000" w:themeColor="text1"/>
              </w:rPr>
              <w:t>glutarowy</w:t>
            </w:r>
            <w:proofErr w:type="spellEnd"/>
            <w:r w:rsidRPr="00AA22C4">
              <w:rPr>
                <w:rFonts w:ascii="Lato" w:hAnsi="Lato"/>
                <w:color w:val="000000" w:themeColor="text1"/>
              </w:rPr>
              <w:t xml:space="preserve"> i 3-OH-glutarowy</w:t>
            </w:r>
          </w:p>
        </w:tc>
        <w:tc>
          <w:tcPr>
            <w:tcW w:w="1359"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5046B50"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 xml:space="preserve">Dehydrogenaza </w:t>
            </w:r>
            <w:proofErr w:type="spellStart"/>
            <w:r w:rsidRPr="00AA22C4">
              <w:rPr>
                <w:rFonts w:ascii="Lato" w:hAnsi="Lato"/>
                <w:color w:val="000000" w:themeColor="text1"/>
              </w:rPr>
              <w:t>glutarylo-CoA</w:t>
            </w:r>
            <w:proofErr w:type="spellEnd"/>
            <w:r w:rsidRPr="00AA22C4">
              <w:rPr>
                <w:rFonts w:ascii="Lato" w:hAnsi="Lato"/>
                <w:color w:val="000000" w:themeColor="text1"/>
              </w:rPr>
              <w:t xml:space="preserve"> (GCDH)</w:t>
            </w:r>
          </w:p>
        </w:tc>
      </w:tr>
      <w:tr w:rsidR="00B3776C" w:rsidRPr="00B3776C" w14:paraId="1F48D7AA" w14:textId="77777777" w:rsidTr="00775DDD">
        <w:trPr>
          <w:trHeight w:val="1275"/>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8CF8EDA" w14:textId="77777777" w:rsidR="005E347E" w:rsidRPr="00AA22C4" w:rsidRDefault="005E347E" w:rsidP="00775DDD">
            <w:pPr>
              <w:pStyle w:val="Tekstprzypisudolnego"/>
              <w:spacing w:before="120" w:after="120"/>
              <w:contextualSpacing/>
              <w:jc w:val="both"/>
              <w:rPr>
                <w:rFonts w:ascii="Lato" w:hAnsi="Lato"/>
                <w:color w:val="000000" w:themeColor="text1"/>
              </w:rPr>
            </w:pPr>
            <w:r w:rsidRPr="00AA22C4">
              <w:rPr>
                <w:rFonts w:ascii="Lato" w:hAnsi="Lato"/>
                <w:color w:val="000000" w:themeColor="text1"/>
              </w:rPr>
              <w:t>20</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5DA81FD4" w14:textId="77777777" w:rsidR="005E347E" w:rsidRPr="00AA22C4" w:rsidRDefault="005E347E" w:rsidP="00775DDD">
            <w:pPr>
              <w:pStyle w:val="Tekstprzypisudolnego"/>
              <w:spacing w:before="120" w:after="120" w:line="276" w:lineRule="auto"/>
              <w:contextualSpacing/>
              <w:rPr>
                <w:rFonts w:ascii="Lato" w:hAnsi="Lato"/>
                <w:color w:val="000000" w:themeColor="text1"/>
              </w:rPr>
            </w:pPr>
            <w:proofErr w:type="spellStart"/>
            <w:r w:rsidRPr="00AA22C4">
              <w:rPr>
                <w:rFonts w:ascii="Lato" w:hAnsi="Lato"/>
                <w:color w:val="000000" w:themeColor="text1"/>
              </w:rPr>
              <w:t>Acyduria</w:t>
            </w:r>
            <w:proofErr w:type="spellEnd"/>
            <w:r w:rsidRPr="00AA22C4">
              <w:rPr>
                <w:rFonts w:ascii="Lato" w:hAnsi="Lato"/>
                <w:color w:val="000000" w:themeColor="text1"/>
              </w:rPr>
              <w:t xml:space="preserve"> propionowa (PA)</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15D9F1AB"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C3</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518E4F1"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 xml:space="preserve">Kwas 3-OH-propionowy i </w:t>
            </w:r>
            <w:proofErr w:type="spellStart"/>
            <w:r w:rsidRPr="00AA22C4">
              <w:rPr>
                <w:rFonts w:ascii="Lato" w:hAnsi="Lato"/>
                <w:color w:val="000000" w:themeColor="text1"/>
              </w:rPr>
              <w:t>metylocytrynowy</w:t>
            </w:r>
            <w:proofErr w:type="spellEnd"/>
            <w:r w:rsidRPr="00AA22C4">
              <w:rPr>
                <w:rFonts w:ascii="Lato" w:hAnsi="Lato"/>
                <w:color w:val="000000" w:themeColor="text1"/>
              </w:rPr>
              <w:t xml:space="preserve">, </w:t>
            </w:r>
            <w:proofErr w:type="spellStart"/>
            <w:r w:rsidRPr="00AA22C4">
              <w:rPr>
                <w:rFonts w:ascii="Lato" w:hAnsi="Lato"/>
                <w:color w:val="000000" w:themeColor="text1"/>
              </w:rPr>
              <w:t>propionyloglicyna</w:t>
            </w:r>
            <w:proofErr w:type="spellEnd"/>
            <w:r w:rsidRPr="00AA22C4">
              <w:rPr>
                <w:rFonts w:ascii="Lato" w:hAnsi="Lato"/>
                <w:color w:val="000000" w:themeColor="text1"/>
              </w:rPr>
              <w:t>,</w:t>
            </w:r>
          </w:p>
        </w:tc>
        <w:tc>
          <w:tcPr>
            <w:tcW w:w="1359"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0713D7C2"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 xml:space="preserve">Karboksylaza </w:t>
            </w:r>
            <w:proofErr w:type="spellStart"/>
            <w:r w:rsidRPr="00AA22C4">
              <w:rPr>
                <w:rFonts w:ascii="Lato" w:hAnsi="Lato"/>
                <w:color w:val="000000" w:themeColor="text1"/>
              </w:rPr>
              <w:t>propionylo-CoA</w:t>
            </w:r>
            <w:proofErr w:type="spellEnd"/>
            <w:r w:rsidRPr="00AA22C4">
              <w:rPr>
                <w:rFonts w:ascii="Lato" w:hAnsi="Lato"/>
                <w:color w:val="000000" w:themeColor="text1"/>
              </w:rPr>
              <w:t xml:space="preserve"> (PCC)</w:t>
            </w:r>
          </w:p>
        </w:tc>
      </w:tr>
      <w:tr w:rsidR="00B3776C" w:rsidRPr="00B3776C" w14:paraId="216E2CEC" w14:textId="77777777" w:rsidTr="00775DDD">
        <w:trPr>
          <w:trHeight w:val="1159"/>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8865259" w14:textId="77777777" w:rsidR="005E347E" w:rsidRPr="00AA22C4" w:rsidRDefault="005E347E" w:rsidP="00775DDD">
            <w:pPr>
              <w:pStyle w:val="Tekstprzypisudolnego"/>
              <w:spacing w:before="120" w:after="120"/>
              <w:contextualSpacing/>
              <w:jc w:val="both"/>
              <w:rPr>
                <w:rFonts w:ascii="Lato" w:hAnsi="Lato"/>
                <w:color w:val="000000" w:themeColor="text1"/>
              </w:rPr>
            </w:pPr>
            <w:r w:rsidRPr="00AA22C4">
              <w:rPr>
                <w:rFonts w:ascii="Lato" w:hAnsi="Lato"/>
                <w:color w:val="000000" w:themeColor="text1"/>
              </w:rPr>
              <w:t>21</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64120602" w14:textId="77777777" w:rsidR="005E347E" w:rsidRPr="00AA22C4" w:rsidRDefault="005E347E" w:rsidP="00775DDD">
            <w:pPr>
              <w:pStyle w:val="Tekstprzypisudolnego"/>
              <w:spacing w:before="120" w:after="120" w:line="276" w:lineRule="auto"/>
              <w:contextualSpacing/>
              <w:rPr>
                <w:rFonts w:ascii="Lato" w:hAnsi="Lato"/>
                <w:color w:val="000000" w:themeColor="text1"/>
              </w:rPr>
            </w:pPr>
            <w:proofErr w:type="spellStart"/>
            <w:r w:rsidRPr="00AA22C4">
              <w:rPr>
                <w:rFonts w:ascii="Lato" w:hAnsi="Lato"/>
                <w:color w:val="000000" w:themeColor="text1"/>
              </w:rPr>
              <w:t>Acyduria</w:t>
            </w:r>
            <w:proofErr w:type="spellEnd"/>
            <w:r w:rsidRPr="00AA22C4">
              <w:rPr>
                <w:rFonts w:ascii="Lato" w:hAnsi="Lato"/>
                <w:color w:val="000000" w:themeColor="text1"/>
              </w:rPr>
              <w:t xml:space="preserve"> </w:t>
            </w:r>
            <w:proofErr w:type="spellStart"/>
            <w:r w:rsidRPr="00AA22C4">
              <w:rPr>
                <w:rFonts w:ascii="Lato" w:hAnsi="Lato"/>
                <w:color w:val="000000" w:themeColor="text1"/>
              </w:rPr>
              <w:t>metylomalonowa</w:t>
            </w:r>
            <w:proofErr w:type="spellEnd"/>
            <w:r w:rsidRPr="00AA22C4">
              <w:rPr>
                <w:rFonts w:ascii="Lato" w:hAnsi="Lato"/>
                <w:color w:val="000000" w:themeColor="text1"/>
              </w:rPr>
              <w:t xml:space="preserve"> (MMA)</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27D673A"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C3</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FEDD025"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 xml:space="preserve">Kwas </w:t>
            </w:r>
            <w:proofErr w:type="spellStart"/>
            <w:r w:rsidRPr="00AA22C4">
              <w:rPr>
                <w:rFonts w:ascii="Lato" w:hAnsi="Lato"/>
                <w:color w:val="000000" w:themeColor="text1"/>
              </w:rPr>
              <w:t>metylomalonowy</w:t>
            </w:r>
            <w:proofErr w:type="spellEnd"/>
          </w:p>
        </w:tc>
        <w:tc>
          <w:tcPr>
            <w:tcW w:w="1359"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156FE80" w14:textId="77777777" w:rsidR="005E347E" w:rsidRPr="00AA22C4" w:rsidRDefault="005E347E" w:rsidP="00775DDD">
            <w:pPr>
              <w:pStyle w:val="Tekstprzypisudolnego"/>
              <w:spacing w:before="120" w:after="120" w:line="276" w:lineRule="auto"/>
              <w:contextualSpacing/>
              <w:rPr>
                <w:rFonts w:ascii="Lato" w:hAnsi="Lato"/>
                <w:color w:val="000000" w:themeColor="text1"/>
              </w:rPr>
            </w:pPr>
            <w:proofErr w:type="spellStart"/>
            <w:r w:rsidRPr="00AA22C4">
              <w:rPr>
                <w:rFonts w:ascii="Lato" w:hAnsi="Lato"/>
                <w:color w:val="000000" w:themeColor="text1"/>
              </w:rPr>
              <w:t>Mutaza</w:t>
            </w:r>
            <w:proofErr w:type="spellEnd"/>
            <w:r w:rsidRPr="00AA22C4">
              <w:rPr>
                <w:rFonts w:ascii="Lato" w:hAnsi="Lato"/>
                <w:color w:val="000000" w:themeColor="text1"/>
              </w:rPr>
              <w:t xml:space="preserve"> </w:t>
            </w:r>
            <w:proofErr w:type="spellStart"/>
            <w:r w:rsidRPr="00AA22C4">
              <w:rPr>
                <w:rFonts w:ascii="Lato" w:hAnsi="Lato"/>
                <w:color w:val="000000" w:themeColor="text1"/>
              </w:rPr>
              <w:t>metylomalonylo-CoA</w:t>
            </w:r>
            <w:proofErr w:type="spellEnd"/>
            <w:r w:rsidRPr="00AA22C4">
              <w:rPr>
                <w:rFonts w:ascii="Lato" w:hAnsi="Lato"/>
                <w:color w:val="000000" w:themeColor="text1"/>
              </w:rPr>
              <w:t xml:space="preserve"> (MUT)</w:t>
            </w:r>
            <w:r w:rsidRPr="00AA22C4">
              <w:rPr>
                <w:rFonts w:ascii="Lato" w:hAnsi="Lato"/>
                <w:color w:val="000000" w:themeColor="text1"/>
              </w:rPr>
              <w:br/>
              <w:t>Zaburzenia metabolizmu witaminy B12</w:t>
            </w:r>
            <w:r w:rsidRPr="00AA22C4">
              <w:rPr>
                <w:rFonts w:ascii="Lato" w:hAnsi="Lato"/>
                <w:color w:val="000000" w:themeColor="text1"/>
              </w:rPr>
              <w:br/>
              <w:t>Niedobór witaminy B12</w:t>
            </w:r>
          </w:p>
        </w:tc>
      </w:tr>
      <w:tr w:rsidR="00B3776C" w:rsidRPr="00B3776C" w14:paraId="284B99DB" w14:textId="77777777" w:rsidTr="00775DDD">
        <w:trPr>
          <w:trHeight w:val="1043"/>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1ABE2AF6" w14:textId="77777777" w:rsidR="005E347E" w:rsidRPr="00AA22C4" w:rsidRDefault="005E347E" w:rsidP="00775DDD">
            <w:pPr>
              <w:pStyle w:val="Tekstprzypisudolnego"/>
              <w:spacing w:before="120" w:after="120"/>
              <w:contextualSpacing/>
              <w:jc w:val="both"/>
              <w:rPr>
                <w:rFonts w:ascii="Lato" w:hAnsi="Lato"/>
                <w:color w:val="000000" w:themeColor="text1"/>
              </w:rPr>
            </w:pPr>
            <w:r w:rsidRPr="00AA22C4">
              <w:rPr>
                <w:rFonts w:ascii="Lato" w:hAnsi="Lato"/>
                <w:color w:val="000000" w:themeColor="text1"/>
              </w:rPr>
              <w:t>22</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0C82CEF3" w14:textId="77777777" w:rsidR="005E347E" w:rsidRPr="00AA22C4" w:rsidRDefault="005E347E" w:rsidP="00775DDD">
            <w:pPr>
              <w:pStyle w:val="Tekstprzypisudolnego"/>
              <w:spacing w:before="120" w:after="120" w:line="276" w:lineRule="auto"/>
              <w:contextualSpacing/>
              <w:rPr>
                <w:rFonts w:ascii="Lato" w:hAnsi="Lato"/>
                <w:color w:val="000000" w:themeColor="text1"/>
              </w:rPr>
            </w:pPr>
            <w:proofErr w:type="spellStart"/>
            <w:r w:rsidRPr="00AA22C4">
              <w:rPr>
                <w:rFonts w:ascii="Lato" w:hAnsi="Lato"/>
                <w:color w:val="000000" w:themeColor="text1"/>
              </w:rPr>
              <w:t>Acyduria</w:t>
            </w:r>
            <w:proofErr w:type="spellEnd"/>
            <w:r w:rsidRPr="00AA22C4">
              <w:rPr>
                <w:rFonts w:ascii="Lato" w:hAnsi="Lato"/>
                <w:color w:val="000000" w:themeColor="text1"/>
              </w:rPr>
              <w:t xml:space="preserve"> </w:t>
            </w:r>
            <w:proofErr w:type="spellStart"/>
            <w:r w:rsidRPr="00AA22C4">
              <w:rPr>
                <w:rFonts w:ascii="Lato" w:hAnsi="Lato"/>
                <w:color w:val="000000" w:themeColor="text1"/>
              </w:rPr>
              <w:t>izowalerianowa</w:t>
            </w:r>
            <w:proofErr w:type="spellEnd"/>
            <w:r w:rsidRPr="00AA22C4">
              <w:rPr>
                <w:rFonts w:ascii="Lato" w:hAnsi="Lato"/>
                <w:color w:val="000000" w:themeColor="text1"/>
              </w:rPr>
              <w:t xml:space="preserve"> (IVA)</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114A00DE"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C5</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5F100E27"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 xml:space="preserve">Kwas 3-OH-izowalerianowy, </w:t>
            </w:r>
            <w:proofErr w:type="spellStart"/>
            <w:r w:rsidRPr="00AA22C4">
              <w:rPr>
                <w:rFonts w:ascii="Lato" w:hAnsi="Lato"/>
                <w:color w:val="000000" w:themeColor="text1"/>
              </w:rPr>
              <w:t>izowaleroglicyna</w:t>
            </w:r>
            <w:proofErr w:type="spellEnd"/>
          </w:p>
        </w:tc>
        <w:tc>
          <w:tcPr>
            <w:tcW w:w="1359"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05FBCF47"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 xml:space="preserve">Dehydrogenaza </w:t>
            </w:r>
            <w:proofErr w:type="spellStart"/>
            <w:r w:rsidRPr="00AA22C4">
              <w:rPr>
                <w:rFonts w:ascii="Lato" w:hAnsi="Lato"/>
                <w:color w:val="000000" w:themeColor="text1"/>
              </w:rPr>
              <w:t>izowalerylo-CoA</w:t>
            </w:r>
            <w:proofErr w:type="spellEnd"/>
            <w:r w:rsidRPr="00AA22C4">
              <w:rPr>
                <w:rFonts w:ascii="Lato" w:hAnsi="Lato"/>
                <w:color w:val="000000" w:themeColor="text1"/>
              </w:rPr>
              <w:t xml:space="preserve"> (IVD)</w:t>
            </w:r>
          </w:p>
        </w:tc>
      </w:tr>
      <w:tr w:rsidR="00B3776C" w:rsidRPr="00B3776C" w14:paraId="518D0950" w14:textId="77777777" w:rsidTr="00775DDD">
        <w:trPr>
          <w:trHeight w:val="1057"/>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775A2FD6" w14:textId="77777777" w:rsidR="005E347E" w:rsidRPr="00AA22C4" w:rsidRDefault="005E347E" w:rsidP="00775DDD">
            <w:pPr>
              <w:pStyle w:val="Tekstprzypisudolnego"/>
              <w:spacing w:before="120" w:after="120"/>
              <w:contextualSpacing/>
              <w:jc w:val="both"/>
              <w:rPr>
                <w:rFonts w:ascii="Lato" w:hAnsi="Lato"/>
                <w:color w:val="000000" w:themeColor="text1"/>
              </w:rPr>
            </w:pPr>
            <w:r w:rsidRPr="00AA22C4">
              <w:rPr>
                <w:rFonts w:ascii="Lato" w:hAnsi="Lato"/>
                <w:color w:val="000000" w:themeColor="text1"/>
              </w:rPr>
              <w:t>23</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59EA174E"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Deficyt liazy HMG</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048D0134"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C5-OH</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073D0A7"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 xml:space="preserve">3-OH-3-metyloglutarowy, </w:t>
            </w:r>
            <w:proofErr w:type="spellStart"/>
            <w:r w:rsidRPr="00AA22C4">
              <w:rPr>
                <w:rFonts w:ascii="Lato" w:hAnsi="Lato"/>
                <w:color w:val="000000" w:themeColor="text1"/>
              </w:rPr>
              <w:t>metyloglutakonowy</w:t>
            </w:r>
            <w:proofErr w:type="spellEnd"/>
            <w:r w:rsidRPr="00AA22C4">
              <w:rPr>
                <w:rFonts w:ascii="Lato" w:hAnsi="Lato"/>
                <w:color w:val="000000" w:themeColor="text1"/>
              </w:rPr>
              <w:t xml:space="preserve">, </w:t>
            </w:r>
          </w:p>
        </w:tc>
        <w:tc>
          <w:tcPr>
            <w:tcW w:w="1359"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6186950" w14:textId="77777777" w:rsidR="005E347E" w:rsidRPr="00AA22C4" w:rsidRDefault="005E347E" w:rsidP="00775DDD">
            <w:pPr>
              <w:pStyle w:val="Tekstprzypisudolnego"/>
              <w:spacing w:before="120" w:after="120" w:line="276" w:lineRule="auto"/>
              <w:contextualSpacing/>
              <w:rPr>
                <w:rFonts w:ascii="Lato" w:hAnsi="Lato"/>
                <w:color w:val="000000" w:themeColor="text1"/>
              </w:rPr>
            </w:pPr>
            <w:proofErr w:type="spellStart"/>
            <w:r w:rsidRPr="00AA22C4">
              <w:rPr>
                <w:rFonts w:ascii="Lato" w:hAnsi="Lato"/>
                <w:color w:val="000000" w:themeColor="text1"/>
              </w:rPr>
              <w:t>Liaza</w:t>
            </w:r>
            <w:proofErr w:type="spellEnd"/>
            <w:r w:rsidRPr="00AA22C4">
              <w:rPr>
                <w:rFonts w:ascii="Lato" w:hAnsi="Lato"/>
                <w:color w:val="000000" w:themeColor="text1"/>
              </w:rPr>
              <w:t xml:space="preserve"> 3-OH-3-metyloglutarylo-CoA (HMG-</w:t>
            </w:r>
            <w:proofErr w:type="spellStart"/>
            <w:r w:rsidRPr="00AA22C4">
              <w:rPr>
                <w:rFonts w:ascii="Lato" w:hAnsi="Lato"/>
                <w:color w:val="000000" w:themeColor="text1"/>
              </w:rPr>
              <w:t>CoA</w:t>
            </w:r>
            <w:proofErr w:type="spellEnd"/>
            <w:r w:rsidRPr="00AA22C4">
              <w:rPr>
                <w:rFonts w:ascii="Lato" w:hAnsi="Lato"/>
                <w:color w:val="000000" w:themeColor="text1"/>
              </w:rPr>
              <w:t>)</w:t>
            </w:r>
          </w:p>
        </w:tc>
      </w:tr>
      <w:tr w:rsidR="00B3776C" w:rsidRPr="00B3776C" w14:paraId="353B25C0" w14:textId="77777777" w:rsidTr="00775DDD">
        <w:trPr>
          <w:trHeight w:val="1031"/>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AAB2771" w14:textId="77777777" w:rsidR="005E347E" w:rsidRPr="00AA22C4" w:rsidRDefault="005E347E" w:rsidP="00775DDD">
            <w:pPr>
              <w:pStyle w:val="Tekstprzypisudolnego"/>
              <w:spacing w:before="120" w:after="120"/>
              <w:contextualSpacing/>
              <w:jc w:val="both"/>
              <w:rPr>
                <w:rFonts w:ascii="Lato" w:hAnsi="Lato"/>
                <w:color w:val="000000" w:themeColor="text1"/>
              </w:rPr>
            </w:pPr>
            <w:r w:rsidRPr="00AA22C4">
              <w:rPr>
                <w:rFonts w:ascii="Lato" w:hAnsi="Lato"/>
                <w:color w:val="000000" w:themeColor="text1"/>
              </w:rPr>
              <w:t>24</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0314EAAD"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3-metylokrotonyloglicynuria (3-MCC)</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547BB368"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C5-OH</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89E7E58"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3-metylokrotonyloglicyna, 3-OH-izowalerianowy</w:t>
            </w:r>
          </w:p>
        </w:tc>
        <w:tc>
          <w:tcPr>
            <w:tcW w:w="1359"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361AD1D"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Karboksylaza 3-metylokrotonylo-CoA (MCC)</w:t>
            </w:r>
          </w:p>
        </w:tc>
      </w:tr>
      <w:tr w:rsidR="00B3776C" w:rsidRPr="00B3776C" w14:paraId="7D3D5AFC" w14:textId="77777777" w:rsidTr="00775DDD">
        <w:trPr>
          <w:trHeight w:val="221"/>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9240606" w14:textId="77777777" w:rsidR="005E347E" w:rsidRPr="00AA22C4" w:rsidRDefault="005E347E" w:rsidP="00775DDD">
            <w:pPr>
              <w:pStyle w:val="Tekstprzypisudolnego"/>
              <w:spacing w:before="120" w:after="120"/>
              <w:contextualSpacing/>
              <w:jc w:val="both"/>
              <w:rPr>
                <w:rFonts w:ascii="Lato" w:hAnsi="Lato"/>
                <w:color w:val="000000" w:themeColor="text1"/>
              </w:rPr>
            </w:pPr>
            <w:r w:rsidRPr="00AA22C4">
              <w:rPr>
                <w:rFonts w:ascii="Lato" w:hAnsi="Lato"/>
                <w:color w:val="000000" w:themeColor="text1"/>
              </w:rPr>
              <w:t>25</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3607F4C3" w14:textId="77777777" w:rsidR="005E347E" w:rsidRPr="00AA22C4" w:rsidRDefault="005E347E" w:rsidP="00775DDD">
            <w:pPr>
              <w:pStyle w:val="Tekstprzypisudolnego"/>
              <w:spacing w:before="120" w:after="120" w:line="276" w:lineRule="auto"/>
              <w:contextualSpacing/>
              <w:rPr>
                <w:rFonts w:ascii="Lato" w:hAnsi="Lato"/>
                <w:color w:val="000000" w:themeColor="text1"/>
              </w:rPr>
            </w:pPr>
            <w:proofErr w:type="spellStart"/>
            <w:r w:rsidRPr="00AA22C4">
              <w:rPr>
                <w:rFonts w:ascii="Lato" w:hAnsi="Lato"/>
                <w:color w:val="000000" w:themeColor="text1"/>
              </w:rPr>
              <w:t>Acyduria</w:t>
            </w:r>
            <w:proofErr w:type="spellEnd"/>
            <w:r w:rsidRPr="00AA22C4">
              <w:rPr>
                <w:rFonts w:ascii="Lato" w:hAnsi="Lato"/>
                <w:color w:val="000000" w:themeColor="text1"/>
              </w:rPr>
              <w:t xml:space="preserve"> </w:t>
            </w:r>
            <w:proofErr w:type="spellStart"/>
            <w:r w:rsidRPr="00AA22C4">
              <w:rPr>
                <w:rFonts w:ascii="Lato" w:hAnsi="Lato"/>
                <w:color w:val="000000" w:themeColor="text1"/>
              </w:rPr>
              <w:t>arginobursztynianowa</w:t>
            </w:r>
            <w:proofErr w:type="spellEnd"/>
            <w:r w:rsidRPr="00AA22C4">
              <w:rPr>
                <w:rFonts w:ascii="Lato" w:hAnsi="Lato"/>
                <w:color w:val="000000" w:themeColor="text1"/>
              </w:rPr>
              <w:t xml:space="preserve"> (ASL)</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A45BBD9" w14:textId="77777777" w:rsidR="005E347E" w:rsidRPr="00AA22C4" w:rsidRDefault="005E347E" w:rsidP="00775DDD">
            <w:pPr>
              <w:pStyle w:val="Tekstprzypisudolnego"/>
              <w:spacing w:before="120" w:after="120" w:line="276" w:lineRule="auto"/>
              <w:contextualSpacing/>
              <w:rPr>
                <w:rFonts w:ascii="Lato" w:hAnsi="Lato"/>
                <w:color w:val="000000" w:themeColor="text1"/>
              </w:rPr>
            </w:pPr>
            <w:proofErr w:type="spellStart"/>
            <w:r w:rsidRPr="00AA22C4">
              <w:rPr>
                <w:rFonts w:ascii="Lato" w:hAnsi="Lato"/>
                <w:color w:val="000000" w:themeColor="text1"/>
              </w:rPr>
              <w:t>Cit</w:t>
            </w:r>
            <w:proofErr w:type="spellEnd"/>
            <w:r w:rsidRPr="00AA22C4">
              <w:rPr>
                <w:rFonts w:ascii="Lato" w:hAnsi="Lato"/>
                <w:color w:val="000000" w:themeColor="text1"/>
              </w:rPr>
              <w:t xml:space="preserve">, </w:t>
            </w:r>
            <w:proofErr w:type="spellStart"/>
            <w:r w:rsidRPr="00AA22C4">
              <w:rPr>
                <w:rFonts w:ascii="Lato" w:hAnsi="Lato"/>
                <w:color w:val="000000" w:themeColor="text1"/>
              </w:rPr>
              <w:t>Arg</w:t>
            </w:r>
            <w:proofErr w:type="spellEnd"/>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104459F6"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Brak</w:t>
            </w:r>
          </w:p>
        </w:tc>
        <w:tc>
          <w:tcPr>
            <w:tcW w:w="1359"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93BFBF3" w14:textId="77777777" w:rsidR="005E347E" w:rsidRPr="00AA22C4" w:rsidRDefault="005E347E" w:rsidP="00775DDD">
            <w:pPr>
              <w:pStyle w:val="Tekstprzypisudolnego"/>
              <w:spacing w:before="120" w:after="120" w:line="276" w:lineRule="auto"/>
              <w:contextualSpacing/>
              <w:rPr>
                <w:rFonts w:ascii="Lato" w:hAnsi="Lato"/>
                <w:color w:val="000000" w:themeColor="text1"/>
              </w:rPr>
            </w:pPr>
            <w:proofErr w:type="spellStart"/>
            <w:r w:rsidRPr="00AA22C4">
              <w:rPr>
                <w:rFonts w:ascii="Lato" w:hAnsi="Lato"/>
                <w:color w:val="000000" w:themeColor="text1"/>
              </w:rPr>
              <w:t>Liaza</w:t>
            </w:r>
            <w:proofErr w:type="spellEnd"/>
            <w:r w:rsidRPr="00AA22C4">
              <w:rPr>
                <w:rFonts w:ascii="Lato" w:hAnsi="Lato"/>
                <w:color w:val="000000" w:themeColor="text1"/>
              </w:rPr>
              <w:t xml:space="preserve"> </w:t>
            </w:r>
            <w:proofErr w:type="spellStart"/>
            <w:r w:rsidRPr="00AA22C4">
              <w:rPr>
                <w:rFonts w:ascii="Lato" w:hAnsi="Lato"/>
                <w:color w:val="000000" w:themeColor="text1"/>
              </w:rPr>
              <w:t>argininobursztynianu</w:t>
            </w:r>
            <w:proofErr w:type="spellEnd"/>
            <w:r w:rsidRPr="00AA22C4">
              <w:rPr>
                <w:rFonts w:ascii="Lato" w:hAnsi="Lato"/>
                <w:color w:val="000000" w:themeColor="text1"/>
              </w:rPr>
              <w:t xml:space="preserve"> (ASL)</w:t>
            </w:r>
          </w:p>
        </w:tc>
      </w:tr>
      <w:tr w:rsidR="00B3776C" w:rsidRPr="00B3776C" w14:paraId="780FC984" w14:textId="77777777" w:rsidTr="00775DDD">
        <w:trPr>
          <w:trHeight w:val="1041"/>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35D88137" w14:textId="77777777" w:rsidR="005E347E" w:rsidRPr="00AA22C4" w:rsidRDefault="005E347E" w:rsidP="00775DDD">
            <w:pPr>
              <w:pStyle w:val="Tekstprzypisudolnego"/>
              <w:spacing w:before="120" w:after="120"/>
              <w:contextualSpacing/>
              <w:jc w:val="both"/>
              <w:rPr>
                <w:rFonts w:ascii="Lato" w:hAnsi="Lato"/>
                <w:color w:val="000000" w:themeColor="text1"/>
              </w:rPr>
            </w:pPr>
            <w:r w:rsidRPr="00AA22C4">
              <w:rPr>
                <w:rFonts w:ascii="Lato" w:hAnsi="Lato"/>
                <w:color w:val="000000" w:themeColor="text1"/>
              </w:rPr>
              <w:t>26</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tcPr>
          <w:p w14:paraId="4DE1E4A2"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Deficyt biotynidazy</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6E0D09E5" w14:textId="77777777" w:rsidR="005E347E" w:rsidRPr="00AA22C4" w:rsidRDefault="005E347E" w:rsidP="00775DDD">
            <w:pPr>
              <w:pStyle w:val="Tekstprzypisudolnego"/>
              <w:spacing w:before="120" w:after="120" w:line="276" w:lineRule="auto"/>
              <w:contextualSpacing/>
              <w:rPr>
                <w:rFonts w:ascii="Lato" w:hAnsi="Lato"/>
                <w:color w:val="000000" w:themeColor="text1"/>
              </w:rPr>
            </w:pPr>
            <w:proofErr w:type="spellStart"/>
            <w:r w:rsidRPr="00AA22C4">
              <w:rPr>
                <w:rFonts w:ascii="Lato" w:hAnsi="Lato"/>
                <w:color w:val="000000" w:themeColor="text1"/>
              </w:rPr>
              <w:t>Biotynidaza</w:t>
            </w:r>
            <w:proofErr w:type="spellEnd"/>
            <w:r w:rsidRPr="00AA22C4">
              <w:rPr>
                <w:rFonts w:ascii="Lato" w:hAnsi="Lato"/>
                <w:color w:val="000000" w:themeColor="text1"/>
              </w:rPr>
              <w:t xml:space="preserve"> C5-OH,</w:t>
            </w:r>
          </w:p>
          <w:p w14:paraId="05417761" w14:textId="77777777" w:rsidR="005E347E" w:rsidRPr="00AA22C4" w:rsidRDefault="005E347E" w:rsidP="00775DDD">
            <w:pPr>
              <w:pStyle w:val="Tekstprzypisudolnego"/>
              <w:spacing w:before="120" w:after="120" w:line="276" w:lineRule="auto"/>
              <w:contextualSpacing/>
              <w:rPr>
                <w:rFonts w:ascii="Lato" w:hAnsi="Lato"/>
                <w:color w:val="000000" w:themeColor="text1"/>
              </w:rPr>
            </w:pP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3B8D67FB" w14:textId="77777777" w:rsidR="005E347E" w:rsidRPr="00AA22C4" w:rsidRDefault="005E347E" w:rsidP="00775DDD">
            <w:pPr>
              <w:pStyle w:val="Tekstprzypisudolnego"/>
              <w:spacing w:before="120" w:after="120" w:line="276" w:lineRule="auto"/>
              <w:contextualSpacing/>
              <w:rPr>
                <w:rFonts w:ascii="Lato" w:hAnsi="Lato"/>
                <w:color w:val="000000" w:themeColor="text1"/>
              </w:rPr>
            </w:pPr>
            <w:r w:rsidRPr="00AA22C4">
              <w:rPr>
                <w:rFonts w:ascii="Lato" w:hAnsi="Lato"/>
                <w:color w:val="000000" w:themeColor="text1"/>
              </w:rPr>
              <w:t xml:space="preserve">3-metylokrotonylo-glicyna, kwas 3-hydroksy-propionowy, kwas </w:t>
            </w:r>
            <w:proofErr w:type="spellStart"/>
            <w:r w:rsidRPr="00AA22C4">
              <w:rPr>
                <w:rFonts w:ascii="Lato" w:hAnsi="Lato"/>
                <w:color w:val="000000" w:themeColor="text1"/>
              </w:rPr>
              <w:t>metylocytrynowy</w:t>
            </w:r>
            <w:proofErr w:type="spellEnd"/>
          </w:p>
        </w:tc>
        <w:tc>
          <w:tcPr>
            <w:tcW w:w="1359"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3ADAD450" w14:textId="77777777" w:rsidR="005E347E" w:rsidRPr="00AA22C4" w:rsidRDefault="005E347E" w:rsidP="00775DDD">
            <w:pPr>
              <w:pStyle w:val="Tekstprzypisudolnego"/>
              <w:spacing w:before="120" w:after="120" w:line="276" w:lineRule="auto"/>
              <w:contextualSpacing/>
              <w:rPr>
                <w:rFonts w:ascii="Lato" w:hAnsi="Lato"/>
                <w:color w:val="000000" w:themeColor="text1"/>
              </w:rPr>
            </w:pPr>
            <w:proofErr w:type="spellStart"/>
            <w:r w:rsidRPr="00AA22C4">
              <w:rPr>
                <w:rFonts w:ascii="Lato" w:hAnsi="Lato"/>
                <w:color w:val="000000" w:themeColor="text1"/>
              </w:rPr>
              <w:t>Biotynidaza</w:t>
            </w:r>
            <w:proofErr w:type="spellEnd"/>
          </w:p>
        </w:tc>
      </w:tr>
    </w:tbl>
    <w:p w14:paraId="10B2BF99" w14:textId="77777777" w:rsidR="005E347E" w:rsidRPr="00AA22C4" w:rsidRDefault="005E347E" w:rsidP="005E347E">
      <w:pPr>
        <w:pStyle w:val="Tekstprzypisudolnego"/>
        <w:spacing w:before="120" w:after="120"/>
        <w:contextualSpacing/>
        <w:jc w:val="both"/>
        <w:rPr>
          <w:rFonts w:ascii="Lato" w:hAnsi="Lato"/>
          <w:b/>
          <w:bCs/>
          <w:color w:val="000000" w:themeColor="text1"/>
          <w:sz w:val="22"/>
          <w:szCs w:val="22"/>
        </w:rPr>
      </w:pPr>
      <w:bookmarkStart w:id="48" w:name="_Toc491892705"/>
    </w:p>
    <w:p w14:paraId="6751E006" w14:textId="77777777" w:rsidR="00E163A0" w:rsidRPr="00AA22C4" w:rsidRDefault="00E163A0" w:rsidP="005E347E">
      <w:pPr>
        <w:pStyle w:val="Tekstprzypisudolnego"/>
        <w:spacing w:before="120" w:after="120"/>
        <w:contextualSpacing/>
        <w:jc w:val="both"/>
        <w:rPr>
          <w:rFonts w:ascii="Lato" w:hAnsi="Lato"/>
          <w:b/>
          <w:bCs/>
          <w:color w:val="000000" w:themeColor="text1"/>
          <w:sz w:val="22"/>
          <w:szCs w:val="22"/>
        </w:rPr>
      </w:pPr>
    </w:p>
    <w:p w14:paraId="2C716344" w14:textId="77777777" w:rsidR="00E163A0" w:rsidRPr="00AA22C4" w:rsidRDefault="00E163A0" w:rsidP="005E347E">
      <w:pPr>
        <w:pStyle w:val="Tekstprzypisudolnego"/>
        <w:spacing w:before="120" w:after="120"/>
        <w:contextualSpacing/>
        <w:jc w:val="both"/>
        <w:rPr>
          <w:rFonts w:ascii="Lato" w:hAnsi="Lato"/>
          <w:b/>
          <w:bCs/>
          <w:color w:val="000000" w:themeColor="text1"/>
          <w:sz w:val="22"/>
          <w:szCs w:val="22"/>
        </w:rPr>
      </w:pPr>
    </w:p>
    <w:p w14:paraId="5B89C9B9" w14:textId="77777777" w:rsidR="00E163A0" w:rsidRPr="00AA22C4" w:rsidRDefault="00E163A0" w:rsidP="005E347E">
      <w:pPr>
        <w:pStyle w:val="Tekstprzypisudolnego"/>
        <w:spacing w:before="120" w:after="120"/>
        <w:contextualSpacing/>
        <w:jc w:val="both"/>
        <w:rPr>
          <w:rFonts w:ascii="Lato" w:hAnsi="Lato"/>
          <w:b/>
          <w:bCs/>
          <w:color w:val="000000" w:themeColor="text1"/>
          <w:sz w:val="22"/>
          <w:szCs w:val="22"/>
        </w:rPr>
      </w:pPr>
    </w:p>
    <w:p w14:paraId="1056DD55" w14:textId="77777777" w:rsidR="00E163A0" w:rsidRPr="00AA22C4" w:rsidRDefault="00E163A0" w:rsidP="005E347E">
      <w:pPr>
        <w:pStyle w:val="Tekstprzypisudolnego"/>
        <w:spacing w:before="120" w:after="120"/>
        <w:contextualSpacing/>
        <w:jc w:val="both"/>
        <w:rPr>
          <w:rFonts w:ascii="Lato" w:hAnsi="Lato"/>
          <w:b/>
          <w:bCs/>
          <w:color w:val="000000" w:themeColor="text1"/>
          <w:sz w:val="22"/>
          <w:szCs w:val="22"/>
        </w:rPr>
      </w:pPr>
    </w:p>
    <w:p w14:paraId="14E23B03" w14:textId="7277C25C" w:rsidR="005E347E" w:rsidRPr="00AA22C4" w:rsidRDefault="00E163A0" w:rsidP="00E163A0">
      <w:pPr>
        <w:jc w:val="center"/>
        <w:rPr>
          <w:rFonts w:ascii="Lato" w:hAnsi="Lato"/>
          <w:b/>
          <w:bCs/>
          <w:color w:val="000000" w:themeColor="text1"/>
          <w:sz w:val="22"/>
          <w:szCs w:val="22"/>
        </w:rPr>
      </w:pPr>
      <w:r w:rsidRPr="00AA22C4">
        <w:rPr>
          <w:rFonts w:ascii="Lato" w:hAnsi="Lato"/>
          <w:b/>
          <w:bCs/>
          <w:color w:val="000000" w:themeColor="text1"/>
          <w:sz w:val="22"/>
          <w:szCs w:val="22"/>
        </w:rPr>
        <w:lastRenderedPageBreak/>
        <w:t>ALGORYTMY BADAŃ PRZESIEWOWYCH</w:t>
      </w:r>
      <w:bookmarkEnd w:id="48"/>
    </w:p>
    <w:p w14:paraId="45FEADEB" w14:textId="77777777" w:rsidR="005E347E" w:rsidRPr="00AA22C4" w:rsidRDefault="005E347E" w:rsidP="005E347E">
      <w:pPr>
        <w:pStyle w:val="Tekstprzypisudolnego"/>
        <w:spacing w:before="120" w:after="120"/>
        <w:contextualSpacing/>
        <w:jc w:val="both"/>
        <w:rPr>
          <w:rFonts w:ascii="Lato" w:hAnsi="Lato"/>
          <w:b/>
          <w:bCs/>
          <w:color w:val="000000" w:themeColor="text1"/>
          <w:sz w:val="22"/>
          <w:szCs w:val="22"/>
        </w:rPr>
      </w:pPr>
    </w:p>
    <w:p w14:paraId="5662E351" w14:textId="77777777" w:rsidR="005E347E" w:rsidRPr="00AA22C4" w:rsidRDefault="005E347E" w:rsidP="005E347E">
      <w:pPr>
        <w:pStyle w:val="Tekstprzypisudolnego"/>
        <w:numPr>
          <w:ilvl w:val="0"/>
          <w:numId w:val="22"/>
        </w:numPr>
        <w:spacing w:before="120" w:after="120"/>
        <w:contextualSpacing/>
        <w:jc w:val="both"/>
        <w:rPr>
          <w:rFonts w:ascii="Lato" w:hAnsi="Lato"/>
          <w:b/>
          <w:bCs/>
          <w:color w:val="000000" w:themeColor="text1"/>
          <w:sz w:val="22"/>
          <w:szCs w:val="22"/>
        </w:rPr>
      </w:pPr>
      <w:bookmarkStart w:id="49" w:name="_Toc491892706"/>
      <w:r w:rsidRPr="00AA22C4">
        <w:rPr>
          <w:rFonts w:ascii="Lato" w:hAnsi="Lato"/>
          <w:b/>
          <w:bCs/>
          <w:color w:val="000000" w:themeColor="text1"/>
          <w:sz w:val="22"/>
          <w:szCs w:val="22"/>
        </w:rPr>
        <w:t>Wrodzona niedoczynność tarczycy</w:t>
      </w:r>
      <w:bookmarkEnd w:id="49"/>
    </w:p>
    <w:p w14:paraId="2AB77730" w14:textId="77777777" w:rsidR="005E347E" w:rsidRPr="00AA22C4" w:rsidRDefault="005E347E" w:rsidP="005E347E">
      <w:pPr>
        <w:pStyle w:val="Tekstprzypisudolnego"/>
        <w:spacing w:before="120" w:after="120"/>
        <w:contextualSpacing/>
        <w:jc w:val="both"/>
        <w:rPr>
          <w:rFonts w:ascii="Lato" w:hAnsi="Lato"/>
          <w:b/>
          <w:color w:val="000000" w:themeColor="text1"/>
          <w:sz w:val="22"/>
          <w:szCs w:val="22"/>
        </w:rPr>
      </w:pPr>
    </w:p>
    <w:p w14:paraId="302B2C00" w14:textId="534548CD" w:rsidR="005E347E" w:rsidRPr="00AA22C4" w:rsidRDefault="005E347E" w:rsidP="005E347E">
      <w:pPr>
        <w:pStyle w:val="Tekstprzypisudolnego"/>
        <w:spacing w:before="120" w:after="120"/>
        <w:contextualSpacing/>
        <w:jc w:val="both"/>
        <w:rPr>
          <w:rFonts w:ascii="Lato" w:hAnsi="Lato"/>
          <w:b/>
          <w:color w:val="000000" w:themeColor="text1"/>
          <w:sz w:val="22"/>
          <w:szCs w:val="22"/>
        </w:rPr>
      </w:pPr>
      <w:r w:rsidRPr="00AA22C4">
        <w:rPr>
          <w:rFonts w:ascii="Lato" w:hAnsi="Lato"/>
          <w:b/>
          <w:color w:val="000000" w:themeColor="text1"/>
          <w:sz w:val="22"/>
          <w:szCs w:val="22"/>
        </w:rPr>
        <w:t>Ryc. 8 Klasyfikacj</w:t>
      </w:r>
      <w:r w:rsidR="000F2E15" w:rsidRPr="00AA22C4">
        <w:rPr>
          <w:rFonts w:ascii="Lato" w:hAnsi="Lato"/>
          <w:b/>
          <w:color w:val="000000" w:themeColor="text1"/>
          <w:sz w:val="22"/>
          <w:szCs w:val="22"/>
        </w:rPr>
        <w:t>a</w:t>
      </w:r>
      <w:r w:rsidRPr="00AA22C4">
        <w:rPr>
          <w:rFonts w:ascii="Lato" w:hAnsi="Lato"/>
          <w:b/>
          <w:color w:val="000000" w:themeColor="text1"/>
          <w:sz w:val="22"/>
          <w:szCs w:val="22"/>
        </w:rPr>
        <w:t xml:space="preserve"> wyników badań przesiewowych w kierunku wrodzonej niedoczynności tarczycy (WNT).</w:t>
      </w:r>
    </w:p>
    <w:p w14:paraId="0343D8D7" w14:textId="077E029C" w:rsidR="005E347E" w:rsidRPr="00AA22C4" w:rsidRDefault="005E347E" w:rsidP="005E347E">
      <w:pPr>
        <w:pStyle w:val="Tekstprzypisudolnego"/>
        <w:spacing w:before="120" w:after="120"/>
        <w:contextualSpacing/>
        <w:jc w:val="both"/>
        <w:rPr>
          <w:rFonts w:ascii="Lato" w:hAnsi="Lato"/>
          <w:color w:val="000000" w:themeColor="text1"/>
          <w:sz w:val="22"/>
          <w:szCs w:val="22"/>
        </w:rPr>
      </w:pPr>
    </w:p>
    <w:p w14:paraId="5CE2659A" w14:textId="7EA3C349" w:rsidR="005E347E" w:rsidRPr="00AA22C4" w:rsidRDefault="005110F2" w:rsidP="005E347E">
      <w:pPr>
        <w:widowControl/>
        <w:spacing w:line="240" w:lineRule="auto"/>
        <w:ind w:left="1276"/>
        <w:rPr>
          <w:rFonts w:ascii="Lato" w:hAnsi="Lato"/>
          <w:b/>
          <w:bCs/>
          <w:color w:val="000000" w:themeColor="text1"/>
          <w:sz w:val="22"/>
          <w:szCs w:val="22"/>
        </w:rPr>
      </w:pPr>
      <w:r w:rsidRPr="00AA22C4">
        <w:rPr>
          <w:rFonts w:ascii="Lato" w:hAnsi="Lato"/>
          <w:b/>
          <w:noProof/>
          <w:color w:val="000000" w:themeColor="text1"/>
          <w:sz w:val="22"/>
          <w:szCs w:val="22"/>
        </w:rPr>
        <w:drawing>
          <wp:inline distT="0" distB="0" distL="0" distR="0" wp14:anchorId="6E5C3133" wp14:editId="1544775C">
            <wp:extent cx="4152900" cy="5000625"/>
            <wp:effectExtent l="0" t="0" r="0" b="0"/>
            <wp:docPr id="5" name="Obraz 13" descr="Obraz zawierający tekst, zrzut ekranu, Czcionka,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descr="Obraz zawierający tekst, zrzut ekranu, Czcionka, numer&#10;&#10;Opis wygenerowany automatyczni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52900" cy="5000625"/>
                    </a:xfrm>
                    <a:prstGeom prst="rect">
                      <a:avLst/>
                    </a:prstGeom>
                    <a:noFill/>
                    <a:ln>
                      <a:noFill/>
                    </a:ln>
                  </pic:spPr>
                </pic:pic>
              </a:graphicData>
            </a:graphic>
          </wp:inline>
        </w:drawing>
      </w:r>
      <w:r w:rsidR="005E347E" w:rsidRPr="00AA22C4">
        <w:rPr>
          <w:rFonts w:ascii="Lato" w:hAnsi="Lato"/>
          <w:b/>
          <w:bCs/>
          <w:color w:val="000000" w:themeColor="text1"/>
          <w:sz w:val="22"/>
          <w:szCs w:val="22"/>
        </w:rPr>
        <w:br w:type="page"/>
      </w:r>
    </w:p>
    <w:p w14:paraId="7460B94F" w14:textId="77777777" w:rsidR="005E347E" w:rsidRPr="00AA22C4" w:rsidRDefault="005E347E" w:rsidP="005E347E">
      <w:pPr>
        <w:pStyle w:val="Tekstprzypisudolnego"/>
        <w:numPr>
          <w:ilvl w:val="0"/>
          <w:numId w:val="22"/>
        </w:numPr>
        <w:spacing w:before="120" w:after="120"/>
        <w:contextualSpacing/>
        <w:jc w:val="both"/>
        <w:rPr>
          <w:rFonts w:ascii="Lato" w:hAnsi="Lato"/>
          <w:b/>
          <w:bCs/>
          <w:color w:val="000000" w:themeColor="text1"/>
          <w:sz w:val="22"/>
          <w:szCs w:val="22"/>
        </w:rPr>
      </w:pPr>
      <w:bookmarkStart w:id="50" w:name="_Toc491892707"/>
      <w:r w:rsidRPr="00AA22C4">
        <w:rPr>
          <w:rFonts w:ascii="Lato" w:hAnsi="Lato"/>
          <w:b/>
          <w:bCs/>
          <w:color w:val="000000" w:themeColor="text1"/>
          <w:sz w:val="22"/>
          <w:szCs w:val="22"/>
        </w:rPr>
        <w:lastRenderedPageBreak/>
        <w:t>Wrodzony przerost nadnerczy</w:t>
      </w:r>
      <w:bookmarkEnd w:id="50"/>
    </w:p>
    <w:p w14:paraId="3DB1FFEA" w14:textId="77777777" w:rsidR="005E347E" w:rsidRPr="00AA22C4" w:rsidRDefault="005E347E" w:rsidP="005E347E">
      <w:pPr>
        <w:pStyle w:val="Tekstprzypisudolnego"/>
        <w:spacing w:before="120" w:after="120"/>
        <w:contextualSpacing/>
        <w:jc w:val="both"/>
        <w:rPr>
          <w:rFonts w:ascii="Lato" w:hAnsi="Lato"/>
          <w:b/>
          <w:color w:val="000000" w:themeColor="text1"/>
          <w:sz w:val="22"/>
          <w:szCs w:val="22"/>
        </w:rPr>
      </w:pPr>
    </w:p>
    <w:p w14:paraId="70B3835B" w14:textId="04F66AB5" w:rsidR="005E347E" w:rsidRPr="00AA22C4" w:rsidRDefault="005110F2" w:rsidP="005E347E">
      <w:pPr>
        <w:pStyle w:val="Tekstprzypisudolnego"/>
        <w:spacing w:before="120" w:after="120"/>
        <w:contextualSpacing/>
        <w:jc w:val="both"/>
        <w:rPr>
          <w:rFonts w:ascii="Lato" w:hAnsi="Lato"/>
          <w:b/>
          <w:color w:val="000000" w:themeColor="text1"/>
          <w:sz w:val="22"/>
          <w:szCs w:val="22"/>
        </w:rPr>
      </w:pPr>
      <w:r w:rsidRPr="00AA22C4">
        <w:rPr>
          <w:noProof/>
          <w:color w:val="000000" w:themeColor="text1"/>
        </w:rPr>
        <w:drawing>
          <wp:anchor distT="0" distB="0" distL="114300" distR="114300" simplePos="0" relativeHeight="251650560" behindDoc="0" locked="0" layoutInCell="1" allowOverlap="1" wp14:anchorId="6C6FC624" wp14:editId="6DCA4CEF">
            <wp:simplePos x="0" y="0"/>
            <wp:positionH relativeFrom="margin">
              <wp:posOffset>278130</wp:posOffset>
            </wp:positionH>
            <wp:positionV relativeFrom="margin">
              <wp:posOffset>1024255</wp:posOffset>
            </wp:positionV>
            <wp:extent cx="5193030" cy="3700780"/>
            <wp:effectExtent l="0" t="0" r="0" b="0"/>
            <wp:wrapSquare wrapText="bothSides"/>
            <wp:docPr id="1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93030" cy="3700780"/>
                    </a:xfrm>
                    <a:prstGeom prst="rect">
                      <a:avLst/>
                    </a:prstGeom>
                    <a:noFill/>
                    <a:ln>
                      <a:noFill/>
                    </a:ln>
                  </pic:spPr>
                </pic:pic>
              </a:graphicData>
            </a:graphic>
            <wp14:sizeRelH relativeFrom="page">
              <wp14:pctWidth>0</wp14:pctWidth>
            </wp14:sizeRelH>
            <wp14:sizeRelV relativeFrom="page">
              <wp14:pctHeight>0</wp14:pctHeight>
            </wp14:sizeRelV>
          </wp:anchor>
        </w:drawing>
      </w:r>
      <w:r w:rsidR="005E347E" w:rsidRPr="00AA22C4">
        <w:rPr>
          <w:rFonts w:ascii="Lato" w:hAnsi="Lato"/>
          <w:b/>
          <w:color w:val="000000" w:themeColor="text1"/>
          <w:sz w:val="22"/>
          <w:szCs w:val="22"/>
        </w:rPr>
        <w:t>Ryc. 9 Klasyfikacja wyników badań przesiewowych w kierunku wrodzonego przerostu nadnerczy (WPN) = deficytu 21-hydroksylazy steroidowej.</w:t>
      </w:r>
    </w:p>
    <w:p w14:paraId="31C3219C"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p>
    <w:p w14:paraId="25ED38B6" w14:textId="0FBA47C1" w:rsidR="005E347E" w:rsidRPr="00AA22C4" w:rsidRDefault="005110F2" w:rsidP="005E347E">
      <w:pPr>
        <w:pStyle w:val="Tekstprzypisudolnego"/>
        <w:spacing w:before="120" w:after="120"/>
        <w:contextualSpacing/>
        <w:jc w:val="both"/>
        <w:rPr>
          <w:rFonts w:ascii="Lato" w:hAnsi="Lato"/>
          <w:b/>
          <w:bCs/>
          <w:color w:val="000000" w:themeColor="text1"/>
          <w:sz w:val="22"/>
          <w:szCs w:val="22"/>
        </w:rPr>
      </w:pPr>
      <w:r w:rsidRPr="00AA22C4">
        <w:rPr>
          <w:noProof/>
          <w:color w:val="000000" w:themeColor="text1"/>
        </w:rPr>
        <w:drawing>
          <wp:anchor distT="0" distB="0" distL="114300" distR="114300" simplePos="0" relativeHeight="251651584" behindDoc="0" locked="0" layoutInCell="1" allowOverlap="1" wp14:anchorId="17113E87" wp14:editId="2B2A4588">
            <wp:simplePos x="0" y="0"/>
            <wp:positionH relativeFrom="margin">
              <wp:posOffset>278130</wp:posOffset>
            </wp:positionH>
            <wp:positionV relativeFrom="margin">
              <wp:posOffset>5063490</wp:posOffset>
            </wp:positionV>
            <wp:extent cx="4936490" cy="3814445"/>
            <wp:effectExtent l="0" t="0" r="0" b="0"/>
            <wp:wrapSquare wrapText="bothSides"/>
            <wp:docPr id="1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6490" cy="3814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A56C32" w14:textId="77777777" w:rsidR="005E347E" w:rsidRPr="00AA22C4" w:rsidRDefault="005E347E" w:rsidP="005E347E">
      <w:pPr>
        <w:pStyle w:val="Tekstprzypisudolnego"/>
        <w:spacing w:before="120" w:after="120"/>
        <w:contextualSpacing/>
        <w:jc w:val="center"/>
        <w:rPr>
          <w:rFonts w:ascii="Lato" w:hAnsi="Lato"/>
          <w:color w:val="000000" w:themeColor="text1"/>
          <w:sz w:val="22"/>
          <w:szCs w:val="22"/>
        </w:rPr>
      </w:pPr>
    </w:p>
    <w:p w14:paraId="1D3477FB" w14:textId="77777777" w:rsidR="005E347E" w:rsidRPr="00AA22C4" w:rsidRDefault="005E347E" w:rsidP="005E347E">
      <w:pPr>
        <w:pStyle w:val="Tekstprzypisudolnego"/>
        <w:spacing w:before="120" w:after="120"/>
        <w:contextualSpacing/>
        <w:jc w:val="center"/>
        <w:rPr>
          <w:rFonts w:ascii="Lato" w:hAnsi="Lato"/>
          <w:color w:val="000000" w:themeColor="text1"/>
          <w:sz w:val="22"/>
          <w:szCs w:val="22"/>
        </w:rPr>
      </w:pPr>
    </w:p>
    <w:p w14:paraId="00EBAC68" w14:textId="77777777" w:rsidR="005E347E" w:rsidRPr="00AA22C4" w:rsidRDefault="005E347E" w:rsidP="005E347E">
      <w:pPr>
        <w:pStyle w:val="Tekstprzypisudolnego"/>
        <w:spacing w:before="120" w:after="120"/>
        <w:contextualSpacing/>
        <w:jc w:val="center"/>
        <w:rPr>
          <w:rFonts w:ascii="Lato" w:hAnsi="Lato"/>
          <w:color w:val="000000" w:themeColor="text1"/>
          <w:sz w:val="22"/>
          <w:szCs w:val="22"/>
        </w:rPr>
      </w:pPr>
    </w:p>
    <w:p w14:paraId="6C41CB8C" w14:textId="77777777" w:rsidR="005E347E" w:rsidRPr="00AA22C4" w:rsidRDefault="005E347E" w:rsidP="005E347E">
      <w:pPr>
        <w:pStyle w:val="Tekstprzypisudolnego"/>
        <w:spacing w:before="120" w:after="120"/>
        <w:contextualSpacing/>
        <w:jc w:val="center"/>
        <w:rPr>
          <w:rFonts w:ascii="Lato" w:hAnsi="Lato"/>
          <w:color w:val="000000" w:themeColor="text1"/>
          <w:sz w:val="22"/>
          <w:szCs w:val="22"/>
        </w:rPr>
      </w:pPr>
    </w:p>
    <w:p w14:paraId="332ABBCA" w14:textId="77777777" w:rsidR="005E347E" w:rsidRPr="00AA22C4" w:rsidRDefault="005E347E" w:rsidP="005E347E">
      <w:pPr>
        <w:pStyle w:val="Tekstprzypisudolnego"/>
        <w:spacing w:before="120" w:after="120"/>
        <w:contextualSpacing/>
        <w:jc w:val="center"/>
        <w:rPr>
          <w:rFonts w:ascii="Lato" w:hAnsi="Lato"/>
          <w:color w:val="000000" w:themeColor="text1"/>
          <w:sz w:val="22"/>
          <w:szCs w:val="22"/>
        </w:rPr>
      </w:pPr>
    </w:p>
    <w:p w14:paraId="0972F20D" w14:textId="77777777" w:rsidR="005E347E" w:rsidRPr="00AA22C4" w:rsidRDefault="005E347E" w:rsidP="005E347E">
      <w:pPr>
        <w:pStyle w:val="Tekstprzypisudolnego"/>
        <w:spacing w:before="120" w:after="120"/>
        <w:contextualSpacing/>
        <w:jc w:val="center"/>
        <w:rPr>
          <w:rFonts w:ascii="Lato" w:hAnsi="Lato"/>
          <w:color w:val="000000" w:themeColor="text1"/>
          <w:sz w:val="22"/>
          <w:szCs w:val="22"/>
        </w:rPr>
      </w:pPr>
    </w:p>
    <w:p w14:paraId="19BCA302" w14:textId="77777777" w:rsidR="005E347E" w:rsidRPr="00AA22C4" w:rsidRDefault="005E347E" w:rsidP="005E347E">
      <w:pPr>
        <w:pStyle w:val="Tekstprzypisudolnego"/>
        <w:spacing w:before="120" w:after="120"/>
        <w:contextualSpacing/>
        <w:jc w:val="center"/>
        <w:rPr>
          <w:rFonts w:ascii="Lato" w:hAnsi="Lato"/>
          <w:color w:val="000000" w:themeColor="text1"/>
          <w:sz w:val="22"/>
          <w:szCs w:val="22"/>
        </w:rPr>
      </w:pPr>
    </w:p>
    <w:p w14:paraId="74C645BC" w14:textId="77777777" w:rsidR="005E347E" w:rsidRPr="00AA22C4" w:rsidRDefault="005E347E" w:rsidP="005E347E">
      <w:pPr>
        <w:pStyle w:val="Tekstprzypisudolnego"/>
        <w:spacing w:before="120" w:after="120"/>
        <w:contextualSpacing/>
        <w:jc w:val="center"/>
        <w:rPr>
          <w:rFonts w:ascii="Lato" w:hAnsi="Lato"/>
          <w:color w:val="000000" w:themeColor="text1"/>
          <w:sz w:val="22"/>
          <w:szCs w:val="22"/>
        </w:rPr>
      </w:pPr>
    </w:p>
    <w:p w14:paraId="756E3E78" w14:textId="77777777" w:rsidR="005E347E" w:rsidRPr="00AA22C4" w:rsidRDefault="005E347E" w:rsidP="005E347E">
      <w:pPr>
        <w:pStyle w:val="Tekstprzypisudolnego"/>
        <w:spacing w:before="120" w:after="120"/>
        <w:contextualSpacing/>
        <w:jc w:val="center"/>
        <w:rPr>
          <w:rFonts w:ascii="Lato" w:hAnsi="Lato"/>
          <w:color w:val="000000" w:themeColor="text1"/>
          <w:sz w:val="22"/>
          <w:szCs w:val="22"/>
        </w:rPr>
      </w:pPr>
    </w:p>
    <w:p w14:paraId="215F877E" w14:textId="77777777" w:rsidR="005E347E" w:rsidRPr="00AA22C4" w:rsidRDefault="005E347E" w:rsidP="005E347E">
      <w:pPr>
        <w:pStyle w:val="Tekstprzypisudolnego"/>
        <w:spacing w:before="120" w:after="120"/>
        <w:contextualSpacing/>
        <w:jc w:val="center"/>
        <w:rPr>
          <w:rFonts w:ascii="Lato" w:hAnsi="Lato"/>
          <w:color w:val="000000" w:themeColor="text1"/>
          <w:sz w:val="22"/>
          <w:szCs w:val="22"/>
        </w:rPr>
      </w:pPr>
    </w:p>
    <w:p w14:paraId="68DDB706" w14:textId="77777777" w:rsidR="005E347E" w:rsidRPr="00AA22C4" w:rsidRDefault="005E347E" w:rsidP="005E347E">
      <w:pPr>
        <w:pStyle w:val="Tekstprzypisudolnego"/>
        <w:spacing w:before="120" w:after="120"/>
        <w:contextualSpacing/>
        <w:jc w:val="center"/>
        <w:rPr>
          <w:rFonts w:ascii="Lato" w:hAnsi="Lato"/>
          <w:color w:val="000000" w:themeColor="text1"/>
          <w:sz w:val="22"/>
          <w:szCs w:val="22"/>
        </w:rPr>
      </w:pPr>
    </w:p>
    <w:p w14:paraId="1CC3619C" w14:textId="77777777" w:rsidR="005E347E" w:rsidRPr="00AA22C4" w:rsidRDefault="005E347E" w:rsidP="005E347E">
      <w:pPr>
        <w:pStyle w:val="Tekstprzypisudolnego"/>
        <w:spacing w:before="120" w:after="120"/>
        <w:contextualSpacing/>
        <w:jc w:val="center"/>
        <w:rPr>
          <w:rFonts w:ascii="Lato" w:hAnsi="Lato"/>
          <w:color w:val="000000" w:themeColor="text1"/>
          <w:sz w:val="22"/>
          <w:szCs w:val="22"/>
        </w:rPr>
      </w:pPr>
    </w:p>
    <w:p w14:paraId="0E845DE4" w14:textId="77777777" w:rsidR="005E347E" w:rsidRPr="00AA22C4" w:rsidRDefault="005E347E" w:rsidP="005E347E">
      <w:pPr>
        <w:pStyle w:val="Tekstprzypisudolnego"/>
        <w:spacing w:before="120" w:after="120"/>
        <w:contextualSpacing/>
        <w:jc w:val="center"/>
        <w:rPr>
          <w:rFonts w:ascii="Lato" w:hAnsi="Lato"/>
          <w:b/>
          <w:bCs/>
          <w:color w:val="000000" w:themeColor="text1"/>
          <w:sz w:val="22"/>
          <w:szCs w:val="22"/>
        </w:rPr>
      </w:pPr>
    </w:p>
    <w:p w14:paraId="07129A7F"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bookmarkStart w:id="51" w:name="_Hlk491502293"/>
    </w:p>
    <w:bookmarkEnd w:id="51"/>
    <w:p w14:paraId="6FBDA31F" w14:textId="77777777" w:rsidR="005E347E" w:rsidRPr="00AA22C4" w:rsidRDefault="005E347E" w:rsidP="005E347E">
      <w:pPr>
        <w:pStyle w:val="Tekstprzypisudolnego"/>
        <w:spacing w:before="120" w:after="120"/>
        <w:contextualSpacing/>
        <w:jc w:val="both"/>
        <w:rPr>
          <w:rFonts w:ascii="Lato" w:hAnsi="Lato"/>
          <w:b/>
          <w:color w:val="000000" w:themeColor="text1"/>
          <w:sz w:val="22"/>
          <w:szCs w:val="22"/>
        </w:rPr>
      </w:pPr>
      <w:r w:rsidRPr="00AA22C4">
        <w:rPr>
          <w:rFonts w:ascii="Lato" w:hAnsi="Lato"/>
          <w:b/>
          <w:color w:val="000000" w:themeColor="text1"/>
          <w:sz w:val="22"/>
          <w:szCs w:val="22"/>
        </w:rPr>
        <w:lastRenderedPageBreak/>
        <w:t xml:space="preserve">Ryc. 10 Zakresy norm dla 17-OHP opracowane w 2022 </w:t>
      </w:r>
      <w:proofErr w:type="gramStart"/>
      <w:r w:rsidRPr="00AA22C4">
        <w:rPr>
          <w:rFonts w:ascii="Lato" w:hAnsi="Lato"/>
          <w:b/>
          <w:color w:val="000000" w:themeColor="text1"/>
          <w:sz w:val="22"/>
          <w:szCs w:val="22"/>
        </w:rPr>
        <w:t xml:space="preserve">w  </w:t>
      </w:r>
      <w:proofErr w:type="spellStart"/>
      <w:r w:rsidRPr="00AA22C4">
        <w:rPr>
          <w:rFonts w:ascii="Lato" w:hAnsi="Lato"/>
          <w:b/>
          <w:color w:val="000000" w:themeColor="text1"/>
          <w:sz w:val="22"/>
          <w:szCs w:val="22"/>
        </w:rPr>
        <w:t>ZBPiDM</w:t>
      </w:r>
      <w:proofErr w:type="spellEnd"/>
      <w:proofErr w:type="gramEnd"/>
      <w:r w:rsidRPr="00AA22C4">
        <w:rPr>
          <w:rFonts w:ascii="Lato" w:hAnsi="Lato"/>
          <w:b/>
          <w:color w:val="000000" w:themeColor="text1"/>
          <w:sz w:val="22"/>
          <w:szCs w:val="22"/>
        </w:rPr>
        <w:t xml:space="preserve"> IMiD.</w:t>
      </w:r>
    </w:p>
    <w:p w14:paraId="5927C3D0"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p>
    <w:p w14:paraId="658FDD99" w14:textId="55F79F18" w:rsidR="005E347E" w:rsidRPr="00AA22C4" w:rsidRDefault="005110F2" w:rsidP="005E347E">
      <w:pPr>
        <w:pStyle w:val="Tekstprzypisudolnego"/>
        <w:spacing w:before="120" w:after="120"/>
        <w:contextualSpacing/>
        <w:jc w:val="both"/>
        <w:rPr>
          <w:rFonts w:ascii="Lato" w:hAnsi="Lato"/>
          <w:color w:val="000000" w:themeColor="text1"/>
          <w:sz w:val="22"/>
          <w:szCs w:val="22"/>
        </w:rPr>
      </w:pPr>
      <w:r w:rsidRPr="00AA22C4">
        <w:rPr>
          <w:rFonts w:ascii="Lato" w:hAnsi="Lato"/>
          <w:noProof/>
          <w:color w:val="000000" w:themeColor="text1"/>
          <w:sz w:val="22"/>
          <w:szCs w:val="22"/>
        </w:rPr>
        <w:drawing>
          <wp:inline distT="0" distB="0" distL="0" distR="0" wp14:anchorId="61D8630B" wp14:editId="622C3B9B">
            <wp:extent cx="6200775" cy="4333875"/>
            <wp:effectExtent l="0" t="0" r="0" b="0"/>
            <wp:docPr id="6" name="Obraz 16" descr="Obraz zawierający zrzut ekranu, linia, Równolegl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 descr="Obraz zawierający zrzut ekranu, linia, Równolegle&#10;&#10;Opis wygenerowany automatyczni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00775" cy="4333875"/>
                    </a:xfrm>
                    <a:prstGeom prst="rect">
                      <a:avLst/>
                    </a:prstGeom>
                    <a:noFill/>
                    <a:ln>
                      <a:noFill/>
                    </a:ln>
                  </pic:spPr>
                </pic:pic>
              </a:graphicData>
            </a:graphic>
          </wp:inline>
        </w:drawing>
      </w:r>
    </w:p>
    <w:p w14:paraId="5B352B05" w14:textId="77777777" w:rsidR="005E347E" w:rsidRPr="00AA22C4" w:rsidRDefault="005E347E" w:rsidP="005E347E">
      <w:pPr>
        <w:pStyle w:val="Tekstprzypisudolnego"/>
        <w:spacing w:before="120" w:after="120"/>
        <w:contextualSpacing/>
        <w:jc w:val="both"/>
        <w:rPr>
          <w:rFonts w:ascii="Lato" w:hAnsi="Lato"/>
          <w:b/>
          <w:color w:val="000000" w:themeColor="text1"/>
          <w:sz w:val="22"/>
          <w:szCs w:val="22"/>
        </w:rPr>
      </w:pPr>
    </w:p>
    <w:p w14:paraId="21C042FF" w14:textId="77777777" w:rsidR="005E347E" w:rsidRPr="00AA22C4" w:rsidRDefault="005E347E" w:rsidP="005E347E">
      <w:pPr>
        <w:widowControl/>
        <w:spacing w:line="240" w:lineRule="auto"/>
        <w:rPr>
          <w:rFonts w:ascii="Lato" w:hAnsi="Lato"/>
          <w:b/>
          <w:color w:val="000000" w:themeColor="text1"/>
          <w:sz w:val="22"/>
          <w:szCs w:val="22"/>
        </w:rPr>
      </w:pPr>
      <w:r w:rsidRPr="00AA22C4">
        <w:rPr>
          <w:rFonts w:ascii="Lato" w:hAnsi="Lato"/>
          <w:b/>
          <w:color w:val="000000" w:themeColor="text1"/>
          <w:sz w:val="22"/>
          <w:szCs w:val="22"/>
        </w:rPr>
        <w:t>Tab. 4 Profil steroidowy oznaczany metodą LC/MS/MS w II etapie badania przesiewowego.</w:t>
      </w:r>
    </w:p>
    <w:p w14:paraId="67D704DB" w14:textId="77777777" w:rsidR="005E347E" w:rsidRPr="00AA22C4" w:rsidRDefault="005E347E" w:rsidP="005E347E">
      <w:pPr>
        <w:widowControl/>
        <w:spacing w:line="240" w:lineRule="auto"/>
        <w:rPr>
          <w:rFonts w:ascii="Lato" w:hAnsi="Lato"/>
          <w:b/>
          <w:color w:val="000000" w:themeColor="text1"/>
          <w:sz w:val="22"/>
          <w:szCs w:val="22"/>
        </w:rPr>
      </w:pPr>
    </w:p>
    <w:tbl>
      <w:tblPr>
        <w:tblW w:w="8600" w:type="dxa"/>
        <w:jc w:val="center"/>
        <w:tblCellMar>
          <w:left w:w="0" w:type="dxa"/>
          <w:right w:w="0" w:type="dxa"/>
        </w:tblCellMar>
        <w:tblLook w:val="04A0" w:firstRow="1" w:lastRow="0" w:firstColumn="1" w:lastColumn="0" w:noHBand="0" w:noVBand="1"/>
      </w:tblPr>
      <w:tblGrid>
        <w:gridCol w:w="5198"/>
        <w:gridCol w:w="3402"/>
      </w:tblGrid>
      <w:tr w:rsidR="00B3776C" w:rsidRPr="00B3776C" w14:paraId="40C240C7" w14:textId="77777777" w:rsidTr="00775DDD">
        <w:trPr>
          <w:trHeight w:val="600"/>
          <w:jc w:val="center"/>
        </w:trPr>
        <w:tc>
          <w:tcPr>
            <w:tcW w:w="5198" w:type="dxa"/>
            <w:tcBorders>
              <w:top w:val="single" w:sz="8" w:space="0" w:color="000000"/>
              <w:left w:val="single" w:sz="8" w:space="0" w:color="000000"/>
              <w:bottom w:val="single" w:sz="8" w:space="0" w:color="000000"/>
              <w:right w:val="single" w:sz="8" w:space="0" w:color="000000"/>
            </w:tcBorders>
            <w:shd w:val="clear" w:color="auto" w:fill="D9E2F3"/>
            <w:tcMar>
              <w:top w:w="11" w:type="dxa"/>
              <w:left w:w="95" w:type="dxa"/>
              <w:bottom w:w="0" w:type="dxa"/>
              <w:right w:w="95" w:type="dxa"/>
            </w:tcMar>
            <w:vAlign w:val="center"/>
            <w:hideMark/>
          </w:tcPr>
          <w:p w14:paraId="3EE225B1" w14:textId="77777777" w:rsidR="005E347E" w:rsidRPr="00AA22C4" w:rsidRDefault="005E347E" w:rsidP="00775DDD">
            <w:pPr>
              <w:pStyle w:val="Tekstprzypisudolnego"/>
              <w:spacing w:before="120" w:after="120"/>
              <w:contextualSpacing/>
              <w:jc w:val="both"/>
              <w:rPr>
                <w:rFonts w:ascii="Lato" w:hAnsi="Lato"/>
                <w:b/>
                <w:bCs/>
                <w:color w:val="000000" w:themeColor="text1"/>
                <w:sz w:val="22"/>
                <w:szCs w:val="22"/>
                <w:lang w:val="en-US"/>
              </w:rPr>
            </w:pPr>
            <w:proofErr w:type="spellStart"/>
            <w:r w:rsidRPr="00AA22C4">
              <w:rPr>
                <w:rFonts w:ascii="Lato" w:hAnsi="Lato"/>
                <w:b/>
                <w:bCs/>
                <w:color w:val="000000" w:themeColor="text1"/>
                <w:sz w:val="22"/>
                <w:szCs w:val="22"/>
                <w:lang w:val="en-US"/>
              </w:rPr>
              <w:t>Oznaczany</w:t>
            </w:r>
            <w:proofErr w:type="spellEnd"/>
            <w:r w:rsidRPr="00AA22C4">
              <w:rPr>
                <w:rFonts w:ascii="Lato" w:hAnsi="Lato"/>
                <w:b/>
                <w:bCs/>
                <w:color w:val="000000" w:themeColor="text1"/>
                <w:sz w:val="22"/>
                <w:szCs w:val="22"/>
                <w:lang w:val="en-US"/>
              </w:rPr>
              <w:t xml:space="preserve"> steroid</w:t>
            </w:r>
          </w:p>
        </w:tc>
        <w:tc>
          <w:tcPr>
            <w:tcW w:w="3402" w:type="dxa"/>
            <w:tcBorders>
              <w:top w:val="single" w:sz="8" w:space="0" w:color="000000"/>
              <w:left w:val="single" w:sz="8" w:space="0" w:color="000000"/>
              <w:bottom w:val="single" w:sz="8" w:space="0" w:color="000000"/>
              <w:right w:val="single" w:sz="8" w:space="0" w:color="000000"/>
            </w:tcBorders>
            <w:shd w:val="clear" w:color="auto" w:fill="D9E2F3"/>
            <w:tcMar>
              <w:top w:w="11" w:type="dxa"/>
              <w:left w:w="95" w:type="dxa"/>
              <w:bottom w:w="0" w:type="dxa"/>
              <w:right w:w="95" w:type="dxa"/>
            </w:tcMar>
            <w:vAlign w:val="center"/>
            <w:hideMark/>
          </w:tcPr>
          <w:p w14:paraId="04CCD2DE" w14:textId="77777777" w:rsidR="005E347E" w:rsidRPr="00AA22C4" w:rsidRDefault="005E347E" w:rsidP="00775DDD">
            <w:pPr>
              <w:pStyle w:val="Tekstprzypisudolnego"/>
              <w:spacing w:before="120" w:after="120"/>
              <w:contextualSpacing/>
              <w:jc w:val="both"/>
              <w:rPr>
                <w:rFonts w:ascii="Lato" w:hAnsi="Lato"/>
                <w:b/>
                <w:bCs/>
                <w:color w:val="000000" w:themeColor="text1"/>
                <w:sz w:val="22"/>
                <w:szCs w:val="22"/>
              </w:rPr>
            </w:pPr>
            <w:r w:rsidRPr="00AA22C4">
              <w:rPr>
                <w:rFonts w:ascii="Lato" w:hAnsi="Lato"/>
                <w:b/>
                <w:bCs/>
                <w:color w:val="000000" w:themeColor="text1"/>
                <w:sz w:val="22"/>
                <w:szCs w:val="22"/>
              </w:rPr>
              <w:t>Norma [</w:t>
            </w:r>
            <w:proofErr w:type="spellStart"/>
            <w:r w:rsidRPr="00AA22C4">
              <w:rPr>
                <w:rFonts w:ascii="Lato" w:hAnsi="Lato"/>
                <w:b/>
                <w:bCs/>
                <w:color w:val="000000" w:themeColor="text1"/>
                <w:sz w:val="22"/>
                <w:szCs w:val="22"/>
              </w:rPr>
              <w:t>nmol</w:t>
            </w:r>
            <w:proofErr w:type="spellEnd"/>
            <w:r w:rsidRPr="00AA22C4">
              <w:rPr>
                <w:rFonts w:ascii="Lato" w:hAnsi="Lato"/>
                <w:b/>
                <w:bCs/>
                <w:color w:val="000000" w:themeColor="text1"/>
                <w:sz w:val="22"/>
                <w:szCs w:val="22"/>
              </w:rPr>
              <w:t>/</w:t>
            </w:r>
            <w:proofErr w:type="gramStart"/>
            <w:r w:rsidRPr="00AA22C4">
              <w:rPr>
                <w:rFonts w:ascii="Lato" w:hAnsi="Lato"/>
                <w:b/>
                <w:bCs/>
                <w:color w:val="000000" w:themeColor="text1"/>
                <w:sz w:val="22"/>
                <w:szCs w:val="22"/>
              </w:rPr>
              <w:t>L]*</w:t>
            </w:r>
            <w:proofErr w:type="gramEnd"/>
          </w:p>
        </w:tc>
      </w:tr>
      <w:tr w:rsidR="00B3776C" w:rsidRPr="00B3776C" w14:paraId="22A3E2A7" w14:textId="77777777" w:rsidTr="00775DDD">
        <w:trPr>
          <w:trHeight w:val="397"/>
          <w:jc w:val="center"/>
        </w:trPr>
        <w:tc>
          <w:tcPr>
            <w:tcW w:w="5198"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773BD99F" w14:textId="77777777" w:rsidR="005E347E" w:rsidRPr="00AA22C4" w:rsidRDefault="005E347E" w:rsidP="00775DDD">
            <w:pPr>
              <w:pStyle w:val="Tekstprzypisudolnego"/>
              <w:contextualSpacing/>
              <w:rPr>
                <w:rFonts w:ascii="Lato" w:hAnsi="Lato"/>
                <w:color w:val="000000" w:themeColor="text1"/>
                <w:sz w:val="22"/>
                <w:szCs w:val="22"/>
              </w:rPr>
            </w:pPr>
            <w:r w:rsidRPr="00AA22C4">
              <w:rPr>
                <w:rFonts w:ascii="Lato" w:hAnsi="Lato"/>
                <w:color w:val="000000" w:themeColor="text1"/>
                <w:sz w:val="22"/>
                <w:szCs w:val="22"/>
                <w:lang w:val="en-US"/>
              </w:rPr>
              <w:t>17-OHP</w:t>
            </w:r>
          </w:p>
        </w:tc>
        <w:tc>
          <w:tcPr>
            <w:tcW w:w="3402"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4E18A5F7" w14:textId="77777777" w:rsidR="005E347E" w:rsidRPr="00AA22C4" w:rsidRDefault="005E347E" w:rsidP="00775DDD">
            <w:pPr>
              <w:pStyle w:val="Tekstprzypisudolnego"/>
              <w:contextualSpacing/>
              <w:rPr>
                <w:rFonts w:ascii="Lato" w:hAnsi="Lato"/>
                <w:color w:val="000000" w:themeColor="text1"/>
                <w:sz w:val="22"/>
                <w:szCs w:val="22"/>
              </w:rPr>
            </w:pPr>
            <w:r w:rsidRPr="00AA22C4">
              <w:rPr>
                <w:rFonts w:ascii="Lato" w:hAnsi="Lato"/>
                <w:color w:val="000000" w:themeColor="text1"/>
                <w:sz w:val="22"/>
                <w:szCs w:val="22"/>
                <w:lang w:val="en-US"/>
              </w:rPr>
              <w:t>0,1-10</w:t>
            </w:r>
          </w:p>
        </w:tc>
      </w:tr>
      <w:tr w:rsidR="00B3776C" w:rsidRPr="00B3776C" w14:paraId="0AFC4ACC" w14:textId="77777777" w:rsidTr="00775DDD">
        <w:trPr>
          <w:trHeight w:val="397"/>
          <w:jc w:val="center"/>
        </w:trPr>
        <w:tc>
          <w:tcPr>
            <w:tcW w:w="5198"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043AE60E" w14:textId="77777777" w:rsidR="005E347E" w:rsidRPr="00AA22C4" w:rsidRDefault="005E347E" w:rsidP="00775DDD">
            <w:pPr>
              <w:pStyle w:val="Tekstprzypisudolnego"/>
              <w:contextualSpacing/>
              <w:rPr>
                <w:rFonts w:ascii="Lato" w:hAnsi="Lato"/>
                <w:color w:val="000000" w:themeColor="text1"/>
                <w:sz w:val="22"/>
                <w:szCs w:val="22"/>
              </w:rPr>
            </w:pPr>
            <w:r w:rsidRPr="00AA22C4">
              <w:rPr>
                <w:rFonts w:ascii="Lato" w:hAnsi="Lato"/>
                <w:color w:val="000000" w:themeColor="text1"/>
                <w:sz w:val="22"/>
                <w:szCs w:val="22"/>
                <w:lang w:val="en-US"/>
              </w:rPr>
              <w:t>KORTYZOL</w:t>
            </w:r>
          </w:p>
        </w:tc>
        <w:tc>
          <w:tcPr>
            <w:tcW w:w="3402"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62986234" w14:textId="77777777" w:rsidR="005E347E" w:rsidRPr="00AA22C4" w:rsidRDefault="005E347E" w:rsidP="00775DDD">
            <w:pPr>
              <w:pStyle w:val="Tekstprzypisudolnego"/>
              <w:contextualSpacing/>
              <w:rPr>
                <w:rFonts w:ascii="Lato" w:hAnsi="Lato"/>
                <w:color w:val="000000" w:themeColor="text1"/>
                <w:sz w:val="22"/>
                <w:szCs w:val="22"/>
              </w:rPr>
            </w:pPr>
            <w:r w:rsidRPr="00AA22C4">
              <w:rPr>
                <w:rFonts w:ascii="Lato" w:hAnsi="Lato"/>
                <w:color w:val="000000" w:themeColor="text1"/>
                <w:sz w:val="22"/>
                <w:szCs w:val="22"/>
                <w:lang w:val="en-US"/>
              </w:rPr>
              <w:t>11,0-500</w:t>
            </w:r>
          </w:p>
        </w:tc>
      </w:tr>
      <w:tr w:rsidR="00B3776C" w:rsidRPr="00B3776C" w14:paraId="293BFDE6" w14:textId="77777777" w:rsidTr="00775DDD">
        <w:trPr>
          <w:trHeight w:val="397"/>
          <w:jc w:val="center"/>
        </w:trPr>
        <w:tc>
          <w:tcPr>
            <w:tcW w:w="5198"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0BCE28CA" w14:textId="77777777" w:rsidR="005E347E" w:rsidRPr="00AA22C4" w:rsidRDefault="005E347E" w:rsidP="00775DDD">
            <w:pPr>
              <w:pStyle w:val="Tekstprzypisudolnego"/>
              <w:contextualSpacing/>
              <w:rPr>
                <w:rFonts w:ascii="Lato" w:hAnsi="Lato"/>
                <w:color w:val="000000" w:themeColor="text1"/>
                <w:sz w:val="22"/>
                <w:szCs w:val="22"/>
              </w:rPr>
            </w:pPr>
            <w:r w:rsidRPr="00AA22C4">
              <w:rPr>
                <w:rFonts w:ascii="Lato" w:hAnsi="Lato"/>
                <w:color w:val="000000" w:themeColor="text1"/>
                <w:sz w:val="22"/>
                <w:szCs w:val="22"/>
                <w:lang w:val="en-US"/>
              </w:rPr>
              <w:t>21-DEOKSYKORTYZOL</w:t>
            </w:r>
          </w:p>
        </w:tc>
        <w:tc>
          <w:tcPr>
            <w:tcW w:w="3402"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7EFF7517" w14:textId="77777777" w:rsidR="005E347E" w:rsidRPr="00AA22C4" w:rsidRDefault="005E347E" w:rsidP="00775DDD">
            <w:pPr>
              <w:pStyle w:val="Tekstprzypisudolnego"/>
              <w:contextualSpacing/>
              <w:rPr>
                <w:rFonts w:ascii="Lato" w:hAnsi="Lato"/>
                <w:color w:val="000000" w:themeColor="text1"/>
                <w:sz w:val="22"/>
                <w:szCs w:val="22"/>
              </w:rPr>
            </w:pPr>
            <w:r w:rsidRPr="00AA22C4">
              <w:rPr>
                <w:rFonts w:ascii="Lato" w:hAnsi="Lato"/>
                <w:color w:val="000000" w:themeColor="text1"/>
                <w:sz w:val="22"/>
                <w:szCs w:val="22"/>
                <w:lang w:val="en-US"/>
              </w:rPr>
              <w:t>&lt;5,9</w:t>
            </w:r>
          </w:p>
        </w:tc>
      </w:tr>
      <w:tr w:rsidR="00B3776C" w:rsidRPr="00B3776C" w14:paraId="22E75B45" w14:textId="77777777" w:rsidTr="00775DDD">
        <w:trPr>
          <w:trHeight w:val="397"/>
          <w:jc w:val="center"/>
        </w:trPr>
        <w:tc>
          <w:tcPr>
            <w:tcW w:w="5198"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7D8834D8" w14:textId="77777777" w:rsidR="005E347E" w:rsidRPr="00AA22C4" w:rsidRDefault="005E347E" w:rsidP="00775DDD">
            <w:pPr>
              <w:pStyle w:val="Tekstprzypisudolnego"/>
              <w:contextualSpacing/>
              <w:rPr>
                <w:rFonts w:ascii="Lato" w:hAnsi="Lato"/>
                <w:color w:val="000000" w:themeColor="text1"/>
                <w:sz w:val="22"/>
                <w:szCs w:val="22"/>
              </w:rPr>
            </w:pPr>
            <w:r w:rsidRPr="00AA22C4">
              <w:rPr>
                <w:rFonts w:ascii="Lato" w:hAnsi="Lato"/>
                <w:color w:val="000000" w:themeColor="text1"/>
                <w:sz w:val="22"/>
                <w:szCs w:val="22"/>
                <w:lang w:val="en-US"/>
              </w:rPr>
              <w:t>11-DEOKSYKORTYZOL</w:t>
            </w:r>
          </w:p>
        </w:tc>
        <w:tc>
          <w:tcPr>
            <w:tcW w:w="3402"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6D604FEE" w14:textId="77777777" w:rsidR="005E347E" w:rsidRPr="00AA22C4" w:rsidRDefault="005E347E" w:rsidP="00775DDD">
            <w:pPr>
              <w:pStyle w:val="Tekstprzypisudolnego"/>
              <w:contextualSpacing/>
              <w:rPr>
                <w:rFonts w:ascii="Lato" w:hAnsi="Lato"/>
                <w:color w:val="000000" w:themeColor="text1"/>
                <w:sz w:val="22"/>
                <w:szCs w:val="22"/>
              </w:rPr>
            </w:pPr>
            <w:r w:rsidRPr="00AA22C4">
              <w:rPr>
                <w:rFonts w:ascii="Lato" w:hAnsi="Lato"/>
                <w:color w:val="000000" w:themeColor="text1"/>
                <w:sz w:val="22"/>
                <w:szCs w:val="22"/>
                <w:lang w:val="en-US"/>
              </w:rPr>
              <w:t>&lt; 85</w:t>
            </w:r>
            <w:r w:rsidRPr="00AA22C4">
              <w:rPr>
                <w:rFonts w:ascii="Lato" w:hAnsi="Lato"/>
                <w:color w:val="000000" w:themeColor="text1"/>
                <w:sz w:val="22"/>
                <w:szCs w:val="22"/>
              </w:rPr>
              <w:t>,2</w:t>
            </w:r>
          </w:p>
        </w:tc>
      </w:tr>
      <w:tr w:rsidR="00B3776C" w:rsidRPr="00B3776C" w14:paraId="75B94352" w14:textId="77777777" w:rsidTr="00775DDD">
        <w:trPr>
          <w:trHeight w:val="397"/>
          <w:jc w:val="center"/>
        </w:trPr>
        <w:tc>
          <w:tcPr>
            <w:tcW w:w="5198"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20A518A5" w14:textId="77777777" w:rsidR="005E347E" w:rsidRPr="00AA22C4" w:rsidRDefault="005E347E" w:rsidP="00775DDD">
            <w:pPr>
              <w:pStyle w:val="Tekstprzypisudolnego"/>
              <w:contextualSpacing/>
              <w:rPr>
                <w:rFonts w:ascii="Lato" w:hAnsi="Lato"/>
                <w:color w:val="000000" w:themeColor="text1"/>
                <w:sz w:val="22"/>
                <w:szCs w:val="22"/>
              </w:rPr>
            </w:pPr>
            <w:r w:rsidRPr="00AA22C4">
              <w:rPr>
                <w:rFonts w:ascii="Lato" w:hAnsi="Lato"/>
                <w:color w:val="000000" w:themeColor="text1"/>
                <w:sz w:val="22"/>
                <w:szCs w:val="22"/>
                <w:lang w:val="en-US"/>
              </w:rPr>
              <w:t>ANDROSTENDION</w:t>
            </w:r>
          </w:p>
        </w:tc>
        <w:tc>
          <w:tcPr>
            <w:tcW w:w="3402"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78AF3CB7" w14:textId="77777777" w:rsidR="005E347E" w:rsidRPr="00AA22C4" w:rsidRDefault="005E347E" w:rsidP="00775DDD">
            <w:pPr>
              <w:pStyle w:val="Tekstprzypisudolnego"/>
              <w:contextualSpacing/>
              <w:rPr>
                <w:rFonts w:ascii="Lato" w:hAnsi="Lato"/>
                <w:color w:val="000000" w:themeColor="text1"/>
                <w:sz w:val="22"/>
                <w:szCs w:val="22"/>
              </w:rPr>
            </w:pPr>
            <w:r w:rsidRPr="00AA22C4">
              <w:rPr>
                <w:rFonts w:ascii="Lato" w:hAnsi="Lato"/>
                <w:color w:val="000000" w:themeColor="text1"/>
                <w:sz w:val="22"/>
                <w:szCs w:val="22"/>
                <w:lang w:val="en-US"/>
              </w:rPr>
              <w:t>1,7-32,6</w:t>
            </w:r>
          </w:p>
        </w:tc>
      </w:tr>
      <w:tr w:rsidR="00B3776C" w:rsidRPr="00B3776C" w14:paraId="63BDDDB2" w14:textId="77777777" w:rsidTr="00775DDD">
        <w:trPr>
          <w:trHeight w:val="397"/>
          <w:jc w:val="center"/>
        </w:trPr>
        <w:tc>
          <w:tcPr>
            <w:tcW w:w="8600" w:type="dxa"/>
            <w:gridSpan w:val="2"/>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5F5890F5" w14:textId="77777777" w:rsidR="005E347E" w:rsidRPr="00AA22C4" w:rsidRDefault="005E347E" w:rsidP="00775DDD">
            <w:pPr>
              <w:pStyle w:val="Tekstprzypisudolnego"/>
              <w:contextualSpacing/>
              <w:rPr>
                <w:rFonts w:ascii="Lato" w:hAnsi="Lato"/>
                <w:color w:val="000000" w:themeColor="text1"/>
                <w:sz w:val="22"/>
                <w:szCs w:val="22"/>
                <w:lang w:val="en-US"/>
              </w:rPr>
            </w:pPr>
            <w:proofErr w:type="spellStart"/>
            <w:r w:rsidRPr="00AA22C4">
              <w:rPr>
                <w:rFonts w:ascii="Lato" w:hAnsi="Lato"/>
                <w:color w:val="000000" w:themeColor="text1"/>
                <w:sz w:val="22"/>
                <w:szCs w:val="22"/>
                <w:lang w:val="en-US"/>
              </w:rPr>
              <w:t>Pomocnicze</w:t>
            </w:r>
            <w:proofErr w:type="spellEnd"/>
            <w:r w:rsidRPr="00AA22C4">
              <w:rPr>
                <w:rFonts w:ascii="Lato" w:hAnsi="Lato"/>
                <w:color w:val="000000" w:themeColor="text1"/>
                <w:sz w:val="22"/>
                <w:szCs w:val="22"/>
                <w:lang w:val="en-US"/>
              </w:rPr>
              <w:t xml:space="preserve"> </w:t>
            </w:r>
            <w:proofErr w:type="spellStart"/>
            <w:r w:rsidRPr="00AA22C4">
              <w:rPr>
                <w:rFonts w:ascii="Lato" w:hAnsi="Lato"/>
                <w:color w:val="000000" w:themeColor="text1"/>
                <w:sz w:val="22"/>
                <w:szCs w:val="22"/>
                <w:lang w:val="en-US"/>
              </w:rPr>
              <w:t>stosunki</w:t>
            </w:r>
            <w:proofErr w:type="spellEnd"/>
            <w:r w:rsidRPr="00AA22C4">
              <w:rPr>
                <w:rFonts w:ascii="Lato" w:hAnsi="Lato"/>
                <w:color w:val="000000" w:themeColor="text1"/>
                <w:sz w:val="22"/>
                <w:szCs w:val="22"/>
                <w:lang w:val="en-US"/>
              </w:rPr>
              <w:t xml:space="preserve"> </w:t>
            </w:r>
            <w:proofErr w:type="spellStart"/>
            <w:r w:rsidRPr="00AA22C4">
              <w:rPr>
                <w:rFonts w:ascii="Lato" w:hAnsi="Lato"/>
                <w:color w:val="000000" w:themeColor="text1"/>
                <w:sz w:val="22"/>
                <w:szCs w:val="22"/>
                <w:lang w:val="en-US"/>
              </w:rPr>
              <w:t>stężeń</w:t>
            </w:r>
            <w:proofErr w:type="spellEnd"/>
          </w:p>
        </w:tc>
      </w:tr>
      <w:tr w:rsidR="00B3776C" w:rsidRPr="00B3776C" w14:paraId="080E374E" w14:textId="77777777" w:rsidTr="00775DDD">
        <w:trPr>
          <w:trHeight w:val="397"/>
          <w:jc w:val="center"/>
        </w:trPr>
        <w:tc>
          <w:tcPr>
            <w:tcW w:w="5198"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05EED593" w14:textId="77777777" w:rsidR="005E347E" w:rsidRPr="00AA22C4" w:rsidRDefault="005E347E" w:rsidP="00775DDD">
            <w:pPr>
              <w:pStyle w:val="Tekstprzypisudolnego"/>
              <w:contextualSpacing/>
              <w:rPr>
                <w:rFonts w:ascii="Lato" w:hAnsi="Lato"/>
                <w:color w:val="000000" w:themeColor="text1"/>
                <w:sz w:val="22"/>
                <w:szCs w:val="22"/>
              </w:rPr>
            </w:pPr>
            <w:r w:rsidRPr="00AA22C4">
              <w:rPr>
                <w:rFonts w:ascii="Lato" w:hAnsi="Lato"/>
                <w:color w:val="000000" w:themeColor="text1"/>
                <w:sz w:val="22"/>
                <w:szCs w:val="22"/>
                <w:lang w:val="en-US"/>
              </w:rPr>
              <w:t xml:space="preserve">(17-OHP+Androstendion) / </w:t>
            </w:r>
            <w:proofErr w:type="spellStart"/>
            <w:r w:rsidRPr="00AA22C4">
              <w:rPr>
                <w:rFonts w:ascii="Lato" w:hAnsi="Lato"/>
                <w:color w:val="000000" w:themeColor="text1"/>
                <w:sz w:val="22"/>
                <w:szCs w:val="22"/>
                <w:lang w:val="en-US"/>
              </w:rPr>
              <w:t>Kortyzol</w:t>
            </w:r>
            <w:proofErr w:type="spellEnd"/>
          </w:p>
        </w:tc>
        <w:tc>
          <w:tcPr>
            <w:tcW w:w="3402"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36842F10" w14:textId="77777777" w:rsidR="005E347E" w:rsidRPr="00AA22C4" w:rsidRDefault="005E347E" w:rsidP="00775DDD">
            <w:pPr>
              <w:pStyle w:val="Tekstprzypisudolnego"/>
              <w:contextualSpacing/>
              <w:rPr>
                <w:rFonts w:ascii="Lato" w:hAnsi="Lato"/>
                <w:color w:val="000000" w:themeColor="text1"/>
                <w:sz w:val="22"/>
                <w:szCs w:val="22"/>
              </w:rPr>
            </w:pPr>
            <w:r w:rsidRPr="00AA22C4">
              <w:rPr>
                <w:rFonts w:ascii="Lato" w:hAnsi="Lato"/>
                <w:color w:val="000000" w:themeColor="text1"/>
                <w:sz w:val="22"/>
                <w:szCs w:val="22"/>
                <w:lang w:val="en-US"/>
              </w:rPr>
              <w:t>&lt;1,95</w:t>
            </w:r>
          </w:p>
        </w:tc>
      </w:tr>
      <w:tr w:rsidR="00B3776C" w:rsidRPr="00B3776C" w14:paraId="6EDDF6D9" w14:textId="77777777" w:rsidTr="00775DDD">
        <w:trPr>
          <w:trHeight w:val="397"/>
          <w:jc w:val="center"/>
        </w:trPr>
        <w:tc>
          <w:tcPr>
            <w:tcW w:w="5198"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246C718C" w14:textId="77777777" w:rsidR="005E347E" w:rsidRPr="00AA22C4" w:rsidRDefault="005E347E" w:rsidP="00775DDD">
            <w:pPr>
              <w:pStyle w:val="Tekstprzypisudolnego"/>
              <w:contextualSpacing/>
              <w:rPr>
                <w:rFonts w:ascii="Lato" w:hAnsi="Lato"/>
                <w:color w:val="000000" w:themeColor="text1"/>
                <w:sz w:val="22"/>
                <w:szCs w:val="22"/>
              </w:rPr>
            </w:pPr>
            <w:r w:rsidRPr="00AA22C4">
              <w:rPr>
                <w:rFonts w:ascii="Lato" w:hAnsi="Lato"/>
                <w:color w:val="000000" w:themeColor="text1"/>
                <w:sz w:val="22"/>
                <w:szCs w:val="22"/>
                <w:lang w:val="en-US"/>
              </w:rPr>
              <w:t>(17-OHP+21Deoksykort</w:t>
            </w:r>
            <w:r w:rsidRPr="00AA22C4">
              <w:rPr>
                <w:rFonts w:ascii="Lato" w:hAnsi="Lato"/>
                <w:color w:val="000000" w:themeColor="text1"/>
                <w:sz w:val="22"/>
                <w:szCs w:val="22"/>
              </w:rPr>
              <w:t xml:space="preserve">.) </w:t>
            </w:r>
            <w:r w:rsidRPr="00AA22C4">
              <w:rPr>
                <w:rFonts w:ascii="Lato" w:hAnsi="Lato"/>
                <w:color w:val="000000" w:themeColor="text1"/>
                <w:sz w:val="22"/>
                <w:szCs w:val="22"/>
                <w:lang w:val="en-US"/>
              </w:rPr>
              <w:t xml:space="preserve">/ </w:t>
            </w:r>
            <w:proofErr w:type="spellStart"/>
            <w:r w:rsidRPr="00AA22C4">
              <w:rPr>
                <w:rFonts w:ascii="Lato" w:hAnsi="Lato"/>
                <w:color w:val="000000" w:themeColor="text1"/>
                <w:sz w:val="22"/>
                <w:szCs w:val="22"/>
                <w:lang w:val="en-US"/>
              </w:rPr>
              <w:t>Kortyzol</w:t>
            </w:r>
            <w:proofErr w:type="spellEnd"/>
          </w:p>
        </w:tc>
        <w:tc>
          <w:tcPr>
            <w:tcW w:w="3402"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6F4CC2E6" w14:textId="77777777" w:rsidR="005E347E" w:rsidRPr="00AA22C4" w:rsidRDefault="005E347E" w:rsidP="00775DDD">
            <w:pPr>
              <w:pStyle w:val="Tekstprzypisudolnego"/>
              <w:contextualSpacing/>
              <w:rPr>
                <w:rFonts w:ascii="Lato" w:hAnsi="Lato"/>
                <w:color w:val="000000" w:themeColor="text1"/>
                <w:sz w:val="22"/>
                <w:szCs w:val="22"/>
              </w:rPr>
            </w:pPr>
            <w:r w:rsidRPr="00AA22C4">
              <w:rPr>
                <w:rFonts w:ascii="Lato" w:hAnsi="Lato"/>
                <w:color w:val="000000" w:themeColor="text1"/>
                <w:sz w:val="22"/>
                <w:szCs w:val="22"/>
                <w:lang w:val="en-US"/>
              </w:rPr>
              <w:t>&lt; 1,95</w:t>
            </w:r>
          </w:p>
        </w:tc>
      </w:tr>
    </w:tbl>
    <w:p w14:paraId="5453E86E"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*Normy własne, mogą ulec zmianie.</w:t>
      </w:r>
    </w:p>
    <w:p w14:paraId="320898B5" w14:textId="77777777" w:rsidR="005E347E" w:rsidRPr="00AA22C4" w:rsidRDefault="005E347E" w:rsidP="005E347E">
      <w:pPr>
        <w:pStyle w:val="Tekstprzypisudolnego"/>
        <w:spacing w:before="120" w:after="120"/>
        <w:contextualSpacing/>
        <w:jc w:val="both"/>
        <w:rPr>
          <w:rFonts w:ascii="Lato" w:hAnsi="Lato"/>
          <w:b/>
          <w:bCs/>
          <w:color w:val="000000" w:themeColor="text1"/>
          <w:sz w:val="22"/>
          <w:szCs w:val="22"/>
        </w:rPr>
      </w:pPr>
      <w:r w:rsidRPr="00AA22C4">
        <w:rPr>
          <w:rFonts w:ascii="Lato" w:hAnsi="Lato"/>
          <w:b/>
          <w:color w:val="000000" w:themeColor="text1"/>
          <w:sz w:val="22"/>
          <w:szCs w:val="22"/>
        </w:rPr>
        <w:br w:type="page"/>
      </w:r>
      <w:bookmarkStart w:id="52" w:name="_Toc491892708"/>
      <w:r w:rsidRPr="00AA22C4">
        <w:rPr>
          <w:rFonts w:ascii="Lato" w:hAnsi="Lato"/>
          <w:b/>
          <w:bCs/>
          <w:color w:val="000000" w:themeColor="text1"/>
          <w:sz w:val="22"/>
          <w:szCs w:val="22"/>
        </w:rPr>
        <w:lastRenderedPageBreak/>
        <w:t>3. Mukowiscydoza</w:t>
      </w:r>
      <w:bookmarkEnd w:id="52"/>
    </w:p>
    <w:p w14:paraId="0ED71BF1" w14:textId="77777777" w:rsidR="005E347E" w:rsidRPr="00AA22C4" w:rsidRDefault="005E347E" w:rsidP="005E347E">
      <w:pPr>
        <w:pStyle w:val="Tekstprzypisudolnego"/>
        <w:spacing w:before="120" w:after="120"/>
        <w:contextualSpacing/>
        <w:jc w:val="both"/>
        <w:rPr>
          <w:rFonts w:ascii="Lato" w:hAnsi="Lato"/>
          <w:b/>
          <w:color w:val="000000" w:themeColor="text1"/>
          <w:sz w:val="22"/>
          <w:szCs w:val="22"/>
        </w:rPr>
      </w:pPr>
    </w:p>
    <w:p w14:paraId="6D57AB43" w14:textId="5C3075E8" w:rsidR="005E347E" w:rsidRPr="00AA22C4" w:rsidRDefault="005110F2" w:rsidP="005E347E">
      <w:pPr>
        <w:pStyle w:val="Tekstprzypisudolnego"/>
        <w:spacing w:before="120" w:after="120"/>
        <w:contextualSpacing/>
        <w:jc w:val="both"/>
        <w:rPr>
          <w:rFonts w:ascii="Lato" w:hAnsi="Lato"/>
          <w:color w:val="000000" w:themeColor="text1"/>
          <w:sz w:val="22"/>
          <w:szCs w:val="22"/>
        </w:rPr>
      </w:pPr>
      <w:r w:rsidRPr="00AA22C4">
        <w:rPr>
          <w:noProof/>
          <w:color w:val="000000" w:themeColor="text1"/>
        </w:rPr>
        <mc:AlternateContent>
          <mc:Choice Requires="wps">
            <w:drawing>
              <wp:anchor distT="0" distB="0" distL="114300" distR="114300" simplePos="0" relativeHeight="251656704" behindDoc="0" locked="0" layoutInCell="1" allowOverlap="1" wp14:anchorId="0B9886CE" wp14:editId="31927F75">
                <wp:simplePos x="0" y="0"/>
                <wp:positionH relativeFrom="column">
                  <wp:posOffset>1360170</wp:posOffset>
                </wp:positionH>
                <wp:positionV relativeFrom="paragraph">
                  <wp:posOffset>555625</wp:posOffset>
                </wp:positionV>
                <wp:extent cx="2634615" cy="478155"/>
                <wp:effectExtent l="0" t="0" r="0" b="0"/>
                <wp:wrapNone/>
                <wp:docPr id="175721530" name="Prostokąt: zaokrąglone rogi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4615" cy="478155"/>
                        </a:xfrm>
                        <a:prstGeom prst="roundRect">
                          <a:avLst>
                            <a:gd name="adj" fmla="val 28921"/>
                          </a:avLst>
                        </a:prstGeom>
                        <a:solidFill>
                          <a:srgbClr val="4472C4">
                            <a:lumMod val="40000"/>
                            <a:lumOff val="60000"/>
                          </a:srgbClr>
                        </a:solidFill>
                        <a:ln w="9360">
                          <a:noFill/>
                          <a:miter lim="800000"/>
                          <a:headEnd/>
                          <a:tailEnd/>
                        </a:ln>
                        <a:effectLst/>
                      </wps:spPr>
                      <wps:txbx>
                        <w:txbxContent>
                          <w:p w14:paraId="5DFE4EF3" w14:textId="77777777" w:rsidR="007611BB" w:rsidRDefault="007611BB" w:rsidP="005E347E">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223" w:lineRule="auto"/>
                              <w:jc w:val="center"/>
                              <w:rPr>
                                <w:rFonts w:ascii="Calibri" w:hAnsi="Calibri"/>
                                <w:b/>
                                <w:bCs/>
                                <w:kern w:val="24"/>
                                <w:sz w:val="32"/>
                                <w:szCs w:val="32"/>
                              </w:rPr>
                            </w:pPr>
                            <w:r>
                              <w:rPr>
                                <w:rFonts w:ascii="Calibri" w:hAnsi="Calibri"/>
                                <w:b/>
                                <w:bCs/>
                                <w:kern w:val="24"/>
                                <w:sz w:val="32"/>
                                <w:szCs w:val="32"/>
                              </w:rPr>
                              <w:t xml:space="preserve"> </w:t>
                            </w:r>
                            <w:r>
                              <w:rPr>
                                <w:rFonts w:ascii="Calibri" w:hAnsi="Calibri"/>
                                <w:b/>
                                <w:bCs/>
                                <w:kern w:val="24"/>
                                <w:sz w:val="28"/>
                                <w:szCs w:val="28"/>
                              </w:rPr>
                              <w:t>Test IRT z pierwszej próbki krwi</w:t>
                            </w:r>
                          </w:p>
                        </w:txbxContent>
                      </wps:txbx>
                      <wps:bodyPr lIns="90000" tIns="59040" rIns="90000" bIns="45000" anchor="ctr" anchorCtr="1"/>
                    </wps:wsp>
                  </a:graphicData>
                </a:graphic>
                <wp14:sizeRelH relativeFrom="page">
                  <wp14:pctWidth>0</wp14:pctWidth>
                </wp14:sizeRelH>
                <wp14:sizeRelV relativeFrom="page">
                  <wp14:pctHeight>0</wp14:pctHeight>
                </wp14:sizeRelV>
              </wp:anchor>
            </w:drawing>
          </mc:Choice>
          <mc:Fallback>
            <w:pict>
              <v:roundrect w14:anchorId="0B9886CE" id="Prostokąt: zaokrąglone rogi 21" o:spid="_x0000_s1091" style="position:absolute;left:0;text-align:left;margin-left:107.1pt;margin-top:43.75pt;width:207.45pt;height:37.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center" arcsize="189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" fillcolor="#b4c7e7" stroked="f" strokeweight=".26mm">
                <v:stroke joinstyle="miter"/>
                <v:textbox inset="2.5mm,1.64mm,2.5mm,1.25mm">
                  <w:txbxContent>
                    <w:p w14:paraId="5DFE4EF3" w14:textId="77777777" w:rsidR="007611BB" w:rsidRDefault="007611BB" w:rsidP="005E347E">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223" w:lineRule="auto"/>
                        <w:jc w:val="center"/>
                        <w:rPr>
                          <w:rFonts w:ascii="Calibri" w:hAnsi="Calibri"/>
                          <w:b/>
                          <w:bCs/>
                          <w:kern w:val="24"/>
                          <w:sz w:val="32"/>
                          <w:szCs w:val="32"/>
                        </w:rPr>
                      </w:pPr>
                      <w:r>
                        <w:rPr>
                          <w:rFonts w:ascii="Calibri" w:hAnsi="Calibri"/>
                          <w:b/>
                          <w:bCs/>
                          <w:kern w:val="24"/>
                          <w:sz w:val="32"/>
                          <w:szCs w:val="32"/>
                        </w:rPr>
                        <w:t xml:space="preserve"> </w:t>
                      </w:r>
                      <w:r>
                        <w:rPr>
                          <w:rFonts w:ascii="Calibri" w:hAnsi="Calibri"/>
                          <w:b/>
                          <w:bCs/>
                          <w:kern w:val="24"/>
                          <w:sz w:val="28"/>
                          <w:szCs w:val="28"/>
                        </w:rPr>
                        <w:t>Test IRT z pierwszej próbki krwi</w:t>
                      </w:r>
                    </w:p>
                  </w:txbxContent>
                </v:textbox>
              </v:roundrect>
            </w:pict>
          </mc:Fallback>
        </mc:AlternateContent>
      </w:r>
      <w:r w:rsidR="005E347E" w:rsidRPr="00AA22C4">
        <w:rPr>
          <w:rFonts w:ascii="Lato" w:hAnsi="Lato"/>
          <w:b/>
          <w:color w:val="000000" w:themeColor="text1"/>
          <w:sz w:val="22"/>
          <w:szCs w:val="22"/>
        </w:rPr>
        <w:t xml:space="preserve">Ryc. 11 Kwalifikacja wyników badań przesiewowych w kierunku mukowiscydozy - </w:t>
      </w:r>
      <w:r w:rsidR="005E347E" w:rsidRPr="00AA22C4">
        <w:rPr>
          <w:rFonts w:ascii="Lato" w:hAnsi="Lato"/>
          <w:bCs/>
          <w:color w:val="000000" w:themeColor="text1"/>
          <w:sz w:val="22"/>
          <w:szCs w:val="22"/>
        </w:rPr>
        <w:t>a</w:t>
      </w:r>
      <w:r w:rsidR="005E347E" w:rsidRPr="00AA22C4">
        <w:rPr>
          <w:rFonts w:ascii="Lato" w:hAnsi="Lato"/>
          <w:color w:val="000000" w:themeColor="text1"/>
          <w:sz w:val="22"/>
          <w:szCs w:val="22"/>
        </w:rPr>
        <w:t>lgorytm decyzyjny dla badania przesiewowego w kierunku CF</w:t>
      </w:r>
    </w:p>
    <w:p w14:paraId="57522AD1" w14:textId="77777777" w:rsidR="005E347E" w:rsidRPr="00AA22C4" w:rsidRDefault="005E347E" w:rsidP="005E347E">
      <w:pPr>
        <w:jc w:val="both"/>
        <w:rPr>
          <w:rFonts w:ascii="Lato" w:hAnsi="Lato"/>
          <w:color w:val="000000" w:themeColor="text1"/>
        </w:rPr>
      </w:pPr>
    </w:p>
    <w:p w14:paraId="064168F9" w14:textId="6810144D" w:rsidR="005E347E" w:rsidRPr="00AA22C4" w:rsidRDefault="005110F2" w:rsidP="005E347E">
      <w:pPr>
        <w:jc w:val="both"/>
        <w:rPr>
          <w:rFonts w:ascii="Lato" w:hAnsi="Lato"/>
          <w:color w:val="000000" w:themeColor="text1"/>
        </w:rPr>
      </w:pPr>
      <w:r w:rsidRPr="00AA22C4">
        <w:rPr>
          <w:noProof/>
          <w:color w:val="000000" w:themeColor="text1"/>
        </w:rPr>
        <mc:AlternateContent>
          <mc:Choice Requires="wps">
            <w:drawing>
              <wp:anchor distT="0" distB="0" distL="114300" distR="114300" simplePos="0" relativeHeight="251663872" behindDoc="0" locked="0" layoutInCell="1" allowOverlap="1" wp14:anchorId="7578446E" wp14:editId="783A1A4E">
                <wp:simplePos x="0" y="0"/>
                <wp:positionH relativeFrom="column">
                  <wp:posOffset>2682240</wp:posOffset>
                </wp:positionH>
                <wp:positionV relativeFrom="paragraph">
                  <wp:posOffset>100330</wp:posOffset>
                </wp:positionV>
                <wp:extent cx="1905" cy="237490"/>
                <wp:effectExtent l="76200" t="0" r="55245" b="29210"/>
                <wp:wrapNone/>
                <wp:docPr id="137665561" name="Łącznik prosty ze strzałką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05" cy="237490"/>
                        </a:xfrm>
                        <a:prstGeom prst="straightConnector1">
                          <a:avLst/>
                        </a:prstGeom>
                        <a:noFill/>
                        <a:ln w="19050" cap="flat" cmpd="sng" algn="ctr">
                          <a:solidFill>
                            <a:sysClr val="windowText" lastClr="000000"/>
                          </a:solidFill>
                          <a:prstDash val="solid"/>
                          <a:miter lim="800000"/>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w14:anchorId="0AD46BCB" id="Łącznik prosty ze strzałką 19" o:spid="_x0000_s1026" type="#_x0000_t32" style="position:absolute;margin-left:211.2pt;margin-top:7.9pt;width:.15pt;height:18.7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" strokecolor="windowText" strokeweight="1.5pt">
                <v:stroke endarrow="block" joinstyle="miter"/>
                <o:lock v:ext="edit" shapetype="f"/>
              </v:shape>
            </w:pict>
          </mc:Fallback>
        </mc:AlternateContent>
      </w:r>
    </w:p>
    <w:p w14:paraId="1664D228" w14:textId="68B9CC90" w:rsidR="005E347E" w:rsidRPr="00AA22C4" w:rsidRDefault="005110F2" w:rsidP="005E347E">
      <w:pPr>
        <w:jc w:val="both"/>
        <w:rPr>
          <w:rFonts w:ascii="Lato" w:hAnsi="Lato"/>
          <w:color w:val="000000" w:themeColor="text1"/>
        </w:rPr>
      </w:pPr>
      <w:r w:rsidRPr="00AA22C4">
        <w:rPr>
          <w:noProof/>
          <w:color w:val="000000" w:themeColor="text1"/>
        </w:rPr>
        <mc:AlternateContent>
          <mc:Choice Requires="wps">
            <w:drawing>
              <wp:anchor distT="0" distB="0" distL="114300" distR="114300" simplePos="0" relativeHeight="251659776" behindDoc="0" locked="0" layoutInCell="1" allowOverlap="1" wp14:anchorId="21E627A0" wp14:editId="1F0A49B1">
                <wp:simplePos x="0" y="0"/>
                <wp:positionH relativeFrom="column">
                  <wp:posOffset>1728470</wp:posOffset>
                </wp:positionH>
                <wp:positionV relativeFrom="paragraph">
                  <wp:posOffset>87630</wp:posOffset>
                </wp:positionV>
                <wp:extent cx="1915795" cy="1009650"/>
                <wp:effectExtent l="0" t="0" r="0" b="0"/>
                <wp:wrapNone/>
                <wp:docPr id="1300828388" name="Romb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5795" cy="1009650"/>
                        </a:xfrm>
                        <a:prstGeom prst="diamond">
                          <a:avLst/>
                        </a:prstGeom>
                        <a:solidFill>
                          <a:srgbClr val="4472C4">
                            <a:lumMod val="40000"/>
                            <a:lumOff val="60000"/>
                          </a:srgbClr>
                        </a:solidFill>
                        <a:ln w="9360">
                          <a:noFill/>
                          <a:round/>
                          <a:headEnd/>
                          <a:tailEnd/>
                        </a:ln>
                        <a:effectLst/>
                      </wps:spPr>
                      <wps:txbx>
                        <w:txbxContent>
                          <w:p w14:paraId="0C94E873" w14:textId="77777777" w:rsidR="007611BB" w:rsidRDefault="007611BB" w:rsidP="005E347E">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223" w:lineRule="auto"/>
                              <w:rPr>
                                <w:rFonts w:ascii="Calibri" w:hAnsi="Calibri"/>
                                <w:kern w:val="24"/>
                                <w:sz w:val="28"/>
                                <w:szCs w:val="28"/>
                              </w:rPr>
                            </w:pPr>
                            <w:r w:rsidRPr="00A51B84">
                              <w:rPr>
                                <w:rFonts w:ascii="Calibri" w:hAnsi="Calibri"/>
                                <w:kern w:val="24"/>
                                <w:sz w:val="28"/>
                                <w:szCs w:val="28"/>
                              </w:rPr>
                              <w:t>IRT &gt;</w:t>
                            </w:r>
                            <w:r>
                              <w:rPr>
                                <w:rFonts w:ascii="Calibri" w:hAnsi="Calibri"/>
                                <w:kern w:val="24"/>
                                <w:sz w:val="28"/>
                                <w:szCs w:val="28"/>
                              </w:rPr>
                              <w:t xml:space="preserve"> 99,4 </w:t>
                            </w:r>
                          </w:p>
                          <w:p w14:paraId="47A64258" w14:textId="77777777" w:rsidR="007611BB" w:rsidRDefault="007611BB" w:rsidP="005E347E">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223" w:lineRule="auto"/>
                              <w:jc w:val="center"/>
                              <w:rPr>
                                <w:rFonts w:ascii="Calibri" w:hAnsi="Calibri"/>
                                <w:kern w:val="24"/>
                                <w:sz w:val="28"/>
                                <w:szCs w:val="28"/>
                              </w:rPr>
                            </w:pPr>
                            <w:r>
                              <w:rPr>
                                <w:rFonts w:ascii="Calibri" w:hAnsi="Calibri"/>
                                <w:kern w:val="24"/>
                                <w:sz w:val="28"/>
                                <w:szCs w:val="28"/>
                              </w:rPr>
                              <w:t>centyla</w:t>
                            </w:r>
                          </w:p>
                        </w:txbxContent>
                      </wps:txbx>
                      <wps:bodyPr wrap="square" lIns="90000" tIns="59040" rIns="90000" bIns="45000" anchor="ctr">
                        <a:noAutofit/>
                      </wps:bodyPr>
                    </wps:wsp>
                  </a:graphicData>
                </a:graphic>
                <wp14:sizeRelH relativeFrom="margin">
                  <wp14:pctWidth>0</wp14:pctWidth>
                </wp14:sizeRelH>
                <wp14:sizeRelV relativeFrom="margin">
                  <wp14:pctHeight>0</wp14:pctHeight>
                </wp14:sizeRelV>
              </wp:anchor>
            </w:drawing>
          </mc:Choice>
          <mc:Fallback>
            <w:pict>
              <v:shapetype w14:anchorId="21E627A0" id="_x0000_t4" coordsize="21600,21600" o:spt="4" path="m10800,l,10800,10800,21600,21600,10800xe">
                <v:stroke joinstyle="miter"/>
                <v:path gradientshapeok="t" o:connecttype="rect" textboxrect="5400,5400,16200,16200"/>
              </v:shapetype>
              <v:shape id="Romb 17" o:spid="_x0000_s1092" type="#_x0000_t4" style="position:absolute;left:0;text-align:left;margin-left:136.1pt;margin-top:6.9pt;width:150.85pt;height:7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" fillcolor="#b4c7e7" stroked="f" strokeweight=".26mm">
                <v:stroke joinstyle="round"/>
                <v:textbox inset="2.5mm,1.64mm,2.5mm,1.25mm">
                  <w:txbxContent>
                    <w:p w14:paraId="0C94E873" w14:textId="77777777" w:rsidR="007611BB" w:rsidRDefault="007611BB" w:rsidP="005E347E">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223" w:lineRule="auto"/>
                        <w:rPr>
                          <w:rFonts w:ascii="Calibri" w:hAnsi="Calibri"/>
                          <w:kern w:val="24"/>
                          <w:sz w:val="28"/>
                          <w:szCs w:val="28"/>
                        </w:rPr>
                      </w:pPr>
                      <w:r w:rsidRPr="00A51B84">
                        <w:rPr>
                          <w:rFonts w:ascii="Calibri" w:hAnsi="Calibri"/>
                          <w:kern w:val="24"/>
                          <w:sz w:val="28"/>
                          <w:szCs w:val="28"/>
                        </w:rPr>
                        <w:t>IRT &gt;</w:t>
                      </w:r>
                      <w:r>
                        <w:rPr>
                          <w:rFonts w:ascii="Calibri" w:hAnsi="Calibri"/>
                          <w:kern w:val="24"/>
                          <w:sz w:val="28"/>
                          <w:szCs w:val="28"/>
                        </w:rPr>
                        <w:t xml:space="preserve"> 99,4 </w:t>
                      </w:r>
                    </w:p>
                    <w:p w14:paraId="47A64258" w14:textId="77777777" w:rsidR="007611BB" w:rsidRDefault="007611BB" w:rsidP="005E347E">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223" w:lineRule="auto"/>
                        <w:jc w:val="center"/>
                        <w:rPr>
                          <w:rFonts w:ascii="Calibri" w:hAnsi="Calibri"/>
                          <w:kern w:val="24"/>
                          <w:sz w:val="28"/>
                          <w:szCs w:val="28"/>
                        </w:rPr>
                      </w:pPr>
                      <w:proofErr w:type="spellStart"/>
                      <w:r>
                        <w:rPr>
                          <w:rFonts w:ascii="Calibri" w:hAnsi="Calibri"/>
                          <w:kern w:val="24"/>
                          <w:sz w:val="28"/>
                          <w:szCs w:val="28"/>
                        </w:rPr>
                        <w:t>centyla</w:t>
                      </w:r>
                      <w:proofErr w:type="spellEnd"/>
                    </w:p>
                  </w:txbxContent>
                </v:textbox>
              </v:shape>
            </w:pict>
          </mc:Fallback>
        </mc:AlternateContent>
      </w:r>
    </w:p>
    <w:p w14:paraId="34DEF6C3" w14:textId="100D6DFB" w:rsidR="005E347E" w:rsidRPr="00AA22C4" w:rsidRDefault="005110F2" w:rsidP="005E347E">
      <w:pPr>
        <w:rPr>
          <w:rFonts w:ascii="Lato" w:hAnsi="Lato"/>
          <w:noProof/>
          <w:color w:val="000000" w:themeColor="text1"/>
        </w:rPr>
      </w:pPr>
      <w:r w:rsidRPr="00AA22C4">
        <w:rPr>
          <w:noProof/>
          <w:color w:val="000000" w:themeColor="text1"/>
        </w:rPr>
        <mc:AlternateContent>
          <mc:Choice Requires="wps">
            <w:drawing>
              <wp:anchor distT="0" distB="0" distL="114300" distR="114300" simplePos="0" relativeHeight="251660800" behindDoc="0" locked="0" layoutInCell="1" allowOverlap="1" wp14:anchorId="158ADBC0" wp14:editId="2DB190D1">
                <wp:simplePos x="0" y="0"/>
                <wp:positionH relativeFrom="column">
                  <wp:posOffset>1355090</wp:posOffset>
                </wp:positionH>
                <wp:positionV relativeFrom="paragraph">
                  <wp:posOffset>90805</wp:posOffset>
                </wp:positionV>
                <wp:extent cx="412115" cy="354330"/>
                <wp:effectExtent l="0" t="0" r="0" b="0"/>
                <wp:wrapNone/>
                <wp:docPr id="157417224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115" cy="354330"/>
                        </a:xfrm>
                        <a:prstGeom prst="rect">
                          <a:avLst/>
                        </a:prstGeom>
                        <a:noFill/>
                        <a:ln>
                          <a:noFill/>
                        </a:ln>
                      </wps:spPr>
                      <wps:txbx>
                        <w:txbxContent>
                          <w:p w14:paraId="0F7CAEE3" w14:textId="77777777" w:rsidR="007611BB" w:rsidRDefault="007611BB" w:rsidP="005E347E">
                            <w:pPr>
                              <w:rPr>
                                <w:rFonts w:ascii="Arial" w:hAnsi="Arial"/>
                                <w:kern w:val="24"/>
                              </w:rPr>
                            </w:pPr>
                            <w:r>
                              <w:rPr>
                                <w:rFonts w:ascii="Arial" w:hAnsi="Arial"/>
                                <w:kern w:val="24"/>
                              </w:rPr>
                              <w:t>Nie</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158ADBC0" id="Pole tekstowe 15" o:spid="_x0000_s1093" type="#_x0000_t202" style="position:absolute;margin-left:106.7pt;margin-top:7.15pt;width:32.45pt;height:27.9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" filled="f" stroked="f">
                <v:textbox style="mso-fit-shape-to-text:t">
                  <w:txbxContent>
                    <w:p w14:paraId="0F7CAEE3" w14:textId="77777777" w:rsidR="007611BB" w:rsidRDefault="007611BB" w:rsidP="005E347E">
                      <w:pPr>
                        <w:rPr>
                          <w:rFonts w:ascii="Arial" w:hAnsi="Arial"/>
                          <w:kern w:val="24"/>
                        </w:rPr>
                      </w:pPr>
                      <w:r>
                        <w:rPr>
                          <w:rFonts w:ascii="Arial" w:hAnsi="Arial"/>
                          <w:kern w:val="24"/>
                        </w:rPr>
                        <w:t>Nie</w:t>
                      </w:r>
                    </w:p>
                  </w:txbxContent>
                </v:textbox>
              </v:shape>
            </w:pict>
          </mc:Fallback>
        </mc:AlternateContent>
      </w:r>
      <w:r w:rsidRPr="00AA22C4">
        <w:rPr>
          <w:noProof/>
          <w:color w:val="000000" w:themeColor="text1"/>
        </w:rPr>
        <mc:AlternateContent>
          <mc:Choice Requires="wps">
            <w:drawing>
              <wp:anchor distT="0" distB="0" distL="114300" distR="114300" simplePos="0" relativeHeight="251658752" behindDoc="0" locked="0" layoutInCell="1" allowOverlap="1" wp14:anchorId="0B1D1830" wp14:editId="1422269E">
                <wp:simplePos x="0" y="0"/>
                <wp:positionH relativeFrom="column">
                  <wp:posOffset>332740</wp:posOffset>
                </wp:positionH>
                <wp:positionV relativeFrom="paragraph">
                  <wp:posOffset>175260</wp:posOffset>
                </wp:positionV>
                <wp:extent cx="962660" cy="277495"/>
                <wp:effectExtent l="0" t="0" r="0" b="0"/>
                <wp:wrapNone/>
                <wp:docPr id="472659453" name="Prostokąt: zaokrąglone rogi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660" cy="277495"/>
                        </a:xfrm>
                        <a:prstGeom prst="roundRect">
                          <a:avLst>
                            <a:gd name="adj" fmla="val 440"/>
                          </a:avLst>
                        </a:prstGeom>
                        <a:solidFill>
                          <a:srgbClr val="92D050"/>
                        </a:solidFill>
                        <a:ln>
                          <a:noFill/>
                        </a:ln>
                      </wps:spPr>
                      <wps:txbx>
                        <w:txbxContent>
                          <w:p w14:paraId="74574992" w14:textId="77777777" w:rsidR="007611BB" w:rsidRDefault="007611BB" w:rsidP="005E347E">
                            <w:pPr>
                              <w:spacing w:line="223" w:lineRule="auto"/>
                              <w:jc w:val="center"/>
                              <w:rPr>
                                <w:rFonts w:ascii="Arial" w:hAnsi="Arial"/>
                                <w:kern w:val="24"/>
                                <w:sz w:val="28"/>
                                <w:szCs w:val="28"/>
                              </w:rPr>
                            </w:pPr>
                            <w:r>
                              <w:rPr>
                                <w:rFonts w:ascii="Arial" w:hAnsi="Arial"/>
                                <w:kern w:val="24"/>
                                <w:sz w:val="28"/>
                                <w:szCs w:val="28"/>
                              </w:rPr>
                              <w:t>Norma</w:t>
                            </w:r>
                          </w:p>
                        </w:txbxContent>
                      </wps:txbx>
                      <wps:bodyPr lIns="90000" tIns="59040" rIns="90000" bIns="45000" anchor="ctr" anchorCtr="1"/>
                    </wps:wsp>
                  </a:graphicData>
                </a:graphic>
                <wp14:sizeRelH relativeFrom="page">
                  <wp14:pctWidth>0</wp14:pctWidth>
                </wp14:sizeRelH>
                <wp14:sizeRelV relativeFrom="page">
                  <wp14:pctHeight>0</wp14:pctHeight>
                </wp14:sizeRelV>
              </wp:anchor>
            </w:drawing>
          </mc:Choice>
          <mc:Fallback>
            <w:pict>
              <v:roundrect w14:anchorId="0B1D1830" id="Prostokąt: zaokrąglone rogi 13" o:spid="_x0000_s1094" style="position:absolute;margin-left:26.2pt;margin-top:13.8pt;width:75.8pt;height:21.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center" arcsize="2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" fillcolor="#92d050" stroked="f">
                <v:textbox inset="2.5mm,1.64mm,2.5mm,1.25mm">
                  <w:txbxContent>
                    <w:p w14:paraId="74574992" w14:textId="77777777" w:rsidR="007611BB" w:rsidRDefault="007611BB" w:rsidP="005E347E">
                      <w:pPr>
                        <w:spacing w:line="223" w:lineRule="auto"/>
                        <w:jc w:val="center"/>
                        <w:rPr>
                          <w:rFonts w:ascii="Arial" w:hAnsi="Arial"/>
                          <w:kern w:val="24"/>
                          <w:sz w:val="28"/>
                          <w:szCs w:val="28"/>
                        </w:rPr>
                      </w:pPr>
                      <w:r>
                        <w:rPr>
                          <w:rFonts w:ascii="Arial" w:hAnsi="Arial"/>
                          <w:kern w:val="24"/>
                          <w:sz w:val="28"/>
                          <w:szCs w:val="28"/>
                        </w:rPr>
                        <w:t>Norma</w:t>
                      </w:r>
                    </w:p>
                  </w:txbxContent>
                </v:textbox>
              </v:roundrect>
            </w:pict>
          </mc:Fallback>
        </mc:AlternateContent>
      </w:r>
    </w:p>
    <w:p w14:paraId="68AD7373" w14:textId="40FF448B" w:rsidR="005E347E" w:rsidRPr="00AA22C4" w:rsidRDefault="005110F2" w:rsidP="005E347E">
      <w:pPr>
        <w:rPr>
          <w:rFonts w:ascii="Lato" w:hAnsi="Lato"/>
          <w:noProof/>
          <w:color w:val="000000" w:themeColor="text1"/>
        </w:rPr>
      </w:pPr>
      <w:r w:rsidRPr="00AA22C4">
        <w:rPr>
          <w:noProof/>
          <w:color w:val="000000" w:themeColor="text1"/>
        </w:rPr>
        <mc:AlternateContent>
          <mc:Choice Requires="wps">
            <w:drawing>
              <wp:anchor distT="4294967295" distB="4294967295" distL="114300" distR="114300" simplePos="0" relativeHeight="251664896" behindDoc="0" locked="0" layoutInCell="1" allowOverlap="1" wp14:anchorId="7635AF31" wp14:editId="7687561B">
                <wp:simplePos x="0" y="0"/>
                <wp:positionH relativeFrom="column">
                  <wp:posOffset>1289685</wp:posOffset>
                </wp:positionH>
                <wp:positionV relativeFrom="paragraph">
                  <wp:posOffset>65404</wp:posOffset>
                </wp:positionV>
                <wp:extent cx="424815" cy="0"/>
                <wp:effectExtent l="38100" t="76200" r="0" b="76200"/>
                <wp:wrapNone/>
                <wp:docPr id="1353434190" name="Łącznik prosty ze strzałką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24815" cy="0"/>
                        </a:xfrm>
                        <a:prstGeom prst="straightConnector1">
                          <a:avLst/>
                        </a:prstGeom>
                        <a:noFill/>
                        <a:ln w="22225"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C9485D4" id="Łącznik prosty ze strzałką 11" o:spid="_x0000_s1026" type="#_x0000_t32" style="position:absolute;margin-left:101.55pt;margin-top:5.15pt;width:33.45pt;height:0;flip:x;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" strokecolor="windowText" strokeweight="1.75pt">
                <v:stroke endarrow="block" joinstyle="miter"/>
                <o:lock v:ext="edit" shapetype="f"/>
              </v:shape>
            </w:pict>
          </mc:Fallback>
        </mc:AlternateContent>
      </w:r>
    </w:p>
    <w:p w14:paraId="6132F019" w14:textId="77777777" w:rsidR="005E347E" w:rsidRPr="00AA22C4" w:rsidRDefault="005E347E" w:rsidP="005E347E">
      <w:pPr>
        <w:rPr>
          <w:rFonts w:ascii="Lato" w:hAnsi="Lato"/>
          <w:noProof/>
          <w:color w:val="000000" w:themeColor="text1"/>
        </w:rPr>
      </w:pPr>
    </w:p>
    <w:p w14:paraId="7A31C971" w14:textId="79666CEC" w:rsidR="005E347E" w:rsidRPr="00AA22C4" w:rsidRDefault="005110F2" w:rsidP="005E347E">
      <w:pPr>
        <w:rPr>
          <w:rFonts w:ascii="Lato" w:hAnsi="Lato"/>
          <w:noProof/>
          <w:color w:val="000000" w:themeColor="text1"/>
        </w:rPr>
      </w:pPr>
      <w:r w:rsidRPr="00AA22C4">
        <w:rPr>
          <w:noProof/>
          <w:color w:val="000000" w:themeColor="text1"/>
        </w:rPr>
        <mc:AlternateContent>
          <mc:Choice Requires="wps">
            <w:drawing>
              <wp:anchor distT="0" distB="0" distL="114300" distR="114300" simplePos="0" relativeHeight="251661824" behindDoc="0" locked="0" layoutInCell="1" allowOverlap="1" wp14:anchorId="048EEF21" wp14:editId="433F95E6">
                <wp:simplePos x="0" y="0"/>
                <wp:positionH relativeFrom="column">
                  <wp:posOffset>2696210</wp:posOffset>
                </wp:positionH>
                <wp:positionV relativeFrom="paragraph">
                  <wp:posOffset>38100</wp:posOffset>
                </wp:positionV>
                <wp:extent cx="420370" cy="354330"/>
                <wp:effectExtent l="0" t="0" r="0" b="0"/>
                <wp:wrapNone/>
                <wp:docPr id="1128820616"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70" cy="354330"/>
                        </a:xfrm>
                        <a:prstGeom prst="rect">
                          <a:avLst/>
                        </a:prstGeom>
                        <a:noFill/>
                        <a:ln>
                          <a:noFill/>
                        </a:ln>
                      </wps:spPr>
                      <wps:txbx>
                        <w:txbxContent>
                          <w:p w14:paraId="61E06983" w14:textId="77777777" w:rsidR="007611BB" w:rsidRDefault="007611BB" w:rsidP="005E347E">
                            <w:pPr>
                              <w:rPr>
                                <w:rFonts w:ascii="Arial" w:hAnsi="Arial"/>
                                <w:kern w:val="24"/>
                              </w:rPr>
                            </w:pPr>
                            <w:r>
                              <w:rPr>
                                <w:rFonts w:ascii="Arial" w:hAnsi="Arial"/>
                                <w:kern w:val="24"/>
                              </w:rPr>
                              <w:t>Tak</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048EEF21" id="Pole tekstowe 9" o:spid="_x0000_s1095" type="#_x0000_t202" style="position:absolute;margin-left:212.3pt;margin-top:3pt;width:33.1pt;height:27.9pt;z-index:251661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" filled="f" stroked="f">
                <v:textbox style="mso-fit-shape-to-text:t">
                  <w:txbxContent>
                    <w:p w14:paraId="61E06983" w14:textId="77777777" w:rsidR="007611BB" w:rsidRDefault="007611BB" w:rsidP="005E347E">
                      <w:pPr>
                        <w:rPr>
                          <w:rFonts w:ascii="Arial" w:hAnsi="Arial"/>
                          <w:kern w:val="24"/>
                        </w:rPr>
                      </w:pPr>
                      <w:r>
                        <w:rPr>
                          <w:rFonts w:ascii="Arial" w:hAnsi="Arial"/>
                          <w:kern w:val="24"/>
                        </w:rPr>
                        <w:t>Tak</w:t>
                      </w:r>
                    </w:p>
                  </w:txbxContent>
                </v:textbox>
              </v:shape>
            </w:pict>
          </mc:Fallback>
        </mc:AlternateContent>
      </w:r>
      <w:r w:rsidRPr="00AA22C4">
        <w:rPr>
          <w:noProof/>
          <w:color w:val="000000" w:themeColor="text1"/>
        </w:rPr>
        <mc:AlternateContent>
          <mc:Choice Requires="wps">
            <w:drawing>
              <wp:anchor distT="0" distB="0" distL="114300" distR="114300" simplePos="0" relativeHeight="251666944" behindDoc="0" locked="0" layoutInCell="1" allowOverlap="1" wp14:anchorId="7A787012" wp14:editId="5A22A598">
                <wp:simplePos x="0" y="0"/>
                <wp:positionH relativeFrom="column">
                  <wp:posOffset>2693670</wp:posOffset>
                </wp:positionH>
                <wp:positionV relativeFrom="paragraph">
                  <wp:posOffset>34290</wp:posOffset>
                </wp:positionV>
                <wp:extent cx="1905" cy="237490"/>
                <wp:effectExtent l="76200" t="0" r="55245" b="29210"/>
                <wp:wrapNone/>
                <wp:docPr id="464884863" name="Łącznik prosty ze strzałką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05" cy="237490"/>
                        </a:xfrm>
                        <a:prstGeom prst="straightConnector1">
                          <a:avLst/>
                        </a:prstGeom>
                        <a:noFill/>
                        <a:ln w="19050" cap="flat" cmpd="sng" algn="ctr">
                          <a:solidFill>
                            <a:sysClr val="windowText" lastClr="000000"/>
                          </a:solidFill>
                          <a:prstDash val="solid"/>
                          <a:miter lim="800000"/>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w14:anchorId="03BC0509" id="Łącznik prosty ze strzałką 7" o:spid="_x0000_s1026" type="#_x0000_t32" style="position:absolute;margin-left:212.1pt;margin-top:2.7pt;width:.15pt;height:18.7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" strokecolor="windowText" strokeweight="1.5pt">
                <v:stroke endarrow="block" joinstyle="miter"/>
                <o:lock v:ext="edit" shapetype="f"/>
              </v:shape>
            </w:pict>
          </mc:Fallback>
        </mc:AlternateContent>
      </w:r>
    </w:p>
    <w:p w14:paraId="6309F680" w14:textId="3BE4D098" w:rsidR="005E347E" w:rsidRPr="00AA22C4" w:rsidRDefault="005110F2" w:rsidP="005E347E">
      <w:pPr>
        <w:rPr>
          <w:rFonts w:ascii="Lato" w:hAnsi="Lato"/>
          <w:noProof/>
          <w:color w:val="000000" w:themeColor="text1"/>
        </w:rPr>
      </w:pPr>
      <w:r w:rsidRPr="00AA22C4">
        <w:rPr>
          <w:noProof/>
          <w:color w:val="000000" w:themeColor="text1"/>
        </w:rPr>
        <mc:AlternateContent>
          <mc:Choice Requires="wps">
            <w:drawing>
              <wp:anchor distT="0" distB="0" distL="114300" distR="114300" simplePos="0" relativeHeight="251657728" behindDoc="0" locked="0" layoutInCell="1" allowOverlap="1" wp14:anchorId="79704D62" wp14:editId="09BD3D49">
                <wp:simplePos x="0" y="0"/>
                <wp:positionH relativeFrom="column">
                  <wp:posOffset>1449705</wp:posOffset>
                </wp:positionH>
                <wp:positionV relativeFrom="paragraph">
                  <wp:posOffset>9525</wp:posOffset>
                </wp:positionV>
                <wp:extent cx="2495550" cy="360045"/>
                <wp:effectExtent l="0" t="0" r="0" b="0"/>
                <wp:wrapNone/>
                <wp:docPr id="810476962" name="Prostokąt: zaokrąglone rogi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0" cy="360045"/>
                        </a:xfrm>
                        <a:prstGeom prst="roundRect">
                          <a:avLst>
                            <a:gd name="adj" fmla="val 440"/>
                          </a:avLst>
                        </a:prstGeom>
                        <a:solidFill>
                          <a:srgbClr val="4472C4">
                            <a:lumMod val="40000"/>
                            <a:lumOff val="60000"/>
                          </a:srgbClr>
                        </a:solidFill>
                        <a:ln w="9360">
                          <a:noFill/>
                          <a:miter lim="800000"/>
                          <a:headEnd/>
                          <a:tailEnd/>
                        </a:ln>
                        <a:effectLst/>
                      </wps:spPr>
                      <wps:txbx>
                        <w:txbxContent>
                          <w:p w14:paraId="2744FDBA" w14:textId="77777777" w:rsidR="007611BB" w:rsidRDefault="007611BB" w:rsidP="005E347E">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223" w:lineRule="auto"/>
                              <w:jc w:val="center"/>
                              <w:rPr>
                                <w:rFonts w:ascii="Calibri" w:hAnsi="Calibri"/>
                                <w:kern w:val="24"/>
                                <w:sz w:val="28"/>
                                <w:szCs w:val="28"/>
                              </w:rPr>
                            </w:pPr>
                            <w:r>
                              <w:rPr>
                                <w:rFonts w:ascii="Calibri" w:hAnsi="Calibri"/>
                                <w:kern w:val="24"/>
                                <w:sz w:val="28"/>
                                <w:szCs w:val="28"/>
                              </w:rPr>
                              <w:t>Analiza mutacji genu CFTR*</w:t>
                            </w:r>
                          </w:p>
                        </w:txbxContent>
                      </wps:txbx>
                      <wps:bodyPr lIns="90000" tIns="59040" rIns="90000" bIns="45000" anchor="ctr" anchorCtr="1"/>
                    </wps:wsp>
                  </a:graphicData>
                </a:graphic>
                <wp14:sizeRelH relativeFrom="page">
                  <wp14:pctWidth>0</wp14:pctWidth>
                </wp14:sizeRelH>
                <wp14:sizeRelV relativeFrom="page">
                  <wp14:pctHeight>0</wp14:pctHeight>
                </wp14:sizeRelV>
              </wp:anchor>
            </w:drawing>
          </mc:Choice>
          <mc:Fallback>
            <w:pict>
              <v:roundrect w14:anchorId="79704D62" id="Prostokąt: zaokrąglone rogi 5" o:spid="_x0000_s1096" style="position:absolute;margin-left:114.15pt;margin-top:.75pt;width:196.5pt;height:28.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center" arcsize="2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" fillcolor="#b4c7e7" stroked="f" strokeweight=".26mm">
                <v:stroke joinstyle="miter"/>
                <v:textbox inset="2.5mm,1.64mm,2.5mm,1.25mm">
                  <w:txbxContent>
                    <w:p w14:paraId="2744FDBA" w14:textId="77777777" w:rsidR="007611BB" w:rsidRDefault="007611BB" w:rsidP="005E347E">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223" w:lineRule="auto"/>
                        <w:jc w:val="center"/>
                        <w:rPr>
                          <w:rFonts w:ascii="Calibri" w:hAnsi="Calibri"/>
                          <w:kern w:val="24"/>
                          <w:sz w:val="28"/>
                          <w:szCs w:val="28"/>
                        </w:rPr>
                      </w:pPr>
                      <w:r>
                        <w:rPr>
                          <w:rFonts w:ascii="Calibri" w:hAnsi="Calibri"/>
                          <w:kern w:val="24"/>
                          <w:sz w:val="28"/>
                          <w:szCs w:val="28"/>
                        </w:rPr>
                        <w:t>Analiza mutacji genu CFTR*</w:t>
                      </w:r>
                    </w:p>
                  </w:txbxContent>
                </v:textbox>
              </v:roundrect>
            </w:pict>
          </mc:Fallback>
        </mc:AlternateContent>
      </w:r>
    </w:p>
    <w:p w14:paraId="10426F7C" w14:textId="69E44481" w:rsidR="005E347E" w:rsidRPr="00AA22C4" w:rsidRDefault="005110F2" w:rsidP="005E347E">
      <w:pPr>
        <w:rPr>
          <w:rFonts w:ascii="Lato" w:hAnsi="Lato"/>
          <w:noProof/>
          <w:color w:val="000000" w:themeColor="text1"/>
        </w:rPr>
      </w:pPr>
      <w:r w:rsidRPr="00AA22C4">
        <w:rPr>
          <w:noProof/>
          <w:color w:val="000000" w:themeColor="text1"/>
        </w:rPr>
        <mc:AlternateContent>
          <mc:Choice Requires="wps">
            <w:drawing>
              <wp:anchor distT="0" distB="0" distL="114300" distR="114300" simplePos="0" relativeHeight="251662848" behindDoc="0" locked="0" layoutInCell="1" allowOverlap="1" wp14:anchorId="6455A9B3" wp14:editId="57D6E38C">
                <wp:simplePos x="0" y="0"/>
                <wp:positionH relativeFrom="column">
                  <wp:posOffset>1089660</wp:posOffset>
                </wp:positionH>
                <wp:positionV relativeFrom="paragraph">
                  <wp:posOffset>99695</wp:posOffset>
                </wp:positionV>
                <wp:extent cx="3686175" cy="593090"/>
                <wp:effectExtent l="0" t="0" r="0" b="0"/>
                <wp:wrapNone/>
                <wp:docPr id="1903664500"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593090"/>
                        </a:xfrm>
                        <a:prstGeom prst="rect">
                          <a:avLst/>
                        </a:prstGeom>
                        <a:noFill/>
                        <a:ln>
                          <a:noFill/>
                        </a:ln>
                      </wps:spPr>
                      <wps:txbx>
                        <w:txbxContent>
                          <w:p w14:paraId="0A09B690" w14:textId="77777777" w:rsidR="007611BB" w:rsidRPr="0015358E" w:rsidRDefault="007611BB" w:rsidP="005E347E">
                            <w:pPr>
                              <w:rPr>
                                <w:rFonts w:ascii="Arial" w:hAnsi="Arial"/>
                                <w:i/>
                                <w:iCs/>
                                <w:kern w:val="24"/>
                                <w:sz w:val="20"/>
                                <w:szCs w:val="20"/>
                              </w:rPr>
                            </w:pPr>
                            <w:r w:rsidRPr="0015358E">
                              <w:rPr>
                                <w:rFonts w:ascii="Arial" w:hAnsi="Arial"/>
                                <w:i/>
                                <w:iCs/>
                                <w:kern w:val="24"/>
                                <w:sz w:val="20"/>
                                <w:szCs w:val="20"/>
                              </w:rPr>
                              <w:t>*) Analiza 17 najczęstszych mutacji występujących w polskiej populacji oraz sekwencjonowanie 8 eksonów genu CFTR</w:t>
                            </w:r>
                          </w:p>
                          <w:p w14:paraId="31AD6EC8" w14:textId="77777777" w:rsidR="007611BB" w:rsidRPr="0015358E" w:rsidRDefault="007611BB" w:rsidP="005E347E">
                            <w:pPr>
                              <w:rPr>
                                <w:rFonts w:ascii="Arial" w:hAnsi="Arial"/>
                                <w:i/>
                                <w:iCs/>
                                <w:kern w:val="24"/>
                                <w:sz w:val="20"/>
                                <w:szCs w:val="20"/>
                              </w:rPr>
                            </w:pPr>
                          </w:p>
                          <w:p w14:paraId="657FB889" w14:textId="77777777" w:rsidR="007611BB" w:rsidRPr="0015358E" w:rsidRDefault="007611BB" w:rsidP="005E347E">
                            <w:pPr>
                              <w:rPr>
                                <w:rFonts w:ascii="Arial" w:hAnsi="Arial"/>
                                <w:i/>
                                <w:iCs/>
                                <w:kern w:val="24"/>
                                <w:sz w:val="20"/>
                                <w:szCs w:val="20"/>
                              </w:rPr>
                            </w:pPr>
                          </w:p>
                          <w:p w14:paraId="6FD73D5A" w14:textId="77777777" w:rsidR="007611BB" w:rsidRPr="0015358E" w:rsidRDefault="007611BB" w:rsidP="005E347E">
                            <w:pPr>
                              <w:rPr>
                                <w:rFonts w:ascii="Arial" w:hAnsi="Arial"/>
                                <w:i/>
                                <w:iCs/>
                                <w:kern w:val="24"/>
                                <w:sz w:val="20"/>
                                <w:szCs w:val="20"/>
                              </w:rPr>
                            </w:pPr>
                          </w:p>
                          <w:p w14:paraId="2F59A0E1" w14:textId="77777777" w:rsidR="007611BB" w:rsidRPr="0015358E" w:rsidRDefault="007611BB" w:rsidP="005E347E">
                            <w:pPr>
                              <w:rPr>
                                <w:rFonts w:ascii="Arial" w:hAnsi="Arial"/>
                                <w:i/>
                                <w:iCs/>
                                <w:kern w:val="24"/>
                                <w:sz w:val="20"/>
                                <w:szCs w:val="20"/>
                              </w:rPr>
                            </w:pPr>
                          </w:p>
                        </w:txbxContent>
                      </wps:txbx>
                      <wps:bodyPr wrap="square" lIns="108000" tIns="86040" rIns="108000" bIns="63000">
                        <a:noAutofit/>
                      </wps:bodyPr>
                    </wps:wsp>
                  </a:graphicData>
                </a:graphic>
                <wp14:sizeRelH relativeFrom="margin">
                  <wp14:pctWidth>0</wp14:pctWidth>
                </wp14:sizeRelH>
                <wp14:sizeRelV relativeFrom="margin">
                  <wp14:pctHeight>0</wp14:pctHeight>
                </wp14:sizeRelV>
              </wp:anchor>
            </w:drawing>
          </mc:Choice>
          <mc:Fallback>
            <w:pict>
              <v:shape w14:anchorId="6455A9B3" id="Pole tekstowe 3" o:spid="_x0000_s1097" type="#_x0000_t202" style="position:absolute;margin-left:85.8pt;margin-top:7.85pt;width:290.25pt;height:46.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" filled="f" stroked="f">
                <v:textbox inset="3mm,2.39mm,3mm,1.75mm">
                  <w:txbxContent>
                    <w:p w14:paraId="0A09B690" w14:textId="77777777" w:rsidR="007611BB" w:rsidRPr="0015358E" w:rsidRDefault="007611BB" w:rsidP="005E347E">
                      <w:pPr>
                        <w:rPr>
                          <w:rFonts w:ascii="Arial" w:hAnsi="Arial"/>
                          <w:i/>
                          <w:iCs/>
                          <w:kern w:val="24"/>
                          <w:sz w:val="20"/>
                          <w:szCs w:val="20"/>
                        </w:rPr>
                      </w:pPr>
                      <w:r w:rsidRPr="0015358E">
                        <w:rPr>
                          <w:rFonts w:ascii="Arial" w:hAnsi="Arial"/>
                          <w:i/>
                          <w:iCs/>
                          <w:kern w:val="24"/>
                          <w:sz w:val="20"/>
                          <w:szCs w:val="20"/>
                        </w:rPr>
                        <w:t xml:space="preserve">*) Analiza 17 najczęstszych mutacji występujących w polskiej populacji oraz sekwencjonowanie 8 </w:t>
                      </w:r>
                      <w:proofErr w:type="spellStart"/>
                      <w:r w:rsidRPr="0015358E">
                        <w:rPr>
                          <w:rFonts w:ascii="Arial" w:hAnsi="Arial"/>
                          <w:i/>
                          <w:iCs/>
                          <w:kern w:val="24"/>
                          <w:sz w:val="20"/>
                          <w:szCs w:val="20"/>
                        </w:rPr>
                        <w:t>eksonów</w:t>
                      </w:r>
                      <w:proofErr w:type="spellEnd"/>
                      <w:r w:rsidRPr="0015358E">
                        <w:rPr>
                          <w:rFonts w:ascii="Arial" w:hAnsi="Arial"/>
                          <w:i/>
                          <w:iCs/>
                          <w:kern w:val="24"/>
                          <w:sz w:val="20"/>
                          <w:szCs w:val="20"/>
                        </w:rPr>
                        <w:t xml:space="preserve"> genu CFTR</w:t>
                      </w:r>
                    </w:p>
                    <w:p w14:paraId="31AD6EC8" w14:textId="77777777" w:rsidR="007611BB" w:rsidRPr="0015358E" w:rsidRDefault="007611BB" w:rsidP="005E347E">
                      <w:pPr>
                        <w:rPr>
                          <w:rFonts w:ascii="Arial" w:hAnsi="Arial"/>
                          <w:i/>
                          <w:iCs/>
                          <w:kern w:val="24"/>
                          <w:sz w:val="20"/>
                          <w:szCs w:val="20"/>
                        </w:rPr>
                      </w:pPr>
                    </w:p>
                    <w:p w14:paraId="657FB889" w14:textId="77777777" w:rsidR="007611BB" w:rsidRPr="0015358E" w:rsidRDefault="007611BB" w:rsidP="005E347E">
                      <w:pPr>
                        <w:rPr>
                          <w:rFonts w:ascii="Arial" w:hAnsi="Arial"/>
                          <w:i/>
                          <w:iCs/>
                          <w:kern w:val="24"/>
                          <w:sz w:val="20"/>
                          <w:szCs w:val="20"/>
                        </w:rPr>
                      </w:pPr>
                    </w:p>
                    <w:p w14:paraId="6FD73D5A" w14:textId="77777777" w:rsidR="007611BB" w:rsidRPr="0015358E" w:rsidRDefault="007611BB" w:rsidP="005E347E">
                      <w:pPr>
                        <w:rPr>
                          <w:rFonts w:ascii="Arial" w:hAnsi="Arial"/>
                          <w:i/>
                          <w:iCs/>
                          <w:kern w:val="24"/>
                          <w:sz w:val="20"/>
                          <w:szCs w:val="20"/>
                        </w:rPr>
                      </w:pPr>
                    </w:p>
                    <w:p w14:paraId="2F59A0E1" w14:textId="77777777" w:rsidR="007611BB" w:rsidRPr="0015358E" w:rsidRDefault="007611BB" w:rsidP="005E347E">
                      <w:pPr>
                        <w:rPr>
                          <w:rFonts w:ascii="Arial" w:hAnsi="Arial"/>
                          <w:i/>
                          <w:iCs/>
                          <w:kern w:val="24"/>
                          <w:sz w:val="20"/>
                          <w:szCs w:val="20"/>
                        </w:rPr>
                      </w:pPr>
                    </w:p>
                  </w:txbxContent>
                </v:textbox>
              </v:shape>
            </w:pict>
          </mc:Fallback>
        </mc:AlternateContent>
      </w:r>
    </w:p>
    <w:p w14:paraId="5FBB997F" w14:textId="77777777" w:rsidR="005E347E" w:rsidRPr="00AA22C4" w:rsidRDefault="005E347E" w:rsidP="005E347E">
      <w:pPr>
        <w:rPr>
          <w:rFonts w:ascii="Lato" w:hAnsi="Lato"/>
          <w:noProof/>
          <w:color w:val="000000" w:themeColor="text1"/>
        </w:rPr>
      </w:pPr>
    </w:p>
    <w:p w14:paraId="3AFC98D8" w14:textId="01EC955C" w:rsidR="005E347E" w:rsidRPr="00AA22C4" w:rsidRDefault="005110F2" w:rsidP="005E347E">
      <w:pPr>
        <w:rPr>
          <w:rFonts w:ascii="Lato" w:hAnsi="Lato"/>
          <w:noProof/>
          <w:color w:val="000000" w:themeColor="text1"/>
        </w:rPr>
      </w:pPr>
      <w:r w:rsidRPr="00AA22C4">
        <w:rPr>
          <w:noProof/>
          <w:color w:val="000000" w:themeColor="text1"/>
        </w:rPr>
        <mc:AlternateContent>
          <mc:Choice Requires="wps">
            <w:drawing>
              <wp:anchor distT="0" distB="0" distL="114300" distR="114300" simplePos="0" relativeHeight="251665920" behindDoc="0" locked="0" layoutInCell="1" allowOverlap="1" wp14:anchorId="455C3708" wp14:editId="65016780">
                <wp:simplePos x="0" y="0"/>
                <wp:positionH relativeFrom="column">
                  <wp:posOffset>2675890</wp:posOffset>
                </wp:positionH>
                <wp:positionV relativeFrom="paragraph">
                  <wp:posOffset>24765</wp:posOffset>
                </wp:positionV>
                <wp:extent cx="1905" cy="237490"/>
                <wp:effectExtent l="76200" t="0" r="55245" b="29210"/>
                <wp:wrapNone/>
                <wp:docPr id="1557715452"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05" cy="237490"/>
                        </a:xfrm>
                        <a:prstGeom prst="straightConnector1">
                          <a:avLst/>
                        </a:prstGeom>
                        <a:noFill/>
                        <a:ln w="19050" cap="flat" cmpd="sng" algn="ctr">
                          <a:solidFill>
                            <a:sysClr val="windowText" lastClr="000000"/>
                          </a:solidFill>
                          <a:prstDash val="solid"/>
                          <a:miter lim="800000"/>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w14:anchorId="06D122A3" id="Łącznik prosty ze strzałką 1" o:spid="_x0000_s1026" type="#_x0000_t32" style="position:absolute;margin-left:210.7pt;margin-top:1.95pt;width:.15pt;height:18.7pt;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" strokecolor="windowText" strokeweight="1.5pt">
                <v:stroke endarrow="block" joinstyle="miter"/>
                <o:lock v:ext="edit" shapetype="f"/>
              </v:shape>
            </w:pict>
          </mc:Fallback>
        </mc:AlternateContent>
      </w:r>
    </w:p>
    <w:p w14:paraId="07806C0A" w14:textId="1D2E3D02" w:rsidR="005E347E" w:rsidRPr="00AA22C4" w:rsidRDefault="005110F2" w:rsidP="007C7607">
      <w:pPr>
        <w:rPr>
          <w:color w:val="000000" w:themeColor="text1"/>
        </w:rPr>
      </w:pPr>
      <w:r w:rsidRPr="00AA22C4">
        <w:rPr>
          <w:rFonts w:ascii="Lato" w:hAnsi="Lato"/>
          <w:noProof/>
          <w:color w:val="000000" w:themeColor="text1"/>
        </w:rPr>
        <w:drawing>
          <wp:inline distT="0" distB="0" distL="0" distR="0" wp14:anchorId="455C7E07" wp14:editId="765B0726">
            <wp:extent cx="5743575" cy="4572000"/>
            <wp:effectExtent l="0" t="0" r="0" b="0"/>
            <wp:docPr id="7" name="Obraz 1" descr="Obraz zawierający tekst, diagram, zrzut ekranu,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tekst, diagram, zrzut ekranu, linia&#10;&#10;Opis wygenerowany automatyczni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43575" cy="4572000"/>
                    </a:xfrm>
                    <a:prstGeom prst="rect">
                      <a:avLst/>
                    </a:prstGeom>
                    <a:noFill/>
                    <a:ln>
                      <a:noFill/>
                    </a:ln>
                  </pic:spPr>
                </pic:pic>
              </a:graphicData>
            </a:graphic>
          </wp:inline>
        </w:drawing>
      </w:r>
    </w:p>
    <w:p w14:paraId="2F2DF05D" w14:textId="73FCE944" w:rsidR="006C2B32" w:rsidRPr="00AA22C4" w:rsidRDefault="006C2B32" w:rsidP="006C2B32">
      <w:pPr>
        <w:pStyle w:val="Tekstprzypisudolnego"/>
        <w:spacing w:before="120" w:after="120"/>
        <w:contextualSpacing/>
        <w:jc w:val="both"/>
        <w:rPr>
          <w:rFonts w:ascii="Lato" w:hAnsi="Lato"/>
          <w:color w:val="000000" w:themeColor="text1"/>
          <w:sz w:val="22"/>
          <w:szCs w:val="22"/>
        </w:rPr>
      </w:pPr>
      <w:bookmarkStart w:id="53" w:name="_Toc491892709"/>
      <w:r w:rsidRPr="00AA22C4">
        <w:rPr>
          <w:rFonts w:ascii="Lato" w:hAnsi="Lato"/>
          <w:color w:val="000000" w:themeColor="text1"/>
          <w:sz w:val="22"/>
          <w:szCs w:val="22"/>
        </w:rPr>
        <w:lastRenderedPageBreak/>
        <w:t>Zmiany zostały wprowadzone w celu przyspieszenia procesu oraz znacznego zmniejszenia liczby dzieci kierowanych do Poradni Mukowiscydozy na dalszą diagnostykę. Najważniejszą zmianą jest rezygnacja z wzywania dzieci z wynikiem badania genu CFTR określonym jako (+/-), czyli z wykrytym jednym wariantem patogennym. To wykluczenie zredukowało liczbę dzieci kierowanych na dalsze badania o ponad 2/3. Podstawą tej decyzji była analiza wyników badań przesiewowych 5 355 018 noworodków, spośród których do poradni wezwano 2900 z wykrytym jednym wariantem (68%) oraz 1340 z dwoma wariantami patogennymi (32%). U żadnego noworodka z wynikiem (+/-) nie stwierdzono mukowiscydozy po dalszej diagnostyce w</w:t>
      </w:r>
    </w:p>
    <w:p w14:paraId="1A724BA6" w14:textId="48139DCF" w:rsidR="000F2E15" w:rsidRPr="00AA22C4" w:rsidRDefault="006C2B32" w:rsidP="006C2B32">
      <w:pPr>
        <w:pStyle w:val="Tekstprzypisudolnego"/>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Poradni Mukowiscydozy. Zmiana została wprowadzona po uzyskaniu zgody Polskiego Towarzystwa Mukowiscydozy.</w:t>
      </w:r>
    </w:p>
    <w:p w14:paraId="69D60638" w14:textId="77777777" w:rsidR="000F2E15" w:rsidRPr="00AA22C4" w:rsidRDefault="000F2E15" w:rsidP="005E347E">
      <w:pPr>
        <w:pStyle w:val="Tekstprzypisudolnego"/>
        <w:spacing w:before="120" w:after="120"/>
        <w:contextualSpacing/>
        <w:jc w:val="both"/>
        <w:rPr>
          <w:rFonts w:ascii="Lato" w:hAnsi="Lato"/>
          <w:b/>
          <w:bCs/>
          <w:color w:val="000000" w:themeColor="text1"/>
          <w:sz w:val="22"/>
          <w:szCs w:val="22"/>
        </w:rPr>
      </w:pPr>
    </w:p>
    <w:p w14:paraId="64BD7FBE" w14:textId="4013CC0F" w:rsidR="005E347E" w:rsidRPr="00AA22C4" w:rsidRDefault="005E347E" w:rsidP="005E347E">
      <w:pPr>
        <w:pStyle w:val="Tekstprzypisudolnego"/>
        <w:spacing w:before="120" w:after="120"/>
        <w:contextualSpacing/>
        <w:jc w:val="both"/>
        <w:rPr>
          <w:rFonts w:ascii="Lato" w:hAnsi="Lato"/>
          <w:b/>
          <w:bCs/>
          <w:color w:val="000000" w:themeColor="text1"/>
          <w:sz w:val="22"/>
          <w:szCs w:val="22"/>
        </w:rPr>
      </w:pPr>
      <w:r w:rsidRPr="00AA22C4">
        <w:rPr>
          <w:rFonts w:ascii="Lato" w:hAnsi="Lato"/>
          <w:b/>
          <w:bCs/>
          <w:color w:val="000000" w:themeColor="text1"/>
          <w:sz w:val="22"/>
          <w:szCs w:val="22"/>
        </w:rPr>
        <w:t>4. Fenyloketonuria</w:t>
      </w:r>
      <w:bookmarkEnd w:id="53"/>
    </w:p>
    <w:p w14:paraId="723D9054" w14:textId="77777777" w:rsidR="006C2B32" w:rsidRPr="00AA22C4" w:rsidRDefault="006C2B32" w:rsidP="005E347E">
      <w:pPr>
        <w:pStyle w:val="Tekstprzypisudolnego"/>
        <w:spacing w:before="120" w:after="120"/>
        <w:contextualSpacing/>
        <w:jc w:val="both"/>
        <w:rPr>
          <w:rFonts w:ascii="Lato" w:hAnsi="Lato"/>
          <w:b/>
          <w:color w:val="000000" w:themeColor="text1"/>
          <w:sz w:val="22"/>
          <w:szCs w:val="22"/>
        </w:rPr>
      </w:pPr>
    </w:p>
    <w:p w14:paraId="0CEFD42A" w14:textId="74DD8B7F" w:rsidR="005E347E" w:rsidRPr="00AA22C4" w:rsidRDefault="005E347E" w:rsidP="005E347E">
      <w:pPr>
        <w:pStyle w:val="Tekstprzypisudolnego"/>
        <w:spacing w:before="120" w:after="120"/>
        <w:contextualSpacing/>
        <w:jc w:val="both"/>
        <w:rPr>
          <w:rFonts w:ascii="Lato" w:hAnsi="Lato"/>
          <w:b/>
          <w:color w:val="000000" w:themeColor="text1"/>
          <w:sz w:val="22"/>
          <w:szCs w:val="22"/>
        </w:rPr>
      </w:pPr>
      <w:r w:rsidRPr="00AA22C4">
        <w:rPr>
          <w:rFonts w:ascii="Lato" w:hAnsi="Lato"/>
          <w:b/>
          <w:color w:val="000000" w:themeColor="text1"/>
          <w:sz w:val="22"/>
          <w:szCs w:val="22"/>
        </w:rPr>
        <w:t>Ryc. 12 Klasyfikacja wyników badań przesiewowych w kierunku fenyloketonurii (PKU).</w:t>
      </w:r>
    </w:p>
    <w:p w14:paraId="67AB0C79" w14:textId="77E39419" w:rsidR="005E347E" w:rsidRPr="00AA22C4" w:rsidRDefault="005110F2" w:rsidP="005E347E">
      <w:pPr>
        <w:pStyle w:val="Tekstprzypisudolnego"/>
        <w:spacing w:before="120" w:after="120"/>
        <w:contextualSpacing/>
        <w:jc w:val="both"/>
        <w:rPr>
          <w:rFonts w:ascii="Lato" w:hAnsi="Lato"/>
          <w:color w:val="000000" w:themeColor="text1"/>
          <w:sz w:val="22"/>
          <w:szCs w:val="22"/>
        </w:rPr>
      </w:pPr>
      <w:r w:rsidRPr="00AA22C4">
        <w:rPr>
          <w:rFonts w:ascii="Lato" w:hAnsi="Lato"/>
          <w:noProof/>
          <w:color w:val="000000" w:themeColor="text1"/>
          <w:sz w:val="22"/>
          <w:szCs w:val="22"/>
        </w:rPr>
        <w:drawing>
          <wp:inline distT="0" distB="0" distL="0" distR="0" wp14:anchorId="085BB501" wp14:editId="765D6473">
            <wp:extent cx="5762625" cy="4867275"/>
            <wp:effectExtent l="0" t="0" r="0" b="0"/>
            <wp:docPr id="8" name="Obraz 4" descr="Obraz zawierający tekst, zrzut ekranu, Czcionka, Karteczka samoprzylepn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Obraz zawierający tekst, zrzut ekranu, Czcionka, Karteczka samoprzylepna&#10;&#10;Opis wygenerowany automatyczni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2625" cy="4867275"/>
                    </a:xfrm>
                    <a:prstGeom prst="rect">
                      <a:avLst/>
                    </a:prstGeom>
                    <a:noFill/>
                    <a:ln>
                      <a:noFill/>
                    </a:ln>
                  </pic:spPr>
                </pic:pic>
              </a:graphicData>
            </a:graphic>
          </wp:inline>
        </w:drawing>
      </w:r>
    </w:p>
    <w:p w14:paraId="280A6728"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br w:type="page"/>
      </w:r>
    </w:p>
    <w:p w14:paraId="32244445" w14:textId="77777777" w:rsidR="005E347E" w:rsidRPr="00AA22C4" w:rsidRDefault="005E347E" w:rsidP="005E347E">
      <w:pPr>
        <w:pStyle w:val="Tekstprzypisudolnego"/>
        <w:numPr>
          <w:ilvl w:val="0"/>
          <w:numId w:val="10"/>
        </w:numPr>
        <w:spacing w:before="120" w:after="120"/>
        <w:contextualSpacing/>
        <w:jc w:val="both"/>
        <w:rPr>
          <w:rFonts w:ascii="Lato" w:hAnsi="Lato"/>
          <w:b/>
          <w:bCs/>
          <w:color w:val="000000" w:themeColor="text1"/>
          <w:sz w:val="22"/>
          <w:szCs w:val="22"/>
        </w:rPr>
      </w:pPr>
      <w:bookmarkStart w:id="54" w:name="_Toc491892710"/>
      <w:r w:rsidRPr="00AA22C4">
        <w:rPr>
          <w:rFonts w:ascii="Lato" w:hAnsi="Lato"/>
          <w:b/>
          <w:bCs/>
          <w:color w:val="000000" w:themeColor="text1"/>
          <w:sz w:val="22"/>
          <w:szCs w:val="22"/>
        </w:rPr>
        <w:lastRenderedPageBreak/>
        <w:t>Rdzeniowy zanik mięśni</w:t>
      </w:r>
    </w:p>
    <w:p w14:paraId="345BE3A2" w14:textId="77777777" w:rsidR="005E347E" w:rsidRPr="00AA22C4" w:rsidRDefault="005E347E" w:rsidP="005E347E">
      <w:pPr>
        <w:pStyle w:val="Tekstprzypisudolnego"/>
        <w:spacing w:before="120" w:after="120"/>
        <w:ind w:left="360"/>
        <w:contextualSpacing/>
        <w:jc w:val="both"/>
        <w:rPr>
          <w:rFonts w:ascii="Lato" w:hAnsi="Lato"/>
          <w:b/>
          <w:bCs/>
          <w:color w:val="000000" w:themeColor="text1"/>
          <w:sz w:val="22"/>
          <w:szCs w:val="22"/>
        </w:rPr>
      </w:pPr>
    </w:p>
    <w:p w14:paraId="44388C27" w14:textId="77777777" w:rsidR="005E347E" w:rsidRPr="00AA22C4" w:rsidRDefault="005E347E" w:rsidP="005E347E">
      <w:pPr>
        <w:pStyle w:val="Tekstprzypisudolnego"/>
        <w:spacing w:before="120" w:after="120"/>
        <w:contextualSpacing/>
        <w:jc w:val="both"/>
        <w:rPr>
          <w:rFonts w:ascii="Lato" w:hAnsi="Lato"/>
          <w:b/>
          <w:color w:val="000000" w:themeColor="text1"/>
          <w:sz w:val="22"/>
          <w:szCs w:val="22"/>
        </w:rPr>
      </w:pPr>
      <w:r w:rsidRPr="00AA22C4">
        <w:rPr>
          <w:rFonts w:ascii="Lato" w:hAnsi="Lato"/>
          <w:b/>
          <w:color w:val="000000" w:themeColor="text1"/>
          <w:sz w:val="22"/>
          <w:szCs w:val="22"/>
        </w:rPr>
        <w:t>Ryc. 13 Klasyfikacja wyników badań przesiewowych w kierunku rdzeniowego zaniku mięśni.</w:t>
      </w:r>
    </w:p>
    <w:p w14:paraId="486586E3" w14:textId="125BC901" w:rsidR="005E347E" w:rsidRPr="00AA22C4" w:rsidRDefault="005110F2" w:rsidP="005E347E">
      <w:pPr>
        <w:widowControl/>
        <w:spacing w:line="240" w:lineRule="auto"/>
        <w:jc w:val="center"/>
        <w:rPr>
          <w:rFonts w:ascii="Lato" w:hAnsi="Lato"/>
          <w:b/>
          <w:bCs/>
          <w:color w:val="000000" w:themeColor="text1"/>
          <w:sz w:val="22"/>
          <w:szCs w:val="22"/>
        </w:rPr>
      </w:pPr>
      <w:r w:rsidRPr="00AA22C4">
        <w:rPr>
          <w:rFonts w:ascii="Lato" w:hAnsi="Lato"/>
          <w:b/>
          <w:noProof/>
          <w:color w:val="000000" w:themeColor="text1"/>
          <w:sz w:val="22"/>
          <w:szCs w:val="22"/>
        </w:rPr>
        <w:drawing>
          <wp:inline distT="0" distB="0" distL="0" distR="0" wp14:anchorId="413B8E67" wp14:editId="1E6B384E">
            <wp:extent cx="5667375" cy="6505575"/>
            <wp:effectExtent l="0" t="0" r="0" b="0"/>
            <wp:docPr id="9" name="Obraz 15" descr="Obraz zawierający tekst, zrzut ekranu, Czcionka,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descr="Obraz zawierający tekst, zrzut ekranu, Czcionka, linia&#10;&#10;Opis wygenerowany automatyczni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67375" cy="6505575"/>
                    </a:xfrm>
                    <a:prstGeom prst="rect">
                      <a:avLst/>
                    </a:prstGeom>
                    <a:noFill/>
                    <a:ln>
                      <a:noFill/>
                    </a:ln>
                  </pic:spPr>
                </pic:pic>
              </a:graphicData>
            </a:graphic>
          </wp:inline>
        </w:drawing>
      </w:r>
    </w:p>
    <w:p w14:paraId="79F4A0AE" w14:textId="77777777" w:rsidR="005E347E" w:rsidRPr="00AA22C4" w:rsidRDefault="005E347E" w:rsidP="005E347E">
      <w:pPr>
        <w:widowControl/>
        <w:spacing w:line="240" w:lineRule="auto"/>
        <w:rPr>
          <w:rFonts w:ascii="Lato" w:hAnsi="Lato"/>
          <w:b/>
          <w:bCs/>
          <w:color w:val="000000" w:themeColor="text1"/>
          <w:sz w:val="22"/>
          <w:szCs w:val="22"/>
        </w:rPr>
      </w:pPr>
      <w:r w:rsidRPr="00AA22C4">
        <w:rPr>
          <w:rFonts w:ascii="Lato" w:hAnsi="Lato"/>
          <w:b/>
          <w:bCs/>
          <w:color w:val="000000" w:themeColor="text1"/>
          <w:sz w:val="22"/>
          <w:szCs w:val="22"/>
        </w:rPr>
        <w:br w:type="page"/>
      </w:r>
    </w:p>
    <w:p w14:paraId="38C53AD5" w14:textId="77777777" w:rsidR="005E347E" w:rsidRPr="00AA22C4" w:rsidRDefault="005E347E" w:rsidP="005E347E">
      <w:pPr>
        <w:pStyle w:val="Tekstprzypisudolnego"/>
        <w:numPr>
          <w:ilvl w:val="0"/>
          <w:numId w:val="10"/>
        </w:numPr>
        <w:spacing w:before="120" w:after="120"/>
        <w:contextualSpacing/>
        <w:jc w:val="both"/>
        <w:rPr>
          <w:rFonts w:ascii="Lato" w:hAnsi="Lato"/>
          <w:b/>
          <w:bCs/>
          <w:color w:val="000000" w:themeColor="text1"/>
          <w:sz w:val="22"/>
          <w:szCs w:val="22"/>
        </w:rPr>
      </w:pPr>
      <w:r w:rsidRPr="00AA22C4">
        <w:rPr>
          <w:rFonts w:ascii="Lato" w:hAnsi="Lato"/>
          <w:b/>
          <w:bCs/>
          <w:color w:val="000000" w:themeColor="text1"/>
          <w:sz w:val="22"/>
          <w:szCs w:val="22"/>
        </w:rPr>
        <w:lastRenderedPageBreak/>
        <w:t>Rzadkie wady metabolizmu</w:t>
      </w:r>
      <w:bookmarkEnd w:id="54"/>
    </w:p>
    <w:p w14:paraId="016ECE88" w14:textId="77777777" w:rsidR="005E347E" w:rsidRPr="00AA22C4" w:rsidRDefault="005E347E" w:rsidP="005E347E">
      <w:pPr>
        <w:pStyle w:val="Tekstprzypisudolnego"/>
        <w:spacing w:before="120" w:after="120"/>
        <w:contextualSpacing/>
        <w:jc w:val="both"/>
        <w:rPr>
          <w:rFonts w:ascii="Lato" w:hAnsi="Lato"/>
          <w:b/>
          <w:color w:val="000000" w:themeColor="text1"/>
          <w:sz w:val="22"/>
          <w:szCs w:val="22"/>
        </w:rPr>
      </w:pPr>
    </w:p>
    <w:p w14:paraId="12F5E005" w14:textId="77777777" w:rsidR="005E347E" w:rsidRPr="00AA22C4" w:rsidRDefault="005E347E" w:rsidP="005E347E">
      <w:pPr>
        <w:pStyle w:val="Tekstprzypisudolnego"/>
        <w:spacing w:before="120" w:after="120"/>
        <w:contextualSpacing/>
        <w:jc w:val="both"/>
        <w:rPr>
          <w:rFonts w:ascii="Lato" w:hAnsi="Lato"/>
          <w:b/>
          <w:color w:val="000000" w:themeColor="text1"/>
          <w:sz w:val="22"/>
          <w:szCs w:val="22"/>
        </w:rPr>
      </w:pPr>
      <w:r w:rsidRPr="00AA22C4">
        <w:rPr>
          <w:rFonts w:ascii="Lato" w:hAnsi="Lato"/>
          <w:b/>
          <w:color w:val="000000" w:themeColor="text1"/>
          <w:sz w:val="22"/>
          <w:szCs w:val="22"/>
        </w:rPr>
        <w:t>Ryc. 14 Ogólny algorytm klasyfikacji wyniku dla wykrywania rzadkich wad metabolizmu (MS/MS).</w:t>
      </w:r>
    </w:p>
    <w:p w14:paraId="7D9FE486"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p>
    <w:p w14:paraId="7A0EE3AC" w14:textId="3A514739" w:rsidR="005E347E" w:rsidRPr="00AA22C4" w:rsidRDefault="005110F2" w:rsidP="005E347E">
      <w:pPr>
        <w:pStyle w:val="Tekstprzypisudolnego"/>
        <w:spacing w:before="120" w:after="120"/>
        <w:contextualSpacing/>
        <w:jc w:val="center"/>
        <w:rPr>
          <w:rFonts w:ascii="Lato" w:hAnsi="Lato"/>
          <w:color w:val="000000" w:themeColor="text1"/>
          <w:sz w:val="22"/>
          <w:szCs w:val="22"/>
        </w:rPr>
      </w:pPr>
      <w:r w:rsidRPr="00AA22C4">
        <w:rPr>
          <w:rFonts w:ascii="Lato" w:hAnsi="Lato"/>
          <w:noProof/>
          <w:color w:val="000000" w:themeColor="text1"/>
          <w:sz w:val="22"/>
          <w:szCs w:val="22"/>
        </w:rPr>
        <w:drawing>
          <wp:inline distT="0" distB="0" distL="0" distR="0" wp14:anchorId="24D2D13F" wp14:editId="5724D020">
            <wp:extent cx="6191250" cy="4610100"/>
            <wp:effectExtent l="0" t="0" r="0" b="0"/>
            <wp:docPr id="10"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91250" cy="4610100"/>
                    </a:xfrm>
                    <a:prstGeom prst="rect">
                      <a:avLst/>
                    </a:prstGeom>
                    <a:noFill/>
                    <a:ln>
                      <a:noFill/>
                    </a:ln>
                  </pic:spPr>
                </pic:pic>
              </a:graphicData>
            </a:graphic>
          </wp:inline>
        </w:drawing>
      </w:r>
    </w:p>
    <w:p w14:paraId="284130CD" w14:textId="77777777" w:rsidR="005E347E" w:rsidRPr="00AA22C4" w:rsidRDefault="005E347E" w:rsidP="005E347E">
      <w:pPr>
        <w:pStyle w:val="Tekstprzypisudolnego"/>
        <w:numPr>
          <w:ilvl w:val="0"/>
          <w:numId w:val="10"/>
        </w:numPr>
        <w:spacing w:before="120" w:after="120"/>
        <w:contextualSpacing/>
        <w:jc w:val="both"/>
        <w:rPr>
          <w:rFonts w:ascii="Lato" w:hAnsi="Lato"/>
          <w:b/>
          <w:color w:val="000000" w:themeColor="text1"/>
          <w:sz w:val="22"/>
          <w:szCs w:val="22"/>
        </w:rPr>
      </w:pPr>
      <w:r w:rsidRPr="00AA22C4">
        <w:rPr>
          <w:rFonts w:ascii="Lato" w:hAnsi="Lato"/>
          <w:color w:val="000000" w:themeColor="text1"/>
          <w:sz w:val="22"/>
          <w:szCs w:val="22"/>
        </w:rPr>
        <w:br w:type="page"/>
      </w:r>
      <w:bookmarkStart w:id="55" w:name="_Toc491892711"/>
      <w:r w:rsidRPr="00AA22C4">
        <w:rPr>
          <w:rFonts w:ascii="Lato" w:hAnsi="Lato"/>
          <w:b/>
          <w:bCs/>
          <w:color w:val="000000" w:themeColor="text1"/>
          <w:sz w:val="22"/>
          <w:szCs w:val="22"/>
        </w:rPr>
        <w:lastRenderedPageBreak/>
        <w:t>Deficyt biotynidazy</w:t>
      </w:r>
      <w:bookmarkEnd w:id="55"/>
    </w:p>
    <w:p w14:paraId="67F9F0ED" w14:textId="77777777" w:rsidR="005E347E" w:rsidRPr="00AA22C4" w:rsidRDefault="005E347E" w:rsidP="005E347E">
      <w:pPr>
        <w:pStyle w:val="Tekstprzypisudolnego"/>
        <w:spacing w:before="120" w:after="120"/>
        <w:contextualSpacing/>
        <w:jc w:val="both"/>
        <w:rPr>
          <w:rFonts w:ascii="Lato" w:hAnsi="Lato"/>
          <w:b/>
          <w:color w:val="000000" w:themeColor="text1"/>
          <w:sz w:val="22"/>
          <w:szCs w:val="22"/>
        </w:rPr>
      </w:pPr>
    </w:p>
    <w:p w14:paraId="7A9CA6BC" w14:textId="77777777" w:rsidR="005E347E" w:rsidRPr="00AA22C4" w:rsidRDefault="005E347E" w:rsidP="005E347E">
      <w:pPr>
        <w:pStyle w:val="Tekstprzypisudolnego"/>
        <w:spacing w:before="120" w:after="120"/>
        <w:contextualSpacing/>
        <w:jc w:val="both"/>
        <w:rPr>
          <w:rFonts w:ascii="Lato" w:hAnsi="Lato"/>
          <w:b/>
          <w:color w:val="000000" w:themeColor="text1"/>
          <w:sz w:val="22"/>
          <w:szCs w:val="22"/>
        </w:rPr>
      </w:pPr>
      <w:r w:rsidRPr="00AA22C4">
        <w:rPr>
          <w:rFonts w:ascii="Lato" w:hAnsi="Lato"/>
          <w:b/>
          <w:color w:val="000000" w:themeColor="text1"/>
          <w:sz w:val="22"/>
          <w:szCs w:val="22"/>
        </w:rPr>
        <w:t>Ryc. 15 Klasyfikacja badania przesiewowego w kierunku deficytu biotynidazy.</w:t>
      </w:r>
    </w:p>
    <w:p w14:paraId="66B5770D"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p>
    <w:p w14:paraId="5AA51832" w14:textId="46F218CF" w:rsidR="005E347E" w:rsidRPr="00AA22C4" w:rsidRDefault="005110F2" w:rsidP="005E347E">
      <w:pPr>
        <w:pStyle w:val="Tekstprzypisudolnego"/>
        <w:spacing w:before="120" w:after="120"/>
        <w:contextualSpacing/>
        <w:jc w:val="center"/>
        <w:rPr>
          <w:rFonts w:ascii="Lato" w:hAnsi="Lato"/>
          <w:color w:val="000000" w:themeColor="text1"/>
          <w:sz w:val="22"/>
          <w:szCs w:val="22"/>
        </w:rPr>
      </w:pPr>
      <w:r w:rsidRPr="00AA22C4">
        <w:rPr>
          <w:rFonts w:ascii="Lato" w:hAnsi="Lato"/>
          <w:noProof/>
          <w:color w:val="000000" w:themeColor="text1"/>
          <w:sz w:val="22"/>
          <w:szCs w:val="22"/>
        </w:rPr>
        <w:drawing>
          <wp:inline distT="0" distB="0" distL="0" distR="0" wp14:anchorId="46B230D5" wp14:editId="6EB23D99">
            <wp:extent cx="5791200" cy="5295900"/>
            <wp:effectExtent l="0" t="0" r="0" b="0"/>
            <wp:docPr id="11" name="Obraz 14" descr="Obraz zawierający tekst, zrzut ekranu, Czcionka,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descr="Obraz zawierający tekst, zrzut ekranu, Czcionka, design&#10;&#10;Opis wygenerowany automatyczni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91200" cy="5295900"/>
                    </a:xfrm>
                    <a:prstGeom prst="rect">
                      <a:avLst/>
                    </a:prstGeom>
                    <a:noFill/>
                    <a:ln>
                      <a:noFill/>
                    </a:ln>
                  </pic:spPr>
                </pic:pic>
              </a:graphicData>
            </a:graphic>
          </wp:inline>
        </w:drawing>
      </w:r>
    </w:p>
    <w:p w14:paraId="0A9E1447"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p>
    <w:p w14:paraId="6D7CA0A9"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p>
    <w:p w14:paraId="612C6E6D"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p>
    <w:p w14:paraId="00952F55"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p>
    <w:p w14:paraId="76457A49"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p>
    <w:p w14:paraId="62713B61"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p>
    <w:p w14:paraId="2CFFDD2B"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p>
    <w:p w14:paraId="6ED487CB" w14:textId="77777777" w:rsidR="00B1261D" w:rsidRPr="00AA22C4" w:rsidRDefault="00B1261D" w:rsidP="005E347E">
      <w:pPr>
        <w:pStyle w:val="Tekstprzypisudolnego"/>
        <w:spacing w:before="120" w:after="120"/>
        <w:contextualSpacing/>
        <w:jc w:val="both"/>
        <w:rPr>
          <w:rFonts w:ascii="Lato" w:hAnsi="Lato"/>
          <w:color w:val="000000" w:themeColor="text1"/>
          <w:sz w:val="22"/>
          <w:szCs w:val="22"/>
        </w:rPr>
      </w:pPr>
    </w:p>
    <w:p w14:paraId="6A6A7A65"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p>
    <w:p w14:paraId="11E65414"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p>
    <w:p w14:paraId="4C343F82" w14:textId="77777777" w:rsidR="005E347E" w:rsidRPr="00AA22C4" w:rsidRDefault="005E347E" w:rsidP="005E347E">
      <w:pPr>
        <w:pStyle w:val="Tekstprzypisudolnego"/>
        <w:spacing w:before="120" w:after="120"/>
        <w:contextualSpacing/>
        <w:jc w:val="both"/>
        <w:rPr>
          <w:rFonts w:ascii="Lato" w:hAnsi="Lato"/>
          <w:b/>
          <w:color w:val="000000" w:themeColor="text1"/>
          <w:sz w:val="22"/>
          <w:szCs w:val="22"/>
        </w:rPr>
      </w:pPr>
      <w:r w:rsidRPr="00AA22C4">
        <w:rPr>
          <w:rFonts w:ascii="Lato" w:hAnsi="Lato"/>
          <w:b/>
          <w:color w:val="000000" w:themeColor="text1"/>
          <w:sz w:val="22"/>
          <w:szCs w:val="22"/>
        </w:rPr>
        <w:lastRenderedPageBreak/>
        <w:t>Tab. 5 Badania potwierdzające/weryfikujące podejrzenie choroby.</w:t>
      </w:r>
    </w:p>
    <w:tbl>
      <w:tblPr>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970"/>
        <w:gridCol w:w="1141"/>
        <w:gridCol w:w="1409"/>
        <w:gridCol w:w="1131"/>
        <w:gridCol w:w="1301"/>
        <w:gridCol w:w="960"/>
      </w:tblGrid>
      <w:tr w:rsidR="00B3776C" w:rsidRPr="00B3776C" w14:paraId="7E3C5312" w14:textId="77777777" w:rsidTr="0015358E">
        <w:trPr>
          <w:trHeight w:val="1005"/>
        </w:trPr>
        <w:tc>
          <w:tcPr>
            <w:tcW w:w="562" w:type="dxa"/>
            <w:shd w:val="clear" w:color="auto" w:fill="auto"/>
            <w:vAlign w:val="center"/>
          </w:tcPr>
          <w:p w14:paraId="0B753991" w14:textId="77777777" w:rsidR="00B1261D" w:rsidRPr="00AA22C4" w:rsidRDefault="00B1261D" w:rsidP="0015358E">
            <w:pPr>
              <w:pStyle w:val="Tekstprzypisudolnego"/>
              <w:spacing w:before="120" w:after="120" w:line="240" w:lineRule="auto"/>
              <w:contextualSpacing/>
              <w:jc w:val="center"/>
              <w:rPr>
                <w:rFonts w:ascii="Lato" w:hAnsi="Lato"/>
                <w:color w:val="000000" w:themeColor="text1"/>
                <w:szCs w:val="22"/>
                <w:lang w:eastAsia="en-US"/>
              </w:rPr>
            </w:pPr>
          </w:p>
        </w:tc>
        <w:tc>
          <w:tcPr>
            <w:tcW w:w="2970" w:type="dxa"/>
            <w:shd w:val="clear" w:color="auto" w:fill="auto"/>
            <w:vAlign w:val="center"/>
          </w:tcPr>
          <w:p w14:paraId="2B2E3343" w14:textId="77777777" w:rsidR="00B1261D" w:rsidRPr="00AA22C4" w:rsidRDefault="00B1261D" w:rsidP="0015358E">
            <w:pPr>
              <w:pStyle w:val="Tekstprzypisudolnego"/>
              <w:spacing w:before="120" w:after="120" w:line="240" w:lineRule="auto"/>
              <w:contextualSpacing/>
              <w:jc w:val="center"/>
              <w:rPr>
                <w:rFonts w:ascii="Lato" w:hAnsi="Lato"/>
                <w:color w:val="000000" w:themeColor="text1"/>
                <w:szCs w:val="22"/>
                <w:lang w:eastAsia="en-US"/>
              </w:rPr>
            </w:pPr>
          </w:p>
          <w:p w14:paraId="26716509" w14:textId="77777777" w:rsidR="00B1261D" w:rsidRPr="00AA22C4" w:rsidRDefault="00B1261D" w:rsidP="0015358E">
            <w:pPr>
              <w:pStyle w:val="Tekstprzypisudolnego"/>
              <w:spacing w:before="120" w:after="120" w:line="240" w:lineRule="auto"/>
              <w:contextualSpacing/>
              <w:jc w:val="center"/>
              <w:rPr>
                <w:rFonts w:ascii="Lato" w:hAnsi="Lato"/>
                <w:color w:val="000000" w:themeColor="text1"/>
                <w:szCs w:val="22"/>
                <w:lang w:eastAsia="en-US"/>
              </w:rPr>
            </w:pPr>
            <w:r w:rsidRPr="00AA22C4">
              <w:rPr>
                <w:rFonts w:ascii="Lato" w:hAnsi="Lato"/>
                <w:color w:val="000000" w:themeColor="text1"/>
                <w:szCs w:val="22"/>
                <w:lang w:eastAsia="en-US"/>
              </w:rPr>
              <w:t>Choroby objęte badaniami przesiewowymi</w:t>
            </w:r>
          </w:p>
        </w:tc>
        <w:tc>
          <w:tcPr>
            <w:tcW w:w="1141" w:type="dxa"/>
            <w:shd w:val="clear" w:color="auto" w:fill="auto"/>
            <w:vAlign w:val="center"/>
          </w:tcPr>
          <w:p w14:paraId="673DDFFC" w14:textId="77777777" w:rsidR="00B1261D" w:rsidRPr="00AA22C4" w:rsidRDefault="00B1261D" w:rsidP="0015358E">
            <w:pPr>
              <w:pStyle w:val="Tekstprzypisudolnego"/>
              <w:spacing w:before="120" w:after="120" w:line="240" w:lineRule="auto"/>
              <w:contextualSpacing/>
              <w:jc w:val="center"/>
              <w:rPr>
                <w:rFonts w:ascii="Lato" w:hAnsi="Lato"/>
                <w:color w:val="000000" w:themeColor="text1"/>
                <w:szCs w:val="22"/>
                <w:lang w:eastAsia="en-US"/>
              </w:rPr>
            </w:pPr>
            <w:r w:rsidRPr="00AA22C4">
              <w:rPr>
                <w:rFonts w:ascii="Lato" w:hAnsi="Lato"/>
                <w:color w:val="000000" w:themeColor="text1"/>
                <w:szCs w:val="22"/>
                <w:lang w:eastAsia="en-US"/>
              </w:rPr>
              <w:t>Skrót</w:t>
            </w:r>
          </w:p>
        </w:tc>
        <w:tc>
          <w:tcPr>
            <w:tcW w:w="1409" w:type="dxa"/>
            <w:shd w:val="clear" w:color="auto" w:fill="auto"/>
            <w:tcMar>
              <w:left w:w="0" w:type="dxa"/>
              <w:right w:w="0" w:type="dxa"/>
            </w:tcMar>
            <w:vAlign w:val="center"/>
          </w:tcPr>
          <w:p w14:paraId="4BC6BEF5" w14:textId="77777777" w:rsidR="00B1261D" w:rsidRPr="00AA22C4" w:rsidRDefault="00B1261D" w:rsidP="0015358E">
            <w:pPr>
              <w:pStyle w:val="Tekstprzypisudolnego"/>
              <w:spacing w:before="120" w:after="120" w:line="240" w:lineRule="auto"/>
              <w:contextualSpacing/>
              <w:jc w:val="center"/>
              <w:rPr>
                <w:rFonts w:ascii="Lato" w:hAnsi="Lato"/>
                <w:bCs/>
                <w:color w:val="000000" w:themeColor="text1"/>
                <w:szCs w:val="22"/>
                <w:lang w:eastAsia="en-US"/>
              </w:rPr>
            </w:pPr>
            <w:r w:rsidRPr="00AA22C4">
              <w:rPr>
                <w:rFonts w:ascii="Lato" w:hAnsi="Lato"/>
                <w:color w:val="000000" w:themeColor="text1"/>
                <w:szCs w:val="22"/>
                <w:lang w:eastAsia="en-US"/>
              </w:rPr>
              <w:t xml:space="preserve">Aminokwasy w osoczu </w:t>
            </w:r>
            <w:r w:rsidRPr="00AA22C4">
              <w:rPr>
                <w:rFonts w:ascii="Lato" w:hAnsi="Lato"/>
                <w:bCs/>
                <w:color w:val="000000" w:themeColor="text1"/>
                <w:szCs w:val="22"/>
                <w:lang w:eastAsia="en-US"/>
              </w:rPr>
              <w:t>(HPLC)</w:t>
            </w:r>
          </w:p>
        </w:tc>
        <w:tc>
          <w:tcPr>
            <w:tcW w:w="1131" w:type="dxa"/>
            <w:shd w:val="clear" w:color="auto" w:fill="auto"/>
            <w:tcMar>
              <w:left w:w="0" w:type="dxa"/>
              <w:right w:w="0" w:type="dxa"/>
            </w:tcMar>
            <w:vAlign w:val="center"/>
          </w:tcPr>
          <w:p w14:paraId="229892E0" w14:textId="77777777" w:rsidR="00B1261D" w:rsidRPr="00AA22C4" w:rsidRDefault="00B1261D" w:rsidP="0015358E">
            <w:pPr>
              <w:pStyle w:val="Tekstprzypisudolnego"/>
              <w:spacing w:before="120" w:after="120" w:line="240" w:lineRule="auto"/>
              <w:contextualSpacing/>
              <w:jc w:val="center"/>
              <w:rPr>
                <w:rFonts w:ascii="Lato" w:hAnsi="Lato"/>
                <w:bCs/>
                <w:color w:val="000000" w:themeColor="text1"/>
                <w:szCs w:val="22"/>
                <w:lang w:eastAsia="en-US"/>
              </w:rPr>
            </w:pPr>
            <w:r w:rsidRPr="00AA22C4">
              <w:rPr>
                <w:rFonts w:ascii="Lato" w:hAnsi="Lato"/>
                <w:color w:val="000000" w:themeColor="text1"/>
                <w:szCs w:val="22"/>
                <w:lang w:eastAsia="en-US"/>
              </w:rPr>
              <w:t xml:space="preserve">Metabolity w moczu </w:t>
            </w:r>
            <w:r w:rsidRPr="00AA22C4">
              <w:rPr>
                <w:rFonts w:ascii="Lato" w:hAnsi="Lato"/>
                <w:bCs/>
                <w:color w:val="000000" w:themeColor="text1"/>
                <w:szCs w:val="22"/>
                <w:lang w:eastAsia="en-US"/>
              </w:rPr>
              <w:t>(GC/MS)</w:t>
            </w:r>
          </w:p>
        </w:tc>
        <w:tc>
          <w:tcPr>
            <w:tcW w:w="1301" w:type="dxa"/>
            <w:shd w:val="clear" w:color="auto" w:fill="auto"/>
            <w:tcMar>
              <w:left w:w="0" w:type="dxa"/>
              <w:right w:w="0" w:type="dxa"/>
            </w:tcMar>
            <w:vAlign w:val="center"/>
          </w:tcPr>
          <w:p w14:paraId="524754FE" w14:textId="77777777" w:rsidR="00B1261D" w:rsidRPr="00AA22C4" w:rsidRDefault="00B1261D" w:rsidP="0015358E">
            <w:pPr>
              <w:pStyle w:val="Tekstprzypisudolnego"/>
              <w:spacing w:before="120" w:after="120" w:line="240" w:lineRule="auto"/>
              <w:contextualSpacing/>
              <w:jc w:val="center"/>
              <w:rPr>
                <w:rFonts w:ascii="Lato" w:hAnsi="Lato"/>
                <w:color w:val="000000" w:themeColor="text1"/>
                <w:szCs w:val="22"/>
                <w:lang w:eastAsia="en-US"/>
              </w:rPr>
            </w:pPr>
            <w:r w:rsidRPr="00AA22C4">
              <w:rPr>
                <w:rFonts w:ascii="Lato" w:hAnsi="Lato"/>
                <w:color w:val="000000" w:themeColor="text1"/>
                <w:szCs w:val="22"/>
                <w:lang w:eastAsia="en-US"/>
              </w:rPr>
              <w:t>Aktywność enzymatyczna (leukocyty, fibroblasty)</w:t>
            </w:r>
          </w:p>
        </w:tc>
        <w:tc>
          <w:tcPr>
            <w:tcW w:w="960" w:type="dxa"/>
            <w:shd w:val="clear" w:color="auto" w:fill="auto"/>
            <w:tcMar>
              <w:left w:w="0" w:type="dxa"/>
              <w:right w:w="0" w:type="dxa"/>
            </w:tcMar>
            <w:vAlign w:val="center"/>
          </w:tcPr>
          <w:p w14:paraId="15948844" w14:textId="77777777" w:rsidR="00B1261D" w:rsidRPr="00AA22C4" w:rsidRDefault="00B1261D" w:rsidP="0015358E">
            <w:pPr>
              <w:pStyle w:val="Tekstprzypisudolnego"/>
              <w:spacing w:before="120" w:after="120" w:line="240" w:lineRule="auto"/>
              <w:contextualSpacing/>
              <w:jc w:val="center"/>
              <w:rPr>
                <w:rFonts w:ascii="Lato" w:hAnsi="Lato"/>
                <w:color w:val="000000" w:themeColor="text1"/>
                <w:szCs w:val="22"/>
                <w:lang w:eastAsia="en-US"/>
              </w:rPr>
            </w:pPr>
            <w:r w:rsidRPr="00AA22C4">
              <w:rPr>
                <w:rFonts w:ascii="Lato" w:hAnsi="Lato"/>
                <w:color w:val="000000" w:themeColor="text1"/>
                <w:szCs w:val="22"/>
                <w:lang w:eastAsia="en-US"/>
              </w:rPr>
              <w:t>Analiza mutacji (DNA)</w:t>
            </w:r>
          </w:p>
        </w:tc>
      </w:tr>
      <w:tr w:rsidR="00B3776C" w:rsidRPr="00B3776C" w14:paraId="72035947" w14:textId="77777777" w:rsidTr="0015358E">
        <w:trPr>
          <w:trHeight w:val="168"/>
        </w:trPr>
        <w:tc>
          <w:tcPr>
            <w:tcW w:w="562" w:type="dxa"/>
            <w:shd w:val="clear" w:color="auto" w:fill="auto"/>
            <w:vAlign w:val="center"/>
          </w:tcPr>
          <w:p w14:paraId="6B4BC67C"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1</w:t>
            </w:r>
          </w:p>
        </w:tc>
        <w:tc>
          <w:tcPr>
            <w:tcW w:w="2970" w:type="dxa"/>
            <w:shd w:val="clear" w:color="auto" w:fill="auto"/>
            <w:vAlign w:val="center"/>
          </w:tcPr>
          <w:p w14:paraId="550A6115" w14:textId="77777777" w:rsidR="00B1261D" w:rsidRPr="00AA22C4" w:rsidRDefault="00B1261D" w:rsidP="0015358E">
            <w:pPr>
              <w:pStyle w:val="Tekstprzypisudolnego"/>
              <w:spacing w:before="120" w:after="120"/>
              <w:contextualSpacing/>
              <w:rPr>
                <w:rFonts w:ascii="Lato" w:hAnsi="Lato"/>
                <w:color w:val="000000" w:themeColor="text1"/>
                <w:szCs w:val="22"/>
                <w:lang w:eastAsia="en-US"/>
              </w:rPr>
            </w:pPr>
            <w:r w:rsidRPr="00AA22C4">
              <w:rPr>
                <w:rFonts w:ascii="Lato" w:hAnsi="Lato"/>
                <w:color w:val="000000" w:themeColor="text1"/>
                <w:szCs w:val="22"/>
                <w:lang w:eastAsia="en-US"/>
              </w:rPr>
              <w:t>Wrodzona niedoczynność tarczycy</w:t>
            </w:r>
          </w:p>
        </w:tc>
        <w:tc>
          <w:tcPr>
            <w:tcW w:w="1141" w:type="dxa"/>
            <w:shd w:val="clear" w:color="auto" w:fill="auto"/>
            <w:vAlign w:val="center"/>
          </w:tcPr>
          <w:p w14:paraId="0A3B3AF9"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WNT</w:t>
            </w:r>
          </w:p>
        </w:tc>
        <w:tc>
          <w:tcPr>
            <w:tcW w:w="4801" w:type="dxa"/>
            <w:gridSpan w:val="4"/>
            <w:shd w:val="clear" w:color="auto" w:fill="auto"/>
            <w:vAlign w:val="center"/>
          </w:tcPr>
          <w:p w14:paraId="1D521BDB" w14:textId="77777777" w:rsidR="00B1261D" w:rsidRPr="00AA22C4" w:rsidRDefault="00B1261D" w:rsidP="0015358E">
            <w:pPr>
              <w:pStyle w:val="Tekstprzypisudolnego"/>
              <w:spacing w:before="120" w:after="120"/>
              <w:contextualSpacing/>
              <w:jc w:val="center"/>
              <w:rPr>
                <w:rFonts w:ascii="Lato" w:hAnsi="Lato"/>
                <w:bCs/>
                <w:color w:val="000000" w:themeColor="text1"/>
                <w:szCs w:val="22"/>
                <w:lang w:eastAsia="en-US"/>
              </w:rPr>
            </w:pPr>
            <w:r w:rsidRPr="00AA22C4">
              <w:rPr>
                <w:rFonts w:ascii="Lato" w:hAnsi="Lato"/>
                <w:bCs/>
                <w:color w:val="000000" w:themeColor="text1"/>
                <w:szCs w:val="22"/>
                <w:lang w:eastAsia="en-US"/>
              </w:rPr>
              <w:t>Oznaczanie FT3, FT4, TSH w surowicy krwi</w:t>
            </w:r>
          </w:p>
        </w:tc>
      </w:tr>
      <w:tr w:rsidR="00B3776C" w:rsidRPr="00B3776C" w14:paraId="7EC717EF" w14:textId="77777777" w:rsidTr="0015358E">
        <w:trPr>
          <w:trHeight w:val="230"/>
        </w:trPr>
        <w:tc>
          <w:tcPr>
            <w:tcW w:w="562" w:type="dxa"/>
            <w:shd w:val="clear" w:color="auto" w:fill="auto"/>
            <w:vAlign w:val="center"/>
          </w:tcPr>
          <w:p w14:paraId="0584E5E4"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2</w:t>
            </w:r>
          </w:p>
        </w:tc>
        <w:tc>
          <w:tcPr>
            <w:tcW w:w="2970" w:type="dxa"/>
            <w:shd w:val="clear" w:color="auto" w:fill="auto"/>
            <w:vAlign w:val="center"/>
          </w:tcPr>
          <w:p w14:paraId="56742149" w14:textId="77777777" w:rsidR="00B1261D" w:rsidRPr="00AA22C4" w:rsidRDefault="00B1261D" w:rsidP="0015358E">
            <w:pPr>
              <w:pStyle w:val="Tekstprzypisudolnego"/>
              <w:spacing w:before="120" w:after="120"/>
              <w:contextualSpacing/>
              <w:rPr>
                <w:rFonts w:ascii="Lato" w:hAnsi="Lato"/>
                <w:color w:val="000000" w:themeColor="text1"/>
                <w:szCs w:val="22"/>
                <w:lang w:eastAsia="en-US"/>
              </w:rPr>
            </w:pPr>
            <w:r w:rsidRPr="00AA22C4">
              <w:rPr>
                <w:rFonts w:ascii="Lato" w:hAnsi="Lato"/>
                <w:color w:val="000000" w:themeColor="text1"/>
                <w:szCs w:val="22"/>
                <w:lang w:eastAsia="en-US"/>
              </w:rPr>
              <w:t>Wrodzony przerost nadnerczy</w:t>
            </w:r>
          </w:p>
        </w:tc>
        <w:tc>
          <w:tcPr>
            <w:tcW w:w="1141" w:type="dxa"/>
            <w:shd w:val="clear" w:color="auto" w:fill="auto"/>
            <w:vAlign w:val="center"/>
          </w:tcPr>
          <w:p w14:paraId="402DD5F8"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WPN</w:t>
            </w:r>
          </w:p>
        </w:tc>
        <w:tc>
          <w:tcPr>
            <w:tcW w:w="3841" w:type="dxa"/>
            <w:gridSpan w:val="3"/>
            <w:shd w:val="clear" w:color="auto" w:fill="auto"/>
            <w:vAlign w:val="center"/>
          </w:tcPr>
          <w:p w14:paraId="39766CE0"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Elektrolity w surowicy krwi. Badania hormonalne. Profil steroidów w moczu.</w:t>
            </w:r>
          </w:p>
        </w:tc>
        <w:tc>
          <w:tcPr>
            <w:tcW w:w="960" w:type="dxa"/>
            <w:shd w:val="clear" w:color="auto" w:fill="auto"/>
            <w:vAlign w:val="center"/>
          </w:tcPr>
          <w:p w14:paraId="0F3BA8CA"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r>
      <w:tr w:rsidR="00B3776C" w:rsidRPr="00B3776C" w14:paraId="2279BC0B" w14:textId="77777777" w:rsidTr="0015358E">
        <w:trPr>
          <w:trHeight w:val="230"/>
        </w:trPr>
        <w:tc>
          <w:tcPr>
            <w:tcW w:w="562" w:type="dxa"/>
            <w:shd w:val="clear" w:color="auto" w:fill="auto"/>
            <w:vAlign w:val="center"/>
          </w:tcPr>
          <w:p w14:paraId="36EE21C3"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3</w:t>
            </w:r>
          </w:p>
        </w:tc>
        <w:tc>
          <w:tcPr>
            <w:tcW w:w="2970" w:type="dxa"/>
            <w:shd w:val="clear" w:color="auto" w:fill="auto"/>
            <w:vAlign w:val="center"/>
          </w:tcPr>
          <w:p w14:paraId="68920C15" w14:textId="77777777" w:rsidR="00B1261D" w:rsidRPr="00AA22C4" w:rsidRDefault="00B1261D" w:rsidP="0015358E">
            <w:pPr>
              <w:pStyle w:val="Tekstprzypisudolnego"/>
              <w:spacing w:before="120" w:after="120"/>
              <w:contextualSpacing/>
              <w:rPr>
                <w:rFonts w:ascii="Lato" w:hAnsi="Lato"/>
                <w:color w:val="000000" w:themeColor="text1"/>
                <w:szCs w:val="22"/>
                <w:lang w:eastAsia="en-US"/>
              </w:rPr>
            </w:pPr>
            <w:r w:rsidRPr="00AA22C4">
              <w:rPr>
                <w:rFonts w:ascii="Lato" w:hAnsi="Lato"/>
                <w:color w:val="000000" w:themeColor="text1"/>
                <w:szCs w:val="22"/>
                <w:lang w:eastAsia="en-US"/>
              </w:rPr>
              <w:t>Mukowiscydoza</w:t>
            </w:r>
          </w:p>
        </w:tc>
        <w:tc>
          <w:tcPr>
            <w:tcW w:w="1141" w:type="dxa"/>
            <w:shd w:val="clear" w:color="auto" w:fill="auto"/>
            <w:vAlign w:val="center"/>
          </w:tcPr>
          <w:p w14:paraId="45E65E17"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CF</w:t>
            </w:r>
          </w:p>
        </w:tc>
        <w:tc>
          <w:tcPr>
            <w:tcW w:w="3841" w:type="dxa"/>
            <w:gridSpan w:val="3"/>
            <w:shd w:val="clear" w:color="auto" w:fill="auto"/>
            <w:vAlign w:val="center"/>
          </w:tcPr>
          <w:p w14:paraId="31B477BE" w14:textId="77777777" w:rsidR="00B1261D" w:rsidRPr="00AA22C4" w:rsidRDefault="00B1261D" w:rsidP="0015358E">
            <w:pPr>
              <w:pStyle w:val="Tekstprzypisudolnego"/>
              <w:spacing w:before="120" w:after="120"/>
              <w:contextualSpacing/>
              <w:jc w:val="center"/>
              <w:rPr>
                <w:rFonts w:ascii="Lato" w:hAnsi="Lato"/>
                <w:bCs/>
                <w:color w:val="000000" w:themeColor="text1"/>
                <w:szCs w:val="22"/>
                <w:lang w:eastAsia="en-US"/>
              </w:rPr>
            </w:pPr>
            <w:r w:rsidRPr="00AA22C4">
              <w:rPr>
                <w:rFonts w:ascii="Lato" w:hAnsi="Lato"/>
                <w:bCs/>
                <w:color w:val="000000" w:themeColor="text1"/>
                <w:szCs w:val="22"/>
                <w:lang w:eastAsia="en-US"/>
              </w:rPr>
              <w:t>Oznaczanie stężenia elektrolitów w pocie</w:t>
            </w:r>
          </w:p>
        </w:tc>
        <w:tc>
          <w:tcPr>
            <w:tcW w:w="960" w:type="dxa"/>
            <w:shd w:val="clear" w:color="auto" w:fill="auto"/>
            <w:vAlign w:val="center"/>
          </w:tcPr>
          <w:p w14:paraId="73627043"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r>
      <w:tr w:rsidR="00B3776C" w:rsidRPr="00B3776C" w14:paraId="66A21FDA" w14:textId="77777777" w:rsidTr="0015358E">
        <w:trPr>
          <w:trHeight w:val="230"/>
        </w:trPr>
        <w:tc>
          <w:tcPr>
            <w:tcW w:w="562" w:type="dxa"/>
            <w:shd w:val="clear" w:color="auto" w:fill="auto"/>
            <w:vAlign w:val="center"/>
          </w:tcPr>
          <w:p w14:paraId="332FB5A8"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4</w:t>
            </w:r>
          </w:p>
        </w:tc>
        <w:tc>
          <w:tcPr>
            <w:tcW w:w="2970" w:type="dxa"/>
            <w:shd w:val="clear" w:color="auto" w:fill="auto"/>
            <w:vAlign w:val="center"/>
          </w:tcPr>
          <w:p w14:paraId="4858C8B2" w14:textId="77777777" w:rsidR="00B1261D" w:rsidRPr="00AA22C4" w:rsidRDefault="00B1261D" w:rsidP="0015358E">
            <w:pPr>
              <w:pStyle w:val="Tekstprzypisudolnego"/>
              <w:spacing w:before="120" w:after="120"/>
              <w:contextualSpacing/>
              <w:rPr>
                <w:rFonts w:ascii="Lato" w:hAnsi="Lato"/>
                <w:color w:val="000000" w:themeColor="text1"/>
                <w:szCs w:val="22"/>
                <w:lang w:val="en-US" w:eastAsia="en-US"/>
              </w:rPr>
            </w:pPr>
            <w:r w:rsidRPr="00AA22C4">
              <w:rPr>
                <w:rFonts w:ascii="Lato" w:hAnsi="Lato"/>
                <w:color w:val="000000" w:themeColor="text1"/>
                <w:szCs w:val="22"/>
                <w:lang w:val="en-US" w:eastAsia="en-US"/>
              </w:rPr>
              <w:t>Fenyloketonuria /</w:t>
            </w:r>
          </w:p>
          <w:p w14:paraId="11182644" w14:textId="77777777" w:rsidR="00B1261D" w:rsidRPr="00AA22C4" w:rsidRDefault="00B1261D" w:rsidP="0015358E">
            <w:pPr>
              <w:pStyle w:val="Tekstprzypisudolnego"/>
              <w:spacing w:before="120" w:after="120"/>
              <w:contextualSpacing/>
              <w:rPr>
                <w:rFonts w:ascii="Lato" w:hAnsi="Lato"/>
                <w:color w:val="000000" w:themeColor="text1"/>
                <w:szCs w:val="22"/>
                <w:lang w:val="en-US" w:eastAsia="en-US"/>
              </w:rPr>
            </w:pPr>
            <w:proofErr w:type="spellStart"/>
            <w:r w:rsidRPr="00AA22C4">
              <w:rPr>
                <w:rFonts w:ascii="Lato" w:hAnsi="Lato"/>
                <w:color w:val="000000" w:themeColor="text1"/>
                <w:szCs w:val="22"/>
                <w:lang w:val="en-US" w:eastAsia="en-US"/>
              </w:rPr>
              <w:t>Hiperfenyloalaninemia</w:t>
            </w:r>
            <w:proofErr w:type="spellEnd"/>
          </w:p>
        </w:tc>
        <w:tc>
          <w:tcPr>
            <w:tcW w:w="1141" w:type="dxa"/>
            <w:shd w:val="clear" w:color="auto" w:fill="auto"/>
            <w:vAlign w:val="center"/>
          </w:tcPr>
          <w:p w14:paraId="6680AAC2"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PKU/</w:t>
            </w:r>
          </w:p>
          <w:p w14:paraId="7123CD2F"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HPA</w:t>
            </w:r>
          </w:p>
        </w:tc>
        <w:tc>
          <w:tcPr>
            <w:tcW w:w="1409" w:type="dxa"/>
            <w:shd w:val="clear" w:color="auto" w:fill="auto"/>
            <w:vAlign w:val="center"/>
          </w:tcPr>
          <w:p w14:paraId="058375D2"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131" w:type="dxa"/>
            <w:shd w:val="clear" w:color="auto" w:fill="auto"/>
            <w:vAlign w:val="center"/>
          </w:tcPr>
          <w:p w14:paraId="1F4BA294"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301" w:type="dxa"/>
            <w:shd w:val="clear" w:color="auto" w:fill="auto"/>
            <w:vAlign w:val="center"/>
          </w:tcPr>
          <w:p w14:paraId="33A8BE77"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960" w:type="dxa"/>
            <w:shd w:val="clear" w:color="auto" w:fill="auto"/>
            <w:vAlign w:val="center"/>
          </w:tcPr>
          <w:p w14:paraId="6B9FA5A2"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r>
      <w:tr w:rsidR="00B3776C" w:rsidRPr="00B3776C" w14:paraId="5BD06A58" w14:textId="77777777" w:rsidTr="0015358E">
        <w:trPr>
          <w:trHeight w:val="230"/>
        </w:trPr>
        <w:tc>
          <w:tcPr>
            <w:tcW w:w="562" w:type="dxa"/>
            <w:shd w:val="clear" w:color="auto" w:fill="auto"/>
            <w:vAlign w:val="center"/>
          </w:tcPr>
          <w:p w14:paraId="74ACCC87"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5</w:t>
            </w:r>
          </w:p>
        </w:tc>
        <w:tc>
          <w:tcPr>
            <w:tcW w:w="2970" w:type="dxa"/>
            <w:shd w:val="clear" w:color="auto" w:fill="auto"/>
            <w:vAlign w:val="center"/>
          </w:tcPr>
          <w:p w14:paraId="242F4B2F" w14:textId="77777777" w:rsidR="00B1261D" w:rsidRPr="00AA22C4" w:rsidRDefault="00B1261D" w:rsidP="0015358E">
            <w:pPr>
              <w:pStyle w:val="Tekstprzypisudolnego"/>
              <w:spacing w:before="120" w:after="120"/>
              <w:contextualSpacing/>
              <w:rPr>
                <w:rFonts w:ascii="Lato" w:hAnsi="Lato"/>
                <w:color w:val="000000" w:themeColor="text1"/>
                <w:szCs w:val="22"/>
                <w:lang w:val="en-US" w:eastAsia="en-US"/>
              </w:rPr>
            </w:pPr>
            <w:proofErr w:type="spellStart"/>
            <w:r w:rsidRPr="00AA22C4">
              <w:rPr>
                <w:rFonts w:ascii="Lato" w:hAnsi="Lato"/>
                <w:color w:val="000000" w:themeColor="text1"/>
                <w:szCs w:val="22"/>
                <w:lang w:val="en-US" w:eastAsia="en-US"/>
              </w:rPr>
              <w:t>Rdzeniowy</w:t>
            </w:r>
            <w:proofErr w:type="spellEnd"/>
            <w:r w:rsidRPr="00AA22C4">
              <w:rPr>
                <w:rFonts w:ascii="Lato" w:hAnsi="Lato"/>
                <w:color w:val="000000" w:themeColor="text1"/>
                <w:szCs w:val="22"/>
                <w:lang w:val="en-US" w:eastAsia="en-US"/>
              </w:rPr>
              <w:t xml:space="preserve"> </w:t>
            </w:r>
            <w:proofErr w:type="spellStart"/>
            <w:r w:rsidRPr="00AA22C4">
              <w:rPr>
                <w:rFonts w:ascii="Lato" w:hAnsi="Lato"/>
                <w:color w:val="000000" w:themeColor="text1"/>
                <w:szCs w:val="22"/>
                <w:lang w:val="en-US" w:eastAsia="en-US"/>
              </w:rPr>
              <w:t>zanik</w:t>
            </w:r>
            <w:proofErr w:type="spellEnd"/>
            <w:r w:rsidRPr="00AA22C4">
              <w:rPr>
                <w:rFonts w:ascii="Lato" w:hAnsi="Lato"/>
                <w:color w:val="000000" w:themeColor="text1"/>
                <w:szCs w:val="22"/>
                <w:lang w:val="en-US" w:eastAsia="en-US"/>
              </w:rPr>
              <w:t xml:space="preserve"> </w:t>
            </w:r>
            <w:proofErr w:type="spellStart"/>
            <w:r w:rsidRPr="00AA22C4">
              <w:rPr>
                <w:rFonts w:ascii="Lato" w:hAnsi="Lato"/>
                <w:color w:val="000000" w:themeColor="text1"/>
                <w:szCs w:val="22"/>
                <w:lang w:val="en-US" w:eastAsia="en-US"/>
              </w:rPr>
              <w:t>mięśni</w:t>
            </w:r>
            <w:proofErr w:type="spellEnd"/>
          </w:p>
        </w:tc>
        <w:tc>
          <w:tcPr>
            <w:tcW w:w="1141" w:type="dxa"/>
            <w:shd w:val="clear" w:color="auto" w:fill="auto"/>
            <w:vAlign w:val="center"/>
          </w:tcPr>
          <w:p w14:paraId="45641288"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SMA</w:t>
            </w:r>
          </w:p>
        </w:tc>
        <w:tc>
          <w:tcPr>
            <w:tcW w:w="1409" w:type="dxa"/>
            <w:shd w:val="clear" w:color="auto" w:fill="auto"/>
            <w:vAlign w:val="center"/>
          </w:tcPr>
          <w:p w14:paraId="2B27B7AF"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1131" w:type="dxa"/>
            <w:shd w:val="clear" w:color="auto" w:fill="auto"/>
            <w:vAlign w:val="center"/>
          </w:tcPr>
          <w:p w14:paraId="2DBE8AF8"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1301" w:type="dxa"/>
            <w:shd w:val="clear" w:color="auto" w:fill="auto"/>
            <w:vAlign w:val="center"/>
          </w:tcPr>
          <w:p w14:paraId="01E61022"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 xml:space="preserve">   </w:t>
            </w:r>
          </w:p>
        </w:tc>
        <w:tc>
          <w:tcPr>
            <w:tcW w:w="960" w:type="dxa"/>
            <w:shd w:val="clear" w:color="auto" w:fill="auto"/>
            <w:vAlign w:val="center"/>
          </w:tcPr>
          <w:p w14:paraId="72059921"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r>
      <w:tr w:rsidR="00B3776C" w:rsidRPr="00B3776C" w14:paraId="3F0EF68A" w14:textId="77777777" w:rsidTr="0015358E">
        <w:trPr>
          <w:trHeight w:val="230"/>
        </w:trPr>
        <w:tc>
          <w:tcPr>
            <w:tcW w:w="562" w:type="dxa"/>
            <w:shd w:val="clear" w:color="auto" w:fill="auto"/>
            <w:vAlign w:val="center"/>
          </w:tcPr>
          <w:p w14:paraId="658C9D57"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6</w:t>
            </w:r>
          </w:p>
        </w:tc>
        <w:tc>
          <w:tcPr>
            <w:tcW w:w="2970" w:type="dxa"/>
            <w:shd w:val="clear" w:color="auto" w:fill="auto"/>
            <w:vAlign w:val="center"/>
          </w:tcPr>
          <w:p w14:paraId="5E7CF79B" w14:textId="77777777" w:rsidR="00B1261D" w:rsidRPr="00AA22C4" w:rsidRDefault="00B1261D" w:rsidP="0015358E">
            <w:pPr>
              <w:pStyle w:val="Tekstprzypisudolnego"/>
              <w:spacing w:before="120" w:after="120"/>
              <w:contextualSpacing/>
              <w:rPr>
                <w:rFonts w:ascii="Lato" w:hAnsi="Lato"/>
                <w:color w:val="000000" w:themeColor="text1"/>
                <w:szCs w:val="22"/>
                <w:lang w:val="en-US" w:eastAsia="en-US"/>
              </w:rPr>
            </w:pPr>
            <w:r w:rsidRPr="00AA22C4">
              <w:rPr>
                <w:rFonts w:ascii="Lato" w:hAnsi="Lato"/>
                <w:color w:val="000000" w:themeColor="text1"/>
                <w:szCs w:val="22"/>
                <w:lang w:eastAsia="en-US"/>
              </w:rPr>
              <w:t>Deficyt biotynidazy</w:t>
            </w:r>
          </w:p>
        </w:tc>
        <w:tc>
          <w:tcPr>
            <w:tcW w:w="1141" w:type="dxa"/>
            <w:shd w:val="clear" w:color="auto" w:fill="auto"/>
            <w:vAlign w:val="center"/>
          </w:tcPr>
          <w:p w14:paraId="7B33EFD0"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BIO</w:t>
            </w:r>
          </w:p>
        </w:tc>
        <w:tc>
          <w:tcPr>
            <w:tcW w:w="1409" w:type="dxa"/>
            <w:shd w:val="clear" w:color="auto" w:fill="auto"/>
            <w:vAlign w:val="center"/>
          </w:tcPr>
          <w:p w14:paraId="1283FE18"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1131" w:type="dxa"/>
            <w:shd w:val="clear" w:color="auto" w:fill="auto"/>
            <w:vAlign w:val="center"/>
          </w:tcPr>
          <w:p w14:paraId="6CB79830"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301" w:type="dxa"/>
            <w:shd w:val="clear" w:color="auto" w:fill="auto"/>
            <w:vAlign w:val="center"/>
          </w:tcPr>
          <w:p w14:paraId="5A564F7D"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960" w:type="dxa"/>
            <w:shd w:val="clear" w:color="auto" w:fill="auto"/>
            <w:vAlign w:val="center"/>
          </w:tcPr>
          <w:p w14:paraId="3C345789"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r>
      <w:tr w:rsidR="00B3776C" w:rsidRPr="00B3776C" w14:paraId="3C728CE9" w14:textId="77777777" w:rsidTr="0015358E">
        <w:trPr>
          <w:trHeight w:val="230"/>
        </w:trPr>
        <w:tc>
          <w:tcPr>
            <w:tcW w:w="562" w:type="dxa"/>
            <w:shd w:val="clear" w:color="auto" w:fill="auto"/>
            <w:vAlign w:val="center"/>
          </w:tcPr>
          <w:p w14:paraId="3C14E8D2"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7</w:t>
            </w:r>
          </w:p>
        </w:tc>
        <w:tc>
          <w:tcPr>
            <w:tcW w:w="2970" w:type="dxa"/>
            <w:shd w:val="clear" w:color="auto" w:fill="auto"/>
            <w:vAlign w:val="center"/>
          </w:tcPr>
          <w:p w14:paraId="09348E38" w14:textId="77777777" w:rsidR="00B1261D" w:rsidRPr="00AA22C4" w:rsidRDefault="00B1261D" w:rsidP="0015358E">
            <w:pPr>
              <w:pStyle w:val="Tekstprzypisudolnego"/>
              <w:spacing w:before="120" w:after="120"/>
              <w:contextualSpacing/>
              <w:rPr>
                <w:rFonts w:ascii="Lato" w:hAnsi="Lato"/>
                <w:color w:val="000000" w:themeColor="text1"/>
                <w:szCs w:val="22"/>
                <w:lang w:val="en-US" w:eastAsia="en-US"/>
              </w:rPr>
            </w:pPr>
            <w:proofErr w:type="spellStart"/>
            <w:r w:rsidRPr="00AA22C4">
              <w:rPr>
                <w:rFonts w:ascii="Lato" w:hAnsi="Lato"/>
                <w:color w:val="000000" w:themeColor="text1"/>
                <w:szCs w:val="22"/>
                <w:lang w:val="en-US" w:eastAsia="en-US"/>
              </w:rPr>
              <w:t>Choroba</w:t>
            </w:r>
            <w:proofErr w:type="spellEnd"/>
            <w:r w:rsidRPr="00AA22C4">
              <w:rPr>
                <w:rFonts w:ascii="Lato" w:hAnsi="Lato"/>
                <w:color w:val="000000" w:themeColor="text1"/>
                <w:szCs w:val="22"/>
                <w:lang w:val="en-US" w:eastAsia="en-US"/>
              </w:rPr>
              <w:t xml:space="preserve"> </w:t>
            </w:r>
            <w:proofErr w:type="spellStart"/>
            <w:r w:rsidRPr="00AA22C4">
              <w:rPr>
                <w:rFonts w:ascii="Lato" w:hAnsi="Lato"/>
                <w:color w:val="000000" w:themeColor="text1"/>
                <w:szCs w:val="22"/>
                <w:lang w:val="en-US" w:eastAsia="en-US"/>
              </w:rPr>
              <w:t>syropu</w:t>
            </w:r>
            <w:proofErr w:type="spellEnd"/>
            <w:r w:rsidRPr="00AA22C4">
              <w:rPr>
                <w:rFonts w:ascii="Lato" w:hAnsi="Lato"/>
                <w:color w:val="000000" w:themeColor="text1"/>
                <w:szCs w:val="22"/>
                <w:lang w:val="en-US" w:eastAsia="en-US"/>
              </w:rPr>
              <w:t xml:space="preserve"> </w:t>
            </w:r>
            <w:proofErr w:type="spellStart"/>
            <w:r w:rsidRPr="00AA22C4">
              <w:rPr>
                <w:rFonts w:ascii="Lato" w:hAnsi="Lato"/>
                <w:color w:val="000000" w:themeColor="text1"/>
                <w:szCs w:val="22"/>
                <w:lang w:val="en-US" w:eastAsia="en-US"/>
              </w:rPr>
              <w:t>klonowego</w:t>
            </w:r>
            <w:proofErr w:type="spellEnd"/>
          </w:p>
        </w:tc>
        <w:tc>
          <w:tcPr>
            <w:tcW w:w="1141" w:type="dxa"/>
            <w:shd w:val="clear" w:color="auto" w:fill="auto"/>
            <w:vAlign w:val="center"/>
          </w:tcPr>
          <w:p w14:paraId="4040AA39"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MSUD</w:t>
            </w:r>
          </w:p>
        </w:tc>
        <w:tc>
          <w:tcPr>
            <w:tcW w:w="1409" w:type="dxa"/>
            <w:shd w:val="clear" w:color="auto" w:fill="auto"/>
            <w:vAlign w:val="center"/>
          </w:tcPr>
          <w:p w14:paraId="0BCF292C"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131" w:type="dxa"/>
            <w:shd w:val="clear" w:color="auto" w:fill="auto"/>
            <w:vAlign w:val="center"/>
          </w:tcPr>
          <w:p w14:paraId="256B3602"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301" w:type="dxa"/>
            <w:shd w:val="clear" w:color="auto" w:fill="auto"/>
            <w:vAlign w:val="center"/>
          </w:tcPr>
          <w:p w14:paraId="1D03A6F9"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960" w:type="dxa"/>
            <w:shd w:val="clear" w:color="auto" w:fill="auto"/>
            <w:vAlign w:val="center"/>
          </w:tcPr>
          <w:p w14:paraId="3029536F"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r>
      <w:tr w:rsidR="00B3776C" w:rsidRPr="00B3776C" w14:paraId="37A237E2" w14:textId="77777777" w:rsidTr="0015358E">
        <w:trPr>
          <w:trHeight w:val="230"/>
        </w:trPr>
        <w:tc>
          <w:tcPr>
            <w:tcW w:w="562" w:type="dxa"/>
            <w:shd w:val="clear" w:color="auto" w:fill="auto"/>
            <w:vAlign w:val="center"/>
          </w:tcPr>
          <w:p w14:paraId="11949A58"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8</w:t>
            </w:r>
          </w:p>
        </w:tc>
        <w:tc>
          <w:tcPr>
            <w:tcW w:w="2970" w:type="dxa"/>
            <w:shd w:val="clear" w:color="auto" w:fill="auto"/>
            <w:vAlign w:val="center"/>
          </w:tcPr>
          <w:p w14:paraId="0CF1D154" w14:textId="77777777" w:rsidR="00B1261D" w:rsidRPr="00AA22C4" w:rsidRDefault="00B1261D" w:rsidP="0015358E">
            <w:pPr>
              <w:pStyle w:val="Tekstprzypisudolnego"/>
              <w:spacing w:before="120" w:after="120"/>
              <w:contextualSpacing/>
              <w:rPr>
                <w:rFonts w:ascii="Lato" w:hAnsi="Lato"/>
                <w:color w:val="000000" w:themeColor="text1"/>
                <w:szCs w:val="22"/>
                <w:lang w:val="en-US" w:eastAsia="en-US"/>
              </w:rPr>
            </w:pPr>
            <w:proofErr w:type="spellStart"/>
            <w:r w:rsidRPr="00AA22C4">
              <w:rPr>
                <w:rFonts w:ascii="Lato" w:hAnsi="Lato"/>
                <w:color w:val="000000" w:themeColor="text1"/>
                <w:szCs w:val="22"/>
                <w:lang w:val="en-US" w:eastAsia="en-US"/>
              </w:rPr>
              <w:t>Homocystynuria</w:t>
            </w:r>
            <w:proofErr w:type="spellEnd"/>
          </w:p>
        </w:tc>
        <w:tc>
          <w:tcPr>
            <w:tcW w:w="1141" w:type="dxa"/>
            <w:shd w:val="clear" w:color="auto" w:fill="auto"/>
            <w:vAlign w:val="center"/>
          </w:tcPr>
          <w:p w14:paraId="33F82F33"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HCY</w:t>
            </w:r>
          </w:p>
        </w:tc>
        <w:tc>
          <w:tcPr>
            <w:tcW w:w="1409" w:type="dxa"/>
            <w:shd w:val="clear" w:color="auto" w:fill="auto"/>
            <w:vAlign w:val="center"/>
          </w:tcPr>
          <w:p w14:paraId="53378D65"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131" w:type="dxa"/>
            <w:shd w:val="clear" w:color="auto" w:fill="auto"/>
            <w:vAlign w:val="center"/>
          </w:tcPr>
          <w:p w14:paraId="15383BAD"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301" w:type="dxa"/>
            <w:shd w:val="clear" w:color="auto" w:fill="auto"/>
            <w:vAlign w:val="center"/>
          </w:tcPr>
          <w:p w14:paraId="2956297A"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960" w:type="dxa"/>
            <w:shd w:val="clear" w:color="auto" w:fill="auto"/>
            <w:vAlign w:val="center"/>
          </w:tcPr>
          <w:p w14:paraId="6981E7B0"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r>
      <w:tr w:rsidR="00B3776C" w:rsidRPr="00B3776C" w14:paraId="60C3B405" w14:textId="77777777" w:rsidTr="0015358E">
        <w:trPr>
          <w:trHeight w:val="230"/>
        </w:trPr>
        <w:tc>
          <w:tcPr>
            <w:tcW w:w="562" w:type="dxa"/>
            <w:shd w:val="clear" w:color="auto" w:fill="auto"/>
            <w:vAlign w:val="center"/>
          </w:tcPr>
          <w:p w14:paraId="6546B6FC" w14:textId="77777777" w:rsidR="00B1261D" w:rsidRPr="00AA22C4" w:rsidDel="007C62F3"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9</w:t>
            </w:r>
          </w:p>
        </w:tc>
        <w:tc>
          <w:tcPr>
            <w:tcW w:w="2970" w:type="dxa"/>
            <w:shd w:val="clear" w:color="auto" w:fill="auto"/>
            <w:vAlign w:val="center"/>
          </w:tcPr>
          <w:p w14:paraId="64E6D23D" w14:textId="77777777" w:rsidR="00B1261D" w:rsidRPr="00AA22C4" w:rsidRDefault="00B1261D" w:rsidP="0015358E">
            <w:pPr>
              <w:pStyle w:val="Tekstprzypisudolnego"/>
              <w:spacing w:before="120" w:after="120"/>
              <w:contextualSpacing/>
              <w:rPr>
                <w:rFonts w:ascii="Lato" w:hAnsi="Lato"/>
                <w:color w:val="000000" w:themeColor="text1"/>
                <w:szCs w:val="22"/>
                <w:lang w:val="en-US" w:eastAsia="en-US"/>
              </w:rPr>
            </w:pPr>
            <w:proofErr w:type="spellStart"/>
            <w:r w:rsidRPr="00AA22C4">
              <w:rPr>
                <w:rFonts w:ascii="Lato" w:hAnsi="Lato"/>
                <w:color w:val="000000" w:themeColor="text1"/>
                <w:szCs w:val="22"/>
                <w:lang w:eastAsia="en-US"/>
              </w:rPr>
              <w:t>Acyduria</w:t>
            </w:r>
            <w:proofErr w:type="spellEnd"/>
            <w:r w:rsidRPr="00AA22C4">
              <w:rPr>
                <w:rFonts w:ascii="Lato" w:hAnsi="Lato"/>
                <w:color w:val="000000" w:themeColor="text1"/>
                <w:szCs w:val="22"/>
                <w:lang w:eastAsia="en-US"/>
              </w:rPr>
              <w:t xml:space="preserve"> </w:t>
            </w:r>
            <w:proofErr w:type="spellStart"/>
            <w:r w:rsidRPr="00AA22C4">
              <w:rPr>
                <w:rFonts w:ascii="Lato" w:hAnsi="Lato"/>
                <w:color w:val="000000" w:themeColor="text1"/>
                <w:szCs w:val="22"/>
                <w:lang w:eastAsia="en-US"/>
              </w:rPr>
              <w:t>argininowo-bursztynianowa</w:t>
            </w:r>
            <w:proofErr w:type="spellEnd"/>
          </w:p>
        </w:tc>
        <w:tc>
          <w:tcPr>
            <w:tcW w:w="1141" w:type="dxa"/>
            <w:shd w:val="clear" w:color="auto" w:fill="auto"/>
            <w:vAlign w:val="center"/>
          </w:tcPr>
          <w:p w14:paraId="061C4F32"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ASA</w:t>
            </w:r>
          </w:p>
        </w:tc>
        <w:tc>
          <w:tcPr>
            <w:tcW w:w="1409" w:type="dxa"/>
            <w:shd w:val="clear" w:color="auto" w:fill="auto"/>
            <w:vAlign w:val="center"/>
          </w:tcPr>
          <w:p w14:paraId="0716ED43"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131" w:type="dxa"/>
            <w:shd w:val="clear" w:color="auto" w:fill="auto"/>
            <w:vAlign w:val="center"/>
          </w:tcPr>
          <w:p w14:paraId="1598CA61"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1301" w:type="dxa"/>
            <w:shd w:val="clear" w:color="auto" w:fill="auto"/>
            <w:vAlign w:val="center"/>
          </w:tcPr>
          <w:p w14:paraId="2198B711"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960" w:type="dxa"/>
            <w:shd w:val="clear" w:color="auto" w:fill="auto"/>
            <w:vAlign w:val="center"/>
          </w:tcPr>
          <w:p w14:paraId="7AB3DA1E"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r>
      <w:tr w:rsidR="00B3776C" w:rsidRPr="00B3776C" w14:paraId="7FA73081" w14:textId="77777777" w:rsidTr="0015358E">
        <w:trPr>
          <w:trHeight w:val="230"/>
        </w:trPr>
        <w:tc>
          <w:tcPr>
            <w:tcW w:w="562" w:type="dxa"/>
            <w:shd w:val="clear" w:color="auto" w:fill="auto"/>
            <w:vAlign w:val="center"/>
          </w:tcPr>
          <w:p w14:paraId="4EDE1F39"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10</w:t>
            </w:r>
          </w:p>
        </w:tc>
        <w:tc>
          <w:tcPr>
            <w:tcW w:w="2970" w:type="dxa"/>
            <w:shd w:val="clear" w:color="auto" w:fill="auto"/>
            <w:vAlign w:val="center"/>
          </w:tcPr>
          <w:p w14:paraId="3A60ADC4" w14:textId="77777777" w:rsidR="00B1261D" w:rsidRPr="00AA22C4" w:rsidRDefault="00B1261D" w:rsidP="0015358E">
            <w:pPr>
              <w:pStyle w:val="Tekstprzypisudolnego"/>
              <w:spacing w:before="120" w:after="120"/>
              <w:contextualSpacing/>
              <w:rPr>
                <w:rFonts w:ascii="Lato" w:hAnsi="Lato"/>
                <w:color w:val="000000" w:themeColor="text1"/>
                <w:szCs w:val="22"/>
                <w:lang w:eastAsia="en-US"/>
              </w:rPr>
            </w:pPr>
            <w:proofErr w:type="spellStart"/>
            <w:r w:rsidRPr="00AA22C4">
              <w:rPr>
                <w:rFonts w:ascii="Lato" w:hAnsi="Lato"/>
                <w:color w:val="000000" w:themeColor="text1"/>
                <w:szCs w:val="22"/>
                <w:lang w:eastAsia="en-US"/>
              </w:rPr>
              <w:t>Cytrulinemia</w:t>
            </w:r>
            <w:proofErr w:type="spellEnd"/>
            <w:r w:rsidRPr="00AA22C4">
              <w:rPr>
                <w:rFonts w:ascii="Lato" w:hAnsi="Lato"/>
                <w:color w:val="000000" w:themeColor="text1"/>
                <w:szCs w:val="22"/>
                <w:lang w:eastAsia="en-US"/>
              </w:rPr>
              <w:t xml:space="preserve"> typu I (CIT-I)</w:t>
            </w:r>
          </w:p>
        </w:tc>
        <w:tc>
          <w:tcPr>
            <w:tcW w:w="1141" w:type="dxa"/>
            <w:shd w:val="clear" w:color="auto" w:fill="auto"/>
            <w:vAlign w:val="center"/>
          </w:tcPr>
          <w:p w14:paraId="29F70CCD"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CIT I</w:t>
            </w:r>
          </w:p>
          <w:p w14:paraId="05B2CABA"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1409" w:type="dxa"/>
            <w:shd w:val="clear" w:color="auto" w:fill="auto"/>
            <w:vAlign w:val="center"/>
          </w:tcPr>
          <w:p w14:paraId="3717E22A"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131" w:type="dxa"/>
            <w:shd w:val="clear" w:color="auto" w:fill="auto"/>
            <w:vAlign w:val="center"/>
          </w:tcPr>
          <w:p w14:paraId="2A4C3F9F"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301" w:type="dxa"/>
            <w:shd w:val="clear" w:color="auto" w:fill="auto"/>
            <w:vAlign w:val="center"/>
          </w:tcPr>
          <w:p w14:paraId="4A3192D9"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960" w:type="dxa"/>
            <w:shd w:val="clear" w:color="auto" w:fill="auto"/>
            <w:vAlign w:val="center"/>
          </w:tcPr>
          <w:p w14:paraId="6ADB71BC"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r>
      <w:tr w:rsidR="00B3776C" w:rsidRPr="00B3776C" w14:paraId="26D2A36A" w14:textId="77777777" w:rsidTr="0015358E">
        <w:trPr>
          <w:trHeight w:val="230"/>
        </w:trPr>
        <w:tc>
          <w:tcPr>
            <w:tcW w:w="562" w:type="dxa"/>
            <w:shd w:val="clear" w:color="auto" w:fill="auto"/>
            <w:vAlign w:val="center"/>
          </w:tcPr>
          <w:p w14:paraId="4BFCC4C4"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11</w:t>
            </w:r>
          </w:p>
        </w:tc>
        <w:tc>
          <w:tcPr>
            <w:tcW w:w="2970" w:type="dxa"/>
            <w:shd w:val="clear" w:color="auto" w:fill="auto"/>
            <w:vAlign w:val="center"/>
          </w:tcPr>
          <w:p w14:paraId="3B156F71" w14:textId="77777777" w:rsidR="00B1261D" w:rsidRPr="00AA22C4" w:rsidRDefault="00B1261D" w:rsidP="0015358E">
            <w:pPr>
              <w:pStyle w:val="Tekstprzypisudolnego"/>
              <w:spacing w:before="120" w:after="120"/>
              <w:contextualSpacing/>
              <w:rPr>
                <w:rFonts w:ascii="Lato" w:hAnsi="Lato"/>
                <w:color w:val="000000" w:themeColor="text1"/>
                <w:szCs w:val="22"/>
                <w:lang w:eastAsia="en-US"/>
              </w:rPr>
            </w:pPr>
            <w:proofErr w:type="spellStart"/>
            <w:r w:rsidRPr="00AA22C4">
              <w:rPr>
                <w:rFonts w:ascii="Lato" w:hAnsi="Lato"/>
                <w:color w:val="000000" w:themeColor="text1"/>
                <w:szCs w:val="22"/>
                <w:lang w:eastAsia="en-US"/>
              </w:rPr>
              <w:t>Cytrulinemia</w:t>
            </w:r>
            <w:proofErr w:type="spellEnd"/>
            <w:r w:rsidRPr="00AA22C4">
              <w:rPr>
                <w:rFonts w:ascii="Lato" w:hAnsi="Lato"/>
                <w:color w:val="000000" w:themeColor="text1"/>
                <w:szCs w:val="22"/>
                <w:lang w:eastAsia="en-US"/>
              </w:rPr>
              <w:t xml:space="preserve"> typu II (CIT-II)</w:t>
            </w:r>
          </w:p>
        </w:tc>
        <w:tc>
          <w:tcPr>
            <w:tcW w:w="1141" w:type="dxa"/>
            <w:shd w:val="clear" w:color="auto" w:fill="auto"/>
            <w:vAlign w:val="center"/>
          </w:tcPr>
          <w:p w14:paraId="40610C88"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CIT II</w:t>
            </w:r>
          </w:p>
        </w:tc>
        <w:tc>
          <w:tcPr>
            <w:tcW w:w="1409" w:type="dxa"/>
            <w:shd w:val="clear" w:color="auto" w:fill="auto"/>
            <w:vAlign w:val="center"/>
          </w:tcPr>
          <w:p w14:paraId="662A8602"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131" w:type="dxa"/>
            <w:shd w:val="clear" w:color="auto" w:fill="auto"/>
            <w:vAlign w:val="center"/>
          </w:tcPr>
          <w:p w14:paraId="0863FB4F"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301" w:type="dxa"/>
            <w:shd w:val="clear" w:color="auto" w:fill="auto"/>
            <w:vAlign w:val="center"/>
          </w:tcPr>
          <w:p w14:paraId="7EACAD7C"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960" w:type="dxa"/>
            <w:shd w:val="clear" w:color="auto" w:fill="auto"/>
            <w:vAlign w:val="center"/>
          </w:tcPr>
          <w:p w14:paraId="41885932"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r>
      <w:tr w:rsidR="00B3776C" w:rsidRPr="00B3776C" w14:paraId="32FB39AB" w14:textId="77777777" w:rsidTr="0015358E">
        <w:trPr>
          <w:trHeight w:val="561"/>
        </w:trPr>
        <w:tc>
          <w:tcPr>
            <w:tcW w:w="562" w:type="dxa"/>
            <w:shd w:val="clear" w:color="auto" w:fill="auto"/>
            <w:vAlign w:val="center"/>
          </w:tcPr>
          <w:p w14:paraId="79D3E196"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12</w:t>
            </w:r>
          </w:p>
        </w:tc>
        <w:tc>
          <w:tcPr>
            <w:tcW w:w="2970" w:type="dxa"/>
            <w:shd w:val="clear" w:color="auto" w:fill="auto"/>
            <w:vAlign w:val="center"/>
          </w:tcPr>
          <w:p w14:paraId="50822DA7" w14:textId="77777777" w:rsidR="00B1261D" w:rsidRPr="00AA22C4" w:rsidRDefault="00B1261D" w:rsidP="0015358E">
            <w:pPr>
              <w:pStyle w:val="Tekstprzypisudolnego"/>
              <w:spacing w:before="120" w:after="120"/>
              <w:contextualSpacing/>
              <w:rPr>
                <w:rFonts w:ascii="Lato" w:hAnsi="Lato"/>
                <w:color w:val="000000" w:themeColor="text1"/>
                <w:szCs w:val="22"/>
                <w:lang w:eastAsia="en-US"/>
              </w:rPr>
            </w:pPr>
            <w:proofErr w:type="spellStart"/>
            <w:r w:rsidRPr="00AA22C4">
              <w:rPr>
                <w:rFonts w:ascii="Lato" w:hAnsi="Lato"/>
                <w:color w:val="000000" w:themeColor="text1"/>
                <w:szCs w:val="22"/>
                <w:lang w:eastAsia="en-US"/>
              </w:rPr>
              <w:t>Tyrozynemia</w:t>
            </w:r>
            <w:proofErr w:type="spellEnd"/>
            <w:r w:rsidRPr="00AA22C4">
              <w:rPr>
                <w:rFonts w:ascii="Lato" w:hAnsi="Lato"/>
                <w:color w:val="000000" w:themeColor="text1"/>
                <w:szCs w:val="22"/>
                <w:lang w:eastAsia="en-US"/>
              </w:rPr>
              <w:t xml:space="preserve"> (przejściowa noworodkowa, typu I)</w:t>
            </w:r>
          </w:p>
        </w:tc>
        <w:tc>
          <w:tcPr>
            <w:tcW w:w="1141" w:type="dxa"/>
            <w:shd w:val="clear" w:color="auto" w:fill="auto"/>
            <w:vAlign w:val="center"/>
          </w:tcPr>
          <w:p w14:paraId="2D1E4ABE"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TYR I</w:t>
            </w:r>
          </w:p>
          <w:p w14:paraId="7E262426"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1409" w:type="dxa"/>
            <w:shd w:val="clear" w:color="auto" w:fill="auto"/>
            <w:vAlign w:val="center"/>
          </w:tcPr>
          <w:p w14:paraId="1845D0CD"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131" w:type="dxa"/>
            <w:shd w:val="clear" w:color="auto" w:fill="auto"/>
            <w:vAlign w:val="center"/>
          </w:tcPr>
          <w:p w14:paraId="4967F9DA"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301" w:type="dxa"/>
            <w:shd w:val="clear" w:color="auto" w:fill="auto"/>
            <w:vAlign w:val="center"/>
          </w:tcPr>
          <w:p w14:paraId="34E8EE92"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960" w:type="dxa"/>
            <w:shd w:val="clear" w:color="auto" w:fill="auto"/>
            <w:vAlign w:val="center"/>
          </w:tcPr>
          <w:p w14:paraId="671530BA"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r>
      <w:tr w:rsidR="00B3776C" w:rsidRPr="00B3776C" w14:paraId="3CFCB767" w14:textId="77777777" w:rsidTr="0015358E">
        <w:trPr>
          <w:trHeight w:val="561"/>
        </w:trPr>
        <w:tc>
          <w:tcPr>
            <w:tcW w:w="562" w:type="dxa"/>
            <w:shd w:val="clear" w:color="auto" w:fill="auto"/>
            <w:vAlign w:val="center"/>
          </w:tcPr>
          <w:p w14:paraId="6AE036C0"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13</w:t>
            </w:r>
          </w:p>
        </w:tc>
        <w:tc>
          <w:tcPr>
            <w:tcW w:w="2970" w:type="dxa"/>
            <w:shd w:val="clear" w:color="auto" w:fill="auto"/>
            <w:vAlign w:val="center"/>
          </w:tcPr>
          <w:p w14:paraId="36A15797" w14:textId="77777777" w:rsidR="00B1261D" w:rsidRPr="00AA22C4" w:rsidRDefault="00B1261D" w:rsidP="0015358E">
            <w:pPr>
              <w:pStyle w:val="Tekstprzypisudolnego"/>
              <w:spacing w:before="120" w:after="120"/>
              <w:contextualSpacing/>
              <w:rPr>
                <w:rFonts w:ascii="Lato" w:hAnsi="Lato"/>
                <w:color w:val="000000" w:themeColor="text1"/>
                <w:szCs w:val="22"/>
                <w:lang w:eastAsia="en-US"/>
              </w:rPr>
            </w:pPr>
            <w:proofErr w:type="spellStart"/>
            <w:r w:rsidRPr="00AA22C4">
              <w:rPr>
                <w:rFonts w:ascii="Lato" w:hAnsi="Lato"/>
                <w:color w:val="000000" w:themeColor="text1"/>
                <w:szCs w:val="22"/>
                <w:lang w:eastAsia="en-US"/>
              </w:rPr>
              <w:t>Tyrozynemia</w:t>
            </w:r>
            <w:proofErr w:type="spellEnd"/>
            <w:r w:rsidRPr="00AA22C4">
              <w:rPr>
                <w:rFonts w:ascii="Lato" w:hAnsi="Lato"/>
                <w:color w:val="000000" w:themeColor="text1"/>
                <w:szCs w:val="22"/>
                <w:lang w:eastAsia="en-US"/>
              </w:rPr>
              <w:t xml:space="preserve"> typu II</w:t>
            </w:r>
          </w:p>
        </w:tc>
        <w:tc>
          <w:tcPr>
            <w:tcW w:w="1141" w:type="dxa"/>
            <w:shd w:val="clear" w:color="auto" w:fill="auto"/>
            <w:vAlign w:val="center"/>
          </w:tcPr>
          <w:p w14:paraId="66AA0ECD"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TYR II</w:t>
            </w:r>
          </w:p>
        </w:tc>
        <w:tc>
          <w:tcPr>
            <w:tcW w:w="1409" w:type="dxa"/>
            <w:shd w:val="clear" w:color="auto" w:fill="auto"/>
            <w:vAlign w:val="center"/>
          </w:tcPr>
          <w:p w14:paraId="2506AB3C"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131" w:type="dxa"/>
            <w:shd w:val="clear" w:color="auto" w:fill="auto"/>
            <w:vAlign w:val="center"/>
          </w:tcPr>
          <w:p w14:paraId="0BE3F1B2"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301" w:type="dxa"/>
            <w:shd w:val="clear" w:color="auto" w:fill="auto"/>
            <w:vAlign w:val="center"/>
          </w:tcPr>
          <w:p w14:paraId="42BBE56C"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960" w:type="dxa"/>
            <w:shd w:val="clear" w:color="auto" w:fill="auto"/>
            <w:vAlign w:val="center"/>
          </w:tcPr>
          <w:p w14:paraId="3D5D3D12"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r>
      <w:tr w:rsidR="00B3776C" w:rsidRPr="00B3776C" w14:paraId="6187EB0B" w14:textId="77777777" w:rsidTr="0015358E">
        <w:trPr>
          <w:trHeight w:val="230"/>
        </w:trPr>
        <w:tc>
          <w:tcPr>
            <w:tcW w:w="562" w:type="dxa"/>
            <w:shd w:val="clear" w:color="auto" w:fill="auto"/>
            <w:vAlign w:val="center"/>
          </w:tcPr>
          <w:p w14:paraId="4614B86B"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14</w:t>
            </w:r>
          </w:p>
        </w:tc>
        <w:tc>
          <w:tcPr>
            <w:tcW w:w="2970" w:type="dxa"/>
            <w:shd w:val="clear" w:color="auto" w:fill="auto"/>
            <w:vAlign w:val="center"/>
          </w:tcPr>
          <w:p w14:paraId="23F3BE15" w14:textId="77777777" w:rsidR="00B1261D" w:rsidRPr="00AA22C4" w:rsidRDefault="00B1261D" w:rsidP="0015358E">
            <w:pPr>
              <w:pStyle w:val="Tekstprzypisudolnego"/>
              <w:spacing w:before="120" w:after="120"/>
              <w:contextualSpacing/>
              <w:rPr>
                <w:rFonts w:ascii="Lato" w:hAnsi="Lato"/>
                <w:color w:val="000000" w:themeColor="text1"/>
                <w:szCs w:val="22"/>
                <w:lang w:val="en-US" w:eastAsia="en-US"/>
              </w:rPr>
            </w:pPr>
            <w:proofErr w:type="spellStart"/>
            <w:r w:rsidRPr="00AA22C4">
              <w:rPr>
                <w:rFonts w:ascii="Lato" w:hAnsi="Lato"/>
                <w:color w:val="000000" w:themeColor="text1"/>
                <w:szCs w:val="22"/>
                <w:lang w:val="en-US" w:eastAsia="en-US"/>
              </w:rPr>
              <w:t>Deficyt</w:t>
            </w:r>
            <w:proofErr w:type="spellEnd"/>
            <w:r w:rsidRPr="00AA22C4">
              <w:rPr>
                <w:rFonts w:ascii="Lato" w:hAnsi="Lato"/>
                <w:color w:val="000000" w:themeColor="text1"/>
                <w:szCs w:val="22"/>
                <w:lang w:val="en-US" w:eastAsia="en-US"/>
              </w:rPr>
              <w:t xml:space="preserve"> MCAD</w:t>
            </w:r>
          </w:p>
        </w:tc>
        <w:tc>
          <w:tcPr>
            <w:tcW w:w="1141" w:type="dxa"/>
            <w:shd w:val="clear" w:color="auto" w:fill="auto"/>
            <w:vAlign w:val="center"/>
          </w:tcPr>
          <w:p w14:paraId="58D003F8"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MCADD</w:t>
            </w:r>
          </w:p>
        </w:tc>
        <w:tc>
          <w:tcPr>
            <w:tcW w:w="1409" w:type="dxa"/>
            <w:shd w:val="clear" w:color="auto" w:fill="auto"/>
            <w:vAlign w:val="center"/>
          </w:tcPr>
          <w:p w14:paraId="3F3520DA"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1131" w:type="dxa"/>
            <w:shd w:val="clear" w:color="auto" w:fill="auto"/>
            <w:vAlign w:val="center"/>
          </w:tcPr>
          <w:p w14:paraId="743A2A47"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301" w:type="dxa"/>
            <w:shd w:val="clear" w:color="auto" w:fill="auto"/>
            <w:vAlign w:val="center"/>
          </w:tcPr>
          <w:p w14:paraId="7674D2E3"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960" w:type="dxa"/>
            <w:shd w:val="clear" w:color="auto" w:fill="auto"/>
            <w:vAlign w:val="center"/>
          </w:tcPr>
          <w:p w14:paraId="7ACB3A49"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r>
      <w:tr w:rsidR="00B3776C" w:rsidRPr="00B3776C" w14:paraId="18959795" w14:textId="77777777" w:rsidTr="0015358E">
        <w:trPr>
          <w:trHeight w:val="230"/>
        </w:trPr>
        <w:tc>
          <w:tcPr>
            <w:tcW w:w="562" w:type="dxa"/>
            <w:shd w:val="clear" w:color="auto" w:fill="auto"/>
            <w:vAlign w:val="center"/>
          </w:tcPr>
          <w:p w14:paraId="3650EDD2"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15</w:t>
            </w:r>
          </w:p>
        </w:tc>
        <w:tc>
          <w:tcPr>
            <w:tcW w:w="2970" w:type="dxa"/>
            <w:shd w:val="clear" w:color="auto" w:fill="auto"/>
            <w:vAlign w:val="center"/>
          </w:tcPr>
          <w:p w14:paraId="59C06F8C" w14:textId="77777777" w:rsidR="00B1261D" w:rsidRPr="00AA22C4" w:rsidRDefault="00B1261D" w:rsidP="0015358E">
            <w:pPr>
              <w:pStyle w:val="Tekstprzypisudolnego"/>
              <w:spacing w:before="120" w:after="120"/>
              <w:contextualSpacing/>
              <w:rPr>
                <w:rFonts w:ascii="Lato" w:hAnsi="Lato"/>
                <w:color w:val="000000" w:themeColor="text1"/>
                <w:szCs w:val="22"/>
                <w:lang w:val="en-US" w:eastAsia="en-US"/>
              </w:rPr>
            </w:pPr>
            <w:proofErr w:type="spellStart"/>
            <w:r w:rsidRPr="00AA22C4">
              <w:rPr>
                <w:rFonts w:ascii="Lato" w:hAnsi="Lato"/>
                <w:color w:val="000000" w:themeColor="text1"/>
                <w:szCs w:val="22"/>
                <w:lang w:val="en-US" w:eastAsia="en-US"/>
              </w:rPr>
              <w:t>Deficyt</w:t>
            </w:r>
            <w:proofErr w:type="spellEnd"/>
            <w:r w:rsidRPr="00AA22C4">
              <w:rPr>
                <w:rFonts w:ascii="Lato" w:hAnsi="Lato"/>
                <w:color w:val="000000" w:themeColor="text1"/>
                <w:szCs w:val="22"/>
                <w:lang w:val="en-US" w:eastAsia="en-US"/>
              </w:rPr>
              <w:t xml:space="preserve"> LCHAD</w:t>
            </w:r>
          </w:p>
        </w:tc>
        <w:tc>
          <w:tcPr>
            <w:tcW w:w="1141" w:type="dxa"/>
            <w:shd w:val="clear" w:color="auto" w:fill="auto"/>
            <w:vAlign w:val="center"/>
          </w:tcPr>
          <w:p w14:paraId="46843B08"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LCHADD</w:t>
            </w:r>
          </w:p>
        </w:tc>
        <w:tc>
          <w:tcPr>
            <w:tcW w:w="1409" w:type="dxa"/>
            <w:shd w:val="clear" w:color="auto" w:fill="auto"/>
            <w:vAlign w:val="center"/>
          </w:tcPr>
          <w:p w14:paraId="59D96E55"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1131" w:type="dxa"/>
            <w:shd w:val="clear" w:color="auto" w:fill="auto"/>
            <w:vAlign w:val="center"/>
          </w:tcPr>
          <w:p w14:paraId="056A9736"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301" w:type="dxa"/>
            <w:shd w:val="clear" w:color="auto" w:fill="auto"/>
            <w:vAlign w:val="center"/>
          </w:tcPr>
          <w:p w14:paraId="6537AE68"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960" w:type="dxa"/>
            <w:shd w:val="clear" w:color="auto" w:fill="auto"/>
            <w:vAlign w:val="center"/>
          </w:tcPr>
          <w:p w14:paraId="242ACA0A"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r>
      <w:tr w:rsidR="00B3776C" w:rsidRPr="00B3776C" w14:paraId="78A2CA5C" w14:textId="77777777" w:rsidTr="0015358E">
        <w:trPr>
          <w:trHeight w:val="230"/>
        </w:trPr>
        <w:tc>
          <w:tcPr>
            <w:tcW w:w="562" w:type="dxa"/>
            <w:shd w:val="clear" w:color="auto" w:fill="auto"/>
            <w:vAlign w:val="center"/>
          </w:tcPr>
          <w:p w14:paraId="3DE50094"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16</w:t>
            </w:r>
          </w:p>
        </w:tc>
        <w:tc>
          <w:tcPr>
            <w:tcW w:w="2970" w:type="dxa"/>
            <w:shd w:val="clear" w:color="auto" w:fill="auto"/>
            <w:vAlign w:val="center"/>
          </w:tcPr>
          <w:p w14:paraId="1553F241" w14:textId="77777777" w:rsidR="00B1261D" w:rsidRPr="00AA22C4" w:rsidRDefault="00B1261D" w:rsidP="0015358E">
            <w:pPr>
              <w:pStyle w:val="Tekstprzypisudolnego"/>
              <w:spacing w:before="120" w:after="120"/>
              <w:contextualSpacing/>
              <w:rPr>
                <w:rFonts w:ascii="Lato" w:hAnsi="Lato"/>
                <w:color w:val="000000" w:themeColor="text1"/>
                <w:szCs w:val="22"/>
                <w:lang w:eastAsia="en-US"/>
              </w:rPr>
            </w:pPr>
            <w:r w:rsidRPr="00AA22C4">
              <w:rPr>
                <w:rFonts w:ascii="Lato" w:hAnsi="Lato"/>
                <w:color w:val="000000" w:themeColor="text1"/>
                <w:szCs w:val="22"/>
                <w:lang w:eastAsia="en-US"/>
              </w:rPr>
              <w:t>Deficyt mitochondrialnego białka trójfunkcyjnego</w:t>
            </w:r>
          </w:p>
        </w:tc>
        <w:tc>
          <w:tcPr>
            <w:tcW w:w="1141" w:type="dxa"/>
            <w:shd w:val="clear" w:color="auto" w:fill="auto"/>
            <w:vAlign w:val="center"/>
          </w:tcPr>
          <w:p w14:paraId="50815BD6"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MTP</w:t>
            </w:r>
          </w:p>
        </w:tc>
        <w:tc>
          <w:tcPr>
            <w:tcW w:w="1409" w:type="dxa"/>
            <w:shd w:val="clear" w:color="auto" w:fill="auto"/>
            <w:vAlign w:val="center"/>
          </w:tcPr>
          <w:p w14:paraId="0DAD11BD"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1131" w:type="dxa"/>
            <w:shd w:val="clear" w:color="auto" w:fill="auto"/>
            <w:vAlign w:val="center"/>
          </w:tcPr>
          <w:p w14:paraId="438E2FD7"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301" w:type="dxa"/>
            <w:shd w:val="clear" w:color="auto" w:fill="auto"/>
            <w:vAlign w:val="center"/>
          </w:tcPr>
          <w:p w14:paraId="40CE1D14"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960" w:type="dxa"/>
            <w:shd w:val="clear" w:color="auto" w:fill="auto"/>
            <w:vAlign w:val="center"/>
          </w:tcPr>
          <w:p w14:paraId="3E3E572A"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r>
      <w:tr w:rsidR="00B3776C" w:rsidRPr="00B3776C" w14:paraId="72F7669A" w14:textId="77777777" w:rsidTr="0015358E">
        <w:trPr>
          <w:trHeight w:val="230"/>
        </w:trPr>
        <w:tc>
          <w:tcPr>
            <w:tcW w:w="562" w:type="dxa"/>
            <w:shd w:val="clear" w:color="auto" w:fill="auto"/>
            <w:vAlign w:val="center"/>
          </w:tcPr>
          <w:p w14:paraId="183A1F0A"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17</w:t>
            </w:r>
          </w:p>
        </w:tc>
        <w:tc>
          <w:tcPr>
            <w:tcW w:w="2970" w:type="dxa"/>
            <w:shd w:val="clear" w:color="auto" w:fill="auto"/>
            <w:vAlign w:val="center"/>
          </w:tcPr>
          <w:p w14:paraId="08C5809A" w14:textId="77777777" w:rsidR="00B1261D" w:rsidRPr="00AA22C4" w:rsidRDefault="00B1261D" w:rsidP="0015358E">
            <w:pPr>
              <w:pStyle w:val="Tekstprzypisudolnego"/>
              <w:spacing w:before="120" w:after="120"/>
              <w:contextualSpacing/>
              <w:rPr>
                <w:rFonts w:ascii="Lato" w:hAnsi="Lato"/>
                <w:color w:val="000000" w:themeColor="text1"/>
                <w:szCs w:val="22"/>
                <w:lang w:val="en-US" w:eastAsia="en-US"/>
              </w:rPr>
            </w:pPr>
            <w:proofErr w:type="spellStart"/>
            <w:r w:rsidRPr="00AA22C4">
              <w:rPr>
                <w:rFonts w:ascii="Lato" w:hAnsi="Lato"/>
                <w:color w:val="000000" w:themeColor="text1"/>
                <w:szCs w:val="22"/>
                <w:lang w:val="en-US" w:eastAsia="en-US"/>
              </w:rPr>
              <w:t>Deficyt</w:t>
            </w:r>
            <w:proofErr w:type="spellEnd"/>
            <w:r w:rsidRPr="00AA22C4">
              <w:rPr>
                <w:rFonts w:ascii="Lato" w:hAnsi="Lato"/>
                <w:color w:val="000000" w:themeColor="text1"/>
                <w:szCs w:val="22"/>
                <w:lang w:val="en-US" w:eastAsia="en-US"/>
              </w:rPr>
              <w:t xml:space="preserve"> VLCAD</w:t>
            </w:r>
          </w:p>
        </w:tc>
        <w:tc>
          <w:tcPr>
            <w:tcW w:w="1141" w:type="dxa"/>
            <w:shd w:val="clear" w:color="auto" w:fill="auto"/>
            <w:vAlign w:val="center"/>
          </w:tcPr>
          <w:p w14:paraId="1BE34FBE"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VLCADD</w:t>
            </w:r>
          </w:p>
        </w:tc>
        <w:tc>
          <w:tcPr>
            <w:tcW w:w="1409" w:type="dxa"/>
            <w:shd w:val="clear" w:color="auto" w:fill="auto"/>
            <w:vAlign w:val="center"/>
          </w:tcPr>
          <w:p w14:paraId="7A76DD8C"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1131" w:type="dxa"/>
            <w:shd w:val="clear" w:color="auto" w:fill="auto"/>
            <w:vAlign w:val="center"/>
          </w:tcPr>
          <w:p w14:paraId="3D1E4689"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301" w:type="dxa"/>
            <w:shd w:val="clear" w:color="auto" w:fill="auto"/>
            <w:vAlign w:val="center"/>
          </w:tcPr>
          <w:p w14:paraId="4D84C737"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960" w:type="dxa"/>
            <w:shd w:val="clear" w:color="auto" w:fill="auto"/>
            <w:vAlign w:val="center"/>
          </w:tcPr>
          <w:p w14:paraId="79DB73D3"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r>
      <w:tr w:rsidR="00B3776C" w:rsidRPr="00B3776C" w14:paraId="7E07D623" w14:textId="77777777" w:rsidTr="0015358E">
        <w:trPr>
          <w:trHeight w:val="230"/>
        </w:trPr>
        <w:tc>
          <w:tcPr>
            <w:tcW w:w="562" w:type="dxa"/>
            <w:shd w:val="clear" w:color="auto" w:fill="auto"/>
            <w:vAlign w:val="center"/>
          </w:tcPr>
          <w:p w14:paraId="18281304" w14:textId="77777777" w:rsidR="00B1261D" w:rsidRPr="00AA22C4" w:rsidDel="008F02CB"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18</w:t>
            </w:r>
          </w:p>
        </w:tc>
        <w:tc>
          <w:tcPr>
            <w:tcW w:w="2970" w:type="dxa"/>
            <w:shd w:val="clear" w:color="auto" w:fill="auto"/>
            <w:vAlign w:val="center"/>
          </w:tcPr>
          <w:p w14:paraId="546E37AD" w14:textId="77777777" w:rsidR="00B1261D" w:rsidRPr="00AA22C4" w:rsidRDefault="00B1261D" w:rsidP="0015358E">
            <w:pPr>
              <w:pStyle w:val="Tekstprzypisudolnego"/>
              <w:spacing w:before="120" w:after="120"/>
              <w:contextualSpacing/>
              <w:rPr>
                <w:rFonts w:ascii="Lato" w:hAnsi="Lato"/>
                <w:color w:val="000000" w:themeColor="text1"/>
                <w:szCs w:val="22"/>
                <w:lang w:val="en-US" w:eastAsia="en-US"/>
              </w:rPr>
            </w:pPr>
            <w:proofErr w:type="spellStart"/>
            <w:r w:rsidRPr="00AA22C4">
              <w:rPr>
                <w:rFonts w:ascii="Lato" w:hAnsi="Lato"/>
                <w:color w:val="000000" w:themeColor="text1"/>
                <w:szCs w:val="22"/>
                <w:lang w:val="en-US" w:eastAsia="en-US"/>
              </w:rPr>
              <w:t>Deficyt</w:t>
            </w:r>
            <w:proofErr w:type="spellEnd"/>
            <w:r w:rsidRPr="00AA22C4">
              <w:rPr>
                <w:rFonts w:ascii="Lato" w:hAnsi="Lato"/>
                <w:color w:val="000000" w:themeColor="text1"/>
                <w:szCs w:val="22"/>
                <w:lang w:val="en-US" w:eastAsia="en-US"/>
              </w:rPr>
              <w:t xml:space="preserve"> CPT I</w:t>
            </w:r>
          </w:p>
        </w:tc>
        <w:tc>
          <w:tcPr>
            <w:tcW w:w="1141" w:type="dxa"/>
            <w:shd w:val="clear" w:color="auto" w:fill="auto"/>
            <w:vAlign w:val="center"/>
          </w:tcPr>
          <w:p w14:paraId="235ABCAB"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CPT I</w:t>
            </w:r>
          </w:p>
        </w:tc>
        <w:tc>
          <w:tcPr>
            <w:tcW w:w="1409" w:type="dxa"/>
            <w:shd w:val="clear" w:color="auto" w:fill="auto"/>
            <w:vAlign w:val="center"/>
          </w:tcPr>
          <w:p w14:paraId="6B04B746"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1131" w:type="dxa"/>
            <w:shd w:val="clear" w:color="auto" w:fill="auto"/>
            <w:vAlign w:val="center"/>
          </w:tcPr>
          <w:p w14:paraId="2EF7D963"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1301" w:type="dxa"/>
            <w:shd w:val="clear" w:color="auto" w:fill="auto"/>
            <w:vAlign w:val="center"/>
          </w:tcPr>
          <w:p w14:paraId="755B8699"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960" w:type="dxa"/>
            <w:shd w:val="clear" w:color="auto" w:fill="auto"/>
            <w:vAlign w:val="center"/>
          </w:tcPr>
          <w:p w14:paraId="5347A167"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r>
      <w:tr w:rsidR="00B3776C" w:rsidRPr="00B3776C" w14:paraId="4E3FF161" w14:textId="77777777" w:rsidTr="0015358E">
        <w:trPr>
          <w:trHeight w:val="230"/>
        </w:trPr>
        <w:tc>
          <w:tcPr>
            <w:tcW w:w="562" w:type="dxa"/>
            <w:shd w:val="clear" w:color="auto" w:fill="auto"/>
            <w:vAlign w:val="center"/>
          </w:tcPr>
          <w:p w14:paraId="0DAF083C" w14:textId="77777777" w:rsidR="00B1261D" w:rsidRPr="00AA22C4" w:rsidDel="008F02CB"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19</w:t>
            </w:r>
          </w:p>
        </w:tc>
        <w:tc>
          <w:tcPr>
            <w:tcW w:w="2970" w:type="dxa"/>
            <w:shd w:val="clear" w:color="auto" w:fill="auto"/>
            <w:vAlign w:val="center"/>
          </w:tcPr>
          <w:p w14:paraId="0EDBA1AB" w14:textId="77777777" w:rsidR="00B1261D" w:rsidRPr="00AA22C4" w:rsidRDefault="00B1261D" w:rsidP="0015358E">
            <w:pPr>
              <w:pStyle w:val="Tekstprzypisudolnego"/>
              <w:spacing w:before="120" w:after="120"/>
              <w:contextualSpacing/>
              <w:rPr>
                <w:rFonts w:ascii="Lato" w:hAnsi="Lato"/>
                <w:color w:val="000000" w:themeColor="text1"/>
                <w:szCs w:val="22"/>
                <w:lang w:val="en-US" w:eastAsia="en-US"/>
              </w:rPr>
            </w:pPr>
            <w:proofErr w:type="spellStart"/>
            <w:r w:rsidRPr="00AA22C4">
              <w:rPr>
                <w:rFonts w:ascii="Lato" w:hAnsi="Lato"/>
                <w:color w:val="000000" w:themeColor="text1"/>
                <w:szCs w:val="22"/>
                <w:lang w:val="en-US" w:eastAsia="en-US"/>
              </w:rPr>
              <w:t>Deficyt</w:t>
            </w:r>
            <w:proofErr w:type="spellEnd"/>
            <w:r w:rsidRPr="00AA22C4">
              <w:rPr>
                <w:rFonts w:ascii="Lato" w:hAnsi="Lato"/>
                <w:color w:val="000000" w:themeColor="text1"/>
                <w:szCs w:val="22"/>
                <w:lang w:val="en-US" w:eastAsia="en-US"/>
              </w:rPr>
              <w:t xml:space="preserve"> CPT II</w:t>
            </w:r>
          </w:p>
        </w:tc>
        <w:tc>
          <w:tcPr>
            <w:tcW w:w="1141" w:type="dxa"/>
            <w:shd w:val="clear" w:color="auto" w:fill="auto"/>
            <w:vAlign w:val="center"/>
          </w:tcPr>
          <w:p w14:paraId="1AD5D59F"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CPT II</w:t>
            </w:r>
          </w:p>
        </w:tc>
        <w:tc>
          <w:tcPr>
            <w:tcW w:w="1409" w:type="dxa"/>
            <w:shd w:val="clear" w:color="auto" w:fill="auto"/>
            <w:vAlign w:val="center"/>
          </w:tcPr>
          <w:p w14:paraId="1870E697"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1131" w:type="dxa"/>
            <w:shd w:val="clear" w:color="auto" w:fill="auto"/>
            <w:vAlign w:val="center"/>
          </w:tcPr>
          <w:p w14:paraId="3E4B00AD"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1301" w:type="dxa"/>
            <w:shd w:val="clear" w:color="auto" w:fill="auto"/>
            <w:vAlign w:val="center"/>
          </w:tcPr>
          <w:p w14:paraId="5E65D42C"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960" w:type="dxa"/>
            <w:shd w:val="clear" w:color="auto" w:fill="auto"/>
            <w:vAlign w:val="center"/>
          </w:tcPr>
          <w:p w14:paraId="03898856"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r>
      <w:tr w:rsidR="00B3776C" w:rsidRPr="00B3776C" w14:paraId="15D71CDF" w14:textId="77777777" w:rsidTr="0015358E">
        <w:trPr>
          <w:trHeight w:val="230"/>
        </w:trPr>
        <w:tc>
          <w:tcPr>
            <w:tcW w:w="562" w:type="dxa"/>
            <w:shd w:val="clear" w:color="auto" w:fill="auto"/>
            <w:vAlign w:val="center"/>
          </w:tcPr>
          <w:p w14:paraId="061C018A"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20</w:t>
            </w:r>
          </w:p>
        </w:tc>
        <w:tc>
          <w:tcPr>
            <w:tcW w:w="2970" w:type="dxa"/>
            <w:shd w:val="clear" w:color="auto" w:fill="auto"/>
            <w:vAlign w:val="center"/>
          </w:tcPr>
          <w:p w14:paraId="7B73C2CD" w14:textId="77777777" w:rsidR="00B1261D" w:rsidRPr="00AA22C4" w:rsidRDefault="00B1261D" w:rsidP="0015358E">
            <w:pPr>
              <w:pStyle w:val="Tekstprzypisudolnego"/>
              <w:spacing w:before="120" w:after="120"/>
              <w:contextualSpacing/>
              <w:rPr>
                <w:rFonts w:ascii="Lato" w:hAnsi="Lato"/>
                <w:color w:val="000000" w:themeColor="text1"/>
                <w:szCs w:val="22"/>
                <w:lang w:eastAsia="en-US"/>
              </w:rPr>
            </w:pPr>
            <w:proofErr w:type="spellStart"/>
            <w:r w:rsidRPr="00AA22C4">
              <w:rPr>
                <w:rFonts w:ascii="Lato" w:hAnsi="Lato"/>
                <w:color w:val="000000" w:themeColor="text1"/>
                <w:szCs w:val="22"/>
                <w:lang w:val="en-US" w:eastAsia="en-US"/>
              </w:rPr>
              <w:t>Deficyt</w:t>
            </w:r>
            <w:proofErr w:type="spellEnd"/>
            <w:r w:rsidRPr="00AA22C4">
              <w:rPr>
                <w:rFonts w:ascii="Lato" w:hAnsi="Lato"/>
                <w:color w:val="000000" w:themeColor="text1"/>
                <w:szCs w:val="22"/>
                <w:lang w:val="en-US" w:eastAsia="en-US"/>
              </w:rPr>
              <w:t xml:space="preserve"> </w:t>
            </w:r>
            <w:proofErr w:type="spellStart"/>
            <w:r w:rsidRPr="00AA22C4">
              <w:rPr>
                <w:rFonts w:ascii="Lato" w:hAnsi="Lato"/>
                <w:color w:val="000000" w:themeColor="text1"/>
                <w:szCs w:val="22"/>
                <w:lang w:val="en-US" w:eastAsia="en-US"/>
              </w:rPr>
              <w:t>translokazy</w:t>
            </w:r>
            <w:proofErr w:type="spellEnd"/>
            <w:r w:rsidRPr="00AA22C4">
              <w:rPr>
                <w:rFonts w:ascii="Lato" w:hAnsi="Lato"/>
                <w:color w:val="000000" w:themeColor="text1"/>
                <w:szCs w:val="22"/>
                <w:lang w:val="en-US" w:eastAsia="en-US"/>
              </w:rPr>
              <w:t xml:space="preserve"> </w:t>
            </w:r>
            <w:proofErr w:type="spellStart"/>
            <w:r w:rsidRPr="00AA22C4">
              <w:rPr>
                <w:rFonts w:ascii="Lato" w:hAnsi="Lato"/>
                <w:color w:val="000000" w:themeColor="text1"/>
                <w:szCs w:val="22"/>
                <w:lang w:val="en-US" w:eastAsia="en-US"/>
              </w:rPr>
              <w:t>karnityny</w:t>
            </w:r>
            <w:proofErr w:type="spellEnd"/>
          </w:p>
        </w:tc>
        <w:tc>
          <w:tcPr>
            <w:tcW w:w="1141" w:type="dxa"/>
            <w:shd w:val="clear" w:color="auto" w:fill="auto"/>
            <w:vAlign w:val="center"/>
          </w:tcPr>
          <w:p w14:paraId="2305311B"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CACT</w:t>
            </w:r>
          </w:p>
        </w:tc>
        <w:tc>
          <w:tcPr>
            <w:tcW w:w="1409" w:type="dxa"/>
            <w:shd w:val="clear" w:color="auto" w:fill="auto"/>
            <w:vAlign w:val="center"/>
          </w:tcPr>
          <w:p w14:paraId="19398B63"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1131" w:type="dxa"/>
            <w:shd w:val="clear" w:color="auto" w:fill="auto"/>
            <w:vAlign w:val="center"/>
          </w:tcPr>
          <w:p w14:paraId="4FA51FBE"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1301" w:type="dxa"/>
            <w:shd w:val="clear" w:color="auto" w:fill="auto"/>
            <w:vAlign w:val="center"/>
          </w:tcPr>
          <w:p w14:paraId="0CBFA081"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960" w:type="dxa"/>
            <w:shd w:val="clear" w:color="auto" w:fill="auto"/>
            <w:vAlign w:val="center"/>
          </w:tcPr>
          <w:p w14:paraId="2E7D3E98"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r>
      <w:tr w:rsidR="00B3776C" w:rsidRPr="00B3776C" w14:paraId="55954E5E" w14:textId="77777777" w:rsidTr="0015358E">
        <w:trPr>
          <w:trHeight w:val="230"/>
        </w:trPr>
        <w:tc>
          <w:tcPr>
            <w:tcW w:w="562" w:type="dxa"/>
            <w:shd w:val="clear" w:color="auto" w:fill="auto"/>
            <w:vAlign w:val="center"/>
          </w:tcPr>
          <w:p w14:paraId="787B4DB5"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21</w:t>
            </w:r>
          </w:p>
        </w:tc>
        <w:tc>
          <w:tcPr>
            <w:tcW w:w="2970" w:type="dxa"/>
            <w:shd w:val="clear" w:color="auto" w:fill="auto"/>
            <w:vAlign w:val="center"/>
          </w:tcPr>
          <w:p w14:paraId="2D610986" w14:textId="77777777" w:rsidR="00B1261D" w:rsidRPr="00AA22C4" w:rsidRDefault="00B1261D" w:rsidP="0015358E">
            <w:pPr>
              <w:pStyle w:val="Tekstprzypisudolnego"/>
              <w:spacing w:before="120" w:after="120"/>
              <w:contextualSpacing/>
              <w:rPr>
                <w:rFonts w:ascii="Lato" w:hAnsi="Lato"/>
                <w:color w:val="000000" w:themeColor="text1"/>
                <w:szCs w:val="22"/>
                <w:lang w:eastAsia="en-US"/>
              </w:rPr>
            </w:pPr>
            <w:r w:rsidRPr="00AA22C4">
              <w:rPr>
                <w:rFonts w:ascii="Lato" w:hAnsi="Lato"/>
                <w:color w:val="000000" w:themeColor="text1"/>
                <w:szCs w:val="22"/>
                <w:lang w:eastAsia="en-US"/>
              </w:rPr>
              <w:t>Deficyt transportera karnityny (pierwotny deficyt karnityny)</w:t>
            </w:r>
          </w:p>
        </w:tc>
        <w:tc>
          <w:tcPr>
            <w:tcW w:w="1141" w:type="dxa"/>
            <w:shd w:val="clear" w:color="auto" w:fill="auto"/>
            <w:vAlign w:val="center"/>
          </w:tcPr>
          <w:p w14:paraId="7EB71B63"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CTD</w:t>
            </w:r>
          </w:p>
          <w:p w14:paraId="51A2B0A1"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(CUD)</w:t>
            </w:r>
          </w:p>
        </w:tc>
        <w:tc>
          <w:tcPr>
            <w:tcW w:w="1409" w:type="dxa"/>
            <w:shd w:val="clear" w:color="auto" w:fill="auto"/>
            <w:vAlign w:val="center"/>
          </w:tcPr>
          <w:p w14:paraId="695F0081"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1131" w:type="dxa"/>
            <w:shd w:val="clear" w:color="auto" w:fill="auto"/>
            <w:vAlign w:val="center"/>
          </w:tcPr>
          <w:p w14:paraId="7CA343E7"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1301" w:type="dxa"/>
            <w:shd w:val="clear" w:color="auto" w:fill="auto"/>
            <w:vAlign w:val="center"/>
          </w:tcPr>
          <w:p w14:paraId="1E70FC77"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960" w:type="dxa"/>
            <w:shd w:val="clear" w:color="auto" w:fill="auto"/>
            <w:vAlign w:val="center"/>
          </w:tcPr>
          <w:p w14:paraId="6F922B55"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r>
      <w:tr w:rsidR="00B3776C" w:rsidRPr="00B3776C" w14:paraId="6A95E071" w14:textId="77777777" w:rsidTr="0015358E">
        <w:trPr>
          <w:trHeight w:val="230"/>
        </w:trPr>
        <w:tc>
          <w:tcPr>
            <w:tcW w:w="562" w:type="dxa"/>
            <w:shd w:val="clear" w:color="auto" w:fill="auto"/>
            <w:vAlign w:val="center"/>
          </w:tcPr>
          <w:p w14:paraId="5BEC5AF7"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lastRenderedPageBreak/>
              <w:t>22</w:t>
            </w:r>
          </w:p>
        </w:tc>
        <w:tc>
          <w:tcPr>
            <w:tcW w:w="2970" w:type="dxa"/>
            <w:shd w:val="clear" w:color="auto" w:fill="auto"/>
            <w:vAlign w:val="center"/>
          </w:tcPr>
          <w:p w14:paraId="156AA860" w14:textId="77777777" w:rsidR="00B1261D" w:rsidRPr="00AA22C4" w:rsidRDefault="00B1261D" w:rsidP="0015358E">
            <w:pPr>
              <w:pStyle w:val="Tekstprzypisudolnego"/>
              <w:spacing w:before="120" w:after="120"/>
              <w:contextualSpacing/>
              <w:rPr>
                <w:rFonts w:ascii="Lato" w:hAnsi="Lato"/>
                <w:color w:val="000000" w:themeColor="text1"/>
                <w:szCs w:val="22"/>
                <w:lang w:val="en-US" w:eastAsia="en-US"/>
              </w:rPr>
            </w:pPr>
            <w:proofErr w:type="spellStart"/>
            <w:r w:rsidRPr="00AA22C4">
              <w:rPr>
                <w:rFonts w:ascii="Lato" w:hAnsi="Lato"/>
                <w:color w:val="000000" w:themeColor="text1"/>
                <w:szCs w:val="22"/>
                <w:lang w:val="en-US" w:eastAsia="en-US"/>
              </w:rPr>
              <w:t>Acyduria</w:t>
            </w:r>
            <w:proofErr w:type="spellEnd"/>
            <w:r w:rsidRPr="00AA22C4">
              <w:rPr>
                <w:rFonts w:ascii="Lato" w:hAnsi="Lato"/>
                <w:color w:val="000000" w:themeColor="text1"/>
                <w:szCs w:val="22"/>
                <w:lang w:val="en-US" w:eastAsia="en-US"/>
              </w:rPr>
              <w:t xml:space="preserve"> </w:t>
            </w:r>
            <w:proofErr w:type="spellStart"/>
            <w:r w:rsidRPr="00AA22C4">
              <w:rPr>
                <w:rFonts w:ascii="Lato" w:hAnsi="Lato"/>
                <w:color w:val="000000" w:themeColor="text1"/>
                <w:szCs w:val="22"/>
                <w:lang w:val="en-US" w:eastAsia="en-US"/>
              </w:rPr>
              <w:t>glutarowa</w:t>
            </w:r>
            <w:proofErr w:type="spellEnd"/>
            <w:r w:rsidRPr="00AA22C4">
              <w:rPr>
                <w:rFonts w:ascii="Lato" w:hAnsi="Lato"/>
                <w:color w:val="000000" w:themeColor="text1"/>
                <w:szCs w:val="22"/>
                <w:lang w:val="en-US" w:eastAsia="en-US"/>
              </w:rPr>
              <w:t xml:space="preserve"> I</w:t>
            </w:r>
          </w:p>
        </w:tc>
        <w:tc>
          <w:tcPr>
            <w:tcW w:w="1141" w:type="dxa"/>
            <w:shd w:val="clear" w:color="auto" w:fill="auto"/>
            <w:vAlign w:val="center"/>
          </w:tcPr>
          <w:p w14:paraId="37CA1AE8"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GA I</w:t>
            </w:r>
          </w:p>
        </w:tc>
        <w:tc>
          <w:tcPr>
            <w:tcW w:w="1409" w:type="dxa"/>
            <w:shd w:val="clear" w:color="auto" w:fill="auto"/>
            <w:vAlign w:val="center"/>
          </w:tcPr>
          <w:p w14:paraId="5F76FA51"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131" w:type="dxa"/>
            <w:shd w:val="clear" w:color="auto" w:fill="auto"/>
            <w:vAlign w:val="center"/>
          </w:tcPr>
          <w:p w14:paraId="726DCC91"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301" w:type="dxa"/>
            <w:shd w:val="clear" w:color="auto" w:fill="auto"/>
            <w:vAlign w:val="center"/>
          </w:tcPr>
          <w:p w14:paraId="794DBA07"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960" w:type="dxa"/>
            <w:shd w:val="clear" w:color="auto" w:fill="auto"/>
            <w:vAlign w:val="center"/>
          </w:tcPr>
          <w:p w14:paraId="35E6995A"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r>
      <w:tr w:rsidR="00B3776C" w:rsidRPr="00B3776C" w14:paraId="48BC7836" w14:textId="77777777" w:rsidTr="0015358E">
        <w:trPr>
          <w:trHeight w:val="230"/>
        </w:trPr>
        <w:tc>
          <w:tcPr>
            <w:tcW w:w="562" w:type="dxa"/>
            <w:shd w:val="clear" w:color="auto" w:fill="auto"/>
            <w:vAlign w:val="center"/>
          </w:tcPr>
          <w:p w14:paraId="12D04B96" w14:textId="77777777" w:rsidR="00B1261D" w:rsidRPr="00AA22C4" w:rsidRDefault="00B1261D" w:rsidP="0015358E">
            <w:pPr>
              <w:pStyle w:val="Tekstprzypisudolnego"/>
              <w:spacing w:before="120" w:after="120"/>
              <w:contextualSpacing/>
              <w:rPr>
                <w:rFonts w:ascii="Lato" w:hAnsi="Lato"/>
                <w:color w:val="000000" w:themeColor="text1"/>
                <w:szCs w:val="22"/>
                <w:lang w:eastAsia="en-US"/>
              </w:rPr>
            </w:pPr>
            <w:r w:rsidRPr="00AA22C4">
              <w:rPr>
                <w:rFonts w:ascii="Lato" w:hAnsi="Lato"/>
                <w:color w:val="000000" w:themeColor="text1"/>
                <w:szCs w:val="22"/>
                <w:lang w:eastAsia="en-US"/>
              </w:rPr>
              <w:t xml:space="preserve">  23</w:t>
            </w:r>
          </w:p>
        </w:tc>
        <w:tc>
          <w:tcPr>
            <w:tcW w:w="2970" w:type="dxa"/>
            <w:shd w:val="clear" w:color="auto" w:fill="auto"/>
            <w:vAlign w:val="center"/>
          </w:tcPr>
          <w:p w14:paraId="5BF0689F" w14:textId="77777777" w:rsidR="00B1261D" w:rsidRPr="00AA22C4" w:rsidRDefault="00B1261D" w:rsidP="0015358E">
            <w:pPr>
              <w:pStyle w:val="Tekstprzypisudolnego"/>
              <w:spacing w:before="120" w:after="120"/>
              <w:contextualSpacing/>
              <w:rPr>
                <w:rFonts w:ascii="Lato" w:hAnsi="Lato"/>
                <w:color w:val="000000" w:themeColor="text1"/>
                <w:szCs w:val="22"/>
                <w:lang w:eastAsia="en-US"/>
              </w:rPr>
            </w:pPr>
            <w:proofErr w:type="spellStart"/>
            <w:r w:rsidRPr="00AA22C4">
              <w:rPr>
                <w:rFonts w:ascii="Lato" w:hAnsi="Lato"/>
                <w:color w:val="000000" w:themeColor="text1"/>
                <w:szCs w:val="22"/>
                <w:lang w:eastAsia="en-US"/>
              </w:rPr>
              <w:t>Acyduria</w:t>
            </w:r>
            <w:proofErr w:type="spellEnd"/>
            <w:r w:rsidRPr="00AA22C4">
              <w:rPr>
                <w:rFonts w:ascii="Lato" w:hAnsi="Lato"/>
                <w:color w:val="000000" w:themeColor="text1"/>
                <w:szCs w:val="22"/>
                <w:lang w:eastAsia="en-US"/>
              </w:rPr>
              <w:t xml:space="preserve"> </w:t>
            </w:r>
            <w:proofErr w:type="spellStart"/>
            <w:r w:rsidRPr="00AA22C4">
              <w:rPr>
                <w:rFonts w:ascii="Lato" w:hAnsi="Lato"/>
                <w:color w:val="000000" w:themeColor="text1"/>
                <w:szCs w:val="22"/>
                <w:lang w:eastAsia="en-US"/>
              </w:rPr>
              <w:t>glutarowa</w:t>
            </w:r>
            <w:proofErr w:type="spellEnd"/>
            <w:r w:rsidRPr="00AA22C4">
              <w:rPr>
                <w:rFonts w:ascii="Lato" w:hAnsi="Lato"/>
                <w:color w:val="000000" w:themeColor="text1"/>
                <w:szCs w:val="22"/>
                <w:lang w:eastAsia="en-US"/>
              </w:rPr>
              <w:t xml:space="preserve"> typu II (Deficyt wielu dehydrogenaz </w:t>
            </w:r>
            <w:proofErr w:type="spellStart"/>
            <w:r w:rsidRPr="00AA22C4">
              <w:rPr>
                <w:rFonts w:ascii="Lato" w:hAnsi="Lato"/>
                <w:color w:val="000000" w:themeColor="text1"/>
                <w:szCs w:val="22"/>
                <w:lang w:eastAsia="en-US"/>
              </w:rPr>
              <w:t>acylo-CoA</w:t>
            </w:r>
            <w:proofErr w:type="spellEnd"/>
            <w:r w:rsidRPr="00AA22C4">
              <w:rPr>
                <w:rFonts w:ascii="Lato" w:hAnsi="Lato"/>
                <w:color w:val="000000" w:themeColor="text1"/>
                <w:szCs w:val="22"/>
                <w:lang w:eastAsia="en-US"/>
              </w:rPr>
              <w:t>)</w:t>
            </w:r>
          </w:p>
        </w:tc>
        <w:tc>
          <w:tcPr>
            <w:tcW w:w="1141" w:type="dxa"/>
            <w:shd w:val="clear" w:color="auto" w:fill="auto"/>
            <w:vAlign w:val="center"/>
          </w:tcPr>
          <w:p w14:paraId="30EA7F45"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GA II</w:t>
            </w:r>
          </w:p>
          <w:p w14:paraId="2F2135EF"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(MADD)</w:t>
            </w:r>
          </w:p>
        </w:tc>
        <w:tc>
          <w:tcPr>
            <w:tcW w:w="1409" w:type="dxa"/>
            <w:shd w:val="clear" w:color="auto" w:fill="auto"/>
            <w:vAlign w:val="center"/>
          </w:tcPr>
          <w:p w14:paraId="281EF0AF"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1131" w:type="dxa"/>
            <w:shd w:val="clear" w:color="auto" w:fill="auto"/>
            <w:vAlign w:val="center"/>
          </w:tcPr>
          <w:p w14:paraId="460441C4"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301" w:type="dxa"/>
            <w:shd w:val="clear" w:color="auto" w:fill="auto"/>
            <w:vAlign w:val="center"/>
          </w:tcPr>
          <w:p w14:paraId="2C5BCE07"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960" w:type="dxa"/>
            <w:shd w:val="clear" w:color="auto" w:fill="auto"/>
            <w:vAlign w:val="center"/>
          </w:tcPr>
          <w:p w14:paraId="58FBA381"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r>
      <w:tr w:rsidR="00B3776C" w:rsidRPr="00B3776C" w14:paraId="41AD0A26" w14:textId="77777777" w:rsidTr="0015358E">
        <w:trPr>
          <w:trHeight w:val="230"/>
        </w:trPr>
        <w:tc>
          <w:tcPr>
            <w:tcW w:w="562" w:type="dxa"/>
            <w:shd w:val="clear" w:color="auto" w:fill="auto"/>
            <w:vAlign w:val="center"/>
          </w:tcPr>
          <w:p w14:paraId="015C7C20"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24</w:t>
            </w:r>
          </w:p>
        </w:tc>
        <w:tc>
          <w:tcPr>
            <w:tcW w:w="2970" w:type="dxa"/>
            <w:shd w:val="clear" w:color="auto" w:fill="auto"/>
            <w:vAlign w:val="center"/>
          </w:tcPr>
          <w:p w14:paraId="54127632" w14:textId="77777777" w:rsidR="00B1261D" w:rsidRPr="00AA22C4" w:rsidRDefault="00B1261D" w:rsidP="0015358E">
            <w:pPr>
              <w:pStyle w:val="Tekstprzypisudolnego"/>
              <w:spacing w:before="120" w:after="120"/>
              <w:contextualSpacing/>
              <w:rPr>
                <w:rFonts w:ascii="Lato" w:hAnsi="Lato"/>
                <w:color w:val="000000" w:themeColor="text1"/>
                <w:szCs w:val="22"/>
                <w:lang w:val="en-US" w:eastAsia="en-US"/>
              </w:rPr>
            </w:pPr>
            <w:proofErr w:type="spellStart"/>
            <w:r w:rsidRPr="00AA22C4">
              <w:rPr>
                <w:rFonts w:ascii="Lato" w:hAnsi="Lato"/>
                <w:color w:val="000000" w:themeColor="text1"/>
                <w:szCs w:val="22"/>
                <w:lang w:val="en-US" w:eastAsia="en-US"/>
              </w:rPr>
              <w:t>Deficyt</w:t>
            </w:r>
            <w:proofErr w:type="spellEnd"/>
            <w:r w:rsidRPr="00AA22C4">
              <w:rPr>
                <w:rFonts w:ascii="Lato" w:hAnsi="Lato"/>
                <w:color w:val="000000" w:themeColor="text1"/>
                <w:szCs w:val="22"/>
                <w:lang w:val="en-US" w:eastAsia="en-US"/>
              </w:rPr>
              <w:t xml:space="preserve"> B-</w:t>
            </w:r>
            <w:proofErr w:type="spellStart"/>
            <w:r w:rsidRPr="00AA22C4">
              <w:rPr>
                <w:rFonts w:ascii="Lato" w:hAnsi="Lato"/>
                <w:color w:val="000000" w:themeColor="text1"/>
                <w:szCs w:val="22"/>
                <w:lang w:val="en-US" w:eastAsia="en-US"/>
              </w:rPr>
              <w:t>ketotiolazy</w:t>
            </w:r>
            <w:proofErr w:type="spellEnd"/>
          </w:p>
        </w:tc>
        <w:tc>
          <w:tcPr>
            <w:tcW w:w="1141" w:type="dxa"/>
            <w:shd w:val="clear" w:color="auto" w:fill="auto"/>
            <w:vAlign w:val="center"/>
          </w:tcPr>
          <w:p w14:paraId="634D3A33"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BKT</w:t>
            </w:r>
          </w:p>
        </w:tc>
        <w:tc>
          <w:tcPr>
            <w:tcW w:w="1409" w:type="dxa"/>
            <w:shd w:val="clear" w:color="auto" w:fill="auto"/>
            <w:vAlign w:val="center"/>
          </w:tcPr>
          <w:p w14:paraId="24BE9A42"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1131" w:type="dxa"/>
            <w:shd w:val="clear" w:color="auto" w:fill="auto"/>
            <w:vAlign w:val="center"/>
          </w:tcPr>
          <w:p w14:paraId="3F30A6C0"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301" w:type="dxa"/>
            <w:shd w:val="clear" w:color="auto" w:fill="auto"/>
            <w:vAlign w:val="center"/>
          </w:tcPr>
          <w:p w14:paraId="4879E63F"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960" w:type="dxa"/>
            <w:shd w:val="clear" w:color="auto" w:fill="auto"/>
            <w:vAlign w:val="center"/>
          </w:tcPr>
          <w:p w14:paraId="0782D834"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r>
      <w:tr w:rsidR="00B3776C" w:rsidRPr="00B3776C" w14:paraId="30B8D41A" w14:textId="77777777" w:rsidTr="0015358E">
        <w:trPr>
          <w:trHeight w:val="230"/>
        </w:trPr>
        <w:tc>
          <w:tcPr>
            <w:tcW w:w="562" w:type="dxa"/>
            <w:shd w:val="clear" w:color="auto" w:fill="auto"/>
            <w:vAlign w:val="center"/>
          </w:tcPr>
          <w:p w14:paraId="266B23AE"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25</w:t>
            </w:r>
          </w:p>
        </w:tc>
        <w:tc>
          <w:tcPr>
            <w:tcW w:w="2970" w:type="dxa"/>
            <w:shd w:val="clear" w:color="auto" w:fill="auto"/>
            <w:vAlign w:val="center"/>
          </w:tcPr>
          <w:p w14:paraId="774495CF" w14:textId="77777777" w:rsidR="00B1261D" w:rsidRPr="00AA22C4" w:rsidRDefault="00B1261D" w:rsidP="0015358E">
            <w:pPr>
              <w:pStyle w:val="Tekstprzypisudolnego"/>
              <w:spacing w:before="120" w:after="120"/>
              <w:contextualSpacing/>
              <w:rPr>
                <w:rFonts w:ascii="Lato" w:hAnsi="Lato"/>
                <w:color w:val="000000" w:themeColor="text1"/>
                <w:szCs w:val="22"/>
                <w:lang w:eastAsia="en-US"/>
              </w:rPr>
            </w:pPr>
            <w:proofErr w:type="spellStart"/>
            <w:r w:rsidRPr="00AA22C4">
              <w:rPr>
                <w:rFonts w:ascii="Lato" w:hAnsi="Lato"/>
                <w:color w:val="000000" w:themeColor="text1"/>
                <w:szCs w:val="22"/>
                <w:lang w:val="en-US" w:eastAsia="en-US"/>
              </w:rPr>
              <w:t>Acyduria</w:t>
            </w:r>
            <w:proofErr w:type="spellEnd"/>
            <w:r w:rsidRPr="00AA22C4">
              <w:rPr>
                <w:rFonts w:ascii="Lato" w:hAnsi="Lato"/>
                <w:color w:val="000000" w:themeColor="text1"/>
                <w:szCs w:val="22"/>
                <w:lang w:val="en-US" w:eastAsia="en-US"/>
              </w:rPr>
              <w:t xml:space="preserve"> </w:t>
            </w:r>
            <w:proofErr w:type="spellStart"/>
            <w:r w:rsidRPr="00AA22C4">
              <w:rPr>
                <w:rFonts w:ascii="Lato" w:hAnsi="Lato"/>
                <w:color w:val="000000" w:themeColor="text1"/>
                <w:szCs w:val="22"/>
                <w:lang w:val="en-US" w:eastAsia="en-US"/>
              </w:rPr>
              <w:t>propionowa</w:t>
            </w:r>
            <w:proofErr w:type="spellEnd"/>
          </w:p>
        </w:tc>
        <w:tc>
          <w:tcPr>
            <w:tcW w:w="1141" w:type="dxa"/>
            <w:shd w:val="clear" w:color="auto" w:fill="auto"/>
            <w:vAlign w:val="center"/>
          </w:tcPr>
          <w:p w14:paraId="1D3430F8"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PA</w:t>
            </w:r>
          </w:p>
        </w:tc>
        <w:tc>
          <w:tcPr>
            <w:tcW w:w="1409" w:type="dxa"/>
            <w:shd w:val="clear" w:color="auto" w:fill="auto"/>
            <w:vAlign w:val="center"/>
          </w:tcPr>
          <w:p w14:paraId="76475CDA"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131" w:type="dxa"/>
            <w:shd w:val="clear" w:color="auto" w:fill="auto"/>
            <w:vAlign w:val="center"/>
          </w:tcPr>
          <w:p w14:paraId="2AC21154"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301" w:type="dxa"/>
            <w:shd w:val="clear" w:color="auto" w:fill="auto"/>
            <w:vAlign w:val="center"/>
          </w:tcPr>
          <w:p w14:paraId="721FA059"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960" w:type="dxa"/>
            <w:shd w:val="clear" w:color="auto" w:fill="auto"/>
            <w:vAlign w:val="center"/>
          </w:tcPr>
          <w:p w14:paraId="4257788F"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r>
      <w:tr w:rsidR="00B3776C" w:rsidRPr="00B3776C" w14:paraId="79BFEA00" w14:textId="77777777" w:rsidTr="0015358E">
        <w:trPr>
          <w:trHeight w:val="230"/>
        </w:trPr>
        <w:tc>
          <w:tcPr>
            <w:tcW w:w="562" w:type="dxa"/>
            <w:shd w:val="clear" w:color="auto" w:fill="auto"/>
            <w:vAlign w:val="center"/>
          </w:tcPr>
          <w:p w14:paraId="3DADAE3B"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26</w:t>
            </w:r>
          </w:p>
        </w:tc>
        <w:tc>
          <w:tcPr>
            <w:tcW w:w="2970" w:type="dxa"/>
            <w:shd w:val="clear" w:color="auto" w:fill="auto"/>
            <w:vAlign w:val="center"/>
          </w:tcPr>
          <w:p w14:paraId="4B01DD88" w14:textId="77777777" w:rsidR="00B1261D" w:rsidRPr="00AA22C4" w:rsidRDefault="00B1261D" w:rsidP="0015358E">
            <w:pPr>
              <w:pStyle w:val="Tekstprzypisudolnego"/>
              <w:spacing w:before="120" w:after="120"/>
              <w:contextualSpacing/>
              <w:rPr>
                <w:rFonts w:ascii="Lato" w:hAnsi="Lato"/>
                <w:color w:val="000000" w:themeColor="text1"/>
                <w:szCs w:val="22"/>
                <w:lang w:eastAsia="en-US"/>
              </w:rPr>
            </w:pPr>
            <w:proofErr w:type="spellStart"/>
            <w:r w:rsidRPr="00AA22C4">
              <w:rPr>
                <w:rFonts w:ascii="Lato" w:hAnsi="Lato"/>
                <w:color w:val="000000" w:themeColor="text1"/>
                <w:szCs w:val="22"/>
                <w:lang w:val="en-US" w:eastAsia="en-US"/>
              </w:rPr>
              <w:t>Acyduria</w:t>
            </w:r>
            <w:proofErr w:type="spellEnd"/>
            <w:r w:rsidRPr="00AA22C4">
              <w:rPr>
                <w:rFonts w:ascii="Lato" w:hAnsi="Lato"/>
                <w:color w:val="000000" w:themeColor="text1"/>
                <w:szCs w:val="22"/>
                <w:lang w:val="en-US" w:eastAsia="en-US"/>
              </w:rPr>
              <w:t xml:space="preserve"> </w:t>
            </w:r>
            <w:proofErr w:type="spellStart"/>
            <w:r w:rsidRPr="00AA22C4">
              <w:rPr>
                <w:rFonts w:ascii="Lato" w:hAnsi="Lato"/>
                <w:color w:val="000000" w:themeColor="text1"/>
                <w:szCs w:val="22"/>
                <w:lang w:val="en-US" w:eastAsia="en-US"/>
              </w:rPr>
              <w:t>metylomalonowa</w:t>
            </w:r>
            <w:proofErr w:type="spellEnd"/>
          </w:p>
        </w:tc>
        <w:tc>
          <w:tcPr>
            <w:tcW w:w="1141" w:type="dxa"/>
            <w:shd w:val="clear" w:color="auto" w:fill="auto"/>
            <w:vAlign w:val="center"/>
          </w:tcPr>
          <w:p w14:paraId="219C8AEB"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MMA</w:t>
            </w:r>
          </w:p>
        </w:tc>
        <w:tc>
          <w:tcPr>
            <w:tcW w:w="1409" w:type="dxa"/>
            <w:shd w:val="clear" w:color="auto" w:fill="auto"/>
            <w:vAlign w:val="center"/>
          </w:tcPr>
          <w:p w14:paraId="0D8A0B0D"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131" w:type="dxa"/>
            <w:shd w:val="clear" w:color="auto" w:fill="auto"/>
            <w:vAlign w:val="center"/>
          </w:tcPr>
          <w:p w14:paraId="03D6B59D"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301" w:type="dxa"/>
            <w:shd w:val="clear" w:color="auto" w:fill="auto"/>
            <w:vAlign w:val="center"/>
          </w:tcPr>
          <w:p w14:paraId="5F01EAE0"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960" w:type="dxa"/>
            <w:shd w:val="clear" w:color="auto" w:fill="auto"/>
            <w:vAlign w:val="center"/>
          </w:tcPr>
          <w:p w14:paraId="679C7EF8"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r>
      <w:tr w:rsidR="00B3776C" w:rsidRPr="00B3776C" w14:paraId="289DFD63" w14:textId="77777777" w:rsidTr="0015358E">
        <w:trPr>
          <w:trHeight w:val="230"/>
        </w:trPr>
        <w:tc>
          <w:tcPr>
            <w:tcW w:w="562" w:type="dxa"/>
            <w:shd w:val="clear" w:color="auto" w:fill="auto"/>
            <w:vAlign w:val="center"/>
          </w:tcPr>
          <w:p w14:paraId="5280F025"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27</w:t>
            </w:r>
          </w:p>
        </w:tc>
        <w:tc>
          <w:tcPr>
            <w:tcW w:w="2970" w:type="dxa"/>
            <w:shd w:val="clear" w:color="auto" w:fill="auto"/>
            <w:vAlign w:val="center"/>
          </w:tcPr>
          <w:p w14:paraId="378995E1" w14:textId="77777777" w:rsidR="00B1261D" w:rsidRPr="00AA22C4" w:rsidRDefault="00B1261D" w:rsidP="0015358E">
            <w:pPr>
              <w:pStyle w:val="Tekstprzypisudolnego"/>
              <w:spacing w:before="120" w:after="120"/>
              <w:contextualSpacing/>
              <w:rPr>
                <w:rFonts w:ascii="Lato" w:hAnsi="Lato"/>
                <w:color w:val="000000" w:themeColor="text1"/>
                <w:szCs w:val="22"/>
                <w:lang w:val="en-US" w:eastAsia="en-US"/>
              </w:rPr>
            </w:pPr>
            <w:proofErr w:type="spellStart"/>
            <w:r w:rsidRPr="00AA22C4">
              <w:rPr>
                <w:rFonts w:ascii="Lato" w:hAnsi="Lato"/>
                <w:color w:val="000000" w:themeColor="text1"/>
                <w:szCs w:val="22"/>
                <w:lang w:val="en-US" w:eastAsia="en-US"/>
              </w:rPr>
              <w:t>Acyduria</w:t>
            </w:r>
            <w:proofErr w:type="spellEnd"/>
            <w:r w:rsidRPr="00AA22C4">
              <w:rPr>
                <w:rFonts w:ascii="Lato" w:hAnsi="Lato"/>
                <w:color w:val="000000" w:themeColor="text1"/>
                <w:szCs w:val="22"/>
                <w:lang w:val="en-US" w:eastAsia="en-US"/>
              </w:rPr>
              <w:t xml:space="preserve"> </w:t>
            </w:r>
            <w:proofErr w:type="spellStart"/>
            <w:r w:rsidRPr="00AA22C4">
              <w:rPr>
                <w:rFonts w:ascii="Lato" w:hAnsi="Lato"/>
                <w:color w:val="000000" w:themeColor="text1"/>
                <w:szCs w:val="22"/>
                <w:lang w:val="en-US" w:eastAsia="en-US"/>
              </w:rPr>
              <w:t>izowalerianowa</w:t>
            </w:r>
            <w:proofErr w:type="spellEnd"/>
          </w:p>
        </w:tc>
        <w:tc>
          <w:tcPr>
            <w:tcW w:w="1141" w:type="dxa"/>
            <w:shd w:val="clear" w:color="auto" w:fill="auto"/>
            <w:vAlign w:val="center"/>
          </w:tcPr>
          <w:p w14:paraId="3447BBCB"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IVA</w:t>
            </w:r>
          </w:p>
        </w:tc>
        <w:tc>
          <w:tcPr>
            <w:tcW w:w="1409" w:type="dxa"/>
            <w:shd w:val="clear" w:color="auto" w:fill="auto"/>
            <w:vAlign w:val="center"/>
          </w:tcPr>
          <w:p w14:paraId="3EFC3988"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131" w:type="dxa"/>
            <w:shd w:val="clear" w:color="auto" w:fill="auto"/>
            <w:vAlign w:val="center"/>
          </w:tcPr>
          <w:p w14:paraId="6D37E7A0"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301" w:type="dxa"/>
            <w:shd w:val="clear" w:color="auto" w:fill="auto"/>
            <w:vAlign w:val="center"/>
          </w:tcPr>
          <w:p w14:paraId="14BDE16F"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960" w:type="dxa"/>
            <w:shd w:val="clear" w:color="auto" w:fill="auto"/>
            <w:vAlign w:val="center"/>
          </w:tcPr>
          <w:p w14:paraId="537E1FFD"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r>
      <w:tr w:rsidR="00B3776C" w:rsidRPr="00B3776C" w14:paraId="0282DA10" w14:textId="77777777" w:rsidTr="0015358E">
        <w:trPr>
          <w:trHeight w:val="230"/>
        </w:trPr>
        <w:tc>
          <w:tcPr>
            <w:tcW w:w="562" w:type="dxa"/>
            <w:shd w:val="clear" w:color="auto" w:fill="auto"/>
            <w:vAlign w:val="center"/>
          </w:tcPr>
          <w:p w14:paraId="500E7596"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28</w:t>
            </w:r>
          </w:p>
        </w:tc>
        <w:tc>
          <w:tcPr>
            <w:tcW w:w="2970" w:type="dxa"/>
            <w:shd w:val="clear" w:color="auto" w:fill="auto"/>
            <w:vAlign w:val="center"/>
          </w:tcPr>
          <w:p w14:paraId="55C1E54A" w14:textId="77777777" w:rsidR="00B1261D" w:rsidRPr="00AA22C4" w:rsidRDefault="00B1261D" w:rsidP="0015358E">
            <w:pPr>
              <w:pStyle w:val="Tekstprzypisudolnego"/>
              <w:spacing w:before="120" w:after="120"/>
              <w:contextualSpacing/>
              <w:rPr>
                <w:rFonts w:ascii="Lato" w:hAnsi="Lato"/>
                <w:color w:val="000000" w:themeColor="text1"/>
                <w:szCs w:val="22"/>
                <w:lang w:val="en-US" w:eastAsia="en-US"/>
              </w:rPr>
            </w:pPr>
            <w:r w:rsidRPr="00AA22C4">
              <w:rPr>
                <w:rFonts w:ascii="Lato" w:hAnsi="Lato"/>
                <w:color w:val="000000" w:themeColor="text1"/>
                <w:szCs w:val="22"/>
                <w:lang w:val="en-US" w:eastAsia="en-US"/>
              </w:rPr>
              <w:t>3-metylokrotonyloglicynuria</w:t>
            </w:r>
          </w:p>
        </w:tc>
        <w:tc>
          <w:tcPr>
            <w:tcW w:w="1141" w:type="dxa"/>
            <w:shd w:val="clear" w:color="auto" w:fill="auto"/>
            <w:vAlign w:val="center"/>
          </w:tcPr>
          <w:p w14:paraId="0A863402"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MCC</w:t>
            </w:r>
          </w:p>
        </w:tc>
        <w:tc>
          <w:tcPr>
            <w:tcW w:w="1409" w:type="dxa"/>
            <w:shd w:val="clear" w:color="auto" w:fill="auto"/>
            <w:vAlign w:val="center"/>
          </w:tcPr>
          <w:p w14:paraId="5985E852"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1131" w:type="dxa"/>
            <w:shd w:val="clear" w:color="auto" w:fill="auto"/>
            <w:vAlign w:val="center"/>
          </w:tcPr>
          <w:p w14:paraId="012E8974"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301" w:type="dxa"/>
            <w:shd w:val="clear" w:color="auto" w:fill="auto"/>
            <w:vAlign w:val="center"/>
          </w:tcPr>
          <w:p w14:paraId="715BDDB0"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960" w:type="dxa"/>
            <w:shd w:val="clear" w:color="auto" w:fill="auto"/>
            <w:vAlign w:val="center"/>
          </w:tcPr>
          <w:p w14:paraId="6C548BC4"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r>
      <w:tr w:rsidR="00B3776C" w:rsidRPr="00B3776C" w14:paraId="3FCD2012" w14:textId="77777777" w:rsidTr="0015358E">
        <w:trPr>
          <w:trHeight w:val="230"/>
        </w:trPr>
        <w:tc>
          <w:tcPr>
            <w:tcW w:w="562" w:type="dxa"/>
            <w:shd w:val="clear" w:color="auto" w:fill="auto"/>
            <w:vAlign w:val="center"/>
          </w:tcPr>
          <w:p w14:paraId="70F45507"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29</w:t>
            </w:r>
          </w:p>
        </w:tc>
        <w:tc>
          <w:tcPr>
            <w:tcW w:w="2970" w:type="dxa"/>
            <w:shd w:val="clear" w:color="auto" w:fill="auto"/>
            <w:vAlign w:val="center"/>
          </w:tcPr>
          <w:p w14:paraId="686ED6BE" w14:textId="77777777" w:rsidR="00B1261D" w:rsidRPr="00AA22C4" w:rsidRDefault="00B1261D" w:rsidP="0015358E">
            <w:pPr>
              <w:pStyle w:val="Tekstprzypisudolnego"/>
              <w:spacing w:before="120" w:after="120"/>
              <w:contextualSpacing/>
              <w:rPr>
                <w:rFonts w:ascii="Lato" w:hAnsi="Lato"/>
                <w:color w:val="000000" w:themeColor="text1"/>
                <w:szCs w:val="22"/>
                <w:lang w:val="en-US" w:eastAsia="en-US"/>
              </w:rPr>
            </w:pPr>
            <w:proofErr w:type="spellStart"/>
            <w:r w:rsidRPr="00AA22C4">
              <w:rPr>
                <w:rFonts w:ascii="Lato" w:hAnsi="Lato"/>
                <w:color w:val="000000" w:themeColor="text1"/>
                <w:szCs w:val="22"/>
                <w:lang w:val="en-US" w:eastAsia="en-US"/>
              </w:rPr>
              <w:t>Deficyt</w:t>
            </w:r>
            <w:proofErr w:type="spellEnd"/>
            <w:r w:rsidRPr="00AA22C4">
              <w:rPr>
                <w:rFonts w:ascii="Lato" w:hAnsi="Lato"/>
                <w:color w:val="000000" w:themeColor="text1"/>
                <w:szCs w:val="22"/>
                <w:lang w:val="en-US" w:eastAsia="en-US"/>
              </w:rPr>
              <w:t xml:space="preserve"> </w:t>
            </w:r>
            <w:proofErr w:type="spellStart"/>
            <w:r w:rsidRPr="00AA22C4">
              <w:rPr>
                <w:rFonts w:ascii="Lato" w:hAnsi="Lato"/>
                <w:color w:val="000000" w:themeColor="text1"/>
                <w:szCs w:val="22"/>
                <w:lang w:val="en-US" w:eastAsia="en-US"/>
              </w:rPr>
              <w:t>wielu</w:t>
            </w:r>
            <w:proofErr w:type="spellEnd"/>
            <w:r w:rsidRPr="00AA22C4">
              <w:rPr>
                <w:rFonts w:ascii="Lato" w:hAnsi="Lato"/>
                <w:color w:val="000000" w:themeColor="text1"/>
                <w:szCs w:val="22"/>
                <w:lang w:val="en-US" w:eastAsia="en-US"/>
              </w:rPr>
              <w:t xml:space="preserve"> </w:t>
            </w:r>
            <w:proofErr w:type="spellStart"/>
            <w:r w:rsidRPr="00AA22C4">
              <w:rPr>
                <w:rFonts w:ascii="Lato" w:hAnsi="Lato"/>
                <w:color w:val="000000" w:themeColor="text1"/>
                <w:szCs w:val="22"/>
                <w:lang w:val="en-US" w:eastAsia="en-US"/>
              </w:rPr>
              <w:t>karboksylaz</w:t>
            </w:r>
            <w:proofErr w:type="spellEnd"/>
          </w:p>
        </w:tc>
        <w:tc>
          <w:tcPr>
            <w:tcW w:w="1141" w:type="dxa"/>
            <w:shd w:val="clear" w:color="auto" w:fill="auto"/>
            <w:vAlign w:val="center"/>
          </w:tcPr>
          <w:p w14:paraId="7F3128D6"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MCD</w:t>
            </w:r>
          </w:p>
        </w:tc>
        <w:tc>
          <w:tcPr>
            <w:tcW w:w="1409" w:type="dxa"/>
            <w:shd w:val="clear" w:color="auto" w:fill="auto"/>
            <w:vAlign w:val="center"/>
          </w:tcPr>
          <w:p w14:paraId="1BF89693"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1131" w:type="dxa"/>
            <w:shd w:val="clear" w:color="auto" w:fill="auto"/>
            <w:vAlign w:val="center"/>
          </w:tcPr>
          <w:p w14:paraId="2AB5508F"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301" w:type="dxa"/>
            <w:shd w:val="clear" w:color="auto" w:fill="auto"/>
            <w:vAlign w:val="center"/>
          </w:tcPr>
          <w:p w14:paraId="08E0388C"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960" w:type="dxa"/>
            <w:shd w:val="clear" w:color="auto" w:fill="auto"/>
            <w:vAlign w:val="center"/>
          </w:tcPr>
          <w:p w14:paraId="1CE607FC"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r>
      <w:tr w:rsidR="00B3776C" w:rsidRPr="00B3776C" w14:paraId="1F480F21" w14:textId="77777777" w:rsidTr="0015358E">
        <w:trPr>
          <w:trHeight w:val="230"/>
        </w:trPr>
        <w:tc>
          <w:tcPr>
            <w:tcW w:w="562" w:type="dxa"/>
            <w:shd w:val="clear" w:color="auto" w:fill="auto"/>
            <w:vAlign w:val="center"/>
          </w:tcPr>
          <w:p w14:paraId="3B541DFE"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30</w:t>
            </w:r>
          </w:p>
        </w:tc>
        <w:tc>
          <w:tcPr>
            <w:tcW w:w="2970" w:type="dxa"/>
            <w:shd w:val="clear" w:color="auto" w:fill="auto"/>
            <w:vAlign w:val="center"/>
          </w:tcPr>
          <w:p w14:paraId="250F6FBE" w14:textId="77777777" w:rsidR="00B1261D" w:rsidRPr="00AA22C4" w:rsidRDefault="00B1261D" w:rsidP="0015358E">
            <w:pPr>
              <w:pStyle w:val="Tekstprzypisudolnego"/>
              <w:spacing w:before="120" w:after="120"/>
              <w:contextualSpacing/>
              <w:rPr>
                <w:rFonts w:ascii="Lato" w:hAnsi="Lato"/>
                <w:color w:val="000000" w:themeColor="text1"/>
                <w:szCs w:val="22"/>
                <w:lang w:eastAsia="en-US"/>
              </w:rPr>
            </w:pPr>
            <w:r w:rsidRPr="00AA22C4">
              <w:rPr>
                <w:rFonts w:ascii="Lato" w:hAnsi="Lato"/>
                <w:color w:val="000000" w:themeColor="text1"/>
                <w:szCs w:val="22"/>
                <w:lang w:eastAsia="en-US"/>
              </w:rPr>
              <w:t>Deficyt liazy 3-hydroksy-3-metyloglutarylo-CoA</w:t>
            </w:r>
          </w:p>
        </w:tc>
        <w:tc>
          <w:tcPr>
            <w:tcW w:w="1141" w:type="dxa"/>
            <w:shd w:val="clear" w:color="auto" w:fill="auto"/>
            <w:vAlign w:val="center"/>
          </w:tcPr>
          <w:p w14:paraId="5C3E9706"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HMGA</w:t>
            </w:r>
          </w:p>
        </w:tc>
        <w:tc>
          <w:tcPr>
            <w:tcW w:w="1409" w:type="dxa"/>
            <w:shd w:val="clear" w:color="auto" w:fill="auto"/>
            <w:vAlign w:val="center"/>
          </w:tcPr>
          <w:p w14:paraId="6834BA90"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131" w:type="dxa"/>
            <w:shd w:val="clear" w:color="auto" w:fill="auto"/>
            <w:vAlign w:val="center"/>
          </w:tcPr>
          <w:p w14:paraId="49E60A0B"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c>
          <w:tcPr>
            <w:tcW w:w="1301" w:type="dxa"/>
            <w:shd w:val="clear" w:color="auto" w:fill="auto"/>
            <w:vAlign w:val="center"/>
          </w:tcPr>
          <w:p w14:paraId="191C18C6"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p>
        </w:tc>
        <w:tc>
          <w:tcPr>
            <w:tcW w:w="960" w:type="dxa"/>
            <w:shd w:val="clear" w:color="auto" w:fill="auto"/>
            <w:vAlign w:val="center"/>
          </w:tcPr>
          <w:p w14:paraId="65EF100F" w14:textId="77777777" w:rsidR="00B1261D" w:rsidRPr="00AA22C4" w:rsidRDefault="00B1261D" w:rsidP="0015358E">
            <w:pPr>
              <w:pStyle w:val="Tekstprzypisudolnego"/>
              <w:spacing w:before="120" w:after="120"/>
              <w:contextualSpacing/>
              <w:jc w:val="center"/>
              <w:rPr>
                <w:rFonts w:ascii="Lato" w:hAnsi="Lato"/>
                <w:color w:val="000000" w:themeColor="text1"/>
                <w:szCs w:val="22"/>
                <w:lang w:eastAsia="en-US"/>
              </w:rPr>
            </w:pPr>
            <w:r w:rsidRPr="00AA22C4">
              <w:rPr>
                <w:rFonts w:ascii="Lato" w:hAnsi="Lato"/>
                <w:color w:val="000000" w:themeColor="text1"/>
                <w:szCs w:val="22"/>
                <w:lang w:eastAsia="en-US"/>
              </w:rPr>
              <w:t>X</w:t>
            </w:r>
          </w:p>
        </w:tc>
      </w:tr>
    </w:tbl>
    <w:p w14:paraId="2A792C3F"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p>
    <w:p w14:paraId="05A33CC4"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Szczegółowy plan monitorowania dla poszczególnych grup wrodzonych wad metabolizmu przedstawia tabela 6.</w:t>
      </w:r>
    </w:p>
    <w:p w14:paraId="625ED071" w14:textId="77777777" w:rsidR="005E347E" w:rsidRPr="00AA22C4" w:rsidRDefault="005E347E" w:rsidP="005E347E">
      <w:pPr>
        <w:pStyle w:val="Tekstprzypisudolnego"/>
        <w:spacing w:before="120" w:after="120"/>
        <w:contextualSpacing/>
        <w:jc w:val="both"/>
        <w:rPr>
          <w:rFonts w:ascii="Lato" w:hAnsi="Lato"/>
          <w:b/>
          <w:color w:val="000000" w:themeColor="text1"/>
          <w:sz w:val="22"/>
          <w:szCs w:val="22"/>
        </w:rPr>
      </w:pPr>
    </w:p>
    <w:p w14:paraId="6A6F6374" w14:textId="77777777" w:rsidR="005E347E" w:rsidRPr="00AA22C4" w:rsidRDefault="005E347E" w:rsidP="005E347E">
      <w:pPr>
        <w:pStyle w:val="Tekstprzypisudolnego"/>
        <w:spacing w:before="120" w:after="120"/>
        <w:contextualSpacing/>
        <w:jc w:val="both"/>
        <w:rPr>
          <w:rFonts w:ascii="Lato" w:hAnsi="Lato"/>
          <w:b/>
          <w:color w:val="000000" w:themeColor="text1"/>
          <w:sz w:val="22"/>
          <w:szCs w:val="22"/>
        </w:rPr>
      </w:pPr>
      <w:r w:rsidRPr="00AA22C4">
        <w:rPr>
          <w:rFonts w:ascii="Lato" w:hAnsi="Lato"/>
          <w:b/>
          <w:color w:val="000000" w:themeColor="text1"/>
          <w:sz w:val="22"/>
          <w:szCs w:val="22"/>
        </w:rPr>
        <w:t>Tab.6 Plan monitorowania leczenia długoterminowego (</w:t>
      </w:r>
      <w:proofErr w:type="spellStart"/>
      <w:r w:rsidRPr="00AA22C4">
        <w:rPr>
          <w:rFonts w:ascii="Lato" w:hAnsi="Lato"/>
          <w:b/>
          <w:i/>
          <w:color w:val="000000" w:themeColor="text1"/>
          <w:sz w:val="22"/>
          <w:szCs w:val="22"/>
        </w:rPr>
        <w:t>follow-up</w:t>
      </w:r>
      <w:proofErr w:type="spellEnd"/>
      <w:r w:rsidRPr="00AA22C4">
        <w:rPr>
          <w:rFonts w:ascii="Lato" w:hAnsi="Lato"/>
          <w:b/>
          <w:color w:val="000000" w:themeColor="text1"/>
          <w:sz w:val="22"/>
          <w:szCs w:val="22"/>
        </w:rPr>
        <w:t>) dla zaburzeń spalania tłuszczów i zaburzeń metabolizmu aminokwasów.</w:t>
      </w:r>
    </w:p>
    <w:p w14:paraId="4BF936D5" w14:textId="77777777" w:rsidR="00E163A0" w:rsidRPr="00AA22C4" w:rsidRDefault="00E163A0" w:rsidP="005E347E">
      <w:pPr>
        <w:pStyle w:val="Tekstprzypisudolnego"/>
        <w:spacing w:before="120" w:after="120"/>
        <w:contextualSpacing/>
        <w:jc w:val="both"/>
        <w:rPr>
          <w:rFonts w:ascii="Lato" w:hAnsi="Lato"/>
          <w:b/>
          <w:color w:val="000000" w:themeColor="text1"/>
          <w:sz w:val="22"/>
          <w:szCs w:val="22"/>
        </w:rPr>
      </w:pPr>
    </w:p>
    <w:tbl>
      <w:tblPr>
        <w:tblW w:w="8992"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966"/>
        <w:gridCol w:w="1378"/>
        <w:gridCol w:w="1363"/>
        <w:gridCol w:w="1450"/>
        <w:gridCol w:w="1418"/>
        <w:gridCol w:w="1417"/>
      </w:tblGrid>
      <w:tr w:rsidR="00B3776C" w:rsidRPr="00B3776C" w14:paraId="67163BDD" w14:textId="77777777" w:rsidTr="00775DDD">
        <w:trPr>
          <w:trHeight w:val="276"/>
        </w:trPr>
        <w:tc>
          <w:tcPr>
            <w:tcW w:w="1966" w:type="dxa"/>
            <w:vAlign w:val="center"/>
          </w:tcPr>
          <w:p w14:paraId="4E474244" w14:textId="77777777" w:rsidR="005E347E" w:rsidRPr="00AA22C4" w:rsidRDefault="005E347E" w:rsidP="00775DDD">
            <w:pPr>
              <w:pStyle w:val="Tekstprzypisudolnego"/>
              <w:spacing w:before="120" w:after="120"/>
              <w:contextualSpacing/>
              <w:jc w:val="center"/>
              <w:rPr>
                <w:rFonts w:ascii="Lato" w:hAnsi="Lato"/>
                <w:b/>
                <w:bCs/>
                <w:color w:val="000000" w:themeColor="text1"/>
                <w:sz w:val="22"/>
                <w:szCs w:val="22"/>
              </w:rPr>
            </w:pPr>
            <w:r w:rsidRPr="00AA22C4">
              <w:rPr>
                <w:rFonts w:ascii="Lato" w:hAnsi="Lato"/>
                <w:b/>
                <w:bCs/>
                <w:color w:val="000000" w:themeColor="text1"/>
                <w:sz w:val="22"/>
                <w:szCs w:val="22"/>
              </w:rPr>
              <w:t>Badania laboratoryjne</w:t>
            </w:r>
          </w:p>
        </w:tc>
        <w:tc>
          <w:tcPr>
            <w:tcW w:w="2741" w:type="dxa"/>
            <w:gridSpan w:val="2"/>
            <w:vAlign w:val="center"/>
          </w:tcPr>
          <w:p w14:paraId="1EC5FE7A" w14:textId="77777777" w:rsidR="005E347E" w:rsidRPr="00AA22C4" w:rsidRDefault="005E347E" w:rsidP="00775DDD">
            <w:pPr>
              <w:pStyle w:val="Tekstprzypisudolnego"/>
              <w:spacing w:before="120" w:after="120"/>
              <w:contextualSpacing/>
              <w:jc w:val="center"/>
              <w:rPr>
                <w:rFonts w:ascii="Lato" w:hAnsi="Lato"/>
                <w:b/>
                <w:bCs/>
                <w:color w:val="000000" w:themeColor="text1"/>
                <w:sz w:val="22"/>
                <w:szCs w:val="22"/>
              </w:rPr>
            </w:pPr>
            <w:r w:rsidRPr="00AA22C4">
              <w:rPr>
                <w:rFonts w:ascii="Lato" w:hAnsi="Lato"/>
                <w:b/>
                <w:bCs/>
                <w:color w:val="000000" w:themeColor="text1"/>
                <w:sz w:val="22"/>
                <w:szCs w:val="22"/>
              </w:rPr>
              <w:t>Zaburzenia spalania kwasów tłuszczowych</w:t>
            </w:r>
          </w:p>
        </w:tc>
        <w:tc>
          <w:tcPr>
            <w:tcW w:w="4285" w:type="dxa"/>
            <w:gridSpan w:val="3"/>
            <w:vAlign w:val="center"/>
          </w:tcPr>
          <w:p w14:paraId="2CC044A5" w14:textId="77777777" w:rsidR="005E347E" w:rsidRPr="00AA22C4" w:rsidRDefault="005E347E" w:rsidP="00775DDD">
            <w:pPr>
              <w:pStyle w:val="Tekstprzypisudolnego"/>
              <w:spacing w:before="120" w:after="120"/>
              <w:contextualSpacing/>
              <w:jc w:val="center"/>
              <w:rPr>
                <w:rFonts w:ascii="Lato" w:hAnsi="Lato"/>
                <w:b/>
                <w:bCs/>
                <w:color w:val="000000" w:themeColor="text1"/>
                <w:sz w:val="22"/>
                <w:szCs w:val="22"/>
              </w:rPr>
            </w:pPr>
            <w:r w:rsidRPr="00AA22C4">
              <w:rPr>
                <w:rFonts w:ascii="Lato" w:hAnsi="Lato"/>
                <w:b/>
                <w:bCs/>
                <w:color w:val="000000" w:themeColor="text1"/>
                <w:sz w:val="22"/>
                <w:szCs w:val="22"/>
              </w:rPr>
              <w:t>Zaburzenia metabolizmu aminokwasów</w:t>
            </w:r>
          </w:p>
        </w:tc>
      </w:tr>
      <w:tr w:rsidR="00B3776C" w:rsidRPr="00B3776C" w14:paraId="75F8770B" w14:textId="77777777" w:rsidTr="00775DDD">
        <w:trPr>
          <w:trHeight w:val="230"/>
        </w:trPr>
        <w:tc>
          <w:tcPr>
            <w:tcW w:w="1966" w:type="dxa"/>
            <w:vAlign w:val="center"/>
          </w:tcPr>
          <w:p w14:paraId="5B0389E4" w14:textId="77777777" w:rsidR="005E347E" w:rsidRPr="00AA22C4" w:rsidRDefault="005E347E" w:rsidP="00775DDD">
            <w:pPr>
              <w:pStyle w:val="Tekstprzypisudolnego"/>
              <w:spacing w:before="120" w:after="120"/>
              <w:contextualSpacing/>
              <w:jc w:val="center"/>
              <w:rPr>
                <w:rFonts w:ascii="Lato" w:hAnsi="Lato"/>
                <w:b/>
                <w:bCs/>
                <w:color w:val="000000" w:themeColor="text1"/>
                <w:sz w:val="22"/>
                <w:szCs w:val="22"/>
              </w:rPr>
            </w:pPr>
          </w:p>
        </w:tc>
        <w:tc>
          <w:tcPr>
            <w:tcW w:w="1378" w:type="dxa"/>
            <w:vAlign w:val="center"/>
          </w:tcPr>
          <w:p w14:paraId="31CDCC4A" w14:textId="797D2D85" w:rsidR="005E347E" w:rsidRPr="00AA22C4" w:rsidRDefault="005E347E" w:rsidP="00775DDD">
            <w:pPr>
              <w:pStyle w:val="Tekstprzypisudolnego"/>
              <w:spacing w:before="120" w:after="120" w:line="240" w:lineRule="auto"/>
              <w:contextualSpacing/>
              <w:jc w:val="center"/>
              <w:rPr>
                <w:rFonts w:ascii="Lato" w:hAnsi="Lato"/>
                <w:color w:val="000000" w:themeColor="text1"/>
                <w:sz w:val="22"/>
                <w:szCs w:val="22"/>
              </w:rPr>
            </w:pPr>
            <w:r w:rsidRPr="00AA22C4">
              <w:rPr>
                <w:rFonts w:ascii="Lato" w:hAnsi="Lato"/>
                <w:color w:val="000000" w:themeColor="text1"/>
                <w:sz w:val="22"/>
                <w:szCs w:val="22"/>
              </w:rPr>
              <w:t xml:space="preserve">W 1 </w:t>
            </w:r>
            <w:r w:rsidR="006C3E4C" w:rsidRPr="00AA22C4">
              <w:rPr>
                <w:rFonts w:ascii="Lato" w:hAnsi="Lato"/>
                <w:color w:val="000000" w:themeColor="text1"/>
                <w:sz w:val="22"/>
                <w:szCs w:val="22"/>
              </w:rPr>
              <w:t>r.ż</w:t>
            </w:r>
            <w:r w:rsidR="006C3E4C" w:rsidRPr="00AA22C4">
              <w:rPr>
                <w:rFonts w:ascii="Segoe UI Symbol" w:eastAsia="Times New Roman" w:hAnsi="Segoe UI Symbol" w:hint="eastAsia"/>
                <w:color w:val="000000" w:themeColor="text1"/>
                <w:sz w:val="22"/>
                <w:szCs w:val="22"/>
                <w:lang w:eastAsia="ko-KR"/>
              </w:rPr>
              <w:t>.</w:t>
            </w:r>
          </w:p>
          <w:p w14:paraId="3F231244" w14:textId="77777777" w:rsidR="005E347E" w:rsidRPr="00AA22C4" w:rsidRDefault="005E347E" w:rsidP="00775DDD">
            <w:pPr>
              <w:pStyle w:val="Tekstprzypisudolnego"/>
              <w:spacing w:before="120" w:after="120" w:line="240" w:lineRule="auto"/>
              <w:contextualSpacing/>
              <w:jc w:val="center"/>
              <w:rPr>
                <w:rFonts w:ascii="Lato" w:hAnsi="Lato"/>
                <w:color w:val="000000" w:themeColor="text1"/>
                <w:sz w:val="22"/>
                <w:szCs w:val="22"/>
              </w:rPr>
            </w:pPr>
            <w:r w:rsidRPr="00AA22C4">
              <w:rPr>
                <w:rFonts w:ascii="Lato" w:hAnsi="Lato"/>
                <w:color w:val="000000" w:themeColor="text1"/>
                <w:sz w:val="22"/>
                <w:szCs w:val="22"/>
              </w:rPr>
              <w:t>1 - 2 x</w:t>
            </w:r>
          </w:p>
          <w:p w14:paraId="3F809D4F" w14:textId="77777777" w:rsidR="005E347E" w:rsidRPr="00AA22C4" w:rsidRDefault="005E347E" w:rsidP="00775DDD">
            <w:pPr>
              <w:pStyle w:val="Tekstprzypisudolnego"/>
              <w:spacing w:before="120" w:after="120" w:line="240" w:lineRule="auto"/>
              <w:contextualSpacing/>
              <w:jc w:val="center"/>
              <w:rPr>
                <w:rFonts w:ascii="Lato" w:hAnsi="Lato"/>
                <w:color w:val="000000" w:themeColor="text1"/>
                <w:sz w:val="22"/>
                <w:szCs w:val="22"/>
              </w:rPr>
            </w:pPr>
            <w:r w:rsidRPr="00AA22C4">
              <w:rPr>
                <w:rFonts w:ascii="Lato" w:hAnsi="Lato"/>
                <w:color w:val="000000" w:themeColor="text1"/>
                <w:sz w:val="22"/>
                <w:szCs w:val="22"/>
              </w:rPr>
              <w:t>w miesiącu*</w:t>
            </w:r>
          </w:p>
        </w:tc>
        <w:tc>
          <w:tcPr>
            <w:tcW w:w="1363" w:type="dxa"/>
            <w:vAlign w:val="center"/>
          </w:tcPr>
          <w:p w14:paraId="441FBB09" w14:textId="52483A7B" w:rsidR="005E347E" w:rsidRPr="00AA22C4" w:rsidRDefault="005E347E" w:rsidP="00775DDD">
            <w:pPr>
              <w:pStyle w:val="Tekstprzypisudolnego"/>
              <w:spacing w:before="120" w:after="120" w:line="240" w:lineRule="auto"/>
              <w:contextualSpacing/>
              <w:jc w:val="center"/>
              <w:rPr>
                <w:rFonts w:ascii="Lato" w:hAnsi="Lato"/>
                <w:color w:val="000000" w:themeColor="text1"/>
                <w:sz w:val="22"/>
                <w:szCs w:val="22"/>
              </w:rPr>
            </w:pPr>
            <w:r w:rsidRPr="00AA22C4">
              <w:rPr>
                <w:rFonts w:ascii="Lato" w:hAnsi="Lato"/>
                <w:color w:val="000000" w:themeColor="text1"/>
                <w:sz w:val="22"/>
                <w:szCs w:val="22"/>
              </w:rPr>
              <w:t xml:space="preserve">Po 1 </w:t>
            </w:r>
            <w:r w:rsidR="006C3E4C" w:rsidRPr="00AA22C4">
              <w:rPr>
                <w:rFonts w:ascii="Lato" w:hAnsi="Lato"/>
                <w:color w:val="000000" w:themeColor="text1"/>
                <w:sz w:val="22"/>
                <w:szCs w:val="22"/>
              </w:rPr>
              <w:t>r.ż.</w:t>
            </w:r>
          </w:p>
          <w:p w14:paraId="10573239" w14:textId="77777777" w:rsidR="005E347E" w:rsidRPr="00AA22C4" w:rsidRDefault="005E347E" w:rsidP="00775DDD">
            <w:pPr>
              <w:pStyle w:val="Tekstprzypisudolnego"/>
              <w:spacing w:before="120" w:after="120" w:line="240" w:lineRule="auto"/>
              <w:contextualSpacing/>
              <w:jc w:val="center"/>
              <w:rPr>
                <w:rFonts w:ascii="Lato" w:hAnsi="Lato"/>
                <w:color w:val="000000" w:themeColor="text1"/>
                <w:sz w:val="22"/>
                <w:szCs w:val="22"/>
              </w:rPr>
            </w:pPr>
            <w:r w:rsidRPr="00AA22C4">
              <w:rPr>
                <w:rFonts w:ascii="Lato" w:hAnsi="Lato"/>
                <w:color w:val="000000" w:themeColor="text1"/>
                <w:sz w:val="22"/>
                <w:szCs w:val="22"/>
              </w:rPr>
              <w:t>1 x na 3 m-ce</w:t>
            </w:r>
          </w:p>
        </w:tc>
        <w:tc>
          <w:tcPr>
            <w:tcW w:w="1450" w:type="dxa"/>
            <w:vAlign w:val="center"/>
          </w:tcPr>
          <w:p w14:paraId="7C2E6209" w14:textId="37F86191" w:rsidR="005E347E" w:rsidRPr="00AA22C4" w:rsidRDefault="005E347E" w:rsidP="00775DDD">
            <w:pPr>
              <w:pStyle w:val="Tekstprzypisudolnego"/>
              <w:spacing w:before="120" w:after="120" w:line="240" w:lineRule="auto"/>
              <w:contextualSpacing/>
              <w:jc w:val="center"/>
              <w:rPr>
                <w:rFonts w:ascii="Lato" w:hAnsi="Lato"/>
                <w:color w:val="000000" w:themeColor="text1"/>
                <w:sz w:val="22"/>
                <w:szCs w:val="22"/>
              </w:rPr>
            </w:pPr>
            <w:r w:rsidRPr="00AA22C4">
              <w:rPr>
                <w:rFonts w:ascii="Lato" w:hAnsi="Lato"/>
                <w:color w:val="000000" w:themeColor="text1"/>
                <w:sz w:val="22"/>
                <w:szCs w:val="22"/>
              </w:rPr>
              <w:t xml:space="preserve">W 1 </w:t>
            </w:r>
            <w:r w:rsidR="006C3E4C" w:rsidRPr="00AA22C4">
              <w:rPr>
                <w:rFonts w:ascii="Lato" w:hAnsi="Lato"/>
                <w:color w:val="000000" w:themeColor="text1"/>
                <w:sz w:val="22"/>
                <w:szCs w:val="22"/>
              </w:rPr>
              <w:t>r.ż.</w:t>
            </w:r>
          </w:p>
          <w:p w14:paraId="1A73EF5A" w14:textId="77777777" w:rsidR="005E347E" w:rsidRPr="00AA22C4" w:rsidRDefault="005E347E" w:rsidP="00775DDD">
            <w:pPr>
              <w:pStyle w:val="Tekstprzypisudolnego"/>
              <w:spacing w:before="120" w:after="120" w:line="240" w:lineRule="auto"/>
              <w:contextualSpacing/>
              <w:jc w:val="center"/>
              <w:rPr>
                <w:rFonts w:ascii="Lato" w:hAnsi="Lato"/>
                <w:color w:val="000000" w:themeColor="text1"/>
                <w:sz w:val="22"/>
                <w:szCs w:val="22"/>
              </w:rPr>
            </w:pPr>
            <w:r w:rsidRPr="00AA22C4">
              <w:rPr>
                <w:rFonts w:ascii="Lato" w:hAnsi="Lato"/>
                <w:color w:val="000000" w:themeColor="text1"/>
                <w:sz w:val="22"/>
                <w:szCs w:val="22"/>
              </w:rPr>
              <w:t>1 - 2 x</w:t>
            </w:r>
          </w:p>
          <w:p w14:paraId="6CB221BD" w14:textId="77777777" w:rsidR="005E347E" w:rsidRPr="00AA22C4" w:rsidRDefault="005E347E" w:rsidP="00775DDD">
            <w:pPr>
              <w:pStyle w:val="Tekstprzypisudolnego"/>
              <w:spacing w:before="120" w:after="120" w:line="240" w:lineRule="auto"/>
              <w:contextualSpacing/>
              <w:jc w:val="center"/>
              <w:rPr>
                <w:rFonts w:ascii="Lato" w:hAnsi="Lato"/>
                <w:color w:val="000000" w:themeColor="text1"/>
                <w:sz w:val="22"/>
                <w:szCs w:val="22"/>
              </w:rPr>
            </w:pPr>
            <w:r w:rsidRPr="00AA22C4">
              <w:rPr>
                <w:rFonts w:ascii="Lato" w:hAnsi="Lato"/>
                <w:color w:val="000000" w:themeColor="text1"/>
                <w:sz w:val="22"/>
                <w:szCs w:val="22"/>
              </w:rPr>
              <w:t>w miesiącu*</w:t>
            </w:r>
          </w:p>
        </w:tc>
        <w:tc>
          <w:tcPr>
            <w:tcW w:w="1418" w:type="dxa"/>
            <w:vAlign w:val="center"/>
          </w:tcPr>
          <w:p w14:paraId="08C54BE5" w14:textId="4EC3CC32" w:rsidR="005E347E" w:rsidRPr="00AA22C4" w:rsidRDefault="005E347E" w:rsidP="00775DDD">
            <w:pPr>
              <w:pStyle w:val="Tekstprzypisudolnego"/>
              <w:spacing w:before="120" w:after="120" w:line="240" w:lineRule="auto"/>
              <w:contextualSpacing/>
              <w:jc w:val="center"/>
              <w:rPr>
                <w:rFonts w:ascii="Lato" w:hAnsi="Lato"/>
                <w:color w:val="000000" w:themeColor="text1"/>
                <w:sz w:val="22"/>
                <w:szCs w:val="22"/>
              </w:rPr>
            </w:pPr>
            <w:r w:rsidRPr="00AA22C4">
              <w:rPr>
                <w:rFonts w:ascii="Lato" w:hAnsi="Lato"/>
                <w:color w:val="000000" w:themeColor="text1"/>
                <w:sz w:val="22"/>
                <w:szCs w:val="22"/>
              </w:rPr>
              <w:t xml:space="preserve">W 2-3 </w:t>
            </w:r>
            <w:proofErr w:type="spellStart"/>
            <w:r w:rsidR="006C3E4C" w:rsidRPr="00AA22C4">
              <w:rPr>
                <w:rFonts w:ascii="Lato" w:hAnsi="Lato"/>
                <w:color w:val="000000" w:themeColor="text1"/>
                <w:sz w:val="22"/>
                <w:szCs w:val="22"/>
              </w:rPr>
              <w:t>r.ż</w:t>
            </w:r>
            <w:proofErr w:type="spellEnd"/>
          </w:p>
          <w:p w14:paraId="13FD49F7" w14:textId="77777777" w:rsidR="005E347E" w:rsidRPr="00AA22C4" w:rsidRDefault="005E347E" w:rsidP="00775DDD">
            <w:pPr>
              <w:pStyle w:val="Tekstprzypisudolnego"/>
              <w:spacing w:before="120" w:after="120" w:line="240" w:lineRule="auto"/>
              <w:contextualSpacing/>
              <w:jc w:val="center"/>
              <w:rPr>
                <w:rFonts w:ascii="Lato" w:hAnsi="Lato"/>
                <w:color w:val="000000" w:themeColor="text1"/>
                <w:sz w:val="22"/>
                <w:szCs w:val="22"/>
              </w:rPr>
            </w:pPr>
            <w:r w:rsidRPr="00AA22C4">
              <w:rPr>
                <w:rFonts w:ascii="Lato" w:hAnsi="Lato"/>
                <w:color w:val="000000" w:themeColor="text1"/>
                <w:sz w:val="22"/>
                <w:szCs w:val="22"/>
              </w:rPr>
              <w:t>1 x na 3 m-ce</w:t>
            </w:r>
          </w:p>
        </w:tc>
        <w:tc>
          <w:tcPr>
            <w:tcW w:w="1417" w:type="dxa"/>
            <w:vAlign w:val="center"/>
          </w:tcPr>
          <w:p w14:paraId="770B3DED" w14:textId="487D6FCF" w:rsidR="005E347E" w:rsidRPr="00AA22C4" w:rsidRDefault="005E347E" w:rsidP="00775DDD">
            <w:pPr>
              <w:pStyle w:val="Tekstprzypisudolnego"/>
              <w:spacing w:before="120" w:after="120" w:line="240" w:lineRule="auto"/>
              <w:contextualSpacing/>
              <w:jc w:val="center"/>
              <w:rPr>
                <w:rFonts w:ascii="Lato" w:hAnsi="Lato"/>
                <w:color w:val="000000" w:themeColor="text1"/>
                <w:sz w:val="22"/>
                <w:szCs w:val="22"/>
              </w:rPr>
            </w:pPr>
            <w:r w:rsidRPr="00AA22C4">
              <w:rPr>
                <w:rFonts w:ascii="Lato" w:hAnsi="Lato"/>
                <w:color w:val="000000" w:themeColor="text1"/>
                <w:sz w:val="22"/>
                <w:szCs w:val="22"/>
              </w:rPr>
              <w:t xml:space="preserve">Po 3 </w:t>
            </w:r>
            <w:r w:rsidR="006C3E4C" w:rsidRPr="00AA22C4">
              <w:rPr>
                <w:rFonts w:ascii="Lato" w:hAnsi="Lato"/>
                <w:color w:val="000000" w:themeColor="text1"/>
                <w:sz w:val="22"/>
                <w:szCs w:val="22"/>
              </w:rPr>
              <w:t>r.ż.</w:t>
            </w:r>
          </w:p>
          <w:p w14:paraId="0553ABF5" w14:textId="77777777" w:rsidR="005E347E" w:rsidRPr="00AA22C4" w:rsidRDefault="005E347E" w:rsidP="00775DDD">
            <w:pPr>
              <w:pStyle w:val="Tekstprzypisudolnego"/>
              <w:spacing w:before="120" w:after="120" w:line="240" w:lineRule="auto"/>
              <w:contextualSpacing/>
              <w:jc w:val="center"/>
              <w:rPr>
                <w:rFonts w:ascii="Lato" w:hAnsi="Lato"/>
                <w:color w:val="000000" w:themeColor="text1"/>
                <w:sz w:val="22"/>
                <w:szCs w:val="22"/>
              </w:rPr>
            </w:pPr>
            <w:r w:rsidRPr="00AA22C4">
              <w:rPr>
                <w:rFonts w:ascii="Lato" w:hAnsi="Lato"/>
                <w:color w:val="000000" w:themeColor="text1"/>
                <w:sz w:val="22"/>
                <w:szCs w:val="22"/>
              </w:rPr>
              <w:t>1 x na 6m-cy</w:t>
            </w:r>
          </w:p>
        </w:tc>
      </w:tr>
      <w:tr w:rsidR="00B3776C" w:rsidRPr="00B3776C" w14:paraId="0FC8DED2" w14:textId="77777777" w:rsidTr="00775DDD">
        <w:trPr>
          <w:trHeight w:val="230"/>
        </w:trPr>
        <w:tc>
          <w:tcPr>
            <w:tcW w:w="1966" w:type="dxa"/>
            <w:vAlign w:val="center"/>
          </w:tcPr>
          <w:p w14:paraId="57FBE52B" w14:textId="77777777" w:rsidR="005E347E" w:rsidRPr="00AA22C4" w:rsidRDefault="005E347E" w:rsidP="00775DDD">
            <w:pPr>
              <w:pStyle w:val="Tekstprzypisudolnego"/>
              <w:spacing w:before="120" w:after="120"/>
              <w:contextualSpacing/>
              <w:jc w:val="center"/>
              <w:rPr>
                <w:rFonts w:ascii="Lato" w:hAnsi="Lato"/>
                <w:b/>
                <w:bCs/>
                <w:color w:val="000000" w:themeColor="text1"/>
                <w:sz w:val="22"/>
                <w:szCs w:val="22"/>
              </w:rPr>
            </w:pPr>
            <w:r w:rsidRPr="00AA22C4">
              <w:rPr>
                <w:rFonts w:ascii="Lato" w:hAnsi="Lato"/>
                <w:b/>
                <w:bCs/>
                <w:color w:val="000000" w:themeColor="text1"/>
                <w:sz w:val="22"/>
                <w:szCs w:val="22"/>
              </w:rPr>
              <w:t>GC/MS</w:t>
            </w:r>
          </w:p>
        </w:tc>
        <w:tc>
          <w:tcPr>
            <w:tcW w:w="1378" w:type="dxa"/>
            <w:vAlign w:val="center"/>
          </w:tcPr>
          <w:p w14:paraId="75938C58" w14:textId="77777777" w:rsidR="005E347E" w:rsidRPr="00AA22C4" w:rsidRDefault="005E347E" w:rsidP="00775DDD">
            <w:pPr>
              <w:pStyle w:val="Tekstprzypisudolnego"/>
              <w:spacing w:before="120" w:after="120"/>
              <w:contextualSpacing/>
              <w:jc w:val="center"/>
              <w:rPr>
                <w:rFonts w:ascii="Lato" w:hAnsi="Lato"/>
                <w:color w:val="000000" w:themeColor="text1"/>
                <w:sz w:val="22"/>
                <w:szCs w:val="22"/>
              </w:rPr>
            </w:pPr>
            <w:r w:rsidRPr="00AA22C4">
              <w:rPr>
                <w:rFonts w:ascii="Lato" w:hAnsi="Lato"/>
                <w:color w:val="000000" w:themeColor="text1"/>
                <w:sz w:val="22"/>
                <w:szCs w:val="22"/>
              </w:rPr>
              <w:t>X</w:t>
            </w:r>
          </w:p>
        </w:tc>
        <w:tc>
          <w:tcPr>
            <w:tcW w:w="1363" w:type="dxa"/>
            <w:vAlign w:val="center"/>
          </w:tcPr>
          <w:p w14:paraId="387BF11F" w14:textId="77777777" w:rsidR="005E347E" w:rsidRPr="00AA22C4" w:rsidRDefault="005E347E" w:rsidP="00775DDD">
            <w:pPr>
              <w:pStyle w:val="Tekstprzypisudolnego"/>
              <w:spacing w:before="120" w:after="120"/>
              <w:contextualSpacing/>
              <w:jc w:val="center"/>
              <w:rPr>
                <w:rFonts w:ascii="Lato" w:hAnsi="Lato"/>
                <w:color w:val="000000" w:themeColor="text1"/>
                <w:sz w:val="22"/>
                <w:szCs w:val="22"/>
              </w:rPr>
            </w:pPr>
          </w:p>
        </w:tc>
        <w:tc>
          <w:tcPr>
            <w:tcW w:w="1450" w:type="dxa"/>
            <w:vAlign w:val="center"/>
          </w:tcPr>
          <w:p w14:paraId="05DE147F" w14:textId="77777777" w:rsidR="005E347E" w:rsidRPr="00AA22C4" w:rsidRDefault="005E347E" w:rsidP="00775DDD">
            <w:pPr>
              <w:pStyle w:val="Tekstprzypisudolnego"/>
              <w:spacing w:before="120" w:after="120"/>
              <w:contextualSpacing/>
              <w:jc w:val="center"/>
              <w:rPr>
                <w:rFonts w:ascii="Lato" w:hAnsi="Lato"/>
                <w:color w:val="000000" w:themeColor="text1"/>
                <w:sz w:val="22"/>
                <w:szCs w:val="22"/>
              </w:rPr>
            </w:pPr>
            <w:r w:rsidRPr="00AA22C4">
              <w:rPr>
                <w:rFonts w:ascii="Lato" w:hAnsi="Lato"/>
                <w:color w:val="000000" w:themeColor="text1"/>
                <w:sz w:val="22"/>
                <w:szCs w:val="22"/>
              </w:rPr>
              <w:t>X</w:t>
            </w:r>
          </w:p>
        </w:tc>
        <w:tc>
          <w:tcPr>
            <w:tcW w:w="1418" w:type="dxa"/>
            <w:vAlign w:val="center"/>
          </w:tcPr>
          <w:p w14:paraId="33C504A2" w14:textId="77777777" w:rsidR="005E347E" w:rsidRPr="00AA22C4" w:rsidRDefault="005E347E" w:rsidP="00775DDD">
            <w:pPr>
              <w:pStyle w:val="Tekstprzypisudolnego"/>
              <w:spacing w:before="120" w:after="120"/>
              <w:contextualSpacing/>
              <w:jc w:val="center"/>
              <w:rPr>
                <w:rFonts w:ascii="Lato" w:hAnsi="Lato"/>
                <w:color w:val="000000" w:themeColor="text1"/>
                <w:sz w:val="22"/>
                <w:szCs w:val="22"/>
              </w:rPr>
            </w:pPr>
          </w:p>
        </w:tc>
        <w:tc>
          <w:tcPr>
            <w:tcW w:w="1417" w:type="dxa"/>
            <w:vAlign w:val="center"/>
          </w:tcPr>
          <w:p w14:paraId="284F930B" w14:textId="77777777" w:rsidR="005E347E" w:rsidRPr="00AA22C4" w:rsidRDefault="005E347E" w:rsidP="00775DDD">
            <w:pPr>
              <w:pStyle w:val="Tekstprzypisudolnego"/>
              <w:spacing w:before="120" w:after="120"/>
              <w:contextualSpacing/>
              <w:jc w:val="center"/>
              <w:rPr>
                <w:rFonts w:ascii="Lato" w:hAnsi="Lato"/>
                <w:color w:val="000000" w:themeColor="text1"/>
                <w:sz w:val="22"/>
                <w:szCs w:val="22"/>
              </w:rPr>
            </w:pPr>
            <w:r w:rsidRPr="00AA22C4">
              <w:rPr>
                <w:rFonts w:ascii="Lato" w:hAnsi="Lato"/>
                <w:color w:val="000000" w:themeColor="text1"/>
                <w:sz w:val="22"/>
                <w:szCs w:val="22"/>
              </w:rPr>
              <w:t>X</w:t>
            </w:r>
          </w:p>
        </w:tc>
      </w:tr>
      <w:tr w:rsidR="00B3776C" w:rsidRPr="00B3776C" w14:paraId="798C588F" w14:textId="77777777" w:rsidTr="00775DDD">
        <w:trPr>
          <w:trHeight w:val="230"/>
        </w:trPr>
        <w:tc>
          <w:tcPr>
            <w:tcW w:w="1966" w:type="dxa"/>
            <w:vAlign w:val="center"/>
          </w:tcPr>
          <w:p w14:paraId="2818DF41" w14:textId="77777777" w:rsidR="005E347E" w:rsidRPr="00AA22C4" w:rsidRDefault="005E347E" w:rsidP="00775DDD">
            <w:pPr>
              <w:pStyle w:val="Tekstprzypisudolnego"/>
              <w:spacing w:before="120" w:after="120"/>
              <w:contextualSpacing/>
              <w:jc w:val="center"/>
              <w:rPr>
                <w:rFonts w:ascii="Lato" w:hAnsi="Lato"/>
                <w:b/>
                <w:bCs/>
                <w:color w:val="000000" w:themeColor="text1"/>
                <w:sz w:val="22"/>
                <w:szCs w:val="22"/>
              </w:rPr>
            </w:pPr>
            <w:r w:rsidRPr="00AA22C4">
              <w:rPr>
                <w:rFonts w:ascii="Lato" w:hAnsi="Lato"/>
                <w:b/>
                <w:bCs/>
                <w:color w:val="000000" w:themeColor="text1"/>
                <w:sz w:val="22"/>
                <w:szCs w:val="22"/>
              </w:rPr>
              <w:t>MS/MS</w:t>
            </w:r>
          </w:p>
        </w:tc>
        <w:tc>
          <w:tcPr>
            <w:tcW w:w="1378" w:type="dxa"/>
            <w:vAlign w:val="center"/>
          </w:tcPr>
          <w:p w14:paraId="5D398698" w14:textId="77777777" w:rsidR="005E347E" w:rsidRPr="00AA22C4" w:rsidRDefault="005E347E" w:rsidP="00775DDD">
            <w:pPr>
              <w:pStyle w:val="Tekstprzypisudolnego"/>
              <w:spacing w:before="120" w:after="120"/>
              <w:contextualSpacing/>
              <w:jc w:val="center"/>
              <w:rPr>
                <w:rFonts w:ascii="Lato" w:hAnsi="Lato"/>
                <w:color w:val="000000" w:themeColor="text1"/>
                <w:sz w:val="22"/>
                <w:szCs w:val="22"/>
              </w:rPr>
            </w:pPr>
            <w:r w:rsidRPr="00AA22C4">
              <w:rPr>
                <w:rFonts w:ascii="Lato" w:hAnsi="Lato"/>
                <w:color w:val="000000" w:themeColor="text1"/>
                <w:sz w:val="22"/>
                <w:szCs w:val="22"/>
              </w:rPr>
              <w:t>X</w:t>
            </w:r>
          </w:p>
        </w:tc>
        <w:tc>
          <w:tcPr>
            <w:tcW w:w="1363" w:type="dxa"/>
            <w:vAlign w:val="center"/>
          </w:tcPr>
          <w:p w14:paraId="02ED6816" w14:textId="77777777" w:rsidR="005E347E" w:rsidRPr="00AA22C4" w:rsidRDefault="005E347E" w:rsidP="00775DDD">
            <w:pPr>
              <w:pStyle w:val="Tekstprzypisudolnego"/>
              <w:spacing w:before="120" w:after="120"/>
              <w:contextualSpacing/>
              <w:jc w:val="center"/>
              <w:rPr>
                <w:rFonts w:ascii="Lato" w:hAnsi="Lato"/>
                <w:color w:val="000000" w:themeColor="text1"/>
                <w:sz w:val="22"/>
                <w:szCs w:val="22"/>
              </w:rPr>
            </w:pPr>
            <w:r w:rsidRPr="00AA22C4">
              <w:rPr>
                <w:rFonts w:ascii="Lato" w:hAnsi="Lato"/>
                <w:color w:val="000000" w:themeColor="text1"/>
                <w:sz w:val="22"/>
                <w:szCs w:val="22"/>
              </w:rPr>
              <w:t>X</w:t>
            </w:r>
          </w:p>
        </w:tc>
        <w:tc>
          <w:tcPr>
            <w:tcW w:w="1450" w:type="dxa"/>
            <w:vAlign w:val="center"/>
          </w:tcPr>
          <w:p w14:paraId="68BED8ED" w14:textId="77777777" w:rsidR="005E347E" w:rsidRPr="00AA22C4" w:rsidRDefault="005E347E" w:rsidP="00775DDD">
            <w:pPr>
              <w:pStyle w:val="Tekstprzypisudolnego"/>
              <w:spacing w:before="120" w:after="120"/>
              <w:contextualSpacing/>
              <w:jc w:val="center"/>
              <w:rPr>
                <w:rFonts w:ascii="Lato" w:hAnsi="Lato"/>
                <w:color w:val="000000" w:themeColor="text1"/>
                <w:sz w:val="22"/>
                <w:szCs w:val="22"/>
              </w:rPr>
            </w:pPr>
            <w:r w:rsidRPr="00AA22C4">
              <w:rPr>
                <w:rFonts w:ascii="Lato" w:hAnsi="Lato"/>
                <w:color w:val="000000" w:themeColor="text1"/>
                <w:sz w:val="22"/>
                <w:szCs w:val="22"/>
              </w:rPr>
              <w:t>X</w:t>
            </w:r>
          </w:p>
        </w:tc>
        <w:tc>
          <w:tcPr>
            <w:tcW w:w="1418" w:type="dxa"/>
            <w:vAlign w:val="center"/>
          </w:tcPr>
          <w:p w14:paraId="7C94DA22" w14:textId="77777777" w:rsidR="005E347E" w:rsidRPr="00AA22C4" w:rsidRDefault="005E347E" w:rsidP="00775DDD">
            <w:pPr>
              <w:pStyle w:val="Tekstprzypisudolnego"/>
              <w:spacing w:before="120" w:after="120"/>
              <w:contextualSpacing/>
              <w:jc w:val="center"/>
              <w:rPr>
                <w:rFonts w:ascii="Lato" w:hAnsi="Lato"/>
                <w:color w:val="000000" w:themeColor="text1"/>
                <w:sz w:val="22"/>
                <w:szCs w:val="22"/>
              </w:rPr>
            </w:pPr>
            <w:r w:rsidRPr="00AA22C4">
              <w:rPr>
                <w:rFonts w:ascii="Lato" w:hAnsi="Lato"/>
                <w:color w:val="000000" w:themeColor="text1"/>
                <w:sz w:val="22"/>
                <w:szCs w:val="22"/>
              </w:rPr>
              <w:t>X</w:t>
            </w:r>
          </w:p>
        </w:tc>
        <w:tc>
          <w:tcPr>
            <w:tcW w:w="1417" w:type="dxa"/>
            <w:vAlign w:val="center"/>
          </w:tcPr>
          <w:p w14:paraId="7581399E" w14:textId="77777777" w:rsidR="005E347E" w:rsidRPr="00AA22C4" w:rsidRDefault="005E347E" w:rsidP="00775DDD">
            <w:pPr>
              <w:pStyle w:val="Tekstprzypisudolnego"/>
              <w:spacing w:before="120" w:after="120"/>
              <w:contextualSpacing/>
              <w:jc w:val="center"/>
              <w:rPr>
                <w:rFonts w:ascii="Lato" w:hAnsi="Lato"/>
                <w:color w:val="000000" w:themeColor="text1"/>
                <w:sz w:val="22"/>
                <w:szCs w:val="22"/>
              </w:rPr>
            </w:pPr>
          </w:p>
        </w:tc>
      </w:tr>
      <w:tr w:rsidR="00B3776C" w:rsidRPr="00B3776C" w14:paraId="15284968" w14:textId="77777777" w:rsidTr="00775DDD">
        <w:trPr>
          <w:trHeight w:val="230"/>
        </w:trPr>
        <w:tc>
          <w:tcPr>
            <w:tcW w:w="1966" w:type="dxa"/>
            <w:vAlign w:val="center"/>
          </w:tcPr>
          <w:p w14:paraId="182E5106" w14:textId="77777777" w:rsidR="005E347E" w:rsidRPr="00AA22C4" w:rsidRDefault="005E347E" w:rsidP="00775DDD">
            <w:pPr>
              <w:pStyle w:val="Tekstprzypisudolnego"/>
              <w:spacing w:before="120" w:after="120"/>
              <w:contextualSpacing/>
              <w:jc w:val="center"/>
              <w:rPr>
                <w:rFonts w:ascii="Lato" w:hAnsi="Lato"/>
                <w:b/>
                <w:bCs/>
                <w:color w:val="000000" w:themeColor="text1"/>
                <w:sz w:val="22"/>
                <w:szCs w:val="22"/>
              </w:rPr>
            </w:pPr>
            <w:proofErr w:type="spellStart"/>
            <w:r w:rsidRPr="00AA22C4">
              <w:rPr>
                <w:rFonts w:ascii="Lato" w:hAnsi="Lato"/>
                <w:b/>
                <w:bCs/>
                <w:color w:val="000000" w:themeColor="text1"/>
                <w:sz w:val="22"/>
                <w:szCs w:val="22"/>
              </w:rPr>
              <w:t>Aminoacidogram</w:t>
            </w:r>
            <w:proofErr w:type="spellEnd"/>
          </w:p>
        </w:tc>
        <w:tc>
          <w:tcPr>
            <w:tcW w:w="1378" w:type="dxa"/>
            <w:vAlign w:val="center"/>
          </w:tcPr>
          <w:p w14:paraId="43E71C62" w14:textId="77777777" w:rsidR="005E347E" w:rsidRPr="00AA22C4" w:rsidRDefault="005E347E" w:rsidP="00775DDD">
            <w:pPr>
              <w:pStyle w:val="Tekstprzypisudolnego"/>
              <w:spacing w:before="120" w:after="120"/>
              <w:contextualSpacing/>
              <w:jc w:val="center"/>
              <w:rPr>
                <w:rFonts w:ascii="Lato" w:hAnsi="Lato"/>
                <w:color w:val="000000" w:themeColor="text1"/>
                <w:sz w:val="22"/>
                <w:szCs w:val="22"/>
              </w:rPr>
            </w:pPr>
          </w:p>
        </w:tc>
        <w:tc>
          <w:tcPr>
            <w:tcW w:w="1363" w:type="dxa"/>
            <w:vAlign w:val="center"/>
          </w:tcPr>
          <w:p w14:paraId="1438C734" w14:textId="77777777" w:rsidR="005E347E" w:rsidRPr="00AA22C4" w:rsidRDefault="005E347E" w:rsidP="00775DDD">
            <w:pPr>
              <w:pStyle w:val="Tekstprzypisudolnego"/>
              <w:spacing w:before="120" w:after="120"/>
              <w:contextualSpacing/>
              <w:jc w:val="center"/>
              <w:rPr>
                <w:rFonts w:ascii="Lato" w:hAnsi="Lato"/>
                <w:color w:val="000000" w:themeColor="text1"/>
                <w:sz w:val="22"/>
                <w:szCs w:val="22"/>
              </w:rPr>
            </w:pPr>
          </w:p>
        </w:tc>
        <w:tc>
          <w:tcPr>
            <w:tcW w:w="1450" w:type="dxa"/>
            <w:vAlign w:val="center"/>
          </w:tcPr>
          <w:p w14:paraId="613EC312" w14:textId="77777777" w:rsidR="005E347E" w:rsidRPr="00AA22C4" w:rsidRDefault="005E347E" w:rsidP="00775DDD">
            <w:pPr>
              <w:pStyle w:val="Tekstprzypisudolnego"/>
              <w:spacing w:before="120" w:after="120"/>
              <w:contextualSpacing/>
              <w:jc w:val="center"/>
              <w:rPr>
                <w:rFonts w:ascii="Lato" w:hAnsi="Lato"/>
                <w:color w:val="000000" w:themeColor="text1"/>
                <w:sz w:val="22"/>
                <w:szCs w:val="22"/>
              </w:rPr>
            </w:pPr>
            <w:r w:rsidRPr="00AA22C4">
              <w:rPr>
                <w:rFonts w:ascii="Lato" w:hAnsi="Lato"/>
                <w:color w:val="000000" w:themeColor="text1"/>
                <w:sz w:val="22"/>
                <w:szCs w:val="22"/>
              </w:rPr>
              <w:t>X</w:t>
            </w:r>
          </w:p>
        </w:tc>
        <w:tc>
          <w:tcPr>
            <w:tcW w:w="1418" w:type="dxa"/>
            <w:vAlign w:val="center"/>
          </w:tcPr>
          <w:p w14:paraId="3FCE77AF" w14:textId="77777777" w:rsidR="005E347E" w:rsidRPr="00AA22C4" w:rsidRDefault="005E347E" w:rsidP="00775DDD">
            <w:pPr>
              <w:pStyle w:val="Tekstprzypisudolnego"/>
              <w:spacing w:before="120" w:after="120"/>
              <w:contextualSpacing/>
              <w:jc w:val="center"/>
              <w:rPr>
                <w:rFonts w:ascii="Lato" w:hAnsi="Lato"/>
                <w:color w:val="000000" w:themeColor="text1"/>
                <w:sz w:val="22"/>
                <w:szCs w:val="22"/>
              </w:rPr>
            </w:pPr>
            <w:r w:rsidRPr="00AA22C4">
              <w:rPr>
                <w:rFonts w:ascii="Lato" w:hAnsi="Lato"/>
                <w:color w:val="000000" w:themeColor="text1"/>
                <w:sz w:val="22"/>
                <w:szCs w:val="22"/>
              </w:rPr>
              <w:t>X</w:t>
            </w:r>
          </w:p>
        </w:tc>
        <w:tc>
          <w:tcPr>
            <w:tcW w:w="1417" w:type="dxa"/>
            <w:vAlign w:val="center"/>
          </w:tcPr>
          <w:p w14:paraId="6ED24EDC" w14:textId="77777777" w:rsidR="005E347E" w:rsidRPr="00AA22C4" w:rsidRDefault="005E347E" w:rsidP="00775DDD">
            <w:pPr>
              <w:pStyle w:val="Tekstprzypisudolnego"/>
              <w:spacing w:before="120" w:after="120"/>
              <w:contextualSpacing/>
              <w:jc w:val="center"/>
              <w:rPr>
                <w:rFonts w:ascii="Lato" w:hAnsi="Lato"/>
                <w:color w:val="000000" w:themeColor="text1"/>
                <w:sz w:val="22"/>
                <w:szCs w:val="22"/>
              </w:rPr>
            </w:pPr>
            <w:r w:rsidRPr="00AA22C4">
              <w:rPr>
                <w:rFonts w:ascii="Lato" w:hAnsi="Lato"/>
                <w:color w:val="000000" w:themeColor="text1"/>
                <w:sz w:val="22"/>
                <w:szCs w:val="22"/>
              </w:rPr>
              <w:t>X</w:t>
            </w:r>
          </w:p>
        </w:tc>
      </w:tr>
    </w:tbl>
    <w:p w14:paraId="4594DB72"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 Również w czasie dekompensacji metabolicznej</w:t>
      </w:r>
    </w:p>
    <w:p w14:paraId="7AB374E2" w14:textId="77777777" w:rsidR="005E347E" w:rsidRPr="00AA22C4" w:rsidRDefault="005E347E" w:rsidP="005E347E">
      <w:pPr>
        <w:pStyle w:val="Tekstprzypisudolnego"/>
        <w:spacing w:before="120" w:after="120"/>
        <w:contextualSpacing/>
        <w:jc w:val="both"/>
        <w:rPr>
          <w:rFonts w:ascii="Lato" w:hAnsi="Lato"/>
          <w:b/>
          <w:bCs/>
          <w:color w:val="000000" w:themeColor="text1"/>
          <w:sz w:val="22"/>
          <w:szCs w:val="22"/>
        </w:rPr>
      </w:pPr>
    </w:p>
    <w:p w14:paraId="2CBF18CE" w14:textId="77777777" w:rsidR="00E163A0" w:rsidRDefault="00E163A0" w:rsidP="005E347E">
      <w:pPr>
        <w:pStyle w:val="Tekstprzypisudolnego"/>
        <w:spacing w:before="120" w:after="120"/>
        <w:contextualSpacing/>
        <w:jc w:val="both"/>
        <w:rPr>
          <w:rFonts w:ascii="Lato" w:hAnsi="Lato"/>
          <w:b/>
          <w:bCs/>
          <w:color w:val="000000" w:themeColor="text1"/>
          <w:sz w:val="22"/>
          <w:szCs w:val="22"/>
        </w:rPr>
      </w:pPr>
    </w:p>
    <w:p w14:paraId="21220F33" w14:textId="77777777" w:rsidR="00181F00" w:rsidRPr="00AA22C4" w:rsidRDefault="00181F00" w:rsidP="005E347E">
      <w:pPr>
        <w:pStyle w:val="Tekstprzypisudolnego"/>
        <w:spacing w:before="120" w:after="120"/>
        <w:contextualSpacing/>
        <w:jc w:val="both"/>
        <w:rPr>
          <w:rFonts w:ascii="Lato" w:hAnsi="Lato"/>
          <w:b/>
          <w:bCs/>
          <w:color w:val="000000" w:themeColor="text1"/>
          <w:sz w:val="22"/>
          <w:szCs w:val="22"/>
        </w:rPr>
      </w:pPr>
    </w:p>
    <w:p w14:paraId="16BE4727" w14:textId="77777777" w:rsidR="00E163A0" w:rsidRPr="00AA22C4" w:rsidRDefault="00E163A0" w:rsidP="005E347E">
      <w:pPr>
        <w:pStyle w:val="Tekstprzypisudolnego"/>
        <w:spacing w:before="120" w:after="120"/>
        <w:contextualSpacing/>
        <w:jc w:val="both"/>
        <w:rPr>
          <w:rFonts w:ascii="Lato" w:hAnsi="Lato"/>
          <w:b/>
          <w:bCs/>
          <w:color w:val="000000" w:themeColor="text1"/>
          <w:sz w:val="22"/>
          <w:szCs w:val="22"/>
        </w:rPr>
      </w:pPr>
    </w:p>
    <w:p w14:paraId="51980573" w14:textId="77777777" w:rsidR="005E347E" w:rsidRPr="00AA22C4" w:rsidRDefault="005E347E" w:rsidP="005E347E">
      <w:pPr>
        <w:pStyle w:val="Tekstprzypisudolnego"/>
        <w:spacing w:before="120" w:after="120"/>
        <w:contextualSpacing/>
        <w:jc w:val="both"/>
        <w:rPr>
          <w:rFonts w:ascii="Lato" w:hAnsi="Lato"/>
          <w:b/>
          <w:bCs/>
          <w:color w:val="000000" w:themeColor="text1"/>
          <w:sz w:val="22"/>
          <w:szCs w:val="22"/>
        </w:rPr>
      </w:pPr>
      <w:r w:rsidRPr="00AA22C4">
        <w:rPr>
          <w:rFonts w:ascii="Lato" w:hAnsi="Lato"/>
          <w:b/>
          <w:bCs/>
          <w:color w:val="000000" w:themeColor="text1"/>
          <w:sz w:val="22"/>
          <w:szCs w:val="22"/>
        </w:rPr>
        <w:lastRenderedPageBreak/>
        <w:t>Monitorowanie leczenia fenyloketonurii</w:t>
      </w:r>
    </w:p>
    <w:p w14:paraId="5015F6A6"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u w:val="single"/>
          <w:lang w:val="en-US"/>
        </w:rPr>
      </w:pPr>
      <w:proofErr w:type="spellStart"/>
      <w:r w:rsidRPr="00AA22C4">
        <w:rPr>
          <w:rFonts w:ascii="Lato" w:hAnsi="Lato"/>
          <w:color w:val="000000" w:themeColor="text1"/>
          <w:sz w:val="22"/>
          <w:szCs w:val="22"/>
          <w:u w:val="single"/>
          <w:lang w:val="en-US"/>
        </w:rPr>
        <w:t>wg</w:t>
      </w:r>
      <w:proofErr w:type="spellEnd"/>
      <w:r w:rsidRPr="00AA22C4">
        <w:rPr>
          <w:rFonts w:ascii="Lato" w:hAnsi="Lato"/>
          <w:color w:val="000000" w:themeColor="text1"/>
          <w:sz w:val="22"/>
          <w:szCs w:val="22"/>
          <w:u w:val="single"/>
          <w:lang w:val="en-US"/>
        </w:rPr>
        <w:t xml:space="preserve"> Key European guidelines for the diagnosis and management of patients with phenylketonuria (47). </w:t>
      </w:r>
    </w:p>
    <w:p w14:paraId="3707C988" w14:textId="0CEF4F38" w:rsidR="005E347E" w:rsidRPr="00AA22C4" w:rsidRDefault="00E163A0" w:rsidP="00E163A0">
      <w:pPr>
        <w:pStyle w:val="Tekstprzypisudolnego"/>
        <w:spacing w:before="240" w:after="120"/>
        <w:jc w:val="both"/>
        <w:rPr>
          <w:rFonts w:ascii="Lato" w:hAnsi="Lato"/>
          <w:color w:val="000000" w:themeColor="text1"/>
          <w:sz w:val="22"/>
          <w:szCs w:val="22"/>
        </w:rPr>
      </w:pPr>
      <w:r w:rsidRPr="00AA22C4">
        <w:rPr>
          <w:rFonts w:ascii="Lato" w:hAnsi="Lato"/>
          <w:color w:val="000000" w:themeColor="text1"/>
          <w:sz w:val="22"/>
          <w:szCs w:val="22"/>
          <w:u w:val="single"/>
        </w:rPr>
        <w:t>Diagnostyka</w:t>
      </w:r>
      <w:r w:rsidR="005E347E" w:rsidRPr="00AA22C4">
        <w:rPr>
          <w:rFonts w:ascii="Lato" w:hAnsi="Lato"/>
          <w:color w:val="000000" w:themeColor="text1"/>
          <w:sz w:val="22"/>
          <w:szCs w:val="22"/>
        </w:rPr>
        <w:t xml:space="preserve">: </w:t>
      </w:r>
    </w:p>
    <w:p w14:paraId="40CB3827"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 xml:space="preserve">We wszystkich przypadkach </w:t>
      </w:r>
      <w:proofErr w:type="spellStart"/>
      <w:r w:rsidRPr="00AA22C4">
        <w:rPr>
          <w:rFonts w:ascii="Lato" w:hAnsi="Lato"/>
          <w:color w:val="000000" w:themeColor="text1"/>
          <w:sz w:val="22"/>
          <w:szCs w:val="22"/>
        </w:rPr>
        <w:t>hiperfenyloalaninemii</w:t>
      </w:r>
      <w:proofErr w:type="spellEnd"/>
      <w:r w:rsidRPr="00AA22C4">
        <w:rPr>
          <w:rFonts w:ascii="Lato" w:hAnsi="Lato"/>
          <w:color w:val="000000" w:themeColor="text1"/>
          <w:sz w:val="22"/>
          <w:szCs w:val="22"/>
        </w:rPr>
        <w:t xml:space="preserve"> należy przeprowadzić diagnostykę różnicową z wykluczeniem deficytów BH</w:t>
      </w:r>
      <w:r w:rsidRPr="00AA22C4">
        <w:rPr>
          <w:rFonts w:ascii="Lato" w:hAnsi="Lato"/>
          <w:color w:val="000000" w:themeColor="text1"/>
          <w:sz w:val="22"/>
          <w:szCs w:val="22"/>
          <w:vertAlign w:val="subscript"/>
        </w:rPr>
        <w:t xml:space="preserve">4. </w:t>
      </w:r>
      <w:r w:rsidRPr="00AA22C4">
        <w:rPr>
          <w:rFonts w:ascii="Lato" w:hAnsi="Lato"/>
          <w:color w:val="000000" w:themeColor="text1"/>
          <w:sz w:val="22"/>
          <w:szCs w:val="22"/>
        </w:rPr>
        <w:t xml:space="preserve">Konieczne jest oznaczenie stężenia </w:t>
      </w:r>
      <w:proofErr w:type="spellStart"/>
      <w:r w:rsidRPr="00AA22C4">
        <w:rPr>
          <w:rFonts w:ascii="Lato" w:hAnsi="Lato"/>
          <w:color w:val="000000" w:themeColor="text1"/>
          <w:sz w:val="22"/>
          <w:szCs w:val="22"/>
        </w:rPr>
        <w:t>pteryn</w:t>
      </w:r>
      <w:proofErr w:type="spellEnd"/>
      <w:r w:rsidRPr="00AA22C4">
        <w:rPr>
          <w:rFonts w:ascii="Lato" w:hAnsi="Lato"/>
          <w:color w:val="000000" w:themeColor="text1"/>
          <w:sz w:val="22"/>
          <w:szCs w:val="22"/>
        </w:rPr>
        <w:t xml:space="preserve"> (mocz, sucha kropla krwi) oraz aktywności DHPR (sucha kropla). Niektórzy pacjenci z GTPCH mogą w okresie noworodkowym mieć prawidłowe stężenia </w:t>
      </w:r>
      <w:proofErr w:type="spellStart"/>
      <w:r w:rsidRPr="00AA22C4">
        <w:rPr>
          <w:rFonts w:ascii="Lato" w:hAnsi="Lato"/>
          <w:color w:val="000000" w:themeColor="text1"/>
          <w:sz w:val="22"/>
          <w:szCs w:val="22"/>
        </w:rPr>
        <w:t>Phe</w:t>
      </w:r>
      <w:proofErr w:type="spellEnd"/>
      <w:r w:rsidRPr="00AA22C4">
        <w:rPr>
          <w:rFonts w:ascii="Lato" w:hAnsi="Lato"/>
          <w:color w:val="000000" w:themeColor="text1"/>
          <w:sz w:val="22"/>
          <w:szCs w:val="22"/>
        </w:rPr>
        <w:t xml:space="preserve">. </w:t>
      </w:r>
    </w:p>
    <w:p w14:paraId="4F361086"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vertAlign w:val="subscript"/>
        </w:rPr>
      </w:pPr>
      <w:r w:rsidRPr="00AA22C4">
        <w:rPr>
          <w:rFonts w:ascii="Lato" w:hAnsi="Lato"/>
          <w:color w:val="000000" w:themeColor="text1"/>
          <w:sz w:val="22"/>
          <w:szCs w:val="22"/>
        </w:rPr>
        <w:t>W przypadku, gdy uzyskanie w/w wyników zajmuje dłuższy okres, można przeprowadzić 24- godzinny test obciążenia z BH</w:t>
      </w:r>
      <w:r w:rsidRPr="00AA22C4">
        <w:rPr>
          <w:rFonts w:ascii="Lato" w:hAnsi="Lato"/>
          <w:color w:val="000000" w:themeColor="text1"/>
          <w:sz w:val="22"/>
          <w:szCs w:val="22"/>
          <w:vertAlign w:val="subscript"/>
        </w:rPr>
        <w:t xml:space="preserve">4. </w:t>
      </w:r>
      <w:r w:rsidRPr="00AA22C4">
        <w:rPr>
          <w:rFonts w:ascii="Lato" w:hAnsi="Lato"/>
          <w:color w:val="000000" w:themeColor="text1"/>
          <w:sz w:val="22"/>
          <w:szCs w:val="22"/>
        </w:rPr>
        <w:t>(przypadki deficytów BH</w:t>
      </w:r>
      <w:r w:rsidRPr="00AA22C4">
        <w:rPr>
          <w:rFonts w:ascii="Lato" w:hAnsi="Lato"/>
          <w:color w:val="000000" w:themeColor="text1"/>
          <w:sz w:val="22"/>
          <w:szCs w:val="22"/>
          <w:vertAlign w:val="subscript"/>
        </w:rPr>
        <w:t xml:space="preserve">4 </w:t>
      </w:r>
      <w:r w:rsidRPr="00AA22C4">
        <w:rPr>
          <w:rFonts w:ascii="Lato" w:hAnsi="Lato"/>
          <w:color w:val="000000" w:themeColor="text1"/>
          <w:sz w:val="22"/>
          <w:szCs w:val="22"/>
        </w:rPr>
        <w:t>lub pacjenci z BH</w:t>
      </w:r>
      <w:r w:rsidRPr="00AA22C4">
        <w:rPr>
          <w:rFonts w:ascii="Lato" w:hAnsi="Lato"/>
          <w:color w:val="000000" w:themeColor="text1"/>
          <w:sz w:val="22"/>
          <w:szCs w:val="22"/>
          <w:vertAlign w:val="subscript"/>
        </w:rPr>
        <w:t xml:space="preserve">4 </w:t>
      </w:r>
      <w:r w:rsidRPr="00AA22C4">
        <w:rPr>
          <w:rFonts w:ascii="Lato" w:hAnsi="Lato"/>
          <w:color w:val="000000" w:themeColor="text1"/>
          <w:sz w:val="22"/>
          <w:szCs w:val="22"/>
        </w:rPr>
        <w:t>wrażliwymi wariantami deficytów w aktywności PAH). Próbki do badań należy pobrać przed rozpoczęciem testu obciążenia z BH</w:t>
      </w:r>
      <w:r w:rsidRPr="00AA22C4">
        <w:rPr>
          <w:rFonts w:ascii="Lato" w:hAnsi="Lato"/>
          <w:color w:val="000000" w:themeColor="text1"/>
          <w:sz w:val="22"/>
          <w:szCs w:val="22"/>
          <w:vertAlign w:val="subscript"/>
        </w:rPr>
        <w:t>4.</w:t>
      </w:r>
    </w:p>
    <w:p w14:paraId="6824D525"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Badanie molekularne nie jest niezbędne w rozpoznawaniu PKU ale może istotnie pomóc w określeniu stopnia dysfunkcji białka, określeniu resztkowej aktywności enzymu i w konsekwencji – w przewidywaniu spodziewanego fenotypu metabolicznego pacjenta. Pozwala także na określenie potencjalnej wrażliwości na BH</w:t>
      </w:r>
      <w:r w:rsidRPr="00AA22C4">
        <w:rPr>
          <w:rFonts w:ascii="Lato" w:hAnsi="Lato"/>
          <w:color w:val="000000" w:themeColor="text1"/>
          <w:sz w:val="22"/>
          <w:szCs w:val="22"/>
          <w:vertAlign w:val="subscript"/>
        </w:rPr>
        <w:t xml:space="preserve">4 </w:t>
      </w:r>
      <w:r w:rsidRPr="00AA22C4">
        <w:rPr>
          <w:rFonts w:ascii="Lato" w:hAnsi="Lato"/>
          <w:color w:val="000000" w:themeColor="text1"/>
          <w:sz w:val="22"/>
          <w:szCs w:val="22"/>
        </w:rPr>
        <w:t>u pacjentów z BH</w:t>
      </w:r>
      <w:r w:rsidRPr="00AA22C4">
        <w:rPr>
          <w:rFonts w:ascii="Lato" w:hAnsi="Lato"/>
          <w:color w:val="000000" w:themeColor="text1"/>
          <w:sz w:val="22"/>
          <w:szCs w:val="22"/>
          <w:vertAlign w:val="subscript"/>
        </w:rPr>
        <w:t xml:space="preserve">4 </w:t>
      </w:r>
      <w:r w:rsidRPr="00AA22C4">
        <w:rPr>
          <w:rFonts w:ascii="Lato" w:hAnsi="Lato"/>
          <w:color w:val="000000" w:themeColor="text1"/>
          <w:sz w:val="22"/>
          <w:szCs w:val="22"/>
        </w:rPr>
        <w:t xml:space="preserve">wrażliwymi wariantami deficytów PAH. </w:t>
      </w:r>
    </w:p>
    <w:p w14:paraId="10A23F48" w14:textId="4CA8C324" w:rsidR="005E347E" w:rsidRPr="00AA22C4" w:rsidRDefault="00E163A0" w:rsidP="00E163A0">
      <w:pPr>
        <w:pStyle w:val="Tekstprzypisudolnego"/>
        <w:spacing w:before="240" w:after="120"/>
        <w:jc w:val="both"/>
        <w:rPr>
          <w:rFonts w:ascii="Lato" w:hAnsi="Lato"/>
          <w:color w:val="000000" w:themeColor="text1"/>
          <w:sz w:val="22"/>
          <w:szCs w:val="22"/>
        </w:rPr>
      </w:pPr>
      <w:r w:rsidRPr="00AA22C4">
        <w:rPr>
          <w:rFonts w:ascii="Lato" w:hAnsi="Lato"/>
          <w:color w:val="000000" w:themeColor="text1"/>
          <w:sz w:val="22"/>
          <w:szCs w:val="22"/>
          <w:u w:val="single"/>
        </w:rPr>
        <w:t>Klasyfikacja PKU</w:t>
      </w:r>
      <w:r w:rsidR="005E347E" w:rsidRPr="00AA22C4">
        <w:rPr>
          <w:rFonts w:ascii="Lato" w:hAnsi="Lato"/>
          <w:color w:val="000000" w:themeColor="text1"/>
          <w:sz w:val="22"/>
          <w:szCs w:val="22"/>
        </w:rPr>
        <w:t>:</w:t>
      </w:r>
    </w:p>
    <w:p w14:paraId="3B62796F"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 xml:space="preserve">W celu utrzymania rekomendowanych dla poszczególnych przedziałów wieku stężeń </w:t>
      </w:r>
      <w:proofErr w:type="spellStart"/>
      <w:r w:rsidRPr="00AA22C4">
        <w:rPr>
          <w:rFonts w:ascii="Lato" w:hAnsi="Lato"/>
          <w:color w:val="000000" w:themeColor="text1"/>
          <w:sz w:val="22"/>
          <w:szCs w:val="22"/>
        </w:rPr>
        <w:t>Phe</w:t>
      </w:r>
      <w:proofErr w:type="spellEnd"/>
      <w:r w:rsidRPr="00AA22C4">
        <w:rPr>
          <w:rFonts w:ascii="Lato" w:hAnsi="Lato"/>
          <w:color w:val="000000" w:themeColor="text1"/>
          <w:sz w:val="22"/>
          <w:szCs w:val="22"/>
        </w:rPr>
        <w:t>, deficyty w aktywności PAH dzieli się na:</w:t>
      </w:r>
    </w:p>
    <w:p w14:paraId="4BD96DB7" w14:textId="77777777" w:rsidR="005E347E" w:rsidRPr="00AA22C4" w:rsidRDefault="005E347E" w:rsidP="005E347E">
      <w:pPr>
        <w:pStyle w:val="Tekstprzypisudolnego"/>
        <w:numPr>
          <w:ilvl w:val="0"/>
          <w:numId w:val="1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nie wymagające leczenia,</w:t>
      </w:r>
    </w:p>
    <w:p w14:paraId="6F52EFE0" w14:textId="77777777" w:rsidR="005E347E" w:rsidRPr="00AA22C4" w:rsidRDefault="005E347E" w:rsidP="005E347E">
      <w:pPr>
        <w:pStyle w:val="Tekstprzypisudolnego"/>
        <w:numPr>
          <w:ilvl w:val="0"/>
          <w:numId w:val="14"/>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wymagające leczenia dietetycznego, BH</w:t>
      </w:r>
      <w:r w:rsidRPr="00AA22C4">
        <w:rPr>
          <w:rFonts w:ascii="Lato" w:hAnsi="Lato"/>
          <w:color w:val="000000" w:themeColor="text1"/>
          <w:sz w:val="22"/>
          <w:szCs w:val="22"/>
          <w:vertAlign w:val="subscript"/>
        </w:rPr>
        <w:t>4</w:t>
      </w:r>
      <w:r w:rsidRPr="00AA22C4">
        <w:rPr>
          <w:rFonts w:ascii="Lato" w:hAnsi="Lato"/>
          <w:color w:val="000000" w:themeColor="text1"/>
          <w:sz w:val="22"/>
          <w:szCs w:val="22"/>
        </w:rPr>
        <w:t xml:space="preserve"> lub obu.</w:t>
      </w:r>
    </w:p>
    <w:p w14:paraId="57BCD82B" w14:textId="6B0F6EF4" w:rsidR="005E347E" w:rsidRPr="00AA22C4" w:rsidRDefault="00E163A0" w:rsidP="00E163A0">
      <w:pPr>
        <w:pStyle w:val="Tekstprzypisudolnego"/>
        <w:spacing w:before="240" w:after="120"/>
        <w:jc w:val="both"/>
        <w:rPr>
          <w:rFonts w:ascii="Lato" w:hAnsi="Lato"/>
          <w:color w:val="000000" w:themeColor="text1"/>
          <w:sz w:val="22"/>
          <w:szCs w:val="22"/>
        </w:rPr>
      </w:pPr>
      <w:r w:rsidRPr="00AA22C4">
        <w:rPr>
          <w:rFonts w:ascii="Lato" w:hAnsi="Lato"/>
          <w:color w:val="000000" w:themeColor="text1"/>
          <w:sz w:val="22"/>
          <w:szCs w:val="22"/>
          <w:u w:val="single"/>
        </w:rPr>
        <w:t>Leczenie</w:t>
      </w:r>
      <w:r w:rsidR="005E347E" w:rsidRPr="00AA22C4">
        <w:rPr>
          <w:rFonts w:ascii="Lato" w:hAnsi="Lato"/>
          <w:color w:val="000000" w:themeColor="text1"/>
          <w:sz w:val="22"/>
          <w:szCs w:val="22"/>
        </w:rPr>
        <w:t>:</w:t>
      </w:r>
    </w:p>
    <w:p w14:paraId="02BDC4E3" w14:textId="77777777" w:rsidR="005E347E" w:rsidRPr="00AA22C4" w:rsidRDefault="005E347E" w:rsidP="005E347E">
      <w:pPr>
        <w:pStyle w:val="Tekstprzypisudolnego"/>
        <w:numPr>
          <w:ilvl w:val="0"/>
          <w:numId w:val="15"/>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leczenie powinno rozpocząć się tak szybko, jak to tylko możliwe, optymalnie przed 10 dniem życia,</w:t>
      </w:r>
    </w:p>
    <w:p w14:paraId="4536F515" w14:textId="77777777" w:rsidR="005E347E" w:rsidRPr="00AA22C4" w:rsidRDefault="005E347E" w:rsidP="005E347E">
      <w:pPr>
        <w:pStyle w:val="Tekstprzypisudolnego"/>
        <w:numPr>
          <w:ilvl w:val="0"/>
          <w:numId w:val="15"/>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 xml:space="preserve">nie ma potrzeby wprowadzanie leczenia, jeżeli stężenia </w:t>
      </w:r>
      <w:proofErr w:type="spellStart"/>
      <w:r w:rsidRPr="00AA22C4">
        <w:rPr>
          <w:rFonts w:ascii="Lato" w:hAnsi="Lato"/>
          <w:color w:val="000000" w:themeColor="text1"/>
          <w:sz w:val="22"/>
          <w:szCs w:val="22"/>
        </w:rPr>
        <w:t>Phe</w:t>
      </w:r>
      <w:proofErr w:type="spellEnd"/>
      <w:r w:rsidRPr="00AA22C4">
        <w:rPr>
          <w:rFonts w:ascii="Lato" w:hAnsi="Lato"/>
          <w:color w:val="000000" w:themeColor="text1"/>
          <w:sz w:val="22"/>
          <w:szCs w:val="22"/>
        </w:rPr>
        <w:t xml:space="preserve"> &lt; 360 µmol/l,</w:t>
      </w:r>
    </w:p>
    <w:p w14:paraId="6864FE72" w14:textId="77777777" w:rsidR="005E347E" w:rsidRPr="00AA22C4" w:rsidRDefault="005E347E" w:rsidP="005E347E">
      <w:pPr>
        <w:pStyle w:val="Tekstprzypisudolnego"/>
        <w:numPr>
          <w:ilvl w:val="0"/>
          <w:numId w:val="15"/>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 xml:space="preserve">aby uzyskać pewność, że stężenia </w:t>
      </w:r>
      <w:proofErr w:type="spellStart"/>
      <w:r w:rsidRPr="00AA22C4">
        <w:rPr>
          <w:rFonts w:ascii="Lato" w:hAnsi="Lato"/>
          <w:color w:val="000000" w:themeColor="text1"/>
          <w:sz w:val="22"/>
          <w:szCs w:val="22"/>
        </w:rPr>
        <w:t>Phe</w:t>
      </w:r>
      <w:proofErr w:type="spellEnd"/>
      <w:r w:rsidRPr="00AA22C4">
        <w:rPr>
          <w:rFonts w:ascii="Lato" w:hAnsi="Lato"/>
          <w:color w:val="000000" w:themeColor="text1"/>
          <w:sz w:val="22"/>
          <w:szCs w:val="22"/>
        </w:rPr>
        <w:t xml:space="preserve"> nie przekroczą wartości 360 µmol/l, badania kontrolne powinny być wykonywane do końca 1 roku życia,</w:t>
      </w:r>
    </w:p>
    <w:p w14:paraId="058247C4" w14:textId="77777777" w:rsidR="005E347E" w:rsidRPr="00AA22C4" w:rsidRDefault="005E347E" w:rsidP="005E347E">
      <w:pPr>
        <w:pStyle w:val="Tekstprzypisudolnego"/>
        <w:numPr>
          <w:ilvl w:val="0"/>
          <w:numId w:val="15"/>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 xml:space="preserve">wszyscy pacjenci ze stężeniami </w:t>
      </w:r>
      <w:proofErr w:type="spellStart"/>
      <w:r w:rsidRPr="00AA22C4">
        <w:rPr>
          <w:rFonts w:ascii="Lato" w:hAnsi="Lato"/>
          <w:color w:val="000000" w:themeColor="text1"/>
          <w:sz w:val="22"/>
          <w:szCs w:val="22"/>
        </w:rPr>
        <w:t>Phe</w:t>
      </w:r>
      <w:proofErr w:type="spellEnd"/>
      <w:r w:rsidRPr="00AA22C4">
        <w:rPr>
          <w:rFonts w:ascii="Lato" w:hAnsi="Lato"/>
          <w:color w:val="000000" w:themeColor="text1"/>
          <w:sz w:val="22"/>
          <w:szCs w:val="22"/>
        </w:rPr>
        <w:t xml:space="preserve"> ≥ 360 µmol/l wymagają leczenia,</w:t>
      </w:r>
    </w:p>
    <w:p w14:paraId="7207D057" w14:textId="77777777" w:rsidR="005E347E" w:rsidRPr="00AA22C4" w:rsidRDefault="005E347E" w:rsidP="005E347E">
      <w:pPr>
        <w:pStyle w:val="Tekstprzypisudolnego"/>
        <w:numPr>
          <w:ilvl w:val="0"/>
          <w:numId w:val="15"/>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 xml:space="preserve">chorzy ze stężeniami </w:t>
      </w:r>
      <w:proofErr w:type="spellStart"/>
      <w:r w:rsidRPr="00AA22C4">
        <w:rPr>
          <w:rFonts w:ascii="Lato" w:hAnsi="Lato"/>
          <w:color w:val="000000" w:themeColor="text1"/>
          <w:sz w:val="22"/>
          <w:szCs w:val="22"/>
        </w:rPr>
        <w:t>Phe</w:t>
      </w:r>
      <w:proofErr w:type="spellEnd"/>
      <w:r w:rsidRPr="00AA22C4">
        <w:rPr>
          <w:rFonts w:ascii="Lato" w:hAnsi="Lato"/>
          <w:color w:val="000000" w:themeColor="text1"/>
          <w:sz w:val="22"/>
          <w:szCs w:val="22"/>
        </w:rPr>
        <w:t xml:space="preserve"> bez leczenia w granicach 360-600 µmol/l powinni być monitorowani do 12 </w:t>
      </w:r>
      <w:r w:rsidRPr="00AA22C4">
        <w:rPr>
          <w:rFonts w:ascii="Lato" w:hAnsi="Lato"/>
          <w:color w:val="000000" w:themeColor="text1"/>
        </w:rPr>
        <w:t>roku</w:t>
      </w:r>
      <w:r w:rsidRPr="00AA22C4">
        <w:rPr>
          <w:rFonts w:ascii="Lato" w:hAnsi="Lato"/>
          <w:color w:val="000000" w:themeColor="text1"/>
          <w:sz w:val="22"/>
          <w:szCs w:val="22"/>
        </w:rPr>
        <w:t xml:space="preserve"> życia,</w:t>
      </w:r>
    </w:p>
    <w:p w14:paraId="30D084E7" w14:textId="77777777" w:rsidR="005E347E" w:rsidRPr="00AA22C4" w:rsidRDefault="005E347E" w:rsidP="005E347E">
      <w:pPr>
        <w:pStyle w:val="Tekstprzypisudolnego"/>
        <w:numPr>
          <w:ilvl w:val="0"/>
          <w:numId w:val="15"/>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z uwagi na ryzyko późnych powikłań PKU, wszyscy dorośli chorzy powinni być systematycznie monitorowani w specjalistycznych ośrodkach metabolicznych.</w:t>
      </w:r>
    </w:p>
    <w:p w14:paraId="76F143BA" w14:textId="77777777" w:rsidR="00DB72E7" w:rsidRPr="00AA22C4" w:rsidRDefault="00DB72E7" w:rsidP="005E347E">
      <w:pPr>
        <w:pStyle w:val="Tekstprzypisudolnego"/>
        <w:spacing w:before="120" w:after="120"/>
        <w:ind w:left="720"/>
        <w:contextualSpacing/>
        <w:jc w:val="both"/>
        <w:rPr>
          <w:rFonts w:ascii="Lato" w:hAnsi="Lato"/>
          <w:color w:val="000000" w:themeColor="text1"/>
          <w:sz w:val="22"/>
          <w:szCs w:val="22"/>
        </w:rPr>
      </w:pPr>
    </w:p>
    <w:p w14:paraId="48DEBBE8" w14:textId="77777777" w:rsidR="005E347E" w:rsidRPr="00AA22C4" w:rsidRDefault="005E347E" w:rsidP="00DB72E7">
      <w:pPr>
        <w:pStyle w:val="Tekstprzypisudolnego"/>
        <w:spacing w:before="120" w:after="120" w:line="600" w:lineRule="auto"/>
        <w:contextualSpacing/>
        <w:jc w:val="both"/>
        <w:rPr>
          <w:rFonts w:ascii="Lato" w:hAnsi="Lato"/>
          <w:b/>
          <w:color w:val="000000" w:themeColor="text1"/>
          <w:sz w:val="22"/>
          <w:szCs w:val="22"/>
        </w:rPr>
      </w:pPr>
      <w:r w:rsidRPr="00AA22C4">
        <w:rPr>
          <w:rFonts w:ascii="Lato" w:hAnsi="Lato"/>
          <w:b/>
          <w:color w:val="000000" w:themeColor="text1"/>
          <w:sz w:val="22"/>
          <w:szCs w:val="22"/>
        </w:rPr>
        <w:t xml:space="preserve">Tab.7 Rekomendowane zakresy stężeń </w:t>
      </w:r>
      <w:proofErr w:type="spellStart"/>
      <w:r w:rsidRPr="00AA22C4">
        <w:rPr>
          <w:rFonts w:ascii="Lato" w:hAnsi="Lato"/>
          <w:b/>
          <w:color w:val="000000" w:themeColor="text1"/>
          <w:sz w:val="22"/>
          <w:szCs w:val="22"/>
        </w:rPr>
        <w:t>Phe</w:t>
      </w:r>
      <w:proofErr w:type="spellEnd"/>
      <w:r w:rsidRPr="00AA22C4">
        <w:rPr>
          <w:rFonts w:ascii="Lato" w:hAnsi="Lato"/>
          <w:b/>
          <w:color w:val="000000" w:themeColor="text1"/>
          <w:sz w:val="22"/>
          <w:szCs w:val="22"/>
        </w:rPr>
        <w:t xml:space="preserve"> w poszczególnych przedziałach wieku.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2"/>
        <w:gridCol w:w="3545"/>
        <w:gridCol w:w="3855"/>
      </w:tblGrid>
      <w:tr w:rsidR="00B3776C" w:rsidRPr="00B3776C" w14:paraId="2617D25E" w14:textId="77777777" w:rsidTr="00775DDD">
        <w:trPr>
          <w:trHeight w:val="276"/>
          <w:jc w:val="center"/>
        </w:trPr>
        <w:tc>
          <w:tcPr>
            <w:tcW w:w="562" w:type="dxa"/>
          </w:tcPr>
          <w:p w14:paraId="23DB8C13" w14:textId="77777777" w:rsidR="005E347E" w:rsidRPr="00AA22C4" w:rsidRDefault="005E347E" w:rsidP="00775DDD">
            <w:pPr>
              <w:pStyle w:val="Tekstprzypisudolnego"/>
              <w:spacing w:before="120" w:after="120"/>
              <w:contextualSpacing/>
              <w:jc w:val="both"/>
              <w:rPr>
                <w:rFonts w:ascii="Lato" w:hAnsi="Lato"/>
                <w:color w:val="000000" w:themeColor="text1"/>
                <w:sz w:val="22"/>
                <w:szCs w:val="22"/>
              </w:rPr>
            </w:pPr>
          </w:p>
        </w:tc>
        <w:tc>
          <w:tcPr>
            <w:tcW w:w="3545" w:type="dxa"/>
          </w:tcPr>
          <w:p w14:paraId="389971BF" w14:textId="77777777" w:rsidR="005E347E" w:rsidRPr="00AA22C4" w:rsidRDefault="005E347E" w:rsidP="00775DDD">
            <w:pPr>
              <w:pStyle w:val="Tekstprzypisudolnego"/>
              <w:spacing w:before="120" w:after="120"/>
              <w:contextualSpacing/>
              <w:jc w:val="both"/>
              <w:rPr>
                <w:rFonts w:ascii="Lato" w:hAnsi="Lato"/>
                <w:bCs/>
                <w:color w:val="000000" w:themeColor="text1"/>
                <w:sz w:val="22"/>
                <w:szCs w:val="22"/>
              </w:rPr>
            </w:pPr>
            <w:r w:rsidRPr="00AA22C4">
              <w:rPr>
                <w:rFonts w:ascii="Lato" w:hAnsi="Lato"/>
                <w:bCs/>
                <w:color w:val="000000" w:themeColor="text1"/>
                <w:sz w:val="22"/>
                <w:szCs w:val="22"/>
              </w:rPr>
              <w:t>Wiek</w:t>
            </w:r>
          </w:p>
        </w:tc>
        <w:tc>
          <w:tcPr>
            <w:tcW w:w="3855" w:type="dxa"/>
          </w:tcPr>
          <w:p w14:paraId="71AD72BE" w14:textId="77777777" w:rsidR="005E347E" w:rsidRPr="00AA22C4" w:rsidRDefault="005E347E" w:rsidP="00775DDD">
            <w:pPr>
              <w:pStyle w:val="Tekstprzypisudolnego"/>
              <w:spacing w:before="120" w:after="120"/>
              <w:contextualSpacing/>
              <w:jc w:val="both"/>
              <w:rPr>
                <w:rFonts w:ascii="Lato" w:hAnsi="Lato"/>
                <w:bCs/>
                <w:color w:val="000000" w:themeColor="text1"/>
                <w:sz w:val="22"/>
                <w:szCs w:val="22"/>
              </w:rPr>
            </w:pPr>
            <w:r w:rsidRPr="00AA22C4">
              <w:rPr>
                <w:rFonts w:ascii="Lato" w:hAnsi="Lato"/>
                <w:bCs/>
                <w:color w:val="000000" w:themeColor="text1"/>
                <w:sz w:val="22"/>
                <w:szCs w:val="22"/>
              </w:rPr>
              <w:t xml:space="preserve">Stężenia </w:t>
            </w:r>
            <w:proofErr w:type="spellStart"/>
            <w:r w:rsidRPr="00AA22C4">
              <w:rPr>
                <w:rFonts w:ascii="Lato" w:hAnsi="Lato"/>
                <w:bCs/>
                <w:color w:val="000000" w:themeColor="text1"/>
                <w:sz w:val="22"/>
                <w:szCs w:val="22"/>
              </w:rPr>
              <w:t>Phe</w:t>
            </w:r>
            <w:proofErr w:type="spellEnd"/>
            <w:r w:rsidRPr="00AA22C4">
              <w:rPr>
                <w:rFonts w:ascii="Lato" w:hAnsi="Lato"/>
                <w:bCs/>
                <w:color w:val="000000" w:themeColor="text1"/>
                <w:sz w:val="22"/>
                <w:szCs w:val="22"/>
              </w:rPr>
              <w:t xml:space="preserve"> </w:t>
            </w:r>
            <w:r w:rsidRPr="00AA22C4">
              <w:rPr>
                <w:rFonts w:ascii="Lato" w:hAnsi="Lato"/>
                <w:color w:val="000000" w:themeColor="text1"/>
                <w:sz w:val="22"/>
                <w:szCs w:val="22"/>
              </w:rPr>
              <w:t>µmol/l</w:t>
            </w:r>
          </w:p>
        </w:tc>
      </w:tr>
      <w:tr w:rsidR="00B3776C" w:rsidRPr="00B3776C" w14:paraId="7DC23D2B" w14:textId="77777777" w:rsidTr="00775DDD">
        <w:trPr>
          <w:trHeight w:val="396"/>
          <w:jc w:val="center"/>
        </w:trPr>
        <w:tc>
          <w:tcPr>
            <w:tcW w:w="562" w:type="dxa"/>
          </w:tcPr>
          <w:p w14:paraId="7AEE36FD" w14:textId="77777777" w:rsidR="005E347E" w:rsidRPr="00AA22C4" w:rsidRDefault="005E347E" w:rsidP="00775DDD">
            <w:pPr>
              <w:pStyle w:val="Tekstprzypisudolnego"/>
              <w:spacing w:before="120"/>
              <w:contextualSpacing/>
              <w:jc w:val="center"/>
              <w:rPr>
                <w:rFonts w:ascii="Lato" w:hAnsi="Lato"/>
                <w:color w:val="000000" w:themeColor="text1"/>
                <w:sz w:val="22"/>
                <w:szCs w:val="22"/>
              </w:rPr>
            </w:pPr>
            <w:r w:rsidRPr="00AA22C4">
              <w:rPr>
                <w:rFonts w:ascii="Lato" w:hAnsi="Lato"/>
                <w:color w:val="000000" w:themeColor="text1"/>
                <w:sz w:val="22"/>
                <w:szCs w:val="22"/>
              </w:rPr>
              <w:t>1</w:t>
            </w:r>
          </w:p>
        </w:tc>
        <w:tc>
          <w:tcPr>
            <w:tcW w:w="3545" w:type="dxa"/>
            <w:vAlign w:val="center"/>
          </w:tcPr>
          <w:p w14:paraId="1FC075C2" w14:textId="0F372348" w:rsidR="005E347E" w:rsidRPr="00AA22C4" w:rsidRDefault="005E347E" w:rsidP="006C3E4C">
            <w:pPr>
              <w:pStyle w:val="Tekstprzypisudolnego"/>
              <w:contextualSpacing/>
              <w:rPr>
                <w:rFonts w:ascii="Lato" w:hAnsi="Lato"/>
                <w:color w:val="000000" w:themeColor="text1"/>
                <w:sz w:val="22"/>
                <w:szCs w:val="22"/>
              </w:rPr>
            </w:pPr>
            <w:r w:rsidRPr="00AA22C4">
              <w:rPr>
                <w:rFonts w:ascii="Lato" w:hAnsi="Lato"/>
                <w:color w:val="000000" w:themeColor="text1"/>
                <w:sz w:val="22"/>
                <w:szCs w:val="22"/>
              </w:rPr>
              <w:t xml:space="preserve">0-12 </w:t>
            </w:r>
            <w:r w:rsidR="006C3E4C" w:rsidRPr="00AA22C4">
              <w:rPr>
                <w:rFonts w:ascii="Lato" w:hAnsi="Lato"/>
                <w:color w:val="000000" w:themeColor="text1"/>
                <w:sz w:val="22"/>
                <w:szCs w:val="22"/>
              </w:rPr>
              <w:t>r.ż.</w:t>
            </w:r>
          </w:p>
        </w:tc>
        <w:tc>
          <w:tcPr>
            <w:tcW w:w="3855" w:type="dxa"/>
            <w:vAlign w:val="center"/>
          </w:tcPr>
          <w:p w14:paraId="3572520B" w14:textId="77777777" w:rsidR="005E347E" w:rsidRPr="00AA22C4" w:rsidRDefault="005E347E" w:rsidP="00775DDD">
            <w:pPr>
              <w:pStyle w:val="Tekstprzypisudolnego"/>
              <w:contextualSpacing/>
              <w:rPr>
                <w:rFonts w:ascii="Lato" w:hAnsi="Lato"/>
                <w:color w:val="000000" w:themeColor="text1"/>
                <w:sz w:val="22"/>
                <w:szCs w:val="22"/>
              </w:rPr>
            </w:pPr>
            <w:r w:rsidRPr="00AA22C4">
              <w:rPr>
                <w:rFonts w:ascii="Lato" w:hAnsi="Lato"/>
                <w:color w:val="000000" w:themeColor="text1"/>
                <w:sz w:val="22"/>
                <w:szCs w:val="22"/>
              </w:rPr>
              <w:t>120-360</w:t>
            </w:r>
          </w:p>
        </w:tc>
      </w:tr>
      <w:tr w:rsidR="00B3776C" w:rsidRPr="00B3776C" w14:paraId="3B7FECF1" w14:textId="77777777" w:rsidTr="00775DDD">
        <w:trPr>
          <w:trHeight w:val="396"/>
          <w:jc w:val="center"/>
        </w:trPr>
        <w:tc>
          <w:tcPr>
            <w:tcW w:w="562" w:type="dxa"/>
          </w:tcPr>
          <w:p w14:paraId="1FB19E46" w14:textId="77777777" w:rsidR="005E347E" w:rsidRPr="00AA22C4" w:rsidRDefault="005E347E" w:rsidP="00775DDD">
            <w:pPr>
              <w:pStyle w:val="Tekstprzypisudolnego"/>
              <w:spacing w:before="120"/>
              <w:contextualSpacing/>
              <w:jc w:val="center"/>
              <w:rPr>
                <w:rFonts w:ascii="Lato" w:hAnsi="Lato"/>
                <w:color w:val="000000" w:themeColor="text1"/>
                <w:sz w:val="22"/>
                <w:szCs w:val="22"/>
              </w:rPr>
            </w:pPr>
            <w:r w:rsidRPr="00AA22C4">
              <w:rPr>
                <w:rFonts w:ascii="Lato" w:hAnsi="Lato"/>
                <w:color w:val="000000" w:themeColor="text1"/>
                <w:sz w:val="22"/>
                <w:szCs w:val="22"/>
              </w:rPr>
              <w:t>2</w:t>
            </w:r>
          </w:p>
        </w:tc>
        <w:tc>
          <w:tcPr>
            <w:tcW w:w="3545" w:type="dxa"/>
            <w:vAlign w:val="center"/>
          </w:tcPr>
          <w:p w14:paraId="7C119C72" w14:textId="515134C8" w:rsidR="005E347E" w:rsidRPr="00AA22C4" w:rsidRDefault="005E347E" w:rsidP="006C3E4C">
            <w:pPr>
              <w:pStyle w:val="Tekstprzypisudolnego"/>
              <w:contextualSpacing/>
              <w:rPr>
                <w:rFonts w:ascii="Lato" w:hAnsi="Lato"/>
                <w:color w:val="000000" w:themeColor="text1"/>
                <w:sz w:val="22"/>
                <w:szCs w:val="22"/>
              </w:rPr>
            </w:pPr>
            <w:r w:rsidRPr="00AA22C4">
              <w:rPr>
                <w:rFonts w:ascii="Lato" w:hAnsi="Lato"/>
                <w:color w:val="000000" w:themeColor="text1"/>
                <w:sz w:val="22"/>
                <w:szCs w:val="22"/>
              </w:rPr>
              <w:t xml:space="preserve">Powyżej 12 </w:t>
            </w:r>
            <w:r w:rsidR="006C3E4C" w:rsidRPr="00AA22C4">
              <w:rPr>
                <w:rFonts w:ascii="Lato" w:hAnsi="Lato"/>
                <w:color w:val="000000" w:themeColor="text1"/>
                <w:sz w:val="22"/>
                <w:szCs w:val="22"/>
              </w:rPr>
              <w:t>r.ż.</w:t>
            </w:r>
          </w:p>
        </w:tc>
        <w:tc>
          <w:tcPr>
            <w:tcW w:w="3855" w:type="dxa"/>
            <w:vAlign w:val="center"/>
          </w:tcPr>
          <w:p w14:paraId="4AABCA62" w14:textId="77777777" w:rsidR="005E347E" w:rsidRPr="00AA22C4" w:rsidRDefault="005E347E" w:rsidP="00775DDD">
            <w:pPr>
              <w:pStyle w:val="Tekstprzypisudolnego"/>
              <w:contextualSpacing/>
              <w:rPr>
                <w:rFonts w:ascii="Lato" w:hAnsi="Lato"/>
                <w:color w:val="000000" w:themeColor="text1"/>
                <w:sz w:val="22"/>
                <w:szCs w:val="22"/>
              </w:rPr>
            </w:pPr>
            <w:r w:rsidRPr="00AA22C4">
              <w:rPr>
                <w:rFonts w:ascii="Lato" w:hAnsi="Lato"/>
                <w:color w:val="000000" w:themeColor="text1"/>
                <w:sz w:val="22"/>
                <w:szCs w:val="22"/>
              </w:rPr>
              <w:t>120-600</w:t>
            </w:r>
          </w:p>
        </w:tc>
      </w:tr>
      <w:tr w:rsidR="00B3776C" w:rsidRPr="00B3776C" w14:paraId="6EAED054" w14:textId="77777777" w:rsidTr="00775DDD">
        <w:trPr>
          <w:trHeight w:val="396"/>
          <w:jc w:val="center"/>
        </w:trPr>
        <w:tc>
          <w:tcPr>
            <w:tcW w:w="562" w:type="dxa"/>
          </w:tcPr>
          <w:p w14:paraId="35B19D23" w14:textId="77777777" w:rsidR="005E347E" w:rsidRPr="00AA22C4" w:rsidRDefault="005E347E" w:rsidP="00775DDD">
            <w:pPr>
              <w:pStyle w:val="Tekstprzypisudolnego"/>
              <w:spacing w:before="120"/>
              <w:contextualSpacing/>
              <w:jc w:val="center"/>
              <w:rPr>
                <w:rFonts w:ascii="Lato" w:hAnsi="Lato"/>
                <w:color w:val="000000" w:themeColor="text1"/>
                <w:sz w:val="22"/>
                <w:szCs w:val="22"/>
              </w:rPr>
            </w:pPr>
            <w:r w:rsidRPr="00AA22C4">
              <w:rPr>
                <w:rFonts w:ascii="Lato" w:hAnsi="Lato"/>
                <w:color w:val="000000" w:themeColor="text1"/>
                <w:sz w:val="22"/>
                <w:szCs w:val="22"/>
              </w:rPr>
              <w:t>3</w:t>
            </w:r>
          </w:p>
        </w:tc>
        <w:tc>
          <w:tcPr>
            <w:tcW w:w="3545" w:type="dxa"/>
            <w:vAlign w:val="center"/>
          </w:tcPr>
          <w:p w14:paraId="79E61B68" w14:textId="77777777" w:rsidR="005E347E" w:rsidRPr="00AA22C4" w:rsidRDefault="005E347E" w:rsidP="00775DDD">
            <w:pPr>
              <w:pStyle w:val="Tekstprzypisudolnego"/>
              <w:contextualSpacing/>
              <w:rPr>
                <w:rFonts w:ascii="Lato" w:hAnsi="Lato"/>
                <w:color w:val="000000" w:themeColor="text1"/>
                <w:sz w:val="22"/>
                <w:szCs w:val="22"/>
              </w:rPr>
            </w:pPr>
            <w:r w:rsidRPr="00AA22C4">
              <w:rPr>
                <w:rFonts w:ascii="Lato" w:hAnsi="Lato"/>
                <w:color w:val="000000" w:themeColor="text1"/>
                <w:sz w:val="22"/>
                <w:szCs w:val="22"/>
              </w:rPr>
              <w:t>Planowanie ciąży</w:t>
            </w:r>
          </w:p>
        </w:tc>
        <w:tc>
          <w:tcPr>
            <w:tcW w:w="3855" w:type="dxa"/>
            <w:vAlign w:val="center"/>
          </w:tcPr>
          <w:p w14:paraId="0BB660DE" w14:textId="77777777" w:rsidR="005E347E" w:rsidRPr="00AA22C4" w:rsidRDefault="005E347E" w:rsidP="00775DDD">
            <w:pPr>
              <w:pStyle w:val="Tekstprzypisudolnego"/>
              <w:contextualSpacing/>
              <w:rPr>
                <w:rFonts w:ascii="Lato" w:hAnsi="Lato"/>
                <w:color w:val="000000" w:themeColor="text1"/>
                <w:sz w:val="22"/>
                <w:szCs w:val="22"/>
              </w:rPr>
            </w:pPr>
            <w:r w:rsidRPr="00AA22C4">
              <w:rPr>
                <w:rFonts w:ascii="Lato" w:hAnsi="Lato"/>
                <w:color w:val="000000" w:themeColor="text1"/>
                <w:sz w:val="22"/>
                <w:szCs w:val="22"/>
              </w:rPr>
              <w:t>120-360</w:t>
            </w:r>
          </w:p>
        </w:tc>
      </w:tr>
      <w:tr w:rsidR="005E347E" w:rsidRPr="00AA22C4" w14:paraId="153CF63B" w14:textId="77777777" w:rsidTr="00775DDD">
        <w:trPr>
          <w:trHeight w:val="396"/>
          <w:jc w:val="center"/>
        </w:trPr>
        <w:tc>
          <w:tcPr>
            <w:tcW w:w="562" w:type="dxa"/>
          </w:tcPr>
          <w:p w14:paraId="437B22BF" w14:textId="77777777" w:rsidR="005E347E" w:rsidRPr="00AA22C4" w:rsidRDefault="005E347E" w:rsidP="00775DDD">
            <w:pPr>
              <w:pStyle w:val="Tekstprzypisudolnego"/>
              <w:spacing w:before="120"/>
              <w:contextualSpacing/>
              <w:jc w:val="center"/>
              <w:rPr>
                <w:rFonts w:ascii="Lato" w:hAnsi="Lato"/>
                <w:color w:val="000000" w:themeColor="text1"/>
                <w:sz w:val="22"/>
                <w:szCs w:val="22"/>
              </w:rPr>
            </w:pPr>
            <w:r w:rsidRPr="00AA22C4">
              <w:rPr>
                <w:rFonts w:ascii="Lato" w:hAnsi="Lato"/>
                <w:color w:val="000000" w:themeColor="text1"/>
                <w:sz w:val="22"/>
                <w:szCs w:val="22"/>
              </w:rPr>
              <w:t>4</w:t>
            </w:r>
          </w:p>
        </w:tc>
        <w:tc>
          <w:tcPr>
            <w:tcW w:w="3545" w:type="dxa"/>
            <w:vAlign w:val="center"/>
          </w:tcPr>
          <w:p w14:paraId="65F0D985" w14:textId="77777777" w:rsidR="005E347E" w:rsidRPr="00AA22C4" w:rsidRDefault="005E347E" w:rsidP="00775DDD">
            <w:pPr>
              <w:pStyle w:val="Tekstprzypisudolnego"/>
              <w:contextualSpacing/>
              <w:rPr>
                <w:rFonts w:ascii="Lato" w:hAnsi="Lato"/>
                <w:color w:val="000000" w:themeColor="text1"/>
                <w:sz w:val="22"/>
                <w:szCs w:val="22"/>
              </w:rPr>
            </w:pPr>
            <w:r w:rsidRPr="00AA22C4">
              <w:rPr>
                <w:rFonts w:ascii="Lato" w:hAnsi="Lato"/>
                <w:color w:val="000000" w:themeColor="text1"/>
                <w:sz w:val="22"/>
                <w:szCs w:val="22"/>
              </w:rPr>
              <w:t>W trakcie ciąży</w:t>
            </w:r>
          </w:p>
        </w:tc>
        <w:tc>
          <w:tcPr>
            <w:tcW w:w="3855" w:type="dxa"/>
            <w:vAlign w:val="center"/>
          </w:tcPr>
          <w:p w14:paraId="63D59EE0" w14:textId="77777777" w:rsidR="005E347E" w:rsidRPr="00AA22C4" w:rsidRDefault="005E347E" w:rsidP="00775DDD">
            <w:pPr>
              <w:pStyle w:val="Tekstprzypisudolnego"/>
              <w:contextualSpacing/>
              <w:rPr>
                <w:rFonts w:ascii="Lato" w:hAnsi="Lato"/>
                <w:color w:val="000000" w:themeColor="text1"/>
                <w:sz w:val="22"/>
                <w:szCs w:val="22"/>
              </w:rPr>
            </w:pPr>
            <w:r w:rsidRPr="00AA22C4">
              <w:rPr>
                <w:rFonts w:ascii="Lato" w:hAnsi="Lato"/>
                <w:color w:val="000000" w:themeColor="text1"/>
                <w:sz w:val="22"/>
                <w:szCs w:val="22"/>
              </w:rPr>
              <w:t>120-360</w:t>
            </w:r>
          </w:p>
        </w:tc>
      </w:tr>
    </w:tbl>
    <w:p w14:paraId="5EBEFCC4" w14:textId="77777777" w:rsidR="005E347E" w:rsidRPr="00AA22C4" w:rsidRDefault="005E347E" w:rsidP="005E347E">
      <w:pPr>
        <w:pStyle w:val="Tekstprzypisudolnego"/>
        <w:spacing w:before="120" w:after="120"/>
        <w:contextualSpacing/>
        <w:jc w:val="both"/>
        <w:rPr>
          <w:rFonts w:ascii="Lato" w:hAnsi="Lato"/>
          <w:b/>
          <w:color w:val="000000" w:themeColor="text1"/>
          <w:sz w:val="22"/>
          <w:szCs w:val="22"/>
        </w:rPr>
      </w:pPr>
    </w:p>
    <w:p w14:paraId="5FF3C20B" w14:textId="77777777" w:rsidR="005E347E" w:rsidRPr="00AA22C4" w:rsidRDefault="005E347E" w:rsidP="005E347E">
      <w:pPr>
        <w:pStyle w:val="Tekstprzypisudolnego"/>
        <w:spacing w:before="120" w:after="120"/>
        <w:contextualSpacing/>
        <w:jc w:val="both"/>
        <w:rPr>
          <w:rFonts w:ascii="Lato" w:hAnsi="Lato"/>
          <w:b/>
          <w:color w:val="000000" w:themeColor="text1"/>
          <w:sz w:val="22"/>
          <w:szCs w:val="22"/>
        </w:rPr>
      </w:pPr>
    </w:p>
    <w:p w14:paraId="25680DD8" w14:textId="77777777" w:rsidR="005E347E" w:rsidRPr="00AA22C4" w:rsidRDefault="005E347E" w:rsidP="005E347E">
      <w:pPr>
        <w:pStyle w:val="Tekstprzypisudolnego"/>
        <w:spacing w:before="120" w:after="120"/>
        <w:contextualSpacing/>
        <w:jc w:val="both"/>
        <w:rPr>
          <w:rFonts w:ascii="Lato" w:hAnsi="Lato"/>
          <w:b/>
          <w:color w:val="000000" w:themeColor="text1"/>
          <w:sz w:val="22"/>
          <w:szCs w:val="22"/>
        </w:rPr>
      </w:pPr>
    </w:p>
    <w:p w14:paraId="23E7D5E3" w14:textId="77777777" w:rsidR="005E347E" w:rsidRPr="00AA22C4" w:rsidRDefault="005E347E" w:rsidP="00DB72E7">
      <w:pPr>
        <w:pStyle w:val="Tekstprzypisudolnego"/>
        <w:spacing w:before="120" w:after="120" w:line="600" w:lineRule="auto"/>
        <w:contextualSpacing/>
        <w:jc w:val="both"/>
        <w:rPr>
          <w:rFonts w:ascii="Lato" w:hAnsi="Lato"/>
          <w:b/>
          <w:color w:val="000000" w:themeColor="text1"/>
          <w:sz w:val="22"/>
          <w:szCs w:val="22"/>
        </w:rPr>
      </w:pPr>
      <w:r w:rsidRPr="00AA22C4">
        <w:rPr>
          <w:rFonts w:ascii="Lato" w:hAnsi="Lato"/>
          <w:b/>
          <w:color w:val="000000" w:themeColor="text1"/>
          <w:sz w:val="22"/>
          <w:szCs w:val="22"/>
        </w:rPr>
        <w:t xml:space="preserve">Tab. 8 Minimalna częstość badań stężenia </w:t>
      </w:r>
      <w:proofErr w:type="spellStart"/>
      <w:r w:rsidRPr="00AA22C4">
        <w:rPr>
          <w:rFonts w:ascii="Lato" w:hAnsi="Lato"/>
          <w:b/>
          <w:color w:val="000000" w:themeColor="text1"/>
          <w:sz w:val="22"/>
          <w:szCs w:val="22"/>
        </w:rPr>
        <w:t>Phe</w:t>
      </w:r>
      <w:proofErr w:type="spellEnd"/>
      <w:r w:rsidRPr="00AA22C4">
        <w:rPr>
          <w:rFonts w:ascii="Lato" w:hAnsi="Lato"/>
          <w:b/>
          <w:color w:val="000000" w:themeColor="text1"/>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2"/>
        <w:gridCol w:w="3545"/>
        <w:gridCol w:w="3855"/>
      </w:tblGrid>
      <w:tr w:rsidR="00B3776C" w:rsidRPr="00B3776C" w14:paraId="00CAB763" w14:textId="77777777" w:rsidTr="00775DDD">
        <w:trPr>
          <w:trHeight w:val="276"/>
          <w:jc w:val="center"/>
        </w:trPr>
        <w:tc>
          <w:tcPr>
            <w:tcW w:w="562" w:type="dxa"/>
          </w:tcPr>
          <w:p w14:paraId="100524B5" w14:textId="77777777" w:rsidR="005E347E" w:rsidRPr="00AA22C4" w:rsidRDefault="005E347E" w:rsidP="00775DDD">
            <w:pPr>
              <w:pStyle w:val="Tekstprzypisudolnego"/>
              <w:spacing w:before="120" w:after="120"/>
              <w:contextualSpacing/>
              <w:jc w:val="both"/>
              <w:rPr>
                <w:rFonts w:ascii="Lato" w:hAnsi="Lato"/>
                <w:color w:val="000000" w:themeColor="text1"/>
                <w:sz w:val="22"/>
                <w:szCs w:val="22"/>
              </w:rPr>
            </w:pPr>
          </w:p>
        </w:tc>
        <w:tc>
          <w:tcPr>
            <w:tcW w:w="3545" w:type="dxa"/>
            <w:vAlign w:val="center"/>
          </w:tcPr>
          <w:p w14:paraId="305DF2EB" w14:textId="77777777" w:rsidR="005E347E" w:rsidRPr="00AA22C4" w:rsidRDefault="005E347E" w:rsidP="00775DDD">
            <w:pPr>
              <w:pStyle w:val="Tekstprzypisudolnego"/>
              <w:spacing w:before="120" w:after="120" w:line="240" w:lineRule="auto"/>
              <w:contextualSpacing/>
              <w:jc w:val="center"/>
              <w:rPr>
                <w:rFonts w:ascii="Lato" w:hAnsi="Lato"/>
                <w:bCs/>
                <w:color w:val="000000" w:themeColor="text1"/>
                <w:sz w:val="22"/>
                <w:szCs w:val="22"/>
              </w:rPr>
            </w:pPr>
            <w:r w:rsidRPr="00AA22C4">
              <w:rPr>
                <w:rFonts w:ascii="Lato" w:hAnsi="Lato"/>
                <w:bCs/>
                <w:color w:val="000000" w:themeColor="text1"/>
                <w:sz w:val="22"/>
                <w:szCs w:val="22"/>
              </w:rPr>
              <w:t>Wiek</w:t>
            </w:r>
          </w:p>
        </w:tc>
        <w:tc>
          <w:tcPr>
            <w:tcW w:w="3855" w:type="dxa"/>
            <w:vAlign w:val="center"/>
          </w:tcPr>
          <w:p w14:paraId="1F3CFFEF" w14:textId="77777777" w:rsidR="005E347E" w:rsidRPr="00AA22C4" w:rsidRDefault="005E347E" w:rsidP="00775DDD">
            <w:pPr>
              <w:pStyle w:val="Tekstprzypisudolnego"/>
              <w:spacing w:before="120" w:after="120" w:line="240" w:lineRule="auto"/>
              <w:contextualSpacing/>
              <w:jc w:val="center"/>
              <w:rPr>
                <w:rFonts w:ascii="Lato" w:hAnsi="Lato"/>
                <w:bCs/>
                <w:color w:val="000000" w:themeColor="text1"/>
                <w:sz w:val="22"/>
                <w:szCs w:val="22"/>
              </w:rPr>
            </w:pPr>
            <w:r w:rsidRPr="00AA22C4">
              <w:rPr>
                <w:rFonts w:ascii="Lato" w:hAnsi="Lato"/>
                <w:bCs/>
                <w:color w:val="000000" w:themeColor="text1"/>
                <w:sz w:val="22"/>
                <w:szCs w:val="22"/>
              </w:rPr>
              <w:t xml:space="preserve">Częstość badania stężenia </w:t>
            </w:r>
            <w:proofErr w:type="spellStart"/>
            <w:r w:rsidRPr="00AA22C4">
              <w:rPr>
                <w:rFonts w:ascii="Lato" w:hAnsi="Lato"/>
                <w:bCs/>
                <w:color w:val="000000" w:themeColor="text1"/>
                <w:sz w:val="22"/>
                <w:szCs w:val="22"/>
              </w:rPr>
              <w:t>Phe</w:t>
            </w:r>
            <w:proofErr w:type="spellEnd"/>
          </w:p>
          <w:p w14:paraId="02333025" w14:textId="77777777" w:rsidR="005E347E" w:rsidRPr="00AA22C4" w:rsidRDefault="005E347E" w:rsidP="00775DDD">
            <w:pPr>
              <w:pStyle w:val="Tekstprzypisudolnego"/>
              <w:spacing w:before="120" w:after="120" w:line="240" w:lineRule="auto"/>
              <w:contextualSpacing/>
              <w:jc w:val="center"/>
              <w:rPr>
                <w:rFonts w:ascii="Lato" w:hAnsi="Lato"/>
                <w:bCs/>
                <w:color w:val="000000" w:themeColor="text1"/>
                <w:sz w:val="22"/>
                <w:szCs w:val="22"/>
              </w:rPr>
            </w:pPr>
            <w:r w:rsidRPr="00AA22C4">
              <w:rPr>
                <w:rFonts w:ascii="Lato" w:hAnsi="Lato"/>
                <w:bCs/>
                <w:color w:val="000000" w:themeColor="text1"/>
                <w:sz w:val="22"/>
                <w:szCs w:val="22"/>
              </w:rPr>
              <w:t>we krwi</w:t>
            </w:r>
          </w:p>
        </w:tc>
      </w:tr>
      <w:tr w:rsidR="00B3776C" w:rsidRPr="00B3776C" w14:paraId="4FE0F9E0" w14:textId="77777777" w:rsidTr="00775DDD">
        <w:trPr>
          <w:trHeight w:val="396"/>
          <w:jc w:val="center"/>
        </w:trPr>
        <w:tc>
          <w:tcPr>
            <w:tcW w:w="562" w:type="dxa"/>
          </w:tcPr>
          <w:p w14:paraId="7BEA106E" w14:textId="77777777" w:rsidR="005E347E" w:rsidRPr="00AA22C4" w:rsidRDefault="005E347E" w:rsidP="00775DDD">
            <w:pPr>
              <w:pStyle w:val="Tekstprzypisudolnego"/>
              <w:spacing w:before="120"/>
              <w:contextualSpacing/>
              <w:jc w:val="center"/>
              <w:rPr>
                <w:rFonts w:ascii="Lato" w:hAnsi="Lato"/>
                <w:color w:val="000000" w:themeColor="text1"/>
                <w:sz w:val="22"/>
                <w:szCs w:val="22"/>
              </w:rPr>
            </w:pPr>
            <w:r w:rsidRPr="00AA22C4">
              <w:rPr>
                <w:rFonts w:ascii="Lato" w:hAnsi="Lato"/>
                <w:color w:val="000000" w:themeColor="text1"/>
                <w:sz w:val="22"/>
                <w:szCs w:val="22"/>
              </w:rPr>
              <w:t>1</w:t>
            </w:r>
          </w:p>
        </w:tc>
        <w:tc>
          <w:tcPr>
            <w:tcW w:w="3545" w:type="dxa"/>
            <w:vAlign w:val="center"/>
          </w:tcPr>
          <w:p w14:paraId="5D853707" w14:textId="3362BC44" w:rsidR="005E347E" w:rsidRPr="00AA22C4" w:rsidRDefault="005E347E" w:rsidP="006C3E4C">
            <w:pPr>
              <w:pStyle w:val="Tekstprzypisudolnego"/>
              <w:spacing w:before="120"/>
              <w:contextualSpacing/>
              <w:rPr>
                <w:rFonts w:ascii="Lato" w:hAnsi="Lato"/>
                <w:color w:val="000000" w:themeColor="text1"/>
                <w:sz w:val="22"/>
                <w:szCs w:val="22"/>
              </w:rPr>
            </w:pPr>
            <w:r w:rsidRPr="00AA22C4">
              <w:rPr>
                <w:rFonts w:ascii="Lato" w:hAnsi="Lato"/>
                <w:color w:val="000000" w:themeColor="text1"/>
                <w:sz w:val="22"/>
                <w:szCs w:val="22"/>
              </w:rPr>
              <w:t xml:space="preserve">1 </w:t>
            </w:r>
            <w:r w:rsidR="006C3E4C" w:rsidRPr="00AA22C4">
              <w:rPr>
                <w:rFonts w:ascii="Lato" w:hAnsi="Lato"/>
                <w:color w:val="000000" w:themeColor="text1"/>
                <w:sz w:val="22"/>
                <w:szCs w:val="22"/>
              </w:rPr>
              <w:t>r.ż.</w:t>
            </w:r>
          </w:p>
        </w:tc>
        <w:tc>
          <w:tcPr>
            <w:tcW w:w="3855" w:type="dxa"/>
            <w:vAlign w:val="center"/>
          </w:tcPr>
          <w:p w14:paraId="5A9CE3EE" w14:textId="77777777" w:rsidR="005E347E" w:rsidRPr="00AA22C4" w:rsidRDefault="005E347E" w:rsidP="00775DDD">
            <w:pPr>
              <w:pStyle w:val="Tekstprzypisudolnego"/>
              <w:spacing w:before="120"/>
              <w:contextualSpacing/>
              <w:rPr>
                <w:rFonts w:ascii="Lato" w:hAnsi="Lato"/>
                <w:color w:val="000000" w:themeColor="text1"/>
                <w:sz w:val="22"/>
                <w:szCs w:val="22"/>
              </w:rPr>
            </w:pPr>
            <w:r w:rsidRPr="00AA22C4">
              <w:rPr>
                <w:rFonts w:ascii="Lato" w:hAnsi="Lato"/>
                <w:color w:val="000000" w:themeColor="text1"/>
                <w:sz w:val="22"/>
                <w:szCs w:val="22"/>
              </w:rPr>
              <w:t>1 raz na tydzień</w:t>
            </w:r>
          </w:p>
        </w:tc>
      </w:tr>
      <w:tr w:rsidR="00B3776C" w:rsidRPr="00B3776C" w14:paraId="264D77A1" w14:textId="77777777" w:rsidTr="00775DDD">
        <w:trPr>
          <w:trHeight w:val="396"/>
          <w:jc w:val="center"/>
        </w:trPr>
        <w:tc>
          <w:tcPr>
            <w:tcW w:w="562" w:type="dxa"/>
          </w:tcPr>
          <w:p w14:paraId="04DEED1B" w14:textId="77777777" w:rsidR="005E347E" w:rsidRPr="00AA22C4" w:rsidRDefault="005E347E" w:rsidP="00775DDD">
            <w:pPr>
              <w:pStyle w:val="Tekstprzypisudolnego"/>
              <w:spacing w:before="120"/>
              <w:contextualSpacing/>
              <w:jc w:val="center"/>
              <w:rPr>
                <w:rFonts w:ascii="Lato" w:hAnsi="Lato"/>
                <w:color w:val="000000" w:themeColor="text1"/>
                <w:sz w:val="22"/>
                <w:szCs w:val="22"/>
              </w:rPr>
            </w:pPr>
            <w:r w:rsidRPr="00AA22C4">
              <w:rPr>
                <w:rFonts w:ascii="Lato" w:hAnsi="Lato"/>
                <w:color w:val="000000" w:themeColor="text1"/>
                <w:sz w:val="22"/>
                <w:szCs w:val="22"/>
              </w:rPr>
              <w:t>2</w:t>
            </w:r>
          </w:p>
        </w:tc>
        <w:tc>
          <w:tcPr>
            <w:tcW w:w="3545" w:type="dxa"/>
            <w:vAlign w:val="center"/>
          </w:tcPr>
          <w:p w14:paraId="773AD968" w14:textId="6DDD4DD9" w:rsidR="005E347E" w:rsidRPr="00AA22C4" w:rsidRDefault="005E347E" w:rsidP="006C3E4C">
            <w:pPr>
              <w:pStyle w:val="Tekstprzypisudolnego"/>
              <w:spacing w:before="120"/>
              <w:contextualSpacing/>
              <w:rPr>
                <w:rFonts w:ascii="Lato" w:hAnsi="Lato"/>
                <w:color w:val="000000" w:themeColor="text1"/>
                <w:sz w:val="22"/>
                <w:szCs w:val="22"/>
              </w:rPr>
            </w:pPr>
            <w:r w:rsidRPr="00AA22C4">
              <w:rPr>
                <w:rFonts w:ascii="Lato" w:hAnsi="Lato"/>
                <w:color w:val="000000" w:themeColor="text1"/>
                <w:sz w:val="22"/>
                <w:szCs w:val="22"/>
              </w:rPr>
              <w:t xml:space="preserve">1-12 </w:t>
            </w:r>
            <w:r w:rsidR="006C3E4C" w:rsidRPr="00AA22C4">
              <w:rPr>
                <w:rFonts w:ascii="Lato" w:hAnsi="Lato"/>
                <w:color w:val="000000" w:themeColor="text1"/>
                <w:sz w:val="22"/>
                <w:szCs w:val="22"/>
              </w:rPr>
              <w:t>r.ż.</w:t>
            </w:r>
          </w:p>
        </w:tc>
        <w:tc>
          <w:tcPr>
            <w:tcW w:w="3855" w:type="dxa"/>
            <w:vAlign w:val="center"/>
          </w:tcPr>
          <w:p w14:paraId="27B35841" w14:textId="77777777" w:rsidR="005E347E" w:rsidRPr="00AA22C4" w:rsidRDefault="005E347E" w:rsidP="00775DDD">
            <w:pPr>
              <w:pStyle w:val="Tekstprzypisudolnego"/>
              <w:spacing w:before="120"/>
              <w:contextualSpacing/>
              <w:rPr>
                <w:rFonts w:ascii="Lato" w:hAnsi="Lato"/>
                <w:color w:val="000000" w:themeColor="text1"/>
                <w:sz w:val="22"/>
                <w:szCs w:val="22"/>
              </w:rPr>
            </w:pPr>
            <w:r w:rsidRPr="00AA22C4">
              <w:rPr>
                <w:rFonts w:ascii="Lato" w:hAnsi="Lato"/>
                <w:color w:val="000000" w:themeColor="text1"/>
                <w:sz w:val="22"/>
                <w:szCs w:val="22"/>
              </w:rPr>
              <w:t>1 raz na 2 tygodnie</w:t>
            </w:r>
          </w:p>
        </w:tc>
      </w:tr>
      <w:tr w:rsidR="00B3776C" w:rsidRPr="00B3776C" w14:paraId="67129135" w14:textId="77777777" w:rsidTr="00775DDD">
        <w:trPr>
          <w:trHeight w:val="396"/>
          <w:jc w:val="center"/>
        </w:trPr>
        <w:tc>
          <w:tcPr>
            <w:tcW w:w="562" w:type="dxa"/>
          </w:tcPr>
          <w:p w14:paraId="04F30FF1" w14:textId="77777777" w:rsidR="005E347E" w:rsidRPr="00AA22C4" w:rsidRDefault="005E347E" w:rsidP="00775DDD">
            <w:pPr>
              <w:pStyle w:val="Tekstprzypisudolnego"/>
              <w:spacing w:before="120"/>
              <w:contextualSpacing/>
              <w:jc w:val="center"/>
              <w:rPr>
                <w:rFonts w:ascii="Lato" w:hAnsi="Lato"/>
                <w:color w:val="000000" w:themeColor="text1"/>
                <w:sz w:val="22"/>
                <w:szCs w:val="22"/>
              </w:rPr>
            </w:pPr>
            <w:r w:rsidRPr="00AA22C4">
              <w:rPr>
                <w:rFonts w:ascii="Lato" w:hAnsi="Lato"/>
                <w:color w:val="000000" w:themeColor="text1"/>
                <w:sz w:val="22"/>
                <w:szCs w:val="22"/>
              </w:rPr>
              <w:t>3</w:t>
            </w:r>
          </w:p>
        </w:tc>
        <w:tc>
          <w:tcPr>
            <w:tcW w:w="3545" w:type="dxa"/>
            <w:vAlign w:val="center"/>
          </w:tcPr>
          <w:p w14:paraId="7BB749B8" w14:textId="5E00732B" w:rsidR="005E347E" w:rsidRPr="00AA22C4" w:rsidRDefault="005E347E" w:rsidP="006C3E4C">
            <w:pPr>
              <w:pStyle w:val="Tekstprzypisudolnego"/>
              <w:spacing w:before="120"/>
              <w:contextualSpacing/>
              <w:rPr>
                <w:rFonts w:ascii="Lato" w:hAnsi="Lato"/>
                <w:color w:val="000000" w:themeColor="text1"/>
                <w:sz w:val="22"/>
                <w:szCs w:val="22"/>
              </w:rPr>
            </w:pPr>
            <w:r w:rsidRPr="00AA22C4">
              <w:rPr>
                <w:rFonts w:ascii="Lato" w:hAnsi="Lato"/>
                <w:color w:val="000000" w:themeColor="text1"/>
                <w:sz w:val="22"/>
                <w:szCs w:val="22"/>
              </w:rPr>
              <w:t xml:space="preserve">Powyżej 12 </w:t>
            </w:r>
            <w:r w:rsidR="006C3E4C" w:rsidRPr="00AA22C4">
              <w:rPr>
                <w:rFonts w:ascii="Lato" w:hAnsi="Lato"/>
                <w:color w:val="000000" w:themeColor="text1"/>
                <w:sz w:val="22"/>
                <w:szCs w:val="22"/>
              </w:rPr>
              <w:t>r.ż.</w:t>
            </w:r>
          </w:p>
        </w:tc>
        <w:tc>
          <w:tcPr>
            <w:tcW w:w="3855" w:type="dxa"/>
            <w:vAlign w:val="center"/>
          </w:tcPr>
          <w:p w14:paraId="41940863" w14:textId="77777777" w:rsidR="005E347E" w:rsidRPr="00AA22C4" w:rsidRDefault="005E347E" w:rsidP="00775DDD">
            <w:pPr>
              <w:pStyle w:val="Tekstprzypisudolnego"/>
              <w:spacing w:before="120"/>
              <w:contextualSpacing/>
              <w:rPr>
                <w:rFonts w:ascii="Lato" w:hAnsi="Lato"/>
                <w:color w:val="000000" w:themeColor="text1"/>
                <w:sz w:val="22"/>
                <w:szCs w:val="22"/>
              </w:rPr>
            </w:pPr>
            <w:r w:rsidRPr="00AA22C4">
              <w:rPr>
                <w:rFonts w:ascii="Lato" w:hAnsi="Lato"/>
                <w:color w:val="000000" w:themeColor="text1"/>
                <w:sz w:val="22"/>
                <w:szCs w:val="22"/>
              </w:rPr>
              <w:t>1 raz w miesiącu</w:t>
            </w:r>
          </w:p>
        </w:tc>
      </w:tr>
      <w:tr w:rsidR="00B3776C" w:rsidRPr="00B3776C" w14:paraId="2B0C1768" w14:textId="77777777" w:rsidTr="00775DDD">
        <w:trPr>
          <w:trHeight w:val="396"/>
          <w:jc w:val="center"/>
        </w:trPr>
        <w:tc>
          <w:tcPr>
            <w:tcW w:w="562" w:type="dxa"/>
          </w:tcPr>
          <w:p w14:paraId="4E5996E3" w14:textId="77777777" w:rsidR="005E347E" w:rsidRPr="00AA22C4" w:rsidRDefault="005E347E" w:rsidP="00775DDD">
            <w:pPr>
              <w:pStyle w:val="Tekstprzypisudolnego"/>
              <w:spacing w:before="120"/>
              <w:contextualSpacing/>
              <w:jc w:val="center"/>
              <w:rPr>
                <w:rFonts w:ascii="Lato" w:hAnsi="Lato"/>
                <w:color w:val="000000" w:themeColor="text1"/>
                <w:sz w:val="22"/>
                <w:szCs w:val="22"/>
              </w:rPr>
            </w:pPr>
            <w:r w:rsidRPr="00AA22C4">
              <w:rPr>
                <w:rFonts w:ascii="Lato" w:hAnsi="Lato"/>
                <w:color w:val="000000" w:themeColor="text1"/>
                <w:sz w:val="22"/>
                <w:szCs w:val="22"/>
              </w:rPr>
              <w:t>4</w:t>
            </w:r>
          </w:p>
        </w:tc>
        <w:tc>
          <w:tcPr>
            <w:tcW w:w="3545" w:type="dxa"/>
            <w:vAlign w:val="center"/>
          </w:tcPr>
          <w:p w14:paraId="5DFE6D3C" w14:textId="77777777" w:rsidR="005E347E" w:rsidRPr="00AA22C4" w:rsidRDefault="005E347E" w:rsidP="00775DDD">
            <w:pPr>
              <w:pStyle w:val="Tekstprzypisudolnego"/>
              <w:spacing w:before="120"/>
              <w:contextualSpacing/>
              <w:rPr>
                <w:rFonts w:ascii="Lato" w:hAnsi="Lato"/>
                <w:color w:val="000000" w:themeColor="text1"/>
                <w:sz w:val="22"/>
                <w:szCs w:val="22"/>
              </w:rPr>
            </w:pPr>
            <w:r w:rsidRPr="00AA22C4">
              <w:rPr>
                <w:rFonts w:ascii="Lato" w:hAnsi="Lato"/>
                <w:color w:val="000000" w:themeColor="text1"/>
                <w:sz w:val="22"/>
                <w:szCs w:val="22"/>
              </w:rPr>
              <w:t xml:space="preserve">W okresie </w:t>
            </w:r>
            <w:proofErr w:type="spellStart"/>
            <w:r w:rsidRPr="00AA22C4">
              <w:rPr>
                <w:rFonts w:ascii="Lato" w:hAnsi="Lato"/>
                <w:color w:val="000000" w:themeColor="text1"/>
                <w:sz w:val="22"/>
                <w:szCs w:val="22"/>
              </w:rPr>
              <w:t>przedkoncepcyjnym</w:t>
            </w:r>
            <w:proofErr w:type="spellEnd"/>
            <w:r w:rsidRPr="00AA22C4">
              <w:rPr>
                <w:rFonts w:ascii="Lato" w:hAnsi="Lato"/>
                <w:color w:val="000000" w:themeColor="text1"/>
                <w:sz w:val="22"/>
                <w:szCs w:val="22"/>
              </w:rPr>
              <w:t xml:space="preserve"> </w:t>
            </w:r>
          </w:p>
        </w:tc>
        <w:tc>
          <w:tcPr>
            <w:tcW w:w="3855" w:type="dxa"/>
            <w:vAlign w:val="center"/>
          </w:tcPr>
          <w:p w14:paraId="04B190C9" w14:textId="77777777" w:rsidR="005E347E" w:rsidRPr="00AA22C4" w:rsidRDefault="005E347E" w:rsidP="00775DDD">
            <w:pPr>
              <w:pStyle w:val="Tekstprzypisudolnego"/>
              <w:spacing w:before="120"/>
              <w:contextualSpacing/>
              <w:rPr>
                <w:rFonts w:ascii="Lato" w:hAnsi="Lato"/>
                <w:color w:val="000000" w:themeColor="text1"/>
                <w:sz w:val="22"/>
                <w:szCs w:val="22"/>
              </w:rPr>
            </w:pPr>
            <w:r w:rsidRPr="00AA22C4">
              <w:rPr>
                <w:rFonts w:ascii="Lato" w:hAnsi="Lato"/>
                <w:color w:val="000000" w:themeColor="text1"/>
                <w:sz w:val="22"/>
                <w:szCs w:val="22"/>
              </w:rPr>
              <w:t>1 razy w tygodniu</w:t>
            </w:r>
          </w:p>
        </w:tc>
      </w:tr>
      <w:tr w:rsidR="00B3776C" w:rsidRPr="00B3776C" w14:paraId="49810EC5" w14:textId="77777777" w:rsidTr="00775DDD">
        <w:trPr>
          <w:trHeight w:val="396"/>
          <w:jc w:val="center"/>
        </w:trPr>
        <w:tc>
          <w:tcPr>
            <w:tcW w:w="562" w:type="dxa"/>
          </w:tcPr>
          <w:p w14:paraId="09EAC6F4" w14:textId="77777777" w:rsidR="005E347E" w:rsidRPr="00AA22C4" w:rsidRDefault="005E347E" w:rsidP="00775DDD">
            <w:pPr>
              <w:pStyle w:val="Tekstprzypisudolnego"/>
              <w:spacing w:before="120"/>
              <w:contextualSpacing/>
              <w:jc w:val="center"/>
              <w:rPr>
                <w:rFonts w:ascii="Lato" w:hAnsi="Lato"/>
                <w:color w:val="000000" w:themeColor="text1"/>
                <w:sz w:val="22"/>
                <w:szCs w:val="22"/>
              </w:rPr>
            </w:pPr>
            <w:r w:rsidRPr="00AA22C4">
              <w:rPr>
                <w:rFonts w:ascii="Lato" w:hAnsi="Lato"/>
                <w:color w:val="000000" w:themeColor="text1"/>
                <w:sz w:val="22"/>
                <w:szCs w:val="22"/>
              </w:rPr>
              <w:t>5</w:t>
            </w:r>
          </w:p>
        </w:tc>
        <w:tc>
          <w:tcPr>
            <w:tcW w:w="3545" w:type="dxa"/>
            <w:vAlign w:val="center"/>
          </w:tcPr>
          <w:p w14:paraId="0EDF2DC6" w14:textId="77777777" w:rsidR="005E347E" w:rsidRPr="00AA22C4" w:rsidRDefault="005E347E" w:rsidP="00775DDD">
            <w:pPr>
              <w:pStyle w:val="Tekstprzypisudolnego"/>
              <w:spacing w:before="120"/>
              <w:contextualSpacing/>
              <w:rPr>
                <w:rFonts w:ascii="Lato" w:hAnsi="Lato"/>
                <w:color w:val="000000" w:themeColor="text1"/>
                <w:sz w:val="22"/>
                <w:szCs w:val="22"/>
              </w:rPr>
            </w:pPr>
            <w:r w:rsidRPr="00AA22C4">
              <w:rPr>
                <w:rFonts w:ascii="Lato" w:hAnsi="Lato"/>
                <w:color w:val="000000" w:themeColor="text1"/>
                <w:sz w:val="22"/>
                <w:szCs w:val="22"/>
              </w:rPr>
              <w:t>W trakcie ciąży</w:t>
            </w:r>
          </w:p>
        </w:tc>
        <w:tc>
          <w:tcPr>
            <w:tcW w:w="3855" w:type="dxa"/>
            <w:vAlign w:val="center"/>
          </w:tcPr>
          <w:p w14:paraId="22EBC213" w14:textId="77777777" w:rsidR="005E347E" w:rsidRPr="00AA22C4" w:rsidRDefault="005E347E" w:rsidP="00775DDD">
            <w:pPr>
              <w:pStyle w:val="Tekstprzypisudolnego"/>
              <w:spacing w:before="120"/>
              <w:contextualSpacing/>
              <w:rPr>
                <w:rFonts w:ascii="Lato" w:hAnsi="Lato"/>
                <w:color w:val="000000" w:themeColor="text1"/>
                <w:sz w:val="22"/>
                <w:szCs w:val="22"/>
              </w:rPr>
            </w:pPr>
            <w:r w:rsidRPr="00AA22C4">
              <w:rPr>
                <w:rFonts w:ascii="Lato" w:hAnsi="Lato"/>
                <w:color w:val="000000" w:themeColor="text1"/>
                <w:sz w:val="22"/>
                <w:szCs w:val="22"/>
              </w:rPr>
              <w:t>2 razy w tygodniu</w:t>
            </w:r>
          </w:p>
        </w:tc>
      </w:tr>
      <w:tr w:rsidR="005E347E" w:rsidRPr="00AA22C4" w14:paraId="34057FCA" w14:textId="77777777" w:rsidTr="00775DDD">
        <w:trPr>
          <w:trHeight w:val="276"/>
          <w:jc w:val="center"/>
        </w:trPr>
        <w:tc>
          <w:tcPr>
            <w:tcW w:w="7962" w:type="dxa"/>
            <w:gridSpan w:val="3"/>
          </w:tcPr>
          <w:p w14:paraId="77207A6C" w14:textId="77777777" w:rsidR="005E347E" w:rsidRPr="00AA22C4" w:rsidRDefault="005E347E" w:rsidP="00775DDD">
            <w:pPr>
              <w:pStyle w:val="Tekstprzypisudolnego"/>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 xml:space="preserve">Częściej w zależności od wskazań: zmiana leczenia, wskazania kliniczne, problemy z przestrzeganiem zaleceń dotyczących leczenia </w:t>
            </w:r>
          </w:p>
        </w:tc>
      </w:tr>
    </w:tbl>
    <w:p w14:paraId="52043A47" w14:textId="77777777" w:rsidR="005E347E" w:rsidRPr="00AA22C4" w:rsidRDefault="005E347E" w:rsidP="005E347E">
      <w:pPr>
        <w:widowControl/>
        <w:spacing w:line="240" w:lineRule="auto"/>
        <w:rPr>
          <w:rFonts w:ascii="Lato" w:hAnsi="Lato"/>
          <w:b/>
          <w:color w:val="000000" w:themeColor="text1"/>
          <w:sz w:val="22"/>
          <w:szCs w:val="22"/>
        </w:rPr>
      </w:pPr>
    </w:p>
    <w:p w14:paraId="073CA417" w14:textId="77777777" w:rsidR="005E347E" w:rsidRPr="00AA22C4" w:rsidRDefault="005E347E" w:rsidP="005E347E">
      <w:pPr>
        <w:widowControl/>
        <w:spacing w:line="240" w:lineRule="auto"/>
        <w:rPr>
          <w:rFonts w:ascii="Lato" w:hAnsi="Lato"/>
          <w:b/>
          <w:color w:val="000000" w:themeColor="text1"/>
          <w:sz w:val="22"/>
          <w:szCs w:val="22"/>
        </w:rPr>
      </w:pPr>
      <w:r w:rsidRPr="00AA22C4">
        <w:rPr>
          <w:rFonts w:ascii="Lato" w:hAnsi="Lato"/>
          <w:b/>
          <w:color w:val="000000" w:themeColor="text1"/>
          <w:sz w:val="22"/>
          <w:szCs w:val="22"/>
        </w:rPr>
        <w:br w:type="page"/>
      </w:r>
    </w:p>
    <w:p w14:paraId="3C6FC838" w14:textId="77777777" w:rsidR="005E347E" w:rsidRPr="00AA22C4" w:rsidRDefault="005E347E" w:rsidP="005E347E">
      <w:pPr>
        <w:pStyle w:val="Tekstprzypisudolnego"/>
        <w:spacing w:before="120" w:after="120"/>
        <w:contextualSpacing/>
        <w:jc w:val="both"/>
        <w:rPr>
          <w:rFonts w:ascii="Lato" w:hAnsi="Lato"/>
          <w:b/>
          <w:color w:val="000000" w:themeColor="text1"/>
          <w:sz w:val="22"/>
          <w:szCs w:val="22"/>
          <w:u w:val="single"/>
        </w:rPr>
      </w:pPr>
      <w:r w:rsidRPr="00AA22C4">
        <w:rPr>
          <w:rFonts w:ascii="Lato" w:hAnsi="Lato"/>
          <w:b/>
          <w:color w:val="000000" w:themeColor="text1"/>
          <w:sz w:val="22"/>
          <w:szCs w:val="22"/>
        </w:rPr>
        <w:lastRenderedPageBreak/>
        <w:t xml:space="preserve">Tab. 9 Minimalna częstość wizyt w Poradni Chorób Metabolicznych (Poradni Fenyloketonurii) </w:t>
      </w:r>
      <w:r w:rsidRPr="00AA22C4">
        <w:rPr>
          <w:rFonts w:ascii="Lato" w:hAnsi="Lato"/>
          <w:b/>
          <w:color w:val="000000" w:themeColor="text1"/>
          <w:sz w:val="22"/>
          <w:szCs w:val="22"/>
          <w:u w:val="single"/>
        </w:rPr>
        <w:t>pacjentów z dobrym poziomem wyrównania metabolicznego PKU.</w:t>
      </w:r>
    </w:p>
    <w:p w14:paraId="2760D939" w14:textId="77777777" w:rsidR="005E347E" w:rsidRPr="00AA22C4" w:rsidRDefault="005E347E" w:rsidP="005E347E">
      <w:pPr>
        <w:pStyle w:val="Tekstprzypisudolnego"/>
        <w:spacing w:before="120" w:after="120"/>
        <w:contextualSpacing/>
        <w:jc w:val="both"/>
        <w:rPr>
          <w:rFonts w:ascii="Lato" w:hAnsi="Lato"/>
          <w:b/>
          <w:color w:val="000000" w:themeColor="text1"/>
          <w:sz w:val="22"/>
          <w:szCs w:val="22"/>
        </w:rPr>
      </w:pPr>
    </w:p>
    <w:tbl>
      <w:tblPr>
        <w:tblW w:w="7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2"/>
        <w:gridCol w:w="3545"/>
        <w:gridCol w:w="3855"/>
      </w:tblGrid>
      <w:tr w:rsidR="00B3776C" w:rsidRPr="00B3776C" w14:paraId="0DBB9950" w14:textId="77777777" w:rsidTr="00775DDD">
        <w:trPr>
          <w:trHeight w:val="571"/>
          <w:jc w:val="center"/>
        </w:trPr>
        <w:tc>
          <w:tcPr>
            <w:tcW w:w="562" w:type="dxa"/>
          </w:tcPr>
          <w:p w14:paraId="497A211F" w14:textId="77777777" w:rsidR="005E347E" w:rsidRPr="00AA22C4" w:rsidRDefault="005E347E" w:rsidP="00775DDD">
            <w:pPr>
              <w:pStyle w:val="Tekstprzypisudolnego"/>
              <w:spacing w:before="120" w:after="120"/>
              <w:contextualSpacing/>
              <w:jc w:val="center"/>
              <w:rPr>
                <w:rFonts w:ascii="Lato" w:hAnsi="Lato"/>
                <w:color w:val="000000" w:themeColor="text1"/>
                <w:sz w:val="22"/>
                <w:szCs w:val="22"/>
              </w:rPr>
            </w:pPr>
          </w:p>
        </w:tc>
        <w:tc>
          <w:tcPr>
            <w:tcW w:w="3545" w:type="dxa"/>
            <w:vAlign w:val="center"/>
          </w:tcPr>
          <w:p w14:paraId="6D556BB0" w14:textId="77777777" w:rsidR="005E347E" w:rsidRPr="00AA22C4" w:rsidRDefault="005E347E" w:rsidP="00775DDD">
            <w:pPr>
              <w:pStyle w:val="Tekstprzypisudolnego"/>
              <w:spacing w:before="120" w:after="120" w:line="240" w:lineRule="auto"/>
              <w:contextualSpacing/>
              <w:jc w:val="center"/>
              <w:rPr>
                <w:rFonts w:ascii="Lato" w:hAnsi="Lato"/>
                <w:bCs/>
                <w:color w:val="000000" w:themeColor="text1"/>
                <w:sz w:val="22"/>
                <w:szCs w:val="22"/>
              </w:rPr>
            </w:pPr>
            <w:r w:rsidRPr="00AA22C4">
              <w:rPr>
                <w:rFonts w:ascii="Lato" w:hAnsi="Lato"/>
                <w:bCs/>
                <w:color w:val="000000" w:themeColor="text1"/>
                <w:sz w:val="22"/>
                <w:szCs w:val="22"/>
              </w:rPr>
              <w:t>Wiek</w:t>
            </w:r>
          </w:p>
        </w:tc>
        <w:tc>
          <w:tcPr>
            <w:tcW w:w="3855" w:type="dxa"/>
            <w:vAlign w:val="center"/>
          </w:tcPr>
          <w:p w14:paraId="01113F72" w14:textId="77777777" w:rsidR="005E347E" w:rsidRPr="00AA22C4" w:rsidRDefault="005E347E" w:rsidP="00775DDD">
            <w:pPr>
              <w:pStyle w:val="Tekstprzypisudolnego"/>
              <w:spacing w:before="120" w:after="120" w:line="240" w:lineRule="auto"/>
              <w:contextualSpacing/>
              <w:jc w:val="center"/>
              <w:rPr>
                <w:rFonts w:ascii="Lato" w:hAnsi="Lato"/>
                <w:bCs/>
                <w:color w:val="000000" w:themeColor="text1"/>
                <w:sz w:val="22"/>
                <w:szCs w:val="22"/>
              </w:rPr>
            </w:pPr>
            <w:r w:rsidRPr="00AA22C4">
              <w:rPr>
                <w:rFonts w:ascii="Lato" w:hAnsi="Lato"/>
                <w:bCs/>
                <w:color w:val="000000" w:themeColor="text1"/>
                <w:sz w:val="22"/>
                <w:szCs w:val="22"/>
              </w:rPr>
              <w:t>Częstość wizyt w Poradni</w:t>
            </w:r>
          </w:p>
        </w:tc>
      </w:tr>
      <w:tr w:rsidR="00B3776C" w:rsidRPr="00B3776C" w14:paraId="5AA08A59" w14:textId="77777777" w:rsidTr="00775DDD">
        <w:trPr>
          <w:trHeight w:val="396"/>
          <w:jc w:val="center"/>
        </w:trPr>
        <w:tc>
          <w:tcPr>
            <w:tcW w:w="562" w:type="dxa"/>
          </w:tcPr>
          <w:p w14:paraId="70F53B92" w14:textId="77777777" w:rsidR="005E347E" w:rsidRPr="00AA22C4" w:rsidRDefault="005E347E" w:rsidP="00775DDD">
            <w:pPr>
              <w:pStyle w:val="Tekstprzypisudolnego"/>
              <w:spacing w:before="120"/>
              <w:contextualSpacing/>
              <w:jc w:val="center"/>
              <w:rPr>
                <w:rFonts w:ascii="Lato" w:hAnsi="Lato"/>
                <w:color w:val="000000" w:themeColor="text1"/>
                <w:sz w:val="22"/>
                <w:szCs w:val="22"/>
              </w:rPr>
            </w:pPr>
            <w:r w:rsidRPr="00AA22C4">
              <w:rPr>
                <w:rFonts w:ascii="Lato" w:hAnsi="Lato"/>
                <w:color w:val="000000" w:themeColor="text1"/>
                <w:sz w:val="22"/>
                <w:szCs w:val="22"/>
              </w:rPr>
              <w:t>1</w:t>
            </w:r>
          </w:p>
        </w:tc>
        <w:tc>
          <w:tcPr>
            <w:tcW w:w="3545" w:type="dxa"/>
            <w:vAlign w:val="center"/>
          </w:tcPr>
          <w:p w14:paraId="0AFB4D83" w14:textId="411EEC89" w:rsidR="005E347E" w:rsidRPr="00AA22C4" w:rsidRDefault="005E347E" w:rsidP="00775DDD">
            <w:pPr>
              <w:pStyle w:val="Tekstprzypisudolnego"/>
              <w:spacing w:before="120"/>
              <w:contextualSpacing/>
              <w:rPr>
                <w:rFonts w:ascii="Lato" w:hAnsi="Lato"/>
                <w:color w:val="000000" w:themeColor="text1"/>
                <w:sz w:val="22"/>
                <w:szCs w:val="22"/>
              </w:rPr>
            </w:pPr>
            <w:r w:rsidRPr="00AA22C4">
              <w:rPr>
                <w:rFonts w:ascii="Lato" w:hAnsi="Lato"/>
                <w:color w:val="000000" w:themeColor="text1"/>
                <w:sz w:val="22"/>
                <w:szCs w:val="22"/>
              </w:rPr>
              <w:t>1</w:t>
            </w:r>
            <w:r w:rsidR="00A04888" w:rsidRPr="00AA22C4">
              <w:rPr>
                <w:rFonts w:ascii="Lato" w:hAnsi="Lato"/>
                <w:color w:val="000000" w:themeColor="text1"/>
                <w:sz w:val="22"/>
                <w:szCs w:val="22"/>
              </w:rPr>
              <w:t>.</w:t>
            </w:r>
            <w:r w:rsidRPr="00AA22C4">
              <w:rPr>
                <w:rFonts w:ascii="Lato" w:hAnsi="Lato"/>
                <w:color w:val="000000" w:themeColor="text1"/>
                <w:sz w:val="22"/>
                <w:szCs w:val="22"/>
              </w:rPr>
              <w:t xml:space="preserve"> r</w:t>
            </w:r>
            <w:r w:rsidR="00A04888" w:rsidRPr="00AA22C4">
              <w:rPr>
                <w:rFonts w:ascii="Lato" w:hAnsi="Lato"/>
                <w:color w:val="000000" w:themeColor="text1"/>
                <w:sz w:val="22"/>
                <w:szCs w:val="22"/>
              </w:rPr>
              <w:t xml:space="preserve">. </w:t>
            </w:r>
            <w:r w:rsidRPr="00AA22C4">
              <w:rPr>
                <w:rFonts w:ascii="Lato" w:hAnsi="Lato"/>
                <w:color w:val="000000" w:themeColor="text1"/>
                <w:sz w:val="22"/>
                <w:szCs w:val="22"/>
              </w:rPr>
              <w:t>ż</w:t>
            </w:r>
            <w:r w:rsidR="00A04888" w:rsidRPr="00AA22C4">
              <w:rPr>
                <w:rFonts w:ascii="Lato" w:hAnsi="Lato"/>
                <w:color w:val="000000" w:themeColor="text1"/>
                <w:sz w:val="22"/>
                <w:szCs w:val="22"/>
              </w:rPr>
              <w:t>.</w:t>
            </w:r>
          </w:p>
        </w:tc>
        <w:tc>
          <w:tcPr>
            <w:tcW w:w="3855" w:type="dxa"/>
            <w:vAlign w:val="center"/>
          </w:tcPr>
          <w:p w14:paraId="65D94107" w14:textId="77777777" w:rsidR="005E347E" w:rsidRPr="00AA22C4" w:rsidRDefault="005E347E" w:rsidP="00775DDD">
            <w:pPr>
              <w:pStyle w:val="Tekstprzypisudolnego"/>
              <w:spacing w:before="120"/>
              <w:contextualSpacing/>
              <w:rPr>
                <w:rFonts w:ascii="Lato" w:hAnsi="Lato"/>
                <w:color w:val="000000" w:themeColor="text1"/>
                <w:sz w:val="22"/>
                <w:szCs w:val="22"/>
              </w:rPr>
            </w:pPr>
            <w:r w:rsidRPr="00AA22C4">
              <w:rPr>
                <w:rFonts w:ascii="Lato" w:hAnsi="Lato"/>
                <w:color w:val="000000" w:themeColor="text1"/>
                <w:sz w:val="22"/>
                <w:szCs w:val="22"/>
              </w:rPr>
              <w:t>1 raz na 2 miesiące</w:t>
            </w:r>
          </w:p>
        </w:tc>
      </w:tr>
      <w:tr w:rsidR="00B3776C" w:rsidRPr="00B3776C" w14:paraId="67EA3D18" w14:textId="77777777" w:rsidTr="00775DDD">
        <w:trPr>
          <w:trHeight w:val="396"/>
          <w:jc w:val="center"/>
        </w:trPr>
        <w:tc>
          <w:tcPr>
            <w:tcW w:w="562" w:type="dxa"/>
          </w:tcPr>
          <w:p w14:paraId="5BE86C3F" w14:textId="77777777" w:rsidR="005E347E" w:rsidRPr="00AA22C4" w:rsidRDefault="005E347E" w:rsidP="00775DDD">
            <w:pPr>
              <w:pStyle w:val="Tekstprzypisudolnego"/>
              <w:spacing w:before="120"/>
              <w:contextualSpacing/>
              <w:jc w:val="center"/>
              <w:rPr>
                <w:rFonts w:ascii="Lato" w:hAnsi="Lato"/>
                <w:color w:val="000000" w:themeColor="text1"/>
                <w:sz w:val="22"/>
                <w:szCs w:val="22"/>
              </w:rPr>
            </w:pPr>
            <w:r w:rsidRPr="00AA22C4">
              <w:rPr>
                <w:rFonts w:ascii="Lato" w:hAnsi="Lato"/>
                <w:color w:val="000000" w:themeColor="text1"/>
                <w:sz w:val="22"/>
                <w:szCs w:val="22"/>
              </w:rPr>
              <w:t>2</w:t>
            </w:r>
          </w:p>
        </w:tc>
        <w:tc>
          <w:tcPr>
            <w:tcW w:w="3545" w:type="dxa"/>
            <w:vAlign w:val="center"/>
          </w:tcPr>
          <w:p w14:paraId="7E8D86A6" w14:textId="748F76F2" w:rsidR="005E347E" w:rsidRPr="00AA22C4" w:rsidRDefault="005E347E" w:rsidP="00775DDD">
            <w:pPr>
              <w:pStyle w:val="Tekstprzypisudolnego"/>
              <w:spacing w:before="120"/>
              <w:contextualSpacing/>
              <w:rPr>
                <w:rFonts w:ascii="Lato" w:hAnsi="Lato"/>
                <w:color w:val="000000" w:themeColor="text1"/>
                <w:sz w:val="22"/>
                <w:szCs w:val="22"/>
              </w:rPr>
            </w:pPr>
            <w:r w:rsidRPr="00AA22C4">
              <w:rPr>
                <w:rFonts w:ascii="Lato" w:hAnsi="Lato"/>
                <w:color w:val="000000" w:themeColor="text1"/>
                <w:sz w:val="22"/>
                <w:szCs w:val="22"/>
              </w:rPr>
              <w:t>1-18 r</w:t>
            </w:r>
            <w:r w:rsidR="00A04888" w:rsidRPr="00AA22C4">
              <w:rPr>
                <w:rFonts w:ascii="Lato" w:hAnsi="Lato"/>
                <w:color w:val="000000" w:themeColor="text1"/>
                <w:sz w:val="22"/>
                <w:szCs w:val="22"/>
              </w:rPr>
              <w:t>.</w:t>
            </w:r>
            <w:r w:rsidRPr="00AA22C4">
              <w:rPr>
                <w:rFonts w:ascii="Lato" w:hAnsi="Lato"/>
                <w:color w:val="000000" w:themeColor="text1"/>
                <w:sz w:val="22"/>
                <w:szCs w:val="22"/>
              </w:rPr>
              <w:t xml:space="preserve"> ż</w:t>
            </w:r>
            <w:r w:rsidR="00A04888" w:rsidRPr="00AA22C4">
              <w:rPr>
                <w:rFonts w:ascii="Lato" w:hAnsi="Lato"/>
                <w:color w:val="000000" w:themeColor="text1"/>
                <w:sz w:val="22"/>
                <w:szCs w:val="22"/>
              </w:rPr>
              <w:t>.</w:t>
            </w:r>
          </w:p>
        </w:tc>
        <w:tc>
          <w:tcPr>
            <w:tcW w:w="3855" w:type="dxa"/>
            <w:vAlign w:val="center"/>
          </w:tcPr>
          <w:p w14:paraId="16737F60" w14:textId="77777777" w:rsidR="005E347E" w:rsidRPr="00AA22C4" w:rsidRDefault="005E347E" w:rsidP="00775DDD">
            <w:pPr>
              <w:pStyle w:val="Tekstprzypisudolnego"/>
              <w:spacing w:before="120"/>
              <w:contextualSpacing/>
              <w:rPr>
                <w:rFonts w:ascii="Lato" w:hAnsi="Lato"/>
                <w:color w:val="000000" w:themeColor="text1"/>
                <w:sz w:val="22"/>
                <w:szCs w:val="22"/>
              </w:rPr>
            </w:pPr>
            <w:r w:rsidRPr="00AA22C4">
              <w:rPr>
                <w:rFonts w:ascii="Lato" w:hAnsi="Lato"/>
                <w:color w:val="000000" w:themeColor="text1"/>
                <w:sz w:val="22"/>
                <w:szCs w:val="22"/>
              </w:rPr>
              <w:t>1 raz na 6 miesięcy</w:t>
            </w:r>
          </w:p>
        </w:tc>
      </w:tr>
      <w:tr w:rsidR="00B3776C" w:rsidRPr="00B3776C" w14:paraId="474A67C6" w14:textId="77777777" w:rsidTr="00775DDD">
        <w:trPr>
          <w:trHeight w:val="396"/>
          <w:jc w:val="center"/>
        </w:trPr>
        <w:tc>
          <w:tcPr>
            <w:tcW w:w="562" w:type="dxa"/>
          </w:tcPr>
          <w:p w14:paraId="2036BCE7" w14:textId="77777777" w:rsidR="005E347E" w:rsidRPr="00AA22C4" w:rsidRDefault="005E347E" w:rsidP="00775DDD">
            <w:pPr>
              <w:pStyle w:val="Tekstprzypisudolnego"/>
              <w:spacing w:before="120"/>
              <w:contextualSpacing/>
              <w:jc w:val="center"/>
              <w:rPr>
                <w:rFonts w:ascii="Lato" w:hAnsi="Lato"/>
                <w:color w:val="000000" w:themeColor="text1"/>
                <w:sz w:val="22"/>
                <w:szCs w:val="22"/>
              </w:rPr>
            </w:pPr>
            <w:r w:rsidRPr="00AA22C4">
              <w:rPr>
                <w:rFonts w:ascii="Lato" w:hAnsi="Lato"/>
                <w:color w:val="000000" w:themeColor="text1"/>
                <w:sz w:val="22"/>
                <w:szCs w:val="22"/>
              </w:rPr>
              <w:t>3</w:t>
            </w:r>
          </w:p>
        </w:tc>
        <w:tc>
          <w:tcPr>
            <w:tcW w:w="3545" w:type="dxa"/>
            <w:vAlign w:val="center"/>
          </w:tcPr>
          <w:p w14:paraId="6EF9B512" w14:textId="1EAAB97A" w:rsidR="005E347E" w:rsidRPr="00AA22C4" w:rsidRDefault="005E347E" w:rsidP="00775DDD">
            <w:pPr>
              <w:pStyle w:val="Tekstprzypisudolnego"/>
              <w:spacing w:before="120"/>
              <w:contextualSpacing/>
              <w:rPr>
                <w:rFonts w:ascii="Lato" w:hAnsi="Lato"/>
                <w:color w:val="000000" w:themeColor="text1"/>
                <w:sz w:val="22"/>
                <w:szCs w:val="22"/>
              </w:rPr>
            </w:pPr>
            <w:r w:rsidRPr="00AA22C4">
              <w:rPr>
                <w:rFonts w:ascii="Lato" w:hAnsi="Lato"/>
                <w:color w:val="000000" w:themeColor="text1"/>
                <w:sz w:val="22"/>
                <w:szCs w:val="22"/>
              </w:rPr>
              <w:t>Powyżej 18</w:t>
            </w:r>
            <w:r w:rsidR="00A04888" w:rsidRPr="00AA22C4">
              <w:rPr>
                <w:rFonts w:ascii="Lato" w:hAnsi="Lato"/>
                <w:color w:val="000000" w:themeColor="text1"/>
                <w:sz w:val="22"/>
                <w:szCs w:val="22"/>
              </w:rPr>
              <w:t>.</w:t>
            </w:r>
            <w:r w:rsidRPr="00AA22C4">
              <w:rPr>
                <w:rFonts w:ascii="Lato" w:hAnsi="Lato"/>
                <w:color w:val="000000" w:themeColor="text1"/>
                <w:sz w:val="22"/>
                <w:szCs w:val="22"/>
              </w:rPr>
              <w:t xml:space="preserve"> </w:t>
            </w:r>
            <w:r w:rsidR="00A04888" w:rsidRPr="00AA22C4">
              <w:rPr>
                <w:rFonts w:ascii="Lato" w:hAnsi="Lato"/>
                <w:color w:val="000000" w:themeColor="text1"/>
                <w:sz w:val="22"/>
                <w:szCs w:val="22"/>
              </w:rPr>
              <w:t>r.</w:t>
            </w:r>
            <w:r w:rsidRPr="00AA22C4">
              <w:rPr>
                <w:rFonts w:ascii="Lato" w:hAnsi="Lato"/>
                <w:color w:val="000000" w:themeColor="text1"/>
                <w:sz w:val="22"/>
                <w:szCs w:val="22"/>
              </w:rPr>
              <w:t xml:space="preserve"> ż</w:t>
            </w:r>
            <w:r w:rsidR="00A04888" w:rsidRPr="00AA22C4">
              <w:rPr>
                <w:rFonts w:ascii="Lato" w:hAnsi="Lato"/>
                <w:color w:val="000000" w:themeColor="text1"/>
                <w:sz w:val="22"/>
                <w:szCs w:val="22"/>
              </w:rPr>
              <w:t>.</w:t>
            </w:r>
          </w:p>
        </w:tc>
        <w:tc>
          <w:tcPr>
            <w:tcW w:w="3855" w:type="dxa"/>
            <w:vAlign w:val="center"/>
          </w:tcPr>
          <w:p w14:paraId="7CA4547E" w14:textId="77777777" w:rsidR="005E347E" w:rsidRPr="00AA22C4" w:rsidRDefault="005E347E" w:rsidP="00775DDD">
            <w:pPr>
              <w:pStyle w:val="Tekstprzypisudolnego"/>
              <w:spacing w:before="120"/>
              <w:contextualSpacing/>
              <w:rPr>
                <w:rFonts w:ascii="Lato" w:hAnsi="Lato"/>
                <w:color w:val="000000" w:themeColor="text1"/>
                <w:sz w:val="22"/>
                <w:szCs w:val="22"/>
              </w:rPr>
            </w:pPr>
            <w:r w:rsidRPr="00AA22C4">
              <w:rPr>
                <w:rFonts w:ascii="Lato" w:hAnsi="Lato"/>
                <w:color w:val="000000" w:themeColor="text1"/>
                <w:sz w:val="22"/>
                <w:szCs w:val="22"/>
              </w:rPr>
              <w:t>1 raz na 12 miesięcy</w:t>
            </w:r>
          </w:p>
        </w:tc>
      </w:tr>
      <w:tr w:rsidR="00B3776C" w:rsidRPr="00B3776C" w14:paraId="11B9A6DC" w14:textId="77777777" w:rsidTr="00775DDD">
        <w:trPr>
          <w:trHeight w:val="585"/>
          <w:jc w:val="center"/>
        </w:trPr>
        <w:tc>
          <w:tcPr>
            <w:tcW w:w="562" w:type="dxa"/>
          </w:tcPr>
          <w:p w14:paraId="0C7BF677" w14:textId="77777777" w:rsidR="005E347E" w:rsidRPr="00AA22C4" w:rsidRDefault="005E347E" w:rsidP="00775DDD">
            <w:pPr>
              <w:pStyle w:val="Tekstprzypisudolnego"/>
              <w:spacing w:before="120"/>
              <w:contextualSpacing/>
              <w:jc w:val="center"/>
              <w:rPr>
                <w:rFonts w:ascii="Lato" w:hAnsi="Lato"/>
                <w:color w:val="000000" w:themeColor="text1"/>
                <w:sz w:val="22"/>
                <w:szCs w:val="22"/>
              </w:rPr>
            </w:pPr>
            <w:r w:rsidRPr="00AA22C4">
              <w:rPr>
                <w:rFonts w:ascii="Lato" w:hAnsi="Lato"/>
                <w:color w:val="000000" w:themeColor="text1"/>
                <w:sz w:val="22"/>
                <w:szCs w:val="22"/>
              </w:rPr>
              <w:t>4</w:t>
            </w:r>
          </w:p>
        </w:tc>
        <w:tc>
          <w:tcPr>
            <w:tcW w:w="3545" w:type="dxa"/>
            <w:vAlign w:val="center"/>
          </w:tcPr>
          <w:p w14:paraId="0AAAFD6A" w14:textId="77777777" w:rsidR="005E347E" w:rsidRPr="00AA22C4" w:rsidRDefault="005E347E" w:rsidP="00775DDD">
            <w:pPr>
              <w:pStyle w:val="Tekstprzypisudolnego"/>
              <w:spacing w:before="120"/>
              <w:contextualSpacing/>
              <w:rPr>
                <w:rFonts w:ascii="Lato" w:hAnsi="Lato"/>
                <w:color w:val="000000" w:themeColor="text1"/>
                <w:sz w:val="22"/>
                <w:szCs w:val="22"/>
              </w:rPr>
            </w:pPr>
            <w:r w:rsidRPr="00AA22C4">
              <w:rPr>
                <w:rFonts w:ascii="Lato" w:hAnsi="Lato"/>
                <w:color w:val="000000" w:themeColor="text1"/>
                <w:sz w:val="22"/>
                <w:szCs w:val="22"/>
              </w:rPr>
              <w:t>W trakcie ciąży</w:t>
            </w:r>
          </w:p>
        </w:tc>
        <w:tc>
          <w:tcPr>
            <w:tcW w:w="3855" w:type="dxa"/>
            <w:vAlign w:val="center"/>
          </w:tcPr>
          <w:p w14:paraId="5CC8783D" w14:textId="77777777" w:rsidR="005E347E" w:rsidRPr="00AA22C4" w:rsidRDefault="005E347E" w:rsidP="00775DDD">
            <w:pPr>
              <w:pStyle w:val="Tekstprzypisudolnego"/>
              <w:spacing w:before="120"/>
              <w:contextualSpacing/>
              <w:rPr>
                <w:rFonts w:ascii="Lato" w:hAnsi="Lato"/>
                <w:color w:val="000000" w:themeColor="text1"/>
                <w:sz w:val="22"/>
                <w:szCs w:val="22"/>
              </w:rPr>
            </w:pPr>
            <w:r w:rsidRPr="00AA22C4">
              <w:rPr>
                <w:rFonts w:ascii="Lato" w:hAnsi="Lato"/>
                <w:color w:val="000000" w:themeColor="text1"/>
                <w:sz w:val="22"/>
                <w:szCs w:val="22"/>
              </w:rPr>
              <w:t>1 razy na trymestr*</w:t>
            </w:r>
          </w:p>
        </w:tc>
      </w:tr>
      <w:tr w:rsidR="00B3776C" w:rsidRPr="00B3776C" w14:paraId="1A2C6447" w14:textId="77777777" w:rsidTr="00775DDD">
        <w:trPr>
          <w:trHeight w:val="276"/>
          <w:jc w:val="center"/>
        </w:trPr>
        <w:tc>
          <w:tcPr>
            <w:tcW w:w="7962" w:type="dxa"/>
            <w:gridSpan w:val="3"/>
          </w:tcPr>
          <w:p w14:paraId="1A431293" w14:textId="77777777" w:rsidR="005E347E" w:rsidRPr="00AA22C4" w:rsidRDefault="005E347E" w:rsidP="00775DDD">
            <w:pPr>
              <w:pStyle w:val="Tekstprzypisudolnego"/>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 xml:space="preserve">Częściej w zależności od wskazań: zmiana leczenia, wskazania kliniczne, zmiana okoliczności socjalnych (zmiana szkoły, pracy, opuszczenie domu rodzinnego), problemy z przestrzeganiem zaleceń dotyczących leczenia </w:t>
            </w:r>
          </w:p>
        </w:tc>
      </w:tr>
    </w:tbl>
    <w:p w14:paraId="340FA739"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 xml:space="preserve">* przy założeniu stałego kontaktu (np. telefonicznego) z dietetykiem lub lekarzem w zakresie kontrolnych stężeń </w:t>
      </w:r>
      <w:proofErr w:type="spellStart"/>
      <w:r w:rsidRPr="00AA22C4">
        <w:rPr>
          <w:rFonts w:ascii="Lato" w:hAnsi="Lato"/>
          <w:color w:val="000000" w:themeColor="text1"/>
          <w:sz w:val="22"/>
          <w:szCs w:val="22"/>
        </w:rPr>
        <w:t>Phe</w:t>
      </w:r>
      <w:proofErr w:type="spellEnd"/>
      <w:r w:rsidRPr="00AA22C4">
        <w:rPr>
          <w:rFonts w:ascii="Lato" w:hAnsi="Lato"/>
          <w:color w:val="000000" w:themeColor="text1"/>
          <w:sz w:val="22"/>
          <w:szCs w:val="22"/>
        </w:rPr>
        <w:t xml:space="preserve">. Wizyty ciężarnych częstsze w zależności od wskazań. </w:t>
      </w:r>
    </w:p>
    <w:p w14:paraId="578F0EB9"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p>
    <w:p w14:paraId="2634A0F5"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Wg. w/w europejskich rekomendacji:</w:t>
      </w:r>
    </w:p>
    <w:p w14:paraId="4C0F90FF" w14:textId="77777777" w:rsidR="005E347E" w:rsidRPr="00AA22C4" w:rsidRDefault="005E347E" w:rsidP="005E347E">
      <w:pPr>
        <w:pStyle w:val="Tekstprzypisudolnego"/>
        <w:numPr>
          <w:ilvl w:val="0"/>
          <w:numId w:val="13"/>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 xml:space="preserve">czas pomiędzy pobraniem krwi a uzyskaniem przez pacjenta wyniku stężenia </w:t>
      </w:r>
      <w:proofErr w:type="spellStart"/>
      <w:r w:rsidRPr="00AA22C4">
        <w:rPr>
          <w:rFonts w:ascii="Lato" w:hAnsi="Lato"/>
          <w:color w:val="000000" w:themeColor="text1"/>
          <w:sz w:val="22"/>
          <w:szCs w:val="22"/>
        </w:rPr>
        <w:t>Phe</w:t>
      </w:r>
      <w:proofErr w:type="spellEnd"/>
      <w:r w:rsidRPr="00AA22C4">
        <w:rPr>
          <w:rFonts w:ascii="Lato" w:hAnsi="Lato"/>
          <w:color w:val="000000" w:themeColor="text1"/>
          <w:sz w:val="22"/>
          <w:szCs w:val="22"/>
        </w:rPr>
        <w:t xml:space="preserve"> powinien być krótszy niż 5 dni;</w:t>
      </w:r>
    </w:p>
    <w:p w14:paraId="0C3A771C" w14:textId="77777777" w:rsidR="005E347E" w:rsidRPr="00AA22C4" w:rsidRDefault="005E347E" w:rsidP="005E347E">
      <w:pPr>
        <w:pStyle w:val="Tekstprzypisudolnego"/>
        <w:numPr>
          <w:ilvl w:val="0"/>
          <w:numId w:val="13"/>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 xml:space="preserve">wszyscy pacjenci z PKU powinni być leczeni i kontrolowani w specjalistycznych ośrodkach zajmujących się diagnostyką i leczeniem wrodzonych wad metabolizmu; </w:t>
      </w:r>
    </w:p>
    <w:p w14:paraId="39F812F0" w14:textId="77777777" w:rsidR="005E347E" w:rsidRPr="00AA22C4" w:rsidRDefault="005E347E" w:rsidP="005E347E">
      <w:pPr>
        <w:pStyle w:val="Tekstprzypisudolnego"/>
        <w:numPr>
          <w:ilvl w:val="0"/>
          <w:numId w:val="13"/>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 xml:space="preserve">optymalnie pacjenci dorośli z PKU powinni być leczeni w ośrodkach dla osób dorosłych, z rozpoczęciem stopniowego przechodzenia pod opiekę tego typu ośrodków już w okresie adolescencji; </w:t>
      </w:r>
    </w:p>
    <w:p w14:paraId="7CFB49A4" w14:textId="77777777" w:rsidR="005E347E" w:rsidRPr="00AA22C4" w:rsidRDefault="005E347E" w:rsidP="005E347E">
      <w:pPr>
        <w:pStyle w:val="Tekstprzypisudolnego"/>
        <w:numPr>
          <w:ilvl w:val="0"/>
          <w:numId w:val="13"/>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 xml:space="preserve">wszyscy pacjenci z PKU powinni mieć możliwość opieki ze strony lekarza, specjalisty ds.  medycyny metabolicznej (w Polsce pediatrii metabolicznej), dietetyka i psychologa. </w:t>
      </w:r>
    </w:p>
    <w:p w14:paraId="13BBA268" w14:textId="77777777" w:rsidR="00E163A0" w:rsidRPr="00AA22C4" w:rsidRDefault="00E163A0" w:rsidP="005E347E">
      <w:pPr>
        <w:pStyle w:val="Tekstprzypisudolnego"/>
        <w:spacing w:before="120" w:after="120"/>
        <w:contextualSpacing/>
        <w:jc w:val="both"/>
        <w:rPr>
          <w:rFonts w:ascii="Lato" w:hAnsi="Lato"/>
          <w:color w:val="000000" w:themeColor="text1"/>
          <w:sz w:val="22"/>
          <w:szCs w:val="22"/>
        </w:rPr>
      </w:pPr>
    </w:p>
    <w:p w14:paraId="4F450B38" w14:textId="261521BA" w:rsidR="005E347E" w:rsidRPr="00AA22C4" w:rsidRDefault="005E347E" w:rsidP="005E347E">
      <w:pPr>
        <w:pStyle w:val="Tekstprzypisudolnego"/>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Program przesiewowych badań noworodków wymaga pełnej integracji wszystkich komponentów systemu począwszy od pobrania próbki do badań, a skończywszy na ocenie odległych skutków choroby. Taka strategia postępowania okazuje się być nie tylko skuteczna ale też opłacalna w aspekcie finansowym.</w:t>
      </w:r>
    </w:p>
    <w:p w14:paraId="26CC39E3"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p>
    <w:p w14:paraId="32531697" w14:textId="77777777" w:rsidR="005E347E" w:rsidRPr="00AA22C4" w:rsidRDefault="005E347E" w:rsidP="005E347E">
      <w:pPr>
        <w:widowControl/>
        <w:spacing w:line="240" w:lineRule="auto"/>
        <w:rPr>
          <w:rFonts w:ascii="Lato" w:hAnsi="Lato"/>
          <w:b/>
          <w:color w:val="000000" w:themeColor="text1"/>
          <w:sz w:val="22"/>
          <w:szCs w:val="22"/>
        </w:rPr>
      </w:pPr>
      <w:r w:rsidRPr="00AA22C4">
        <w:rPr>
          <w:rFonts w:ascii="Lato" w:hAnsi="Lato"/>
          <w:b/>
          <w:color w:val="000000" w:themeColor="text1"/>
          <w:sz w:val="22"/>
          <w:szCs w:val="22"/>
        </w:rPr>
        <w:lastRenderedPageBreak/>
        <w:t xml:space="preserve">Tab. 10 Monitorowanie leczenia fenyloketonurii </w:t>
      </w:r>
    </w:p>
    <w:p w14:paraId="38965C99" w14:textId="77777777" w:rsidR="005E347E" w:rsidRPr="00AA22C4" w:rsidRDefault="005E347E" w:rsidP="005E347E">
      <w:pPr>
        <w:widowControl/>
        <w:spacing w:line="240" w:lineRule="auto"/>
        <w:rPr>
          <w:rFonts w:ascii="Lato" w:hAnsi="Lato"/>
          <w:b/>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1859"/>
        <w:gridCol w:w="1859"/>
        <w:gridCol w:w="1859"/>
        <w:gridCol w:w="1935"/>
      </w:tblGrid>
      <w:tr w:rsidR="00B3776C" w:rsidRPr="00B3776C" w14:paraId="65B56466" w14:textId="77777777" w:rsidTr="0015358E">
        <w:trPr>
          <w:jc w:val="center"/>
        </w:trPr>
        <w:tc>
          <w:tcPr>
            <w:tcW w:w="1980" w:type="dxa"/>
            <w:shd w:val="clear" w:color="auto" w:fill="auto"/>
          </w:tcPr>
          <w:p w14:paraId="7B6B26D4" w14:textId="77777777" w:rsidR="005E347E" w:rsidRPr="00AA22C4" w:rsidRDefault="005E347E" w:rsidP="0015358E">
            <w:pPr>
              <w:widowControl/>
              <w:spacing w:line="240" w:lineRule="auto"/>
              <w:jc w:val="center"/>
              <w:rPr>
                <w:rFonts w:ascii="Lato" w:hAnsi="Lato"/>
                <w:color w:val="000000" w:themeColor="text1"/>
                <w:sz w:val="20"/>
                <w:szCs w:val="20"/>
                <w:lang w:val="en-GB" w:eastAsia="en-US"/>
              </w:rPr>
            </w:pPr>
          </w:p>
        </w:tc>
        <w:tc>
          <w:tcPr>
            <w:tcW w:w="3118" w:type="dxa"/>
            <w:shd w:val="clear" w:color="auto" w:fill="auto"/>
            <w:vAlign w:val="center"/>
          </w:tcPr>
          <w:p w14:paraId="58BD9DA2" w14:textId="77777777" w:rsidR="005E347E" w:rsidRPr="00AA22C4" w:rsidRDefault="005E347E" w:rsidP="0015358E">
            <w:pPr>
              <w:widowControl/>
              <w:spacing w:line="240" w:lineRule="auto"/>
              <w:jc w:val="center"/>
              <w:rPr>
                <w:rFonts w:ascii="Lato" w:hAnsi="Lato"/>
                <w:color w:val="000000" w:themeColor="text1"/>
                <w:sz w:val="20"/>
                <w:szCs w:val="20"/>
                <w:lang w:val="en-GB" w:eastAsia="en-US"/>
              </w:rPr>
            </w:pPr>
            <w:r w:rsidRPr="00AA22C4">
              <w:rPr>
                <w:rFonts w:ascii="Lato" w:hAnsi="Lato"/>
                <w:color w:val="000000" w:themeColor="text1"/>
                <w:sz w:val="20"/>
                <w:szCs w:val="20"/>
                <w:lang w:val="en-GB" w:eastAsia="en-US"/>
              </w:rPr>
              <w:t xml:space="preserve">0-12 </w:t>
            </w:r>
            <w:proofErr w:type="spellStart"/>
            <w:r w:rsidRPr="00AA22C4">
              <w:rPr>
                <w:rFonts w:ascii="Lato" w:hAnsi="Lato"/>
                <w:color w:val="000000" w:themeColor="text1"/>
                <w:sz w:val="20"/>
                <w:szCs w:val="20"/>
                <w:lang w:val="en-GB" w:eastAsia="en-US"/>
              </w:rPr>
              <w:t>r.ż</w:t>
            </w:r>
            <w:proofErr w:type="spellEnd"/>
            <w:r w:rsidRPr="00AA22C4">
              <w:rPr>
                <w:rFonts w:ascii="Lato" w:hAnsi="Lato"/>
                <w:color w:val="000000" w:themeColor="text1"/>
                <w:sz w:val="20"/>
                <w:szCs w:val="20"/>
                <w:lang w:val="en-GB" w:eastAsia="en-US"/>
              </w:rPr>
              <w:t xml:space="preserve">. </w:t>
            </w:r>
          </w:p>
        </w:tc>
        <w:tc>
          <w:tcPr>
            <w:tcW w:w="3686" w:type="dxa"/>
            <w:shd w:val="clear" w:color="auto" w:fill="auto"/>
            <w:vAlign w:val="center"/>
          </w:tcPr>
          <w:p w14:paraId="7D552B30" w14:textId="77777777" w:rsidR="005E347E" w:rsidRPr="00AA22C4" w:rsidRDefault="005E347E" w:rsidP="0015358E">
            <w:pPr>
              <w:widowControl/>
              <w:spacing w:line="240" w:lineRule="auto"/>
              <w:jc w:val="center"/>
              <w:rPr>
                <w:rFonts w:ascii="Lato" w:hAnsi="Lato"/>
                <w:color w:val="000000" w:themeColor="text1"/>
                <w:sz w:val="20"/>
                <w:szCs w:val="20"/>
                <w:lang w:val="en-GB" w:eastAsia="en-US"/>
              </w:rPr>
            </w:pPr>
            <w:r w:rsidRPr="00AA22C4">
              <w:rPr>
                <w:rFonts w:ascii="Lato" w:hAnsi="Lato"/>
                <w:color w:val="000000" w:themeColor="text1"/>
                <w:sz w:val="20"/>
                <w:szCs w:val="20"/>
                <w:lang w:val="en-GB" w:eastAsia="en-US"/>
              </w:rPr>
              <w:t xml:space="preserve">12-18 </w:t>
            </w:r>
            <w:proofErr w:type="spellStart"/>
            <w:r w:rsidRPr="00AA22C4">
              <w:rPr>
                <w:rFonts w:ascii="Lato" w:hAnsi="Lato"/>
                <w:color w:val="000000" w:themeColor="text1"/>
                <w:sz w:val="20"/>
                <w:szCs w:val="20"/>
                <w:lang w:val="en-GB" w:eastAsia="en-US"/>
              </w:rPr>
              <w:t>r.ż</w:t>
            </w:r>
            <w:proofErr w:type="spellEnd"/>
            <w:r w:rsidRPr="00AA22C4">
              <w:rPr>
                <w:rFonts w:ascii="Lato" w:hAnsi="Lato"/>
                <w:color w:val="000000" w:themeColor="text1"/>
                <w:sz w:val="20"/>
                <w:szCs w:val="20"/>
                <w:lang w:val="en-GB" w:eastAsia="en-US"/>
              </w:rPr>
              <w:t xml:space="preserve">. </w:t>
            </w:r>
          </w:p>
        </w:tc>
        <w:tc>
          <w:tcPr>
            <w:tcW w:w="3402" w:type="dxa"/>
            <w:shd w:val="clear" w:color="auto" w:fill="auto"/>
            <w:vAlign w:val="center"/>
          </w:tcPr>
          <w:p w14:paraId="4766BA63" w14:textId="77777777" w:rsidR="005E347E" w:rsidRPr="00AA22C4" w:rsidRDefault="005E347E" w:rsidP="0015358E">
            <w:pPr>
              <w:widowControl/>
              <w:spacing w:line="240" w:lineRule="auto"/>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≥18 r.ż. </w:t>
            </w:r>
          </w:p>
          <w:p w14:paraId="4B093BCF" w14:textId="77777777" w:rsidR="005E347E" w:rsidRPr="00AA22C4" w:rsidRDefault="005E347E" w:rsidP="0015358E">
            <w:pPr>
              <w:widowControl/>
              <w:spacing w:line="240" w:lineRule="auto"/>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z wyjątkiem matczynej PKU</w:t>
            </w:r>
          </w:p>
          <w:p w14:paraId="3C4857DB" w14:textId="77777777" w:rsidR="005E347E" w:rsidRPr="00AA22C4" w:rsidRDefault="005E347E" w:rsidP="0015358E">
            <w:pPr>
              <w:widowControl/>
              <w:spacing w:line="240" w:lineRule="auto"/>
              <w:jc w:val="center"/>
              <w:rPr>
                <w:rFonts w:ascii="Lato" w:hAnsi="Lato"/>
                <w:color w:val="000000" w:themeColor="text1"/>
                <w:sz w:val="20"/>
                <w:szCs w:val="20"/>
                <w:lang w:eastAsia="en-US"/>
              </w:rPr>
            </w:pPr>
          </w:p>
        </w:tc>
        <w:tc>
          <w:tcPr>
            <w:tcW w:w="2551" w:type="dxa"/>
            <w:shd w:val="clear" w:color="auto" w:fill="auto"/>
            <w:vAlign w:val="center"/>
          </w:tcPr>
          <w:p w14:paraId="3E5F365D" w14:textId="77777777" w:rsidR="005E347E" w:rsidRPr="00AA22C4" w:rsidRDefault="005E347E" w:rsidP="0015358E">
            <w:pPr>
              <w:widowControl/>
              <w:spacing w:line="240" w:lineRule="auto"/>
              <w:jc w:val="center"/>
              <w:rPr>
                <w:rFonts w:ascii="Lato" w:hAnsi="Lato"/>
                <w:color w:val="000000" w:themeColor="text1"/>
                <w:sz w:val="20"/>
                <w:szCs w:val="20"/>
                <w:lang w:val="en-GB" w:eastAsia="en-US"/>
              </w:rPr>
            </w:pPr>
            <w:proofErr w:type="spellStart"/>
            <w:r w:rsidRPr="00AA22C4">
              <w:rPr>
                <w:rFonts w:ascii="Lato" w:hAnsi="Lato"/>
                <w:color w:val="000000" w:themeColor="text1"/>
                <w:sz w:val="20"/>
                <w:szCs w:val="20"/>
                <w:lang w:val="en-GB" w:eastAsia="en-US"/>
              </w:rPr>
              <w:t>Matczyna</w:t>
            </w:r>
            <w:proofErr w:type="spellEnd"/>
            <w:r w:rsidRPr="00AA22C4">
              <w:rPr>
                <w:rFonts w:ascii="Lato" w:hAnsi="Lato"/>
                <w:color w:val="000000" w:themeColor="text1"/>
                <w:sz w:val="20"/>
                <w:szCs w:val="20"/>
                <w:lang w:val="en-GB" w:eastAsia="en-US"/>
              </w:rPr>
              <w:t xml:space="preserve"> PKU</w:t>
            </w:r>
          </w:p>
        </w:tc>
      </w:tr>
      <w:tr w:rsidR="00B3776C" w:rsidRPr="00B3776C" w14:paraId="2EF880A3" w14:textId="77777777" w:rsidTr="0015358E">
        <w:trPr>
          <w:jc w:val="center"/>
        </w:trPr>
        <w:tc>
          <w:tcPr>
            <w:tcW w:w="1980" w:type="dxa"/>
            <w:shd w:val="clear" w:color="auto" w:fill="auto"/>
          </w:tcPr>
          <w:p w14:paraId="7AD99C5B" w14:textId="77777777" w:rsidR="005E347E" w:rsidRPr="00AA22C4" w:rsidRDefault="005E347E" w:rsidP="0015358E">
            <w:pPr>
              <w:widowControl/>
              <w:spacing w:line="240" w:lineRule="auto"/>
              <w:jc w:val="center"/>
              <w:rPr>
                <w:rFonts w:ascii="Lato" w:hAnsi="Lato"/>
                <w:color w:val="000000" w:themeColor="text1"/>
                <w:sz w:val="20"/>
                <w:szCs w:val="20"/>
                <w:lang w:val="en-GB" w:eastAsia="en-US"/>
              </w:rPr>
            </w:pPr>
            <w:proofErr w:type="spellStart"/>
            <w:r w:rsidRPr="00AA22C4">
              <w:rPr>
                <w:rFonts w:ascii="Lato" w:hAnsi="Lato"/>
                <w:color w:val="000000" w:themeColor="text1"/>
                <w:sz w:val="20"/>
                <w:szCs w:val="20"/>
                <w:lang w:val="en-GB" w:eastAsia="en-US"/>
              </w:rPr>
              <w:t>Ocena</w:t>
            </w:r>
            <w:proofErr w:type="spellEnd"/>
            <w:r w:rsidRPr="00AA22C4">
              <w:rPr>
                <w:rFonts w:ascii="Lato" w:hAnsi="Lato"/>
                <w:color w:val="000000" w:themeColor="text1"/>
                <w:sz w:val="20"/>
                <w:szCs w:val="20"/>
                <w:lang w:val="en-GB" w:eastAsia="en-US"/>
              </w:rPr>
              <w:t xml:space="preserve"> </w:t>
            </w:r>
            <w:proofErr w:type="spellStart"/>
            <w:r w:rsidRPr="00AA22C4">
              <w:rPr>
                <w:rFonts w:ascii="Lato" w:hAnsi="Lato"/>
                <w:color w:val="000000" w:themeColor="text1"/>
                <w:sz w:val="20"/>
                <w:szCs w:val="20"/>
                <w:lang w:val="en-GB" w:eastAsia="en-US"/>
              </w:rPr>
              <w:t>stanu</w:t>
            </w:r>
            <w:proofErr w:type="spellEnd"/>
            <w:r w:rsidRPr="00AA22C4">
              <w:rPr>
                <w:rFonts w:ascii="Lato" w:hAnsi="Lato"/>
                <w:color w:val="000000" w:themeColor="text1"/>
                <w:sz w:val="20"/>
                <w:szCs w:val="20"/>
                <w:lang w:val="en-GB" w:eastAsia="en-US"/>
              </w:rPr>
              <w:t xml:space="preserve"> </w:t>
            </w:r>
            <w:proofErr w:type="spellStart"/>
            <w:r w:rsidRPr="00AA22C4">
              <w:rPr>
                <w:rFonts w:ascii="Lato" w:hAnsi="Lato"/>
                <w:color w:val="000000" w:themeColor="text1"/>
                <w:sz w:val="20"/>
                <w:szCs w:val="20"/>
                <w:lang w:val="en-GB" w:eastAsia="en-US"/>
              </w:rPr>
              <w:t>odżywienia</w:t>
            </w:r>
            <w:proofErr w:type="spellEnd"/>
          </w:p>
        </w:tc>
        <w:tc>
          <w:tcPr>
            <w:tcW w:w="3118" w:type="dxa"/>
            <w:shd w:val="clear" w:color="auto" w:fill="auto"/>
          </w:tcPr>
          <w:p w14:paraId="09504034" w14:textId="77777777" w:rsidR="005E347E" w:rsidRPr="00AA22C4" w:rsidRDefault="005E347E" w:rsidP="0015358E">
            <w:pPr>
              <w:widowControl/>
              <w:spacing w:line="240" w:lineRule="auto"/>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Ocena dzienniczka żywieniowego, pomiary antropometryczne (wzrost, masa ciała, BMI), ocena klinicznych objawów niedoborów mikroelementów i ewentualnie </w:t>
            </w:r>
            <w:proofErr w:type="spellStart"/>
            <w:r w:rsidRPr="00AA22C4">
              <w:rPr>
                <w:rFonts w:ascii="Lato" w:hAnsi="Lato"/>
                <w:color w:val="000000" w:themeColor="text1"/>
                <w:sz w:val="20"/>
                <w:szCs w:val="20"/>
                <w:lang w:eastAsia="en-US"/>
              </w:rPr>
              <w:t>Phe</w:t>
            </w:r>
            <w:proofErr w:type="spellEnd"/>
            <w:r w:rsidRPr="00AA22C4">
              <w:rPr>
                <w:rFonts w:ascii="Lato" w:hAnsi="Lato"/>
                <w:color w:val="000000" w:themeColor="text1"/>
                <w:sz w:val="20"/>
                <w:szCs w:val="20"/>
                <w:lang w:eastAsia="en-US"/>
              </w:rPr>
              <w:t xml:space="preserve"> – w trakcie każdej wizyty w Poradni</w:t>
            </w:r>
          </w:p>
        </w:tc>
        <w:tc>
          <w:tcPr>
            <w:tcW w:w="3686" w:type="dxa"/>
            <w:shd w:val="clear" w:color="auto" w:fill="auto"/>
          </w:tcPr>
          <w:p w14:paraId="66BBC927" w14:textId="77777777" w:rsidR="005E347E" w:rsidRPr="00AA22C4" w:rsidRDefault="005E347E" w:rsidP="0015358E">
            <w:pPr>
              <w:widowControl/>
              <w:spacing w:line="240" w:lineRule="auto"/>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Ocena dzienniczka żywieniowego, pomiary antropometryczne (wzrost, masa ciała, BMI), ocena klinicznych objawów niedoborów mikroelementów i ewentualnie </w:t>
            </w:r>
            <w:proofErr w:type="spellStart"/>
            <w:r w:rsidRPr="00AA22C4">
              <w:rPr>
                <w:rFonts w:ascii="Lato" w:hAnsi="Lato"/>
                <w:color w:val="000000" w:themeColor="text1"/>
                <w:sz w:val="20"/>
                <w:szCs w:val="20"/>
                <w:lang w:eastAsia="en-US"/>
              </w:rPr>
              <w:t>Phe</w:t>
            </w:r>
            <w:proofErr w:type="spellEnd"/>
            <w:r w:rsidRPr="00AA22C4">
              <w:rPr>
                <w:rFonts w:ascii="Lato" w:hAnsi="Lato"/>
                <w:color w:val="000000" w:themeColor="text1"/>
                <w:sz w:val="20"/>
                <w:szCs w:val="20"/>
                <w:lang w:eastAsia="en-US"/>
              </w:rPr>
              <w:t xml:space="preserve"> – w trakcie każdej wizyty w Poradni</w:t>
            </w:r>
          </w:p>
        </w:tc>
        <w:tc>
          <w:tcPr>
            <w:tcW w:w="3402" w:type="dxa"/>
            <w:shd w:val="clear" w:color="auto" w:fill="auto"/>
          </w:tcPr>
          <w:p w14:paraId="4D20DB32" w14:textId="77777777" w:rsidR="005E347E" w:rsidRPr="00AA22C4" w:rsidRDefault="005E347E" w:rsidP="0015358E">
            <w:pPr>
              <w:widowControl/>
              <w:spacing w:line="240" w:lineRule="auto"/>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Ocena dzienniczka żywieniowego, pomiary antropometryczne (wzrost, masa ciała, BMI), ocena klinicznych objawów niedoborów mikroelementów i ewentualnie </w:t>
            </w:r>
            <w:proofErr w:type="spellStart"/>
            <w:r w:rsidRPr="00AA22C4">
              <w:rPr>
                <w:rFonts w:ascii="Lato" w:hAnsi="Lato"/>
                <w:color w:val="000000" w:themeColor="text1"/>
                <w:sz w:val="20"/>
                <w:szCs w:val="20"/>
                <w:lang w:eastAsia="en-US"/>
              </w:rPr>
              <w:t>Phe</w:t>
            </w:r>
            <w:proofErr w:type="spellEnd"/>
            <w:r w:rsidRPr="00AA22C4">
              <w:rPr>
                <w:rFonts w:ascii="Lato" w:hAnsi="Lato"/>
                <w:color w:val="000000" w:themeColor="text1"/>
                <w:sz w:val="20"/>
                <w:szCs w:val="20"/>
                <w:lang w:eastAsia="en-US"/>
              </w:rPr>
              <w:t xml:space="preserve"> – co 12-24 miesiące</w:t>
            </w:r>
          </w:p>
        </w:tc>
        <w:tc>
          <w:tcPr>
            <w:tcW w:w="2551" w:type="dxa"/>
            <w:shd w:val="clear" w:color="auto" w:fill="auto"/>
          </w:tcPr>
          <w:p w14:paraId="0085FAF0" w14:textId="77777777" w:rsidR="005E347E" w:rsidRPr="00AA22C4" w:rsidRDefault="005E347E" w:rsidP="0015358E">
            <w:pPr>
              <w:widowControl/>
              <w:spacing w:line="240" w:lineRule="auto"/>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Ocena dzienniczka żywieniowego i pomiar masy ciała w trakcie każdej wizyty w Poradni </w:t>
            </w:r>
          </w:p>
        </w:tc>
      </w:tr>
      <w:tr w:rsidR="00B3776C" w:rsidRPr="00B3776C" w14:paraId="2D3252B6" w14:textId="77777777" w:rsidTr="0015358E">
        <w:trPr>
          <w:jc w:val="center"/>
        </w:trPr>
        <w:tc>
          <w:tcPr>
            <w:tcW w:w="1980" w:type="dxa"/>
            <w:shd w:val="clear" w:color="auto" w:fill="auto"/>
          </w:tcPr>
          <w:p w14:paraId="0E6BB094" w14:textId="77777777" w:rsidR="005E347E" w:rsidRPr="00AA22C4" w:rsidRDefault="005E347E" w:rsidP="00DB72E7">
            <w:pPr>
              <w:widowControl/>
              <w:spacing w:line="240" w:lineRule="auto"/>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Ocena wyrównania metabolicznego</w:t>
            </w:r>
          </w:p>
        </w:tc>
        <w:tc>
          <w:tcPr>
            <w:tcW w:w="3118" w:type="dxa"/>
            <w:shd w:val="clear" w:color="auto" w:fill="auto"/>
          </w:tcPr>
          <w:p w14:paraId="5461E80E" w14:textId="77777777" w:rsidR="005E347E" w:rsidRPr="00AA22C4" w:rsidRDefault="005E347E" w:rsidP="0015358E">
            <w:pPr>
              <w:widowControl/>
              <w:spacing w:line="240" w:lineRule="auto"/>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Częstość pomiarów stężeń </w:t>
            </w:r>
            <w:proofErr w:type="spellStart"/>
            <w:r w:rsidRPr="00AA22C4">
              <w:rPr>
                <w:rFonts w:ascii="Lato" w:hAnsi="Lato"/>
                <w:color w:val="000000" w:themeColor="text1"/>
                <w:sz w:val="20"/>
                <w:szCs w:val="20"/>
                <w:lang w:eastAsia="en-US"/>
              </w:rPr>
              <w:t>Phe</w:t>
            </w:r>
            <w:proofErr w:type="spellEnd"/>
            <w:r w:rsidRPr="00AA22C4">
              <w:rPr>
                <w:rFonts w:ascii="Lato" w:hAnsi="Lato"/>
                <w:color w:val="000000" w:themeColor="text1"/>
                <w:sz w:val="20"/>
                <w:szCs w:val="20"/>
                <w:lang w:eastAsia="en-US"/>
              </w:rPr>
              <w:t xml:space="preserve">, </w:t>
            </w:r>
          </w:p>
          <w:p w14:paraId="4B1051D1" w14:textId="77777777" w:rsidR="005E347E" w:rsidRPr="00AA22C4" w:rsidRDefault="005E347E" w:rsidP="0015358E">
            <w:pPr>
              <w:widowControl/>
              <w:spacing w:line="240" w:lineRule="auto"/>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jak w </w:t>
            </w:r>
            <w:r w:rsidRPr="00AA22C4">
              <w:rPr>
                <w:rFonts w:ascii="Lato" w:hAnsi="Lato"/>
                <w:b/>
                <w:color w:val="000000" w:themeColor="text1"/>
                <w:sz w:val="20"/>
                <w:szCs w:val="20"/>
                <w:lang w:eastAsia="en-US"/>
              </w:rPr>
              <w:t>tabl. 9</w:t>
            </w:r>
          </w:p>
          <w:p w14:paraId="4C1F904C" w14:textId="77777777" w:rsidR="005E347E" w:rsidRPr="00AA22C4" w:rsidRDefault="005E347E" w:rsidP="0015358E">
            <w:pPr>
              <w:widowControl/>
              <w:spacing w:line="240" w:lineRule="auto"/>
              <w:jc w:val="center"/>
              <w:rPr>
                <w:rFonts w:ascii="Lato" w:hAnsi="Lato"/>
                <w:color w:val="000000" w:themeColor="text1"/>
                <w:sz w:val="20"/>
                <w:szCs w:val="20"/>
                <w:lang w:eastAsia="en-US"/>
              </w:rPr>
            </w:pPr>
            <w:proofErr w:type="spellStart"/>
            <w:r w:rsidRPr="00AA22C4">
              <w:rPr>
                <w:rFonts w:ascii="Lato" w:hAnsi="Lato"/>
                <w:color w:val="000000" w:themeColor="text1"/>
                <w:sz w:val="20"/>
                <w:szCs w:val="20"/>
                <w:lang w:eastAsia="en-US"/>
              </w:rPr>
              <w:t>Aminogram</w:t>
            </w:r>
            <w:proofErr w:type="spellEnd"/>
            <w:r w:rsidRPr="00AA22C4">
              <w:rPr>
                <w:rFonts w:ascii="Lato" w:hAnsi="Lato"/>
                <w:color w:val="000000" w:themeColor="text1"/>
                <w:sz w:val="20"/>
                <w:szCs w:val="20"/>
                <w:lang w:eastAsia="en-US"/>
              </w:rPr>
              <w:t xml:space="preserve"> w osoczu – </w:t>
            </w:r>
          </w:p>
          <w:p w14:paraId="71EF977C" w14:textId="77777777" w:rsidR="005E347E" w:rsidRPr="00AA22C4" w:rsidRDefault="005E347E" w:rsidP="0015358E">
            <w:pPr>
              <w:widowControl/>
              <w:spacing w:line="240" w:lineRule="auto"/>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 raz w roku</w:t>
            </w:r>
          </w:p>
          <w:p w14:paraId="0F93751F" w14:textId="77777777" w:rsidR="005E347E" w:rsidRPr="00AA22C4" w:rsidRDefault="005E347E" w:rsidP="0015358E">
            <w:pPr>
              <w:widowControl/>
              <w:spacing w:line="240" w:lineRule="auto"/>
              <w:jc w:val="center"/>
              <w:rPr>
                <w:rFonts w:ascii="Lato" w:hAnsi="Lato"/>
                <w:color w:val="000000" w:themeColor="text1"/>
                <w:sz w:val="20"/>
                <w:szCs w:val="20"/>
                <w:lang w:eastAsia="en-US"/>
              </w:rPr>
            </w:pPr>
          </w:p>
        </w:tc>
        <w:tc>
          <w:tcPr>
            <w:tcW w:w="3686" w:type="dxa"/>
            <w:shd w:val="clear" w:color="auto" w:fill="auto"/>
          </w:tcPr>
          <w:p w14:paraId="2700F084" w14:textId="77777777" w:rsidR="005E347E" w:rsidRPr="00AA22C4" w:rsidRDefault="005E347E" w:rsidP="0015358E">
            <w:pPr>
              <w:widowControl/>
              <w:spacing w:line="240" w:lineRule="auto"/>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Częstość pomiarów stężeń </w:t>
            </w:r>
            <w:proofErr w:type="spellStart"/>
            <w:r w:rsidRPr="00AA22C4">
              <w:rPr>
                <w:rFonts w:ascii="Lato" w:hAnsi="Lato"/>
                <w:color w:val="000000" w:themeColor="text1"/>
                <w:sz w:val="20"/>
                <w:szCs w:val="20"/>
                <w:lang w:eastAsia="en-US"/>
              </w:rPr>
              <w:t>Phe</w:t>
            </w:r>
            <w:proofErr w:type="spellEnd"/>
            <w:r w:rsidRPr="00AA22C4">
              <w:rPr>
                <w:rFonts w:ascii="Lato" w:hAnsi="Lato"/>
                <w:color w:val="000000" w:themeColor="text1"/>
                <w:sz w:val="20"/>
                <w:szCs w:val="20"/>
                <w:lang w:eastAsia="en-US"/>
              </w:rPr>
              <w:t>,</w:t>
            </w:r>
          </w:p>
          <w:p w14:paraId="6A17D204" w14:textId="77777777" w:rsidR="005E347E" w:rsidRPr="00AA22C4" w:rsidRDefault="005E347E" w:rsidP="0015358E">
            <w:pPr>
              <w:widowControl/>
              <w:spacing w:line="240" w:lineRule="auto"/>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 jak w </w:t>
            </w:r>
            <w:r w:rsidRPr="00AA22C4">
              <w:rPr>
                <w:rFonts w:ascii="Lato" w:hAnsi="Lato"/>
                <w:b/>
                <w:color w:val="000000" w:themeColor="text1"/>
                <w:sz w:val="20"/>
                <w:szCs w:val="20"/>
                <w:lang w:eastAsia="en-US"/>
              </w:rPr>
              <w:t>tabl. 9</w:t>
            </w:r>
          </w:p>
          <w:p w14:paraId="2EE0CA08" w14:textId="77777777" w:rsidR="005E347E" w:rsidRPr="00AA22C4" w:rsidRDefault="005E347E" w:rsidP="0015358E">
            <w:pPr>
              <w:widowControl/>
              <w:spacing w:line="240" w:lineRule="auto"/>
              <w:jc w:val="center"/>
              <w:rPr>
                <w:rFonts w:ascii="Lato" w:hAnsi="Lato"/>
                <w:color w:val="000000" w:themeColor="text1"/>
                <w:sz w:val="20"/>
                <w:szCs w:val="20"/>
                <w:lang w:eastAsia="en-US"/>
              </w:rPr>
            </w:pPr>
            <w:proofErr w:type="spellStart"/>
            <w:r w:rsidRPr="00AA22C4">
              <w:rPr>
                <w:rFonts w:ascii="Lato" w:hAnsi="Lato"/>
                <w:color w:val="000000" w:themeColor="text1"/>
                <w:sz w:val="20"/>
                <w:szCs w:val="20"/>
                <w:lang w:eastAsia="en-US"/>
              </w:rPr>
              <w:t>Aminogram</w:t>
            </w:r>
            <w:proofErr w:type="spellEnd"/>
            <w:r w:rsidRPr="00AA22C4">
              <w:rPr>
                <w:rFonts w:ascii="Lato" w:hAnsi="Lato"/>
                <w:color w:val="000000" w:themeColor="text1"/>
                <w:sz w:val="20"/>
                <w:szCs w:val="20"/>
                <w:lang w:eastAsia="en-US"/>
              </w:rPr>
              <w:t xml:space="preserve"> w osoczu – </w:t>
            </w:r>
          </w:p>
          <w:p w14:paraId="00B361F0" w14:textId="77777777" w:rsidR="005E347E" w:rsidRPr="00AA22C4" w:rsidRDefault="005E347E" w:rsidP="0015358E">
            <w:pPr>
              <w:widowControl/>
              <w:spacing w:line="240" w:lineRule="auto"/>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 raz w roku</w:t>
            </w:r>
          </w:p>
        </w:tc>
        <w:tc>
          <w:tcPr>
            <w:tcW w:w="3402" w:type="dxa"/>
            <w:shd w:val="clear" w:color="auto" w:fill="auto"/>
          </w:tcPr>
          <w:p w14:paraId="7CC0DD2B" w14:textId="77777777" w:rsidR="005E347E" w:rsidRPr="00AA22C4" w:rsidRDefault="005E347E" w:rsidP="0015358E">
            <w:pPr>
              <w:widowControl/>
              <w:spacing w:line="240" w:lineRule="auto"/>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Częstość pomiarów stężeń </w:t>
            </w:r>
            <w:proofErr w:type="spellStart"/>
            <w:r w:rsidRPr="00AA22C4">
              <w:rPr>
                <w:rFonts w:ascii="Lato" w:hAnsi="Lato"/>
                <w:color w:val="000000" w:themeColor="text1"/>
                <w:sz w:val="20"/>
                <w:szCs w:val="20"/>
                <w:lang w:eastAsia="en-US"/>
              </w:rPr>
              <w:t>Phe</w:t>
            </w:r>
            <w:proofErr w:type="spellEnd"/>
            <w:r w:rsidRPr="00AA22C4">
              <w:rPr>
                <w:rFonts w:ascii="Lato" w:hAnsi="Lato"/>
                <w:color w:val="000000" w:themeColor="text1"/>
                <w:sz w:val="20"/>
                <w:szCs w:val="20"/>
                <w:lang w:eastAsia="en-US"/>
              </w:rPr>
              <w:t>,</w:t>
            </w:r>
          </w:p>
          <w:p w14:paraId="0DF1C88A" w14:textId="77777777" w:rsidR="005E347E" w:rsidRPr="00AA22C4" w:rsidRDefault="005E347E" w:rsidP="0015358E">
            <w:pPr>
              <w:widowControl/>
              <w:spacing w:line="240" w:lineRule="auto"/>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 jak w </w:t>
            </w:r>
            <w:r w:rsidRPr="00AA22C4">
              <w:rPr>
                <w:rFonts w:ascii="Lato" w:hAnsi="Lato"/>
                <w:b/>
                <w:color w:val="000000" w:themeColor="text1"/>
                <w:sz w:val="20"/>
                <w:szCs w:val="20"/>
                <w:lang w:eastAsia="en-US"/>
              </w:rPr>
              <w:t>tabl. 9</w:t>
            </w:r>
          </w:p>
          <w:p w14:paraId="0FA71633" w14:textId="77777777" w:rsidR="005E347E" w:rsidRPr="00AA22C4" w:rsidRDefault="005E347E" w:rsidP="0015358E">
            <w:pPr>
              <w:widowControl/>
              <w:spacing w:line="240" w:lineRule="auto"/>
              <w:jc w:val="center"/>
              <w:rPr>
                <w:rFonts w:ascii="Lato" w:hAnsi="Lato"/>
                <w:color w:val="000000" w:themeColor="text1"/>
                <w:sz w:val="20"/>
                <w:szCs w:val="20"/>
                <w:lang w:eastAsia="en-US"/>
              </w:rPr>
            </w:pPr>
            <w:proofErr w:type="spellStart"/>
            <w:r w:rsidRPr="00AA22C4">
              <w:rPr>
                <w:rFonts w:ascii="Lato" w:hAnsi="Lato"/>
                <w:color w:val="000000" w:themeColor="text1"/>
                <w:sz w:val="20"/>
                <w:szCs w:val="20"/>
                <w:lang w:eastAsia="en-US"/>
              </w:rPr>
              <w:t>Aminogram</w:t>
            </w:r>
            <w:proofErr w:type="spellEnd"/>
            <w:r w:rsidRPr="00AA22C4">
              <w:rPr>
                <w:rFonts w:ascii="Lato" w:hAnsi="Lato"/>
                <w:color w:val="000000" w:themeColor="text1"/>
                <w:sz w:val="20"/>
                <w:szCs w:val="20"/>
                <w:lang w:eastAsia="en-US"/>
              </w:rPr>
              <w:t xml:space="preserve"> w osoczu – </w:t>
            </w:r>
          </w:p>
          <w:p w14:paraId="180B619F" w14:textId="77777777" w:rsidR="005E347E" w:rsidRPr="00AA22C4" w:rsidRDefault="005E347E" w:rsidP="0015358E">
            <w:pPr>
              <w:widowControl/>
              <w:spacing w:line="240" w:lineRule="auto"/>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 raz w roku</w:t>
            </w:r>
          </w:p>
        </w:tc>
        <w:tc>
          <w:tcPr>
            <w:tcW w:w="2551" w:type="dxa"/>
            <w:shd w:val="clear" w:color="auto" w:fill="auto"/>
          </w:tcPr>
          <w:p w14:paraId="07ACC1FE" w14:textId="77777777" w:rsidR="005E347E" w:rsidRPr="00AA22C4" w:rsidRDefault="005E347E" w:rsidP="0015358E">
            <w:pPr>
              <w:widowControl/>
              <w:spacing w:line="240" w:lineRule="auto"/>
              <w:jc w:val="center"/>
              <w:rPr>
                <w:rFonts w:ascii="Lato" w:hAnsi="Lato"/>
                <w:b/>
                <w:color w:val="000000" w:themeColor="text1"/>
                <w:sz w:val="20"/>
                <w:szCs w:val="20"/>
                <w:lang w:eastAsia="en-US"/>
              </w:rPr>
            </w:pPr>
            <w:r w:rsidRPr="00AA22C4">
              <w:rPr>
                <w:rFonts w:ascii="Lato" w:hAnsi="Lato"/>
                <w:color w:val="000000" w:themeColor="text1"/>
                <w:sz w:val="20"/>
                <w:szCs w:val="20"/>
                <w:lang w:eastAsia="en-US"/>
              </w:rPr>
              <w:t xml:space="preserve">Częstość pomiarów stężeń </w:t>
            </w:r>
            <w:proofErr w:type="spellStart"/>
            <w:r w:rsidRPr="00AA22C4">
              <w:rPr>
                <w:rFonts w:ascii="Lato" w:hAnsi="Lato"/>
                <w:color w:val="000000" w:themeColor="text1"/>
                <w:sz w:val="20"/>
                <w:szCs w:val="20"/>
                <w:lang w:eastAsia="en-US"/>
              </w:rPr>
              <w:t>Phe</w:t>
            </w:r>
            <w:proofErr w:type="spellEnd"/>
            <w:r w:rsidRPr="00AA22C4">
              <w:rPr>
                <w:rFonts w:ascii="Lato" w:hAnsi="Lato"/>
                <w:color w:val="000000" w:themeColor="text1"/>
                <w:sz w:val="20"/>
                <w:szCs w:val="20"/>
                <w:lang w:eastAsia="en-US"/>
              </w:rPr>
              <w:t xml:space="preserve">, jak w </w:t>
            </w:r>
            <w:r w:rsidRPr="00AA22C4">
              <w:rPr>
                <w:rFonts w:ascii="Lato" w:hAnsi="Lato"/>
                <w:b/>
                <w:color w:val="000000" w:themeColor="text1"/>
                <w:sz w:val="20"/>
                <w:szCs w:val="20"/>
                <w:lang w:eastAsia="en-US"/>
              </w:rPr>
              <w:t>tabl. 9</w:t>
            </w:r>
          </w:p>
          <w:p w14:paraId="099AEDB7" w14:textId="77777777" w:rsidR="005E347E" w:rsidRPr="00AA22C4" w:rsidRDefault="005E347E" w:rsidP="0015358E">
            <w:pPr>
              <w:widowControl/>
              <w:spacing w:line="240" w:lineRule="auto"/>
              <w:jc w:val="center"/>
              <w:rPr>
                <w:rFonts w:ascii="Lato" w:hAnsi="Lato"/>
                <w:color w:val="000000" w:themeColor="text1"/>
                <w:sz w:val="20"/>
                <w:szCs w:val="20"/>
                <w:lang w:eastAsia="en-US"/>
              </w:rPr>
            </w:pPr>
            <w:proofErr w:type="spellStart"/>
            <w:r w:rsidRPr="00AA22C4">
              <w:rPr>
                <w:rFonts w:ascii="Lato" w:hAnsi="Lato"/>
                <w:color w:val="000000" w:themeColor="text1"/>
                <w:sz w:val="20"/>
                <w:szCs w:val="20"/>
                <w:lang w:eastAsia="en-US"/>
              </w:rPr>
              <w:t>Aminogram</w:t>
            </w:r>
            <w:proofErr w:type="spellEnd"/>
            <w:r w:rsidRPr="00AA22C4">
              <w:rPr>
                <w:rFonts w:ascii="Lato" w:hAnsi="Lato"/>
                <w:color w:val="000000" w:themeColor="text1"/>
                <w:sz w:val="20"/>
                <w:szCs w:val="20"/>
                <w:lang w:eastAsia="en-US"/>
              </w:rPr>
              <w:t xml:space="preserve"> w osoczu – </w:t>
            </w:r>
          </w:p>
          <w:p w14:paraId="179E410D" w14:textId="77777777" w:rsidR="005E347E" w:rsidRPr="00AA22C4" w:rsidRDefault="005E347E" w:rsidP="0015358E">
            <w:pPr>
              <w:widowControl/>
              <w:spacing w:line="240" w:lineRule="auto"/>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w okresie </w:t>
            </w:r>
            <w:proofErr w:type="spellStart"/>
            <w:r w:rsidRPr="00AA22C4">
              <w:rPr>
                <w:rFonts w:ascii="Lato" w:hAnsi="Lato"/>
                <w:color w:val="000000" w:themeColor="text1"/>
                <w:sz w:val="20"/>
                <w:szCs w:val="20"/>
                <w:lang w:eastAsia="en-US"/>
              </w:rPr>
              <w:t>przedkoncepcyjnym</w:t>
            </w:r>
            <w:proofErr w:type="spellEnd"/>
          </w:p>
        </w:tc>
      </w:tr>
      <w:tr w:rsidR="00B3776C" w:rsidRPr="00B3776C" w14:paraId="253EF811" w14:textId="77777777" w:rsidTr="0015358E">
        <w:trPr>
          <w:jc w:val="center"/>
        </w:trPr>
        <w:tc>
          <w:tcPr>
            <w:tcW w:w="1980" w:type="dxa"/>
            <w:shd w:val="clear" w:color="auto" w:fill="auto"/>
          </w:tcPr>
          <w:p w14:paraId="7E9BD26D" w14:textId="77777777" w:rsidR="005E347E" w:rsidRPr="00AA22C4" w:rsidRDefault="005E347E" w:rsidP="0015358E">
            <w:pPr>
              <w:widowControl/>
              <w:spacing w:line="240" w:lineRule="auto"/>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Ocena biochemiczna</w:t>
            </w:r>
          </w:p>
        </w:tc>
        <w:tc>
          <w:tcPr>
            <w:tcW w:w="3118" w:type="dxa"/>
            <w:shd w:val="clear" w:color="auto" w:fill="auto"/>
          </w:tcPr>
          <w:p w14:paraId="3AE49649" w14:textId="77777777" w:rsidR="005E347E" w:rsidRPr="00AA22C4" w:rsidRDefault="005E347E" w:rsidP="0015358E">
            <w:pPr>
              <w:widowControl/>
              <w:spacing w:line="240" w:lineRule="auto"/>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 raz w roku:</w:t>
            </w:r>
          </w:p>
          <w:p w14:paraId="6354D5B7" w14:textId="77777777" w:rsidR="005E347E" w:rsidRPr="00AA22C4" w:rsidRDefault="005E347E" w:rsidP="0015358E">
            <w:pPr>
              <w:widowControl/>
              <w:spacing w:line="240" w:lineRule="auto"/>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stężenie </w:t>
            </w:r>
            <w:proofErr w:type="spellStart"/>
            <w:r w:rsidRPr="00AA22C4">
              <w:rPr>
                <w:rFonts w:ascii="Lato" w:hAnsi="Lato"/>
                <w:color w:val="000000" w:themeColor="text1"/>
                <w:sz w:val="20"/>
                <w:szCs w:val="20"/>
                <w:lang w:eastAsia="en-US"/>
              </w:rPr>
              <w:t>homocysteiny</w:t>
            </w:r>
            <w:proofErr w:type="spellEnd"/>
            <w:r w:rsidRPr="00AA22C4">
              <w:rPr>
                <w:rFonts w:ascii="Lato" w:hAnsi="Lato"/>
                <w:color w:val="000000" w:themeColor="text1"/>
                <w:sz w:val="20"/>
                <w:szCs w:val="20"/>
                <w:lang w:eastAsia="en-US"/>
              </w:rPr>
              <w:t xml:space="preserve">, kwasu </w:t>
            </w:r>
            <w:proofErr w:type="spellStart"/>
            <w:r w:rsidRPr="00AA22C4">
              <w:rPr>
                <w:rFonts w:ascii="Lato" w:hAnsi="Lato"/>
                <w:color w:val="000000" w:themeColor="text1"/>
                <w:sz w:val="20"/>
                <w:szCs w:val="20"/>
                <w:lang w:eastAsia="en-US"/>
              </w:rPr>
              <w:t>metylomalonowego</w:t>
            </w:r>
            <w:proofErr w:type="spellEnd"/>
            <w:r w:rsidRPr="00AA22C4">
              <w:rPr>
                <w:rFonts w:ascii="Lato" w:hAnsi="Lato"/>
                <w:color w:val="000000" w:themeColor="text1"/>
                <w:sz w:val="20"/>
                <w:szCs w:val="20"/>
                <w:lang w:eastAsia="en-US"/>
              </w:rPr>
              <w:t xml:space="preserve"> lub obu; średnia objętość krwinki (MCV), stężenie ferrytyny, innych mikroelementów (witamin, Ca, Zn, </w:t>
            </w:r>
            <w:proofErr w:type="spellStart"/>
            <w:r w:rsidRPr="00AA22C4">
              <w:rPr>
                <w:rFonts w:ascii="Lato" w:hAnsi="Lato"/>
                <w:color w:val="000000" w:themeColor="text1"/>
                <w:sz w:val="20"/>
                <w:szCs w:val="20"/>
                <w:lang w:eastAsia="en-US"/>
              </w:rPr>
              <w:t>Sel</w:t>
            </w:r>
            <w:proofErr w:type="spellEnd"/>
            <w:r w:rsidRPr="00AA22C4">
              <w:rPr>
                <w:rFonts w:ascii="Lato" w:hAnsi="Lato"/>
                <w:color w:val="000000" w:themeColor="text1"/>
                <w:sz w:val="20"/>
                <w:szCs w:val="20"/>
                <w:lang w:eastAsia="en-US"/>
              </w:rPr>
              <w:t>) oraz hormonów (PTH) w zależności od wskazań klinicznych</w:t>
            </w:r>
          </w:p>
        </w:tc>
        <w:tc>
          <w:tcPr>
            <w:tcW w:w="3686" w:type="dxa"/>
            <w:shd w:val="clear" w:color="auto" w:fill="auto"/>
          </w:tcPr>
          <w:p w14:paraId="4897B901" w14:textId="77777777" w:rsidR="005E347E" w:rsidRPr="00AA22C4" w:rsidRDefault="005E347E" w:rsidP="0015358E">
            <w:pPr>
              <w:widowControl/>
              <w:spacing w:line="240" w:lineRule="auto"/>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 raz w roku:</w:t>
            </w:r>
          </w:p>
          <w:p w14:paraId="64861474" w14:textId="77777777" w:rsidR="005E347E" w:rsidRPr="00AA22C4" w:rsidRDefault="005E347E" w:rsidP="0015358E">
            <w:pPr>
              <w:widowControl/>
              <w:spacing w:line="240" w:lineRule="auto"/>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stężenie </w:t>
            </w:r>
            <w:proofErr w:type="spellStart"/>
            <w:r w:rsidRPr="00AA22C4">
              <w:rPr>
                <w:rFonts w:ascii="Lato" w:hAnsi="Lato"/>
                <w:color w:val="000000" w:themeColor="text1"/>
                <w:sz w:val="20"/>
                <w:szCs w:val="20"/>
                <w:lang w:eastAsia="en-US"/>
              </w:rPr>
              <w:t>homocysteiny</w:t>
            </w:r>
            <w:proofErr w:type="spellEnd"/>
            <w:r w:rsidRPr="00AA22C4">
              <w:rPr>
                <w:rFonts w:ascii="Lato" w:hAnsi="Lato"/>
                <w:color w:val="000000" w:themeColor="text1"/>
                <w:sz w:val="20"/>
                <w:szCs w:val="20"/>
                <w:lang w:eastAsia="en-US"/>
              </w:rPr>
              <w:t xml:space="preserve">, kwasu </w:t>
            </w:r>
            <w:proofErr w:type="spellStart"/>
            <w:r w:rsidRPr="00AA22C4">
              <w:rPr>
                <w:rFonts w:ascii="Lato" w:hAnsi="Lato"/>
                <w:color w:val="000000" w:themeColor="text1"/>
                <w:sz w:val="20"/>
                <w:szCs w:val="20"/>
                <w:lang w:eastAsia="en-US"/>
              </w:rPr>
              <w:t>metylomalonowego</w:t>
            </w:r>
            <w:proofErr w:type="spellEnd"/>
            <w:r w:rsidRPr="00AA22C4">
              <w:rPr>
                <w:rFonts w:ascii="Lato" w:hAnsi="Lato"/>
                <w:color w:val="000000" w:themeColor="text1"/>
                <w:sz w:val="20"/>
                <w:szCs w:val="20"/>
                <w:lang w:eastAsia="en-US"/>
              </w:rPr>
              <w:t xml:space="preserve"> lub obu; średnia objętość krwinki (MCV), stężenie ferrytyny, innych mikroelementów (witamin, Ca, Zn, </w:t>
            </w:r>
            <w:proofErr w:type="spellStart"/>
            <w:r w:rsidRPr="00AA22C4">
              <w:rPr>
                <w:rFonts w:ascii="Lato" w:hAnsi="Lato"/>
                <w:color w:val="000000" w:themeColor="text1"/>
                <w:sz w:val="20"/>
                <w:szCs w:val="20"/>
                <w:lang w:eastAsia="en-US"/>
              </w:rPr>
              <w:t>Sel</w:t>
            </w:r>
            <w:proofErr w:type="spellEnd"/>
            <w:r w:rsidRPr="00AA22C4">
              <w:rPr>
                <w:rFonts w:ascii="Lato" w:hAnsi="Lato"/>
                <w:color w:val="000000" w:themeColor="text1"/>
                <w:sz w:val="20"/>
                <w:szCs w:val="20"/>
                <w:lang w:eastAsia="en-US"/>
              </w:rPr>
              <w:t>) oraz hormonów (PTH) w zależności od wskazań klinicznych</w:t>
            </w:r>
          </w:p>
        </w:tc>
        <w:tc>
          <w:tcPr>
            <w:tcW w:w="3402" w:type="dxa"/>
            <w:shd w:val="clear" w:color="auto" w:fill="auto"/>
          </w:tcPr>
          <w:p w14:paraId="47FF5199" w14:textId="20522E59" w:rsidR="005E347E" w:rsidRPr="00AA22C4" w:rsidRDefault="005E347E" w:rsidP="00E163A0">
            <w:pPr>
              <w:widowControl/>
              <w:spacing w:line="240" w:lineRule="auto"/>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 raz w roku:</w:t>
            </w:r>
          </w:p>
          <w:p w14:paraId="28EA2BBB" w14:textId="77777777" w:rsidR="005E347E" w:rsidRPr="00AA22C4" w:rsidRDefault="005E347E" w:rsidP="0015358E">
            <w:pPr>
              <w:widowControl/>
              <w:spacing w:line="240" w:lineRule="auto"/>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stężenie </w:t>
            </w:r>
            <w:proofErr w:type="spellStart"/>
            <w:r w:rsidRPr="00AA22C4">
              <w:rPr>
                <w:rFonts w:ascii="Lato" w:hAnsi="Lato"/>
                <w:color w:val="000000" w:themeColor="text1"/>
                <w:sz w:val="20"/>
                <w:szCs w:val="20"/>
                <w:lang w:eastAsia="en-US"/>
              </w:rPr>
              <w:t>homocysteiny</w:t>
            </w:r>
            <w:proofErr w:type="spellEnd"/>
            <w:r w:rsidRPr="00AA22C4">
              <w:rPr>
                <w:rFonts w:ascii="Lato" w:hAnsi="Lato"/>
                <w:color w:val="000000" w:themeColor="text1"/>
                <w:sz w:val="20"/>
                <w:szCs w:val="20"/>
                <w:lang w:eastAsia="en-US"/>
              </w:rPr>
              <w:t xml:space="preserve">, kwasu </w:t>
            </w:r>
            <w:proofErr w:type="spellStart"/>
            <w:r w:rsidRPr="00AA22C4">
              <w:rPr>
                <w:rFonts w:ascii="Lato" w:hAnsi="Lato"/>
                <w:color w:val="000000" w:themeColor="text1"/>
                <w:sz w:val="20"/>
                <w:szCs w:val="20"/>
                <w:lang w:eastAsia="en-US"/>
              </w:rPr>
              <w:t>metylomalonowego</w:t>
            </w:r>
            <w:proofErr w:type="spellEnd"/>
            <w:r w:rsidRPr="00AA22C4">
              <w:rPr>
                <w:rFonts w:ascii="Lato" w:hAnsi="Lato"/>
                <w:color w:val="000000" w:themeColor="text1"/>
                <w:sz w:val="20"/>
                <w:szCs w:val="20"/>
                <w:lang w:eastAsia="en-US"/>
              </w:rPr>
              <w:t xml:space="preserve"> lub obu; średnia objętość krwinki (MCV), stężenie ferrytyny, innych mikroelementów (witamin, Ca, Zn, </w:t>
            </w:r>
            <w:proofErr w:type="spellStart"/>
            <w:r w:rsidRPr="00AA22C4">
              <w:rPr>
                <w:rFonts w:ascii="Lato" w:hAnsi="Lato"/>
                <w:color w:val="000000" w:themeColor="text1"/>
                <w:sz w:val="20"/>
                <w:szCs w:val="20"/>
                <w:lang w:eastAsia="en-US"/>
              </w:rPr>
              <w:t>Sel</w:t>
            </w:r>
            <w:proofErr w:type="spellEnd"/>
            <w:r w:rsidRPr="00AA22C4">
              <w:rPr>
                <w:rFonts w:ascii="Lato" w:hAnsi="Lato"/>
                <w:color w:val="000000" w:themeColor="text1"/>
                <w:sz w:val="20"/>
                <w:szCs w:val="20"/>
                <w:lang w:eastAsia="en-US"/>
              </w:rPr>
              <w:t>) oraz hormonów (PTH) w zależności od wskazań klinicznych</w:t>
            </w:r>
          </w:p>
        </w:tc>
        <w:tc>
          <w:tcPr>
            <w:tcW w:w="2551" w:type="dxa"/>
            <w:shd w:val="clear" w:color="auto" w:fill="auto"/>
          </w:tcPr>
          <w:p w14:paraId="3A9C73E9" w14:textId="77777777" w:rsidR="005E347E" w:rsidRPr="00AA22C4" w:rsidRDefault="005E347E" w:rsidP="0015358E">
            <w:pPr>
              <w:widowControl/>
              <w:spacing w:line="240" w:lineRule="auto"/>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W okresie </w:t>
            </w:r>
            <w:proofErr w:type="spellStart"/>
            <w:r w:rsidRPr="00AA22C4">
              <w:rPr>
                <w:rFonts w:ascii="Lato" w:hAnsi="Lato"/>
                <w:color w:val="000000" w:themeColor="text1"/>
                <w:sz w:val="20"/>
                <w:szCs w:val="20"/>
                <w:lang w:eastAsia="en-US"/>
              </w:rPr>
              <w:t>przedkoncepcyjnym</w:t>
            </w:r>
            <w:proofErr w:type="spellEnd"/>
            <w:r w:rsidRPr="00AA22C4">
              <w:rPr>
                <w:rFonts w:ascii="Lato" w:hAnsi="Lato"/>
                <w:color w:val="000000" w:themeColor="text1"/>
                <w:sz w:val="20"/>
                <w:szCs w:val="20"/>
                <w:lang w:eastAsia="en-US"/>
              </w:rPr>
              <w:t xml:space="preserve">: kwas foliowy, </w:t>
            </w:r>
            <w:proofErr w:type="spellStart"/>
            <w:r w:rsidRPr="00AA22C4">
              <w:rPr>
                <w:rFonts w:ascii="Lato" w:hAnsi="Lato"/>
                <w:color w:val="000000" w:themeColor="text1"/>
                <w:sz w:val="20"/>
                <w:szCs w:val="20"/>
                <w:lang w:eastAsia="en-US"/>
              </w:rPr>
              <w:t>wit</w:t>
            </w:r>
            <w:proofErr w:type="spellEnd"/>
            <w:r w:rsidRPr="00AA22C4">
              <w:rPr>
                <w:rFonts w:ascii="Lato" w:hAnsi="Lato"/>
                <w:color w:val="000000" w:themeColor="text1"/>
                <w:sz w:val="20"/>
                <w:szCs w:val="20"/>
                <w:lang w:eastAsia="en-US"/>
              </w:rPr>
              <w:t xml:space="preserve">. B12, stężenie </w:t>
            </w:r>
            <w:proofErr w:type="spellStart"/>
            <w:r w:rsidRPr="00AA22C4">
              <w:rPr>
                <w:rFonts w:ascii="Lato" w:hAnsi="Lato"/>
                <w:color w:val="000000" w:themeColor="text1"/>
                <w:sz w:val="20"/>
                <w:szCs w:val="20"/>
                <w:lang w:eastAsia="en-US"/>
              </w:rPr>
              <w:t>homocysteiny</w:t>
            </w:r>
            <w:proofErr w:type="spellEnd"/>
            <w:r w:rsidRPr="00AA22C4">
              <w:rPr>
                <w:rFonts w:ascii="Lato" w:hAnsi="Lato"/>
                <w:color w:val="000000" w:themeColor="text1"/>
                <w:sz w:val="20"/>
                <w:szCs w:val="20"/>
                <w:lang w:eastAsia="en-US"/>
              </w:rPr>
              <w:t xml:space="preserve">, kwasu </w:t>
            </w:r>
            <w:proofErr w:type="spellStart"/>
            <w:r w:rsidRPr="00AA22C4">
              <w:rPr>
                <w:rFonts w:ascii="Lato" w:hAnsi="Lato"/>
                <w:color w:val="000000" w:themeColor="text1"/>
                <w:sz w:val="20"/>
                <w:szCs w:val="20"/>
                <w:lang w:eastAsia="en-US"/>
              </w:rPr>
              <w:t>metylomalonowego</w:t>
            </w:r>
            <w:proofErr w:type="spellEnd"/>
            <w:r w:rsidRPr="00AA22C4">
              <w:rPr>
                <w:rFonts w:ascii="Lato" w:hAnsi="Lato"/>
                <w:color w:val="000000" w:themeColor="text1"/>
                <w:sz w:val="20"/>
                <w:szCs w:val="20"/>
                <w:lang w:eastAsia="en-US"/>
              </w:rPr>
              <w:t xml:space="preserve"> lub obu; morfologia krwi, </w:t>
            </w:r>
          </w:p>
          <w:p w14:paraId="1F17765B" w14:textId="77777777" w:rsidR="005E347E" w:rsidRPr="00AA22C4" w:rsidRDefault="005E347E" w:rsidP="0015358E">
            <w:pPr>
              <w:widowControl/>
              <w:spacing w:line="240" w:lineRule="auto"/>
              <w:jc w:val="center"/>
              <w:rPr>
                <w:rFonts w:ascii="Lato" w:hAnsi="Lato"/>
                <w:color w:val="000000" w:themeColor="text1"/>
                <w:sz w:val="20"/>
                <w:szCs w:val="20"/>
                <w:lang w:eastAsia="en-US"/>
              </w:rPr>
            </w:pPr>
          </w:p>
          <w:p w14:paraId="62244A30" w14:textId="77777777" w:rsidR="005E347E" w:rsidRPr="00AA22C4" w:rsidRDefault="005E347E" w:rsidP="0015358E">
            <w:pPr>
              <w:widowControl/>
              <w:spacing w:line="240" w:lineRule="auto"/>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W trakcie trwania ciąży – w zależności od wskazań klinicznych</w:t>
            </w:r>
          </w:p>
        </w:tc>
      </w:tr>
      <w:tr w:rsidR="005E347E" w:rsidRPr="00AA22C4" w14:paraId="06D763A0" w14:textId="77777777" w:rsidTr="0015358E">
        <w:trPr>
          <w:jc w:val="center"/>
        </w:trPr>
        <w:tc>
          <w:tcPr>
            <w:tcW w:w="1980" w:type="dxa"/>
            <w:shd w:val="clear" w:color="auto" w:fill="auto"/>
          </w:tcPr>
          <w:p w14:paraId="7BBF7BD7" w14:textId="77777777" w:rsidR="005E347E" w:rsidRPr="00AA22C4" w:rsidRDefault="005E347E" w:rsidP="0015358E">
            <w:pPr>
              <w:widowControl/>
              <w:spacing w:line="240" w:lineRule="auto"/>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Ocena gęstości mineralnej kości</w:t>
            </w:r>
          </w:p>
        </w:tc>
        <w:tc>
          <w:tcPr>
            <w:tcW w:w="3118" w:type="dxa"/>
            <w:shd w:val="clear" w:color="auto" w:fill="auto"/>
          </w:tcPr>
          <w:p w14:paraId="7BFED4DF" w14:textId="77777777" w:rsidR="005E347E" w:rsidRPr="00AA22C4" w:rsidRDefault="005E347E" w:rsidP="0015358E">
            <w:pPr>
              <w:widowControl/>
              <w:spacing w:line="240" w:lineRule="auto"/>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Tylko w wypadku wskazań klinicznych lub w sytuacji, gdy pacjent pochodzi z grupy ryzyka choroby kości</w:t>
            </w:r>
          </w:p>
        </w:tc>
        <w:tc>
          <w:tcPr>
            <w:tcW w:w="3686" w:type="dxa"/>
            <w:shd w:val="clear" w:color="auto" w:fill="auto"/>
          </w:tcPr>
          <w:p w14:paraId="7A397342" w14:textId="77777777" w:rsidR="005E347E" w:rsidRPr="00AA22C4" w:rsidRDefault="005E347E" w:rsidP="0015358E">
            <w:pPr>
              <w:widowControl/>
              <w:spacing w:line="240" w:lineRule="auto"/>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Pierwsze badanie DEXA powinno być wykonane w okresie późnej adolescencji, jeżeli wynik DEXA jest nieprawidłowy - wskazane powtórzenie badania po roku </w:t>
            </w:r>
            <w:proofErr w:type="gramStart"/>
            <w:r w:rsidRPr="00AA22C4">
              <w:rPr>
                <w:rFonts w:ascii="Lato" w:hAnsi="Lato"/>
                <w:color w:val="000000" w:themeColor="text1"/>
                <w:sz w:val="20"/>
                <w:szCs w:val="20"/>
                <w:lang w:eastAsia="en-US"/>
              </w:rPr>
              <w:t>( z</w:t>
            </w:r>
            <w:proofErr w:type="gramEnd"/>
            <w:r w:rsidRPr="00AA22C4">
              <w:rPr>
                <w:rFonts w:ascii="Lato" w:hAnsi="Lato"/>
                <w:color w:val="000000" w:themeColor="text1"/>
                <w:sz w:val="20"/>
                <w:szCs w:val="20"/>
                <w:lang w:eastAsia="en-US"/>
              </w:rPr>
              <w:t xml:space="preserve"> lub bez zmian w leczeniu). Jeżeli wynik jest nadal zaniżony (ale </w:t>
            </w:r>
            <w:r w:rsidRPr="00AA22C4">
              <w:rPr>
                <w:rFonts w:ascii="Lato" w:hAnsi="Lato"/>
                <w:color w:val="000000" w:themeColor="text1"/>
                <w:sz w:val="20"/>
                <w:szCs w:val="20"/>
                <w:lang w:eastAsia="en-US"/>
              </w:rPr>
              <w:lastRenderedPageBreak/>
              <w:t>stabilny) – ponowna kontrola za 1 rok. Jeżeli wynik jest prawidłowy – nie ma potrzeby powtarzania badań.</w:t>
            </w:r>
          </w:p>
          <w:p w14:paraId="09079BBF" w14:textId="77777777" w:rsidR="005E347E" w:rsidRPr="00AA22C4" w:rsidRDefault="005E347E" w:rsidP="0015358E">
            <w:pPr>
              <w:widowControl/>
              <w:spacing w:line="240" w:lineRule="auto"/>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Wykonanie badania zalecane w każdym przypadku wskazań klinicznych. </w:t>
            </w:r>
          </w:p>
        </w:tc>
        <w:tc>
          <w:tcPr>
            <w:tcW w:w="3402" w:type="dxa"/>
            <w:shd w:val="clear" w:color="auto" w:fill="auto"/>
          </w:tcPr>
          <w:p w14:paraId="03EEB01A" w14:textId="77777777" w:rsidR="005E347E" w:rsidRPr="00AA22C4" w:rsidRDefault="005E347E" w:rsidP="0015358E">
            <w:pPr>
              <w:widowControl/>
              <w:spacing w:line="240" w:lineRule="auto"/>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lastRenderedPageBreak/>
              <w:t xml:space="preserve">Wykonanie badania zalecane w każdym przypadku wskazań klinicznych lub w przypadku, gdy pacjent pochodzi z grupy ryzyka choroby kości </w:t>
            </w:r>
          </w:p>
        </w:tc>
        <w:tc>
          <w:tcPr>
            <w:tcW w:w="2551" w:type="dxa"/>
            <w:shd w:val="clear" w:color="auto" w:fill="auto"/>
          </w:tcPr>
          <w:p w14:paraId="76E69462" w14:textId="77777777" w:rsidR="005E347E" w:rsidRPr="00AA22C4" w:rsidRDefault="005E347E" w:rsidP="0015358E">
            <w:pPr>
              <w:widowControl/>
              <w:spacing w:line="240" w:lineRule="auto"/>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Badanie nie jest wskazane </w:t>
            </w:r>
          </w:p>
        </w:tc>
      </w:tr>
    </w:tbl>
    <w:p w14:paraId="10159385" w14:textId="77777777" w:rsidR="005E347E" w:rsidRPr="00AA22C4" w:rsidRDefault="005E347E" w:rsidP="005E347E">
      <w:pPr>
        <w:pStyle w:val="Tekstprzypisudolnego"/>
        <w:spacing w:before="120" w:after="120"/>
        <w:contextualSpacing/>
        <w:jc w:val="both"/>
        <w:rPr>
          <w:rFonts w:ascii="Lato" w:hAnsi="Lato"/>
          <w:b/>
          <w:color w:val="000000" w:themeColor="text1"/>
          <w:sz w:val="22"/>
          <w:szCs w:val="22"/>
        </w:rPr>
      </w:pPr>
    </w:p>
    <w:p w14:paraId="26C9171B" w14:textId="77777777" w:rsidR="005E347E" w:rsidRPr="00AA22C4" w:rsidRDefault="005E347E" w:rsidP="005E347E">
      <w:pPr>
        <w:pStyle w:val="Tekstprzypisudolnego"/>
        <w:numPr>
          <w:ilvl w:val="1"/>
          <w:numId w:val="1"/>
        </w:numPr>
        <w:spacing w:before="120" w:after="120"/>
        <w:ind w:left="1077"/>
        <w:jc w:val="both"/>
        <w:outlineLvl w:val="1"/>
        <w:rPr>
          <w:rFonts w:ascii="Lato" w:hAnsi="Lato"/>
          <w:b/>
          <w:color w:val="000000" w:themeColor="text1"/>
          <w:sz w:val="28"/>
          <w:szCs w:val="22"/>
        </w:rPr>
      </w:pPr>
      <w:bookmarkStart w:id="56" w:name="_Toc514072292"/>
      <w:r w:rsidRPr="00AA22C4">
        <w:rPr>
          <w:rFonts w:ascii="Lato" w:hAnsi="Lato"/>
          <w:b/>
          <w:color w:val="000000" w:themeColor="text1"/>
          <w:sz w:val="28"/>
          <w:szCs w:val="22"/>
        </w:rPr>
        <w:t>Warunki realizacji programu polityki zdrowotnej dotyczące personelu, wyposażenia i warunków lokalowych</w:t>
      </w:r>
      <w:bookmarkEnd w:id="56"/>
    </w:p>
    <w:p w14:paraId="0B882CB8"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Zgodnie z art. 48b ust. 1a ustawy z dnia 27 sierpnia 2004 r. o świadczeniach opieki zdrowotnej finansowanych ze środków publicznych wybór realizatorów lub realizatora programu polityki zdrowotnej opracowanego przez ministra właściwego do spraw zdrowia może nastąpić bez  przeprowadzania konkursu ofert jeśli m.in. </w:t>
      </w:r>
      <w:r w:rsidRPr="00AA22C4">
        <w:rPr>
          <w:rFonts w:ascii="Lato" w:hAnsi="Lato"/>
          <w:i/>
          <w:color w:val="000000" w:themeColor="text1"/>
          <w:sz w:val="22"/>
          <w:szCs w:val="22"/>
        </w:rPr>
        <w:t>program polityki zdrowotnej może być realizowany tylko przez ograniczoną liczbę realizatorów z przyczyn o obiektywnym charakterze i nie jest to wynikiem celowego zawężenia kryteriów lub warunków realizacji programu oraz nie istnieje rozsądne rozwiązanie alternatywne lub rozwiązanie zastępcze.</w:t>
      </w:r>
    </w:p>
    <w:p w14:paraId="02285462" w14:textId="053768F5" w:rsidR="005E347E" w:rsidRPr="00AA22C4" w:rsidRDefault="005E347E" w:rsidP="005E347E">
      <w:pPr>
        <w:pStyle w:val="Tekstprzypisudolnego"/>
        <w:spacing w:before="120" w:after="120"/>
        <w:jc w:val="both"/>
        <w:rPr>
          <w:rFonts w:ascii="Lato" w:hAnsi="Lato"/>
          <w:i/>
          <w:color w:val="000000" w:themeColor="text1"/>
          <w:sz w:val="22"/>
          <w:szCs w:val="22"/>
        </w:rPr>
      </w:pPr>
      <w:r w:rsidRPr="00AA22C4">
        <w:rPr>
          <w:rFonts w:ascii="Lato" w:hAnsi="Lato"/>
          <w:color w:val="000000" w:themeColor="text1"/>
          <w:sz w:val="22"/>
          <w:szCs w:val="22"/>
        </w:rPr>
        <w:t>Mając na uwadze, iż od początku wprowadzania badań przesiewowych noworodków w Polsce, podmiotem wiodącym oraz posiadający największy dorobek naukowy w zakresie przedmiotowym zadań realizowanych w ramach Programu jest IMiD , na podstawie art. 48b ust. 1a ustawy z dnia 27 sierpnia 2004</w:t>
      </w:r>
      <w:r w:rsidRPr="00AA22C4">
        <w:rPr>
          <w:rFonts w:ascii="Lato" w:hAnsi="Lato"/>
          <w:color w:val="000000" w:themeColor="text1"/>
        </w:rPr>
        <w:t xml:space="preserve"> </w:t>
      </w:r>
      <w:r w:rsidR="002879F9" w:rsidRPr="00AA22C4">
        <w:rPr>
          <w:rFonts w:ascii="Lato" w:hAnsi="Lato"/>
          <w:color w:val="000000" w:themeColor="text1"/>
        </w:rPr>
        <w:t xml:space="preserve">r. </w:t>
      </w:r>
      <w:r w:rsidRPr="00AA22C4">
        <w:rPr>
          <w:rFonts w:ascii="Lato" w:hAnsi="Lato"/>
          <w:color w:val="000000" w:themeColor="text1"/>
          <w:sz w:val="22"/>
          <w:szCs w:val="22"/>
        </w:rPr>
        <w:t xml:space="preserve">o świadczeniach opieki zdrowotnej finansowanych ze środków publicznych decyzją Ministra Zdrowia wskazuje się ww. Instytut jako realizatora programu polityki zdrowotnej pn. </w:t>
      </w:r>
      <w:r w:rsidRPr="00AA22C4">
        <w:rPr>
          <w:rFonts w:ascii="Lato" w:hAnsi="Lato"/>
          <w:i/>
          <w:iCs/>
          <w:color w:val="000000" w:themeColor="text1"/>
          <w:sz w:val="22"/>
          <w:szCs w:val="22"/>
        </w:rPr>
        <w:t>Rządowy</w:t>
      </w:r>
      <w:r w:rsidRPr="00AA22C4">
        <w:rPr>
          <w:rFonts w:ascii="Lato" w:hAnsi="Lato"/>
          <w:color w:val="000000" w:themeColor="text1"/>
          <w:sz w:val="22"/>
          <w:szCs w:val="22"/>
        </w:rPr>
        <w:t xml:space="preserve"> </w:t>
      </w:r>
      <w:r w:rsidRPr="00AA22C4">
        <w:rPr>
          <w:rFonts w:ascii="Lato" w:hAnsi="Lato"/>
          <w:i/>
          <w:color w:val="000000" w:themeColor="text1"/>
          <w:sz w:val="22"/>
          <w:szCs w:val="22"/>
        </w:rPr>
        <w:t xml:space="preserve">program badań przesiewowych noworodków na lata 2019-2026. </w:t>
      </w:r>
    </w:p>
    <w:p w14:paraId="6039D64B" w14:textId="77777777" w:rsidR="005E347E" w:rsidRPr="00AA22C4" w:rsidRDefault="005E347E" w:rsidP="005E347E">
      <w:pPr>
        <w:pStyle w:val="Tekstprzypisudolnego"/>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Należy zaznaczyć, iż IMiD posiada:</w:t>
      </w:r>
    </w:p>
    <w:p w14:paraId="25DED8E9" w14:textId="56695F85" w:rsidR="005E347E" w:rsidRPr="00AA22C4" w:rsidRDefault="005E347E" w:rsidP="005E347E">
      <w:pPr>
        <w:pStyle w:val="Tekstprzypisudolnego"/>
        <w:numPr>
          <w:ilvl w:val="0"/>
          <w:numId w:val="79"/>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laboratoria badań przesiewowych w kierunku diagnostyki fenyloketonurii, wrodzonej niedoczynności tarczycy, wrodzonego przerostu nadnerczy, mukowiscydozy, rdzeniowego zaniku mięśni, deficytu biotynidazy oraz wrodzonych wad metabolizmu metodą tandemowej spektrometrii mas (MS/MS) w Rzecz</w:t>
      </w:r>
      <w:r w:rsidR="007A48CA" w:rsidRPr="00AA22C4">
        <w:rPr>
          <w:rFonts w:ascii="Lato" w:hAnsi="Lato"/>
          <w:color w:val="000000" w:themeColor="text1"/>
          <w:sz w:val="22"/>
          <w:szCs w:val="22"/>
        </w:rPr>
        <w:t>y</w:t>
      </w:r>
      <w:r w:rsidRPr="00AA22C4">
        <w:rPr>
          <w:rFonts w:ascii="Lato" w:hAnsi="Lato"/>
          <w:color w:val="000000" w:themeColor="text1"/>
          <w:sz w:val="22"/>
          <w:szCs w:val="22"/>
        </w:rPr>
        <w:t>pospolitej Polskiej, (umożliwiając jednocześnie monitoring badanych chorób przez zawarte umowy współpracy z innymi laboratoriami);</w:t>
      </w:r>
    </w:p>
    <w:p w14:paraId="334D2D83" w14:textId="77777777" w:rsidR="00E163A0" w:rsidRPr="00AA22C4" w:rsidRDefault="00E163A0" w:rsidP="00E163A0">
      <w:pPr>
        <w:pStyle w:val="Tekstprzypisudolnego"/>
        <w:spacing w:before="120" w:after="120"/>
        <w:contextualSpacing/>
        <w:jc w:val="both"/>
        <w:rPr>
          <w:rFonts w:ascii="Lato" w:hAnsi="Lato"/>
          <w:color w:val="000000" w:themeColor="text1"/>
          <w:sz w:val="22"/>
          <w:szCs w:val="22"/>
        </w:rPr>
      </w:pPr>
    </w:p>
    <w:p w14:paraId="71342F12" w14:textId="77777777" w:rsidR="005E347E" w:rsidRPr="00AA22C4" w:rsidRDefault="005E347E" w:rsidP="005E347E">
      <w:pPr>
        <w:pStyle w:val="Tekstprzypisudolnego"/>
        <w:numPr>
          <w:ilvl w:val="0"/>
          <w:numId w:val="79"/>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lastRenderedPageBreak/>
        <w:t>doświadczenie w organizacji i wykonywaniu badań przesiewowych noworodków w kierunku fenyloketonurii, wrodzonej niedoczynności tarczycy, wrodzonego przerostu nadnerczy, mukowiscydozy, rdzeniowego zaniku mięśni, deficytu biotynidazy oraz wrodzonych wad metabolizmu metodą tandemowej spektrometrii mas (MS/MS);</w:t>
      </w:r>
    </w:p>
    <w:p w14:paraId="79FEA9DD" w14:textId="77777777" w:rsidR="005E347E" w:rsidRPr="00AA22C4" w:rsidRDefault="005E347E" w:rsidP="005E347E">
      <w:pPr>
        <w:pStyle w:val="Tekstprzypisudolnego"/>
        <w:numPr>
          <w:ilvl w:val="0"/>
          <w:numId w:val="79"/>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doświadczenie w prowadzeniu centralnego rejestru noworodków objętych badaniami przesiewowymi z zastosowaniem kodowanej, elektronicznej transmisji danych z ośrodków biorących udział w Programie, z zabezpieczeniem danych, zgodnie z aktualnie obowiązującymi aktami prawnymi;</w:t>
      </w:r>
    </w:p>
    <w:p w14:paraId="39C78BE1" w14:textId="77777777" w:rsidR="005E347E" w:rsidRPr="00AA22C4" w:rsidRDefault="005E347E" w:rsidP="00124EF1">
      <w:pPr>
        <w:pStyle w:val="Tekstprzypisudolnego"/>
        <w:numPr>
          <w:ilvl w:val="0"/>
          <w:numId w:val="79"/>
        </w:numPr>
        <w:spacing w:before="120" w:after="120"/>
        <w:ind w:left="714" w:hanging="357"/>
        <w:contextualSpacing/>
        <w:jc w:val="both"/>
        <w:rPr>
          <w:rFonts w:ascii="Lato" w:hAnsi="Lato"/>
          <w:color w:val="000000" w:themeColor="text1"/>
          <w:sz w:val="22"/>
          <w:szCs w:val="22"/>
        </w:rPr>
      </w:pPr>
      <w:r w:rsidRPr="00AA22C4">
        <w:rPr>
          <w:rFonts w:ascii="Lato" w:hAnsi="Lato"/>
          <w:color w:val="000000" w:themeColor="text1"/>
          <w:sz w:val="22"/>
          <w:szCs w:val="22"/>
        </w:rPr>
        <w:t xml:space="preserve">bazę i kadrę diagnostów i klinicystów, umożliwiającą realizację Programu. </w:t>
      </w:r>
    </w:p>
    <w:p w14:paraId="49A246A5" w14:textId="77777777" w:rsidR="005E347E" w:rsidRPr="00AA22C4" w:rsidRDefault="005E347E" w:rsidP="00124EF1">
      <w:pPr>
        <w:pStyle w:val="Tekstprzypisudolnego"/>
        <w:spacing w:before="240" w:after="120"/>
        <w:jc w:val="both"/>
        <w:rPr>
          <w:rFonts w:ascii="Lato" w:hAnsi="Lato"/>
          <w:b/>
          <w:bCs/>
          <w:color w:val="000000" w:themeColor="text1"/>
          <w:sz w:val="22"/>
          <w:szCs w:val="22"/>
        </w:rPr>
      </w:pPr>
      <w:r w:rsidRPr="00AA22C4">
        <w:rPr>
          <w:rFonts w:ascii="Lato" w:hAnsi="Lato"/>
          <w:b/>
          <w:bCs/>
          <w:color w:val="000000" w:themeColor="text1"/>
          <w:sz w:val="22"/>
          <w:szCs w:val="22"/>
        </w:rPr>
        <w:t>Do zadań wskazanego realizatora w ramach Programu należeć będzie:</w:t>
      </w:r>
    </w:p>
    <w:p w14:paraId="717CF5A4" w14:textId="498DC123" w:rsidR="005E347E" w:rsidRPr="00AA22C4" w:rsidRDefault="00FD3A10" w:rsidP="00181F00">
      <w:pPr>
        <w:pStyle w:val="Tekstprzypisudolnego"/>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 xml:space="preserve">1) </w:t>
      </w:r>
      <w:r w:rsidR="005E347E" w:rsidRPr="00AA22C4">
        <w:rPr>
          <w:rFonts w:ascii="Lato" w:hAnsi="Lato"/>
          <w:color w:val="000000" w:themeColor="text1"/>
          <w:sz w:val="22"/>
          <w:szCs w:val="22"/>
        </w:rPr>
        <w:t>prowadzenie krajowego rejestru badań przesiewowych noworodków</w:t>
      </w:r>
      <w:r w:rsidR="00B01154" w:rsidRPr="00AA22C4">
        <w:rPr>
          <w:rFonts w:ascii="Lato" w:hAnsi="Lato" w:cs="Segoe UI"/>
          <w:color w:val="000000" w:themeColor="text1"/>
          <w:sz w:val="22"/>
          <w:szCs w:val="22"/>
        </w:rPr>
        <w:t xml:space="preserve"> na podstawie </w:t>
      </w:r>
      <w:r w:rsidR="005E347E" w:rsidRPr="00AA22C4">
        <w:rPr>
          <w:rFonts w:ascii="Lato" w:hAnsi="Lato"/>
          <w:color w:val="000000" w:themeColor="text1"/>
          <w:sz w:val="22"/>
          <w:szCs w:val="22"/>
        </w:rPr>
        <w:t>jedn</w:t>
      </w:r>
      <w:r w:rsidR="00B01154" w:rsidRPr="00AA22C4">
        <w:rPr>
          <w:rFonts w:ascii="Lato" w:hAnsi="Lato"/>
          <w:color w:val="000000" w:themeColor="text1"/>
          <w:sz w:val="22"/>
          <w:szCs w:val="22"/>
        </w:rPr>
        <w:t>ej</w:t>
      </w:r>
      <w:r w:rsidR="005E347E" w:rsidRPr="00AA22C4">
        <w:rPr>
          <w:rFonts w:ascii="Lato" w:hAnsi="Lato"/>
          <w:color w:val="000000" w:themeColor="text1"/>
          <w:sz w:val="22"/>
          <w:szCs w:val="22"/>
        </w:rPr>
        <w:t xml:space="preserve"> baz</w:t>
      </w:r>
      <w:r w:rsidR="00B01154" w:rsidRPr="00AA22C4">
        <w:rPr>
          <w:rFonts w:ascii="Lato" w:hAnsi="Lato"/>
          <w:color w:val="000000" w:themeColor="text1"/>
          <w:sz w:val="22"/>
          <w:szCs w:val="22"/>
        </w:rPr>
        <w:t>y</w:t>
      </w:r>
      <w:r w:rsidR="005E347E" w:rsidRPr="00AA22C4">
        <w:rPr>
          <w:rFonts w:ascii="Lato" w:hAnsi="Lato"/>
          <w:color w:val="000000" w:themeColor="text1"/>
          <w:sz w:val="22"/>
          <w:szCs w:val="22"/>
        </w:rPr>
        <w:t xml:space="preserve"> danych dostępn</w:t>
      </w:r>
      <w:r w:rsidR="00B01154" w:rsidRPr="00AA22C4">
        <w:rPr>
          <w:rFonts w:ascii="Lato" w:hAnsi="Lato"/>
          <w:color w:val="000000" w:themeColor="text1"/>
          <w:sz w:val="22"/>
          <w:szCs w:val="22"/>
        </w:rPr>
        <w:t>ej</w:t>
      </w:r>
      <w:r w:rsidR="005E347E" w:rsidRPr="00AA22C4">
        <w:rPr>
          <w:rFonts w:ascii="Lato" w:hAnsi="Lato"/>
          <w:color w:val="000000" w:themeColor="text1"/>
          <w:sz w:val="22"/>
          <w:szCs w:val="22"/>
        </w:rPr>
        <w:t xml:space="preserve"> online dla wszystkich laboratoriów przesiewowych, z zapewnieniem ochrony danych osobowych</w:t>
      </w:r>
      <w:r w:rsidRPr="00AA22C4">
        <w:rPr>
          <w:rFonts w:ascii="Lato" w:hAnsi="Lato"/>
          <w:color w:val="000000" w:themeColor="text1"/>
          <w:sz w:val="22"/>
          <w:szCs w:val="22"/>
        </w:rPr>
        <w:t>;</w:t>
      </w:r>
    </w:p>
    <w:p w14:paraId="61E87C47" w14:textId="5E373B06" w:rsidR="005E347E" w:rsidRPr="00AA22C4" w:rsidRDefault="00FD3A10" w:rsidP="00181F00">
      <w:pPr>
        <w:pStyle w:val="Tekstprzypisudolnego"/>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 xml:space="preserve">2) </w:t>
      </w:r>
      <w:r w:rsidR="005E347E" w:rsidRPr="00AA22C4">
        <w:rPr>
          <w:rFonts w:ascii="Lato" w:hAnsi="Lato"/>
          <w:color w:val="000000" w:themeColor="text1"/>
          <w:sz w:val="22"/>
          <w:szCs w:val="22"/>
        </w:rPr>
        <w:t>prowadzenie nadzoru nad badaniami przesiewowymi dla całego kraju</w:t>
      </w:r>
      <w:r w:rsidRPr="00AA22C4">
        <w:rPr>
          <w:rFonts w:ascii="Lato" w:hAnsi="Lato"/>
          <w:color w:val="000000" w:themeColor="text1"/>
          <w:sz w:val="22"/>
          <w:szCs w:val="22"/>
        </w:rPr>
        <w:t>;</w:t>
      </w:r>
    </w:p>
    <w:p w14:paraId="2EF4989E" w14:textId="07E030D2" w:rsidR="005E347E" w:rsidRPr="00AA22C4" w:rsidRDefault="00FD3A10" w:rsidP="00181F00">
      <w:pPr>
        <w:pStyle w:val="Tekstprzypisudolnego"/>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 xml:space="preserve">3) </w:t>
      </w:r>
      <w:r w:rsidR="005E347E" w:rsidRPr="00AA22C4">
        <w:rPr>
          <w:rFonts w:ascii="Lato" w:hAnsi="Lato"/>
          <w:color w:val="000000" w:themeColor="text1"/>
          <w:sz w:val="22"/>
          <w:szCs w:val="22"/>
        </w:rPr>
        <w:t>prowadzenie, we współpracy z innymi ośrodkami, prac naukowo-badawczych w celu przygotowania do wdrożenia badań przesiewowych dla kolejnych chorób dla całej populacji</w:t>
      </w:r>
      <w:r w:rsidRPr="00AA22C4">
        <w:rPr>
          <w:rFonts w:ascii="Lato" w:hAnsi="Lato"/>
          <w:color w:val="000000" w:themeColor="text1"/>
          <w:sz w:val="22"/>
          <w:szCs w:val="22"/>
        </w:rPr>
        <w:t>;</w:t>
      </w:r>
    </w:p>
    <w:p w14:paraId="788FC3A8" w14:textId="3EBDA163" w:rsidR="005E347E" w:rsidRPr="00AA22C4" w:rsidRDefault="00FD3A10" w:rsidP="00181F00">
      <w:pPr>
        <w:pStyle w:val="Tekstprzypisudolnego"/>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 xml:space="preserve">4) </w:t>
      </w:r>
      <w:r w:rsidR="005E347E" w:rsidRPr="00AA22C4">
        <w:rPr>
          <w:rFonts w:ascii="Lato" w:hAnsi="Lato"/>
          <w:color w:val="000000" w:themeColor="text1"/>
          <w:sz w:val="22"/>
          <w:szCs w:val="22"/>
        </w:rPr>
        <w:t>zapewnienie specjalistycznej diagnostyki potwierdzającej u dzieci wzywanych z chorobami wrodzonymi oraz kontroli leczenia zgodnie z przyjętym planem</w:t>
      </w:r>
      <w:r w:rsidRPr="00AA22C4">
        <w:rPr>
          <w:rFonts w:ascii="Lato" w:hAnsi="Lato"/>
          <w:color w:val="000000" w:themeColor="text1"/>
          <w:sz w:val="22"/>
          <w:szCs w:val="22"/>
        </w:rPr>
        <w:t>;</w:t>
      </w:r>
    </w:p>
    <w:p w14:paraId="3E51F134" w14:textId="0BE5162E" w:rsidR="005E347E" w:rsidRPr="00AA22C4" w:rsidRDefault="00FD3A10" w:rsidP="00181F00">
      <w:pPr>
        <w:pStyle w:val="Tekstprzypisudolnego"/>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 xml:space="preserve">5) </w:t>
      </w:r>
      <w:r w:rsidR="005E347E" w:rsidRPr="00AA22C4">
        <w:rPr>
          <w:rFonts w:ascii="Lato" w:hAnsi="Lato"/>
          <w:color w:val="000000" w:themeColor="text1"/>
          <w:sz w:val="22"/>
          <w:szCs w:val="22"/>
        </w:rPr>
        <w:t>monitorowanie ciągłości opieki/leczenia nad dziećmi wykrytymi i zdiagnozowanymi w badaniu przesiewowym</w:t>
      </w:r>
      <w:r w:rsidRPr="00AA22C4">
        <w:rPr>
          <w:rFonts w:ascii="Lato" w:hAnsi="Lato"/>
          <w:color w:val="000000" w:themeColor="text1"/>
          <w:sz w:val="22"/>
          <w:szCs w:val="22"/>
        </w:rPr>
        <w:t>;</w:t>
      </w:r>
    </w:p>
    <w:p w14:paraId="689F2464" w14:textId="51CBE09B" w:rsidR="005E347E" w:rsidRPr="00AA22C4" w:rsidRDefault="00FD3A10" w:rsidP="00181F00">
      <w:pPr>
        <w:pStyle w:val="Tekstprzypisudolnego"/>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 xml:space="preserve">6) </w:t>
      </w:r>
      <w:r w:rsidR="005E347E" w:rsidRPr="00AA22C4">
        <w:rPr>
          <w:rFonts w:ascii="Lato" w:hAnsi="Lato"/>
          <w:color w:val="000000" w:themeColor="text1"/>
          <w:sz w:val="22"/>
          <w:szCs w:val="22"/>
        </w:rPr>
        <w:t>prowadzenie szkoleń dla lekarzy i diagnostów laboratoryjnych i techników w zakresie metod prowadzenia badań przesiewowych oraz diagnostyki i leczenia dzieci wykrytych tymi badaniami.</w:t>
      </w:r>
    </w:p>
    <w:p w14:paraId="3C43FBA0" w14:textId="77777777" w:rsidR="005E347E" w:rsidRPr="00AA22C4" w:rsidRDefault="005E347E" w:rsidP="005E347E">
      <w:pPr>
        <w:pStyle w:val="Tekstprzypisudolnego"/>
        <w:spacing w:before="120" w:after="120"/>
        <w:contextualSpacing/>
        <w:jc w:val="both"/>
        <w:rPr>
          <w:rFonts w:ascii="Lato" w:hAnsi="Lato"/>
          <w:bCs/>
          <w:iCs/>
          <w:color w:val="000000" w:themeColor="text1"/>
          <w:sz w:val="22"/>
          <w:szCs w:val="22"/>
        </w:rPr>
      </w:pPr>
    </w:p>
    <w:p w14:paraId="1719072A" w14:textId="77777777" w:rsidR="005E347E" w:rsidRPr="00AA22C4" w:rsidRDefault="005E347E" w:rsidP="005E347E">
      <w:pPr>
        <w:pStyle w:val="Tekstprzypisudolnego"/>
        <w:numPr>
          <w:ilvl w:val="0"/>
          <w:numId w:val="1"/>
        </w:numPr>
        <w:spacing w:before="120" w:after="120"/>
        <w:ind w:left="567" w:hanging="567"/>
        <w:contextualSpacing/>
        <w:jc w:val="both"/>
        <w:outlineLvl w:val="0"/>
        <w:rPr>
          <w:rFonts w:ascii="Lato" w:hAnsi="Lato"/>
          <w:b/>
          <w:color w:val="000000" w:themeColor="text1"/>
          <w:sz w:val="36"/>
          <w:szCs w:val="22"/>
        </w:rPr>
      </w:pPr>
      <w:bookmarkStart w:id="57" w:name="_Toc514072293"/>
      <w:r w:rsidRPr="00AA22C4">
        <w:rPr>
          <w:rFonts w:ascii="Lato" w:hAnsi="Lato"/>
          <w:b/>
          <w:color w:val="000000" w:themeColor="text1"/>
          <w:sz w:val="36"/>
          <w:szCs w:val="22"/>
        </w:rPr>
        <w:t>Sposób monitorowania i ewaluacji programu polityki zdrowotnej</w:t>
      </w:r>
      <w:bookmarkEnd w:id="57"/>
      <w:r w:rsidRPr="00AA22C4">
        <w:rPr>
          <w:rFonts w:ascii="Lato" w:hAnsi="Lato"/>
          <w:b/>
          <w:color w:val="000000" w:themeColor="text1"/>
          <w:sz w:val="36"/>
          <w:szCs w:val="22"/>
        </w:rPr>
        <w:t xml:space="preserve"> </w:t>
      </w:r>
    </w:p>
    <w:p w14:paraId="36348829" w14:textId="77777777" w:rsidR="005E347E" w:rsidRPr="00AA22C4" w:rsidRDefault="005E347E" w:rsidP="00181F00">
      <w:pPr>
        <w:pStyle w:val="Tekstprzypisudolnego"/>
        <w:numPr>
          <w:ilvl w:val="1"/>
          <w:numId w:val="1"/>
        </w:numPr>
        <w:spacing w:before="240" w:after="120"/>
        <w:ind w:left="567" w:hanging="567"/>
        <w:jc w:val="both"/>
        <w:outlineLvl w:val="1"/>
        <w:rPr>
          <w:rFonts w:ascii="Lato" w:hAnsi="Lato"/>
          <w:b/>
          <w:bCs/>
          <w:color w:val="000000" w:themeColor="text1"/>
          <w:sz w:val="28"/>
          <w:szCs w:val="22"/>
        </w:rPr>
      </w:pPr>
      <w:bookmarkStart w:id="58" w:name="_Toc514072294"/>
      <w:bookmarkStart w:id="59" w:name="_Ref491890266"/>
      <w:bookmarkStart w:id="60" w:name="_Toc491892713"/>
      <w:r w:rsidRPr="00AA22C4">
        <w:rPr>
          <w:rFonts w:ascii="Lato" w:hAnsi="Lato"/>
          <w:b/>
          <w:bCs/>
          <w:color w:val="000000" w:themeColor="text1"/>
          <w:sz w:val="28"/>
          <w:szCs w:val="22"/>
        </w:rPr>
        <w:t>Monitorowanie</w:t>
      </w:r>
      <w:bookmarkEnd w:id="58"/>
    </w:p>
    <w:p w14:paraId="185865B0" w14:textId="751533DC" w:rsidR="005E347E" w:rsidRPr="00AA22C4" w:rsidRDefault="005E347E" w:rsidP="005E347E">
      <w:pPr>
        <w:pStyle w:val="Tekstprzypisudolnego"/>
        <w:spacing w:before="120" w:after="120"/>
        <w:contextualSpacing/>
        <w:jc w:val="both"/>
        <w:rPr>
          <w:rFonts w:ascii="Lato" w:hAnsi="Lato"/>
          <w:bCs/>
          <w:color w:val="000000" w:themeColor="text1"/>
          <w:sz w:val="22"/>
          <w:szCs w:val="22"/>
        </w:rPr>
      </w:pPr>
      <w:r w:rsidRPr="00AA22C4">
        <w:rPr>
          <w:rFonts w:ascii="Lato" w:hAnsi="Lato"/>
          <w:bCs/>
          <w:color w:val="000000" w:themeColor="text1"/>
          <w:sz w:val="22"/>
          <w:szCs w:val="22"/>
        </w:rPr>
        <w:t xml:space="preserve">Monitorowanie zadań Programu odbywa się w cyklu miesięcznym oraz kwartalnym w formie sprawozdań merytoryczno-finansowych przekazywanych przez realizatora do komórki organizacyjnej Ministerstwa Zdrowia odpowiadającej za nadzór nad Programem. </w:t>
      </w:r>
    </w:p>
    <w:p w14:paraId="1241CDC8" w14:textId="77777777" w:rsidR="005E347E" w:rsidRPr="00AA22C4" w:rsidRDefault="005E347E" w:rsidP="005E347E">
      <w:pPr>
        <w:pStyle w:val="Tekstprzypisudolnego"/>
        <w:numPr>
          <w:ilvl w:val="0"/>
          <w:numId w:val="28"/>
        </w:numPr>
        <w:spacing w:before="120" w:after="120"/>
        <w:contextualSpacing/>
        <w:jc w:val="both"/>
        <w:rPr>
          <w:rFonts w:ascii="Lato" w:hAnsi="Lato"/>
          <w:bCs/>
          <w:color w:val="000000" w:themeColor="text1"/>
          <w:sz w:val="22"/>
          <w:szCs w:val="22"/>
        </w:rPr>
      </w:pPr>
      <w:r w:rsidRPr="00AA22C4">
        <w:rPr>
          <w:rFonts w:ascii="Lato" w:hAnsi="Lato"/>
          <w:bCs/>
          <w:color w:val="000000" w:themeColor="text1"/>
          <w:sz w:val="22"/>
          <w:szCs w:val="22"/>
        </w:rPr>
        <w:t>sprawozdania miesięczne uwzględniać powinny:</w:t>
      </w:r>
    </w:p>
    <w:p w14:paraId="01803805" w14:textId="22C30DFF" w:rsidR="005E347E" w:rsidRPr="00AA22C4" w:rsidRDefault="005E347E" w:rsidP="005E347E">
      <w:pPr>
        <w:pStyle w:val="Tekstprzypisudolnego"/>
        <w:numPr>
          <w:ilvl w:val="0"/>
          <w:numId w:val="27"/>
        </w:numPr>
        <w:spacing w:before="120" w:after="120"/>
        <w:contextualSpacing/>
        <w:jc w:val="both"/>
        <w:rPr>
          <w:rFonts w:ascii="Lato" w:hAnsi="Lato"/>
          <w:bCs/>
          <w:color w:val="000000" w:themeColor="text1"/>
          <w:sz w:val="22"/>
          <w:szCs w:val="22"/>
        </w:rPr>
      </w:pPr>
      <w:r w:rsidRPr="00AA22C4">
        <w:rPr>
          <w:rFonts w:ascii="Lato" w:hAnsi="Lato"/>
          <w:bCs/>
          <w:color w:val="000000" w:themeColor="text1"/>
          <w:sz w:val="22"/>
          <w:szCs w:val="22"/>
        </w:rPr>
        <w:t>liczbę przeprowadzonych poszczególnych badań przesiewowych</w:t>
      </w:r>
      <w:r w:rsidR="00DC1532" w:rsidRPr="00AA22C4">
        <w:rPr>
          <w:rFonts w:ascii="Lato" w:hAnsi="Lato"/>
          <w:bCs/>
          <w:color w:val="000000" w:themeColor="text1"/>
          <w:sz w:val="22"/>
          <w:szCs w:val="22"/>
        </w:rPr>
        <w:t xml:space="preserve"> </w:t>
      </w:r>
      <w:r w:rsidRPr="00AA22C4">
        <w:rPr>
          <w:rFonts w:ascii="Lato" w:hAnsi="Lato"/>
          <w:bCs/>
          <w:color w:val="000000" w:themeColor="text1"/>
          <w:sz w:val="22"/>
          <w:szCs w:val="22"/>
        </w:rPr>
        <w:t>oraz ich koszt,</w:t>
      </w:r>
    </w:p>
    <w:p w14:paraId="2EF1BA6F" w14:textId="77777777" w:rsidR="005E347E" w:rsidRPr="00AA22C4" w:rsidRDefault="005E347E" w:rsidP="005E347E">
      <w:pPr>
        <w:pStyle w:val="Tekstprzypisudolnego"/>
        <w:numPr>
          <w:ilvl w:val="0"/>
          <w:numId w:val="27"/>
        </w:numPr>
        <w:spacing w:before="120" w:after="120"/>
        <w:contextualSpacing/>
        <w:jc w:val="both"/>
        <w:rPr>
          <w:rFonts w:ascii="Lato" w:hAnsi="Lato"/>
          <w:bCs/>
          <w:color w:val="000000" w:themeColor="text1"/>
          <w:sz w:val="22"/>
          <w:szCs w:val="22"/>
        </w:rPr>
      </w:pPr>
      <w:r w:rsidRPr="00AA22C4">
        <w:rPr>
          <w:rFonts w:ascii="Lato" w:hAnsi="Lato"/>
          <w:bCs/>
          <w:color w:val="000000" w:themeColor="text1"/>
          <w:sz w:val="22"/>
          <w:szCs w:val="22"/>
        </w:rPr>
        <w:lastRenderedPageBreak/>
        <w:t>liczbę zakupionych testów i odczynników niezbędnych do przeprowadzenia badań z przedłożeniem przez realizatora ich kosztu oraz dokumentów potwierdzających zakup;</w:t>
      </w:r>
    </w:p>
    <w:p w14:paraId="0A8A0B05" w14:textId="77777777" w:rsidR="005E347E" w:rsidRPr="00AA22C4" w:rsidRDefault="005E347E" w:rsidP="005E347E">
      <w:pPr>
        <w:pStyle w:val="Tekstprzypisudolnego"/>
        <w:numPr>
          <w:ilvl w:val="0"/>
          <w:numId w:val="28"/>
        </w:numPr>
        <w:spacing w:before="120" w:after="120"/>
        <w:contextualSpacing/>
        <w:jc w:val="both"/>
        <w:rPr>
          <w:rFonts w:ascii="Lato" w:hAnsi="Lato"/>
          <w:bCs/>
          <w:color w:val="000000" w:themeColor="text1"/>
          <w:sz w:val="22"/>
          <w:szCs w:val="22"/>
        </w:rPr>
      </w:pPr>
      <w:r w:rsidRPr="00AA22C4">
        <w:rPr>
          <w:rFonts w:ascii="Lato" w:hAnsi="Lato"/>
          <w:bCs/>
          <w:color w:val="000000" w:themeColor="text1"/>
          <w:sz w:val="22"/>
          <w:szCs w:val="22"/>
        </w:rPr>
        <w:t xml:space="preserve">sprawozdania kwartalne uwzględniać powinny informacje z zakresu zadań związanych z koordynacją Programu, w tym: </w:t>
      </w:r>
    </w:p>
    <w:p w14:paraId="6CD583DC" w14:textId="77777777" w:rsidR="005E347E" w:rsidRPr="00AA22C4" w:rsidRDefault="005E347E" w:rsidP="005E347E">
      <w:pPr>
        <w:pStyle w:val="Tekstprzypisudolnego"/>
        <w:numPr>
          <w:ilvl w:val="0"/>
          <w:numId w:val="29"/>
        </w:numPr>
        <w:spacing w:before="120" w:after="120"/>
        <w:contextualSpacing/>
        <w:jc w:val="both"/>
        <w:rPr>
          <w:rFonts w:ascii="Lato" w:hAnsi="Lato"/>
          <w:bCs/>
          <w:color w:val="000000" w:themeColor="text1"/>
          <w:sz w:val="22"/>
          <w:szCs w:val="22"/>
        </w:rPr>
      </w:pPr>
      <w:r w:rsidRPr="00AA22C4">
        <w:rPr>
          <w:rFonts w:ascii="Lato" w:hAnsi="Lato"/>
          <w:bCs/>
          <w:color w:val="000000" w:themeColor="text1"/>
          <w:sz w:val="22"/>
          <w:szCs w:val="22"/>
        </w:rPr>
        <w:t>liczbę noworodków, u których wykryto daną chorobę w ramach badań prowadzonych ze środków Programu,</w:t>
      </w:r>
    </w:p>
    <w:p w14:paraId="56308A97" w14:textId="77777777" w:rsidR="005E347E" w:rsidRPr="00AA22C4" w:rsidRDefault="005E347E" w:rsidP="005E347E">
      <w:pPr>
        <w:pStyle w:val="Tekstprzypisudolnego"/>
        <w:numPr>
          <w:ilvl w:val="0"/>
          <w:numId w:val="29"/>
        </w:numPr>
        <w:spacing w:before="120" w:after="120"/>
        <w:contextualSpacing/>
        <w:jc w:val="both"/>
        <w:rPr>
          <w:rFonts w:ascii="Lato" w:hAnsi="Lato"/>
          <w:bCs/>
          <w:color w:val="000000" w:themeColor="text1"/>
          <w:sz w:val="22"/>
          <w:szCs w:val="22"/>
        </w:rPr>
      </w:pPr>
      <w:r w:rsidRPr="00AA22C4">
        <w:rPr>
          <w:rFonts w:ascii="Lato" w:hAnsi="Lato"/>
          <w:bCs/>
          <w:color w:val="000000" w:themeColor="text1"/>
          <w:sz w:val="22"/>
          <w:szCs w:val="22"/>
        </w:rPr>
        <w:t>liczbę odmów wykonania badania przesiewowego z uwzględnieniem powodu odmowy (przyczyny odmowy powinny zostać ustandaryzowane przez Realizatora),</w:t>
      </w:r>
    </w:p>
    <w:p w14:paraId="1F41A83C" w14:textId="47920088" w:rsidR="005E347E" w:rsidRPr="00AA22C4" w:rsidRDefault="005E347E" w:rsidP="005E347E">
      <w:pPr>
        <w:pStyle w:val="Tekstprzypisudolnego"/>
        <w:numPr>
          <w:ilvl w:val="0"/>
          <w:numId w:val="29"/>
        </w:numPr>
        <w:spacing w:before="120" w:after="120"/>
        <w:contextualSpacing/>
        <w:jc w:val="both"/>
        <w:rPr>
          <w:rFonts w:ascii="Lato" w:hAnsi="Lato"/>
          <w:bCs/>
          <w:color w:val="000000" w:themeColor="text1"/>
          <w:sz w:val="22"/>
          <w:szCs w:val="22"/>
        </w:rPr>
      </w:pPr>
      <w:r w:rsidRPr="00AA22C4">
        <w:rPr>
          <w:rFonts w:ascii="Lato" w:hAnsi="Lato"/>
          <w:bCs/>
          <w:color w:val="000000" w:themeColor="text1"/>
          <w:sz w:val="22"/>
          <w:szCs w:val="22"/>
        </w:rPr>
        <w:t>liczbę zorganizowanych</w:t>
      </w:r>
      <w:r w:rsidR="0015429B" w:rsidRPr="00AA22C4">
        <w:rPr>
          <w:rFonts w:ascii="Lato" w:hAnsi="Lato"/>
          <w:bCs/>
          <w:color w:val="000000" w:themeColor="text1"/>
          <w:sz w:val="22"/>
          <w:szCs w:val="22"/>
        </w:rPr>
        <w:t xml:space="preserve"> lub </w:t>
      </w:r>
      <w:r w:rsidRPr="00AA22C4">
        <w:rPr>
          <w:rFonts w:ascii="Lato" w:hAnsi="Lato"/>
          <w:bCs/>
          <w:color w:val="000000" w:themeColor="text1"/>
          <w:sz w:val="22"/>
          <w:szCs w:val="22"/>
        </w:rPr>
        <w:t xml:space="preserve">przeprowadzonych szkoleń przez pracowników </w:t>
      </w:r>
      <w:r w:rsidR="00E54BD3" w:rsidRPr="00AA22C4">
        <w:rPr>
          <w:rFonts w:ascii="Lato" w:hAnsi="Lato"/>
          <w:bCs/>
          <w:color w:val="000000" w:themeColor="text1"/>
          <w:sz w:val="22"/>
          <w:szCs w:val="22"/>
        </w:rPr>
        <w:t>IMID</w:t>
      </w:r>
      <w:r w:rsidRPr="00AA22C4">
        <w:rPr>
          <w:rFonts w:ascii="Lato" w:hAnsi="Lato"/>
          <w:bCs/>
          <w:color w:val="000000" w:themeColor="text1"/>
          <w:sz w:val="22"/>
          <w:szCs w:val="22"/>
        </w:rPr>
        <w:t>– z uwzględnieniem liczby osób biorących w szkoleniach oraz wskazaniem wykonywanego zawodu,</w:t>
      </w:r>
    </w:p>
    <w:p w14:paraId="34DFD66C" w14:textId="77777777" w:rsidR="005E347E" w:rsidRPr="00AA22C4" w:rsidRDefault="005E347E" w:rsidP="005E347E">
      <w:pPr>
        <w:pStyle w:val="Tekstprzypisudolnego"/>
        <w:numPr>
          <w:ilvl w:val="0"/>
          <w:numId w:val="29"/>
        </w:numPr>
        <w:spacing w:before="120" w:after="120"/>
        <w:contextualSpacing/>
        <w:jc w:val="both"/>
        <w:rPr>
          <w:rFonts w:ascii="Lato" w:hAnsi="Lato"/>
          <w:bCs/>
          <w:color w:val="000000" w:themeColor="text1"/>
          <w:sz w:val="22"/>
          <w:szCs w:val="22"/>
        </w:rPr>
      </w:pPr>
      <w:r w:rsidRPr="00AA22C4">
        <w:rPr>
          <w:rFonts w:ascii="Lato" w:hAnsi="Lato"/>
          <w:bCs/>
          <w:color w:val="000000" w:themeColor="text1"/>
          <w:sz w:val="22"/>
          <w:szCs w:val="22"/>
        </w:rPr>
        <w:t>liczbę konferencji w których udział czynny brali pracownicy Instytutu – z uwzględnieniem nazwy wydarzenia, terminu i miejsca,</w:t>
      </w:r>
    </w:p>
    <w:p w14:paraId="0A31B1CC" w14:textId="472B3494" w:rsidR="005E347E" w:rsidRPr="00AA22C4" w:rsidRDefault="005E347E" w:rsidP="005E347E">
      <w:pPr>
        <w:pStyle w:val="Tekstprzypisudolnego"/>
        <w:numPr>
          <w:ilvl w:val="0"/>
          <w:numId w:val="29"/>
        </w:numPr>
        <w:spacing w:before="120" w:after="120"/>
        <w:contextualSpacing/>
        <w:jc w:val="both"/>
        <w:rPr>
          <w:rFonts w:ascii="Lato" w:hAnsi="Lato"/>
          <w:bCs/>
          <w:color w:val="000000" w:themeColor="text1"/>
          <w:sz w:val="22"/>
          <w:szCs w:val="22"/>
        </w:rPr>
      </w:pPr>
      <w:r w:rsidRPr="00AA22C4">
        <w:rPr>
          <w:rFonts w:ascii="Lato" w:hAnsi="Lato"/>
          <w:bCs/>
          <w:color w:val="000000" w:themeColor="text1"/>
          <w:sz w:val="22"/>
          <w:szCs w:val="22"/>
        </w:rPr>
        <w:t>informacje na temat podjętych działań promocyjnych o tematyce badań przesiewowych – z uwzględnieniem liczby oraz rodzaju wyprodukowanych materiałów oraz liczby szpitali, do których materiały te zostały rozdysponowane</w:t>
      </w:r>
      <w:r w:rsidR="003D4813" w:rsidRPr="00AA22C4">
        <w:rPr>
          <w:rFonts w:ascii="Lato" w:hAnsi="Lato"/>
          <w:bCs/>
          <w:color w:val="000000" w:themeColor="text1"/>
          <w:sz w:val="22"/>
          <w:szCs w:val="22"/>
        </w:rPr>
        <w:t>;</w:t>
      </w:r>
    </w:p>
    <w:p w14:paraId="2F7E9A4E" w14:textId="77777777" w:rsidR="005E347E" w:rsidRPr="00AA22C4" w:rsidRDefault="005E347E" w:rsidP="005E347E">
      <w:pPr>
        <w:pStyle w:val="Tekstprzypisudolnego"/>
        <w:numPr>
          <w:ilvl w:val="0"/>
          <w:numId w:val="28"/>
        </w:numPr>
        <w:spacing w:before="120" w:after="120"/>
        <w:contextualSpacing/>
        <w:jc w:val="both"/>
        <w:rPr>
          <w:rFonts w:ascii="Lato" w:hAnsi="Lato"/>
          <w:bCs/>
          <w:color w:val="000000" w:themeColor="text1"/>
          <w:sz w:val="22"/>
          <w:szCs w:val="22"/>
        </w:rPr>
      </w:pPr>
      <w:r w:rsidRPr="00AA22C4">
        <w:rPr>
          <w:rFonts w:ascii="Lato" w:hAnsi="Lato"/>
          <w:bCs/>
          <w:color w:val="000000" w:themeColor="text1"/>
          <w:sz w:val="22"/>
          <w:szCs w:val="22"/>
        </w:rPr>
        <w:t>informacje o wszelkich problemach i innych okolicznościach, które pojawiły się w trakcie organizacji badań i mogły zakłócić prawidłową realizację zadań zaplanowanych w ramach Programu</w:t>
      </w:r>
      <w:r w:rsidRPr="00AA22C4">
        <w:rPr>
          <w:rFonts w:ascii="Lato" w:hAnsi="Lato"/>
          <w:color w:val="000000" w:themeColor="text1"/>
          <w:sz w:val="22"/>
          <w:szCs w:val="22"/>
        </w:rPr>
        <w:t>; sprawozdania roczne uwzględniać powinny informacje z zakresu zadań związanych z koordynacją Programu, w tym dodatkowo:</w:t>
      </w:r>
    </w:p>
    <w:p w14:paraId="26F268D8" w14:textId="5F8CDD11" w:rsidR="005E347E" w:rsidRPr="00AA22C4" w:rsidRDefault="005E347E" w:rsidP="005E347E">
      <w:pPr>
        <w:pStyle w:val="Tekstprzypisudolnego"/>
        <w:numPr>
          <w:ilvl w:val="1"/>
          <w:numId w:val="22"/>
        </w:numPr>
        <w:spacing w:before="120" w:after="120"/>
        <w:contextualSpacing/>
        <w:jc w:val="both"/>
        <w:rPr>
          <w:rFonts w:ascii="Lato" w:hAnsi="Lato"/>
          <w:bCs/>
          <w:color w:val="000000" w:themeColor="text1"/>
          <w:sz w:val="22"/>
          <w:szCs w:val="22"/>
        </w:rPr>
      </w:pPr>
      <w:r w:rsidRPr="00AA22C4">
        <w:rPr>
          <w:rFonts w:ascii="Lato" w:hAnsi="Lato"/>
          <w:color w:val="000000" w:themeColor="text1"/>
          <w:sz w:val="22"/>
          <w:szCs w:val="22"/>
        </w:rPr>
        <w:t>informacje na temat okresowego ankietowania losowej populacji kobiet rodzących</w:t>
      </w:r>
      <w:r w:rsidR="003D4813" w:rsidRPr="00AA22C4">
        <w:rPr>
          <w:rFonts w:ascii="Lato" w:hAnsi="Lato"/>
          <w:color w:val="000000" w:themeColor="text1"/>
          <w:sz w:val="22"/>
          <w:szCs w:val="22"/>
        </w:rPr>
        <w:t>,</w:t>
      </w:r>
    </w:p>
    <w:p w14:paraId="3CACFD63" w14:textId="77777777" w:rsidR="005E347E" w:rsidRPr="00AA22C4" w:rsidRDefault="005E347E" w:rsidP="005E347E">
      <w:pPr>
        <w:pStyle w:val="Tekstprzypisudolnego"/>
        <w:numPr>
          <w:ilvl w:val="1"/>
          <w:numId w:val="22"/>
        </w:numPr>
        <w:spacing w:before="120"/>
        <w:ind w:left="1434" w:hanging="357"/>
        <w:contextualSpacing/>
        <w:jc w:val="both"/>
        <w:rPr>
          <w:rFonts w:ascii="Lato" w:hAnsi="Lato"/>
          <w:bCs/>
          <w:color w:val="000000" w:themeColor="text1"/>
          <w:sz w:val="22"/>
          <w:szCs w:val="22"/>
        </w:rPr>
      </w:pPr>
      <w:r w:rsidRPr="00AA22C4">
        <w:rPr>
          <w:rFonts w:ascii="Lato" w:hAnsi="Lato"/>
          <w:color w:val="000000" w:themeColor="text1"/>
          <w:sz w:val="22"/>
          <w:szCs w:val="22"/>
        </w:rPr>
        <w:t>informacje na temat uwag, propozycji i skarg rodziców/ opiekunów prawnych przesyłanych na wskazany adres mailowy (również adres pocztowy).</w:t>
      </w:r>
    </w:p>
    <w:p w14:paraId="53818D6A" w14:textId="77777777" w:rsidR="005E347E" w:rsidRPr="00AA22C4" w:rsidRDefault="005E347E" w:rsidP="005E347E">
      <w:pPr>
        <w:pStyle w:val="Tekstprzypisudolnego"/>
        <w:spacing w:before="120" w:after="120"/>
        <w:jc w:val="both"/>
        <w:rPr>
          <w:rFonts w:ascii="Lato" w:hAnsi="Lato"/>
          <w:bCs/>
          <w:color w:val="000000" w:themeColor="text1"/>
          <w:sz w:val="22"/>
          <w:szCs w:val="22"/>
        </w:rPr>
      </w:pPr>
      <w:r w:rsidRPr="00AA22C4">
        <w:rPr>
          <w:rFonts w:ascii="Lato" w:hAnsi="Lato"/>
          <w:bCs/>
          <w:color w:val="000000" w:themeColor="text1"/>
          <w:sz w:val="22"/>
          <w:szCs w:val="22"/>
        </w:rPr>
        <w:t>Zakłada się, iż maksymalny udział procentowy kosztów pośrednich w całkowitym koszcie realizacji zadań wynosi 15%. Przez koszty pośrednie rozumie się koszty zarządzania realizacją zadania (koszty obsługi kadrowej, finansowej, administracyjnej, sekretariatu, obsługi prawnej). Koszty te zostaną odpowiednio określone w zawartej umowie.</w:t>
      </w:r>
    </w:p>
    <w:p w14:paraId="2C1AFC2B" w14:textId="77777777" w:rsidR="005E347E" w:rsidRPr="00AA22C4" w:rsidRDefault="005E347E" w:rsidP="005E347E">
      <w:pPr>
        <w:pStyle w:val="Tekstprzypisudolnego"/>
        <w:spacing w:before="120" w:after="120"/>
        <w:jc w:val="both"/>
        <w:rPr>
          <w:rFonts w:ascii="Lato" w:hAnsi="Lato"/>
          <w:bCs/>
          <w:color w:val="000000" w:themeColor="text1"/>
          <w:sz w:val="22"/>
          <w:szCs w:val="22"/>
        </w:rPr>
      </w:pPr>
      <w:r w:rsidRPr="00AA22C4">
        <w:rPr>
          <w:rFonts w:ascii="Lato" w:hAnsi="Lato"/>
          <w:bCs/>
          <w:color w:val="000000" w:themeColor="text1"/>
          <w:sz w:val="22"/>
          <w:szCs w:val="22"/>
        </w:rPr>
        <w:t>Ponadto, realizator zostanie zobowiązany umową do prowadzenia odrębnej ewidencji księgowej co umożliwi zachowanie zasady przejrzystości wydatkowania środków publicznych.</w:t>
      </w:r>
    </w:p>
    <w:bookmarkEnd w:id="59"/>
    <w:bookmarkEnd w:id="60"/>
    <w:p w14:paraId="2248BD3D" w14:textId="77777777" w:rsidR="005E347E" w:rsidRPr="00AA22C4" w:rsidRDefault="005E347E" w:rsidP="005E347E">
      <w:pPr>
        <w:pStyle w:val="Tekstprzypisudolnego"/>
        <w:spacing w:before="120" w:after="120"/>
        <w:contextualSpacing/>
        <w:jc w:val="both"/>
        <w:rPr>
          <w:rFonts w:ascii="Lato" w:hAnsi="Lato"/>
          <w:b/>
          <w:color w:val="000000" w:themeColor="text1"/>
          <w:sz w:val="22"/>
          <w:szCs w:val="22"/>
        </w:rPr>
      </w:pPr>
    </w:p>
    <w:p w14:paraId="14333A4A" w14:textId="77777777" w:rsidR="00124EF1" w:rsidRDefault="00124EF1" w:rsidP="005E347E">
      <w:pPr>
        <w:pStyle w:val="Tekstprzypisudolnego"/>
        <w:spacing w:before="120" w:after="120"/>
        <w:contextualSpacing/>
        <w:jc w:val="both"/>
        <w:rPr>
          <w:rFonts w:ascii="Lato" w:hAnsi="Lato"/>
          <w:b/>
          <w:color w:val="000000" w:themeColor="text1"/>
          <w:sz w:val="22"/>
          <w:szCs w:val="22"/>
        </w:rPr>
      </w:pPr>
    </w:p>
    <w:p w14:paraId="54036C7C" w14:textId="77777777" w:rsidR="00181F00" w:rsidRPr="00AA22C4" w:rsidRDefault="00181F00" w:rsidP="005E347E">
      <w:pPr>
        <w:pStyle w:val="Tekstprzypisudolnego"/>
        <w:spacing w:before="120" w:after="120"/>
        <w:contextualSpacing/>
        <w:jc w:val="both"/>
        <w:rPr>
          <w:rFonts w:ascii="Lato" w:hAnsi="Lato"/>
          <w:b/>
          <w:color w:val="000000" w:themeColor="text1"/>
          <w:sz w:val="22"/>
          <w:szCs w:val="22"/>
        </w:rPr>
      </w:pPr>
    </w:p>
    <w:p w14:paraId="52DD10CA" w14:textId="77777777" w:rsidR="005E347E" w:rsidRPr="00AA22C4" w:rsidRDefault="005E347E" w:rsidP="005E347E">
      <w:pPr>
        <w:pStyle w:val="Tekstprzypisudolnego"/>
        <w:numPr>
          <w:ilvl w:val="1"/>
          <w:numId w:val="1"/>
        </w:numPr>
        <w:spacing w:before="120" w:after="120"/>
        <w:ind w:left="1077"/>
        <w:jc w:val="both"/>
        <w:outlineLvl w:val="1"/>
        <w:rPr>
          <w:rFonts w:ascii="Lato" w:hAnsi="Lato"/>
          <w:b/>
          <w:color w:val="000000" w:themeColor="text1"/>
          <w:sz w:val="28"/>
          <w:szCs w:val="22"/>
        </w:rPr>
      </w:pPr>
      <w:bookmarkStart w:id="61" w:name="_Toc514072295"/>
      <w:r w:rsidRPr="00AA22C4">
        <w:rPr>
          <w:rFonts w:ascii="Lato" w:hAnsi="Lato"/>
          <w:b/>
          <w:color w:val="000000" w:themeColor="text1"/>
          <w:sz w:val="28"/>
          <w:szCs w:val="22"/>
        </w:rPr>
        <w:lastRenderedPageBreak/>
        <w:t>Ewaluacja</w:t>
      </w:r>
      <w:bookmarkEnd w:id="61"/>
    </w:p>
    <w:p w14:paraId="05D9F9F1"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Ewaluacja Programu będzie opierać się na liczbie przeprowadzonych badań przesiewowych w porównaniu do liczby urodzeń z uwzględnieniem liczby odmów wykonania badania oraz liczby wykrytych chorób w badaniach przesiewowych w danym roku kalendarzowym. Docelową wartością będzie utrzymanie poziomu z lat ubiegłych, gdzie objęto badaniami 99,99% populacji noworodków w każdym roku realizacji Programu. </w:t>
      </w:r>
    </w:p>
    <w:p w14:paraId="16563CE3"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Ewaluacja Programu w kontekście badań przesiewowych w kierunku SMA będzie opierać się na: </w:t>
      </w:r>
    </w:p>
    <w:p w14:paraId="056A9BFF" w14:textId="07F02D40"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1.</w:t>
      </w:r>
      <w:r w:rsidR="00124EF1" w:rsidRPr="00AA22C4">
        <w:rPr>
          <w:rFonts w:ascii="Lato" w:hAnsi="Lato"/>
          <w:color w:val="000000" w:themeColor="text1"/>
          <w:sz w:val="22"/>
          <w:szCs w:val="22"/>
        </w:rPr>
        <w:t xml:space="preserve"> </w:t>
      </w:r>
      <w:r w:rsidRPr="00AA22C4">
        <w:rPr>
          <w:rFonts w:ascii="Lato" w:hAnsi="Lato"/>
          <w:color w:val="000000" w:themeColor="text1"/>
          <w:sz w:val="22"/>
          <w:szCs w:val="22"/>
        </w:rPr>
        <w:t>Ocenie różnicy wieku postawienia diagnozy w okresie sprzed i po wprowadzeniu SMA do przesiewu.</w:t>
      </w:r>
    </w:p>
    <w:p w14:paraId="65EF3CB5"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Dane literaturowe wskazują, że opóźnienie w rozpoznaniu rdzeniowego zaniku mięśni wynosi odpowiednio 3,6 miesiąca w przypadku SMA1, 14,3 miesiąca w przypadku SMA2 i 43,6 miesiąca w przypadku SMA3. Oznacza to, że choroba jest rozpoznawana w zaawansowanym stadium, w którym doszło do nieodwracalnych zmian w obrębie obwodowego układu nerwowego. Tym samym potencjalny efekt terapii jest znacznie obniżony.  </w:t>
      </w:r>
    </w:p>
    <w:p w14:paraId="25F8D900"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W ramach programu oceniany będzie wiek postawienia diagnozy wstępnej (szacowany okres wyniku badania przesiewowego 10 doba życia) i ostatecznej (szacowany okres uzyskania wyniku weryfikującego metodą MLPA z drugiego pobrania- 18 doba życia) </w:t>
      </w:r>
    </w:p>
    <w:p w14:paraId="56A9A865" w14:textId="49DFFBED"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2.</w:t>
      </w:r>
      <w:r w:rsidR="00124EF1" w:rsidRPr="00AA22C4">
        <w:rPr>
          <w:rFonts w:ascii="Lato" w:hAnsi="Lato"/>
          <w:color w:val="000000" w:themeColor="text1"/>
          <w:sz w:val="22"/>
          <w:szCs w:val="22"/>
        </w:rPr>
        <w:t xml:space="preserve"> </w:t>
      </w:r>
      <w:r w:rsidRPr="00AA22C4">
        <w:rPr>
          <w:rFonts w:ascii="Lato" w:hAnsi="Lato"/>
          <w:color w:val="000000" w:themeColor="text1"/>
          <w:sz w:val="22"/>
          <w:szCs w:val="22"/>
        </w:rPr>
        <w:t>Ocenie różnicy w liczbie diagnozowanych przypadków SMA.</w:t>
      </w:r>
    </w:p>
    <w:p w14:paraId="45AE0AE6" w14:textId="5084AB2A"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W latach 2011-2015 w </w:t>
      </w:r>
      <w:r w:rsidR="00A04888" w:rsidRPr="00AA22C4">
        <w:rPr>
          <w:rFonts w:ascii="Lato" w:hAnsi="Lato"/>
          <w:color w:val="000000" w:themeColor="text1"/>
          <w:sz w:val="22"/>
          <w:szCs w:val="22"/>
        </w:rPr>
        <w:t xml:space="preserve">kraju </w:t>
      </w:r>
      <w:r w:rsidRPr="00AA22C4">
        <w:rPr>
          <w:rFonts w:ascii="Lato" w:hAnsi="Lato"/>
          <w:color w:val="000000" w:themeColor="text1"/>
          <w:sz w:val="22"/>
          <w:szCs w:val="22"/>
        </w:rPr>
        <w:t>zdiagnozowano 240 pacjentów chorych na SMA. W 2015 r</w:t>
      </w:r>
      <w:r w:rsidR="00A04888" w:rsidRPr="00AA22C4">
        <w:rPr>
          <w:rFonts w:ascii="Lato" w:hAnsi="Lato"/>
          <w:color w:val="000000" w:themeColor="text1"/>
          <w:sz w:val="22"/>
          <w:szCs w:val="22"/>
        </w:rPr>
        <w:t>.</w:t>
      </w:r>
      <w:r w:rsidRPr="00AA22C4">
        <w:rPr>
          <w:rFonts w:ascii="Lato" w:hAnsi="Lato"/>
          <w:color w:val="000000" w:themeColor="text1"/>
          <w:sz w:val="22"/>
          <w:szCs w:val="22"/>
        </w:rPr>
        <w:t xml:space="preserve"> rdzeniowy zanik mięśni rozpoznano u 54 pacjentów (70). W ramach Programu Badań Przesiewowych identyfikowane będą wszystkie noworodki z </w:t>
      </w:r>
      <w:proofErr w:type="spellStart"/>
      <w:r w:rsidRPr="00AA22C4">
        <w:rPr>
          <w:rFonts w:ascii="Lato" w:hAnsi="Lato"/>
          <w:color w:val="000000" w:themeColor="text1"/>
          <w:sz w:val="22"/>
          <w:szCs w:val="22"/>
        </w:rPr>
        <w:t>obualleliczną</w:t>
      </w:r>
      <w:proofErr w:type="spellEnd"/>
      <w:r w:rsidRPr="00AA22C4">
        <w:rPr>
          <w:rFonts w:ascii="Lato" w:hAnsi="Lato"/>
          <w:color w:val="000000" w:themeColor="text1"/>
          <w:sz w:val="22"/>
          <w:szCs w:val="22"/>
        </w:rPr>
        <w:t xml:space="preserve"> delecją </w:t>
      </w:r>
      <w:proofErr w:type="spellStart"/>
      <w:r w:rsidRPr="00AA22C4">
        <w:rPr>
          <w:rFonts w:ascii="Lato" w:hAnsi="Lato"/>
          <w:color w:val="000000" w:themeColor="text1"/>
          <w:sz w:val="22"/>
          <w:szCs w:val="22"/>
        </w:rPr>
        <w:t>eksonu</w:t>
      </w:r>
      <w:proofErr w:type="spellEnd"/>
      <w:r w:rsidRPr="00AA22C4">
        <w:rPr>
          <w:rFonts w:ascii="Lato" w:hAnsi="Lato"/>
          <w:color w:val="000000" w:themeColor="text1"/>
          <w:sz w:val="22"/>
          <w:szCs w:val="22"/>
        </w:rPr>
        <w:t xml:space="preserve"> 7 genu </w:t>
      </w:r>
      <w:r w:rsidRPr="00AA22C4">
        <w:rPr>
          <w:rFonts w:ascii="Lato" w:hAnsi="Lato"/>
          <w:i/>
          <w:iCs/>
          <w:color w:val="000000" w:themeColor="text1"/>
          <w:sz w:val="22"/>
          <w:szCs w:val="22"/>
        </w:rPr>
        <w:t>SMN1</w:t>
      </w:r>
      <w:r w:rsidRPr="00AA22C4">
        <w:rPr>
          <w:rFonts w:ascii="Lato" w:hAnsi="Lato"/>
          <w:color w:val="000000" w:themeColor="text1"/>
          <w:sz w:val="22"/>
          <w:szCs w:val="22"/>
        </w:rPr>
        <w:t xml:space="preserve"> (czyli około 98% pacjentów chorych na SMA). Umożliwi to rzeczywistą ocenę epidemiologii SMA w Polsce. </w:t>
      </w:r>
    </w:p>
    <w:p w14:paraId="40E4FC16" w14:textId="02E8559B" w:rsidR="00DC1532" w:rsidRPr="00AA22C4" w:rsidRDefault="00DC1532" w:rsidP="00DC1532">
      <w:pPr>
        <w:jc w:val="both"/>
        <w:rPr>
          <w:rFonts w:ascii="Lato" w:hAnsi="Lato"/>
          <w:bCs/>
          <w:color w:val="000000" w:themeColor="text1"/>
          <w:sz w:val="22"/>
          <w:szCs w:val="22"/>
        </w:rPr>
      </w:pPr>
      <w:r w:rsidRPr="00AA22C4">
        <w:rPr>
          <w:rFonts w:ascii="Lato" w:hAnsi="Lato"/>
          <w:bCs/>
          <w:color w:val="000000" w:themeColor="text1"/>
          <w:sz w:val="22"/>
          <w:szCs w:val="22"/>
        </w:rPr>
        <w:t>Ewaluacja Programu w kontekście pilotażowych badań przesiewowych obejmie ocenę efektywności poszczególnych interwencji</w:t>
      </w:r>
      <w:r w:rsidR="00FB60F2" w:rsidRPr="00AA22C4">
        <w:rPr>
          <w:rFonts w:ascii="Lato" w:hAnsi="Lato"/>
          <w:bCs/>
          <w:color w:val="000000" w:themeColor="text1"/>
          <w:sz w:val="22"/>
          <w:szCs w:val="22"/>
        </w:rPr>
        <w:t xml:space="preserve"> oraz sposobu ich realizacji</w:t>
      </w:r>
      <w:r w:rsidR="00DB72E7" w:rsidRPr="00AA22C4">
        <w:rPr>
          <w:rFonts w:ascii="Lato" w:hAnsi="Lato"/>
          <w:bCs/>
          <w:color w:val="000000" w:themeColor="text1"/>
          <w:sz w:val="22"/>
          <w:szCs w:val="22"/>
        </w:rPr>
        <w:t xml:space="preserve">. </w:t>
      </w:r>
      <w:r w:rsidRPr="00AA22C4">
        <w:rPr>
          <w:rFonts w:ascii="Lato" w:hAnsi="Lato"/>
          <w:bCs/>
          <w:color w:val="000000" w:themeColor="text1"/>
          <w:sz w:val="22"/>
          <w:szCs w:val="22"/>
        </w:rPr>
        <w:t>Miernikiem tej oceny będzie skuteczność diagnostyczna testów, w tym czułość, swoistość oraz wartość predykcyjna (PPV). Dodatkowo, zostanie oceniona efektywność kosztowa, uwzględniając między innymi koszt wykrycia chorego dziecka oraz koszty związane z dodatkowymi badaniami diagnostycznymi. Na podstawie wyników ewaluacji można będzie zdecydować, czy pilotażowe badania przesiewowe w kierunku SCID, galak</w:t>
      </w:r>
      <w:r w:rsidR="003E7F63" w:rsidRPr="00AA22C4">
        <w:rPr>
          <w:rFonts w:ascii="Lato" w:hAnsi="Lato"/>
          <w:bCs/>
          <w:color w:val="000000" w:themeColor="text1"/>
          <w:sz w:val="22"/>
          <w:szCs w:val="22"/>
        </w:rPr>
        <w:t>t</w:t>
      </w:r>
      <w:r w:rsidRPr="00AA22C4">
        <w:rPr>
          <w:rFonts w:ascii="Lato" w:hAnsi="Lato"/>
          <w:bCs/>
          <w:color w:val="000000" w:themeColor="text1"/>
          <w:sz w:val="22"/>
          <w:szCs w:val="22"/>
        </w:rPr>
        <w:t>ozemii i wybranych chorób lizosomalnych powinny stać się standardem w badaniach populacyjnych.</w:t>
      </w:r>
    </w:p>
    <w:p w14:paraId="24A7235B" w14:textId="77777777" w:rsidR="00124EF1" w:rsidRPr="00AA22C4" w:rsidRDefault="00124EF1" w:rsidP="005E347E">
      <w:pPr>
        <w:pStyle w:val="Tekstprzypisudolnego"/>
        <w:spacing w:before="120" w:after="120"/>
        <w:jc w:val="both"/>
        <w:rPr>
          <w:rFonts w:ascii="Lato" w:hAnsi="Lato"/>
          <w:color w:val="000000" w:themeColor="text1"/>
          <w:sz w:val="22"/>
          <w:szCs w:val="22"/>
        </w:rPr>
      </w:pPr>
    </w:p>
    <w:p w14:paraId="2BA7AC5D" w14:textId="39845469"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lastRenderedPageBreak/>
        <w:t>Celem programu badań przesiewowych noworodków jest wczesna diagnoza i umożliwienie wprowadzenia wczesnego leczenia. Wczesna diagnoza sama w sobie nie modyfikuje przebiegu choroby. Przebieg choroby modyfikuje wczesna diagnoza razem z wczesnym wprowadzeniem leczenia. Celem badań przesiewowych nie jest ocena efektywności leczenia. Efektywność leczenia oceniana jest niezależnie, np. w przypadku SMA - w ramach Programu Lekowego Ministerstwa Zdrowia „Leczenie rdzeniowego zaniku mięśni” B102.</w:t>
      </w:r>
    </w:p>
    <w:p w14:paraId="5A8C337E"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Na ocenę sukcesu Programu składać się będzie również liczba personelu medycznego, która została przeszkolona oraz liczba konferencji o tematyce badań przesiewowych, podczas których swój czynny udział brali pracownicy IMiD. </w:t>
      </w:r>
    </w:p>
    <w:p w14:paraId="4FA03C18" w14:textId="0853381A" w:rsidR="005E347E" w:rsidRPr="00AA22C4" w:rsidRDefault="005E347E" w:rsidP="005E347E">
      <w:pPr>
        <w:pStyle w:val="Tekstprzypisudolnego"/>
        <w:spacing w:before="120" w:after="120"/>
        <w:jc w:val="both"/>
        <w:rPr>
          <w:rFonts w:ascii="Lato" w:hAnsi="Lato"/>
          <w:color w:val="000000" w:themeColor="text1"/>
          <w:sz w:val="22"/>
          <w:szCs w:val="22"/>
          <w:highlight w:val="yellow"/>
        </w:rPr>
      </w:pPr>
      <w:r w:rsidRPr="00AA22C4">
        <w:rPr>
          <w:rFonts w:ascii="Lato" w:hAnsi="Lato"/>
          <w:color w:val="000000" w:themeColor="text1"/>
          <w:sz w:val="22"/>
          <w:szCs w:val="22"/>
        </w:rPr>
        <w:t>Sukcesem realizowanej edycji Programu badań przesiewowych noworodków w Rzecz</w:t>
      </w:r>
      <w:r w:rsidR="007A48CA" w:rsidRPr="00AA22C4">
        <w:rPr>
          <w:rFonts w:ascii="Lato" w:hAnsi="Lato"/>
          <w:color w:val="000000" w:themeColor="text1"/>
          <w:sz w:val="22"/>
          <w:szCs w:val="22"/>
        </w:rPr>
        <w:t>y</w:t>
      </w:r>
      <w:r w:rsidRPr="00AA22C4">
        <w:rPr>
          <w:rFonts w:ascii="Lato" w:hAnsi="Lato"/>
          <w:color w:val="000000" w:themeColor="text1"/>
          <w:sz w:val="22"/>
          <w:szCs w:val="22"/>
        </w:rPr>
        <w:t>pospolitej Polskiej będzie również skrócenie średniego czasu transportu próbki krwi ze szpitala do laboratorium (dostawa przesyłki na następny dzień roboczy), który dla całego kraju średnio wynosi 4 dni oraz opracowanie i wdrożenie nowego modelu zintegrowanych badań przesiewowych.</w:t>
      </w:r>
      <w:r w:rsidRPr="00AA22C4">
        <w:rPr>
          <w:rFonts w:ascii="Lato" w:hAnsi="Lato"/>
          <w:color w:val="000000" w:themeColor="text1"/>
          <w:sz w:val="22"/>
          <w:szCs w:val="22"/>
          <w:highlight w:val="yellow"/>
        </w:rPr>
        <w:br w:type="page"/>
      </w:r>
    </w:p>
    <w:p w14:paraId="512E3DF5" w14:textId="77777777" w:rsidR="005E347E" w:rsidRPr="00AA22C4" w:rsidRDefault="005E347E" w:rsidP="005E347E">
      <w:pPr>
        <w:pStyle w:val="Tekstprzypisudolnego"/>
        <w:numPr>
          <w:ilvl w:val="0"/>
          <w:numId w:val="1"/>
        </w:numPr>
        <w:ind w:left="1078" w:hanging="936"/>
        <w:contextualSpacing/>
        <w:jc w:val="both"/>
        <w:outlineLvl w:val="0"/>
        <w:rPr>
          <w:rFonts w:ascii="Lato" w:hAnsi="Lato"/>
          <w:b/>
          <w:color w:val="000000" w:themeColor="text1"/>
          <w:sz w:val="36"/>
          <w:szCs w:val="36"/>
        </w:rPr>
      </w:pPr>
      <w:bookmarkStart w:id="62" w:name="_Toc514072296"/>
      <w:r w:rsidRPr="00AA22C4">
        <w:rPr>
          <w:rFonts w:ascii="Lato" w:hAnsi="Lato"/>
          <w:b/>
          <w:color w:val="000000" w:themeColor="text1"/>
          <w:sz w:val="36"/>
          <w:szCs w:val="36"/>
        </w:rPr>
        <w:lastRenderedPageBreak/>
        <w:t>Budżet programu polityki zdrowotnej</w:t>
      </w:r>
      <w:bookmarkEnd w:id="62"/>
      <w:r w:rsidRPr="00AA22C4">
        <w:rPr>
          <w:rFonts w:ascii="Lato" w:hAnsi="Lato"/>
          <w:b/>
          <w:color w:val="000000" w:themeColor="text1"/>
          <w:sz w:val="36"/>
          <w:szCs w:val="36"/>
        </w:rPr>
        <w:t xml:space="preserve"> </w:t>
      </w:r>
    </w:p>
    <w:p w14:paraId="760BC6A7" w14:textId="77777777" w:rsidR="005E347E" w:rsidRPr="00AA22C4" w:rsidRDefault="005E347E" w:rsidP="005E347E">
      <w:pPr>
        <w:pStyle w:val="Nagwek2"/>
        <w:numPr>
          <w:ilvl w:val="1"/>
          <w:numId w:val="1"/>
        </w:numPr>
        <w:spacing w:before="0" w:after="0"/>
        <w:ind w:left="1077"/>
        <w:contextualSpacing/>
        <w:rPr>
          <w:rFonts w:ascii="Lato" w:hAnsi="Lato"/>
          <w:bCs w:val="0"/>
          <w:color w:val="000000" w:themeColor="text1"/>
          <w:sz w:val="28"/>
          <w:szCs w:val="22"/>
        </w:rPr>
      </w:pPr>
      <w:bookmarkStart w:id="63" w:name="_Koszty_jednostkowe_oraz"/>
      <w:bookmarkStart w:id="64" w:name="_Toc514072297"/>
      <w:bookmarkEnd w:id="63"/>
      <w:r w:rsidRPr="00AA22C4">
        <w:rPr>
          <w:rFonts w:ascii="Lato" w:hAnsi="Lato"/>
          <w:bCs w:val="0"/>
          <w:color w:val="000000" w:themeColor="text1"/>
          <w:sz w:val="28"/>
          <w:szCs w:val="22"/>
        </w:rPr>
        <w:t>Koszty jednostkowe oraz całkowite</w:t>
      </w:r>
      <w:bookmarkEnd w:id="64"/>
      <w:r w:rsidRPr="00AA22C4">
        <w:rPr>
          <w:rFonts w:ascii="Lato" w:hAnsi="Lato"/>
          <w:bCs w:val="0"/>
          <w:color w:val="000000" w:themeColor="text1"/>
          <w:sz w:val="28"/>
          <w:szCs w:val="22"/>
        </w:rPr>
        <w:t xml:space="preserve"> </w:t>
      </w:r>
    </w:p>
    <w:p w14:paraId="3CD0EF07" w14:textId="231F06C7" w:rsidR="005E347E" w:rsidRPr="00AA22C4" w:rsidRDefault="005E347E" w:rsidP="005E347E">
      <w:pPr>
        <w:spacing w:line="240" w:lineRule="auto"/>
        <w:ind w:left="284" w:hanging="30"/>
        <w:contextualSpacing/>
        <w:jc w:val="center"/>
        <w:rPr>
          <w:rFonts w:ascii="Lato" w:hAnsi="Lato"/>
          <w:b/>
          <w:color w:val="000000" w:themeColor="text1"/>
          <w:sz w:val="22"/>
          <w:szCs w:val="22"/>
        </w:rPr>
      </w:pPr>
      <w:r w:rsidRPr="00AA22C4">
        <w:rPr>
          <w:rFonts w:ascii="Lato" w:hAnsi="Lato"/>
          <w:b/>
          <w:bCs/>
          <w:color w:val="000000" w:themeColor="text1"/>
          <w:sz w:val="22"/>
          <w:szCs w:val="22"/>
        </w:rPr>
        <w:t>PROGNOZOWANY</w:t>
      </w:r>
      <w:r w:rsidRPr="00AA22C4">
        <w:rPr>
          <w:rFonts w:ascii="Lato" w:hAnsi="Lato"/>
          <w:b/>
          <w:color w:val="000000" w:themeColor="text1"/>
          <w:sz w:val="22"/>
          <w:szCs w:val="22"/>
        </w:rPr>
        <w:t xml:space="preserve"> KOSZTORYS REALIZACJI RZĄDOWEGO PROGRAMU BADAŃ PRZESIEWOWYCH NOWORODKÓW NA 2019 </w:t>
      </w:r>
      <w:r w:rsidR="00A04888" w:rsidRPr="00AA22C4">
        <w:rPr>
          <w:rFonts w:ascii="Lato" w:hAnsi="Lato"/>
          <w:b/>
          <w:color w:val="000000" w:themeColor="text1"/>
          <w:sz w:val="22"/>
          <w:szCs w:val="22"/>
        </w:rPr>
        <w:t xml:space="preserve">R. </w:t>
      </w:r>
      <w:r w:rsidRPr="00AA22C4">
        <w:rPr>
          <w:rFonts w:ascii="Lato" w:hAnsi="Lato"/>
          <w:b/>
          <w:color w:val="000000" w:themeColor="text1"/>
          <w:sz w:val="22"/>
          <w:szCs w:val="22"/>
        </w:rPr>
        <w:t>(wydatki bieżące)</w:t>
      </w:r>
      <w:r w:rsidRPr="00AA22C4">
        <w:rPr>
          <w:rStyle w:val="Odwoanieprzypisudolnego"/>
          <w:rFonts w:ascii="Lato" w:hAnsi="Lato"/>
          <w:b/>
          <w:color w:val="000000" w:themeColor="text1"/>
          <w:sz w:val="22"/>
          <w:szCs w:val="22"/>
        </w:rPr>
        <w:footnoteReference w:id="1"/>
      </w: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3"/>
        <w:gridCol w:w="4100"/>
        <w:gridCol w:w="2563"/>
        <w:gridCol w:w="1984"/>
      </w:tblGrid>
      <w:tr w:rsidR="00B3776C" w:rsidRPr="00B3776C" w14:paraId="4E9D0F5D" w14:textId="77777777" w:rsidTr="0015358E">
        <w:trPr>
          <w:trHeight w:val="454"/>
        </w:trPr>
        <w:tc>
          <w:tcPr>
            <w:tcW w:w="9220" w:type="dxa"/>
            <w:gridSpan w:val="4"/>
            <w:shd w:val="clear" w:color="auto" w:fill="E7E6E6"/>
            <w:vAlign w:val="center"/>
          </w:tcPr>
          <w:p w14:paraId="366EAAD9" w14:textId="77777777" w:rsidR="005E347E" w:rsidRPr="00AA22C4" w:rsidRDefault="005E347E" w:rsidP="0015358E">
            <w:pPr>
              <w:snapToGrid w:val="0"/>
              <w:spacing w:line="276" w:lineRule="auto"/>
              <w:contextualSpacing/>
              <w:jc w:val="center"/>
              <w:rPr>
                <w:rFonts w:ascii="Lato" w:hAnsi="Lato"/>
                <w:b/>
                <w:bCs/>
                <w:color w:val="000000" w:themeColor="text1"/>
                <w:sz w:val="22"/>
                <w:szCs w:val="22"/>
                <w:lang w:eastAsia="en-US"/>
              </w:rPr>
            </w:pPr>
            <w:r w:rsidRPr="00AA22C4">
              <w:rPr>
                <w:rFonts w:ascii="Lato" w:hAnsi="Lato"/>
                <w:b/>
                <w:bCs/>
                <w:color w:val="000000" w:themeColor="text1"/>
                <w:sz w:val="22"/>
                <w:szCs w:val="22"/>
                <w:lang w:eastAsia="en-US"/>
              </w:rPr>
              <w:t>Koszty laboratoryjne:</w:t>
            </w:r>
          </w:p>
        </w:tc>
      </w:tr>
      <w:tr w:rsidR="00B3776C" w:rsidRPr="00B3776C" w14:paraId="37329B1D" w14:textId="77777777" w:rsidTr="0015358E">
        <w:trPr>
          <w:trHeight w:val="774"/>
        </w:trPr>
        <w:tc>
          <w:tcPr>
            <w:tcW w:w="573" w:type="dxa"/>
            <w:shd w:val="clear" w:color="auto" w:fill="auto"/>
            <w:vAlign w:val="center"/>
          </w:tcPr>
          <w:p w14:paraId="7A633607" w14:textId="77777777" w:rsidR="005E347E" w:rsidRPr="00AA22C4" w:rsidRDefault="005E347E" w:rsidP="0015358E">
            <w:pPr>
              <w:snapToGrid w:val="0"/>
              <w:spacing w:line="276" w:lineRule="auto"/>
              <w:ind w:left="-212" w:right="-70" w:firstLine="212"/>
              <w:contextualSpacing/>
              <w:jc w:val="center"/>
              <w:rPr>
                <w:rFonts w:ascii="Lato" w:hAnsi="Lato"/>
                <w:color w:val="000000" w:themeColor="text1"/>
                <w:sz w:val="20"/>
                <w:szCs w:val="20"/>
                <w:lang w:eastAsia="en-US"/>
              </w:rPr>
            </w:pPr>
            <w:r w:rsidRPr="00AA22C4">
              <w:rPr>
                <w:rFonts w:ascii="Lato" w:hAnsi="Lato"/>
                <w:b/>
                <w:color w:val="000000" w:themeColor="text1"/>
                <w:sz w:val="20"/>
                <w:szCs w:val="20"/>
                <w:lang w:eastAsia="en-US"/>
              </w:rPr>
              <w:t>Lp.</w:t>
            </w:r>
          </w:p>
        </w:tc>
        <w:tc>
          <w:tcPr>
            <w:tcW w:w="4100" w:type="dxa"/>
            <w:shd w:val="clear" w:color="auto" w:fill="auto"/>
            <w:vAlign w:val="center"/>
          </w:tcPr>
          <w:p w14:paraId="4B1CA32D" w14:textId="77777777" w:rsidR="005E347E" w:rsidRPr="00AA22C4" w:rsidRDefault="005E347E" w:rsidP="0015358E">
            <w:pPr>
              <w:snapToGrid w:val="0"/>
              <w:spacing w:line="276" w:lineRule="auto"/>
              <w:ind w:left="155" w:right="5"/>
              <w:contextualSpacing/>
              <w:jc w:val="center"/>
              <w:rPr>
                <w:rFonts w:ascii="Lato" w:hAnsi="Lato"/>
                <w:color w:val="000000" w:themeColor="text1"/>
                <w:sz w:val="20"/>
                <w:szCs w:val="20"/>
                <w:lang w:eastAsia="en-US"/>
              </w:rPr>
            </w:pPr>
            <w:r w:rsidRPr="00AA22C4">
              <w:rPr>
                <w:rFonts w:ascii="Lato" w:hAnsi="Lato"/>
                <w:b/>
                <w:color w:val="000000" w:themeColor="text1"/>
                <w:sz w:val="20"/>
                <w:szCs w:val="20"/>
                <w:lang w:eastAsia="en-US"/>
              </w:rPr>
              <w:t>Rodzaj badania</w:t>
            </w:r>
          </w:p>
        </w:tc>
        <w:tc>
          <w:tcPr>
            <w:tcW w:w="2563" w:type="dxa"/>
            <w:shd w:val="clear" w:color="auto" w:fill="auto"/>
            <w:vAlign w:val="center"/>
          </w:tcPr>
          <w:p w14:paraId="24ACE046"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b/>
                <w:bCs/>
                <w:color w:val="000000" w:themeColor="text1"/>
                <w:sz w:val="20"/>
                <w:szCs w:val="20"/>
                <w:lang w:eastAsia="en-US"/>
              </w:rPr>
              <w:t>Koszt jednostkowy</w:t>
            </w:r>
          </w:p>
          <w:p w14:paraId="172498A0" w14:textId="77777777" w:rsidR="005E347E" w:rsidRPr="00AA22C4" w:rsidRDefault="005E347E" w:rsidP="0015358E">
            <w:pPr>
              <w:spacing w:line="276" w:lineRule="auto"/>
              <w:contextualSpacing/>
              <w:jc w:val="center"/>
              <w:rPr>
                <w:rFonts w:ascii="Lato" w:hAnsi="Lato"/>
                <w:color w:val="000000" w:themeColor="text1"/>
                <w:sz w:val="20"/>
                <w:szCs w:val="20"/>
                <w:lang w:eastAsia="en-US"/>
              </w:rPr>
            </w:pPr>
            <w:r w:rsidRPr="00AA22C4">
              <w:rPr>
                <w:rFonts w:ascii="Lato" w:hAnsi="Lato"/>
                <w:b/>
                <w:bCs/>
                <w:color w:val="000000" w:themeColor="text1"/>
                <w:sz w:val="20"/>
                <w:szCs w:val="20"/>
                <w:lang w:eastAsia="en-US"/>
              </w:rPr>
              <w:t>(bez kosztu testów)</w:t>
            </w:r>
          </w:p>
          <w:p w14:paraId="71FFF8A1" w14:textId="77777777" w:rsidR="005E347E" w:rsidRPr="00AA22C4" w:rsidRDefault="005E347E" w:rsidP="0015358E">
            <w:pPr>
              <w:spacing w:line="276" w:lineRule="auto"/>
              <w:contextualSpacing/>
              <w:jc w:val="center"/>
              <w:rPr>
                <w:rFonts w:ascii="Lato" w:hAnsi="Lato"/>
                <w:color w:val="000000" w:themeColor="text1"/>
                <w:sz w:val="20"/>
                <w:szCs w:val="20"/>
                <w:lang w:eastAsia="en-US"/>
              </w:rPr>
            </w:pPr>
            <w:r w:rsidRPr="00AA22C4">
              <w:rPr>
                <w:rFonts w:ascii="Lato" w:eastAsia="Courier New" w:hAnsi="Lato"/>
                <w:b/>
                <w:bCs/>
                <w:color w:val="000000" w:themeColor="text1"/>
                <w:sz w:val="20"/>
                <w:szCs w:val="20"/>
                <w:lang w:eastAsia="en-US"/>
              </w:rPr>
              <w:t>w zł</w:t>
            </w:r>
          </w:p>
        </w:tc>
        <w:tc>
          <w:tcPr>
            <w:tcW w:w="1984" w:type="dxa"/>
            <w:shd w:val="clear" w:color="auto" w:fill="auto"/>
            <w:vAlign w:val="center"/>
          </w:tcPr>
          <w:p w14:paraId="03F235C6"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b/>
                <w:bCs/>
                <w:color w:val="000000" w:themeColor="text1"/>
                <w:sz w:val="20"/>
                <w:szCs w:val="20"/>
                <w:lang w:eastAsia="en-US"/>
              </w:rPr>
              <w:t>Łączny koszt badań</w:t>
            </w:r>
          </w:p>
          <w:p w14:paraId="7E059503"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eastAsia="Courier New" w:hAnsi="Lato"/>
                <w:b/>
                <w:bCs/>
                <w:color w:val="000000" w:themeColor="text1"/>
                <w:sz w:val="20"/>
                <w:szCs w:val="20"/>
                <w:lang w:eastAsia="en-US"/>
              </w:rPr>
              <w:t>w zł</w:t>
            </w:r>
          </w:p>
        </w:tc>
      </w:tr>
      <w:tr w:rsidR="00B3776C" w:rsidRPr="00B3776C" w14:paraId="3BABC9AA" w14:textId="77777777" w:rsidTr="0015358E">
        <w:trPr>
          <w:trHeight w:val="567"/>
        </w:trPr>
        <w:tc>
          <w:tcPr>
            <w:tcW w:w="573" w:type="dxa"/>
            <w:shd w:val="clear" w:color="auto" w:fill="auto"/>
            <w:vAlign w:val="center"/>
          </w:tcPr>
          <w:p w14:paraId="2B75674D" w14:textId="77777777" w:rsidR="005E347E" w:rsidRPr="00AA22C4" w:rsidRDefault="005E347E" w:rsidP="0015358E">
            <w:pPr>
              <w:tabs>
                <w:tab w:val="decimal" w:pos="142"/>
              </w:tabs>
              <w:snapToGrid w:val="0"/>
              <w:spacing w:line="276" w:lineRule="auto"/>
              <w:ind w:right="113"/>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1</w:t>
            </w:r>
          </w:p>
        </w:tc>
        <w:tc>
          <w:tcPr>
            <w:tcW w:w="4100" w:type="dxa"/>
            <w:shd w:val="clear" w:color="auto" w:fill="auto"/>
            <w:vAlign w:val="center"/>
          </w:tcPr>
          <w:p w14:paraId="5208BE8D" w14:textId="77777777" w:rsidR="005E347E" w:rsidRPr="00AA22C4" w:rsidRDefault="005E347E" w:rsidP="0015358E">
            <w:pPr>
              <w:snapToGrid w:val="0"/>
              <w:spacing w:line="276" w:lineRule="auto"/>
              <w:ind w:right="-68"/>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Badania przesiewowe w kierunku wrodzonej niedoczynności tarczycy (400 tys. badań)</w:t>
            </w:r>
          </w:p>
        </w:tc>
        <w:tc>
          <w:tcPr>
            <w:tcW w:w="2563" w:type="dxa"/>
            <w:shd w:val="clear" w:color="auto" w:fill="auto"/>
            <w:vAlign w:val="center"/>
          </w:tcPr>
          <w:p w14:paraId="34830F4D"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9,86</w:t>
            </w:r>
          </w:p>
        </w:tc>
        <w:tc>
          <w:tcPr>
            <w:tcW w:w="1984" w:type="dxa"/>
            <w:shd w:val="clear" w:color="auto" w:fill="auto"/>
            <w:vAlign w:val="center"/>
          </w:tcPr>
          <w:p w14:paraId="22EEBBEA"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3 944 000</w:t>
            </w:r>
          </w:p>
        </w:tc>
      </w:tr>
      <w:tr w:rsidR="00B3776C" w:rsidRPr="00B3776C" w14:paraId="63A58B1B" w14:textId="77777777" w:rsidTr="0015358E">
        <w:trPr>
          <w:trHeight w:val="567"/>
        </w:trPr>
        <w:tc>
          <w:tcPr>
            <w:tcW w:w="573" w:type="dxa"/>
            <w:shd w:val="clear" w:color="auto" w:fill="auto"/>
            <w:vAlign w:val="center"/>
          </w:tcPr>
          <w:p w14:paraId="48644770" w14:textId="77777777" w:rsidR="005E347E" w:rsidRPr="00AA22C4" w:rsidRDefault="005E347E" w:rsidP="0015358E">
            <w:pPr>
              <w:tabs>
                <w:tab w:val="decimal" w:pos="142"/>
              </w:tabs>
              <w:snapToGrid w:val="0"/>
              <w:spacing w:line="276" w:lineRule="auto"/>
              <w:ind w:right="113"/>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2</w:t>
            </w:r>
          </w:p>
        </w:tc>
        <w:tc>
          <w:tcPr>
            <w:tcW w:w="4100" w:type="dxa"/>
            <w:shd w:val="clear" w:color="auto" w:fill="auto"/>
            <w:vAlign w:val="center"/>
          </w:tcPr>
          <w:p w14:paraId="4A1574DF" w14:textId="77777777" w:rsidR="005E347E" w:rsidRPr="00AA22C4" w:rsidRDefault="005E347E" w:rsidP="0015358E">
            <w:pPr>
              <w:snapToGrid w:val="0"/>
              <w:spacing w:line="276" w:lineRule="auto"/>
              <w:ind w:right="-68"/>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Badania przesiewowe w kierunku Fenyloketonurii (423 tys. badań)</w:t>
            </w:r>
          </w:p>
        </w:tc>
        <w:tc>
          <w:tcPr>
            <w:tcW w:w="2563" w:type="dxa"/>
            <w:tcBorders>
              <w:top w:val="nil"/>
            </w:tcBorders>
            <w:shd w:val="clear" w:color="auto" w:fill="auto"/>
            <w:vAlign w:val="center"/>
          </w:tcPr>
          <w:p w14:paraId="3431590B"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7,74</w:t>
            </w:r>
          </w:p>
        </w:tc>
        <w:tc>
          <w:tcPr>
            <w:tcW w:w="1984" w:type="dxa"/>
            <w:tcBorders>
              <w:top w:val="nil"/>
            </w:tcBorders>
            <w:shd w:val="clear" w:color="auto" w:fill="auto"/>
            <w:vAlign w:val="center"/>
          </w:tcPr>
          <w:p w14:paraId="6431C027"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3 274 020</w:t>
            </w:r>
          </w:p>
        </w:tc>
      </w:tr>
      <w:tr w:rsidR="00B3776C" w:rsidRPr="00B3776C" w14:paraId="5A6D8683" w14:textId="77777777" w:rsidTr="0015358E">
        <w:trPr>
          <w:trHeight w:val="567"/>
        </w:trPr>
        <w:tc>
          <w:tcPr>
            <w:tcW w:w="573" w:type="dxa"/>
            <w:shd w:val="clear" w:color="auto" w:fill="auto"/>
            <w:vAlign w:val="center"/>
          </w:tcPr>
          <w:p w14:paraId="60D67D13" w14:textId="77777777" w:rsidR="005E347E" w:rsidRPr="00AA22C4" w:rsidRDefault="005E347E" w:rsidP="0015358E">
            <w:pPr>
              <w:tabs>
                <w:tab w:val="decimal" w:pos="142"/>
              </w:tabs>
              <w:snapToGrid w:val="0"/>
              <w:spacing w:line="276" w:lineRule="auto"/>
              <w:ind w:right="113"/>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3</w:t>
            </w:r>
          </w:p>
        </w:tc>
        <w:tc>
          <w:tcPr>
            <w:tcW w:w="4100" w:type="dxa"/>
            <w:shd w:val="clear" w:color="auto" w:fill="auto"/>
            <w:vAlign w:val="center"/>
          </w:tcPr>
          <w:p w14:paraId="1F891BD2" w14:textId="77777777" w:rsidR="005E347E" w:rsidRPr="00AA22C4" w:rsidRDefault="005E347E" w:rsidP="0015358E">
            <w:pPr>
              <w:snapToGrid w:val="0"/>
              <w:spacing w:line="276" w:lineRule="auto"/>
              <w:ind w:right="-68"/>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Badania przesiewowe w kierunku mukowiscydozy (400 tys. badań)</w:t>
            </w:r>
          </w:p>
        </w:tc>
        <w:tc>
          <w:tcPr>
            <w:tcW w:w="2563" w:type="dxa"/>
            <w:tcBorders>
              <w:top w:val="nil"/>
            </w:tcBorders>
            <w:shd w:val="clear" w:color="auto" w:fill="auto"/>
            <w:vAlign w:val="center"/>
          </w:tcPr>
          <w:p w14:paraId="69FCF990"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11,77</w:t>
            </w:r>
          </w:p>
        </w:tc>
        <w:tc>
          <w:tcPr>
            <w:tcW w:w="1984" w:type="dxa"/>
            <w:tcBorders>
              <w:top w:val="nil"/>
            </w:tcBorders>
            <w:shd w:val="clear" w:color="auto" w:fill="auto"/>
            <w:vAlign w:val="center"/>
          </w:tcPr>
          <w:p w14:paraId="28FF04F2"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4 708 000</w:t>
            </w:r>
          </w:p>
        </w:tc>
      </w:tr>
      <w:tr w:rsidR="00B3776C" w:rsidRPr="00B3776C" w14:paraId="32186CCA" w14:textId="77777777" w:rsidTr="0015358E">
        <w:trPr>
          <w:trHeight w:val="567"/>
        </w:trPr>
        <w:tc>
          <w:tcPr>
            <w:tcW w:w="573" w:type="dxa"/>
            <w:shd w:val="clear" w:color="auto" w:fill="auto"/>
            <w:vAlign w:val="center"/>
          </w:tcPr>
          <w:p w14:paraId="36CE3E2F" w14:textId="77777777" w:rsidR="005E347E" w:rsidRPr="00AA22C4" w:rsidRDefault="005E347E" w:rsidP="0015358E">
            <w:pPr>
              <w:tabs>
                <w:tab w:val="decimal" w:pos="142"/>
              </w:tabs>
              <w:snapToGrid w:val="0"/>
              <w:spacing w:line="276" w:lineRule="auto"/>
              <w:ind w:right="113"/>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4</w:t>
            </w:r>
          </w:p>
        </w:tc>
        <w:tc>
          <w:tcPr>
            <w:tcW w:w="4100" w:type="dxa"/>
            <w:shd w:val="clear" w:color="auto" w:fill="auto"/>
            <w:vAlign w:val="center"/>
          </w:tcPr>
          <w:p w14:paraId="21346ED0" w14:textId="77777777" w:rsidR="005E347E" w:rsidRPr="00AA22C4" w:rsidRDefault="005E347E" w:rsidP="0015358E">
            <w:pPr>
              <w:snapToGrid w:val="0"/>
              <w:spacing w:line="276" w:lineRule="auto"/>
              <w:ind w:right="-68"/>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Badania przesiewowe w kierunku rzadkich wad metabolizmu - MS/MS (400 tys. badań)</w:t>
            </w:r>
          </w:p>
        </w:tc>
        <w:tc>
          <w:tcPr>
            <w:tcW w:w="2563" w:type="dxa"/>
            <w:tcBorders>
              <w:top w:val="nil"/>
            </w:tcBorders>
            <w:shd w:val="clear" w:color="auto" w:fill="auto"/>
            <w:vAlign w:val="center"/>
          </w:tcPr>
          <w:p w14:paraId="738BDDF4"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13,13</w:t>
            </w:r>
          </w:p>
        </w:tc>
        <w:tc>
          <w:tcPr>
            <w:tcW w:w="1984" w:type="dxa"/>
            <w:tcBorders>
              <w:top w:val="nil"/>
            </w:tcBorders>
            <w:shd w:val="clear" w:color="auto" w:fill="auto"/>
            <w:vAlign w:val="center"/>
          </w:tcPr>
          <w:p w14:paraId="57CEC2EA"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5 252 000</w:t>
            </w:r>
          </w:p>
        </w:tc>
      </w:tr>
      <w:tr w:rsidR="00B3776C" w:rsidRPr="00B3776C" w14:paraId="2CC61217" w14:textId="77777777" w:rsidTr="0015358E">
        <w:trPr>
          <w:trHeight w:val="567"/>
        </w:trPr>
        <w:tc>
          <w:tcPr>
            <w:tcW w:w="573" w:type="dxa"/>
            <w:shd w:val="clear" w:color="auto" w:fill="auto"/>
            <w:vAlign w:val="center"/>
          </w:tcPr>
          <w:p w14:paraId="6E125CCB" w14:textId="77777777" w:rsidR="005E347E" w:rsidRPr="00AA22C4" w:rsidRDefault="005E347E" w:rsidP="0015358E">
            <w:pPr>
              <w:tabs>
                <w:tab w:val="decimal" w:pos="142"/>
              </w:tabs>
              <w:snapToGrid w:val="0"/>
              <w:spacing w:line="276" w:lineRule="auto"/>
              <w:ind w:right="113"/>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5</w:t>
            </w:r>
          </w:p>
        </w:tc>
        <w:tc>
          <w:tcPr>
            <w:tcW w:w="4100" w:type="dxa"/>
            <w:shd w:val="clear" w:color="auto" w:fill="auto"/>
            <w:vAlign w:val="center"/>
          </w:tcPr>
          <w:p w14:paraId="517EC8AA" w14:textId="77777777" w:rsidR="005E347E" w:rsidRPr="00AA22C4" w:rsidRDefault="005E347E" w:rsidP="0015358E">
            <w:pPr>
              <w:snapToGrid w:val="0"/>
              <w:spacing w:line="276" w:lineRule="auto"/>
              <w:ind w:right="-68"/>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Badania przesiewowe w kierunku wrodzonego przerostu nadnerczy</w:t>
            </w:r>
          </w:p>
          <w:p w14:paraId="07E4F169" w14:textId="77777777" w:rsidR="005E347E" w:rsidRPr="00AA22C4" w:rsidRDefault="005E347E" w:rsidP="0015358E">
            <w:pPr>
              <w:snapToGrid w:val="0"/>
              <w:spacing w:line="276" w:lineRule="auto"/>
              <w:ind w:right="-68"/>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(400 tys. badań)</w:t>
            </w:r>
          </w:p>
        </w:tc>
        <w:tc>
          <w:tcPr>
            <w:tcW w:w="2563" w:type="dxa"/>
            <w:tcBorders>
              <w:top w:val="nil"/>
            </w:tcBorders>
            <w:shd w:val="clear" w:color="auto" w:fill="auto"/>
            <w:vAlign w:val="center"/>
          </w:tcPr>
          <w:p w14:paraId="750DFFD7"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8,33</w:t>
            </w:r>
          </w:p>
        </w:tc>
        <w:tc>
          <w:tcPr>
            <w:tcW w:w="1984" w:type="dxa"/>
            <w:tcBorders>
              <w:top w:val="nil"/>
            </w:tcBorders>
            <w:shd w:val="clear" w:color="auto" w:fill="auto"/>
            <w:vAlign w:val="center"/>
          </w:tcPr>
          <w:p w14:paraId="351CCBE0"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3 332 000</w:t>
            </w:r>
          </w:p>
        </w:tc>
      </w:tr>
      <w:tr w:rsidR="00B3776C" w:rsidRPr="00B3776C" w14:paraId="6F93460C" w14:textId="77777777" w:rsidTr="0015358E">
        <w:trPr>
          <w:trHeight w:val="567"/>
        </w:trPr>
        <w:tc>
          <w:tcPr>
            <w:tcW w:w="573" w:type="dxa"/>
            <w:shd w:val="clear" w:color="auto" w:fill="auto"/>
            <w:vAlign w:val="center"/>
          </w:tcPr>
          <w:p w14:paraId="45B0BB4C" w14:textId="77777777" w:rsidR="005E347E" w:rsidRPr="00AA22C4" w:rsidRDefault="005E347E" w:rsidP="0015358E">
            <w:pPr>
              <w:tabs>
                <w:tab w:val="decimal" w:pos="142"/>
              </w:tabs>
              <w:snapToGrid w:val="0"/>
              <w:spacing w:line="276" w:lineRule="auto"/>
              <w:ind w:right="113"/>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6</w:t>
            </w:r>
          </w:p>
        </w:tc>
        <w:tc>
          <w:tcPr>
            <w:tcW w:w="4100" w:type="dxa"/>
            <w:shd w:val="clear" w:color="auto" w:fill="auto"/>
            <w:vAlign w:val="center"/>
          </w:tcPr>
          <w:p w14:paraId="280E1C44" w14:textId="77777777" w:rsidR="005E347E" w:rsidRPr="00AA22C4" w:rsidRDefault="005E347E" w:rsidP="0015358E">
            <w:pPr>
              <w:snapToGrid w:val="0"/>
              <w:spacing w:line="276" w:lineRule="auto"/>
              <w:ind w:right="-68"/>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Badania przesiewowe w kierunku deficytu biotynidazy (400 tys. badań)</w:t>
            </w:r>
          </w:p>
        </w:tc>
        <w:tc>
          <w:tcPr>
            <w:tcW w:w="2563" w:type="dxa"/>
            <w:tcBorders>
              <w:top w:val="nil"/>
            </w:tcBorders>
            <w:shd w:val="clear" w:color="auto" w:fill="auto"/>
            <w:vAlign w:val="center"/>
          </w:tcPr>
          <w:p w14:paraId="405F2562"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3,27</w:t>
            </w:r>
          </w:p>
        </w:tc>
        <w:tc>
          <w:tcPr>
            <w:tcW w:w="1984" w:type="dxa"/>
            <w:tcBorders>
              <w:top w:val="nil"/>
            </w:tcBorders>
            <w:shd w:val="clear" w:color="auto" w:fill="auto"/>
            <w:vAlign w:val="center"/>
          </w:tcPr>
          <w:p w14:paraId="1D2A01C9"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1 308 000</w:t>
            </w:r>
          </w:p>
        </w:tc>
      </w:tr>
      <w:tr w:rsidR="00B3776C" w:rsidRPr="00B3776C" w14:paraId="7B928E0E" w14:textId="77777777" w:rsidTr="0015358E">
        <w:trPr>
          <w:trHeight w:val="276"/>
        </w:trPr>
        <w:tc>
          <w:tcPr>
            <w:tcW w:w="7236" w:type="dxa"/>
            <w:gridSpan w:val="3"/>
            <w:shd w:val="clear" w:color="auto" w:fill="auto"/>
            <w:vAlign w:val="center"/>
          </w:tcPr>
          <w:p w14:paraId="7FF325E1" w14:textId="77777777" w:rsidR="005E347E" w:rsidRPr="00AA22C4" w:rsidRDefault="005E347E" w:rsidP="0015358E">
            <w:pPr>
              <w:snapToGrid w:val="0"/>
              <w:spacing w:line="276" w:lineRule="auto"/>
              <w:ind w:left="214" w:right="-68"/>
              <w:contextualSpacing/>
              <w:jc w:val="right"/>
              <w:rPr>
                <w:rFonts w:ascii="Lato" w:hAnsi="Lato"/>
                <w:color w:val="000000" w:themeColor="text1"/>
                <w:sz w:val="20"/>
                <w:szCs w:val="20"/>
                <w:lang w:eastAsia="en-US"/>
              </w:rPr>
            </w:pPr>
            <w:r w:rsidRPr="00AA22C4">
              <w:rPr>
                <w:rFonts w:ascii="Lato" w:hAnsi="Lato"/>
                <w:b/>
                <w:color w:val="000000" w:themeColor="text1"/>
                <w:sz w:val="20"/>
                <w:szCs w:val="20"/>
                <w:lang w:eastAsia="en-US"/>
              </w:rPr>
              <w:t>Razem:</w:t>
            </w:r>
          </w:p>
        </w:tc>
        <w:tc>
          <w:tcPr>
            <w:tcW w:w="1984" w:type="dxa"/>
            <w:shd w:val="clear" w:color="auto" w:fill="auto"/>
            <w:vAlign w:val="center"/>
          </w:tcPr>
          <w:p w14:paraId="2E011BC1"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b/>
                <w:color w:val="000000" w:themeColor="text1"/>
                <w:sz w:val="20"/>
                <w:szCs w:val="20"/>
                <w:lang w:eastAsia="en-US"/>
              </w:rPr>
              <w:t>21 818 020</w:t>
            </w:r>
          </w:p>
        </w:tc>
      </w:tr>
      <w:tr w:rsidR="00B3776C" w:rsidRPr="00B3776C" w14:paraId="58A196A9" w14:textId="77777777" w:rsidTr="0015358E">
        <w:trPr>
          <w:trHeight w:val="454"/>
        </w:trPr>
        <w:tc>
          <w:tcPr>
            <w:tcW w:w="9220" w:type="dxa"/>
            <w:gridSpan w:val="4"/>
            <w:shd w:val="clear" w:color="auto" w:fill="E7E6E6"/>
            <w:vAlign w:val="center"/>
          </w:tcPr>
          <w:p w14:paraId="4060B236" w14:textId="77777777" w:rsidR="005E347E" w:rsidRPr="00AA22C4" w:rsidRDefault="005E347E" w:rsidP="0015358E">
            <w:pPr>
              <w:snapToGrid w:val="0"/>
              <w:spacing w:line="276" w:lineRule="auto"/>
              <w:contextualSpacing/>
              <w:jc w:val="center"/>
              <w:rPr>
                <w:rFonts w:ascii="Lato" w:hAnsi="Lato"/>
                <w:b/>
                <w:bCs/>
                <w:color w:val="000000" w:themeColor="text1"/>
                <w:sz w:val="20"/>
                <w:szCs w:val="20"/>
                <w:lang w:eastAsia="en-US"/>
              </w:rPr>
            </w:pPr>
            <w:r w:rsidRPr="00AA22C4">
              <w:rPr>
                <w:rFonts w:ascii="Lato" w:hAnsi="Lato"/>
                <w:b/>
                <w:bCs/>
                <w:color w:val="000000" w:themeColor="text1"/>
                <w:sz w:val="20"/>
                <w:szCs w:val="20"/>
                <w:lang w:eastAsia="en-US"/>
              </w:rPr>
              <w:t>Koszt testów diagnostycznych i odczynników (zawiera VAT 8% lub 23%):</w:t>
            </w:r>
          </w:p>
        </w:tc>
      </w:tr>
      <w:tr w:rsidR="00B3776C" w:rsidRPr="00B3776C" w14:paraId="7ABA7499" w14:textId="77777777" w:rsidTr="0015358E">
        <w:trPr>
          <w:trHeight w:val="704"/>
        </w:trPr>
        <w:tc>
          <w:tcPr>
            <w:tcW w:w="573" w:type="dxa"/>
            <w:shd w:val="clear" w:color="auto" w:fill="auto"/>
            <w:vAlign w:val="center"/>
          </w:tcPr>
          <w:p w14:paraId="4A1DB174" w14:textId="77777777" w:rsidR="005E347E" w:rsidRPr="00AA22C4" w:rsidRDefault="005E347E" w:rsidP="0015358E">
            <w:pPr>
              <w:tabs>
                <w:tab w:val="decimal" w:pos="142"/>
              </w:tabs>
              <w:snapToGrid w:val="0"/>
              <w:spacing w:line="276" w:lineRule="auto"/>
              <w:ind w:right="113"/>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7</w:t>
            </w:r>
          </w:p>
        </w:tc>
        <w:tc>
          <w:tcPr>
            <w:tcW w:w="6663" w:type="dxa"/>
            <w:gridSpan w:val="2"/>
            <w:shd w:val="clear" w:color="auto" w:fill="auto"/>
            <w:vAlign w:val="center"/>
          </w:tcPr>
          <w:p w14:paraId="702D83BB" w14:textId="77777777" w:rsidR="005E347E" w:rsidRPr="00AA22C4" w:rsidRDefault="005E347E" w:rsidP="0015358E">
            <w:pPr>
              <w:snapToGrid w:val="0"/>
              <w:spacing w:line="276" w:lineRule="auto"/>
              <w:ind w:right="71"/>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Koszt testów diagnostycznych i odczynników do badań przesiewowych noworodków zgodnie z Programem</w:t>
            </w:r>
          </w:p>
        </w:tc>
        <w:tc>
          <w:tcPr>
            <w:tcW w:w="1984" w:type="dxa"/>
            <w:shd w:val="clear" w:color="auto" w:fill="auto"/>
            <w:vAlign w:val="center"/>
          </w:tcPr>
          <w:p w14:paraId="1D239FE9"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b/>
                <w:bCs/>
                <w:color w:val="000000" w:themeColor="text1"/>
                <w:sz w:val="20"/>
                <w:szCs w:val="20"/>
                <w:lang w:eastAsia="en-US"/>
              </w:rPr>
              <w:t>11 706 580</w:t>
            </w:r>
          </w:p>
        </w:tc>
      </w:tr>
      <w:tr w:rsidR="00B3776C" w:rsidRPr="00B3776C" w14:paraId="5C833CEF" w14:textId="77777777" w:rsidTr="0015358E">
        <w:trPr>
          <w:trHeight w:val="454"/>
        </w:trPr>
        <w:tc>
          <w:tcPr>
            <w:tcW w:w="9220" w:type="dxa"/>
            <w:gridSpan w:val="4"/>
            <w:shd w:val="clear" w:color="auto" w:fill="E7E6E6"/>
            <w:vAlign w:val="center"/>
          </w:tcPr>
          <w:p w14:paraId="5E18124F" w14:textId="77777777" w:rsidR="005E347E" w:rsidRPr="00AA22C4" w:rsidRDefault="005E347E" w:rsidP="0015358E">
            <w:pPr>
              <w:snapToGrid w:val="0"/>
              <w:spacing w:line="276" w:lineRule="auto"/>
              <w:ind w:left="110" w:right="-25"/>
              <w:contextualSpacing/>
              <w:jc w:val="center"/>
              <w:rPr>
                <w:rFonts w:ascii="Lato" w:hAnsi="Lato"/>
                <w:b/>
                <w:color w:val="000000" w:themeColor="text1"/>
                <w:sz w:val="20"/>
                <w:szCs w:val="20"/>
                <w:lang w:eastAsia="en-US"/>
              </w:rPr>
            </w:pPr>
            <w:r w:rsidRPr="00AA22C4">
              <w:rPr>
                <w:rFonts w:ascii="Lato" w:hAnsi="Lato"/>
                <w:b/>
                <w:bCs/>
                <w:color w:val="000000" w:themeColor="text1"/>
                <w:sz w:val="20"/>
                <w:szCs w:val="20"/>
                <w:lang w:eastAsia="en-US"/>
              </w:rPr>
              <w:t>Koszty ogólnokrajowe oraz koordynacja i monitorowanie programu:</w:t>
            </w:r>
          </w:p>
        </w:tc>
      </w:tr>
      <w:tr w:rsidR="00B3776C" w:rsidRPr="00B3776C" w14:paraId="4E5F8B2C" w14:textId="77777777" w:rsidTr="0015358E">
        <w:trPr>
          <w:trHeight w:val="349"/>
        </w:trPr>
        <w:tc>
          <w:tcPr>
            <w:tcW w:w="573" w:type="dxa"/>
            <w:shd w:val="clear" w:color="auto" w:fill="auto"/>
            <w:vAlign w:val="center"/>
          </w:tcPr>
          <w:p w14:paraId="31C58DAB" w14:textId="77777777" w:rsidR="005E347E" w:rsidRPr="00AA22C4" w:rsidRDefault="005E347E" w:rsidP="0015358E">
            <w:pPr>
              <w:snapToGrid w:val="0"/>
              <w:spacing w:line="276" w:lineRule="auto"/>
              <w:ind w:left="-25" w:right="5"/>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8</w:t>
            </w:r>
          </w:p>
        </w:tc>
        <w:tc>
          <w:tcPr>
            <w:tcW w:w="6663" w:type="dxa"/>
            <w:gridSpan w:val="2"/>
            <w:shd w:val="clear" w:color="auto" w:fill="auto"/>
            <w:vAlign w:val="center"/>
          </w:tcPr>
          <w:p w14:paraId="02D8A1BB" w14:textId="77777777" w:rsidR="005E347E" w:rsidRPr="00AA22C4" w:rsidRDefault="005E347E" w:rsidP="0015358E">
            <w:pPr>
              <w:snapToGrid w:val="0"/>
              <w:spacing w:line="276" w:lineRule="auto"/>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Prowadzenie rejestru noworodków - baza danych, baza monitorowania leczenia chorych leczonych wykrytych w badaniach przesiewowych (Centralny Rejestr Badań Przesiewowych Noworodków)</w:t>
            </w:r>
          </w:p>
        </w:tc>
        <w:tc>
          <w:tcPr>
            <w:tcW w:w="1984" w:type="dxa"/>
            <w:shd w:val="clear" w:color="auto" w:fill="auto"/>
            <w:vAlign w:val="center"/>
          </w:tcPr>
          <w:p w14:paraId="4BC136C9" w14:textId="77777777" w:rsidR="005E347E" w:rsidRPr="00AA22C4" w:rsidRDefault="005E347E" w:rsidP="0015358E">
            <w:pPr>
              <w:snapToGrid w:val="0"/>
              <w:spacing w:line="276" w:lineRule="auto"/>
              <w:ind w:left="35"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66 755    </w:t>
            </w:r>
          </w:p>
        </w:tc>
      </w:tr>
      <w:tr w:rsidR="00B3776C" w:rsidRPr="00B3776C" w14:paraId="6611ECFE" w14:textId="77777777" w:rsidTr="0015358E">
        <w:trPr>
          <w:trHeight w:val="349"/>
        </w:trPr>
        <w:tc>
          <w:tcPr>
            <w:tcW w:w="573" w:type="dxa"/>
            <w:shd w:val="clear" w:color="auto" w:fill="auto"/>
            <w:vAlign w:val="center"/>
          </w:tcPr>
          <w:p w14:paraId="426AF2C6" w14:textId="77777777" w:rsidR="005E347E" w:rsidRPr="00AA22C4" w:rsidRDefault="005E347E" w:rsidP="0015358E">
            <w:pPr>
              <w:snapToGrid w:val="0"/>
              <w:spacing w:line="276" w:lineRule="auto"/>
              <w:ind w:left="-25" w:right="5"/>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9</w:t>
            </w:r>
          </w:p>
        </w:tc>
        <w:tc>
          <w:tcPr>
            <w:tcW w:w="6663" w:type="dxa"/>
            <w:gridSpan w:val="2"/>
            <w:shd w:val="clear" w:color="auto" w:fill="auto"/>
            <w:vAlign w:val="center"/>
          </w:tcPr>
          <w:p w14:paraId="1BF05CF7" w14:textId="77777777" w:rsidR="005E347E" w:rsidRPr="00AA22C4" w:rsidRDefault="005E347E" w:rsidP="0015358E">
            <w:pPr>
              <w:snapToGrid w:val="0"/>
              <w:spacing w:line="276" w:lineRule="auto"/>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Korespondencja, przesyłki, łączność elektroniczna</w:t>
            </w:r>
          </w:p>
        </w:tc>
        <w:tc>
          <w:tcPr>
            <w:tcW w:w="1984" w:type="dxa"/>
            <w:shd w:val="clear" w:color="auto" w:fill="auto"/>
            <w:vAlign w:val="center"/>
          </w:tcPr>
          <w:p w14:paraId="6F2B2AB2" w14:textId="77777777" w:rsidR="005E347E" w:rsidRPr="00AA22C4" w:rsidRDefault="005E347E" w:rsidP="0015358E">
            <w:pPr>
              <w:snapToGrid w:val="0"/>
              <w:spacing w:line="276" w:lineRule="auto"/>
              <w:ind w:left="35"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27 216    </w:t>
            </w:r>
          </w:p>
        </w:tc>
      </w:tr>
      <w:tr w:rsidR="00B3776C" w:rsidRPr="00B3776C" w14:paraId="27B73C20" w14:textId="77777777" w:rsidTr="0015358E">
        <w:trPr>
          <w:trHeight w:val="360"/>
        </w:trPr>
        <w:tc>
          <w:tcPr>
            <w:tcW w:w="573" w:type="dxa"/>
            <w:shd w:val="clear" w:color="auto" w:fill="auto"/>
            <w:vAlign w:val="center"/>
          </w:tcPr>
          <w:p w14:paraId="58BDAFB4" w14:textId="77777777" w:rsidR="005E347E" w:rsidRPr="00AA22C4" w:rsidRDefault="005E347E" w:rsidP="0015358E">
            <w:pPr>
              <w:snapToGrid w:val="0"/>
              <w:spacing w:line="276" w:lineRule="auto"/>
              <w:ind w:left="-25" w:right="5"/>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10</w:t>
            </w:r>
          </w:p>
        </w:tc>
        <w:tc>
          <w:tcPr>
            <w:tcW w:w="6663" w:type="dxa"/>
            <w:gridSpan w:val="2"/>
            <w:shd w:val="clear" w:color="auto" w:fill="auto"/>
            <w:vAlign w:val="center"/>
          </w:tcPr>
          <w:p w14:paraId="000A67A8" w14:textId="77777777" w:rsidR="005E347E" w:rsidRPr="00AA22C4" w:rsidRDefault="005E347E" w:rsidP="0015358E">
            <w:pPr>
              <w:snapToGrid w:val="0"/>
              <w:spacing w:line="276" w:lineRule="auto"/>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Szkolenia, konferencje, delegacje krajowe</w:t>
            </w:r>
          </w:p>
        </w:tc>
        <w:tc>
          <w:tcPr>
            <w:tcW w:w="1984" w:type="dxa"/>
            <w:shd w:val="clear" w:color="auto" w:fill="auto"/>
            <w:vAlign w:val="center"/>
          </w:tcPr>
          <w:p w14:paraId="2A3754A6" w14:textId="77777777" w:rsidR="005E347E" w:rsidRPr="00AA22C4" w:rsidRDefault="005E347E" w:rsidP="0015358E">
            <w:pPr>
              <w:snapToGrid w:val="0"/>
              <w:spacing w:line="276" w:lineRule="auto"/>
              <w:ind w:left="35"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31 837    </w:t>
            </w:r>
          </w:p>
        </w:tc>
      </w:tr>
      <w:tr w:rsidR="00B3776C" w:rsidRPr="00B3776C" w14:paraId="3B593BD9" w14:textId="77777777" w:rsidTr="0015358E">
        <w:trPr>
          <w:trHeight w:val="390"/>
        </w:trPr>
        <w:tc>
          <w:tcPr>
            <w:tcW w:w="573" w:type="dxa"/>
            <w:shd w:val="clear" w:color="auto" w:fill="auto"/>
            <w:vAlign w:val="center"/>
          </w:tcPr>
          <w:p w14:paraId="3B8A543E" w14:textId="77777777" w:rsidR="005E347E" w:rsidRPr="00AA22C4" w:rsidRDefault="005E347E" w:rsidP="0015358E">
            <w:pPr>
              <w:snapToGrid w:val="0"/>
              <w:spacing w:line="276" w:lineRule="auto"/>
              <w:ind w:left="-25" w:right="5"/>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11</w:t>
            </w:r>
          </w:p>
        </w:tc>
        <w:tc>
          <w:tcPr>
            <w:tcW w:w="6663" w:type="dxa"/>
            <w:gridSpan w:val="2"/>
            <w:shd w:val="clear" w:color="auto" w:fill="auto"/>
            <w:vAlign w:val="center"/>
          </w:tcPr>
          <w:p w14:paraId="44CEA657" w14:textId="77777777" w:rsidR="005E347E" w:rsidRPr="00AA22C4" w:rsidRDefault="005E347E" w:rsidP="0015358E">
            <w:pPr>
              <w:snapToGrid w:val="0"/>
              <w:spacing w:line="276" w:lineRule="auto"/>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Opracowanie treści oraz grafiki na stronę internetową oraz do materiałów edukacyjnych</w:t>
            </w:r>
          </w:p>
        </w:tc>
        <w:tc>
          <w:tcPr>
            <w:tcW w:w="1984" w:type="dxa"/>
            <w:shd w:val="clear" w:color="auto" w:fill="auto"/>
            <w:vAlign w:val="center"/>
          </w:tcPr>
          <w:p w14:paraId="46D02CF3" w14:textId="77777777" w:rsidR="005E347E" w:rsidRPr="00AA22C4" w:rsidRDefault="005E347E" w:rsidP="0015358E">
            <w:pPr>
              <w:snapToGrid w:val="0"/>
              <w:spacing w:line="276" w:lineRule="auto"/>
              <w:ind w:left="35"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28 756    </w:t>
            </w:r>
          </w:p>
        </w:tc>
      </w:tr>
      <w:tr w:rsidR="00B3776C" w:rsidRPr="00B3776C" w14:paraId="65EDC528" w14:textId="77777777" w:rsidTr="0015358E">
        <w:trPr>
          <w:trHeight w:val="330"/>
        </w:trPr>
        <w:tc>
          <w:tcPr>
            <w:tcW w:w="573" w:type="dxa"/>
            <w:shd w:val="clear" w:color="auto" w:fill="auto"/>
            <w:vAlign w:val="center"/>
          </w:tcPr>
          <w:p w14:paraId="6959B7F1" w14:textId="77777777" w:rsidR="005E347E" w:rsidRPr="00AA22C4" w:rsidRDefault="005E347E" w:rsidP="0015358E">
            <w:pPr>
              <w:snapToGrid w:val="0"/>
              <w:spacing w:line="276" w:lineRule="auto"/>
              <w:ind w:left="-25" w:right="5"/>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12</w:t>
            </w:r>
          </w:p>
        </w:tc>
        <w:tc>
          <w:tcPr>
            <w:tcW w:w="6663" w:type="dxa"/>
            <w:gridSpan w:val="2"/>
            <w:shd w:val="clear" w:color="auto" w:fill="auto"/>
            <w:vAlign w:val="center"/>
          </w:tcPr>
          <w:p w14:paraId="31F276A9" w14:textId="77777777" w:rsidR="005E347E" w:rsidRPr="00AA22C4" w:rsidRDefault="005E347E" w:rsidP="0015358E">
            <w:pPr>
              <w:snapToGrid w:val="0"/>
              <w:spacing w:line="276" w:lineRule="auto"/>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Koszty osobowe</w:t>
            </w:r>
          </w:p>
        </w:tc>
        <w:tc>
          <w:tcPr>
            <w:tcW w:w="1984" w:type="dxa"/>
            <w:shd w:val="clear" w:color="auto" w:fill="auto"/>
            <w:vAlign w:val="center"/>
          </w:tcPr>
          <w:p w14:paraId="3DBF10A1" w14:textId="77777777" w:rsidR="005E347E" w:rsidRPr="00AA22C4" w:rsidRDefault="005E347E" w:rsidP="0015358E">
            <w:pPr>
              <w:snapToGrid w:val="0"/>
              <w:spacing w:line="276" w:lineRule="auto"/>
              <w:ind w:left="35"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156 618    </w:t>
            </w:r>
          </w:p>
        </w:tc>
      </w:tr>
      <w:tr w:rsidR="00B3776C" w:rsidRPr="00B3776C" w14:paraId="0F043CD2" w14:textId="77777777" w:rsidTr="0015358E">
        <w:trPr>
          <w:trHeight w:val="287"/>
        </w:trPr>
        <w:tc>
          <w:tcPr>
            <w:tcW w:w="573" w:type="dxa"/>
            <w:shd w:val="clear" w:color="auto" w:fill="auto"/>
            <w:vAlign w:val="center"/>
          </w:tcPr>
          <w:p w14:paraId="6DB1731C" w14:textId="77777777" w:rsidR="005E347E" w:rsidRPr="00AA22C4" w:rsidRDefault="005E347E" w:rsidP="0015358E">
            <w:pPr>
              <w:snapToGrid w:val="0"/>
              <w:spacing w:line="276" w:lineRule="auto"/>
              <w:ind w:left="-25" w:right="5"/>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13</w:t>
            </w:r>
          </w:p>
        </w:tc>
        <w:tc>
          <w:tcPr>
            <w:tcW w:w="6663" w:type="dxa"/>
            <w:gridSpan w:val="2"/>
            <w:shd w:val="clear" w:color="auto" w:fill="auto"/>
            <w:vAlign w:val="center"/>
          </w:tcPr>
          <w:p w14:paraId="4B99E25F" w14:textId="77777777" w:rsidR="005E347E" w:rsidRPr="00AA22C4" w:rsidRDefault="005E347E" w:rsidP="0015358E">
            <w:pPr>
              <w:snapToGrid w:val="0"/>
              <w:spacing w:line="276" w:lineRule="auto"/>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Opracowanie oraz druk ulotek, materiałów informacyjnych, plakatów, instrukcji, etykiet z kodem.</w:t>
            </w:r>
          </w:p>
        </w:tc>
        <w:tc>
          <w:tcPr>
            <w:tcW w:w="1984" w:type="dxa"/>
            <w:shd w:val="clear" w:color="auto" w:fill="auto"/>
            <w:vAlign w:val="center"/>
          </w:tcPr>
          <w:p w14:paraId="698E313F" w14:textId="77777777" w:rsidR="005E347E" w:rsidRPr="00AA22C4" w:rsidRDefault="005E347E" w:rsidP="0015358E">
            <w:pPr>
              <w:snapToGrid w:val="0"/>
              <w:spacing w:line="276" w:lineRule="auto"/>
              <w:ind w:left="35"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179 725    </w:t>
            </w:r>
          </w:p>
        </w:tc>
      </w:tr>
      <w:tr w:rsidR="00B3776C" w:rsidRPr="00B3776C" w14:paraId="1D77F334" w14:textId="77777777" w:rsidTr="0015358E">
        <w:trPr>
          <w:trHeight w:val="287"/>
        </w:trPr>
        <w:tc>
          <w:tcPr>
            <w:tcW w:w="573" w:type="dxa"/>
            <w:shd w:val="clear" w:color="auto" w:fill="auto"/>
            <w:vAlign w:val="center"/>
          </w:tcPr>
          <w:p w14:paraId="309DEC3A" w14:textId="77777777" w:rsidR="005E347E" w:rsidRPr="00AA22C4" w:rsidRDefault="005E347E" w:rsidP="0015358E">
            <w:pPr>
              <w:snapToGrid w:val="0"/>
              <w:spacing w:line="276" w:lineRule="auto"/>
              <w:ind w:left="-25" w:right="5"/>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14</w:t>
            </w:r>
          </w:p>
        </w:tc>
        <w:tc>
          <w:tcPr>
            <w:tcW w:w="6663" w:type="dxa"/>
            <w:gridSpan w:val="2"/>
            <w:shd w:val="clear" w:color="auto" w:fill="auto"/>
            <w:vAlign w:val="center"/>
          </w:tcPr>
          <w:p w14:paraId="357C3FCB" w14:textId="77777777" w:rsidR="005E347E" w:rsidRPr="00AA22C4" w:rsidRDefault="005E347E" w:rsidP="0015358E">
            <w:pPr>
              <w:snapToGrid w:val="0"/>
              <w:spacing w:line="276" w:lineRule="auto"/>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Transport próbek krwi ze szpitali do ośrodków przesiewowych w całym kraju (ok. 170 tys. przesyłek w roku)</w:t>
            </w:r>
          </w:p>
        </w:tc>
        <w:tc>
          <w:tcPr>
            <w:tcW w:w="1984" w:type="dxa"/>
            <w:shd w:val="clear" w:color="auto" w:fill="auto"/>
            <w:vAlign w:val="center"/>
          </w:tcPr>
          <w:p w14:paraId="7AA81699" w14:textId="77777777" w:rsidR="005E347E" w:rsidRPr="00AA22C4" w:rsidRDefault="005E347E" w:rsidP="0015358E">
            <w:pPr>
              <w:snapToGrid w:val="0"/>
              <w:spacing w:line="276" w:lineRule="auto"/>
              <w:ind w:left="35"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2 200 000    </w:t>
            </w:r>
          </w:p>
        </w:tc>
      </w:tr>
      <w:tr w:rsidR="00B3776C" w:rsidRPr="00B3776C" w14:paraId="7F74B661" w14:textId="77777777" w:rsidTr="0015358E">
        <w:trPr>
          <w:trHeight w:val="354"/>
        </w:trPr>
        <w:tc>
          <w:tcPr>
            <w:tcW w:w="7236" w:type="dxa"/>
            <w:gridSpan w:val="3"/>
            <w:shd w:val="clear" w:color="auto" w:fill="auto"/>
            <w:vAlign w:val="center"/>
          </w:tcPr>
          <w:p w14:paraId="1DB9E30A" w14:textId="77777777" w:rsidR="005E347E" w:rsidRPr="00AA22C4" w:rsidRDefault="005E347E" w:rsidP="0015358E">
            <w:pPr>
              <w:snapToGrid w:val="0"/>
              <w:spacing w:line="276" w:lineRule="auto"/>
              <w:contextualSpacing/>
              <w:jc w:val="right"/>
              <w:rPr>
                <w:rFonts w:ascii="Lato" w:hAnsi="Lato"/>
                <w:color w:val="000000" w:themeColor="text1"/>
                <w:sz w:val="20"/>
                <w:szCs w:val="20"/>
                <w:lang w:eastAsia="en-US"/>
              </w:rPr>
            </w:pPr>
            <w:r w:rsidRPr="00AA22C4">
              <w:rPr>
                <w:rFonts w:ascii="Lato" w:hAnsi="Lato"/>
                <w:b/>
                <w:bCs/>
                <w:color w:val="000000" w:themeColor="text1"/>
                <w:sz w:val="20"/>
                <w:szCs w:val="20"/>
                <w:lang w:eastAsia="en-US"/>
              </w:rPr>
              <w:t>Razem:</w:t>
            </w:r>
          </w:p>
        </w:tc>
        <w:tc>
          <w:tcPr>
            <w:tcW w:w="1984" w:type="dxa"/>
            <w:shd w:val="clear" w:color="auto" w:fill="auto"/>
            <w:vAlign w:val="center"/>
          </w:tcPr>
          <w:p w14:paraId="7F47C59B"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b/>
                <w:color w:val="000000" w:themeColor="text1"/>
                <w:sz w:val="20"/>
                <w:szCs w:val="20"/>
                <w:lang w:eastAsia="en-US"/>
              </w:rPr>
              <w:t xml:space="preserve">2 690 907  </w:t>
            </w:r>
          </w:p>
        </w:tc>
      </w:tr>
      <w:tr w:rsidR="00B3776C" w:rsidRPr="00B3776C" w14:paraId="3FA57DBE" w14:textId="77777777" w:rsidTr="0015358E">
        <w:trPr>
          <w:trHeight w:val="510"/>
        </w:trPr>
        <w:tc>
          <w:tcPr>
            <w:tcW w:w="7236" w:type="dxa"/>
            <w:gridSpan w:val="3"/>
            <w:shd w:val="clear" w:color="auto" w:fill="AEAAAA"/>
            <w:vAlign w:val="center"/>
          </w:tcPr>
          <w:p w14:paraId="3B8596CF" w14:textId="77777777" w:rsidR="005E347E" w:rsidRPr="00AA22C4" w:rsidRDefault="005E347E" w:rsidP="0015358E">
            <w:pPr>
              <w:snapToGrid w:val="0"/>
              <w:spacing w:line="276" w:lineRule="auto"/>
              <w:ind w:right="71"/>
              <w:contextualSpacing/>
              <w:jc w:val="center"/>
              <w:rPr>
                <w:rFonts w:ascii="Lato" w:hAnsi="Lato"/>
                <w:color w:val="000000" w:themeColor="text1"/>
                <w:sz w:val="22"/>
                <w:szCs w:val="22"/>
                <w:lang w:eastAsia="en-US"/>
              </w:rPr>
            </w:pPr>
            <w:r w:rsidRPr="00AA22C4">
              <w:rPr>
                <w:rFonts w:ascii="Lato" w:hAnsi="Lato"/>
                <w:b/>
                <w:bCs/>
                <w:color w:val="000000" w:themeColor="text1"/>
                <w:sz w:val="22"/>
                <w:szCs w:val="22"/>
                <w:lang w:eastAsia="en-US"/>
              </w:rPr>
              <w:t>Koszt całkowity badań przesiewowych w 2019 r.</w:t>
            </w:r>
          </w:p>
        </w:tc>
        <w:tc>
          <w:tcPr>
            <w:tcW w:w="1984" w:type="dxa"/>
            <w:tcBorders>
              <w:top w:val="single" w:sz="2" w:space="0" w:color="000000"/>
              <w:left w:val="single" w:sz="2" w:space="0" w:color="000000"/>
              <w:bottom w:val="single" w:sz="2" w:space="0" w:color="000000"/>
              <w:right w:val="single" w:sz="2" w:space="0" w:color="000000"/>
            </w:tcBorders>
            <w:shd w:val="clear" w:color="auto" w:fill="AEAAAA"/>
            <w:vAlign w:val="center"/>
          </w:tcPr>
          <w:p w14:paraId="0EF74883" w14:textId="77777777" w:rsidR="005E347E" w:rsidRPr="00AA22C4" w:rsidRDefault="005E347E" w:rsidP="0015358E">
            <w:pPr>
              <w:snapToGrid w:val="0"/>
              <w:spacing w:line="276" w:lineRule="auto"/>
              <w:ind w:right="-68"/>
              <w:contextualSpacing/>
              <w:jc w:val="center"/>
              <w:rPr>
                <w:rFonts w:ascii="Lato" w:hAnsi="Lato"/>
                <w:color w:val="000000" w:themeColor="text1"/>
                <w:sz w:val="22"/>
                <w:szCs w:val="22"/>
                <w:lang w:eastAsia="en-US"/>
              </w:rPr>
            </w:pPr>
            <w:r w:rsidRPr="00AA22C4">
              <w:rPr>
                <w:rFonts w:ascii="Lato" w:hAnsi="Lato"/>
                <w:b/>
                <w:bCs/>
                <w:color w:val="000000" w:themeColor="text1"/>
                <w:sz w:val="22"/>
                <w:szCs w:val="22"/>
                <w:lang w:eastAsia="en-US"/>
              </w:rPr>
              <w:t>36 215 507</w:t>
            </w:r>
          </w:p>
        </w:tc>
      </w:tr>
    </w:tbl>
    <w:p w14:paraId="4AD5A5AF" w14:textId="39326A96" w:rsidR="005E347E" w:rsidRPr="00AA22C4" w:rsidRDefault="005E347E" w:rsidP="005E347E">
      <w:pPr>
        <w:pageBreakBefore/>
        <w:spacing w:line="276" w:lineRule="auto"/>
        <w:contextualSpacing/>
        <w:jc w:val="center"/>
        <w:rPr>
          <w:rFonts w:ascii="Lato" w:hAnsi="Lato"/>
          <w:b/>
          <w:color w:val="000000" w:themeColor="text1"/>
          <w:sz w:val="22"/>
          <w:szCs w:val="22"/>
        </w:rPr>
      </w:pPr>
      <w:r w:rsidRPr="00AA22C4">
        <w:rPr>
          <w:rFonts w:ascii="Lato" w:hAnsi="Lato"/>
          <w:b/>
          <w:bCs/>
          <w:color w:val="000000" w:themeColor="text1"/>
          <w:sz w:val="22"/>
          <w:szCs w:val="22"/>
        </w:rPr>
        <w:lastRenderedPageBreak/>
        <w:t xml:space="preserve">PROGNOZOWANY </w:t>
      </w:r>
      <w:r w:rsidRPr="00AA22C4">
        <w:rPr>
          <w:rFonts w:ascii="Lato" w:hAnsi="Lato"/>
          <w:b/>
          <w:color w:val="000000" w:themeColor="text1"/>
          <w:sz w:val="22"/>
          <w:szCs w:val="22"/>
        </w:rPr>
        <w:t xml:space="preserve">KOSZTORYS REALIZACJI RZĄDOWEGO PROGRAMU BADAŃ PRZESIEWOWYCH NOWORODKÓW NA 2020 </w:t>
      </w:r>
      <w:r w:rsidR="00A04888" w:rsidRPr="00AA22C4">
        <w:rPr>
          <w:rFonts w:ascii="Lato" w:hAnsi="Lato"/>
          <w:b/>
          <w:color w:val="000000" w:themeColor="text1"/>
          <w:sz w:val="22"/>
          <w:szCs w:val="22"/>
        </w:rPr>
        <w:t xml:space="preserve">R. </w:t>
      </w:r>
      <w:r w:rsidRPr="00AA22C4">
        <w:rPr>
          <w:rFonts w:ascii="Lato" w:hAnsi="Lato"/>
          <w:b/>
          <w:color w:val="000000" w:themeColor="text1"/>
          <w:sz w:val="22"/>
          <w:szCs w:val="22"/>
        </w:rPr>
        <w:t>(wydatki bieżące)</w:t>
      </w:r>
      <w:r w:rsidRPr="00AA22C4">
        <w:rPr>
          <w:rStyle w:val="Odwoanieprzypisudolnego"/>
          <w:rFonts w:ascii="Lato" w:hAnsi="Lato"/>
          <w:b/>
          <w:color w:val="000000" w:themeColor="text1"/>
          <w:sz w:val="22"/>
          <w:szCs w:val="22"/>
        </w:rPr>
        <w:footnoteReference w:id="2"/>
      </w: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3"/>
        <w:gridCol w:w="4536"/>
        <w:gridCol w:w="2127"/>
        <w:gridCol w:w="1984"/>
      </w:tblGrid>
      <w:tr w:rsidR="00B3776C" w:rsidRPr="00B3776C" w14:paraId="5CCFC6C1" w14:textId="77777777" w:rsidTr="0015358E">
        <w:trPr>
          <w:trHeight w:val="567"/>
        </w:trPr>
        <w:tc>
          <w:tcPr>
            <w:tcW w:w="9220" w:type="dxa"/>
            <w:gridSpan w:val="4"/>
            <w:shd w:val="clear" w:color="auto" w:fill="E7E6E6"/>
            <w:vAlign w:val="center"/>
          </w:tcPr>
          <w:p w14:paraId="0142053E" w14:textId="77777777" w:rsidR="005E347E" w:rsidRPr="00AA22C4" w:rsidRDefault="005E347E" w:rsidP="0015358E">
            <w:pPr>
              <w:snapToGrid w:val="0"/>
              <w:spacing w:line="276" w:lineRule="auto"/>
              <w:contextualSpacing/>
              <w:jc w:val="center"/>
              <w:rPr>
                <w:rFonts w:ascii="Lato" w:hAnsi="Lato"/>
                <w:b/>
                <w:bCs/>
                <w:color w:val="000000" w:themeColor="text1"/>
                <w:sz w:val="20"/>
                <w:lang w:eastAsia="en-US"/>
              </w:rPr>
            </w:pPr>
            <w:r w:rsidRPr="00AA22C4">
              <w:rPr>
                <w:rFonts w:ascii="Lato" w:hAnsi="Lato"/>
                <w:b/>
                <w:bCs/>
                <w:color w:val="000000" w:themeColor="text1"/>
                <w:sz w:val="20"/>
                <w:lang w:eastAsia="en-US"/>
              </w:rPr>
              <w:t>Koszty laboratoryjne:</w:t>
            </w:r>
          </w:p>
        </w:tc>
      </w:tr>
      <w:tr w:rsidR="00B3776C" w:rsidRPr="00B3776C" w14:paraId="2029570F" w14:textId="77777777" w:rsidTr="0015358E">
        <w:trPr>
          <w:trHeight w:val="276"/>
        </w:trPr>
        <w:tc>
          <w:tcPr>
            <w:tcW w:w="573" w:type="dxa"/>
            <w:shd w:val="clear" w:color="auto" w:fill="auto"/>
            <w:vAlign w:val="center"/>
          </w:tcPr>
          <w:p w14:paraId="2A08D2E7" w14:textId="77777777" w:rsidR="005E347E" w:rsidRPr="00AA22C4" w:rsidRDefault="005E347E" w:rsidP="0015358E">
            <w:pPr>
              <w:snapToGrid w:val="0"/>
              <w:spacing w:line="276" w:lineRule="auto"/>
              <w:ind w:left="-212" w:right="-70" w:firstLine="212"/>
              <w:contextualSpacing/>
              <w:jc w:val="center"/>
              <w:rPr>
                <w:rFonts w:ascii="Lato" w:hAnsi="Lato"/>
                <w:color w:val="000000" w:themeColor="text1"/>
                <w:sz w:val="20"/>
                <w:szCs w:val="20"/>
                <w:lang w:eastAsia="en-US"/>
              </w:rPr>
            </w:pPr>
            <w:r w:rsidRPr="00AA22C4">
              <w:rPr>
                <w:rFonts w:ascii="Lato" w:hAnsi="Lato"/>
                <w:b/>
                <w:color w:val="000000" w:themeColor="text1"/>
                <w:sz w:val="20"/>
                <w:szCs w:val="20"/>
                <w:lang w:eastAsia="en-US"/>
              </w:rPr>
              <w:t>Lp.</w:t>
            </w:r>
          </w:p>
        </w:tc>
        <w:tc>
          <w:tcPr>
            <w:tcW w:w="4536" w:type="dxa"/>
            <w:shd w:val="clear" w:color="auto" w:fill="auto"/>
            <w:vAlign w:val="center"/>
          </w:tcPr>
          <w:p w14:paraId="2F8F9F5E" w14:textId="77777777" w:rsidR="005E347E" w:rsidRPr="00AA22C4" w:rsidRDefault="005E347E" w:rsidP="0015358E">
            <w:pPr>
              <w:snapToGrid w:val="0"/>
              <w:spacing w:line="276" w:lineRule="auto"/>
              <w:ind w:left="155" w:right="5"/>
              <w:contextualSpacing/>
              <w:jc w:val="center"/>
              <w:rPr>
                <w:rFonts w:ascii="Lato" w:hAnsi="Lato"/>
                <w:color w:val="000000" w:themeColor="text1"/>
                <w:sz w:val="20"/>
                <w:szCs w:val="20"/>
                <w:lang w:eastAsia="en-US"/>
              </w:rPr>
            </w:pPr>
            <w:r w:rsidRPr="00AA22C4">
              <w:rPr>
                <w:rFonts w:ascii="Lato" w:hAnsi="Lato"/>
                <w:b/>
                <w:color w:val="000000" w:themeColor="text1"/>
                <w:sz w:val="20"/>
                <w:szCs w:val="20"/>
                <w:lang w:eastAsia="en-US"/>
              </w:rPr>
              <w:t>Rodzaj badania</w:t>
            </w:r>
          </w:p>
        </w:tc>
        <w:tc>
          <w:tcPr>
            <w:tcW w:w="2127" w:type="dxa"/>
            <w:shd w:val="clear" w:color="auto" w:fill="auto"/>
            <w:vAlign w:val="center"/>
          </w:tcPr>
          <w:p w14:paraId="33E19C83"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b/>
                <w:bCs/>
                <w:color w:val="000000" w:themeColor="text1"/>
                <w:sz w:val="20"/>
                <w:szCs w:val="20"/>
                <w:lang w:eastAsia="en-US"/>
              </w:rPr>
              <w:t>Koszt jednostkowy</w:t>
            </w:r>
          </w:p>
          <w:p w14:paraId="713E0C61" w14:textId="77777777" w:rsidR="005E347E" w:rsidRPr="00AA22C4" w:rsidRDefault="005E347E" w:rsidP="0015358E">
            <w:pPr>
              <w:spacing w:line="276" w:lineRule="auto"/>
              <w:contextualSpacing/>
              <w:jc w:val="center"/>
              <w:rPr>
                <w:rFonts w:ascii="Lato" w:hAnsi="Lato"/>
                <w:color w:val="000000" w:themeColor="text1"/>
                <w:sz w:val="20"/>
                <w:szCs w:val="20"/>
                <w:lang w:eastAsia="en-US"/>
              </w:rPr>
            </w:pPr>
            <w:r w:rsidRPr="00AA22C4">
              <w:rPr>
                <w:rFonts w:ascii="Lato" w:hAnsi="Lato"/>
                <w:b/>
                <w:bCs/>
                <w:color w:val="000000" w:themeColor="text1"/>
                <w:sz w:val="20"/>
                <w:szCs w:val="20"/>
                <w:lang w:eastAsia="en-US"/>
              </w:rPr>
              <w:t>(bez kosztu testów)</w:t>
            </w:r>
          </w:p>
          <w:p w14:paraId="746DC751" w14:textId="77777777" w:rsidR="005E347E" w:rsidRPr="00AA22C4" w:rsidRDefault="005E347E" w:rsidP="0015358E">
            <w:pPr>
              <w:spacing w:line="276" w:lineRule="auto"/>
              <w:contextualSpacing/>
              <w:jc w:val="center"/>
              <w:rPr>
                <w:rFonts w:ascii="Lato" w:hAnsi="Lato"/>
                <w:color w:val="000000" w:themeColor="text1"/>
                <w:sz w:val="20"/>
                <w:szCs w:val="20"/>
                <w:lang w:eastAsia="en-US"/>
              </w:rPr>
            </w:pPr>
            <w:r w:rsidRPr="00AA22C4">
              <w:rPr>
                <w:rFonts w:ascii="Lato" w:eastAsia="Courier New" w:hAnsi="Lato"/>
                <w:b/>
                <w:bCs/>
                <w:color w:val="000000" w:themeColor="text1"/>
                <w:sz w:val="20"/>
                <w:szCs w:val="20"/>
                <w:lang w:eastAsia="en-US"/>
              </w:rPr>
              <w:t>w zł</w:t>
            </w:r>
          </w:p>
        </w:tc>
        <w:tc>
          <w:tcPr>
            <w:tcW w:w="1984" w:type="dxa"/>
            <w:shd w:val="clear" w:color="auto" w:fill="auto"/>
            <w:vAlign w:val="center"/>
          </w:tcPr>
          <w:p w14:paraId="328465CA"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b/>
                <w:bCs/>
                <w:color w:val="000000" w:themeColor="text1"/>
                <w:sz w:val="20"/>
                <w:szCs w:val="20"/>
                <w:lang w:eastAsia="en-US"/>
              </w:rPr>
              <w:t>Łączny koszt badań</w:t>
            </w:r>
          </w:p>
          <w:p w14:paraId="1C41B77F"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eastAsia="Courier New" w:hAnsi="Lato"/>
                <w:b/>
                <w:bCs/>
                <w:color w:val="000000" w:themeColor="text1"/>
                <w:sz w:val="20"/>
                <w:szCs w:val="20"/>
                <w:lang w:eastAsia="en-US"/>
              </w:rPr>
              <w:t>w zł</w:t>
            </w:r>
          </w:p>
        </w:tc>
      </w:tr>
      <w:tr w:rsidR="00B3776C" w:rsidRPr="00B3776C" w14:paraId="34D8CEA0" w14:textId="77777777" w:rsidTr="0015358E">
        <w:trPr>
          <w:trHeight w:val="567"/>
        </w:trPr>
        <w:tc>
          <w:tcPr>
            <w:tcW w:w="573" w:type="dxa"/>
            <w:shd w:val="clear" w:color="auto" w:fill="auto"/>
            <w:vAlign w:val="center"/>
          </w:tcPr>
          <w:p w14:paraId="6CFD9EB5" w14:textId="77777777" w:rsidR="005E347E" w:rsidRPr="00AA22C4" w:rsidRDefault="005E347E" w:rsidP="0015358E">
            <w:pPr>
              <w:tabs>
                <w:tab w:val="decimal" w:pos="142"/>
              </w:tabs>
              <w:snapToGrid w:val="0"/>
              <w:spacing w:line="276" w:lineRule="auto"/>
              <w:ind w:right="113"/>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1</w:t>
            </w:r>
          </w:p>
        </w:tc>
        <w:tc>
          <w:tcPr>
            <w:tcW w:w="4536" w:type="dxa"/>
            <w:shd w:val="clear" w:color="auto" w:fill="auto"/>
            <w:vAlign w:val="center"/>
          </w:tcPr>
          <w:p w14:paraId="58BE71CD" w14:textId="77777777" w:rsidR="005E347E" w:rsidRPr="00AA22C4" w:rsidRDefault="005E347E" w:rsidP="0015358E">
            <w:pPr>
              <w:snapToGrid w:val="0"/>
              <w:spacing w:line="276" w:lineRule="auto"/>
              <w:ind w:right="-68"/>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Badania przesiewowe w kierunku wrodzonej niedoczynności tarczycy (400 tys. badań)</w:t>
            </w:r>
          </w:p>
        </w:tc>
        <w:tc>
          <w:tcPr>
            <w:tcW w:w="2127" w:type="dxa"/>
            <w:shd w:val="clear" w:color="auto" w:fill="auto"/>
            <w:vAlign w:val="center"/>
          </w:tcPr>
          <w:p w14:paraId="1D209C9E"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10,15</w:t>
            </w:r>
          </w:p>
        </w:tc>
        <w:tc>
          <w:tcPr>
            <w:tcW w:w="1984" w:type="dxa"/>
            <w:shd w:val="clear" w:color="auto" w:fill="auto"/>
            <w:vAlign w:val="center"/>
          </w:tcPr>
          <w:p w14:paraId="07251665"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4 060 000</w:t>
            </w:r>
          </w:p>
        </w:tc>
      </w:tr>
      <w:tr w:rsidR="00B3776C" w:rsidRPr="00B3776C" w14:paraId="26D907A1" w14:textId="77777777" w:rsidTr="0015358E">
        <w:trPr>
          <w:trHeight w:val="567"/>
        </w:trPr>
        <w:tc>
          <w:tcPr>
            <w:tcW w:w="573" w:type="dxa"/>
            <w:shd w:val="clear" w:color="auto" w:fill="auto"/>
            <w:vAlign w:val="center"/>
          </w:tcPr>
          <w:p w14:paraId="7C7B90DC" w14:textId="77777777" w:rsidR="005E347E" w:rsidRPr="00AA22C4" w:rsidRDefault="005E347E" w:rsidP="0015358E">
            <w:pPr>
              <w:tabs>
                <w:tab w:val="decimal" w:pos="142"/>
              </w:tabs>
              <w:snapToGrid w:val="0"/>
              <w:spacing w:line="276" w:lineRule="auto"/>
              <w:ind w:right="113"/>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2</w:t>
            </w:r>
          </w:p>
        </w:tc>
        <w:tc>
          <w:tcPr>
            <w:tcW w:w="4536" w:type="dxa"/>
            <w:shd w:val="clear" w:color="auto" w:fill="auto"/>
            <w:vAlign w:val="center"/>
          </w:tcPr>
          <w:p w14:paraId="2B7145BA" w14:textId="77777777" w:rsidR="005E347E" w:rsidRPr="00AA22C4" w:rsidRDefault="005E347E" w:rsidP="0015358E">
            <w:pPr>
              <w:snapToGrid w:val="0"/>
              <w:spacing w:line="276" w:lineRule="auto"/>
              <w:ind w:right="-68"/>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Badania przesiewowe w kierunku Fenyloketonurii (423 tys. badań)</w:t>
            </w:r>
          </w:p>
        </w:tc>
        <w:tc>
          <w:tcPr>
            <w:tcW w:w="2127" w:type="dxa"/>
            <w:tcBorders>
              <w:top w:val="nil"/>
            </w:tcBorders>
            <w:shd w:val="clear" w:color="auto" w:fill="auto"/>
            <w:vAlign w:val="center"/>
          </w:tcPr>
          <w:p w14:paraId="338CC983"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7,96</w:t>
            </w:r>
          </w:p>
        </w:tc>
        <w:tc>
          <w:tcPr>
            <w:tcW w:w="1984" w:type="dxa"/>
            <w:tcBorders>
              <w:top w:val="nil"/>
            </w:tcBorders>
            <w:shd w:val="clear" w:color="auto" w:fill="auto"/>
            <w:vAlign w:val="center"/>
          </w:tcPr>
          <w:p w14:paraId="3B1B715E"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3 367 080</w:t>
            </w:r>
          </w:p>
        </w:tc>
      </w:tr>
      <w:tr w:rsidR="00B3776C" w:rsidRPr="00B3776C" w14:paraId="75FD7DD4" w14:textId="77777777" w:rsidTr="0015358E">
        <w:trPr>
          <w:trHeight w:val="567"/>
        </w:trPr>
        <w:tc>
          <w:tcPr>
            <w:tcW w:w="573" w:type="dxa"/>
            <w:shd w:val="clear" w:color="auto" w:fill="auto"/>
            <w:vAlign w:val="center"/>
          </w:tcPr>
          <w:p w14:paraId="6F067537" w14:textId="77777777" w:rsidR="005E347E" w:rsidRPr="00AA22C4" w:rsidRDefault="005E347E" w:rsidP="0015358E">
            <w:pPr>
              <w:tabs>
                <w:tab w:val="decimal" w:pos="142"/>
              </w:tabs>
              <w:snapToGrid w:val="0"/>
              <w:spacing w:line="276" w:lineRule="auto"/>
              <w:ind w:right="113"/>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3</w:t>
            </w:r>
          </w:p>
        </w:tc>
        <w:tc>
          <w:tcPr>
            <w:tcW w:w="4536" w:type="dxa"/>
            <w:shd w:val="clear" w:color="auto" w:fill="auto"/>
            <w:vAlign w:val="center"/>
          </w:tcPr>
          <w:p w14:paraId="65CBB4FE" w14:textId="77777777" w:rsidR="005E347E" w:rsidRPr="00AA22C4" w:rsidRDefault="005E347E" w:rsidP="0015358E">
            <w:pPr>
              <w:snapToGrid w:val="0"/>
              <w:spacing w:line="276" w:lineRule="auto"/>
              <w:ind w:right="-68"/>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Badania przesiewowe w kierunku   mukowiscydozy (400 tys. badań)</w:t>
            </w:r>
          </w:p>
        </w:tc>
        <w:tc>
          <w:tcPr>
            <w:tcW w:w="2127" w:type="dxa"/>
            <w:tcBorders>
              <w:top w:val="nil"/>
            </w:tcBorders>
            <w:shd w:val="clear" w:color="auto" w:fill="auto"/>
            <w:vAlign w:val="center"/>
          </w:tcPr>
          <w:p w14:paraId="52EB5169"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12,11</w:t>
            </w:r>
          </w:p>
        </w:tc>
        <w:tc>
          <w:tcPr>
            <w:tcW w:w="1984" w:type="dxa"/>
            <w:tcBorders>
              <w:top w:val="nil"/>
            </w:tcBorders>
            <w:shd w:val="clear" w:color="auto" w:fill="auto"/>
            <w:vAlign w:val="center"/>
          </w:tcPr>
          <w:p w14:paraId="289EFA85"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4 844 000    </w:t>
            </w:r>
          </w:p>
        </w:tc>
      </w:tr>
      <w:tr w:rsidR="00B3776C" w:rsidRPr="00B3776C" w14:paraId="5E8A4166" w14:textId="77777777" w:rsidTr="0015358E">
        <w:trPr>
          <w:trHeight w:val="567"/>
        </w:trPr>
        <w:tc>
          <w:tcPr>
            <w:tcW w:w="573" w:type="dxa"/>
            <w:shd w:val="clear" w:color="auto" w:fill="auto"/>
            <w:vAlign w:val="center"/>
          </w:tcPr>
          <w:p w14:paraId="18D13317" w14:textId="77777777" w:rsidR="005E347E" w:rsidRPr="00AA22C4" w:rsidRDefault="005E347E" w:rsidP="0015358E">
            <w:pPr>
              <w:tabs>
                <w:tab w:val="decimal" w:pos="142"/>
              </w:tabs>
              <w:snapToGrid w:val="0"/>
              <w:spacing w:line="276" w:lineRule="auto"/>
              <w:ind w:right="113"/>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4</w:t>
            </w:r>
          </w:p>
        </w:tc>
        <w:tc>
          <w:tcPr>
            <w:tcW w:w="4536" w:type="dxa"/>
            <w:shd w:val="clear" w:color="auto" w:fill="auto"/>
            <w:vAlign w:val="center"/>
          </w:tcPr>
          <w:p w14:paraId="2CA1C39C" w14:textId="77777777" w:rsidR="005E347E" w:rsidRPr="00AA22C4" w:rsidRDefault="005E347E" w:rsidP="0015358E">
            <w:pPr>
              <w:snapToGrid w:val="0"/>
              <w:spacing w:line="276" w:lineRule="auto"/>
              <w:ind w:right="-68"/>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Badania przesiewowe w kierunku rzadkich wad metabolizmu - MS/MS (400 tys. badań)</w:t>
            </w:r>
          </w:p>
        </w:tc>
        <w:tc>
          <w:tcPr>
            <w:tcW w:w="2127" w:type="dxa"/>
            <w:tcBorders>
              <w:top w:val="nil"/>
            </w:tcBorders>
            <w:shd w:val="clear" w:color="auto" w:fill="auto"/>
            <w:vAlign w:val="center"/>
          </w:tcPr>
          <w:p w14:paraId="54DA11BC"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13,51</w:t>
            </w:r>
          </w:p>
        </w:tc>
        <w:tc>
          <w:tcPr>
            <w:tcW w:w="1984" w:type="dxa"/>
            <w:tcBorders>
              <w:top w:val="nil"/>
            </w:tcBorders>
            <w:shd w:val="clear" w:color="auto" w:fill="auto"/>
            <w:vAlign w:val="center"/>
          </w:tcPr>
          <w:p w14:paraId="4CE73FE0"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5 404 000    </w:t>
            </w:r>
          </w:p>
        </w:tc>
      </w:tr>
      <w:tr w:rsidR="00B3776C" w:rsidRPr="00B3776C" w14:paraId="7B770B7F" w14:textId="77777777" w:rsidTr="0015358E">
        <w:trPr>
          <w:trHeight w:val="567"/>
        </w:trPr>
        <w:tc>
          <w:tcPr>
            <w:tcW w:w="573" w:type="dxa"/>
            <w:shd w:val="clear" w:color="auto" w:fill="auto"/>
            <w:vAlign w:val="center"/>
          </w:tcPr>
          <w:p w14:paraId="78FBDBC4" w14:textId="77777777" w:rsidR="005E347E" w:rsidRPr="00AA22C4" w:rsidRDefault="005E347E" w:rsidP="0015358E">
            <w:pPr>
              <w:tabs>
                <w:tab w:val="decimal" w:pos="142"/>
              </w:tabs>
              <w:snapToGrid w:val="0"/>
              <w:spacing w:line="276" w:lineRule="auto"/>
              <w:ind w:right="113"/>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5</w:t>
            </w:r>
          </w:p>
        </w:tc>
        <w:tc>
          <w:tcPr>
            <w:tcW w:w="4536" w:type="dxa"/>
            <w:shd w:val="clear" w:color="auto" w:fill="auto"/>
            <w:vAlign w:val="center"/>
          </w:tcPr>
          <w:p w14:paraId="712AD5C0" w14:textId="77777777" w:rsidR="005E347E" w:rsidRPr="00AA22C4" w:rsidRDefault="005E347E" w:rsidP="0015358E">
            <w:pPr>
              <w:snapToGrid w:val="0"/>
              <w:spacing w:line="276" w:lineRule="auto"/>
              <w:ind w:right="-68"/>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Badania przesiewowe w kierunku wrodzonego przerostu nadnerczy</w:t>
            </w:r>
          </w:p>
          <w:p w14:paraId="13572827" w14:textId="77777777" w:rsidR="005E347E" w:rsidRPr="00AA22C4" w:rsidRDefault="005E347E" w:rsidP="0015358E">
            <w:pPr>
              <w:snapToGrid w:val="0"/>
              <w:spacing w:line="276" w:lineRule="auto"/>
              <w:ind w:right="-68"/>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(400 tys. badań)</w:t>
            </w:r>
          </w:p>
        </w:tc>
        <w:tc>
          <w:tcPr>
            <w:tcW w:w="2127" w:type="dxa"/>
            <w:tcBorders>
              <w:top w:val="nil"/>
            </w:tcBorders>
            <w:shd w:val="clear" w:color="auto" w:fill="auto"/>
            <w:vAlign w:val="center"/>
          </w:tcPr>
          <w:p w14:paraId="11AC2E52"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8,57</w:t>
            </w:r>
          </w:p>
        </w:tc>
        <w:tc>
          <w:tcPr>
            <w:tcW w:w="1984" w:type="dxa"/>
            <w:tcBorders>
              <w:top w:val="nil"/>
            </w:tcBorders>
            <w:shd w:val="clear" w:color="auto" w:fill="auto"/>
            <w:vAlign w:val="center"/>
          </w:tcPr>
          <w:p w14:paraId="1579C493"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3 428 000    </w:t>
            </w:r>
          </w:p>
        </w:tc>
      </w:tr>
      <w:tr w:rsidR="00B3776C" w:rsidRPr="00B3776C" w14:paraId="086A2D92" w14:textId="77777777" w:rsidTr="0015358E">
        <w:trPr>
          <w:trHeight w:val="567"/>
        </w:trPr>
        <w:tc>
          <w:tcPr>
            <w:tcW w:w="573" w:type="dxa"/>
            <w:shd w:val="clear" w:color="auto" w:fill="auto"/>
            <w:vAlign w:val="center"/>
          </w:tcPr>
          <w:p w14:paraId="21010E03" w14:textId="77777777" w:rsidR="005E347E" w:rsidRPr="00AA22C4" w:rsidRDefault="005E347E" w:rsidP="0015358E">
            <w:pPr>
              <w:tabs>
                <w:tab w:val="decimal" w:pos="142"/>
              </w:tabs>
              <w:snapToGrid w:val="0"/>
              <w:spacing w:line="276" w:lineRule="auto"/>
              <w:ind w:right="113"/>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6</w:t>
            </w:r>
          </w:p>
        </w:tc>
        <w:tc>
          <w:tcPr>
            <w:tcW w:w="4536" w:type="dxa"/>
            <w:shd w:val="clear" w:color="auto" w:fill="auto"/>
            <w:vAlign w:val="center"/>
          </w:tcPr>
          <w:p w14:paraId="40833AC5" w14:textId="77777777" w:rsidR="005E347E" w:rsidRPr="00AA22C4" w:rsidRDefault="005E347E" w:rsidP="0015358E">
            <w:pPr>
              <w:snapToGrid w:val="0"/>
              <w:spacing w:line="276" w:lineRule="auto"/>
              <w:ind w:right="-68"/>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Badania przesiewowe w kierunku deficytu biotynidazy (400 tys. badań)</w:t>
            </w:r>
          </w:p>
        </w:tc>
        <w:tc>
          <w:tcPr>
            <w:tcW w:w="2127" w:type="dxa"/>
            <w:tcBorders>
              <w:top w:val="nil"/>
            </w:tcBorders>
            <w:shd w:val="clear" w:color="auto" w:fill="auto"/>
            <w:vAlign w:val="center"/>
          </w:tcPr>
          <w:p w14:paraId="05725B75"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3,36</w:t>
            </w:r>
          </w:p>
        </w:tc>
        <w:tc>
          <w:tcPr>
            <w:tcW w:w="1984" w:type="dxa"/>
            <w:tcBorders>
              <w:top w:val="nil"/>
            </w:tcBorders>
            <w:shd w:val="clear" w:color="auto" w:fill="auto"/>
            <w:vAlign w:val="center"/>
          </w:tcPr>
          <w:p w14:paraId="0F2B3A59"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1 344 000    </w:t>
            </w:r>
          </w:p>
        </w:tc>
      </w:tr>
      <w:tr w:rsidR="00B3776C" w:rsidRPr="00B3776C" w14:paraId="133CBEDA" w14:textId="77777777" w:rsidTr="0015358E">
        <w:trPr>
          <w:trHeight w:val="397"/>
        </w:trPr>
        <w:tc>
          <w:tcPr>
            <w:tcW w:w="7236" w:type="dxa"/>
            <w:gridSpan w:val="3"/>
            <w:shd w:val="clear" w:color="auto" w:fill="auto"/>
            <w:vAlign w:val="center"/>
          </w:tcPr>
          <w:p w14:paraId="6C62E738" w14:textId="77777777" w:rsidR="005E347E" w:rsidRPr="00AA22C4" w:rsidRDefault="005E347E" w:rsidP="0015358E">
            <w:pPr>
              <w:snapToGrid w:val="0"/>
              <w:spacing w:line="276" w:lineRule="auto"/>
              <w:ind w:left="214" w:right="-68"/>
              <w:contextualSpacing/>
              <w:jc w:val="right"/>
              <w:rPr>
                <w:rFonts w:ascii="Lato" w:hAnsi="Lato"/>
                <w:color w:val="000000" w:themeColor="text1"/>
                <w:sz w:val="20"/>
                <w:szCs w:val="20"/>
                <w:lang w:eastAsia="en-US"/>
              </w:rPr>
            </w:pPr>
            <w:r w:rsidRPr="00AA22C4">
              <w:rPr>
                <w:rFonts w:ascii="Lato" w:hAnsi="Lato"/>
                <w:b/>
                <w:color w:val="000000" w:themeColor="text1"/>
                <w:sz w:val="20"/>
                <w:szCs w:val="20"/>
                <w:lang w:eastAsia="en-US"/>
              </w:rPr>
              <w:t>Razem:</w:t>
            </w:r>
          </w:p>
        </w:tc>
        <w:tc>
          <w:tcPr>
            <w:tcW w:w="1984" w:type="dxa"/>
            <w:shd w:val="clear" w:color="auto" w:fill="auto"/>
            <w:vAlign w:val="center"/>
          </w:tcPr>
          <w:p w14:paraId="294D3D7D"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b/>
                <w:color w:val="000000" w:themeColor="text1"/>
                <w:sz w:val="20"/>
                <w:szCs w:val="20"/>
                <w:lang w:eastAsia="en-US"/>
              </w:rPr>
              <w:t xml:space="preserve">22 447 080    </w:t>
            </w:r>
          </w:p>
        </w:tc>
      </w:tr>
      <w:tr w:rsidR="00B3776C" w:rsidRPr="00B3776C" w14:paraId="6CEE7C3F" w14:textId="77777777" w:rsidTr="0015358E">
        <w:trPr>
          <w:trHeight w:val="510"/>
        </w:trPr>
        <w:tc>
          <w:tcPr>
            <w:tcW w:w="9220" w:type="dxa"/>
            <w:gridSpan w:val="4"/>
            <w:shd w:val="clear" w:color="auto" w:fill="E7E6E6"/>
            <w:vAlign w:val="center"/>
          </w:tcPr>
          <w:p w14:paraId="1C726DE4" w14:textId="77777777" w:rsidR="005E347E" w:rsidRPr="00AA22C4" w:rsidRDefault="005E347E" w:rsidP="0015358E">
            <w:pPr>
              <w:snapToGrid w:val="0"/>
              <w:spacing w:line="276" w:lineRule="auto"/>
              <w:contextualSpacing/>
              <w:jc w:val="center"/>
              <w:rPr>
                <w:rFonts w:ascii="Lato" w:hAnsi="Lato"/>
                <w:b/>
                <w:bCs/>
                <w:color w:val="000000" w:themeColor="text1"/>
                <w:sz w:val="20"/>
                <w:szCs w:val="20"/>
                <w:lang w:eastAsia="en-US"/>
              </w:rPr>
            </w:pPr>
            <w:r w:rsidRPr="00AA22C4">
              <w:rPr>
                <w:rFonts w:ascii="Lato" w:hAnsi="Lato"/>
                <w:b/>
                <w:bCs/>
                <w:color w:val="000000" w:themeColor="text1"/>
                <w:sz w:val="20"/>
                <w:szCs w:val="20"/>
                <w:lang w:eastAsia="en-US"/>
              </w:rPr>
              <w:t>Koszt testów diagnostycznych i odczynników (zawiera VAT 8% lub 23%):</w:t>
            </w:r>
          </w:p>
        </w:tc>
      </w:tr>
      <w:tr w:rsidR="00B3776C" w:rsidRPr="00B3776C" w14:paraId="173B9DBC" w14:textId="77777777" w:rsidTr="0015358E">
        <w:trPr>
          <w:trHeight w:val="735"/>
        </w:trPr>
        <w:tc>
          <w:tcPr>
            <w:tcW w:w="573" w:type="dxa"/>
            <w:shd w:val="clear" w:color="auto" w:fill="auto"/>
            <w:vAlign w:val="center"/>
          </w:tcPr>
          <w:p w14:paraId="1421747A" w14:textId="77777777" w:rsidR="005E347E" w:rsidRPr="00AA22C4" w:rsidRDefault="005E347E" w:rsidP="0015358E">
            <w:pPr>
              <w:tabs>
                <w:tab w:val="decimal" w:pos="142"/>
              </w:tabs>
              <w:snapToGrid w:val="0"/>
              <w:spacing w:line="276" w:lineRule="auto"/>
              <w:ind w:right="113"/>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7</w:t>
            </w:r>
          </w:p>
        </w:tc>
        <w:tc>
          <w:tcPr>
            <w:tcW w:w="6663" w:type="dxa"/>
            <w:gridSpan w:val="2"/>
            <w:shd w:val="clear" w:color="auto" w:fill="auto"/>
            <w:vAlign w:val="center"/>
          </w:tcPr>
          <w:p w14:paraId="627E1BE6" w14:textId="77777777" w:rsidR="005E347E" w:rsidRPr="00AA22C4" w:rsidRDefault="005E347E" w:rsidP="0015358E">
            <w:pPr>
              <w:snapToGrid w:val="0"/>
              <w:spacing w:line="276" w:lineRule="auto"/>
              <w:ind w:right="71"/>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Koszt testów diagnostycznych i odczynników do badań przesiewowych noworodków zgodnie z Programem</w:t>
            </w:r>
          </w:p>
        </w:tc>
        <w:tc>
          <w:tcPr>
            <w:tcW w:w="1984" w:type="dxa"/>
            <w:shd w:val="clear" w:color="auto" w:fill="auto"/>
            <w:vAlign w:val="center"/>
          </w:tcPr>
          <w:p w14:paraId="1B012D82" w14:textId="77777777" w:rsidR="005E347E" w:rsidRPr="00AA22C4" w:rsidRDefault="005E347E" w:rsidP="0015358E">
            <w:pPr>
              <w:snapToGrid w:val="0"/>
              <w:spacing w:line="276" w:lineRule="auto"/>
              <w:ind w:left="5" w:right="-68"/>
              <w:contextualSpacing/>
              <w:jc w:val="center"/>
              <w:rPr>
                <w:rFonts w:ascii="Lato" w:hAnsi="Lato"/>
                <w:color w:val="000000" w:themeColor="text1"/>
                <w:sz w:val="20"/>
                <w:szCs w:val="20"/>
                <w:lang w:eastAsia="en-US"/>
              </w:rPr>
            </w:pPr>
            <w:r w:rsidRPr="00AA22C4">
              <w:rPr>
                <w:rFonts w:ascii="Lato" w:hAnsi="Lato"/>
                <w:b/>
                <w:bCs/>
                <w:color w:val="000000" w:themeColor="text1"/>
                <w:sz w:val="20"/>
                <w:szCs w:val="20"/>
                <w:lang w:eastAsia="en-US"/>
              </w:rPr>
              <w:t xml:space="preserve">12 046 071    </w:t>
            </w:r>
          </w:p>
        </w:tc>
      </w:tr>
      <w:tr w:rsidR="00B3776C" w:rsidRPr="00B3776C" w14:paraId="6EEB990E" w14:textId="77777777" w:rsidTr="0015358E">
        <w:trPr>
          <w:trHeight w:val="506"/>
        </w:trPr>
        <w:tc>
          <w:tcPr>
            <w:tcW w:w="9220" w:type="dxa"/>
            <w:gridSpan w:val="4"/>
            <w:shd w:val="clear" w:color="auto" w:fill="E7E6E6"/>
            <w:vAlign w:val="center"/>
          </w:tcPr>
          <w:p w14:paraId="651EF00A" w14:textId="77777777" w:rsidR="005E347E" w:rsidRPr="00AA22C4" w:rsidRDefault="005E347E" w:rsidP="0015358E">
            <w:pPr>
              <w:snapToGrid w:val="0"/>
              <w:spacing w:line="276" w:lineRule="auto"/>
              <w:ind w:left="110" w:right="-25"/>
              <w:contextualSpacing/>
              <w:jc w:val="center"/>
              <w:rPr>
                <w:rFonts w:ascii="Lato" w:hAnsi="Lato"/>
                <w:b/>
                <w:color w:val="000000" w:themeColor="text1"/>
                <w:sz w:val="20"/>
                <w:szCs w:val="20"/>
                <w:lang w:eastAsia="en-US"/>
              </w:rPr>
            </w:pPr>
            <w:r w:rsidRPr="00AA22C4">
              <w:rPr>
                <w:rFonts w:ascii="Lato" w:hAnsi="Lato"/>
                <w:b/>
                <w:bCs/>
                <w:color w:val="000000" w:themeColor="text1"/>
                <w:sz w:val="20"/>
                <w:szCs w:val="20"/>
                <w:lang w:eastAsia="en-US"/>
              </w:rPr>
              <w:t>Koszty ogólnokrajowe oraz koordynacja i monitorowanie programu:</w:t>
            </w:r>
          </w:p>
        </w:tc>
      </w:tr>
      <w:tr w:rsidR="00B3776C" w:rsidRPr="00B3776C" w14:paraId="75CB0A03" w14:textId="77777777" w:rsidTr="0015358E">
        <w:trPr>
          <w:trHeight w:val="349"/>
        </w:trPr>
        <w:tc>
          <w:tcPr>
            <w:tcW w:w="573" w:type="dxa"/>
            <w:shd w:val="clear" w:color="auto" w:fill="auto"/>
            <w:vAlign w:val="center"/>
          </w:tcPr>
          <w:p w14:paraId="5F5B9DBA" w14:textId="77777777" w:rsidR="005E347E" w:rsidRPr="00AA22C4" w:rsidRDefault="005E347E" w:rsidP="0015358E">
            <w:pPr>
              <w:snapToGrid w:val="0"/>
              <w:spacing w:line="276" w:lineRule="auto"/>
              <w:ind w:left="-25" w:right="5"/>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8</w:t>
            </w:r>
          </w:p>
        </w:tc>
        <w:tc>
          <w:tcPr>
            <w:tcW w:w="6663" w:type="dxa"/>
            <w:gridSpan w:val="2"/>
            <w:shd w:val="clear" w:color="auto" w:fill="auto"/>
            <w:vAlign w:val="center"/>
          </w:tcPr>
          <w:p w14:paraId="58BEDB49" w14:textId="77777777" w:rsidR="005E347E" w:rsidRPr="00AA22C4" w:rsidRDefault="005E347E" w:rsidP="0015358E">
            <w:pPr>
              <w:snapToGrid w:val="0"/>
              <w:spacing w:line="276" w:lineRule="auto"/>
              <w:ind w:right="-68"/>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Prowadzenie rejestru noworodków - baza danych, baza monitorowania leczenia chorych leczonych wykrytych w badaniach przesiewowych (Centralny Rejestr Badań Przesiewowych Noworodków)</w:t>
            </w:r>
          </w:p>
        </w:tc>
        <w:tc>
          <w:tcPr>
            <w:tcW w:w="1984" w:type="dxa"/>
            <w:shd w:val="clear" w:color="auto" w:fill="auto"/>
            <w:vAlign w:val="center"/>
          </w:tcPr>
          <w:p w14:paraId="2CEF5CE2"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68 691    </w:t>
            </w:r>
          </w:p>
        </w:tc>
      </w:tr>
      <w:tr w:rsidR="00B3776C" w:rsidRPr="00B3776C" w14:paraId="1FDF87C8" w14:textId="77777777" w:rsidTr="0015358E">
        <w:trPr>
          <w:trHeight w:val="349"/>
        </w:trPr>
        <w:tc>
          <w:tcPr>
            <w:tcW w:w="573" w:type="dxa"/>
            <w:shd w:val="clear" w:color="auto" w:fill="auto"/>
            <w:vAlign w:val="center"/>
          </w:tcPr>
          <w:p w14:paraId="094C12F9" w14:textId="77777777" w:rsidR="005E347E" w:rsidRPr="00AA22C4" w:rsidRDefault="005E347E" w:rsidP="0015358E">
            <w:pPr>
              <w:snapToGrid w:val="0"/>
              <w:spacing w:line="276" w:lineRule="auto"/>
              <w:ind w:left="-25" w:right="5"/>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9</w:t>
            </w:r>
          </w:p>
        </w:tc>
        <w:tc>
          <w:tcPr>
            <w:tcW w:w="6663" w:type="dxa"/>
            <w:gridSpan w:val="2"/>
            <w:shd w:val="clear" w:color="auto" w:fill="auto"/>
            <w:vAlign w:val="center"/>
          </w:tcPr>
          <w:p w14:paraId="468093ED" w14:textId="77777777" w:rsidR="005E347E" w:rsidRPr="00AA22C4" w:rsidRDefault="005E347E" w:rsidP="0015358E">
            <w:pPr>
              <w:snapToGrid w:val="0"/>
              <w:spacing w:line="276" w:lineRule="auto"/>
              <w:ind w:right="-68"/>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Korespondencja, przesyłki, łączność elektroniczna</w:t>
            </w:r>
          </w:p>
        </w:tc>
        <w:tc>
          <w:tcPr>
            <w:tcW w:w="1984" w:type="dxa"/>
            <w:tcBorders>
              <w:top w:val="nil"/>
            </w:tcBorders>
            <w:shd w:val="clear" w:color="auto" w:fill="auto"/>
            <w:vAlign w:val="center"/>
          </w:tcPr>
          <w:p w14:paraId="4DB7D126"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28 005    </w:t>
            </w:r>
          </w:p>
        </w:tc>
      </w:tr>
      <w:tr w:rsidR="00B3776C" w:rsidRPr="00B3776C" w14:paraId="295A20F2" w14:textId="77777777" w:rsidTr="0015358E">
        <w:trPr>
          <w:trHeight w:val="360"/>
        </w:trPr>
        <w:tc>
          <w:tcPr>
            <w:tcW w:w="573" w:type="dxa"/>
            <w:shd w:val="clear" w:color="auto" w:fill="auto"/>
            <w:vAlign w:val="center"/>
          </w:tcPr>
          <w:p w14:paraId="5D68C97D" w14:textId="77777777" w:rsidR="005E347E" w:rsidRPr="00AA22C4" w:rsidRDefault="005E347E" w:rsidP="0015358E">
            <w:pPr>
              <w:snapToGrid w:val="0"/>
              <w:spacing w:line="276" w:lineRule="auto"/>
              <w:ind w:left="-25" w:right="5"/>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10</w:t>
            </w:r>
          </w:p>
        </w:tc>
        <w:tc>
          <w:tcPr>
            <w:tcW w:w="6663" w:type="dxa"/>
            <w:gridSpan w:val="2"/>
            <w:shd w:val="clear" w:color="auto" w:fill="auto"/>
            <w:vAlign w:val="center"/>
          </w:tcPr>
          <w:p w14:paraId="1806A557" w14:textId="77777777" w:rsidR="005E347E" w:rsidRPr="00AA22C4" w:rsidRDefault="005E347E" w:rsidP="0015358E">
            <w:pPr>
              <w:snapToGrid w:val="0"/>
              <w:spacing w:line="276" w:lineRule="auto"/>
              <w:ind w:right="-68"/>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Szkolenia, konferencje, delegacje krajowe</w:t>
            </w:r>
          </w:p>
        </w:tc>
        <w:tc>
          <w:tcPr>
            <w:tcW w:w="1984" w:type="dxa"/>
            <w:tcBorders>
              <w:top w:val="nil"/>
            </w:tcBorders>
            <w:shd w:val="clear" w:color="auto" w:fill="auto"/>
            <w:vAlign w:val="center"/>
          </w:tcPr>
          <w:p w14:paraId="5201C7C8"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32 760    </w:t>
            </w:r>
          </w:p>
        </w:tc>
      </w:tr>
      <w:tr w:rsidR="00B3776C" w:rsidRPr="00B3776C" w14:paraId="2D0B465C" w14:textId="77777777" w:rsidTr="0015358E">
        <w:trPr>
          <w:trHeight w:val="390"/>
        </w:trPr>
        <w:tc>
          <w:tcPr>
            <w:tcW w:w="573" w:type="dxa"/>
            <w:shd w:val="clear" w:color="auto" w:fill="auto"/>
            <w:vAlign w:val="center"/>
          </w:tcPr>
          <w:p w14:paraId="01AE9CDD" w14:textId="77777777" w:rsidR="005E347E" w:rsidRPr="00AA22C4" w:rsidRDefault="005E347E" w:rsidP="0015358E">
            <w:pPr>
              <w:snapToGrid w:val="0"/>
              <w:spacing w:line="276" w:lineRule="auto"/>
              <w:ind w:left="-25" w:right="5"/>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11</w:t>
            </w:r>
          </w:p>
        </w:tc>
        <w:tc>
          <w:tcPr>
            <w:tcW w:w="6663" w:type="dxa"/>
            <w:gridSpan w:val="2"/>
            <w:shd w:val="clear" w:color="auto" w:fill="auto"/>
            <w:vAlign w:val="center"/>
          </w:tcPr>
          <w:p w14:paraId="22C47F90" w14:textId="77777777" w:rsidR="005E347E" w:rsidRPr="00AA22C4" w:rsidRDefault="005E347E" w:rsidP="0015358E">
            <w:pPr>
              <w:snapToGrid w:val="0"/>
              <w:spacing w:line="276" w:lineRule="auto"/>
              <w:ind w:right="-68"/>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Strona internetowa, materiały edukacyjne</w:t>
            </w:r>
          </w:p>
        </w:tc>
        <w:tc>
          <w:tcPr>
            <w:tcW w:w="1984" w:type="dxa"/>
            <w:tcBorders>
              <w:top w:val="nil"/>
            </w:tcBorders>
            <w:shd w:val="clear" w:color="auto" w:fill="auto"/>
            <w:vAlign w:val="center"/>
          </w:tcPr>
          <w:p w14:paraId="675E7068"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29 590    </w:t>
            </w:r>
          </w:p>
        </w:tc>
      </w:tr>
      <w:tr w:rsidR="00B3776C" w:rsidRPr="00B3776C" w14:paraId="6E550A46" w14:textId="77777777" w:rsidTr="0015358E">
        <w:trPr>
          <w:trHeight w:val="330"/>
        </w:trPr>
        <w:tc>
          <w:tcPr>
            <w:tcW w:w="573" w:type="dxa"/>
            <w:shd w:val="clear" w:color="auto" w:fill="auto"/>
            <w:vAlign w:val="center"/>
          </w:tcPr>
          <w:p w14:paraId="24970593" w14:textId="77777777" w:rsidR="005E347E" w:rsidRPr="00AA22C4" w:rsidRDefault="005E347E" w:rsidP="0015358E">
            <w:pPr>
              <w:snapToGrid w:val="0"/>
              <w:spacing w:line="276" w:lineRule="auto"/>
              <w:ind w:left="-25" w:right="5"/>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12</w:t>
            </w:r>
          </w:p>
        </w:tc>
        <w:tc>
          <w:tcPr>
            <w:tcW w:w="6663" w:type="dxa"/>
            <w:gridSpan w:val="2"/>
            <w:shd w:val="clear" w:color="auto" w:fill="auto"/>
            <w:vAlign w:val="center"/>
          </w:tcPr>
          <w:p w14:paraId="50BD9D30" w14:textId="77777777" w:rsidR="005E347E" w:rsidRPr="00AA22C4" w:rsidRDefault="005E347E" w:rsidP="0015358E">
            <w:pPr>
              <w:snapToGrid w:val="0"/>
              <w:spacing w:line="276" w:lineRule="auto"/>
              <w:ind w:right="-68"/>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Koszty osobowe</w:t>
            </w:r>
          </w:p>
        </w:tc>
        <w:tc>
          <w:tcPr>
            <w:tcW w:w="1984" w:type="dxa"/>
            <w:tcBorders>
              <w:top w:val="nil"/>
            </w:tcBorders>
            <w:shd w:val="clear" w:color="auto" w:fill="auto"/>
            <w:vAlign w:val="center"/>
          </w:tcPr>
          <w:p w14:paraId="15440A8A"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161 160    </w:t>
            </w:r>
          </w:p>
        </w:tc>
      </w:tr>
      <w:tr w:rsidR="00B3776C" w:rsidRPr="00B3776C" w14:paraId="05E14ECB" w14:textId="77777777" w:rsidTr="0015358E">
        <w:trPr>
          <w:trHeight w:val="287"/>
        </w:trPr>
        <w:tc>
          <w:tcPr>
            <w:tcW w:w="573" w:type="dxa"/>
            <w:shd w:val="clear" w:color="auto" w:fill="auto"/>
            <w:vAlign w:val="center"/>
          </w:tcPr>
          <w:p w14:paraId="4F781DD5" w14:textId="77777777" w:rsidR="005E347E" w:rsidRPr="00AA22C4" w:rsidRDefault="005E347E" w:rsidP="0015358E">
            <w:pPr>
              <w:snapToGrid w:val="0"/>
              <w:spacing w:line="276" w:lineRule="auto"/>
              <w:ind w:left="-25" w:right="5"/>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 13</w:t>
            </w:r>
          </w:p>
        </w:tc>
        <w:tc>
          <w:tcPr>
            <w:tcW w:w="6663" w:type="dxa"/>
            <w:gridSpan w:val="2"/>
            <w:shd w:val="clear" w:color="auto" w:fill="auto"/>
            <w:vAlign w:val="center"/>
          </w:tcPr>
          <w:p w14:paraId="4E1D5EB4" w14:textId="77777777" w:rsidR="005E347E" w:rsidRPr="00AA22C4" w:rsidRDefault="005E347E" w:rsidP="0015358E">
            <w:pPr>
              <w:snapToGrid w:val="0"/>
              <w:spacing w:line="276" w:lineRule="auto"/>
              <w:ind w:right="-68"/>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Druk ulotek, materiałów informacyjnych, plakatów, instrukcji, etykiet z kodem.</w:t>
            </w:r>
          </w:p>
        </w:tc>
        <w:tc>
          <w:tcPr>
            <w:tcW w:w="1984" w:type="dxa"/>
            <w:tcBorders>
              <w:top w:val="nil"/>
            </w:tcBorders>
            <w:shd w:val="clear" w:color="auto" w:fill="auto"/>
            <w:vAlign w:val="center"/>
          </w:tcPr>
          <w:p w14:paraId="57C6EF90"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184 937    </w:t>
            </w:r>
          </w:p>
        </w:tc>
      </w:tr>
      <w:tr w:rsidR="00B3776C" w:rsidRPr="00B3776C" w14:paraId="252A4DB2" w14:textId="77777777" w:rsidTr="0015358E">
        <w:trPr>
          <w:trHeight w:val="287"/>
        </w:trPr>
        <w:tc>
          <w:tcPr>
            <w:tcW w:w="573" w:type="dxa"/>
            <w:shd w:val="clear" w:color="auto" w:fill="auto"/>
            <w:vAlign w:val="center"/>
          </w:tcPr>
          <w:p w14:paraId="2F986F4E" w14:textId="77777777" w:rsidR="005E347E" w:rsidRPr="00AA22C4" w:rsidRDefault="005E347E" w:rsidP="0015358E">
            <w:pPr>
              <w:snapToGrid w:val="0"/>
              <w:spacing w:line="276" w:lineRule="auto"/>
              <w:ind w:left="-25" w:right="5"/>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14</w:t>
            </w:r>
          </w:p>
        </w:tc>
        <w:tc>
          <w:tcPr>
            <w:tcW w:w="6663" w:type="dxa"/>
            <w:gridSpan w:val="2"/>
            <w:shd w:val="clear" w:color="auto" w:fill="auto"/>
            <w:vAlign w:val="center"/>
          </w:tcPr>
          <w:p w14:paraId="05F2C799" w14:textId="77777777" w:rsidR="005E347E" w:rsidRPr="00AA22C4" w:rsidRDefault="005E347E" w:rsidP="0015358E">
            <w:pPr>
              <w:snapToGrid w:val="0"/>
              <w:spacing w:line="276" w:lineRule="auto"/>
              <w:ind w:right="-68"/>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Transport próbek krwi ze szpitali do ośrodków przesiewowych w całym kraju (ok. 170 tys. przesyłek w roku)</w:t>
            </w:r>
          </w:p>
        </w:tc>
        <w:tc>
          <w:tcPr>
            <w:tcW w:w="1984" w:type="dxa"/>
            <w:tcBorders>
              <w:top w:val="nil"/>
            </w:tcBorders>
            <w:shd w:val="clear" w:color="auto" w:fill="auto"/>
            <w:vAlign w:val="center"/>
          </w:tcPr>
          <w:p w14:paraId="4DDFFE44" w14:textId="77777777" w:rsidR="005E347E" w:rsidRPr="00AA22C4" w:rsidRDefault="005E347E" w:rsidP="0015358E">
            <w:pPr>
              <w:snapToGrid w:val="0"/>
              <w:spacing w:line="276" w:lineRule="auto"/>
              <w:ind w:right="-68"/>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2 263 800    </w:t>
            </w:r>
          </w:p>
        </w:tc>
      </w:tr>
      <w:tr w:rsidR="00B3776C" w:rsidRPr="00B3776C" w14:paraId="082A7E9D" w14:textId="77777777" w:rsidTr="0015358E">
        <w:trPr>
          <w:trHeight w:val="354"/>
        </w:trPr>
        <w:tc>
          <w:tcPr>
            <w:tcW w:w="7236" w:type="dxa"/>
            <w:gridSpan w:val="3"/>
            <w:shd w:val="clear" w:color="auto" w:fill="auto"/>
            <w:vAlign w:val="center"/>
          </w:tcPr>
          <w:p w14:paraId="62F37B15" w14:textId="77777777" w:rsidR="005E347E" w:rsidRPr="00AA22C4" w:rsidRDefault="005E347E" w:rsidP="0015358E">
            <w:pPr>
              <w:tabs>
                <w:tab w:val="center" w:pos="3510"/>
                <w:tab w:val="left" w:pos="5146"/>
              </w:tabs>
              <w:snapToGrid w:val="0"/>
              <w:spacing w:line="276" w:lineRule="auto"/>
              <w:ind w:right="-68"/>
              <w:contextualSpacing/>
              <w:jc w:val="right"/>
              <w:rPr>
                <w:rFonts w:ascii="Lato" w:hAnsi="Lato"/>
                <w:color w:val="000000" w:themeColor="text1"/>
                <w:sz w:val="22"/>
                <w:szCs w:val="22"/>
                <w:lang w:eastAsia="en-US"/>
              </w:rPr>
            </w:pPr>
            <w:r w:rsidRPr="00AA22C4">
              <w:rPr>
                <w:rFonts w:ascii="Lato" w:hAnsi="Lato"/>
                <w:b/>
                <w:bCs/>
                <w:color w:val="000000" w:themeColor="text1"/>
                <w:sz w:val="22"/>
                <w:szCs w:val="22"/>
                <w:lang w:eastAsia="en-US"/>
              </w:rPr>
              <w:t>Razem:</w:t>
            </w:r>
          </w:p>
        </w:tc>
        <w:tc>
          <w:tcPr>
            <w:tcW w:w="1984" w:type="dxa"/>
            <w:shd w:val="clear" w:color="auto" w:fill="auto"/>
            <w:vAlign w:val="center"/>
          </w:tcPr>
          <w:p w14:paraId="31C5B12B" w14:textId="77777777" w:rsidR="005E347E" w:rsidRPr="00AA22C4" w:rsidRDefault="005E347E" w:rsidP="0015358E">
            <w:pPr>
              <w:snapToGrid w:val="0"/>
              <w:spacing w:line="276" w:lineRule="auto"/>
              <w:ind w:right="-68"/>
              <w:contextualSpacing/>
              <w:jc w:val="center"/>
              <w:rPr>
                <w:rFonts w:ascii="Lato" w:hAnsi="Lato"/>
                <w:color w:val="000000" w:themeColor="text1"/>
                <w:sz w:val="22"/>
                <w:szCs w:val="22"/>
                <w:lang w:eastAsia="en-US"/>
              </w:rPr>
            </w:pPr>
            <w:r w:rsidRPr="00AA22C4">
              <w:rPr>
                <w:rFonts w:ascii="Lato" w:hAnsi="Lato"/>
                <w:b/>
                <w:color w:val="000000" w:themeColor="text1"/>
                <w:sz w:val="22"/>
                <w:szCs w:val="22"/>
                <w:lang w:eastAsia="en-US"/>
              </w:rPr>
              <w:t xml:space="preserve">2 768 943    </w:t>
            </w:r>
          </w:p>
        </w:tc>
      </w:tr>
      <w:tr w:rsidR="00B3776C" w:rsidRPr="00B3776C" w14:paraId="05884FF4" w14:textId="77777777" w:rsidTr="0015358E">
        <w:trPr>
          <w:trHeight w:val="563"/>
        </w:trPr>
        <w:tc>
          <w:tcPr>
            <w:tcW w:w="7236" w:type="dxa"/>
            <w:gridSpan w:val="3"/>
            <w:shd w:val="clear" w:color="auto" w:fill="AEAAAA"/>
            <w:vAlign w:val="center"/>
          </w:tcPr>
          <w:p w14:paraId="61480528" w14:textId="77777777" w:rsidR="005E347E" w:rsidRPr="00AA22C4" w:rsidRDefault="005E347E" w:rsidP="0015358E">
            <w:pPr>
              <w:snapToGrid w:val="0"/>
              <w:spacing w:line="276" w:lineRule="auto"/>
              <w:ind w:right="71"/>
              <w:contextualSpacing/>
              <w:jc w:val="center"/>
              <w:rPr>
                <w:rFonts w:ascii="Lato" w:hAnsi="Lato"/>
                <w:color w:val="000000" w:themeColor="text1"/>
                <w:sz w:val="22"/>
                <w:szCs w:val="22"/>
                <w:lang w:eastAsia="en-US"/>
              </w:rPr>
            </w:pPr>
            <w:r w:rsidRPr="00AA22C4">
              <w:rPr>
                <w:rFonts w:ascii="Lato" w:hAnsi="Lato"/>
                <w:b/>
                <w:bCs/>
                <w:color w:val="000000" w:themeColor="text1"/>
                <w:sz w:val="22"/>
                <w:szCs w:val="22"/>
                <w:lang w:eastAsia="en-US"/>
              </w:rPr>
              <w:t>Koszt całkowity badań przesiewowych w 2020 r.</w:t>
            </w:r>
          </w:p>
        </w:tc>
        <w:tc>
          <w:tcPr>
            <w:tcW w:w="1984" w:type="dxa"/>
            <w:shd w:val="clear" w:color="auto" w:fill="AEAAAA"/>
            <w:vAlign w:val="center"/>
          </w:tcPr>
          <w:p w14:paraId="22FAAB3F" w14:textId="77777777" w:rsidR="005E347E" w:rsidRPr="00AA22C4" w:rsidRDefault="005E347E" w:rsidP="0015358E">
            <w:pPr>
              <w:snapToGrid w:val="0"/>
              <w:spacing w:line="276" w:lineRule="auto"/>
              <w:ind w:right="-68"/>
              <w:contextualSpacing/>
              <w:jc w:val="center"/>
              <w:rPr>
                <w:rFonts w:ascii="Lato" w:hAnsi="Lato"/>
                <w:color w:val="000000" w:themeColor="text1"/>
                <w:sz w:val="22"/>
                <w:szCs w:val="22"/>
                <w:lang w:eastAsia="en-US"/>
              </w:rPr>
            </w:pPr>
            <w:r w:rsidRPr="00AA22C4">
              <w:rPr>
                <w:rFonts w:ascii="Lato" w:hAnsi="Lato"/>
                <w:b/>
                <w:bCs/>
                <w:color w:val="000000" w:themeColor="text1"/>
                <w:sz w:val="22"/>
                <w:szCs w:val="22"/>
                <w:lang w:eastAsia="en-US"/>
              </w:rPr>
              <w:t>37 262 094</w:t>
            </w:r>
          </w:p>
        </w:tc>
      </w:tr>
    </w:tbl>
    <w:p w14:paraId="597002BB" w14:textId="77777777" w:rsidR="005E347E" w:rsidRPr="00AA22C4" w:rsidRDefault="005E347E" w:rsidP="005E347E">
      <w:pPr>
        <w:spacing w:before="120" w:after="120"/>
        <w:ind w:left="284" w:hanging="30"/>
        <w:contextualSpacing/>
        <w:jc w:val="center"/>
        <w:rPr>
          <w:rFonts w:ascii="Lato" w:hAnsi="Lato"/>
          <w:b/>
          <w:bCs/>
          <w:color w:val="000000" w:themeColor="text1"/>
          <w:sz w:val="22"/>
          <w:szCs w:val="22"/>
        </w:rPr>
      </w:pPr>
    </w:p>
    <w:p w14:paraId="7232D67B" w14:textId="4F81781A" w:rsidR="005E347E" w:rsidRPr="00AA22C4" w:rsidRDefault="005E347E" w:rsidP="005E347E">
      <w:pPr>
        <w:spacing w:before="120" w:after="120"/>
        <w:ind w:left="284" w:hanging="30"/>
        <w:contextualSpacing/>
        <w:jc w:val="center"/>
        <w:rPr>
          <w:rFonts w:ascii="Lato" w:hAnsi="Lato"/>
          <w:b/>
          <w:color w:val="000000" w:themeColor="text1"/>
          <w:sz w:val="22"/>
          <w:szCs w:val="22"/>
        </w:rPr>
      </w:pPr>
      <w:r w:rsidRPr="00AA22C4">
        <w:rPr>
          <w:rFonts w:ascii="Lato" w:hAnsi="Lato"/>
          <w:b/>
          <w:bCs/>
          <w:color w:val="000000" w:themeColor="text1"/>
          <w:sz w:val="22"/>
          <w:szCs w:val="22"/>
        </w:rPr>
        <w:lastRenderedPageBreak/>
        <w:t>PROGNOZOWANY</w:t>
      </w:r>
      <w:r w:rsidRPr="00AA22C4">
        <w:rPr>
          <w:rFonts w:ascii="Lato" w:hAnsi="Lato"/>
          <w:b/>
          <w:color w:val="000000" w:themeColor="text1"/>
          <w:sz w:val="22"/>
          <w:szCs w:val="22"/>
        </w:rPr>
        <w:t xml:space="preserve"> KOSZTORYS REALIZACJI RZĄDOWEGO PROGRAMU BADAŃ PRZESIEWOWYCH NOWORODKÓW NA 2021 </w:t>
      </w:r>
      <w:r w:rsidR="00A04888" w:rsidRPr="00AA22C4">
        <w:rPr>
          <w:rFonts w:ascii="Lato" w:hAnsi="Lato"/>
          <w:b/>
          <w:color w:val="000000" w:themeColor="text1"/>
          <w:sz w:val="22"/>
          <w:szCs w:val="22"/>
        </w:rPr>
        <w:t xml:space="preserve">R. </w:t>
      </w:r>
      <w:r w:rsidRPr="00AA22C4">
        <w:rPr>
          <w:rFonts w:ascii="Lato" w:hAnsi="Lato"/>
          <w:b/>
          <w:color w:val="000000" w:themeColor="text1"/>
          <w:sz w:val="22"/>
          <w:szCs w:val="22"/>
        </w:rPr>
        <w:t>(wydatki bieżące)</w:t>
      </w:r>
      <w:r w:rsidRPr="00AA22C4">
        <w:rPr>
          <w:rStyle w:val="Odwoanieprzypisudolnego"/>
          <w:rFonts w:ascii="Lato" w:hAnsi="Lato"/>
          <w:b/>
          <w:color w:val="000000" w:themeColor="text1"/>
          <w:sz w:val="22"/>
          <w:szCs w:val="22"/>
        </w:rPr>
        <w:footnoteReference w:id="3"/>
      </w: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3"/>
        <w:gridCol w:w="4667"/>
        <w:gridCol w:w="1996"/>
        <w:gridCol w:w="1984"/>
      </w:tblGrid>
      <w:tr w:rsidR="00B3776C" w:rsidRPr="00B3776C" w14:paraId="774C8675" w14:textId="77777777" w:rsidTr="0015358E">
        <w:trPr>
          <w:trHeight w:val="510"/>
        </w:trPr>
        <w:tc>
          <w:tcPr>
            <w:tcW w:w="9220" w:type="dxa"/>
            <w:gridSpan w:val="4"/>
            <w:shd w:val="clear" w:color="auto" w:fill="E7E6E6"/>
            <w:vAlign w:val="center"/>
          </w:tcPr>
          <w:p w14:paraId="235B0E9E" w14:textId="77777777" w:rsidR="005E347E" w:rsidRPr="00AA22C4" w:rsidRDefault="005E347E" w:rsidP="0015358E">
            <w:pPr>
              <w:snapToGrid w:val="0"/>
              <w:spacing w:line="276" w:lineRule="auto"/>
              <w:contextualSpacing/>
              <w:jc w:val="center"/>
              <w:rPr>
                <w:rFonts w:ascii="Lato" w:hAnsi="Lato"/>
                <w:b/>
                <w:bCs/>
                <w:color w:val="000000" w:themeColor="text1"/>
                <w:sz w:val="22"/>
                <w:szCs w:val="22"/>
                <w:lang w:eastAsia="en-US"/>
              </w:rPr>
            </w:pPr>
            <w:r w:rsidRPr="00AA22C4">
              <w:rPr>
                <w:rFonts w:ascii="Lato" w:hAnsi="Lato"/>
                <w:b/>
                <w:bCs/>
                <w:color w:val="000000" w:themeColor="text1"/>
                <w:sz w:val="20"/>
                <w:szCs w:val="20"/>
                <w:lang w:eastAsia="en-US"/>
              </w:rPr>
              <w:t>Koszty</w:t>
            </w:r>
            <w:r w:rsidRPr="00AA22C4">
              <w:rPr>
                <w:rFonts w:ascii="Lato" w:hAnsi="Lato"/>
                <w:b/>
                <w:bCs/>
                <w:color w:val="000000" w:themeColor="text1"/>
                <w:sz w:val="22"/>
                <w:szCs w:val="22"/>
                <w:lang w:eastAsia="en-US"/>
              </w:rPr>
              <w:t xml:space="preserve"> </w:t>
            </w:r>
            <w:r w:rsidRPr="00AA22C4">
              <w:rPr>
                <w:rFonts w:ascii="Lato" w:hAnsi="Lato"/>
                <w:b/>
                <w:bCs/>
                <w:color w:val="000000" w:themeColor="text1"/>
                <w:sz w:val="20"/>
                <w:szCs w:val="20"/>
                <w:lang w:eastAsia="en-US"/>
              </w:rPr>
              <w:t>laboratoryjne</w:t>
            </w:r>
            <w:r w:rsidRPr="00AA22C4">
              <w:rPr>
                <w:rFonts w:ascii="Lato" w:hAnsi="Lato"/>
                <w:b/>
                <w:bCs/>
                <w:color w:val="000000" w:themeColor="text1"/>
                <w:sz w:val="22"/>
                <w:szCs w:val="22"/>
                <w:lang w:eastAsia="en-US"/>
              </w:rPr>
              <w:t>:</w:t>
            </w:r>
          </w:p>
        </w:tc>
      </w:tr>
      <w:tr w:rsidR="00B3776C" w:rsidRPr="00B3776C" w14:paraId="2EF59D6E" w14:textId="77777777" w:rsidTr="0015358E">
        <w:trPr>
          <w:trHeight w:val="276"/>
        </w:trPr>
        <w:tc>
          <w:tcPr>
            <w:tcW w:w="573" w:type="dxa"/>
            <w:shd w:val="clear" w:color="auto" w:fill="auto"/>
            <w:vAlign w:val="center"/>
          </w:tcPr>
          <w:p w14:paraId="4DCF2626" w14:textId="77777777" w:rsidR="005E347E" w:rsidRPr="00AA22C4" w:rsidRDefault="005E347E" w:rsidP="0015358E">
            <w:pPr>
              <w:snapToGrid w:val="0"/>
              <w:spacing w:line="276" w:lineRule="auto"/>
              <w:ind w:left="-212" w:right="-70" w:firstLine="212"/>
              <w:contextualSpacing/>
              <w:jc w:val="center"/>
              <w:rPr>
                <w:rFonts w:ascii="Lato" w:hAnsi="Lato"/>
                <w:color w:val="000000" w:themeColor="text1"/>
                <w:sz w:val="20"/>
                <w:szCs w:val="20"/>
                <w:lang w:eastAsia="en-US"/>
              </w:rPr>
            </w:pPr>
            <w:r w:rsidRPr="00AA22C4">
              <w:rPr>
                <w:rFonts w:ascii="Lato" w:hAnsi="Lato"/>
                <w:b/>
                <w:color w:val="000000" w:themeColor="text1"/>
                <w:sz w:val="20"/>
                <w:szCs w:val="20"/>
                <w:lang w:eastAsia="en-US"/>
              </w:rPr>
              <w:t>Lp.</w:t>
            </w:r>
          </w:p>
        </w:tc>
        <w:tc>
          <w:tcPr>
            <w:tcW w:w="4667" w:type="dxa"/>
            <w:shd w:val="clear" w:color="auto" w:fill="auto"/>
            <w:vAlign w:val="center"/>
          </w:tcPr>
          <w:p w14:paraId="1EF74C29" w14:textId="77777777" w:rsidR="005E347E" w:rsidRPr="00AA22C4" w:rsidRDefault="005E347E" w:rsidP="0015358E">
            <w:pPr>
              <w:snapToGrid w:val="0"/>
              <w:spacing w:line="276" w:lineRule="auto"/>
              <w:ind w:left="155" w:right="5"/>
              <w:contextualSpacing/>
              <w:jc w:val="center"/>
              <w:rPr>
                <w:rFonts w:ascii="Lato" w:hAnsi="Lato"/>
                <w:color w:val="000000" w:themeColor="text1"/>
                <w:sz w:val="20"/>
                <w:szCs w:val="20"/>
                <w:lang w:eastAsia="en-US"/>
              </w:rPr>
            </w:pPr>
            <w:r w:rsidRPr="00AA22C4">
              <w:rPr>
                <w:rFonts w:ascii="Lato" w:hAnsi="Lato"/>
                <w:b/>
                <w:color w:val="000000" w:themeColor="text1"/>
                <w:sz w:val="20"/>
                <w:szCs w:val="20"/>
                <w:lang w:eastAsia="en-US"/>
              </w:rPr>
              <w:t>Rodzaj badania</w:t>
            </w:r>
          </w:p>
        </w:tc>
        <w:tc>
          <w:tcPr>
            <w:tcW w:w="1996" w:type="dxa"/>
            <w:shd w:val="clear" w:color="auto" w:fill="auto"/>
            <w:vAlign w:val="center"/>
          </w:tcPr>
          <w:p w14:paraId="103177E5"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b/>
                <w:bCs/>
                <w:color w:val="000000" w:themeColor="text1"/>
                <w:sz w:val="20"/>
                <w:szCs w:val="20"/>
                <w:lang w:eastAsia="en-US"/>
              </w:rPr>
              <w:t>Koszt jednostkowy</w:t>
            </w:r>
          </w:p>
          <w:p w14:paraId="54D14C1B" w14:textId="77777777" w:rsidR="005E347E" w:rsidRPr="00AA22C4" w:rsidRDefault="005E347E" w:rsidP="0015358E">
            <w:pPr>
              <w:spacing w:line="276" w:lineRule="auto"/>
              <w:contextualSpacing/>
              <w:jc w:val="center"/>
              <w:rPr>
                <w:rFonts w:ascii="Lato" w:hAnsi="Lato"/>
                <w:color w:val="000000" w:themeColor="text1"/>
                <w:sz w:val="20"/>
                <w:szCs w:val="20"/>
                <w:lang w:eastAsia="en-US"/>
              </w:rPr>
            </w:pPr>
            <w:r w:rsidRPr="00AA22C4">
              <w:rPr>
                <w:rFonts w:ascii="Lato" w:hAnsi="Lato"/>
                <w:b/>
                <w:bCs/>
                <w:color w:val="000000" w:themeColor="text1"/>
                <w:sz w:val="20"/>
                <w:szCs w:val="20"/>
                <w:lang w:eastAsia="en-US"/>
              </w:rPr>
              <w:t>(bez kosztu testów)</w:t>
            </w:r>
          </w:p>
          <w:p w14:paraId="7C617F52" w14:textId="77777777" w:rsidR="005E347E" w:rsidRPr="00AA22C4" w:rsidRDefault="005E347E" w:rsidP="0015358E">
            <w:pPr>
              <w:spacing w:line="276" w:lineRule="auto"/>
              <w:contextualSpacing/>
              <w:jc w:val="center"/>
              <w:rPr>
                <w:rFonts w:ascii="Lato" w:hAnsi="Lato"/>
                <w:color w:val="000000" w:themeColor="text1"/>
                <w:sz w:val="20"/>
                <w:szCs w:val="20"/>
                <w:lang w:eastAsia="en-US"/>
              </w:rPr>
            </w:pPr>
            <w:r w:rsidRPr="00AA22C4">
              <w:rPr>
                <w:rFonts w:ascii="Lato" w:eastAsia="Courier New" w:hAnsi="Lato"/>
                <w:b/>
                <w:bCs/>
                <w:color w:val="000000" w:themeColor="text1"/>
                <w:sz w:val="20"/>
                <w:szCs w:val="20"/>
                <w:lang w:eastAsia="en-US"/>
              </w:rPr>
              <w:t>w zł</w:t>
            </w:r>
          </w:p>
        </w:tc>
        <w:tc>
          <w:tcPr>
            <w:tcW w:w="1984" w:type="dxa"/>
            <w:shd w:val="clear" w:color="auto" w:fill="auto"/>
            <w:vAlign w:val="center"/>
          </w:tcPr>
          <w:p w14:paraId="435E72FC"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b/>
                <w:bCs/>
                <w:color w:val="000000" w:themeColor="text1"/>
                <w:sz w:val="20"/>
                <w:szCs w:val="20"/>
                <w:lang w:eastAsia="en-US"/>
              </w:rPr>
              <w:t>Łączny koszt badań</w:t>
            </w:r>
          </w:p>
          <w:p w14:paraId="196E13AD" w14:textId="77777777" w:rsidR="005E347E" w:rsidRPr="00AA22C4" w:rsidRDefault="005E347E" w:rsidP="0015358E">
            <w:pPr>
              <w:snapToGrid w:val="0"/>
              <w:spacing w:line="276" w:lineRule="auto"/>
              <w:contextualSpacing/>
              <w:jc w:val="center"/>
              <w:rPr>
                <w:rFonts w:ascii="Lato" w:hAnsi="Lato"/>
                <w:color w:val="000000" w:themeColor="text1"/>
                <w:sz w:val="22"/>
                <w:szCs w:val="22"/>
                <w:lang w:eastAsia="en-US"/>
              </w:rPr>
            </w:pPr>
            <w:r w:rsidRPr="00AA22C4">
              <w:rPr>
                <w:rFonts w:ascii="Lato" w:eastAsia="Courier New" w:hAnsi="Lato"/>
                <w:b/>
                <w:bCs/>
                <w:color w:val="000000" w:themeColor="text1"/>
                <w:sz w:val="20"/>
                <w:szCs w:val="20"/>
                <w:lang w:eastAsia="en-US"/>
              </w:rPr>
              <w:t>w zł</w:t>
            </w:r>
          </w:p>
        </w:tc>
      </w:tr>
      <w:tr w:rsidR="00B3776C" w:rsidRPr="00B3776C" w14:paraId="214C4A3F" w14:textId="77777777" w:rsidTr="0015358E">
        <w:trPr>
          <w:trHeight w:val="50"/>
        </w:trPr>
        <w:tc>
          <w:tcPr>
            <w:tcW w:w="573" w:type="dxa"/>
            <w:shd w:val="clear" w:color="auto" w:fill="auto"/>
            <w:vAlign w:val="center"/>
          </w:tcPr>
          <w:p w14:paraId="1FA546AD" w14:textId="77777777" w:rsidR="005E347E" w:rsidRPr="00AA22C4" w:rsidRDefault="005E347E" w:rsidP="0015358E">
            <w:pPr>
              <w:tabs>
                <w:tab w:val="decimal" w:pos="142"/>
              </w:tabs>
              <w:snapToGrid w:val="0"/>
              <w:spacing w:line="276" w:lineRule="auto"/>
              <w:ind w:right="113"/>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1</w:t>
            </w:r>
          </w:p>
        </w:tc>
        <w:tc>
          <w:tcPr>
            <w:tcW w:w="4667" w:type="dxa"/>
            <w:tcBorders>
              <w:top w:val="single" w:sz="4" w:space="0" w:color="auto"/>
              <w:left w:val="single" w:sz="4" w:space="0" w:color="auto"/>
              <w:bottom w:val="single" w:sz="4" w:space="0" w:color="auto"/>
              <w:right w:val="single" w:sz="4" w:space="0" w:color="auto"/>
            </w:tcBorders>
            <w:shd w:val="clear" w:color="auto" w:fill="auto"/>
            <w:vAlign w:val="center"/>
          </w:tcPr>
          <w:p w14:paraId="229519CA" w14:textId="77777777" w:rsidR="005E347E" w:rsidRPr="00AA22C4" w:rsidRDefault="005E347E" w:rsidP="0015358E">
            <w:pPr>
              <w:snapToGrid w:val="0"/>
              <w:spacing w:line="240" w:lineRule="auto"/>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Badania przesiewowe w kierunku wrodzonej niedoczynności tarczycy (400 tys. badań)</w:t>
            </w:r>
          </w:p>
        </w:tc>
        <w:tc>
          <w:tcPr>
            <w:tcW w:w="1996" w:type="dxa"/>
            <w:shd w:val="clear" w:color="auto" w:fill="auto"/>
            <w:vAlign w:val="center"/>
          </w:tcPr>
          <w:p w14:paraId="4D0B2409"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10,44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F725C50"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4 176 000    </w:t>
            </w:r>
          </w:p>
        </w:tc>
      </w:tr>
      <w:tr w:rsidR="00B3776C" w:rsidRPr="00B3776C" w14:paraId="0944E570" w14:textId="77777777" w:rsidTr="0015358E">
        <w:trPr>
          <w:trHeight w:val="381"/>
        </w:trPr>
        <w:tc>
          <w:tcPr>
            <w:tcW w:w="573" w:type="dxa"/>
            <w:shd w:val="clear" w:color="auto" w:fill="auto"/>
            <w:vAlign w:val="center"/>
          </w:tcPr>
          <w:p w14:paraId="06C91CEB" w14:textId="77777777" w:rsidR="005E347E" w:rsidRPr="00AA22C4" w:rsidRDefault="005E347E" w:rsidP="0015358E">
            <w:pPr>
              <w:tabs>
                <w:tab w:val="decimal" w:pos="142"/>
              </w:tabs>
              <w:snapToGrid w:val="0"/>
              <w:spacing w:line="276" w:lineRule="auto"/>
              <w:ind w:right="113"/>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2</w:t>
            </w:r>
          </w:p>
        </w:tc>
        <w:tc>
          <w:tcPr>
            <w:tcW w:w="4667" w:type="dxa"/>
            <w:tcBorders>
              <w:top w:val="single" w:sz="4" w:space="0" w:color="auto"/>
              <w:left w:val="single" w:sz="4" w:space="0" w:color="auto"/>
              <w:bottom w:val="single" w:sz="4" w:space="0" w:color="auto"/>
              <w:right w:val="single" w:sz="4" w:space="0" w:color="auto"/>
            </w:tcBorders>
            <w:shd w:val="clear" w:color="auto" w:fill="auto"/>
            <w:vAlign w:val="center"/>
          </w:tcPr>
          <w:p w14:paraId="6C672887" w14:textId="77777777" w:rsidR="005E347E" w:rsidRPr="00AA22C4" w:rsidRDefault="005E347E" w:rsidP="0015358E">
            <w:pPr>
              <w:snapToGrid w:val="0"/>
              <w:spacing w:line="240" w:lineRule="auto"/>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Badania przesiewowe w kierunku Fenyloketonurii (423 tys. badań)</w:t>
            </w:r>
          </w:p>
        </w:tc>
        <w:tc>
          <w:tcPr>
            <w:tcW w:w="1996" w:type="dxa"/>
            <w:shd w:val="clear" w:color="auto" w:fill="auto"/>
            <w:vAlign w:val="center"/>
          </w:tcPr>
          <w:p w14:paraId="4C8AB5FC"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8,19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074509A"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3 464 370    </w:t>
            </w:r>
          </w:p>
        </w:tc>
      </w:tr>
      <w:tr w:rsidR="00B3776C" w:rsidRPr="00B3776C" w14:paraId="74A91A8D" w14:textId="77777777" w:rsidTr="0015358E">
        <w:trPr>
          <w:trHeight w:val="660"/>
        </w:trPr>
        <w:tc>
          <w:tcPr>
            <w:tcW w:w="573" w:type="dxa"/>
            <w:shd w:val="clear" w:color="auto" w:fill="auto"/>
            <w:vAlign w:val="center"/>
          </w:tcPr>
          <w:p w14:paraId="3322A3B9" w14:textId="77777777" w:rsidR="005E347E" w:rsidRPr="00AA22C4" w:rsidRDefault="005E347E" w:rsidP="0015358E">
            <w:pPr>
              <w:tabs>
                <w:tab w:val="decimal" w:pos="142"/>
              </w:tabs>
              <w:snapToGrid w:val="0"/>
              <w:spacing w:line="276" w:lineRule="auto"/>
              <w:ind w:right="113"/>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3</w:t>
            </w:r>
          </w:p>
        </w:tc>
        <w:tc>
          <w:tcPr>
            <w:tcW w:w="4667" w:type="dxa"/>
            <w:tcBorders>
              <w:top w:val="single" w:sz="4" w:space="0" w:color="auto"/>
              <w:left w:val="single" w:sz="4" w:space="0" w:color="auto"/>
              <w:bottom w:val="single" w:sz="4" w:space="0" w:color="auto"/>
              <w:right w:val="single" w:sz="4" w:space="0" w:color="auto"/>
            </w:tcBorders>
            <w:shd w:val="clear" w:color="auto" w:fill="auto"/>
            <w:vAlign w:val="center"/>
          </w:tcPr>
          <w:p w14:paraId="52EFD1BA" w14:textId="77777777" w:rsidR="005E347E" w:rsidRPr="00AA22C4" w:rsidRDefault="005E347E" w:rsidP="0015358E">
            <w:pPr>
              <w:snapToGrid w:val="0"/>
              <w:spacing w:line="240" w:lineRule="auto"/>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Badania przesiewowe w kierunku   mukowiscydozy (400 tys. badań)</w:t>
            </w:r>
          </w:p>
        </w:tc>
        <w:tc>
          <w:tcPr>
            <w:tcW w:w="1996" w:type="dxa"/>
            <w:shd w:val="clear" w:color="auto" w:fill="auto"/>
            <w:vAlign w:val="center"/>
          </w:tcPr>
          <w:p w14:paraId="554DA2C6"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12,46</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E6A7221"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4 984 000    </w:t>
            </w:r>
          </w:p>
        </w:tc>
      </w:tr>
      <w:tr w:rsidR="00B3776C" w:rsidRPr="00B3776C" w14:paraId="20D3F8CF" w14:textId="77777777" w:rsidTr="0015358E">
        <w:trPr>
          <w:trHeight w:val="585"/>
        </w:trPr>
        <w:tc>
          <w:tcPr>
            <w:tcW w:w="573" w:type="dxa"/>
            <w:shd w:val="clear" w:color="auto" w:fill="auto"/>
            <w:vAlign w:val="center"/>
          </w:tcPr>
          <w:p w14:paraId="166C86C4" w14:textId="77777777" w:rsidR="005E347E" w:rsidRPr="00AA22C4" w:rsidRDefault="005E347E" w:rsidP="0015358E">
            <w:pPr>
              <w:tabs>
                <w:tab w:val="decimal" w:pos="142"/>
              </w:tabs>
              <w:snapToGrid w:val="0"/>
              <w:spacing w:line="276" w:lineRule="auto"/>
              <w:ind w:right="113"/>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4</w:t>
            </w:r>
          </w:p>
        </w:tc>
        <w:tc>
          <w:tcPr>
            <w:tcW w:w="4667" w:type="dxa"/>
            <w:tcBorders>
              <w:top w:val="single" w:sz="4" w:space="0" w:color="auto"/>
              <w:left w:val="single" w:sz="4" w:space="0" w:color="auto"/>
              <w:bottom w:val="single" w:sz="4" w:space="0" w:color="auto"/>
              <w:right w:val="single" w:sz="4" w:space="0" w:color="auto"/>
            </w:tcBorders>
            <w:shd w:val="clear" w:color="auto" w:fill="auto"/>
            <w:vAlign w:val="center"/>
          </w:tcPr>
          <w:p w14:paraId="5C7AC446" w14:textId="77777777" w:rsidR="005E347E" w:rsidRPr="00AA22C4" w:rsidRDefault="005E347E" w:rsidP="0015358E">
            <w:pPr>
              <w:snapToGrid w:val="0"/>
              <w:spacing w:line="240" w:lineRule="auto"/>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Badania przesiewowe w kierunku rzadkich wad metabolizmu - MS/MS (400 tys. badań)</w:t>
            </w:r>
          </w:p>
        </w:tc>
        <w:tc>
          <w:tcPr>
            <w:tcW w:w="1996" w:type="dxa"/>
            <w:shd w:val="clear" w:color="auto" w:fill="auto"/>
            <w:vAlign w:val="center"/>
          </w:tcPr>
          <w:p w14:paraId="6CC89EAC"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13,90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77C263E"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5 560 000    </w:t>
            </w:r>
          </w:p>
        </w:tc>
      </w:tr>
      <w:tr w:rsidR="00B3776C" w:rsidRPr="00B3776C" w14:paraId="780720D0" w14:textId="77777777" w:rsidTr="0015358E">
        <w:trPr>
          <w:trHeight w:val="276"/>
        </w:trPr>
        <w:tc>
          <w:tcPr>
            <w:tcW w:w="573" w:type="dxa"/>
            <w:shd w:val="clear" w:color="auto" w:fill="auto"/>
            <w:vAlign w:val="center"/>
          </w:tcPr>
          <w:p w14:paraId="7EFCE055" w14:textId="77777777" w:rsidR="005E347E" w:rsidRPr="00AA22C4" w:rsidRDefault="005E347E" w:rsidP="0015358E">
            <w:pPr>
              <w:tabs>
                <w:tab w:val="decimal" w:pos="142"/>
              </w:tabs>
              <w:snapToGrid w:val="0"/>
              <w:spacing w:line="276" w:lineRule="auto"/>
              <w:ind w:right="113"/>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5</w:t>
            </w:r>
          </w:p>
        </w:tc>
        <w:tc>
          <w:tcPr>
            <w:tcW w:w="4667" w:type="dxa"/>
            <w:tcBorders>
              <w:top w:val="single" w:sz="4" w:space="0" w:color="auto"/>
              <w:left w:val="single" w:sz="4" w:space="0" w:color="auto"/>
              <w:bottom w:val="single" w:sz="4" w:space="0" w:color="auto"/>
              <w:right w:val="single" w:sz="4" w:space="0" w:color="auto"/>
            </w:tcBorders>
            <w:shd w:val="clear" w:color="auto" w:fill="auto"/>
            <w:vAlign w:val="center"/>
          </w:tcPr>
          <w:p w14:paraId="4637137E" w14:textId="77777777" w:rsidR="005E347E" w:rsidRPr="00AA22C4" w:rsidRDefault="005E347E" w:rsidP="0015358E">
            <w:pPr>
              <w:snapToGrid w:val="0"/>
              <w:spacing w:line="276" w:lineRule="auto"/>
              <w:ind w:right="71"/>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Badania przesiewowe w kierunku wrodzonego przerostu nadnerczy</w:t>
            </w:r>
          </w:p>
          <w:p w14:paraId="49F390EE" w14:textId="77777777" w:rsidR="005E347E" w:rsidRPr="00AA22C4" w:rsidRDefault="005E347E" w:rsidP="0015358E">
            <w:pPr>
              <w:snapToGrid w:val="0"/>
              <w:spacing w:line="240" w:lineRule="auto"/>
              <w:ind w:right="71"/>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(400 tys. badań)</w:t>
            </w:r>
          </w:p>
        </w:tc>
        <w:tc>
          <w:tcPr>
            <w:tcW w:w="1996" w:type="dxa"/>
            <w:shd w:val="clear" w:color="auto" w:fill="auto"/>
            <w:vAlign w:val="center"/>
          </w:tcPr>
          <w:p w14:paraId="200BD13B"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8,82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06684F3"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3 528 000    </w:t>
            </w:r>
          </w:p>
        </w:tc>
      </w:tr>
      <w:tr w:rsidR="00B3776C" w:rsidRPr="00B3776C" w14:paraId="13F22016" w14:textId="77777777" w:rsidTr="0015358E">
        <w:trPr>
          <w:trHeight w:val="467"/>
        </w:trPr>
        <w:tc>
          <w:tcPr>
            <w:tcW w:w="573" w:type="dxa"/>
            <w:shd w:val="clear" w:color="auto" w:fill="auto"/>
            <w:vAlign w:val="center"/>
          </w:tcPr>
          <w:p w14:paraId="4482B0CB" w14:textId="77777777" w:rsidR="005E347E" w:rsidRPr="00AA22C4" w:rsidRDefault="005E347E" w:rsidP="0015358E">
            <w:pPr>
              <w:tabs>
                <w:tab w:val="decimal" w:pos="142"/>
              </w:tabs>
              <w:snapToGrid w:val="0"/>
              <w:spacing w:line="276" w:lineRule="auto"/>
              <w:ind w:right="113"/>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6</w:t>
            </w:r>
          </w:p>
        </w:tc>
        <w:tc>
          <w:tcPr>
            <w:tcW w:w="4667" w:type="dxa"/>
            <w:tcBorders>
              <w:top w:val="single" w:sz="4" w:space="0" w:color="auto"/>
              <w:left w:val="single" w:sz="4" w:space="0" w:color="auto"/>
              <w:bottom w:val="single" w:sz="4" w:space="0" w:color="auto"/>
              <w:right w:val="single" w:sz="4" w:space="0" w:color="auto"/>
            </w:tcBorders>
            <w:shd w:val="clear" w:color="auto" w:fill="auto"/>
            <w:vAlign w:val="center"/>
          </w:tcPr>
          <w:p w14:paraId="64C52CE4" w14:textId="77777777" w:rsidR="005E347E" w:rsidRPr="00AA22C4" w:rsidRDefault="005E347E" w:rsidP="0015358E">
            <w:pPr>
              <w:snapToGrid w:val="0"/>
              <w:spacing w:line="240" w:lineRule="auto"/>
              <w:ind w:right="71"/>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Badania przesiewowe w kierunku deficytu biotynidazy (400 tys. badań)</w:t>
            </w:r>
          </w:p>
        </w:tc>
        <w:tc>
          <w:tcPr>
            <w:tcW w:w="1996" w:type="dxa"/>
            <w:shd w:val="clear" w:color="auto" w:fill="auto"/>
            <w:vAlign w:val="center"/>
          </w:tcPr>
          <w:p w14:paraId="7B581C2A"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3,46</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E3D6254"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1 384 000    </w:t>
            </w:r>
          </w:p>
        </w:tc>
      </w:tr>
      <w:tr w:rsidR="00B3776C" w:rsidRPr="00B3776C" w14:paraId="49B8CC12" w14:textId="77777777" w:rsidTr="0015358E">
        <w:trPr>
          <w:trHeight w:val="276"/>
        </w:trPr>
        <w:tc>
          <w:tcPr>
            <w:tcW w:w="7236" w:type="dxa"/>
            <w:gridSpan w:val="3"/>
            <w:shd w:val="clear" w:color="auto" w:fill="auto"/>
            <w:vAlign w:val="center"/>
          </w:tcPr>
          <w:p w14:paraId="4AC5B14D" w14:textId="77777777" w:rsidR="005E347E" w:rsidRPr="00AA22C4" w:rsidRDefault="005E347E" w:rsidP="0015358E">
            <w:pPr>
              <w:snapToGrid w:val="0"/>
              <w:spacing w:line="276" w:lineRule="auto"/>
              <w:ind w:left="214" w:right="71"/>
              <w:contextualSpacing/>
              <w:jc w:val="right"/>
              <w:rPr>
                <w:rFonts w:ascii="Lato" w:hAnsi="Lato"/>
                <w:bCs/>
                <w:color w:val="000000" w:themeColor="text1"/>
                <w:sz w:val="20"/>
                <w:szCs w:val="20"/>
                <w:lang w:eastAsia="en-US"/>
              </w:rPr>
            </w:pPr>
            <w:r w:rsidRPr="00AA22C4">
              <w:rPr>
                <w:rFonts w:ascii="Lato" w:hAnsi="Lato"/>
                <w:bCs/>
                <w:color w:val="000000" w:themeColor="text1"/>
                <w:sz w:val="20"/>
                <w:szCs w:val="20"/>
                <w:lang w:eastAsia="en-US"/>
              </w:rPr>
              <w:t>Razem:</w:t>
            </w:r>
          </w:p>
        </w:tc>
        <w:tc>
          <w:tcPr>
            <w:tcW w:w="1984" w:type="dxa"/>
            <w:shd w:val="clear" w:color="auto" w:fill="auto"/>
            <w:vAlign w:val="center"/>
          </w:tcPr>
          <w:p w14:paraId="1D2FB17D" w14:textId="77777777" w:rsidR="005E347E" w:rsidRPr="00AA22C4" w:rsidRDefault="005E347E" w:rsidP="0015358E">
            <w:pPr>
              <w:snapToGrid w:val="0"/>
              <w:spacing w:line="276" w:lineRule="auto"/>
              <w:ind w:right="72"/>
              <w:contextualSpacing/>
              <w:jc w:val="center"/>
              <w:rPr>
                <w:rFonts w:ascii="Lato" w:hAnsi="Lato"/>
                <w:color w:val="000000" w:themeColor="text1"/>
                <w:sz w:val="20"/>
                <w:szCs w:val="20"/>
                <w:lang w:eastAsia="en-US"/>
              </w:rPr>
            </w:pPr>
            <w:r w:rsidRPr="00AA22C4">
              <w:rPr>
                <w:rFonts w:ascii="Lato" w:hAnsi="Lato"/>
                <w:b/>
                <w:color w:val="000000" w:themeColor="text1"/>
                <w:sz w:val="20"/>
                <w:szCs w:val="20"/>
                <w:lang w:eastAsia="en-US"/>
              </w:rPr>
              <w:t>23 096 370</w:t>
            </w:r>
          </w:p>
        </w:tc>
      </w:tr>
      <w:tr w:rsidR="00B3776C" w:rsidRPr="00B3776C" w14:paraId="435D017D" w14:textId="77777777" w:rsidTr="0015358E">
        <w:trPr>
          <w:trHeight w:val="567"/>
        </w:trPr>
        <w:tc>
          <w:tcPr>
            <w:tcW w:w="9220" w:type="dxa"/>
            <w:gridSpan w:val="4"/>
            <w:shd w:val="clear" w:color="auto" w:fill="E7E6E6"/>
            <w:vAlign w:val="center"/>
          </w:tcPr>
          <w:p w14:paraId="5179A934" w14:textId="65C525BE" w:rsidR="005E347E" w:rsidRPr="00AA22C4" w:rsidRDefault="005E347E" w:rsidP="0015358E">
            <w:pPr>
              <w:snapToGrid w:val="0"/>
              <w:spacing w:line="276" w:lineRule="auto"/>
              <w:contextualSpacing/>
              <w:rPr>
                <w:rFonts w:ascii="Lato" w:hAnsi="Lato"/>
                <w:b/>
                <w:color w:val="000000" w:themeColor="text1"/>
                <w:sz w:val="20"/>
                <w:szCs w:val="20"/>
                <w:lang w:eastAsia="en-US"/>
              </w:rPr>
            </w:pPr>
            <w:r w:rsidRPr="00AA22C4">
              <w:rPr>
                <w:rFonts w:ascii="Lato" w:hAnsi="Lato"/>
                <w:b/>
                <w:color w:val="000000" w:themeColor="text1"/>
                <w:sz w:val="20"/>
                <w:szCs w:val="20"/>
                <w:lang w:eastAsia="en-US"/>
              </w:rPr>
              <w:t xml:space="preserve">Koszt testów diagnostycznych i odczynników na rok 2021 </w:t>
            </w:r>
            <w:r w:rsidR="00A04888" w:rsidRPr="00AA22C4">
              <w:rPr>
                <w:rFonts w:ascii="Lato" w:hAnsi="Lato"/>
                <w:b/>
                <w:color w:val="000000" w:themeColor="text1"/>
                <w:sz w:val="20"/>
                <w:szCs w:val="20"/>
                <w:lang w:eastAsia="en-US"/>
              </w:rPr>
              <w:t xml:space="preserve">r. </w:t>
            </w:r>
            <w:r w:rsidRPr="00AA22C4">
              <w:rPr>
                <w:rFonts w:ascii="Lato" w:hAnsi="Lato"/>
                <w:b/>
                <w:color w:val="000000" w:themeColor="text1"/>
                <w:sz w:val="20"/>
                <w:szCs w:val="20"/>
                <w:lang w:eastAsia="en-US"/>
              </w:rPr>
              <w:t xml:space="preserve">i </w:t>
            </w:r>
            <w:proofErr w:type="spellStart"/>
            <w:r w:rsidRPr="00AA22C4">
              <w:rPr>
                <w:rFonts w:ascii="Lato" w:hAnsi="Lato"/>
                <w:b/>
                <w:color w:val="000000" w:themeColor="text1"/>
                <w:sz w:val="20"/>
                <w:szCs w:val="20"/>
                <w:lang w:eastAsia="en-US"/>
              </w:rPr>
              <w:t>I</w:t>
            </w:r>
            <w:proofErr w:type="spellEnd"/>
            <w:r w:rsidRPr="00AA22C4">
              <w:rPr>
                <w:rFonts w:ascii="Lato" w:hAnsi="Lato"/>
                <w:b/>
                <w:color w:val="000000" w:themeColor="text1"/>
                <w:sz w:val="20"/>
                <w:szCs w:val="20"/>
                <w:lang w:eastAsia="en-US"/>
              </w:rPr>
              <w:t xml:space="preserve"> kwartał 2022 </w:t>
            </w:r>
            <w:r w:rsidR="00A04888" w:rsidRPr="00AA22C4">
              <w:rPr>
                <w:rFonts w:ascii="Lato" w:hAnsi="Lato"/>
                <w:b/>
                <w:color w:val="000000" w:themeColor="text1"/>
                <w:sz w:val="20"/>
                <w:szCs w:val="20"/>
                <w:lang w:eastAsia="en-US"/>
              </w:rPr>
              <w:t xml:space="preserve">r. </w:t>
            </w:r>
            <w:r w:rsidRPr="00AA22C4">
              <w:rPr>
                <w:rFonts w:ascii="Lato" w:hAnsi="Lato"/>
                <w:b/>
                <w:color w:val="000000" w:themeColor="text1"/>
                <w:sz w:val="20"/>
                <w:szCs w:val="20"/>
                <w:lang w:eastAsia="en-US"/>
              </w:rPr>
              <w:t>(Zawiera VAT 8% lub 23%):</w:t>
            </w:r>
          </w:p>
        </w:tc>
      </w:tr>
      <w:tr w:rsidR="00B3776C" w:rsidRPr="00B3776C" w14:paraId="51F6F2ED" w14:textId="77777777" w:rsidTr="0015358E">
        <w:trPr>
          <w:trHeight w:val="735"/>
        </w:trPr>
        <w:tc>
          <w:tcPr>
            <w:tcW w:w="573" w:type="dxa"/>
            <w:shd w:val="clear" w:color="auto" w:fill="auto"/>
            <w:vAlign w:val="center"/>
          </w:tcPr>
          <w:p w14:paraId="620EEAD4" w14:textId="77777777" w:rsidR="005E347E" w:rsidRPr="00AA22C4" w:rsidRDefault="005E347E" w:rsidP="0015358E">
            <w:pPr>
              <w:tabs>
                <w:tab w:val="decimal" w:pos="142"/>
              </w:tabs>
              <w:snapToGrid w:val="0"/>
              <w:spacing w:line="276" w:lineRule="auto"/>
              <w:ind w:right="113"/>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7</w:t>
            </w:r>
          </w:p>
        </w:tc>
        <w:tc>
          <w:tcPr>
            <w:tcW w:w="6663" w:type="dxa"/>
            <w:gridSpan w:val="2"/>
            <w:shd w:val="clear" w:color="auto" w:fill="auto"/>
            <w:vAlign w:val="center"/>
          </w:tcPr>
          <w:p w14:paraId="7153BFB9" w14:textId="77777777" w:rsidR="005E347E" w:rsidRPr="00AA22C4" w:rsidRDefault="005E347E" w:rsidP="0015358E">
            <w:pPr>
              <w:snapToGrid w:val="0"/>
              <w:spacing w:line="240" w:lineRule="auto"/>
              <w:ind w:right="74"/>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Koszt testów diagnostycznych i odczynników do badań przesiewowych noworodków zgodnie z Programem</w:t>
            </w:r>
          </w:p>
        </w:tc>
        <w:tc>
          <w:tcPr>
            <w:tcW w:w="1984" w:type="dxa"/>
            <w:shd w:val="clear" w:color="auto" w:fill="auto"/>
            <w:vAlign w:val="center"/>
          </w:tcPr>
          <w:p w14:paraId="34EF0DF3"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b/>
                <w:bCs/>
                <w:color w:val="000000" w:themeColor="text1"/>
                <w:sz w:val="20"/>
                <w:szCs w:val="20"/>
                <w:lang w:eastAsia="en-US"/>
              </w:rPr>
              <w:t>12 395 407</w:t>
            </w:r>
          </w:p>
        </w:tc>
      </w:tr>
      <w:tr w:rsidR="00B3776C" w:rsidRPr="00B3776C" w14:paraId="639A2E4C" w14:textId="77777777" w:rsidTr="0015358E">
        <w:trPr>
          <w:trHeight w:val="506"/>
        </w:trPr>
        <w:tc>
          <w:tcPr>
            <w:tcW w:w="9220" w:type="dxa"/>
            <w:gridSpan w:val="4"/>
            <w:shd w:val="clear" w:color="auto" w:fill="E7E6E6"/>
            <w:vAlign w:val="center"/>
          </w:tcPr>
          <w:p w14:paraId="09D24B2A" w14:textId="77777777" w:rsidR="005E347E" w:rsidRPr="00AA22C4" w:rsidRDefault="005E347E" w:rsidP="0015358E">
            <w:pPr>
              <w:snapToGrid w:val="0"/>
              <w:spacing w:line="276" w:lineRule="auto"/>
              <w:ind w:left="110" w:right="-25"/>
              <w:contextualSpacing/>
              <w:jc w:val="center"/>
              <w:rPr>
                <w:rFonts w:ascii="Lato" w:hAnsi="Lato"/>
                <w:b/>
                <w:color w:val="000000" w:themeColor="text1"/>
                <w:sz w:val="20"/>
                <w:szCs w:val="20"/>
                <w:lang w:eastAsia="en-US"/>
              </w:rPr>
            </w:pPr>
            <w:r w:rsidRPr="00AA22C4">
              <w:rPr>
                <w:rFonts w:ascii="Lato" w:hAnsi="Lato"/>
                <w:b/>
                <w:color w:val="000000" w:themeColor="text1"/>
                <w:sz w:val="20"/>
                <w:szCs w:val="20"/>
                <w:lang w:eastAsia="en-US"/>
              </w:rPr>
              <w:t>Koszty ogólnokrajowe oraz koordynacja i monitorowanie programu:</w:t>
            </w:r>
          </w:p>
        </w:tc>
      </w:tr>
      <w:tr w:rsidR="00B3776C" w:rsidRPr="00B3776C" w14:paraId="602A0B2B" w14:textId="77777777" w:rsidTr="0015358E">
        <w:trPr>
          <w:trHeight w:val="349"/>
        </w:trPr>
        <w:tc>
          <w:tcPr>
            <w:tcW w:w="573" w:type="dxa"/>
            <w:shd w:val="clear" w:color="auto" w:fill="auto"/>
            <w:vAlign w:val="center"/>
          </w:tcPr>
          <w:p w14:paraId="2CEF019D" w14:textId="77777777" w:rsidR="005E347E" w:rsidRPr="00AA22C4" w:rsidRDefault="005E347E" w:rsidP="0015358E">
            <w:pPr>
              <w:snapToGrid w:val="0"/>
              <w:spacing w:line="276" w:lineRule="auto"/>
              <w:ind w:left="-25" w:right="5"/>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8</w:t>
            </w:r>
          </w:p>
        </w:tc>
        <w:tc>
          <w:tcPr>
            <w:tcW w:w="6663" w:type="dxa"/>
            <w:gridSpan w:val="2"/>
            <w:shd w:val="clear" w:color="auto" w:fill="auto"/>
            <w:vAlign w:val="center"/>
          </w:tcPr>
          <w:p w14:paraId="681D9C01" w14:textId="77777777" w:rsidR="005E347E" w:rsidRPr="00AA22C4" w:rsidRDefault="005E347E" w:rsidP="0015358E">
            <w:pPr>
              <w:snapToGrid w:val="0"/>
              <w:spacing w:line="240" w:lineRule="auto"/>
              <w:ind w:right="74"/>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Prowadzenie rejestru noworodków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2F6C680"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70 683</w:t>
            </w:r>
          </w:p>
        </w:tc>
      </w:tr>
      <w:tr w:rsidR="00B3776C" w:rsidRPr="00B3776C" w14:paraId="55BD4D4E" w14:textId="77777777" w:rsidTr="0015358E">
        <w:trPr>
          <w:trHeight w:val="349"/>
        </w:trPr>
        <w:tc>
          <w:tcPr>
            <w:tcW w:w="573" w:type="dxa"/>
            <w:shd w:val="clear" w:color="auto" w:fill="auto"/>
            <w:vAlign w:val="center"/>
          </w:tcPr>
          <w:p w14:paraId="47FB5553" w14:textId="77777777" w:rsidR="005E347E" w:rsidRPr="00AA22C4" w:rsidRDefault="005E347E" w:rsidP="0015358E">
            <w:pPr>
              <w:snapToGrid w:val="0"/>
              <w:spacing w:line="276" w:lineRule="auto"/>
              <w:ind w:left="-25" w:right="5"/>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9</w:t>
            </w:r>
          </w:p>
        </w:tc>
        <w:tc>
          <w:tcPr>
            <w:tcW w:w="6663" w:type="dxa"/>
            <w:gridSpan w:val="2"/>
            <w:shd w:val="clear" w:color="auto" w:fill="auto"/>
            <w:vAlign w:val="center"/>
          </w:tcPr>
          <w:p w14:paraId="10052FCA" w14:textId="77777777" w:rsidR="005E347E" w:rsidRPr="00AA22C4" w:rsidRDefault="005E347E" w:rsidP="0015358E">
            <w:pPr>
              <w:snapToGrid w:val="0"/>
              <w:spacing w:line="240" w:lineRule="auto"/>
              <w:ind w:right="74"/>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Korespondencja, przesyłki, łączność elektroniczna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2071BAB"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28 817</w:t>
            </w:r>
          </w:p>
        </w:tc>
      </w:tr>
      <w:tr w:rsidR="00B3776C" w:rsidRPr="00B3776C" w14:paraId="7268A4EF" w14:textId="77777777" w:rsidTr="0015358E">
        <w:trPr>
          <w:trHeight w:val="360"/>
        </w:trPr>
        <w:tc>
          <w:tcPr>
            <w:tcW w:w="573" w:type="dxa"/>
            <w:shd w:val="clear" w:color="auto" w:fill="auto"/>
            <w:vAlign w:val="center"/>
          </w:tcPr>
          <w:p w14:paraId="5A4B8F89" w14:textId="77777777" w:rsidR="005E347E" w:rsidRPr="00AA22C4" w:rsidRDefault="005E347E" w:rsidP="0015358E">
            <w:pPr>
              <w:snapToGrid w:val="0"/>
              <w:spacing w:line="276" w:lineRule="auto"/>
              <w:ind w:left="-25" w:right="5"/>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10</w:t>
            </w:r>
          </w:p>
        </w:tc>
        <w:tc>
          <w:tcPr>
            <w:tcW w:w="6663" w:type="dxa"/>
            <w:gridSpan w:val="2"/>
            <w:shd w:val="clear" w:color="auto" w:fill="auto"/>
            <w:vAlign w:val="center"/>
          </w:tcPr>
          <w:p w14:paraId="1FCE71AF" w14:textId="77777777" w:rsidR="005E347E" w:rsidRPr="00AA22C4" w:rsidRDefault="005E347E" w:rsidP="0015358E">
            <w:pPr>
              <w:snapToGrid w:val="0"/>
              <w:spacing w:line="240" w:lineRule="auto"/>
              <w:ind w:right="74"/>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Szkolenia, konferencje, delegacje krajowe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DEC042A"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33 710</w:t>
            </w:r>
          </w:p>
        </w:tc>
      </w:tr>
      <w:tr w:rsidR="00B3776C" w:rsidRPr="00B3776C" w14:paraId="3C374769" w14:textId="77777777" w:rsidTr="0015358E">
        <w:trPr>
          <w:trHeight w:val="390"/>
        </w:trPr>
        <w:tc>
          <w:tcPr>
            <w:tcW w:w="573" w:type="dxa"/>
            <w:shd w:val="clear" w:color="auto" w:fill="auto"/>
            <w:vAlign w:val="center"/>
          </w:tcPr>
          <w:p w14:paraId="338C5152" w14:textId="77777777" w:rsidR="005E347E" w:rsidRPr="00AA22C4" w:rsidRDefault="005E347E" w:rsidP="0015358E">
            <w:pPr>
              <w:snapToGrid w:val="0"/>
              <w:spacing w:line="276" w:lineRule="auto"/>
              <w:ind w:left="-25" w:right="5"/>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11</w:t>
            </w:r>
          </w:p>
        </w:tc>
        <w:tc>
          <w:tcPr>
            <w:tcW w:w="6663" w:type="dxa"/>
            <w:gridSpan w:val="2"/>
            <w:shd w:val="clear" w:color="auto" w:fill="auto"/>
            <w:vAlign w:val="center"/>
          </w:tcPr>
          <w:p w14:paraId="2918913B" w14:textId="77777777" w:rsidR="005E347E" w:rsidRPr="00AA22C4" w:rsidRDefault="005E347E" w:rsidP="0015358E">
            <w:pPr>
              <w:snapToGrid w:val="0"/>
              <w:spacing w:line="240" w:lineRule="auto"/>
              <w:ind w:right="74"/>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Opracowanie treści oraz grafiki na stronę internetową oraz do materiałów informacyjnych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E884120"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30 448</w:t>
            </w:r>
          </w:p>
        </w:tc>
      </w:tr>
      <w:tr w:rsidR="00B3776C" w:rsidRPr="00B3776C" w14:paraId="6D06F934" w14:textId="77777777" w:rsidTr="0015358E">
        <w:trPr>
          <w:trHeight w:val="330"/>
        </w:trPr>
        <w:tc>
          <w:tcPr>
            <w:tcW w:w="573" w:type="dxa"/>
            <w:shd w:val="clear" w:color="auto" w:fill="auto"/>
            <w:vAlign w:val="center"/>
          </w:tcPr>
          <w:p w14:paraId="2FBB585E" w14:textId="77777777" w:rsidR="005E347E" w:rsidRPr="00AA22C4" w:rsidRDefault="005E347E" w:rsidP="0015358E">
            <w:pPr>
              <w:snapToGrid w:val="0"/>
              <w:spacing w:line="276" w:lineRule="auto"/>
              <w:ind w:left="-25" w:right="5"/>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12</w:t>
            </w:r>
          </w:p>
        </w:tc>
        <w:tc>
          <w:tcPr>
            <w:tcW w:w="6663" w:type="dxa"/>
            <w:gridSpan w:val="2"/>
            <w:shd w:val="clear" w:color="auto" w:fill="auto"/>
            <w:vAlign w:val="center"/>
          </w:tcPr>
          <w:p w14:paraId="4139E417" w14:textId="77777777" w:rsidR="005E347E" w:rsidRPr="00AA22C4" w:rsidRDefault="005E347E" w:rsidP="0015358E">
            <w:pPr>
              <w:snapToGrid w:val="0"/>
              <w:spacing w:line="240" w:lineRule="auto"/>
              <w:ind w:right="74"/>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Koszty osobowe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4F02D4E"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165 834</w:t>
            </w:r>
          </w:p>
        </w:tc>
      </w:tr>
      <w:tr w:rsidR="00B3776C" w:rsidRPr="00B3776C" w14:paraId="393237EC" w14:textId="77777777" w:rsidTr="0015358E">
        <w:trPr>
          <w:trHeight w:val="287"/>
        </w:trPr>
        <w:tc>
          <w:tcPr>
            <w:tcW w:w="573" w:type="dxa"/>
            <w:shd w:val="clear" w:color="auto" w:fill="auto"/>
            <w:vAlign w:val="center"/>
          </w:tcPr>
          <w:p w14:paraId="3F9320FF" w14:textId="77777777" w:rsidR="005E347E" w:rsidRPr="00AA22C4" w:rsidRDefault="005E347E" w:rsidP="0015358E">
            <w:pPr>
              <w:snapToGrid w:val="0"/>
              <w:spacing w:line="276" w:lineRule="auto"/>
              <w:ind w:left="-25" w:right="5"/>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13</w:t>
            </w:r>
          </w:p>
        </w:tc>
        <w:tc>
          <w:tcPr>
            <w:tcW w:w="6663" w:type="dxa"/>
            <w:gridSpan w:val="2"/>
            <w:shd w:val="clear" w:color="auto" w:fill="auto"/>
            <w:vAlign w:val="center"/>
          </w:tcPr>
          <w:p w14:paraId="0A65C010" w14:textId="77777777" w:rsidR="005E347E" w:rsidRPr="00AA22C4" w:rsidRDefault="005E347E" w:rsidP="0015358E">
            <w:pPr>
              <w:snapToGrid w:val="0"/>
              <w:spacing w:line="240" w:lineRule="auto"/>
              <w:ind w:right="74"/>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Opracowanie oraz druk ulotek, materiałów informacyjnych, plakatów, instrukcji, etykiet z kodem.</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C85EF17"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190 300</w:t>
            </w:r>
          </w:p>
        </w:tc>
      </w:tr>
      <w:tr w:rsidR="00B3776C" w:rsidRPr="00B3776C" w14:paraId="3AAED47D" w14:textId="77777777" w:rsidTr="0015358E">
        <w:trPr>
          <w:trHeight w:val="287"/>
        </w:trPr>
        <w:tc>
          <w:tcPr>
            <w:tcW w:w="573" w:type="dxa"/>
            <w:shd w:val="clear" w:color="auto" w:fill="auto"/>
            <w:vAlign w:val="center"/>
          </w:tcPr>
          <w:p w14:paraId="5698283B" w14:textId="77777777" w:rsidR="005E347E" w:rsidRPr="00AA22C4" w:rsidRDefault="005E347E" w:rsidP="0015358E">
            <w:pPr>
              <w:snapToGrid w:val="0"/>
              <w:spacing w:line="276" w:lineRule="auto"/>
              <w:ind w:left="-25" w:right="5"/>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14</w:t>
            </w:r>
          </w:p>
        </w:tc>
        <w:tc>
          <w:tcPr>
            <w:tcW w:w="6663" w:type="dxa"/>
            <w:gridSpan w:val="2"/>
            <w:shd w:val="clear" w:color="auto" w:fill="auto"/>
            <w:vAlign w:val="center"/>
          </w:tcPr>
          <w:p w14:paraId="264C54EC" w14:textId="77777777" w:rsidR="005E347E" w:rsidRPr="00AA22C4" w:rsidRDefault="005E347E" w:rsidP="0015358E">
            <w:pPr>
              <w:snapToGrid w:val="0"/>
              <w:spacing w:line="240" w:lineRule="auto"/>
              <w:ind w:right="74"/>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Transport próbek krwi ze szpitali do ośrodków przesiewowych w całym kraju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962B461"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2 329 450</w:t>
            </w:r>
          </w:p>
        </w:tc>
      </w:tr>
      <w:tr w:rsidR="00B3776C" w:rsidRPr="00B3776C" w14:paraId="5AF6D349" w14:textId="77777777" w:rsidTr="0015358E">
        <w:trPr>
          <w:trHeight w:val="354"/>
        </w:trPr>
        <w:tc>
          <w:tcPr>
            <w:tcW w:w="7236" w:type="dxa"/>
            <w:gridSpan w:val="3"/>
            <w:shd w:val="clear" w:color="auto" w:fill="auto"/>
            <w:vAlign w:val="center"/>
          </w:tcPr>
          <w:p w14:paraId="601AA4C9" w14:textId="77777777" w:rsidR="005E347E" w:rsidRPr="00AA22C4" w:rsidRDefault="005E347E" w:rsidP="0015358E">
            <w:pPr>
              <w:snapToGrid w:val="0"/>
              <w:spacing w:line="276" w:lineRule="auto"/>
              <w:contextualSpacing/>
              <w:jc w:val="right"/>
              <w:rPr>
                <w:rFonts w:ascii="Lato" w:hAnsi="Lato"/>
                <w:color w:val="000000" w:themeColor="text1"/>
                <w:sz w:val="20"/>
                <w:szCs w:val="20"/>
                <w:lang w:eastAsia="en-US"/>
              </w:rPr>
            </w:pPr>
            <w:r w:rsidRPr="00AA22C4">
              <w:rPr>
                <w:rFonts w:ascii="Lato" w:hAnsi="Lato"/>
                <w:b/>
                <w:bCs/>
                <w:color w:val="000000" w:themeColor="text1"/>
                <w:sz w:val="20"/>
                <w:szCs w:val="20"/>
                <w:lang w:eastAsia="en-US"/>
              </w:rPr>
              <w:t>Razem:</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930AA01" w14:textId="77777777" w:rsidR="005E347E" w:rsidRPr="00AA22C4" w:rsidRDefault="005E347E" w:rsidP="0015358E">
            <w:pPr>
              <w:snapToGrid w:val="0"/>
              <w:spacing w:line="276" w:lineRule="auto"/>
              <w:contextualSpacing/>
              <w:jc w:val="center"/>
              <w:rPr>
                <w:rFonts w:ascii="Lato" w:hAnsi="Lato"/>
                <w:b/>
                <w:bCs/>
                <w:color w:val="000000" w:themeColor="text1"/>
                <w:sz w:val="20"/>
                <w:szCs w:val="20"/>
                <w:lang w:eastAsia="en-US"/>
              </w:rPr>
            </w:pPr>
            <w:r w:rsidRPr="00AA22C4">
              <w:rPr>
                <w:rFonts w:ascii="Lato" w:hAnsi="Lato"/>
                <w:b/>
                <w:bCs/>
                <w:color w:val="000000" w:themeColor="text1"/>
                <w:sz w:val="20"/>
                <w:szCs w:val="20"/>
                <w:lang w:eastAsia="en-US"/>
              </w:rPr>
              <w:t xml:space="preserve">2 849 242  </w:t>
            </w:r>
          </w:p>
        </w:tc>
      </w:tr>
      <w:tr w:rsidR="00B3776C" w:rsidRPr="00B3776C" w14:paraId="43D17EBD" w14:textId="77777777" w:rsidTr="0015358E">
        <w:trPr>
          <w:trHeight w:val="535"/>
        </w:trPr>
        <w:tc>
          <w:tcPr>
            <w:tcW w:w="7236" w:type="dxa"/>
            <w:gridSpan w:val="3"/>
            <w:shd w:val="clear" w:color="auto" w:fill="AEAAAA"/>
            <w:vAlign w:val="center"/>
          </w:tcPr>
          <w:p w14:paraId="4A147927" w14:textId="77777777" w:rsidR="005E347E" w:rsidRPr="00AA22C4" w:rsidRDefault="005E347E" w:rsidP="0015358E">
            <w:pPr>
              <w:snapToGrid w:val="0"/>
              <w:spacing w:line="276" w:lineRule="auto"/>
              <w:ind w:right="71"/>
              <w:contextualSpacing/>
              <w:jc w:val="center"/>
              <w:rPr>
                <w:rFonts w:ascii="Lato" w:hAnsi="Lato"/>
                <w:color w:val="000000" w:themeColor="text1"/>
                <w:sz w:val="20"/>
                <w:szCs w:val="20"/>
                <w:lang w:eastAsia="en-US"/>
              </w:rPr>
            </w:pPr>
            <w:r w:rsidRPr="00AA22C4">
              <w:rPr>
                <w:rFonts w:ascii="Lato" w:hAnsi="Lato"/>
                <w:b/>
                <w:bCs/>
                <w:color w:val="000000" w:themeColor="text1"/>
                <w:sz w:val="20"/>
                <w:szCs w:val="20"/>
                <w:lang w:eastAsia="en-US"/>
              </w:rPr>
              <w:t>Koszt całkowity badań przesiewowych w 2021 r.</w:t>
            </w:r>
          </w:p>
        </w:tc>
        <w:tc>
          <w:tcPr>
            <w:tcW w:w="1984" w:type="dxa"/>
            <w:tcBorders>
              <w:top w:val="single" w:sz="4" w:space="0" w:color="auto"/>
              <w:left w:val="single" w:sz="4" w:space="0" w:color="auto"/>
              <w:bottom w:val="single" w:sz="4" w:space="0" w:color="auto"/>
              <w:right w:val="single" w:sz="4" w:space="0" w:color="auto"/>
            </w:tcBorders>
            <w:shd w:val="clear" w:color="auto" w:fill="AEAAAA"/>
            <w:vAlign w:val="center"/>
          </w:tcPr>
          <w:p w14:paraId="0E789AA6" w14:textId="77777777" w:rsidR="005E347E" w:rsidRPr="00AA22C4" w:rsidRDefault="005E347E" w:rsidP="0015358E">
            <w:pPr>
              <w:snapToGrid w:val="0"/>
              <w:spacing w:line="276" w:lineRule="auto"/>
              <w:contextualSpacing/>
              <w:jc w:val="center"/>
              <w:rPr>
                <w:rFonts w:ascii="Lato" w:hAnsi="Lato"/>
                <w:b/>
                <w:bCs/>
                <w:color w:val="000000" w:themeColor="text1"/>
                <w:sz w:val="20"/>
                <w:szCs w:val="20"/>
                <w:lang w:eastAsia="en-US"/>
              </w:rPr>
            </w:pPr>
            <w:r w:rsidRPr="00AA22C4">
              <w:rPr>
                <w:rFonts w:ascii="Lato" w:hAnsi="Lato"/>
                <w:b/>
                <w:bCs/>
                <w:color w:val="000000" w:themeColor="text1"/>
                <w:sz w:val="20"/>
                <w:szCs w:val="20"/>
                <w:lang w:eastAsia="en-US"/>
              </w:rPr>
              <w:t>38 341 019</w:t>
            </w:r>
          </w:p>
        </w:tc>
      </w:tr>
    </w:tbl>
    <w:p w14:paraId="56F7E77C" w14:textId="77777777" w:rsidR="005E347E" w:rsidRPr="00AA22C4" w:rsidRDefault="005E347E" w:rsidP="005E347E">
      <w:pPr>
        <w:spacing w:before="120" w:after="120"/>
        <w:contextualSpacing/>
        <w:rPr>
          <w:rFonts w:ascii="Lato" w:hAnsi="Lato"/>
          <w:b/>
          <w:bCs/>
          <w:color w:val="000000" w:themeColor="text1"/>
          <w:sz w:val="22"/>
          <w:szCs w:val="22"/>
          <w:u w:val="single"/>
        </w:rPr>
      </w:pPr>
    </w:p>
    <w:p w14:paraId="7F785D2E" w14:textId="77777777" w:rsidR="005E347E" w:rsidRPr="00AA22C4" w:rsidRDefault="005E347E" w:rsidP="005E347E">
      <w:pPr>
        <w:spacing w:before="120" w:after="120"/>
        <w:contextualSpacing/>
        <w:jc w:val="center"/>
        <w:rPr>
          <w:rFonts w:ascii="Lato" w:hAnsi="Lato"/>
          <w:b/>
          <w:bCs/>
          <w:color w:val="000000" w:themeColor="text1"/>
          <w:sz w:val="22"/>
          <w:szCs w:val="22"/>
          <w:u w:val="single"/>
        </w:rPr>
      </w:pPr>
      <w:r w:rsidRPr="00AA22C4">
        <w:rPr>
          <w:rFonts w:ascii="Lato" w:hAnsi="Lato"/>
          <w:b/>
          <w:bCs/>
          <w:color w:val="000000" w:themeColor="text1"/>
          <w:sz w:val="22"/>
          <w:szCs w:val="22"/>
          <w:u w:val="single"/>
        </w:rPr>
        <w:br w:type="column"/>
      </w:r>
      <w:r w:rsidRPr="00AA22C4">
        <w:rPr>
          <w:rFonts w:ascii="Lato" w:hAnsi="Lato"/>
          <w:b/>
          <w:bCs/>
          <w:color w:val="000000" w:themeColor="text1"/>
          <w:sz w:val="22"/>
          <w:szCs w:val="22"/>
          <w:u w:val="single"/>
        </w:rPr>
        <w:lastRenderedPageBreak/>
        <w:t>Planowany koszt badań przesiewowych w kierunku SMA – 2021 r.</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119"/>
        <w:gridCol w:w="2740"/>
        <w:gridCol w:w="2646"/>
      </w:tblGrid>
      <w:tr w:rsidR="00B3776C" w:rsidRPr="00B3776C" w14:paraId="335DF4F3" w14:textId="77777777" w:rsidTr="0015358E">
        <w:trPr>
          <w:trHeight w:val="680"/>
        </w:trPr>
        <w:tc>
          <w:tcPr>
            <w:tcW w:w="709" w:type="dxa"/>
            <w:shd w:val="clear" w:color="auto" w:fill="auto"/>
            <w:vAlign w:val="center"/>
          </w:tcPr>
          <w:p w14:paraId="479BA572" w14:textId="77777777" w:rsidR="005E347E" w:rsidRPr="00AA22C4" w:rsidRDefault="005E347E" w:rsidP="0015358E">
            <w:pPr>
              <w:widowControl/>
              <w:tabs>
                <w:tab w:val="left" w:pos="5400"/>
              </w:tabs>
              <w:spacing w:before="240" w:line="276" w:lineRule="auto"/>
              <w:contextualSpacing/>
              <w:jc w:val="center"/>
              <w:rPr>
                <w:rFonts w:ascii="Lato" w:eastAsia="Calibri" w:hAnsi="Lato"/>
                <w:color w:val="000000" w:themeColor="text1"/>
                <w:sz w:val="20"/>
                <w:szCs w:val="20"/>
                <w:lang w:eastAsia="en-US"/>
              </w:rPr>
            </w:pPr>
            <w:r w:rsidRPr="00AA22C4">
              <w:rPr>
                <w:rFonts w:ascii="Lato" w:eastAsia="Calibri" w:hAnsi="Lato"/>
                <w:color w:val="000000" w:themeColor="text1"/>
                <w:sz w:val="20"/>
                <w:szCs w:val="20"/>
                <w:lang w:eastAsia="en-US"/>
              </w:rPr>
              <w:t>Poz.</w:t>
            </w:r>
          </w:p>
        </w:tc>
        <w:tc>
          <w:tcPr>
            <w:tcW w:w="3119" w:type="dxa"/>
            <w:shd w:val="clear" w:color="auto" w:fill="auto"/>
            <w:vAlign w:val="center"/>
          </w:tcPr>
          <w:p w14:paraId="3926EA72" w14:textId="77777777" w:rsidR="005E347E" w:rsidRPr="00AA22C4" w:rsidRDefault="005E347E" w:rsidP="0015358E">
            <w:pPr>
              <w:widowControl/>
              <w:tabs>
                <w:tab w:val="left" w:pos="5400"/>
              </w:tabs>
              <w:spacing w:before="240" w:line="276" w:lineRule="auto"/>
              <w:contextualSpacing/>
              <w:jc w:val="center"/>
              <w:rPr>
                <w:rFonts w:ascii="Lato" w:eastAsia="Calibri" w:hAnsi="Lato"/>
                <w:color w:val="000000" w:themeColor="text1"/>
                <w:sz w:val="20"/>
                <w:szCs w:val="20"/>
                <w:lang w:eastAsia="en-US"/>
              </w:rPr>
            </w:pPr>
            <w:r w:rsidRPr="00AA22C4">
              <w:rPr>
                <w:rFonts w:ascii="Lato" w:eastAsia="Calibri" w:hAnsi="Lato"/>
                <w:color w:val="000000" w:themeColor="text1"/>
                <w:sz w:val="20"/>
                <w:szCs w:val="20"/>
                <w:lang w:eastAsia="en-US"/>
              </w:rPr>
              <w:t>Rodzaj kosztu</w:t>
            </w:r>
          </w:p>
        </w:tc>
        <w:tc>
          <w:tcPr>
            <w:tcW w:w="2740" w:type="dxa"/>
            <w:shd w:val="clear" w:color="auto" w:fill="auto"/>
            <w:vAlign w:val="center"/>
          </w:tcPr>
          <w:p w14:paraId="24FCDDB3" w14:textId="77777777" w:rsidR="005E347E" w:rsidRPr="00AA22C4" w:rsidRDefault="005E347E" w:rsidP="0015358E">
            <w:pPr>
              <w:widowControl/>
              <w:tabs>
                <w:tab w:val="left" w:pos="5400"/>
              </w:tabs>
              <w:spacing w:before="120" w:line="276" w:lineRule="auto"/>
              <w:contextualSpacing/>
              <w:jc w:val="center"/>
              <w:rPr>
                <w:rFonts w:ascii="Lato" w:eastAsia="Calibri" w:hAnsi="Lato"/>
                <w:color w:val="000000" w:themeColor="text1"/>
                <w:sz w:val="20"/>
                <w:szCs w:val="20"/>
                <w:lang w:eastAsia="en-US"/>
              </w:rPr>
            </w:pPr>
            <w:r w:rsidRPr="00AA22C4">
              <w:rPr>
                <w:rFonts w:ascii="Lato" w:eastAsia="Calibri" w:hAnsi="Lato"/>
                <w:color w:val="000000" w:themeColor="text1"/>
                <w:sz w:val="20"/>
                <w:szCs w:val="20"/>
                <w:lang w:eastAsia="en-US"/>
              </w:rPr>
              <w:t>Cena za 1 noworodka</w:t>
            </w:r>
          </w:p>
        </w:tc>
        <w:tc>
          <w:tcPr>
            <w:tcW w:w="2646" w:type="dxa"/>
            <w:shd w:val="clear" w:color="auto" w:fill="auto"/>
            <w:vAlign w:val="center"/>
          </w:tcPr>
          <w:p w14:paraId="13D1DE0B" w14:textId="77777777" w:rsidR="005E347E" w:rsidRPr="00AA22C4" w:rsidRDefault="005E347E" w:rsidP="0015358E">
            <w:pPr>
              <w:widowControl/>
              <w:tabs>
                <w:tab w:val="left" w:pos="5400"/>
              </w:tabs>
              <w:spacing w:before="120" w:line="276" w:lineRule="auto"/>
              <w:contextualSpacing/>
              <w:jc w:val="center"/>
              <w:rPr>
                <w:rFonts w:ascii="Lato" w:eastAsia="Calibri" w:hAnsi="Lato"/>
                <w:color w:val="000000" w:themeColor="text1"/>
                <w:sz w:val="20"/>
                <w:szCs w:val="20"/>
                <w:lang w:eastAsia="en-US"/>
              </w:rPr>
            </w:pPr>
            <w:r w:rsidRPr="00AA22C4">
              <w:rPr>
                <w:rFonts w:ascii="Lato" w:eastAsia="Calibri" w:hAnsi="Lato"/>
                <w:color w:val="000000" w:themeColor="text1"/>
                <w:sz w:val="20"/>
                <w:szCs w:val="20"/>
                <w:lang w:eastAsia="en-US"/>
              </w:rPr>
              <w:t xml:space="preserve">Koszt badania </w:t>
            </w:r>
          </w:p>
          <w:p w14:paraId="75400071" w14:textId="77777777" w:rsidR="005E347E" w:rsidRPr="00AA22C4" w:rsidRDefault="005E347E" w:rsidP="0015358E">
            <w:pPr>
              <w:widowControl/>
              <w:tabs>
                <w:tab w:val="left" w:pos="5400"/>
              </w:tabs>
              <w:spacing w:before="120" w:line="276" w:lineRule="auto"/>
              <w:contextualSpacing/>
              <w:jc w:val="center"/>
              <w:rPr>
                <w:rFonts w:ascii="Lato" w:eastAsia="Calibri" w:hAnsi="Lato"/>
                <w:color w:val="000000" w:themeColor="text1"/>
                <w:sz w:val="20"/>
                <w:szCs w:val="20"/>
                <w:lang w:eastAsia="en-US"/>
              </w:rPr>
            </w:pPr>
            <w:r w:rsidRPr="00AA22C4">
              <w:rPr>
                <w:rFonts w:ascii="Lato" w:eastAsia="Calibri" w:hAnsi="Lato"/>
                <w:b/>
                <w:bCs/>
                <w:color w:val="000000" w:themeColor="text1"/>
                <w:sz w:val="20"/>
                <w:szCs w:val="20"/>
                <w:lang w:eastAsia="en-US"/>
              </w:rPr>
              <w:t>141 000</w:t>
            </w:r>
            <w:r w:rsidRPr="00AA22C4">
              <w:rPr>
                <w:rFonts w:ascii="Lato" w:eastAsia="Calibri" w:hAnsi="Lato"/>
                <w:color w:val="000000" w:themeColor="text1"/>
                <w:sz w:val="20"/>
                <w:szCs w:val="20"/>
                <w:lang w:eastAsia="en-US"/>
              </w:rPr>
              <w:t xml:space="preserve"> noworodków</w:t>
            </w:r>
          </w:p>
        </w:tc>
      </w:tr>
      <w:tr w:rsidR="00B3776C" w:rsidRPr="00B3776C" w14:paraId="0B30E471" w14:textId="77777777" w:rsidTr="0015358E">
        <w:trPr>
          <w:trHeight w:val="454"/>
        </w:trPr>
        <w:tc>
          <w:tcPr>
            <w:tcW w:w="709" w:type="dxa"/>
            <w:shd w:val="clear" w:color="auto" w:fill="auto"/>
            <w:vAlign w:val="center"/>
          </w:tcPr>
          <w:p w14:paraId="368AD888" w14:textId="77777777" w:rsidR="005E347E" w:rsidRPr="00AA22C4" w:rsidRDefault="005E347E" w:rsidP="0015358E">
            <w:pPr>
              <w:widowControl/>
              <w:tabs>
                <w:tab w:val="left" w:pos="5400"/>
              </w:tabs>
              <w:spacing w:before="360"/>
              <w:contextualSpacing/>
              <w:jc w:val="center"/>
              <w:rPr>
                <w:rFonts w:ascii="Lato" w:eastAsia="Calibri" w:hAnsi="Lato"/>
                <w:color w:val="000000" w:themeColor="text1"/>
                <w:sz w:val="20"/>
                <w:szCs w:val="20"/>
                <w:lang w:eastAsia="en-US"/>
              </w:rPr>
            </w:pPr>
            <w:r w:rsidRPr="00AA22C4">
              <w:rPr>
                <w:rFonts w:ascii="Lato" w:eastAsia="Calibri" w:hAnsi="Lato"/>
                <w:color w:val="000000" w:themeColor="text1"/>
                <w:sz w:val="20"/>
                <w:szCs w:val="20"/>
                <w:lang w:eastAsia="en-US"/>
              </w:rPr>
              <w:t>1</w:t>
            </w:r>
          </w:p>
        </w:tc>
        <w:tc>
          <w:tcPr>
            <w:tcW w:w="3119" w:type="dxa"/>
            <w:shd w:val="clear" w:color="auto" w:fill="auto"/>
            <w:vAlign w:val="center"/>
          </w:tcPr>
          <w:p w14:paraId="07A1B379" w14:textId="77777777" w:rsidR="005E347E" w:rsidRPr="00AA22C4" w:rsidRDefault="005E347E" w:rsidP="0015358E">
            <w:pPr>
              <w:widowControl/>
              <w:tabs>
                <w:tab w:val="left" w:pos="5400"/>
              </w:tabs>
              <w:spacing w:line="240" w:lineRule="auto"/>
              <w:contextualSpacing/>
              <w:rPr>
                <w:rFonts w:ascii="Lato" w:eastAsia="Calibri" w:hAnsi="Lato"/>
                <w:color w:val="000000" w:themeColor="text1"/>
                <w:sz w:val="20"/>
                <w:szCs w:val="20"/>
                <w:lang w:eastAsia="en-US"/>
              </w:rPr>
            </w:pPr>
            <w:r w:rsidRPr="00AA22C4">
              <w:rPr>
                <w:rFonts w:ascii="Lato" w:eastAsia="Calibri" w:hAnsi="Lato"/>
                <w:color w:val="000000" w:themeColor="text1"/>
                <w:sz w:val="20"/>
                <w:szCs w:val="20"/>
                <w:lang w:eastAsia="en-US"/>
              </w:rPr>
              <w:t>Koszt laboratoryjny</w:t>
            </w:r>
          </w:p>
        </w:tc>
        <w:tc>
          <w:tcPr>
            <w:tcW w:w="2740" w:type="dxa"/>
            <w:shd w:val="clear" w:color="auto" w:fill="auto"/>
            <w:vAlign w:val="center"/>
          </w:tcPr>
          <w:p w14:paraId="616EE92B" w14:textId="77777777" w:rsidR="005E347E" w:rsidRPr="00AA22C4" w:rsidRDefault="005E347E" w:rsidP="0015358E">
            <w:pPr>
              <w:widowControl/>
              <w:tabs>
                <w:tab w:val="left" w:pos="5400"/>
              </w:tabs>
              <w:spacing w:before="120" w:line="240" w:lineRule="auto"/>
              <w:contextualSpacing/>
              <w:jc w:val="center"/>
              <w:rPr>
                <w:rFonts w:ascii="Lato" w:eastAsia="Calibri" w:hAnsi="Lato"/>
                <w:color w:val="000000" w:themeColor="text1"/>
                <w:sz w:val="20"/>
                <w:szCs w:val="20"/>
                <w:lang w:eastAsia="en-US"/>
              </w:rPr>
            </w:pPr>
            <w:r w:rsidRPr="00AA22C4">
              <w:rPr>
                <w:rFonts w:ascii="Lato" w:eastAsia="Calibri" w:hAnsi="Lato"/>
                <w:color w:val="000000" w:themeColor="text1"/>
                <w:sz w:val="20"/>
                <w:szCs w:val="20"/>
                <w:lang w:eastAsia="en-US"/>
              </w:rPr>
              <w:t>10,83zł</w:t>
            </w:r>
          </w:p>
        </w:tc>
        <w:tc>
          <w:tcPr>
            <w:tcW w:w="2646" w:type="dxa"/>
            <w:shd w:val="clear" w:color="auto" w:fill="auto"/>
            <w:vAlign w:val="center"/>
          </w:tcPr>
          <w:p w14:paraId="76F40A02" w14:textId="77777777" w:rsidR="005E347E" w:rsidRPr="00AA22C4" w:rsidRDefault="005E347E" w:rsidP="0015358E">
            <w:pPr>
              <w:widowControl/>
              <w:tabs>
                <w:tab w:val="left" w:pos="5400"/>
              </w:tabs>
              <w:spacing w:before="120" w:line="240" w:lineRule="auto"/>
              <w:contextualSpacing/>
              <w:jc w:val="center"/>
              <w:rPr>
                <w:rFonts w:ascii="Lato" w:eastAsia="Calibri" w:hAnsi="Lato"/>
                <w:color w:val="000000" w:themeColor="text1"/>
                <w:sz w:val="20"/>
                <w:szCs w:val="20"/>
                <w:lang w:eastAsia="en-US"/>
              </w:rPr>
            </w:pPr>
            <w:r w:rsidRPr="00AA22C4">
              <w:rPr>
                <w:rFonts w:ascii="Lato" w:eastAsia="Calibri" w:hAnsi="Lato"/>
                <w:color w:val="000000" w:themeColor="text1"/>
                <w:sz w:val="20"/>
                <w:szCs w:val="20"/>
                <w:lang w:eastAsia="en-US"/>
              </w:rPr>
              <w:t>1 527 030zł</w:t>
            </w:r>
          </w:p>
        </w:tc>
      </w:tr>
      <w:tr w:rsidR="00B3776C" w:rsidRPr="00B3776C" w14:paraId="482503BD" w14:textId="77777777" w:rsidTr="0015358E">
        <w:trPr>
          <w:trHeight w:val="454"/>
        </w:trPr>
        <w:tc>
          <w:tcPr>
            <w:tcW w:w="709" w:type="dxa"/>
            <w:shd w:val="clear" w:color="auto" w:fill="auto"/>
            <w:vAlign w:val="center"/>
          </w:tcPr>
          <w:p w14:paraId="6DB88450" w14:textId="77777777" w:rsidR="005E347E" w:rsidRPr="00AA22C4" w:rsidRDefault="005E347E" w:rsidP="0015358E">
            <w:pPr>
              <w:widowControl/>
              <w:tabs>
                <w:tab w:val="left" w:pos="5400"/>
              </w:tabs>
              <w:spacing w:before="360"/>
              <w:contextualSpacing/>
              <w:jc w:val="center"/>
              <w:rPr>
                <w:rFonts w:ascii="Lato" w:eastAsia="Calibri" w:hAnsi="Lato"/>
                <w:color w:val="000000" w:themeColor="text1"/>
                <w:sz w:val="20"/>
                <w:szCs w:val="20"/>
                <w:lang w:eastAsia="en-US"/>
              </w:rPr>
            </w:pPr>
            <w:r w:rsidRPr="00AA22C4">
              <w:rPr>
                <w:rFonts w:ascii="Lato" w:eastAsia="Calibri" w:hAnsi="Lato"/>
                <w:color w:val="000000" w:themeColor="text1"/>
                <w:sz w:val="20"/>
                <w:szCs w:val="20"/>
                <w:lang w:eastAsia="en-US"/>
              </w:rPr>
              <w:t>2</w:t>
            </w:r>
          </w:p>
        </w:tc>
        <w:tc>
          <w:tcPr>
            <w:tcW w:w="3119" w:type="dxa"/>
            <w:shd w:val="clear" w:color="auto" w:fill="auto"/>
            <w:vAlign w:val="center"/>
          </w:tcPr>
          <w:p w14:paraId="5AB8D2EB" w14:textId="77777777" w:rsidR="005E347E" w:rsidRPr="00AA22C4" w:rsidRDefault="005E347E" w:rsidP="0015358E">
            <w:pPr>
              <w:widowControl/>
              <w:tabs>
                <w:tab w:val="left" w:pos="5400"/>
              </w:tabs>
              <w:spacing w:before="120" w:line="240" w:lineRule="auto"/>
              <w:contextualSpacing/>
              <w:rPr>
                <w:rFonts w:ascii="Lato" w:eastAsia="Calibri" w:hAnsi="Lato"/>
                <w:color w:val="000000" w:themeColor="text1"/>
                <w:sz w:val="20"/>
                <w:szCs w:val="20"/>
                <w:lang w:eastAsia="en-US"/>
              </w:rPr>
            </w:pPr>
            <w:r w:rsidRPr="00AA22C4">
              <w:rPr>
                <w:rFonts w:ascii="Lato" w:eastAsia="Calibri" w:hAnsi="Lato"/>
                <w:color w:val="000000" w:themeColor="text1"/>
                <w:sz w:val="20"/>
                <w:szCs w:val="20"/>
                <w:lang w:eastAsia="en-US"/>
              </w:rPr>
              <w:t>Koszt testów i odczynników</w:t>
            </w:r>
          </w:p>
        </w:tc>
        <w:tc>
          <w:tcPr>
            <w:tcW w:w="2740" w:type="dxa"/>
            <w:shd w:val="clear" w:color="auto" w:fill="auto"/>
            <w:vAlign w:val="center"/>
          </w:tcPr>
          <w:p w14:paraId="7F8063E6" w14:textId="77777777" w:rsidR="005E347E" w:rsidRPr="00AA22C4" w:rsidRDefault="005E347E" w:rsidP="0015358E">
            <w:pPr>
              <w:widowControl/>
              <w:tabs>
                <w:tab w:val="left" w:pos="5400"/>
              </w:tabs>
              <w:spacing w:before="120" w:line="240" w:lineRule="auto"/>
              <w:contextualSpacing/>
              <w:jc w:val="center"/>
              <w:rPr>
                <w:rFonts w:ascii="Lato" w:eastAsia="Calibri" w:hAnsi="Lato"/>
                <w:color w:val="000000" w:themeColor="text1"/>
                <w:sz w:val="20"/>
                <w:szCs w:val="20"/>
                <w:lang w:eastAsia="en-US"/>
              </w:rPr>
            </w:pPr>
            <w:r w:rsidRPr="00AA22C4">
              <w:rPr>
                <w:rFonts w:ascii="Lato" w:eastAsia="Calibri" w:hAnsi="Lato"/>
                <w:color w:val="000000" w:themeColor="text1"/>
                <w:sz w:val="20"/>
                <w:szCs w:val="20"/>
                <w:lang w:eastAsia="en-US"/>
              </w:rPr>
              <w:t>13,86zł</w:t>
            </w:r>
          </w:p>
        </w:tc>
        <w:tc>
          <w:tcPr>
            <w:tcW w:w="2646" w:type="dxa"/>
            <w:shd w:val="clear" w:color="auto" w:fill="auto"/>
            <w:vAlign w:val="center"/>
          </w:tcPr>
          <w:p w14:paraId="7B856949" w14:textId="77777777" w:rsidR="005E347E" w:rsidRPr="00AA22C4" w:rsidRDefault="005E347E" w:rsidP="0015358E">
            <w:pPr>
              <w:widowControl/>
              <w:spacing w:line="240" w:lineRule="auto"/>
              <w:jc w:val="center"/>
              <w:rPr>
                <w:rFonts w:ascii="Lato" w:eastAsia="Calibri" w:hAnsi="Lato"/>
                <w:color w:val="000000" w:themeColor="text1"/>
                <w:sz w:val="20"/>
                <w:szCs w:val="20"/>
                <w:lang w:eastAsia="en-US"/>
              </w:rPr>
            </w:pPr>
            <w:r w:rsidRPr="00AA22C4">
              <w:rPr>
                <w:rFonts w:ascii="Lato" w:eastAsia="Calibri" w:hAnsi="Lato"/>
                <w:color w:val="000000" w:themeColor="text1"/>
                <w:sz w:val="20"/>
                <w:szCs w:val="20"/>
                <w:lang w:eastAsia="en-US"/>
              </w:rPr>
              <w:t>1 954 260zł</w:t>
            </w:r>
          </w:p>
        </w:tc>
      </w:tr>
      <w:tr w:rsidR="00B3776C" w:rsidRPr="00B3776C" w14:paraId="47250B19" w14:textId="77777777" w:rsidTr="0015358E">
        <w:trPr>
          <w:trHeight w:val="454"/>
        </w:trPr>
        <w:tc>
          <w:tcPr>
            <w:tcW w:w="709" w:type="dxa"/>
            <w:shd w:val="clear" w:color="auto" w:fill="AEAAAA"/>
            <w:vAlign w:val="center"/>
          </w:tcPr>
          <w:p w14:paraId="4F0D4AFE" w14:textId="77777777" w:rsidR="005E347E" w:rsidRPr="00AA22C4" w:rsidRDefault="005E347E" w:rsidP="0015358E">
            <w:pPr>
              <w:widowControl/>
              <w:tabs>
                <w:tab w:val="left" w:pos="5400"/>
              </w:tabs>
              <w:spacing w:before="360" w:line="240" w:lineRule="auto"/>
              <w:contextualSpacing/>
              <w:jc w:val="center"/>
              <w:rPr>
                <w:rFonts w:ascii="Lato" w:eastAsia="Calibri" w:hAnsi="Lato"/>
                <w:color w:val="000000" w:themeColor="text1"/>
                <w:sz w:val="20"/>
                <w:szCs w:val="20"/>
                <w:lang w:eastAsia="en-US"/>
              </w:rPr>
            </w:pPr>
            <w:r w:rsidRPr="00AA22C4">
              <w:rPr>
                <w:rFonts w:ascii="Lato" w:eastAsia="Calibri" w:hAnsi="Lato"/>
                <w:color w:val="000000" w:themeColor="text1"/>
                <w:sz w:val="20"/>
                <w:szCs w:val="20"/>
                <w:lang w:eastAsia="en-US"/>
              </w:rPr>
              <w:t>3</w:t>
            </w:r>
          </w:p>
        </w:tc>
        <w:tc>
          <w:tcPr>
            <w:tcW w:w="3119" w:type="dxa"/>
            <w:shd w:val="clear" w:color="auto" w:fill="AEAAAA"/>
            <w:vAlign w:val="center"/>
          </w:tcPr>
          <w:p w14:paraId="4C02CA3D" w14:textId="77777777" w:rsidR="005E347E" w:rsidRPr="00AA22C4" w:rsidRDefault="005E347E" w:rsidP="0015358E">
            <w:pPr>
              <w:widowControl/>
              <w:tabs>
                <w:tab w:val="left" w:pos="5400"/>
              </w:tabs>
              <w:spacing w:line="240" w:lineRule="auto"/>
              <w:contextualSpacing/>
              <w:rPr>
                <w:rFonts w:ascii="Lato" w:eastAsia="Calibri" w:hAnsi="Lato"/>
                <w:color w:val="000000" w:themeColor="text1"/>
                <w:sz w:val="20"/>
                <w:szCs w:val="20"/>
                <w:lang w:eastAsia="en-US"/>
              </w:rPr>
            </w:pPr>
            <w:r w:rsidRPr="00AA22C4">
              <w:rPr>
                <w:rFonts w:ascii="Lato" w:eastAsia="Calibri" w:hAnsi="Lato"/>
                <w:color w:val="000000" w:themeColor="text1"/>
                <w:sz w:val="20"/>
                <w:szCs w:val="20"/>
                <w:lang w:eastAsia="en-US"/>
              </w:rPr>
              <w:t>Suma</w:t>
            </w:r>
          </w:p>
        </w:tc>
        <w:tc>
          <w:tcPr>
            <w:tcW w:w="2740" w:type="dxa"/>
            <w:shd w:val="clear" w:color="auto" w:fill="AEAAAA"/>
            <w:vAlign w:val="center"/>
          </w:tcPr>
          <w:p w14:paraId="22156971" w14:textId="77777777" w:rsidR="005E347E" w:rsidRPr="00AA22C4" w:rsidRDefault="005E347E" w:rsidP="0015358E">
            <w:pPr>
              <w:widowControl/>
              <w:tabs>
                <w:tab w:val="left" w:pos="5400"/>
              </w:tabs>
              <w:spacing w:before="120" w:line="240" w:lineRule="auto"/>
              <w:contextualSpacing/>
              <w:jc w:val="center"/>
              <w:rPr>
                <w:rFonts w:ascii="Lato" w:eastAsia="Calibri" w:hAnsi="Lato"/>
                <w:color w:val="000000" w:themeColor="text1"/>
                <w:sz w:val="20"/>
                <w:szCs w:val="20"/>
                <w:lang w:eastAsia="en-US"/>
              </w:rPr>
            </w:pPr>
            <w:r w:rsidRPr="00AA22C4">
              <w:rPr>
                <w:rFonts w:ascii="Lato" w:eastAsia="Calibri" w:hAnsi="Lato"/>
                <w:color w:val="000000" w:themeColor="text1"/>
                <w:sz w:val="20"/>
                <w:szCs w:val="20"/>
                <w:lang w:eastAsia="en-US"/>
              </w:rPr>
              <w:t>24,69</w:t>
            </w:r>
          </w:p>
        </w:tc>
        <w:tc>
          <w:tcPr>
            <w:tcW w:w="2646" w:type="dxa"/>
            <w:shd w:val="clear" w:color="auto" w:fill="AEAAAA"/>
            <w:vAlign w:val="center"/>
          </w:tcPr>
          <w:p w14:paraId="2A7AE161" w14:textId="77777777" w:rsidR="005E347E" w:rsidRPr="00AA22C4" w:rsidRDefault="005E347E" w:rsidP="0015358E">
            <w:pPr>
              <w:widowControl/>
              <w:tabs>
                <w:tab w:val="left" w:pos="5400"/>
              </w:tabs>
              <w:spacing w:before="120" w:line="240" w:lineRule="auto"/>
              <w:contextualSpacing/>
              <w:jc w:val="center"/>
              <w:rPr>
                <w:rFonts w:ascii="Lato" w:eastAsia="Calibri" w:hAnsi="Lato"/>
                <w:b/>
                <w:bCs/>
                <w:color w:val="000000" w:themeColor="text1"/>
                <w:sz w:val="20"/>
                <w:szCs w:val="20"/>
                <w:lang w:eastAsia="en-US"/>
              </w:rPr>
            </w:pPr>
            <w:r w:rsidRPr="00AA22C4">
              <w:rPr>
                <w:rFonts w:ascii="Lato" w:eastAsia="Calibri" w:hAnsi="Lato"/>
                <w:b/>
                <w:bCs/>
                <w:color w:val="000000" w:themeColor="text1"/>
                <w:sz w:val="20"/>
                <w:szCs w:val="20"/>
                <w:lang w:eastAsia="en-US"/>
              </w:rPr>
              <w:t>3 481 290,00 zł</w:t>
            </w:r>
          </w:p>
        </w:tc>
      </w:tr>
    </w:tbl>
    <w:p w14:paraId="73279525" w14:textId="77777777" w:rsidR="005E347E" w:rsidRPr="00AA22C4" w:rsidRDefault="005E347E" w:rsidP="005E347E">
      <w:pPr>
        <w:rPr>
          <w:rFonts w:ascii="Lato" w:hAnsi="Lato"/>
          <w:color w:val="000000" w:themeColor="text1"/>
        </w:rPr>
      </w:pPr>
    </w:p>
    <w:p w14:paraId="5091AF31" w14:textId="77777777" w:rsidR="005E347E" w:rsidRPr="00AA22C4" w:rsidRDefault="005E347E" w:rsidP="005E347E">
      <w:pPr>
        <w:spacing w:before="120" w:after="120"/>
        <w:contextualSpacing/>
        <w:jc w:val="center"/>
        <w:rPr>
          <w:rFonts w:ascii="Lato" w:hAnsi="Lato"/>
          <w:b/>
          <w:bCs/>
          <w:color w:val="000000" w:themeColor="text1"/>
          <w:sz w:val="22"/>
          <w:szCs w:val="22"/>
          <w:u w:val="single"/>
        </w:rPr>
      </w:pPr>
    </w:p>
    <w:p w14:paraId="7FFAC34A" w14:textId="77777777" w:rsidR="005E347E" w:rsidRPr="00AA22C4" w:rsidRDefault="005E347E" w:rsidP="005E347E">
      <w:pPr>
        <w:spacing w:before="120" w:after="120"/>
        <w:contextualSpacing/>
        <w:jc w:val="center"/>
        <w:rPr>
          <w:rFonts w:ascii="Lato" w:hAnsi="Lato"/>
          <w:b/>
          <w:bCs/>
          <w:color w:val="000000" w:themeColor="text1"/>
          <w:sz w:val="22"/>
          <w:szCs w:val="22"/>
          <w:u w:val="single"/>
        </w:rPr>
      </w:pPr>
    </w:p>
    <w:p w14:paraId="5222DB94" w14:textId="77777777" w:rsidR="005E347E" w:rsidRPr="00AA22C4" w:rsidRDefault="005E347E" w:rsidP="005E347E">
      <w:pPr>
        <w:spacing w:before="120" w:after="120"/>
        <w:contextualSpacing/>
        <w:jc w:val="center"/>
        <w:rPr>
          <w:rFonts w:ascii="Lato" w:hAnsi="Lato"/>
          <w:b/>
          <w:bCs/>
          <w:color w:val="000000" w:themeColor="text1"/>
          <w:sz w:val="22"/>
          <w:szCs w:val="22"/>
          <w:u w:val="single"/>
        </w:rPr>
      </w:pPr>
    </w:p>
    <w:p w14:paraId="1E4E939C" w14:textId="77777777" w:rsidR="005E347E" w:rsidRPr="00AA22C4" w:rsidRDefault="005E347E" w:rsidP="005E347E">
      <w:pPr>
        <w:spacing w:before="120" w:after="120"/>
        <w:contextualSpacing/>
        <w:jc w:val="center"/>
        <w:rPr>
          <w:rFonts w:ascii="Lato" w:hAnsi="Lato"/>
          <w:b/>
          <w:bCs/>
          <w:color w:val="000000" w:themeColor="text1"/>
          <w:sz w:val="22"/>
          <w:szCs w:val="22"/>
          <w:u w:val="single"/>
        </w:rPr>
      </w:pPr>
    </w:p>
    <w:p w14:paraId="47818F27" w14:textId="77777777" w:rsidR="005E347E" w:rsidRPr="00AA22C4" w:rsidRDefault="005E347E" w:rsidP="005E347E">
      <w:pPr>
        <w:spacing w:before="120" w:after="120"/>
        <w:contextualSpacing/>
        <w:jc w:val="center"/>
        <w:rPr>
          <w:rFonts w:ascii="Lato" w:hAnsi="Lato"/>
          <w:b/>
          <w:bCs/>
          <w:color w:val="000000" w:themeColor="text1"/>
          <w:sz w:val="22"/>
          <w:szCs w:val="22"/>
          <w:u w:val="single"/>
        </w:rPr>
      </w:pPr>
    </w:p>
    <w:p w14:paraId="505DAFF2" w14:textId="77777777" w:rsidR="005E347E" w:rsidRPr="00AA22C4" w:rsidRDefault="005E347E" w:rsidP="005E347E">
      <w:pPr>
        <w:spacing w:before="120" w:after="120"/>
        <w:contextualSpacing/>
        <w:jc w:val="center"/>
        <w:rPr>
          <w:rFonts w:ascii="Lato" w:hAnsi="Lato"/>
          <w:b/>
          <w:bCs/>
          <w:color w:val="000000" w:themeColor="text1"/>
          <w:sz w:val="22"/>
          <w:szCs w:val="22"/>
          <w:u w:val="single"/>
        </w:rPr>
      </w:pPr>
    </w:p>
    <w:p w14:paraId="3533BC85" w14:textId="77777777" w:rsidR="005E347E" w:rsidRPr="00AA22C4" w:rsidRDefault="005E347E" w:rsidP="005E347E">
      <w:pPr>
        <w:spacing w:before="120" w:after="120"/>
        <w:contextualSpacing/>
        <w:jc w:val="center"/>
        <w:rPr>
          <w:rFonts w:ascii="Lato" w:hAnsi="Lato"/>
          <w:b/>
          <w:bCs/>
          <w:color w:val="000000" w:themeColor="text1"/>
          <w:sz w:val="22"/>
          <w:szCs w:val="22"/>
          <w:u w:val="single"/>
        </w:rPr>
      </w:pPr>
    </w:p>
    <w:p w14:paraId="1CD3F97C" w14:textId="77777777" w:rsidR="005E347E" w:rsidRPr="00AA22C4" w:rsidRDefault="005E347E" w:rsidP="005E347E">
      <w:pPr>
        <w:spacing w:before="120" w:after="120"/>
        <w:contextualSpacing/>
        <w:jc w:val="center"/>
        <w:rPr>
          <w:rFonts w:ascii="Lato" w:hAnsi="Lato"/>
          <w:b/>
          <w:bCs/>
          <w:color w:val="000000" w:themeColor="text1"/>
          <w:sz w:val="22"/>
          <w:szCs w:val="22"/>
          <w:u w:val="single"/>
        </w:rPr>
      </w:pPr>
    </w:p>
    <w:p w14:paraId="0B16C23F" w14:textId="77777777" w:rsidR="005E347E" w:rsidRPr="00AA22C4" w:rsidRDefault="005E347E" w:rsidP="005E347E">
      <w:pPr>
        <w:spacing w:before="120" w:after="120"/>
        <w:contextualSpacing/>
        <w:jc w:val="center"/>
        <w:rPr>
          <w:rFonts w:ascii="Lato" w:hAnsi="Lato"/>
          <w:b/>
          <w:bCs/>
          <w:color w:val="000000" w:themeColor="text1"/>
          <w:sz w:val="22"/>
          <w:szCs w:val="22"/>
          <w:u w:val="single"/>
        </w:rPr>
      </w:pPr>
    </w:p>
    <w:p w14:paraId="0326A735" w14:textId="77777777" w:rsidR="005E347E" w:rsidRPr="00AA22C4" w:rsidRDefault="005E347E" w:rsidP="005E347E">
      <w:pPr>
        <w:spacing w:before="120" w:after="120"/>
        <w:contextualSpacing/>
        <w:jc w:val="center"/>
        <w:rPr>
          <w:rFonts w:ascii="Lato" w:hAnsi="Lato"/>
          <w:b/>
          <w:bCs/>
          <w:color w:val="000000" w:themeColor="text1"/>
          <w:sz w:val="22"/>
          <w:szCs w:val="22"/>
          <w:u w:val="single"/>
        </w:rPr>
      </w:pPr>
    </w:p>
    <w:p w14:paraId="7CE95831" w14:textId="77777777" w:rsidR="005E347E" w:rsidRPr="00AA22C4" w:rsidRDefault="005E347E" w:rsidP="005E347E">
      <w:pPr>
        <w:spacing w:before="120" w:after="120"/>
        <w:contextualSpacing/>
        <w:jc w:val="center"/>
        <w:rPr>
          <w:rFonts w:ascii="Lato" w:hAnsi="Lato"/>
          <w:b/>
          <w:bCs/>
          <w:color w:val="000000" w:themeColor="text1"/>
          <w:sz w:val="22"/>
          <w:szCs w:val="22"/>
          <w:u w:val="single"/>
        </w:rPr>
      </w:pPr>
    </w:p>
    <w:p w14:paraId="1EE95BFF" w14:textId="77777777" w:rsidR="005E347E" w:rsidRPr="00AA22C4" w:rsidRDefault="005E347E" w:rsidP="005E347E">
      <w:pPr>
        <w:spacing w:before="120" w:after="120"/>
        <w:contextualSpacing/>
        <w:jc w:val="center"/>
        <w:rPr>
          <w:rFonts w:ascii="Lato" w:hAnsi="Lato"/>
          <w:b/>
          <w:bCs/>
          <w:color w:val="000000" w:themeColor="text1"/>
          <w:sz w:val="22"/>
          <w:szCs w:val="22"/>
          <w:u w:val="single"/>
        </w:rPr>
      </w:pPr>
    </w:p>
    <w:p w14:paraId="797B0A58" w14:textId="77777777" w:rsidR="005E347E" w:rsidRPr="00AA22C4" w:rsidRDefault="005E347E" w:rsidP="005E347E">
      <w:pPr>
        <w:spacing w:before="120" w:after="120"/>
        <w:contextualSpacing/>
        <w:jc w:val="center"/>
        <w:rPr>
          <w:rFonts w:ascii="Lato" w:hAnsi="Lato"/>
          <w:b/>
          <w:bCs/>
          <w:color w:val="000000" w:themeColor="text1"/>
          <w:sz w:val="22"/>
          <w:szCs w:val="22"/>
          <w:u w:val="single"/>
        </w:rPr>
      </w:pPr>
    </w:p>
    <w:p w14:paraId="0048C177" w14:textId="77777777" w:rsidR="005E347E" w:rsidRPr="00AA22C4" w:rsidRDefault="005E347E" w:rsidP="005E347E">
      <w:pPr>
        <w:spacing w:before="120" w:after="120"/>
        <w:contextualSpacing/>
        <w:jc w:val="center"/>
        <w:rPr>
          <w:rFonts w:ascii="Lato" w:hAnsi="Lato"/>
          <w:b/>
          <w:bCs/>
          <w:color w:val="000000" w:themeColor="text1"/>
          <w:sz w:val="22"/>
          <w:szCs w:val="22"/>
          <w:u w:val="single"/>
        </w:rPr>
      </w:pPr>
    </w:p>
    <w:p w14:paraId="0232B080" w14:textId="77777777" w:rsidR="005E347E" w:rsidRPr="00AA22C4" w:rsidRDefault="005E347E" w:rsidP="005E347E">
      <w:pPr>
        <w:spacing w:before="120" w:after="120"/>
        <w:contextualSpacing/>
        <w:jc w:val="center"/>
        <w:rPr>
          <w:rFonts w:ascii="Lato" w:hAnsi="Lato"/>
          <w:b/>
          <w:bCs/>
          <w:color w:val="000000" w:themeColor="text1"/>
          <w:sz w:val="22"/>
          <w:szCs w:val="22"/>
          <w:u w:val="single"/>
        </w:rPr>
      </w:pPr>
    </w:p>
    <w:p w14:paraId="6DA9CFCD" w14:textId="77777777" w:rsidR="005E347E" w:rsidRPr="00AA22C4" w:rsidRDefault="005E347E" w:rsidP="005E347E">
      <w:pPr>
        <w:spacing w:before="120" w:after="120"/>
        <w:contextualSpacing/>
        <w:jc w:val="center"/>
        <w:rPr>
          <w:rFonts w:ascii="Lato" w:hAnsi="Lato"/>
          <w:b/>
          <w:bCs/>
          <w:color w:val="000000" w:themeColor="text1"/>
          <w:sz w:val="22"/>
          <w:szCs w:val="22"/>
          <w:u w:val="single"/>
        </w:rPr>
      </w:pPr>
    </w:p>
    <w:p w14:paraId="2695E79E" w14:textId="77777777" w:rsidR="005E347E" w:rsidRPr="00AA22C4" w:rsidRDefault="005E347E" w:rsidP="005E347E">
      <w:pPr>
        <w:spacing w:before="120" w:after="120"/>
        <w:contextualSpacing/>
        <w:jc w:val="center"/>
        <w:rPr>
          <w:rFonts w:ascii="Lato" w:hAnsi="Lato"/>
          <w:b/>
          <w:bCs/>
          <w:color w:val="000000" w:themeColor="text1"/>
          <w:sz w:val="22"/>
          <w:szCs w:val="22"/>
          <w:u w:val="single"/>
        </w:rPr>
      </w:pPr>
    </w:p>
    <w:p w14:paraId="5FE371A3" w14:textId="77777777" w:rsidR="005E347E" w:rsidRPr="00AA22C4" w:rsidRDefault="005E347E" w:rsidP="005E347E">
      <w:pPr>
        <w:spacing w:before="120" w:after="120"/>
        <w:contextualSpacing/>
        <w:jc w:val="center"/>
        <w:rPr>
          <w:rFonts w:ascii="Lato" w:hAnsi="Lato"/>
          <w:b/>
          <w:bCs/>
          <w:color w:val="000000" w:themeColor="text1"/>
          <w:sz w:val="22"/>
          <w:szCs w:val="22"/>
          <w:u w:val="single"/>
        </w:rPr>
      </w:pPr>
    </w:p>
    <w:p w14:paraId="338B60DE" w14:textId="77777777" w:rsidR="005E347E" w:rsidRPr="00AA22C4" w:rsidRDefault="005E347E" w:rsidP="005E347E">
      <w:pPr>
        <w:spacing w:before="120" w:after="120"/>
        <w:contextualSpacing/>
        <w:jc w:val="center"/>
        <w:rPr>
          <w:rFonts w:ascii="Lato" w:hAnsi="Lato"/>
          <w:b/>
          <w:bCs/>
          <w:color w:val="000000" w:themeColor="text1"/>
          <w:sz w:val="22"/>
          <w:szCs w:val="22"/>
          <w:u w:val="single"/>
        </w:rPr>
      </w:pPr>
    </w:p>
    <w:p w14:paraId="050FF8A6" w14:textId="77777777" w:rsidR="005E347E" w:rsidRPr="00AA22C4" w:rsidRDefault="005E347E" w:rsidP="005E347E">
      <w:pPr>
        <w:spacing w:before="120" w:after="120"/>
        <w:contextualSpacing/>
        <w:jc w:val="center"/>
        <w:rPr>
          <w:rFonts w:ascii="Lato" w:hAnsi="Lato"/>
          <w:b/>
          <w:bCs/>
          <w:color w:val="000000" w:themeColor="text1"/>
          <w:sz w:val="22"/>
          <w:szCs w:val="22"/>
          <w:u w:val="single"/>
        </w:rPr>
      </w:pPr>
    </w:p>
    <w:p w14:paraId="50C29D2B" w14:textId="77777777" w:rsidR="005E347E" w:rsidRPr="00AA22C4" w:rsidRDefault="005E347E" w:rsidP="005E347E">
      <w:pPr>
        <w:spacing w:before="120" w:after="120"/>
        <w:contextualSpacing/>
        <w:jc w:val="center"/>
        <w:rPr>
          <w:rFonts w:ascii="Lato" w:hAnsi="Lato"/>
          <w:b/>
          <w:bCs/>
          <w:color w:val="000000" w:themeColor="text1"/>
          <w:sz w:val="22"/>
          <w:szCs w:val="22"/>
          <w:u w:val="single"/>
        </w:rPr>
      </w:pPr>
    </w:p>
    <w:p w14:paraId="5514628C" w14:textId="77777777" w:rsidR="005E347E" w:rsidRPr="00AA22C4" w:rsidRDefault="005E347E" w:rsidP="005E347E">
      <w:pPr>
        <w:spacing w:before="120" w:after="120"/>
        <w:contextualSpacing/>
        <w:jc w:val="center"/>
        <w:rPr>
          <w:rFonts w:ascii="Lato" w:hAnsi="Lato"/>
          <w:b/>
          <w:bCs/>
          <w:color w:val="000000" w:themeColor="text1"/>
          <w:sz w:val="22"/>
          <w:szCs w:val="22"/>
          <w:u w:val="single"/>
        </w:rPr>
      </w:pPr>
    </w:p>
    <w:p w14:paraId="0A156C3B" w14:textId="77777777" w:rsidR="005E347E" w:rsidRPr="00AA22C4" w:rsidRDefault="005E347E" w:rsidP="005E347E">
      <w:pPr>
        <w:spacing w:before="120" w:after="120"/>
        <w:contextualSpacing/>
        <w:jc w:val="center"/>
        <w:rPr>
          <w:rFonts w:ascii="Lato" w:hAnsi="Lato"/>
          <w:b/>
          <w:bCs/>
          <w:color w:val="000000" w:themeColor="text1"/>
          <w:sz w:val="22"/>
          <w:szCs w:val="22"/>
          <w:u w:val="single"/>
        </w:rPr>
      </w:pPr>
    </w:p>
    <w:p w14:paraId="72E5BEF7" w14:textId="77777777" w:rsidR="005E347E" w:rsidRPr="00AA22C4" w:rsidRDefault="005E347E" w:rsidP="005E347E">
      <w:pPr>
        <w:spacing w:before="120" w:after="120"/>
        <w:contextualSpacing/>
        <w:jc w:val="center"/>
        <w:rPr>
          <w:rFonts w:ascii="Lato" w:hAnsi="Lato"/>
          <w:b/>
          <w:bCs/>
          <w:color w:val="000000" w:themeColor="text1"/>
          <w:sz w:val="22"/>
          <w:szCs w:val="22"/>
          <w:u w:val="single"/>
        </w:rPr>
      </w:pPr>
    </w:p>
    <w:p w14:paraId="72DBF806" w14:textId="77777777" w:rsidR="005E347E" w:rsidRPr="00AA22C4" w:rsidRDefault="005E347E" w:rsidP="005E347E">
      <w:pPr>
        <w:spacing w:before="120" w:after="120"/>
        <w:contextualSpacing/>
        <w:jc w:val="center"/>
        <w:rPr>
          <w:rFonts w:ascii="Lato" w:hAnsi="Lato"/>
          <w:b/>
          <w:bCs/>
          <w:color w:val="000000" w:themeColor="text1"/>
          <w:sz w:val="22"/>
          <w:szCs w:val="22"/>
          <w:u w:val="single"/>
        </w:rPr>
      </w:pPr>
    </w:p>
    <w:p w14:paraId="7BC6E667" w14:textId="77777777" w:rsidR="005E347E" w:rsidRPr="00AA22C4" w:rsidRDefault="005E347E" w:rsidP="005E347E">
      <w:pPr>
        <w:spacing w:before="120" w:after="120"/>
        <w:contextualSpacing/>
        <w:jc w:val="center"/>
        <w:rPr>
          <w:rFonts w:ascii="Lato" w:hAnsi="Lato"/>
          <w:b/>
          <w:bCs/>
          <w:color w:val="000000" w:themeColor="text1"/>
          <w:sz w:val="22"/>
          <w:szCs w:val="22"/>
          <w:u w:val="single"/>
        </w:rPr>
      </w:pPr>
    </w:p>
    <w:p w14:paraId="1881F0BC" w14:textId="77777777" w:rsidR="005E347E" w:rsidRPr="00AA22C4" w:rsidRDefault="005E347E" w:rsidP="005E347E">
      <w:pPr>
        <w:spacing w:before="120" w:after="120"/>
        <w:contextualSpacing/>
        <w:jc w:val="center"/>
        <w:rPr>
          <w:rFonts w:ascii="Lato" w:hAnsi="Lato"/>
          <w:b/>
          <w:bCs/>
          <w:color w:val="000000" w:themeColor="text1"/>
          <w:sz w:val="22"/>
          <w:szCs w:val="22"/>
          <w:u w:val="single"/>
        </w:rPr>
      </w:pPr>
    </w:p>
    <w:p w14:paraId="4BFD24C1" w14:textId="77777777" w:rsidR="005E347E" w:rsidRPr="00AA22C4" w:rsidRDefault="005E347E" w:rsidP="005E347E">
      <w:pPr>
        <w:spacing w:before="120" w:after="120"/>
        <w:contextualSpacing/>
        <w:jc w:val="center"/>
        <w:rPr>
          <w:rFonts w:ascii="Lato" w:hAnsi="Lato"/>
          <w:b/>
          <w:bCs/>
          <w:color w:val="000000" w:themeColor="text1"/>
          <w:sz w:val="22"/>
          <w:szCs w:val="22"/>
          <w:u w:val="single"/>
        </w:rPr>
      </w:pPr>
    </w:p>
    <w:p w14:paraId="4977CC64" w14:textId="1F6DBC7B" w:rsidR="005E347E" w:rsidRPr="00AA22C4" w:rsidRDefault="005E347E" w:rsidP="005E347E">
      <w:pPr>
        <w:spacing w:before="120" w:after="120" w:line="276" w:lineRule="auto"/>
        <w:contextualSpacing/>
        <w:jc w:val="center"/>
        <w:rPr>
          <w:rFonts w:ascii="Lato" w:hAnsi="Lato"/>
          <w:b/>
          <w:color w:val="000000" w:themeColor="text1"/>
          <w:sz w:val="22"/>
          <w:szCs w:val="22"/>
        </w:rPr>
      </w:pPr>
      <w:r w:rsidRPr="00AA22C4">
        <w:rPr>
          <w:rFonts w:ascii="Lato" w:hAnsi="Lato"/>
          <w:b/>
          <w:bCs/>
          <w:color w:val="000000" w:themeColor="text1"/>
          <w:sz w:val="22"/>
          <w:szCs w:val="22"/>
        </w:rPr>
        <w:lastRenderedPageBreak/>
        <w:t>PROGNOZOWANY</w:t>
      </w:r>
      <w:r w:rsidRPr="00AA22C4">
        <w:rPr>
          <w:rFonts w:ascii="Lato" w:hAnsi="Lato"/>
          <w:b/>
          <w:color w:val="000000" w:themeColor="text1"/>
          <w:sz w:val="22"/>
          <w:szCs w:val="22"/>
        </w:rPr>
        <w:t xml:space="preserve"> KOSZTORYS REALIZACJI RZĄDOWEGO PROGRAMU BADAŃ PRZESIEWOWYCH NOWORODKÓW</w:t>
      </w:r>
      <w:r w:rsidR="006A15A2">
        <w:rPr>
          <w:rFonts w:ascii="Lato" w:hAnsi="Lato"/>
          <w:b/>
          <w:color w:val="000000" w:themeColor="text1"/>
          <w:sz w:val="22"/>
          <w:szCs w:val="22"/>
        </w:rPr>
        <w:t xml:space="preserve"> </w:t>
      </w:r>
      <w:r w:rsidRPr="00AA22C4">
        <w:rPr>
          <w:rFonts w:ascii="Lato" w:hAnsi="Lato"/>
          <w:b/>
          <w:color w:val="000000" w:themeColor="text1"/>
          <w:sz w:val="22"/>
          <w:szCs w:val="22"/>
        </w:rPr>
        <w:t>NA</w:t>
      </w:r>
      <w:r w:rsidR="00A04888" w:rsidRPr="00AA22C4">
        <w:rPr>
          <w:rFonts w:ascii="Lato" w:hAnsi="Lato"/>
          <w:b/>
          <w:color w:val="000000" w:themeColor="text1"/>
          <w:sz w:val="22"/>
          <w:szCs w:val="22"/>
        </w:rPr>
        <w:t xml:space="preserve"> </w:t>
      </w:r>
      <w:r w:rsidRPr="00AA22C4">
        <w:rPr>
          <w:rFonts w:ascii="Lato" w:hAnsi="Lato"/>
          <w:b/>
          <w:color w:val="000000" w:themeColor="text1"/>
          <w:sz w:val="22"/>
          <w:szCs w:val="22"/>
        </w:rPr>
        <w:t xml:space="preserve">2022 </w:t>
      </w:r>
      <w:r w:rsidR="00A04888" w:rsidRPr="00AA22C4">
        <w:rPr>
          <w:rFonts w:ascii="Lato" w:hAnsi="Lato"/>
          <w:b/>
          <w:color w:val="000000" w:themeColor="text1"/>
          <w:sz w:val="22"/>
          <w:szCs w:val="22"/>
        </w:rPr>
        <w:t xml:space="preserve">R. </w:t>
      </w:r>
      <w:r w:rsidRPr="00AA22C4">
        <w:rPr>
          <w:rFonts w:ascii="Lato" w:hAnsi="Lato"/>
          <w:b/>
          <w:color w:val="000000" w:themeColor="text1"/>
          <w:sz w:val="22"/>
          <w:szCs w:val="22"/>
        </w:rPr>
        <w:t>(wydatki bieżące)</w:t>
      </w:r>
      <w:r w:rsidRPr="00AA22C4">
        <w:rPr>
          <w:rStyle w:val="Odwoanieprzypisudolnego"/>
          <w:rFonts w:ascii="Lato" w:hAnsi="Lato"/>
          <w:b/>
          <w:color w:val="000000" w:themeColor="text1"/>
          <w:sz w:val="22"/>
          <w:szCs w:val="22"/>
        </w:rPr>
        <w:footnoteReference w:id="4"/>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3"/>
        <w:gridCol w:w="4536"/>
        <w:gridCol w:w="2127"/>
        <w:gridCol w:w="1944"/>
      </w:tblGrid>
      <w:tr w:rsidR="00B3776C" w:rsidRPr="00B3776C" w14:paraId="6A1AF33D" w14:textId="77777777" w:rsidTr="0015358E">
        <w:trPr>
          <w:trHeight w:val="510"/>
        </w:trPr>
        <w:tc>
          <w:tcPr>
            <w:tcW w:w="9180" w:type="dxa"/>
            <w:gridSpan w:val="4"/>
            <w:shd w:val="clear" w:color="auto" w:fill="E7E6E6"/>
            <w:vAlign w:val="center"/>
          </w:tcPr>
          <w:p w14:paraId="13E8EEB9" w14:textId="77777777" w:rsidR="005E347E" w:rsidRPr="00AA22C4" w:rsidRDefault="005E347E" w:rsidP="0015358E">
            <w:pPr>
              <w:snapToGrid w:val="0"/>
              <w:spacing w:line="276" w:lineRule="auto"/>
              <w:contextualSpacing/>
              <w:jc w:val="center"/>
              <w:rPr>
                <w:rFonts w:ascii="Lato" w:hAnsi="Lato"/>
                <w:b/>
                <w:bCs/>
                <w:color w:val="000000" w:themeColor="text1"/>
                <w:sz w:val="20"/>
                <w:szCs w:val="20"/>
                <w:lang w:eastAsia="en-US"/>
              </w:rPr>
            </w:pPr>
            <w:r w:rsidRPr="00AA22C4">
              <w:rPr>
                <w:rFonts w:ascii="Lato" w:hAnsi="Lato"/>
                <w:b/>
                <w:bCs/>
                <w:color w:val="000000" w:themeColor="text1"/>
                <w:sz w:val="20"/>
                <w:szCs w:val="20"/>
                <w:lang w:eastAsia="en-US"/>
              </w:rPr>
              <w:t>Koszty laboratoryjne:</w:t>
            </w:r>
          </w:p>
        </w:tc>
      </w:tr>
      <w:tr w:rsidR="00B3776C" w:rsidRPr="00B3776C" w14:paraId="60405DCD" w14:textId="77777777" w:rsidTr="0015358E">
        <w:trPr>
          <w:trHeight w:val="276"/>
        </w:trPr>
        <w:tc>
          <w:tcPr>
            <w:tcW w:w="573" w:type="dxa"/>
            <w:shd w:val="clear" w:color="auto" w:fill="auto"/>
            <w:vAlign w:val="center"/>
          </w:tcPr>
          <w:p w14:paraId="26F268AB" w14:textId="77777777" w:rsidR="005E347E" w:rsidRPr="00AA22C4" w:rsidRDefault="005E347E" w:rsidP="0015358E">
            <w:pPr>
              <w:snapToGrid w:val="0"/>
              <w:spacing w:line="276" w:lineRule="auto"/>
              <w:ind w:left="-212" w:right="-70" w:firstLine="212"/>
              <w:contextualSpacing/>
              <w:jc w:val="center"/>
              <w:rPr>
                <w:rFonts w:ascii="Lato" w:hAnsi="Lato"/>
                <w:color w:val="000000" w:themeColor="text1"/>
                <w:sz w:val="20"/>
                <w:szCs w:val="20"/>
                <w:lang w:eastAsia="en-US"/>
              </w:rPr>
            </w:pPr>
            <w:r w:rsidRPr="00AA22C4">
              <w:rPr>
                <w:rFonts w:ascii="Lato" w:hAnsi="Lato"/>
                <w:b/>
                <w:color w:val="000000" w:themeColor="text1"/>
                <w:sz w:val="20"/>
                <w:szCs w:val="20"/>
                <w:lang w:eastAsia="en-US"/>
              </w:rPr>
              <w:t>Lp.</w:t>
            </w:r>
          </w:p>
        </w:tc>
        <w:tc>
          <w:tcPr>
            <w:tcW w:w="4536" w:type="dxa"/>
            <w:shd w:val="clear" w:color="auto" w:fill="auto"/>
            <w:vAlign w:val="center"/>
          </w:tcPr>
          <w:p w14:paraId="3CA6251D" w14:textId="77777777" w:rsidR="005E347E" w:rsidRPr="00AA22C4" w:rsidRDefault="005E347E" w:rsidP="0015358E">
            <w:pPr>
              <w:snapToGrid w:val="0"/>
              <w:spacing w:line="276" w:lineRule="auto"/>
              <w:ind w:left="155" w:right="5"/>
              <w:contextualSpacing/>
              <w:jc w:val="center"/>
              <w:rPr>
                <w:rFonts w:ascii="Lato" w:hAnsi="Lato"/>
                <w:color w:val="000000" w:themeColor="text1"/>
                <w:sz w:val="20"/>
                <w:szCs w:val="20"/>
                <w:lang w:eastAsia="en-US"/>
              </w:rPr>
            </w:pPr>
            <w:r w:rsidRPr="00AA22C4">
              <w:rPr>
                <w:rFonts w:ascii="Lato" w:hAnsi="Lato"/>
                <w:b/>
                <w:color w:val="000000" w:themeColor="text1"/>
                <w:sz w:val="20"/>
                <w:szCs w:val="20"/>
                <w:lang w:eastAsia="en-US"/>
              </w:rPr>
              <w:t>Rodzaj badania</w:t>
            </w:r>
          </w:p>
        </w:tc>
        <w:tc>
          <w:tcPr>
            <w:tcW w:w="2127" w:type="dxa"/>
            <w:shd w:val="clear" w:color="auto" w:fill="auto"/>
            <w:vAlign w:val="center"/>
          </w:tcPr>
          <w:p w14:paraId="4CEA9DD4"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b/>
                <w:bCs/>
                <w:color w:val="000000" w:themeColor="text1"/>
                <w:sz w:val="20"/>
                <w:szCs w:val="20"/>
                <w:lang w:eastAsia="en-US"/>
              </w:rPr>
              <w:t>Koszt jednostkowy</w:t>
            </w:r>
          </w:p>
          <w:p w14:paraId="5FB5B51E" w14:textId="77777777" w:rsidR="005E347E" w:rsidRPr="00AA22C4" w:rsidRDefault="005E347E" w:rsidP="0015358E">
            <w:pPr>
              <w:spacing w:line="276" w:lineRule="auto"/>
              <w:contextualSpacing/>
              <w:jc w:val="center"/>
              <w:rPr>
                <w:rFonts w:ascii="Lato" w:hAnsi="Lato"/>
                <w:color w:val="000000" w:themeColor="text1"/>
                <w:sz w:val="20"/>
                <w:szCs w:val="20"/>
                <w:lang w:eastAsia="en-US"/>
              </w:rPr>
            </w:pPr>
            <w:r w:rsidRPr="00AA22C4">
              <w:rPr>
                <w:rFonts w:ascii="Lato" w:hAnsi="Lato"/>
                <w:b/>
                <w:bCs/>
                <w:color w:val="000000" w:themeColor="text1"/>
                <w:sz w:val="20"/>
                <w:szCs w:val="20"/>
                <w:lang w:eastAsia="en-US"/>
              </w:rPr>
              <w:t>(bez kosztu testów)</w:t>
            </w:r>
          </w:p>
          <w:p w14:paraId="58F21757" w14:textId="77777777" w:rsidR="005E347E" w:rsidRPr="00AA22C4" w:rsidRDefault="005E347E" w:rsidP="0015358E">
            <w:pPr>
              <w:spacing w:line="276" w:lineRule="auto"/>
              <w:contextualSpacing/>
              <w:jc w:val="center"/>
              <w:rPr>
                <w:rFonts w:ascii="Lato" w:hAnsi="Lato"/>
                <w:color w:val="000000" w:themeColor="text1"/>
                <w:sz w:val="20"/>
                <w:szCs w:val="20"/>
                <w:lang w:eastAsia="en-US"/>
              </w:rPr>
            </w:pPr>
            <w:r w:rsidRPr="00AA22C4">
              <w:rPr>
                <w:rFonts w:ascii="Lato" w:eastAsia="Courier New" w:hAnsi="Lato"/>
                <w:b/>
                <w:bCs/>
                <w:color w:val="000000" w:themeColor="text1"/>
                <w:sz w:val="20"/>
                <w:szCs w:val="20"/>
                <w:lang w:eastAsia="en-US"/>
              </w:rPr>
              <w:t>w zł</w:t>
            </w:r>
          </w:p>
        </w:tc>
        <w:tc>
          <w:tcPr>
            <w:tcW w:w="1944" w:type="dxa"/>
            <w:shd w:val="clear" w:color="auto" w:fill="auto"/>
            <w:vAlign w:val="center"/>
          </w:tcPr>
          <w:p w14:paraId="5A763D78"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b/>
                <w:bCs/>
                <w:color w:val="000000" w:themeColor="text1"/>
                <w:sz w:val="20"/>
                <w:szCs w:val="20"/>
                <w:lang w:eastAsia="en-US"/>
              </w:rPr>
              <w:t>Łączny koszt badań</w:t>
            </w:r>
          </w:p>
          <w:p w14:paraId="05210EC5" w14:textId="77777777" w:rsidR="005E347E" w:rsidRPr="00AA22C4" w:rsidRDefault="005E347E" w:rsidP="0015358E">
            <w:pPr>
              <w:snapToGrid w:val="0"/>
              <w:spacing w:line="276" w:lineRule="auto"/>
              <w:contextualSpacing/>
              <w:jc w:val="center"/>
              <w:rPr>
                <w:rFonts w:ascii="Lato" w:hAnsi="Lato"/>
                <w:color w:val="000000" w:themeColor="text1"/>
                <w:sz w:val="22"/>
                <w:szCs w:val="22"/>
                <w:lang w:eastAsia="en-US"/>
              </w:rPr>
            </w:pPr>
            <w:r w:rsidRPr="00AA22C4">
              <w:rPr>
                <w:rFonts w:ascii="Lato" w:eastAsia="Courier New" w:hAnsi="Lato"/>
                <w:b/>
                <w:bCs/>
                <w:color w:val="000000" w:themeColor="text1"/>
                <w:sz w:val="20"/>
                <w:szCs w:val="20"/>
                <w:lang w:eastAsia="en-US"/>
              </w:rPr>
              <w:t>w zł</w:t>
            </w:r>
          </w:p>
        </w:tc>
      </w:tr>
      <w:tr w:rsidR="00B3776C" w:rsidRPr="00B3776C" w14:paraId="6E1F92A0" w14:textId="77777777" w:rsidTr="0015358E">
        <w:trPr>
          <w:trHeight w:val="637"/>
        </w:trPr>
        <w:tc>
          <w:tcPr>
            <w:tcW w:w="573" w:type="dxa"/>
            <w:shd w:val="clear" w:color="auto" w:fill="auto"/>
            <w:vAlign w:val="center"/>
          </w:tcPr>
          <w:p w14:paraId="205B7131" w14:textId="77777777" w:rsidR="005E347E" w:rsidRPr="00AA22C4" w:rsidRDefault="005E347E" w:rsidP="0015358E">
            <w:pPr>
              <w:tabs>
                <w:tab w:val="decimal" w:pos="142"/>
              </w:tabs>
              <w:snapToGrid w:val="0"/>
              <w:spacing w:line="276" w:lineRule="auto"/>
              <w:ind w:right="113"/>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1</w:t>
            </w:r>
          </w:p>
        </w:tc>
        <w:tc>
          <w:tcPr>
            <w:tcW w:w="4536" w:type="dxa"/>
            <w:shd w:val="clear" w:color="auto" w:fill="auto"/>
            <w:vAlign w:val="center"/>
          </w:tcPr>
          <w:p w14:paraId="6F1237F8" w14:textId="77777777" w:rsidR="005E347E" w:rsidRPr="00AA22C4" w:rsidRDefault="005E347E" w:rsidP="0015358E">
            <w:pPr>
              <w:snapToGrid w:val="0"/>
              <w:spacing w:line="276" w:lineRule="auto"/>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Badania przesiewowe w kierunku wrodzonej niedoczynności tarczycy (356 000 badań)</w:t>
            </w:r>
          </w:p>
        </w:tc>
        <w:tc>
          <w:tcPr>
            <w:tcW w:w="2127" w:type="dxa"/>
            <w:shd w:val="clear" w:color="auto" w:fill="auto"/>
            <w:vAlign w:val="center"/>
          </w:tcPr>
          <w:p w14:paraId="28FA16C3"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10,74</w:t>
            </w:r>
          </w:p>
        </w:tc>
        <w:tc>
          <w:tcPr>
            <w:tcW w:w="1944" w:type="dxa"/>
            <w:shd w:val="clear" w:color="auto" w:fill="auto"/>
            <w:vAlign w:val="center"/>
          </w:tcPr>
          <w:p w14:paraId="1D47FF73" w14:textId="77777777" w:rsidR="005E347E" w:rsidRPr="00AA22C4" w:rsidRDefault="005E347E" w:rsidP="0015358E">
            <w:pPr>
              <w:tabs>
                <w:tab w:val="left" w:pos="1388"/>
              </w:tabs>
              <w:snapToGrid w:val="0"/>
              <w:spacing w:line="276" w:lineRule="auto"/>
              <w:ind w:left="277" w:right="380"/>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3 823 440</w:t>
            </w:r>
          </w:p>
        </w:tc>
      </w:tr>
      <w:tr w:rsidR="00B3776C" w:rsidRPr="00B3776C" w14:paraId="5677B5EA" w14:textId="77777777" w:rsidTr="0015358E">
        <w:trPr>
          <w:trHeight w:val="675"/>
        </w:trPr>
        <w:tc>
          <w:tcPr>
            <w:tcW w:w="573" w:type="dxa"/>
            <w:shd w:val="clear" w:color="auto" w:fill="auto"/>
            <w:vAlign w:val="center"/>
          </w:tcPr>
          <w:p w14:paraId="4C48F8A3" w14:textId="77777777" w:rsidR="005E347E" w:rsidRPr="00AA22C4" w:rsidRDefault="005E347E" w:rsidP="0015358E">
            <w:pPr>
              <w:tabs>
                <w:tab w:val="decimal" w:pos="142"/>
              </w:tabs>
              <w:snapToGrid w:val="0"/>
              <w:spacing w:line="276" w:lineRule="auto"/>
              <w:ind w:right="113"/>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2</w:t>
            </w:r>
          </w:p>
        </w:tc>
        <w:tc>
          <w:tcPr>
            <w:tcW w:w="4536" w:type="dxa"/>
            <w:shd w:val="clear" w:color="auto" w:fill="auto"/>
            <w:vAlign w:val="center"/>
          </w:tcPr>
          <w:p w14:paraId="26777070" w14:textId="77777777" w:rsidR="005E347E" w:rsidRPr="00AA22C4" w:rsidRDefault="005E347E" w:rsidP="0015358E">
            <w:pPr>
              <w:snapToGrid w:val="0"/>
              <w:spacing w:line="276" w:lineRule="auto"/>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Badania przesiewowe w kierunku fenyloketonurii (389 000 badań)</w:t>
            </w:r>
          </w:p>
        </w:tc>
        <w:tc>
          <w:tcPr>
            <w:tcW w:w="2127" w:type="dxa"/>
            <w:tcBorders>
              <w:top w:val="nil"/>
            </w:tcBorders>
            <w:shd w:val="clear" w:color="auto" w:fill="auto"/>
            <w:vAlign w:val="center"/>
          </w:tcPr>
          <w:p w14:paraId="4F214FC1"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8,43</w:t>
            </w:r>
          </w:p>
        </w:tc>
        <w:tc>
          <w:tcPr>
            <w:tcW w:w="1944" w:type="dxa"/>
            <w:tcBorders>
              <w:top w:val="nil"/>
            </w:tcBorders>
            <w:shd w:val="clear" w:color="auto" w:fill="auto"/>
            <w:vAlign w:val="center"/>
          </w:tcPr>
          <w:p w14:paraId="4BFD7B80" w14:textId="77777777" w:rsidR="005E347E" w:rsidRPr="00AA22C4" w:rsidRDefault="005E347E" w:rsidP="0015358E">
            <w:pPr>
              <w:tabs>
                <w:tab w:val="left" w:pos="1388"/>
              </w:tabs>
              <w:snapToGrid w:val="0"/>
              <w:spacing w:line="276" w:lineRule="auto"/>
              <w:ind w:left="277" w:right="380"/>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3 279 270</w:t>
            </w:r>
          </w:p>
        </w:tc>
      </w:tr>
      <w:tr w:rsidR="00B3776C" w:rsidRPr="00B3776C" w14:paraId="295F9D54" w14:textId="77777777" w:rsidTr="0015358E">
        <w:trPr>
          <w:trHeight w:val="660"/>
        </w:trPr>
        <w:tc>
          <w:tcPr>
            <w:tcW w:w="573" w:type="dxa"/>
            <w:shd w:val="clear" w:color="auto" w:fill="auto"/>
            <w:vAlign w:val="center"/>
          </w:tcPr>
          <w:p w14:paraId="498AB8BC" w14:textId="77777777" w:rsidR="005E347E" w:rsidRPr="00AA22C4" w:rsidRDefault="005E347E" w:rsidP="0015358E">
            <w:pPr>
              <w:tabs>
                <w:tab w:val="decimal" w:pos="142"/>
              </w:tabs>
              <w:snapToGrid w:val="0"/>
              <w:spacing w:line="276" w:lineRule="auto"/>
              <w:ind w:right="113"/>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3</w:t>
            </w:r>
          </w:p>
        </w:tc>
        <w:tc>
          <w:tcPr>
            <w:tcW w:w="4536" w:type="dxa"/>
            <w:shd w:val="clear" w:color="auto" w:fill="auto"/>
            <w:vAlign w:val="center"/>
          </w:tcPr>
          <w:p w14:paraId="69DDDF42" w14:textId="77777777" w:rsidR="005E347E" w:rsidRPr="00AA22C4" w:rsidRDefault="005E347E" w:rsidP="0015358E">
            <w:pPr>
              <w:snapToGrid w:val="0"/>
              <w:spacing w:line="276" w:lineRule="auto"/>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Badania przesiewowe w kierunku   mukowiscydozy (356 000 badań)</w:t>
            </w:r>
          </w:p>
        </w:tc>
        <w:tc>
          <w:tcPr>
            <w:tcW w:w="2127" w:type="dxa"/>
            <w:tcBorders>
              <w:top w:val="nil"/>
            </w:tcBorders>
            <w:shd w:val="clear" w:color="auto" w:fill="auto"/>
            <w:vAlign w:val="center"/>
          </w:tcPr>
          <w:p w14:paraId="7FCAD471"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12,82</w:t>
            </w:r>
          </w:p>
        </w:tc>
        <w:tc>
          <w:tcPr>
            <w:tcW w:w="1944" w:type="dxa"/>
            <w:tcBorders>
              <w:top w:val="nil"/>
            </w:tcBorders>
            <w:shd w:val="clear" w:color="auto" w:fill="auto"/>
            <w:vAlign w:val="center"/>
          </w:tcPr>
          <w:p w14:paraId="234501B7" w14:textId="77777777" w:rsidR="005E347E" w:rsidRPr="00AA22C4" w:rsidRDefault="005E347E" w:rsidP="0015358E">
            <w:pPr>
              <w:tabs>
                <w:tab w:val="left" w:pos="1388"/>
              </w:tabs>
              <w:snapToGrid w:val="0"/>
              <w:spacing w:line="276" w:lineRule="auto"/>
              <w:ind w:left="277" w:right="380"/>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4 563 920</w:t>
            </w:r>
          </w:p>
        </w:tc>
      </w:tr>
      <w:tr w:rsidR="00B3776C" w:rsidRPr="00B3776C" w14:paraId="1A9D7768" w14:textId="77777777" w:rsidTr="0015358E">
        <w:trPr>
          <w:trHeight w:val="773"/>
        </w:trPr>
        <w:tc>
          <w:tcPr>
            <w:tcW w:w="573" w:type="dxa"/>
            <w:shd w:val="clear" w:color="auto" w:fill="auto"/>
            <w:vAlign w:val="center"/>
          </w:tcPr>
          <w:p w14:paraId="54235CCE" w14:textId="77777777" w:rsidR="005E347E" w:rsidRPr="00AA22C4" w:rsidRDefault="005E347E" w:rsidP="0015358E">
            <w:pPr>
              <w:tabs>
                <w:tab w:val="decimal" w:pos="142"/>
              </w:tabs>
              <w:snapToGrid w:val="0"/>
              <w:spacing w:line="276" w:lineRule="auto"/>
              <w:ind w:right="113"/>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4</w:t>
            </w:r>
          </w:p>
        </w:tc>
        <w:tc>
          <w:tcPr>
            <w:tcW w:w="4536" w:type="dxa"/>
            <w:shd w:val="clear" w:color="auto" w:fill="auto"/>
            <w:vAlign w:val="center"/>
          </w:tcPr>
          <w:p w14:paraId="6BAC3B00" w14:textId="77777777" w:rsidR="005E347E" w:rsidRPr="00AA22C4" w:rsidRDefault="005E347E" w:rsidP="0015358E">
            <w:pPr>
              <w:snapToGrid w:val="0"/>
              <w:spacing w:line="276" w:lineRule="auto"/>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Badania przesiewowe w kierunku rzadkich wad metabolicznych - MS/MS (356 000 badań)</w:t>
            </w:r>
          </w:p>
        </w:tc>
        <w:tc>
          <w:tcPr>
            <w:tcW w:w="2127" w:type="dxa"/>
            <w:tcBorders>
              <w:top w:val="nil"/>
            </w:tcBorders>
            <w:shd w:val="clear" w:color="auto" w:fill="auto"/>
            <w:vAlign w:val="center"/>
          </w:tcPr>
          <w:p w14:paraId="49606BFB"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14,30</w:t>
            </w:r>
          </w:p>
        </w:tc>
        <w:tc>
          <w:tcPr>
            <w:tcW w:w="1944" w:type="dxa"/>
            <w:tcBorders>
              <w:top w:val="nil"/>
            </w:tcBorders>
            <w:shd w:val="clear" w:color="auto" w:fill="auto"/>
            <w:vAlign w:val="center"/>
          </w:tcPr>
          <w:p w14:paraId="131B5520" w14:textId="77777777" w:rsidR="005E347E" w:rsidRPr="00AA22C4" w:rsidRDefault="005E347E" w:rsidP="0015358E">
            <w:pPr>
              <w:tabs>
                <w:tab w:val="left" w:pos="1388"/>
              </w:tabs>
              <w:snapToGrid w:val="0"/>
              <w:spacing w:line="276" w:lineRule="auto"/>
              <w:ind w:left="277" w:right="380"/>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5 090 800</w:t>
            </w:r>
          </w:p>
        </w:tc>
      </w:tr>
      <w:tr w:rsidR="00B3776C" w:rsidRPr="00B3776C" w14:paraId="73884CFA" w14:textId="77777777" w:rsidTr="0015358E">
        <w:trPr>
          <w:trHeight w:val="276"/>
        </w:trPr>
        <w:tc>
          <w:tcPr>
            <w:tcW w:w="573" w:type="dxa"/>
            <w:shd w:val="clear" w:color="auto" w:fill="auto"/>
            <w:vAlign w:val="center"/>
          </w:tcPr>
          <w:p w14:paraId="25FA8EE6" w14:textId="77777777" w:rsidR="005E347E" w:rsidRPr="00AA22C4" w:rsidRDefault="005E347E" w:rsidP="0015358E">
            <w:pPr>
              <w:tabs>
                <w:tab w:val="decimal" w:pos="142"/>
              </w:tabs>
              <w:snapToGrid w:val="0"/>
              <w:spacing w:line="276" w:lineRule="auto"/>
              <w:ind w:right="113"/>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5</w:t>
            </w:r>
          </w:p>
        </w:tc>
        <w:tc>
          <w:tcPr>
            <w:tcW w:w="4536" w:type="dxa"/>
            <w:shd w:val="clear" w:color="auto" w:fill="auto"/>
            <w:vAlign w:val="center"/>
          </w:tcPr>
          <w:p w14:paraId="1848D749" w14:textId="77777777" w:rsidR="005E347E" w:rsidRPr="00AA22C4" w:rsidRDefault="005E347E" w:rsidP="0015358E">
            <w:pPr>
              <w:snapToGrid w:val="0"/>
              <w:spacing w:line="276" w:lineRule="auto"/>
              <w:ind w:right="74"/>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Badania przesiewowe w kierunku wrodzonego przerostu nadnerczy (356 000 badań)</w:t>
            </w:r>
          </w:p>
        </w:tc>
        <w:tc>
          <w:tcPr>
            <w:tcW w:w="2127" w:type="dxa"/>
            <w:tcBorders>
              <w:top w:val="nil"/>
            </w:tcBorders>
            <w:shd w:val="clear" w:color="auto" w:fill="auto"/>
            <w:vAlign w:val="center"/>
          </w:tcPr>
          <w:p w14:paraId="3D77DB2B"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9,08</w:t>
            </w:r>
          </w:p>
        </w:tc>
        <w:tc>
          <w:tcPr>
            <w:tcW w:w="1944" w:type="dxa"/>
            <w:tcBorders>
              <w:top w:val="nil"/>
            </w:tcBorders>
            <w:shd w:val="clear" w:color="auto" w:fill="auto"/>
            <w:vAlign w:val="center"/>
          </w:tcPr>
          <w:p w14:paraId="3A1FDDAF" w14:textId="77777777" w:rsidR="005E347E" w:rsidRPr="00AA22C4" w:rsidRDefault="005E347E" w:rsidP="0015358E">
            <w:pPr>
              <w:tabs>
                <w:tab w:val="left" w:pos="1388"/>
              </w:tabs>
              <w:snapToGrid w:val="0"/>
              <w:spacing w:line="276" w:lineRule="auto"/>
              <w:ind w:left="277" w:right="380"/>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3 232 480</w:t>
            </w:r>
          </w:p>
        </w:tc>
      </w:tr>
      <w:tr w:rsidR="00B3776C" w:rsidRPr="00B3776C" w14:paraId="6E398FE9" w14:textId="77777777" w:rsidTr="0015358E">
        <w:trPr>
          <w:trHeight w:val="276"/>
        </w:trPr>
        <w:tc>
          <w:tcPr>
            <w:tcW w:w="573" w:type="dxa"/>
            <w:shd w:val="clear" w:color="auto" w:fill="auto"/>
            <w:vAlign w:val="center"/>
          </w:tcPr>
          <w:p w14:paraId="4EFDFAD2" w14:textId="77777777" w:rsidR="005E347E" w:rsidRPr="00AA22C4" w:rsidRDefault="005E347E" w:rsidP="0015358E">
            <w:pPr>
              <w:tabs>
                <w:tab w:val="decimal" w:pos="142"/>
              </w:tabs>
              <w:snapToGrid w:val="0"/>
              <w:spacing w:line="276" w:lineRule="auto"/>
              <w:ind w:right="113"/>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6</w:t>
            </w:r>
          </w:p>
        </w:tc>
        <w:tc>
          <w:tcPr>
            <w:tcW w:w="4536" w:type="dxa"/>
            <w:shd w:val="clear" w:color="auto" w:fill="auto"/>
            <w:vAlign w:val="center"/>
          </w:tcPr>
          <w:p w14:paraId="008C28A1" w14:textId="77777777" w:rsidR="005E347E" w:rsidRPr="00AA22C4" w:rsidRDefault="005E347E" w:rsidP="0015358E">
            <w:pPr>
              <w:snapToGrid w:val="0"/>
              <w:spacing w:line="276" w:lineRule="auto"/>
              <w:ind w:right="74"/>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Badania przesiewowe w kierunku deficytu biotynidazy (356 000 badań)</w:t>
            </w:r>
          </w:p>
        </w:tc>
        <w:tc>
          <w:tcPr>
            <w:tcW w:w="2127" w:type="dxa"/>
            <w:tcBorders>
              <w:top w:val="nil"/>
            </w:tcBorders>
            <w:shd w:val="clear" w:color="auto" w:fill="auto"/>
            <w:vAlign w:val="center"/>
          </w:tcPr>
          <w:p w14:paraId="1BFF4FE7"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3,56</w:t>
            </w:r>
          </w:p>
        </w:tc>
        <w:tc>
          <w:tcPr>
            <w:tcW w:w="1944" w:type="dxa"/>
            <w:tcBorders>
              <w:top w:val="nil"/>
            </w:tcBorders>
            <w:shd w:val="clear" w:color="auto" w:fill="auto"/>
            <w:vAlign w:val="center"/>
          </w:tcPr>
          <w:p w14:paraId="2CA9193A" w14:textId="77777777" w:rsidR="005E347E" w:rsidRPr="00AA22C4" w:rsidRDefault="005E347E" w:rsidP="0015358E">
            <w:pPr>
              <w:tabs>
                <w:tab w:val="left" w:pos="1388"/>
              </w:tabs>
              <w:snapToGrid w:val="0"/>
              <w:spacing w:line="276" w:lineRule="auto"/>
              <w:ind w:left="277" w:right="380"/>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1 267 360</w:t>
            </w:r>
          </w:p>
        </w:tc>
      </w:tr>
      <w:tr w:rsidR="00B3776C" w:rsidRPr="00B3776C" w14:paraId="772BC77D" w14:textId="77777777" w:rsidTr="0015358E">
        <w:trPr>
          <w:trHeight w:val="276"/>
        </w:trPr>
        <w:tc>
          <w:tcPr>
            <w:tcW w:w="573" w:type="dxa"/>
            <w:shd w:val="clear" w:color="auto" w:fill="auto"/>
            <w:vAlign w:val="center"/>
          </w:tcPr>
          <w:p w14:paraId="3152CAEE" w14:textId="77777777" w:rsidR="005E347E" w:rsidRPr="00AA22C4" w:rsidRDefault="005E347E" w:rsidP="0015358E">
            <w:pPr>
              <w:tabs>
                <w:tab w:val="decimal" w:pos="142"/>
              </w:tabs>
              <w:snapToGrid w:val="0"/>
              <w:spacing w:line="276" w:lineRule="auto"/>
              <w:ind w:right="113"/>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7</w:t>
            </w:r>
          </w:p>
        </w:tc>
        <w:tc>
          <w:tcPr>
            <w:tcW w:w="4536" w:type="dxa"/>
            <w:shd w:val="clear" w:color="auto" w:fill="auto"/>
            <w:vAlign w:val="center"/>
          </w:tcPr>
          <w:p w14:paraId="503FD045" w14:textId="77777777" w:rsidR="005E347E" w:rsidRPr="00AA22C4" w:rsidRDefault="005E347E" w:rsidP="0015358E">
            <w:pPr>
              <w:snapToGrid w:val="0"/>
              <w:spacing w:line="276" w:lineRule="auto"/>
              <w:ind w:right="74"/>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Badania przesiewowe w kierunku rdzeniowego zaniku mięśni (274 000 badań) </w:t>
            </w:r>
            <w:r w:rsidRPr="00AA22C4">
              <w:rPr>
                <w:rStyle w:val="Odwoanieprzypisudolnego"/>
                <w:rFonts w:ascii="Lato" w:hAnsi="Lato"/>
                <w:color w:val="000000" w:themeColor="text1"/>
                <w:sz w:val="20"/>
                <w:szCs w:val="20"/>
                <w:lang w:eastAsia="en-US"/>
              </w:rPr>
              <w:footnoteReference w:id="5"/>
            </w:r>
          </w:p>
        </w:tc>
        <w:tc>
          <w:tcPr>
            <w:tcW w:w="2127" w:type="dxa"/>
            <w:tcBorders>
              <w:top w:val="nil"/>
            </w:tcBorders>
            <w:shd w:val="clear" w:color="auto" w:fill="auto"/>
            <w:vAlign w:val="center"/>
          </w:tcPr>
          <w:p w14:paraId="3B25CFAB" w14:textId="77777777" w:rsidR="005E347E" w:rsidRPr="00AA22C4" w:rsidRDefault="005E347E" w:rsidP="0015358E">
            <w:pPr>
              <w:snapToGrid w:val="0"/>
              <w:spacing w:line="276" w:lineRule="auto"/>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11,15</w:t>
            </w:r>
          </w:p>
        </w:tc>
        <w:tc>
          <w:tcPr>
            <w:tcW w:w="1944" w:type="dxa"/>
            <w:tcBorders>
              <w:top w:val="nil"/>
            </w:tcBorders>
            <w:shd w:val="clear" w:color="auto" w:fill="auto"/>
            <w:vAlign w:val="center"/>
          </w:tcPr>
          <w:p w14:paraId="349C9C7A" w14:textId="77777777" w:rsidR="005E347E" w:rsidRPr="00AA22C4" w:rsidRDefault="005E347E" w:rsidP="0015358E">
            <w:pPr>
              <w:tabs>
                <w:tab w:val="left" w:pos="1388"/>
              </w:tabs>
              <w:snapToGrid w:val="0"/>
              <w:spacing w:line="276" w:lineRule="auto"/>
              <w:ind w:left="277" w:right="380"/>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3 055 100</w:t>
            </w:r>
          </w:p>
        </w:tc>
      </w:tr>
      <w:tr w:rsidR="00B3776C" w:rsidRPr="00B3776C" w14:paraId="155E483A" w14:textId="77777777" w:rsidTr="0015358E">
        <w:trPr>
          <w:trHeight w:val="454"/>
        </w:trPr>
        <w:tc>
          <w:tcPr>
            <w:tcW w:w="7236" w:type="dxa"/>
            <w:gridSpan w:val="3"/>
            <w:shd w:val="clear" w:color="auto" w:fill="auto"/>
            <w:vAlign w:val="center"/>
          </w:tcPr>
          <w:p w14:paraId="6590F813" w14:textId="77777777" w:rsidR="005E347E" w:rsidRPr="00AA22C4" w:rsidRDefault="005E347E" w:rsidP="0015358E">
            <w:pPr>
              <w:snapToGrid w:val="0"/>
              <w:spacing w:line="276" w:lineRule="auto"/>
              <w:ind w:left="214" w:right="71"/>
              <w:contextualSpacing/>
              <w:jc w:val="right"/>
              <w:rPr>
                <w:rFonts w:ascii="Lato" w:hAnsi="Lato"/>
                <w:color w:val="000000" w:themeColor="text1"/>
                <w:sz w:val="20"/>
                <w:szCs w:val="20"/>
                <w:lang w:eastAsia="en-US"/>
              </w:rPr>
            </w:pPr>
            <w:r w:rsidRPr="00AA22C4">
              <w:rPr>
                <w:rFonts w:ascii="Lato" w:hAnsi="Lato"/>
                <w:b/>
                <w:color w:val="000000" w:themeColor="text1"/>
                <w:sz w:val="20"/>
                <w:szCs w:val="20"/>
                <w:lang w:eastAsia="en-US"/>
              </w:rPr>
              <w:t>Razem:</w:t>
            </w:r>
          </w:p>
        </w:tc>
        <w:tc>
          <w:tcPr>
            <w:tcW w:w="1944" w:type="dxa"/>
            <w:shd w:val="clear" w:color="auto" w:fill="auto"/>
            <w:vAlign w:val="center"/>
          </w:tcPr>
          <w:p w14:paraId="0589DFE0" w14:textId="77777777" w:rsidR="005E347E" w:rsidRPr="00AA22C4" w:rsidRDefault="005E347E" w:rsidP="0015358E">
            <w:pPr>
              <w:snapToGrid w:val="0"/>
              <w:spacing w:line="276" w:lineRule="auto"/>
              <w:ind w:right="73"/>
              <w:contextualSpacing/>
              <w:jc w:val="center"/>
              <w:rPr>
                <w:rFonts w:ascii="Lato" w:hAnsi="Lato"/>
                <w:color w:val="000000" w:themeColor="text1"/>
                <w:sz w:val="20"/>
                <w:szCs w:val="20"/>
                <w:lang w:eastAsia="en-US"/>
              </w:rPr>
            </w:pPr>
            <w:r w:rsidRPr="00AA22C4">
              <w:rPr>
                <w:rFonts w:ascii="Lato" w:hAnsi="Lato"/>
                <w:b/>
                <w:color w:val="000000" w:themeColor="text1"/>
                <w:sz w:val="20"/>
                <w:szCs w:val="20"/>
                <w:lang w:eastAsia="en-US"/>
              </w:rPr>
              <w:t>24 312 370  </w:t>
            </w:r>
          </w:p>
        </w:tc>
      </w:tr>
      <w:tr w:rsidR="00B3776C" w:rsidRPr="00B3776C" w14:paraId="3CECFA7E" w14:textId="77777777" w:rsidTr="0015358E">
        <w:trPr>
          <w:trHeight w:val="567"/>
        </w:trPr>
        <w:tc>
          <w:tcPr>
            <w:tcW w:w="9180" w:type="dxa"/>
            <w:gridSpan w:val="4"/>
            <w:shd w:val="clear" w:color="auto" w:fill="E7E6E6"/>
            <w:vAlign w:val="center"/>
          </w:tcPr>
          <w:p w14:paraId="5D05A738" w14:textId="2E745596" w:rsidR="005E347E" w:rsidRPr="00AA22C4" w:rsidRDefault="005E347E" w:rsidP="00775DDD">
            <w:pPr>
              <w:rPr>
                <w:rFonts w:ascii="Lato" w:hAnsi="Lato"/>
                <w:color w:val="000000" w:themeColor="text1"/>
                <w:sz w:val="20"/>
                <w:szCs w:val="20"/>
                <w:lang w:eastAsia="en-US"/>
              </w:rPr>
            </w:pPr>
            <w:r w:rsidRPr="00AA22C4">
              <w:rPr>
                <w:rFonts w:ascii="Lato" w:hAnsi="Lato"/>
                <w:b/>
                <w:color w:val="000000" w:themeColor="text1"/>
                <w:sz w:val="20"/>
                <w:szCs w:val="20"/>
                <w:lang w:eastAsia="en-US"/>
              </w:rPr>
              <w:t xml:space="preserve">Koszt testów diagnostycznych i odczynników na rok </w:t>
            </w:r>
            <w:proofErr w:type="gramStart"/>
            <w:r w:rsidRPr="00AA22C4">
              <w:rPr>
                <w:rFonts w:ascii="Lato" w:hAnsi="Lato"/>
                <w:b/>
                <w:color w:val="000000" w:themeColor="text1"/>
                <w:sz w:val="20"/>
                <w:szCs w:val="20"/>
                <w:lang w:eastAsia="en-US"/>
              </w:rPr>
              <w:t>2022</w:t>
            </w:r>
            <w:r w:rsidR="00A04888" w:rsidRPr="00AA22C4">
              <w:rPr>
                <w:rFonts w:ascii="Lato" w:hAnsi="Lato"/>
                <w:b/>
                <w:color w:val="000000" w:themeColor="text1"/>
                <w:sz w:val="20"/>
                <w:szCs w:val="20"/>
                <w:lang w:eastAsia="en-US"/>
              </w:rPr>
              <w:t>r.</w:t>
            </w:r>
            <w:proofErr w:type="gramEnd"/>
            <w:r w:rsidR="00A04888" w:rsidRPr="00AA22C4">
              <w:rPr>
                <w:rFonts w:ascii="Lato" w:hAnsi="Lato"/>
                <w:b/>
                <w:color w:val="000000" w:themeColor="text1"/>
                <w:sz w:val="20"/>
                <w:szCs w:val="20"/>
                <w:lang w:eastAsia="en-US"/>
              </w:rPr>
              <w:t xml:space="preserve"> </w:t>
            </w:r>
            <w:r w:rsidRPr="00AA22C4">
              <w:rPr>
                <w:rFonts w:ascii="Lato" w:hAnsi="Lato"/>
                <w:b/>
                <w:color w:val="000000" w:themeColor="text1"/>
                <w:sz w:val="20"/>
                <w:szCs w:val="20"/>
                <w:lang w:eastAsia="en-US"/>
              </w:rPr>
              <w:t xml:space="preserve"> i </w:t>
            </w:r>
            <w:proofErr w:type="spellStart"/>
            <w:r w:rsidRPr="00AA22C4">
              <w:rPr>
                <w:rFonts w:ascii="Lato" w:hAnsi="Lato"/>
                <w:b/>
                <w:color w:val="000000" w:themeColor="text1"/>
                <w:sz w:val="20"/>
                <w:szCs w:val="20"/>
                <w:lang w:eastAsia="en-US"/>
              </w:rPr>
              <w:t>I</w:t>
            </w:r>
            <w:proofErr w:type="spellEnd"/>
            <w:r w:rsidRPr="00AA22C4">
              <w:rPr>
                <w:rFonts w:ascii="Lato" w:hAnsi="Lato"/>
                <w:b/>
                <w:color w:val="000000" w:themeColor="text1"/>
                <w:sz w:val="20"/>
                <w:szCs w:val="20"/>
                <w:lang w:eastAsia="en-US"/>
              </w:rPr>
              <w:t xml:space="preserve"> kwartał 2023 </w:t>
            </w:r>
            <w:r w:rsidR="00A04888" w:rsidRPr="00AA22C4">
              <w:rPr>
                <w:rFonts w:ascii="Lato" w:hAnsi="Lato"/>
                <w:b/>
                <w:color w:val="000000" w:themeColor="text1"/>
                <w:sz w:val="20"/>
                <w:szCs w:val="20"/>
                <w:lang w:eastAsia="en-US"/>
              </w:rPr>
              <w:t xml:space="preserve">r. </w:t>
            </w:r>
            <w:r w:rsidRPr="00AA22C4">
              <w:rPr>
                <w:rFonts w:ascii="Lato" w:hAnsi="Lato"/>
                <w:color w:val="000000" w:themeColor="text1"/>
                <w:sz w:val="20"/>
                <w:szCs w:val="20"/>
                <w:lang w:eastAsia="en-US"/>
              </w:rPr>
              <w:t>(Zawiera VAT 8% lub 23%):</w:t>
            </w:r>
          </w:p>
        </w:tc>
      </w:tr>
      <w:tr w:rsidR="00B3776C" w:rsidRPr="00B3776C" w14:paraId="5012ED62" w14:textId="77777777" w:rsidTr="0015358E">
        <w:trPr>
          <w:trHeight w:val="735"/>
        </w:trPr>
        <w:tc>
          <w:tcPr>
            <w:tcW w:w="573" w:type="dxa"/>
            <w:shd w:val="clear" w:color="auto" w:fill="auto"/>
            <w:vAlign w:val="center"/>
          </w:tcPr>
          <w:p w14:paraId="6A5283DF" w14:textId="77777777" w:rsidR="005E347E" w:rsidRPr="00AA22C4" w:rsidRDefault="005E347E" w:rsidP="0015358E">
            <w:pPr>
              <w:tabs>
                <w:tab w:val="decimal" w:pos="142"/>
              </w:tabs>
              <w:snapToGrid w:val="0"/>
              <w:spacing w:line="276" w:lineRule="auto"/>
              <w:ind w:right="113"/>
              <w:contextualSpacing/>
              <w:jc w:val="center"/>
              <w:rPr>
                <w:rFonts w:ascii="Lato" w:hAnsi="Lato"/>
                <w:bCs/>
                <w:color w:val="000000" w:themeColor="text1"/>
                <w:sz w:val="20"/>
                <w:szCs w:val="20"/>
                <w:lang w:eastAsia="en-US"/>
              </w:rPr>
            </w:pPr>
            <w:r w:rsidRPr="00AA22C4">
              <w:rPr>
                <w:rFonts w:ascii="Lato" w:hAnsi="Lato"/>
                <w:bCs/>
                <w:color w:val="000000" w:themeColor="text1"/>
                <w:sz w:val="20"/>
                <w:szCs w:val="20"/>
                <w:lang w:eastAsia="en-US"/>
              </w:rPr>
              <w:t>8</w:t>
            </w:r>
          </w:p>
        </w:tc>
        <w:tc>
          <w:tcPr>
            <w:tcW w:w="6663" w:type="dxa"/>
            <w:gridSpan w:val="2"/>
            <w:shd w:val="clear" w:color="auto" w:fill="auto"/>
            <w:vAlign w:val="center"/>
          </w:tcPr>
          <w:p w14:paraId="7A99E284" w14:textId="29458189" w:rsidR="005E347E" w:rsidRPr="00AA22C4" w:rsidRDefault="005E347E" w:rsidP="0015358E">
            <w:pPr>
              <w:snapToGrid w:val="0"/>
              <w:spacing w:line="276" w:lineRule="auto"/>
              <w:ind w:right="71"/>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Koszt testów diagnostycznych i odczynników do badań przesiewowych noworodków w 2022 </w:t>
            </w:r>
            <w:r w:rsidR="00A04888" w:rsidRPr="00AA22C4">
              <w:rPr>
                <w:rFonts w:ascii="Lato" w:hAnsi="Lato"/>
                <w:color w:val="000000" w:themeColor="text1"/>
                <w:sz w:val="20"/>
                <w:szCs w:val="20"/>
                <w:lang w:eastAsia="en-US"/>
              </w:rPr>
              <w:t xml:space="preserve">r. </w:t>
            </w:r>
            <w:r w:rsidRPr="00AA22C4">
              <w:rPr>
                <w:rFonts w:ascii="Lato" w:hAnsi="Lato"/>
                <w:color w:val="000000" w:themeColor="text1"/>
                <w:sz w:val="20"/>
                <w:szCs w:val="20"/>
                <w:lang w:eastAsia="en-US"/>
              </w:rPr>
              <w:t xml:space="preserve">oraz na zabezpieczenie badań w I kwartale 2023  </w:t>
            </w:r>
          </w:p>
        </w:tc>
        <w:tc>
          <w:tcPr>
            <w:tcW w:w="1944" w:type="dxa"/>
            <w:shd w:val="clear" w:color="auto" w:fill="auto"/>
            <w:vAlign w:val="center"/>
          </w:tcPr>
          <w:p w14:paraId="7C93E05B" w14:textId="77777777" w:rsidR="005E347E" w:rsidRPr="00AA22C4" w:rsidRDefault="005E347E" w:rsidP="0015358E">
            <w:pPr>
              <w:snapToGrid w:val="0"/>
              <w:spacing w:line="276" w:lineRule="auto"/>
              <w:ind w:left="135" w:right="215"/>
              <w:contextualSpacing/>
              <w:jc w:val="center"/>
              <w:rPr>
                <w:rFonts w:ascii="Lato" w:hAnsi="Lato"/>
                <w:color w:val="000000" w:themeColor="text1"/>
                <w:sz w:val="20"/>
                <w:szCs w:val="20"/>
                <w:lang w:eastAsia="en-US"/>
              </w:rPr>
            </w:pPr>
            <w:r w:rsidRPr="00AA22C4">
              <w:rPr>
                <w:rFonts w:ascii="Lato" w:hAnsi="Lato"/>
                <w:b/>
                <w:bCs/>
                <w:color w:val="000000" w:themeColor="text1"/>
                <w:sz w:val="20"/>
                <w:szCs w:val="20"/>
                <w:lang w:eastAsia="en-US"/>
              </w:rPr>
              <w:t>16 451 000</w:t>
            </w:r>
          </w:p>
        </w:tc>
      </w:tr>
      <w:tr w:rsidR="00B3776C" w:rsidRPr="00B3776C" w14:paraId="33D9AB47" w14:textId="77777777" w:rsidTr="0015358E">
        <w:trPr>
          <w:trHeight w:val="506"/>
        </w:trPr>
        <w:tc>
          <w:tcPr>
            <w:tcW w:w="9180" w:type="dxa"/>
            <w:gridSpan w:val="4"/>
            <w:shd w:val="clear" w:color="auto" w:fill="E7E6E6"/>
            <w:vAlign w:val="center"/>
          </w:tcPr>
          <w:p w14:paraId="012998DB" w14:textId="77777777" w:rsidR="005E347E" w:rsidRPr="00AA22C4" w:rsidRDefault="005E347E" w:rsidP="0015358E">
            <w:pPr>
              <w:snapToGrid w:val="0"/>
              <w:spacing w:line="276" w:lineRule="auto"/>
              <w:ind w:left="110" w:right="-25"/>
              <w:contextualSpacing/>
              <w:jc w:val="center"/>
              <w:rPr>
                <w:rFonts w:ascii="Lato" w:hAnsi="Lato"/>
                <w:b/>
                <w:color w:val="000000" w:themeColor="text1"/>
                <w:sz w:val="20"/>
                <w:szCs w:val="20"/>
                <w:lang w:eastAsia="en-US"/>
              </w:rPr>
            </w:pPr>
            <w:r w:rsidRPr="00AA22C4">
              <w:rPr>
                <w:rFonts w:ascii="Lato" w:hAnsi="Lato"/>
                <w:b/>
                <w:bCs/>
                <w:color w:val="000000" w:themeColor="text1"/>
                <w:sz w:val="20"/>
                <w:szCs w:val="20"/>
                <w:lang w:eastAsia="en-US"/>
              </w:rPr>
              <w:t>Koszty ogólnokrajowe oraz koordynacja i monitorowanie programu:</w:t>
            </w:r>
          </w:p>
        </w:tc>
      </w:tr>
      <w:tr w:rsidR="00B3776C" w:rsidRPr="00B3776C" w14:paraId="0A15EE07" w14:textId="77777777" w:rsidTr="0015358E">
        <w:trPr>
          <w:trHeight w:val="349"/>
        </w:trPr>
        <w:tc>
          <w:tcPr>
            <w:tcW w:w="573" w:type="dxa"/>
            <w:shd w:val="clear" w:color="auto" w:fill="auto"/>
            <w:vAlign w:val="center"/>
          </w:tcPr>
          <w:p w14:paraId="408C9298" w14:textId="77777777" w:rsidR="005E347E" w:rsidRPr="00AA22C4" w:rsidRDefault="005E347E" w:rsidP="0015358E">
            <w:pPr>
              <w:snapToGrid w:val="0"/>
              <w:spacing w:line="276" w:lineRule="auto"/>
              <w:ind w:left="-25" w:right="5"/>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9</w:t>
            </w:r>
          </w:p>
        </w:tc>
        <w:tc>
          <w:tcPr>
            <w:tcW w:w="6663" w:type="dxa"/>
            <w:gridSpan w:val="2"/>
            <w:shd w:val="clear" w:color="auto" w:fill="auto"/>
            <w:vAlign w:val="center"/>
          </w:tcPr>
          <w:p w14:paraId="6BE0A15A" w14:textId="77777777" w:rsidR="005E347E" w:rsidRPr="00AA22C4" w:rsidRDefault="005E347E" w:rsidP="0015358E">
            <w:pPr>
              <w:snapToGrid w:val="0"/>
              <w:spacing w:line="276" w:lineRule="auto"/>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Prowadzenie rejestru noworodków </w:t>
            </w:r>
          </w:p>
        </w:tc>
        <w:tc>
          <w:tcPr>
            <w:tcW w:w="1944" w:type="dxa"/>
            <w:shd w:val="clear" w:color="auto" w:fill="auto"/>
            <w:vAlign w:val="center"/>
          </w:tcPr>
          <w:p w14:paraId="239AF0D5" w14:textId="77777777" w:rsidR="005E347E" w:rsidRPr="00AA22C4" w:rsidRDefault="005E347E" w:rsidP="0015358E">
            <w:pPr>
              <w:snapToGrid w:val="0"/>
              <w:spacing w:line="276" w:lineRule="auto"/>
              <w:ind w:right="73"/>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87 600</w:t>
            </w:r>
          </w:p>
        </w:tc>
      </w:tr>
      <w:tr w:rsidR="00B3776C" w:rsidRPr="00B3776C" w14:paraId="389A45FE" w14:textId="77777777" w:rsidTr="0015358E">
        <w:trPr>
          <w:trHeight w:val="349"/>
        </w:trPr>
        <w:tc>
          <w:tcPr>
            <w:tcW w:w="573" w:type="dxa"/>
            <w:shd w:val="clear" w:color="auto" w:fill="auto"/>
            <w:vAlign w:val="center"/>
          </w:tcPr>
          <w:p w14:paraId="0659436F" w14:textId="77777777" w:rsidR="005E347E" w:rsidRPr="00AA22C4" w:rsidRDefault="005E347E" w:rsidP="0015358E">
            <w:pPr>
              <w:snapToGrid w:val="0"/>
              <w:spacing w:line="276" w:lineRule="auto"/>
              <w:ind w:left="-25" w:right="5"/>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10</w:t>
            </w:r>
          </w:p>
        </w:tc>
        <w:tc>
          <w:tcPr>
            <w:tcW w:w="6663" w:type="dxa"/>
            <w:gridSpan w:val="2"/>
            <w:tcBorders>
              <w:bottom w:val="single" w:sz="4" w:space="0" w:color="auto"/>
            </w:tcBorders>
            <w:shd w:val="clear" w:color="auto" w:fill="auto"/>
            <w:vAlign w:val="center"/>
          </w:tcPr>
          <w:p w14:paraId="297CB857" w14:textId="77777777" w:rsidR="005E347E" w:rsidRPr="00AA22C4" w:rsidRDefault="005E347E" w:rsidP="0015358E">
            <w:pPr>
              <w:snapToGrid w:val="0"/>
              <w:spacing w:line="276" w:lineRule="auto"/>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Korespondencja, przesyłki, łączność elektroniczna</w:t>
            </w:r>
          </w:p>
        </w:tc>
        <w:tc>
          <w:tcPr>
            <w:tcW w:w="1944" w:type="dxa"/>
            <w:tcBorders>
              <w:top w:val="nil"/>
              <w:bottom w:val="single" w:sz="4" w:space="0" w:color="auto"/>
            </w:tcBorders>
            <w:shd w:val="clear" w:color="auto" w:fill="auto"/>
            <w:vAlign w:val="center"/>
          </w:tcPr>
          <w:p w14:paraId="30B8B23B" w14:textId="77777777" w:rsidR="005E347E" w:rsidRPr="00AA22C4" w:rsidRDefault="005E347E" w:rsidP="0015358E">
            <w:pPr>
              <w:snapToGrid w:val="0"/>
              <w:spacing w:line="276" w:lineRule="auto"/>
              <w:ind w:right="73"/>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29 640</w:t>
            </w:r>
          </w:p>
        </w:tc>
      </w:tr>
      <w:tr w:rsidR="00B3776C" w:rsidRPr="00B3776C" w14:paraId="3263100D" w14:textId="77777777" w:rsidTr="0015358E">
        <w:trPr>
          <w:trHeight w:val="360"/>
        </w:trPr>
        <w:tc>
          <w:tcPr>
            <w:tcW w:w="573" w:type="dxa"/>
            <w:shd w:val="clear" w:color="auto" w:fill="auto"/>
            <w:vAlign w:val="center"/>
          </w:tcPr>
          <w:p w14:paraId="117C02D5" w14:textId="77777777" w:rsidR="005E347E" w:rsidRPr="00AA22C4" w:rsidRDefault="005E347E" w:rsidP="0015358E">
            <w:pPr>
              <w:snapToGrid w:val="0"/>
              <w:spacing w:line="276" w:lineRule="auto"/>
              <w:ind w:left="-25" w:right="5"/>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11</w:t>
            </w:r>
          </w:p>
        </w:tc>
        <w:tc>
          <w:tcPr>
            <w:tcW w:w="6663" w:type="dxa"/>
            <w:gridSpan w:val="2"/>
            <w:tcBorders>
              <w:top w:val="single" w:sz="4" w:space="0" w:color="auto"/>
            </w:tcBorders>
            <w:shd w:val="clear" w:color="auto" w:fill="auto"/>
            <w:vAlign w:val="center"/>
          </w:tcPr>
          <w:p w14:paraId="5D856BE3" w14:textId="77777777" w:rsidR="005E347E" w:rsidRPr="00AA22C4" w:rsidRDefault="005E347E" w:rsidP="0015358E">
            <w:pPr>
              <w:snapToGrid w:val="0"/>
              <w:spacing w:line="276" w:lineRule="auto"/>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Szkolenia, konferencje, delegacje krajowe</w:t>
            </w:r>
          </w:p>
        </w:tc>
        <w:tc>
          <w:tcPr>
            <w:tcW w:w="1944" w:type="dxa"/>
            <w:tcBorders>
              <w:top w:val="single" w:sz="4" w:space="0" w:color="auto"/>
            </w:tcBorders>
            <w:shd w:val="clear" w:color="auto" w:fill="auto"/>
            <w:vAlign w:val="center"/>
          </w:tcPr>
          <w:p w14:paraId="6288BA61" w14:textId="77777777" w:rsidR="005E347E" w:rsidRPr="00AA22C4" w:rsidRDefault="005E347E" w:rsidP="0015358E">
            <w:pPr>
              <w:snapToGrid w:val="0"/>
              <w:spacing w:line="276" w:lineRule="auto"/>
              <w:ind w:right="73"/>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34 680</w:t>
            </w:r>
          </w:p>
        </w:tc>
      </w:tr>
      <w:tr w:rsidR="00B3776C" w:rsidRPr="00B3776C" w14:paraId="72684CDD" w14:textId="77777777" w:rsidTr="0015358E">
        <w:trPr>
          <w:trHeight w:val="390"/>
        </w:trPr>
        <w:tc>
          <w:tcPr>
            <w:tcW w:w="573" w:type="dxa"/>
            <w:shd w:val="clear" w:color="auto" w:fill="auto"/>
            <w:vAlign w:val="center"/>
          </w:tcPr>
          <w:p w14:paraId="1D6BA362" w14:textId="77777777" w:rsidR="005E347E" w:rsidRPr="00AA22C4" w:rsidRDefault="005E347E" w:rsidP="0015358E">
            <w:pPr>
              <w:snapToGrid w:val="0"/>
              <w:spacing w:line="276" w:lineRule="auto"/>
              <w:ind w:left="-25" w:right="5"/>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12</w:t>
            </w:r>
          </w:p>
        </w:tc>
        <w:tc>
          <w:tcPr>
            <w:tcW w:w="6663" w:type="dxa"/>
            <w:gridSpan w:val="2"/>
            <w:shd w:val="clear" w:color="auto" w:fill="auto"/>
            <w:vAlign w:val="center"/>
          </w:tcPr>
          <w:p w14:paraId="4567A637" w14:textId="77777777" w:rsidR="005E347E" w:rsidRPr="00AA22C4" w:rsidRDefault="005E347E" w:rsidP="0015358E">
            <w:pPr>
              <w:snapToGrid w:val="0"/>
              <w:spacing w:line="276" w:lineRule="auto"/>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Opracowanie treści oraz grafiki na stronę internetową oraz do materiałów informacyjnych</w:t>
            </w:r>
          </w:p>
        </w:tc>
        <w:tc>
          <w:tcPr>
            <w:tcW w:w="1944" w:type="dxa"/>
            <w:tcBorders>
              <w:top w:val="nil"/>
            </w:tcBorders>
            <w:shd w:val="clear" w:color="auto" w:fill="auto"/>
            <w:vAlign w:val="center"/>
          </w:tcPr>
          <w:p w14:paraId="34606DFD" w14:textId="77777777" w:rsidR="005E347E" w:rsidRPr="00AA22C4" w:rsidRDefault="005E347E" w:rsidP="0015358E">
            <w:pPr>
              <w:snapToGrid w:val="0"/>
              <w:spacing w:line="276" w:lineRule="auto"/>
              <w:ind w:right="73"/>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39 120</w:t>
            </w:r>
          </w:p>
        </w:tc>
      </w:tr>
      <w:tr w:rsidR="00B3776C" w:rsidRPr="00B3776C" w14:paraId="5C33C100" w14:textId="77777777" w:rsidTr="0015358E">
        <w:trPr>
          <w:trHeight w:val="330"/>
        </w:trPr>
        <w:tc>
          <w:tcPr>
            <w:tcW w:w="573" w:type="dxa"/>
            <w:shd w:val="clear" w:color="auto" w:fill="auto"/>
            <w:vAlign w:val="center"/>
          </w:tcPr>
          <w:p w14:paraId="26599ED7" w14:textId="77777777" w:rsidR="005E347E" w:rsidRPr="00AA22C4" w:rsidRDefault="005E347E" w:rsidP="0015358E">
            <w:pPr>
              <w:snapToGrid w:val="0"/>
              <w:spacing w:line="276" w:lineRule="auto"/>
              <w:ind w:left="-25" w:right="5"/>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13</w:t>
            </w:r>
          </w:p>
        </w:tc>
        <w:tc>
          <w:tcPr>
            <w:tcW w:w="6663" w:type="dxa"/>
            <w:gridSpan w:val="2"/>
            <w:shd w:val="clear" w:color="auto" w:fill="auto"/>
            <w:vAlign w:val="center"/>
          </w:tcPr>
          <w:p w14:paraId="572F6EF4" w14:textId="77777777" w:rsidR="005E347E" w:rsidRPr="00AA22C4" w:rsidRDefault="005E347E" w:rsidP="0015358E">
            <w:pPr>
              <w:snapToGrid w:val="0"/>
              <w:spacing w:line="276" w:lineRule="auto"/>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 xml:space="preserve">Koszty osobowe </w:t>
            </w:r>
          </w:p>
        </w:tc>
        <w:tc>
          <w:tcPr>
            <w:tcW w:w="1944" w:type="dxa"/>
            <w:tcBorders>
              <w:top w:val="nil"/>
            </w:tcBorders>
            <w:shd w:val="clear" w:color="auto" w:fill="auto"/>
            <w:vAlign w:val="center"/>
          </w:tcPr>
          <w:p w14:paraId="51C0601B" w14:textId="77777777" w:rsidR="005E347E" w:rsidRPr="00AA22C4" w:rsidRDefault="005E347E" w:rsidP="0015358E">
            <w:pPr>
              <w:snapToGrid w:val="0"/>
              <w:spacing w:line="276" w:lineRule="auto"/>
              <w:ind w:right="73"/>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170 760</w:t>
            </w:r>
          </w:p>
        </w:tc>
      </w:tr>
      <w:tr w:rsidR="00B3776C" w:rsidRPr="00B3776C" w14:paraId="37EA4C7F" w14:textId="77777777" w:rsidTr="0015358E">
        <w:trPr>
          <w:trHeight w:val="287"/>
        </w:trPr>
        <w:tc>
          <w:tcPr>
            <w:tcW w:w="573" w:type="dxa"/>
            <w:shd w:val="clear" w:color="auto" w:fill="auto"/>
            <w:vAlign w:val="center"/>
          </w:tcPr>
          <w:p w14:paraId="48800AFF" w14:textId="77777777" w:rsidR="005E347E" w:rsidRPr="00AA22C4" w:rsidRDefault="005E347E" w:rsidP="0015358E">
            <w:pPr>
              <w:snapToGrid w:val="0"/>
              <w:spacing w:line="276" w:lineRule="auto"/>
              <w:ind w:left="-25" w:right="5"/>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14</w:t>
            </w:r>
          </w:p>
        </w:tc>
        <w:tc>
          <w:tcPr>
            <w:tcW w:w="6663" w:type="dxa"/>
            <w:gridSpan w:val="2"/>
            <w:shd w:val="clear" w:color="auto" w:fill="auto"/>
            <w:vAlign w:val="center"/>
          </w:tcPr>
          <w:p w14:paraId="7332A4FC" w14:textId="77777777" w:rsidR="005E347E" w:rsidRPr="00AA22C4" w:rsidRDefault="005E347E" w:rsidP="0015358E">
            <w:pPr>
              <w:snapToGrid w:val="0"/>
              <w:spacing w:line="276" w:lineRule="auto"/>
              <w:contextualSpacing/>
              <w:rPr>
                <w:rFonts w:ascii="Lato" w:hAnsi="Lato"/>
                <w:color w:val="000000" w:themeColor="text1"/>
                <w:sz w:val="20"/>
                <w:szCs w:val="20"/>
                <w:lang w:eastAsia="en-US"/>
              </w:rPr>
            </w:pPr>
            <w:r w:rsidRPr="00AA22C4">
              <w:rPr>
                <w:rFonts w:ascii="Lato" w:hAnsi="Lato"/>
                <w:color w:val="000000" w:themeColor="text1"/>
                <w:sz w:val="20"/>
                <w:szCs w:val="20"/>
                <w:lang w:eastAsia="en-US"/>
              </w:rPr>
              <w:t>Opracowanie oraz druk ulotek, materiałów informacyjnych, plakatów, instrukcji, etykiet z kodem.</w:t>
            </w:r>
          </w:p>
        </w:tc>
        <w:tc>
          <w:tcPr>
            <w:tcW w:w="1944" w:type="dxa"/>
            <w:tcBorders>
              <w:top w:val="nil"/>
            </w:tcBorders>
            <w:shd w:val="clear" w:color="auto" w:fill="auto"/>
            <w:vAlign w:val="center"/>
          </w:tcPr>
          <w:p w14:paraId="78F05B45" w14:textId="77777777" w:rsidR="005E347E" w:rsidRPr="00AA22C4" w:rsidRDefault="005E347E" w:rsidP="0015358E">
            <w:pPr>
              <w:snapToGrid w:val="0"/>
              <w:spacing w:line="276" w:lineRule="auto"/>
              <w:ind w:right="73"/>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172 800</w:t>
            </w:r>
          </w:p>
        </w:tc>
      </w:tr>
      <w:tr w:rsidR="00B3776C" w:rsidRPr="00B3776C" w14:paraId="1422794D" w14:textId="77777777" w:rsidTr="0015358E">
        <w:trPr>
          <w:trHeight w:val="287"/>
        </w:trPr>
        <w:tc>
          <w:tcPr>
            <w:tcW w:w="573" w:type="dxa"/>
            <w:shd w:val="clear" w:color="auto" w:fill="auto"/>
            <w:vAlign w:val="center"/>
          </w:tcPr>
          <w:p w14:paraId="3285634D" w14:textId="77777777" w:rsidR="005E347E" w:rsidRPr="00AA22C4" w:rsidRDefault="005E347E" w:rsidP="0015358E">
            <w:pPr>
              <w:snapToGrid w:val="0"/>
              <w:spacing w:line="276" w:lineRule="auto"/>
              <w:ind w:left="-25" w:right="5"/>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15</w:t>
            </w:r>
          </w:p>
        </w:tc>
        <w:tc>
          <w:tcPr>
            <w:tcW w:w="6663" w:type="dxa"/>
            <w:gridSpan w:val="2"/>
            <w:shd w:val="clear" w:color="auto" w:fill="auto"/>
            <w:vAlign w:val="center"/>
          </w:tcPr>
          <w:p w14:paraId="423F5F88" w14:textId="77777777" w:rsidR="005E347E" w:rsidRPr="00AA22C4" w:rsidRDefault="005E347E" w:rsidP="0015358E">
            <w:pPr>
              <w:snapToGrid w:val="0"/>
              <w:spacing w:line="276" w:lineRule="auto"/>
              <w:contextualSpacing/>
              <w:rPr>
                <w:rFonts w:ascii="Lato" w:hAnsi="Lato"/>
                <w:color w:val="000000" w:themeColor="text1"/>
                <w:sz w:val="20"/>
                <w:szCs w:val="20"/>
                <w:lang w:eastAsia="en-US"/>
              </w:rPr>
            </w:pPr>
            <w:r w:rsidRPr="00AA22C4">
              <w:rPr>
                <w:rFonts w:ascii="Lato" w:hAnsi="Lato"/>
                <w:bCs/>
                <w:color w:val="000000" w:themeColor="text1"/>
                <w:sz w:val="20"/>
                <w:szCs w:val="20"/>
                <w:lang w:eastAsia="en-US"/>
              </w:rPr>
              <w:t xml:space="preserve">Transport próbek krwi ze szpitali do ośrodków przesiewowych w całym kraju </w:t>
            </w:r>
          </w:p>
        </w:tc>
        <w:tc>
          <w:tcPr>
            <w:tcW w:w="1944" w:type="dxa"/>
            <w:tcBorders>
              <w:top w:val="nil"/>
            </w:tcBorders>
            <w:shd w:val="clear" w:color="auto" w:fill="auto"/>
            <w:vAlign w:val="center"/>
          </w:tcPr>
          <w:p w14:paraId="1440C717" w14:textId="77777777" w:rsidR="005E347E" w:rsidRPr="00AA22C4" w:rsidRDefault="005E347E" w:rsidP="0015358E">
            <w:pPr>
              <w:snapToGrid w:val="0"/>
              <w:spacing w:line="276" w:lineRule="auto"/>
              <w:ind w:right="73"/>
              <w:contextualSpacing/>
              <w:jc w:val="center"/>
              <w:rPr>
                <w:rFonts w:ascii="Lato" w:hAnsi="Lato"/>
                <w:color w:val="000000" w:themeColor="text1"/>
                <w:sz w:val="20"/>
                <w:szCs w:val="20"/>
                <w:lang w:eastAsia="en-US"/>
              </w:rPr>
            </w:pPr>
            <w:r w:rsidRPr="00AA22C4">
              <w:rPr>
                <w:rFonts w:ascii="Lato" w:hAnsi="Lato"/>
                <w:color w:val="000000" w:themeColor="text1"/>
                <w:sz w:val="20"/>
                <w:szCs w:val="20"/>
                <w:lang w:eastAsia="en-US"/>
              </w:rPr>
              <w:t>2 451 360</w:t>
            </w:r>
          </w:p>
        </w:tc>
      </w:tr>
      <w:tr w:rsidR="00B3776C" w:rsidRPr="00B3776C" w14:paraId="133E3EAD" w14:textId="77777777" w:rsidTr="0015358E">
        <w:trPr>
          <w:trHeight w:val="354"/>
        </w:trPr>
        <w:tc>
          <w:tcPr>
            <w:tcW w:w="7236" w:type="dxa"/>
            <w:gridSpan w:val="3"/>
            <w:shd w:val="clear" w:color="auto" w:fill="auto"/>
            <w:vAlign w:val="center"/>
          </w:tcPr>
          <w:p w14:paraId="09943E71" w14:textId="77777777" w:rsidR="005E347E" w:rsidRPr="00AA22C4" w:rsidRDefault="005E347E" w:rsidP="0015358E">
            <w:pPr>
              <w:snapToGrid w:val="0"/>
              <w:spacing w:line="276" w:lineRule="auto"/>
              <w:contextualSpacing/>
              <w:jc w:val="right"/>
              <w:rPr>
                <w:rFonts w:ascii="Lato" w:hAnsi="Lato"/>
                <w:color w:val="000000" w:themeColor="text1"/>
                <w:sz w:val="20"/>
                <w:szCs w:val="20"/>
                <w:lang w:eastAsia="en-US"/>
              </w:rPr>
            </w:pPr>
            <w:r w:rsidRPr="00AA22C4">
              <w:rPr>
                <w:rFonts w:ascii="Lato" w:hAnsi="Lato"/>
                <w:b/>
                <w:bCs/>
                <w:color w:val="000000" w:themeColor="text1"/>
                <w:sz w:val="20"/>
                <w:szCs w:val="20"/>
                <w:lang w:eastAsia="en-US"/>
              </w:rPr>
              <w:t>Razem:</w:t>
            </w:r>
          </w:p>
        </w:tc>
        <w:tc>
          <w:tcPr>
            <w:tcW w:w="1944" w:type="dxa"/>
            <w:shd w:val="clear" w:color="auto" w:fill="auto"/>
            <w:vAlign w:val="center"/>
          </w:tcPr>
          <w:p w14:paraId="172C22C3" w14:textId="77777777" w:rsidR="005E347E" w:rsidRPr="00AA22C4" w:rsidRDefault="005E347E" w:rsidP="0015358E">
            <w:pPr>
              <w:snapToGrid w:val="0"/>
              <w:spacing w:line="276" w:lineRule="auto"/>
              <w:ind w:left="35" w:right="73"/>
              <w:contextualSpacing/>
              <w:jc w:val="center"/>
              <w:rPr>
                <w:rFonts w:ascii="Lato" w:hAnsi="Lato"/>
                <w:color w:val="000000" w:themeColor="text1"/>
                <w:sz w:val="22"/>
                <w:szCs w:val="22"/>
                <w:lang w:eastAsia="en-US"/>
              </w:rPr>
            </w:pPr>
            <w:r w:rsidRPr="00AA22C4">
              <w:rPr>
                <w:rFonts w:ascii="Lato" w:hAnsi="Lato"/>
                <w:b/>
                <w:color w:val="000000" w:themeColor="text1"/>
                <w:sz w:val="20"/>
                <w:szCs w:val="20"/>
                <w:lang w:eastAsia="en-US"/>
              </w:rPr>
              <w:t>2 985 960</w:t>
            </w:r>
          </w:p>
        </w:tc>
      </w:tr>
      <w:tr w:rsidR="00B3776C" w:rsidRPr="00B3776C" w14:paraId="4DAEEE80" w14:textId="77777777" w:rsidTr="0015358E">
        <w:trPr>
          <w:trHeight w:val="454"/>
        </w:trPr>
        <w:tc>
          <w:tcPr>
            <w:tcW w:w="7236" w:type="dxa"/>
            <w:gridSpan w:val="3"/>
            <w:shd w:val="clear" w:color="auto" w:fill="AEAAAA"/>
            <w:vAlign w:val="center"/>
          </w:tcPr>
          <w:p w14:paraId="55F7304A" w14:textId="77777777" w:rsidR="005E347E" w:rsidRPr="00AA22C4" w:rsidRDefault="005E347E" w:rsidP="0015358E">
            <w:pPr>
              <w:snapToGrid w:val="0"/>
              <w:spacing w:line="276" w:lineRule="auto"/>
              <w:ind w:right="71"/>
              <w:contextualSpacing/>
              <w:jc w:val="center"/>
              <w:rPr>
                <w:rFonts w:ascii="Lato" w:hAnsi="Lato"/>
                <w:color w:val="000000" w:themeColor="text1"/>
                <w:sz w:val="22"/>
                <w:szCs w:val="22"/>
                <w:lang w:eastAsia="en-US"/>
              </w:rPr>
            </w:pPr>
            <w:bookmarkStart w:id="65" w:name="_Hlk112763469"/>
            <w:r w:rsidRPr="00AA22C4">
              <w:rPr>
                <w:rFonts w:ascii="Lato" w:hAnsi="Lato"/>
                <w:b/>
                <w:bCs/>
                <w:color w:val="000000" w:themeColor="text1"/>
                <w:sz w:val="22"/>
                <w:szCs w:val="22"/>
                <w:lang w:eastAsia="en-US"/>
              </w:rPr>
              <w:t>Koszt całkowity badań przesiewowych w 2022 r.</w:t>
            </w:r>
          </w:p>
        </w:tc>
        <w:tc>
          <w:tcPr>
            <w:tcW w:w="1944" w:type="dxa"/>
            <w:shd w:val="clear" w:color="auto" w:fill="AEAAAA"/>
            <w:vAlign w:val="center"/>
          </w:tcPr>
          <w:p w14:paraId="07045EA1" w14:textId="77777777" w:rsidR="005E347E" w:rsidRPr="00AA22C4" w:rsidRDefault="005E347E" w:rsidP="0015358E">
            <w:pPr>
              <w:snapToGrid w:val="0"/>
              <w:spacing w:line="276" w:lineRule="auto"/>
              <w:ind w:right="33"/>
              <w:contextualSpacing/>
              <w:jc w:val="center"/>
              <w:rPr>
                <w:rFonts w:ascii="Lato" w:hAnsi="Lato"/>
                <w:color w:val="000000" w:themeColor="text1"/>
                <w:sz w:val="22"/>
                <w:szCs w:val="22"/>
                <w:lang w:eastAsia="en-US"/>
              </w:rPr>
            </w:pPr>
            <w:r w:rsidRPr="00AA22C4">
              <w:rPr>
                <w:rFonts w:ascii="Lato" w:hAnsi="Lato"/>
                <w:b/>
                <w:color w:val="000000" w:themeColor="text1"/>
                <w:sz w:val="22"/>
                <w:szCs w:val="22"/>
                <w:lang w:eastAsia="en-US"/>
              </w:rPr>
              <w:t>43 749 330</w:t>
            </w:r>
          </w:p>
        </w:tc>
      </w:tr>
    </w:tbl>
    <w:p w14:paraId="4B007E30" w14:textId="77777777" w:rsidR="005E347E" w:rsidRPr="00AA22C4" w:rsidRDefault="005E347E" w:rsidP="005E347E">
      <w:pPr>
        <w:spacing w:before="120" w:after="120"/>
        <w:contextualSpacing/>
        <w:jc w:val="center"/>
        <w:rPr>
          <w:rFonts w:ascii="Lato" w:hAnsi="Lato"/>
          <w:b/>
          <w:bCs/>
          <w:color w:val="000000" w:themeColor="text1"/>
          <w:sz w:val="22"/>
          <w:szCs w:val="22"/>
          <w:u w:val="single"/>
        </w:rPr>
      </w:pPr>
      <w:bookmarkStart w:id="66" w:name="_Toc514072298"/>
      <w:bookmarkEnd w:id="65"/>
      <w:r w:rsidRPr="00AA22C4">
        <w:rPr>
          <w:rFonts w:ascii="Lato" w:hAnsi="Lato"/>
          <w:b/>
          <w:bCs/>
          <w:color w:val="000000" w:themeColor="text1"/>
          <w:sz w:val="22"/>
          <w:szCs w:val="22"/>
          <w:u w:val="single"/>
        </w:rPr>
        <w:lastRenderedPageBreak/>
        <w:t>Planowany koszt badań przesiewowych w kierunku rdzeniowego zaniku mięśni (SMA – 2022)</w:t>
      </w:r>
      <w:r w:rsidRPr="00AA22C4">
        <w:rPr>
          <w:rFonts w:ascii="Lato" w:hAnsi="Lato"/>
          <w:b/>
          <w:bCs/>
          <w:color w:val="000000" w:themeColor="text1"/>
          <w:sz w:val="22"/>
          <w:szCs w:val="22"/>
          <w:u w:val="single"/>
          <w:vertAlign w:val="superscript"/>
        </w:rPr>
        <w:footnoteReference w:id="6"/>
      </w:r>
      <w:r w:rsidRPr="00AA22C4">
        <w:rPr>
          <w:rFonts w:ascii="Lato" w:hAnsi="Lato"/>
          <w:b/>
          <w:bCs/>
          <w:color w:val="000000" w:themeColor="text1"/>
          <w:sz w:val="22"/>
          <w:szCs w:val="22"/>
          <w:u w:val="single"/>
          <w:vertAlign w:val="superscript"/>
        </w:rPr>
        <w:t xml:space="preserve"> </w:t>
      </w:r>
      <w:bookmarkEnd w:id="66"/>
    </w:p>
    <w:p w14:paraId="6CF5E189" w14:textId="77777777" w:rsidR="005E347E" w:rsidRPr="00AA22C4" w:rsidRDefault="005E347E" w:rsidP="005E347E">
      <w:pPr>
        <w:rPr>
          <w:rFonts w:ascii="Lato" w:hAnsi="Lato"/>
          <w:color w:val="000000" w:themeColor="text1"/>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3084"/>
        <w:gridCol w:w="2891"/>
        <w:gridCol w:w="2637"/>
      </w:tblGrid>
      <w:tr w:rsidR="00B3776C" w:rsidRPr="00B3776C" w14:paraId="32F8E111" w14:textId="77777777" w:rsidTr="0015358E">
        <w:trPr>
          <w:trHeight w:val="850"/>
        </w:trPr>
        <w:tc>
          <w:tcPr>
            <w:tcW w:w="602" w:type="dxa"/>
            <w:shd w:val="clear" w:color="auto" w:fill="auto"/>
            <w:vAlign w:val="center"/>
          </w:tcPr>
          <w:p w14:paraId="2FDA2667" w14:textId="77777777" w:rsidR="005E347E" w:rsidRPr="00AA22C4" w:rsidRDefault="005E347E" w:rsidP="0015358E">
            <w:pPr>
              <w:pStyle w:val="pismamz"/>
              <w:tabs>
                <w:tab w:val="left" w:pos="5400"/>
              </w:tabs>
              <w:jc w:val="center"/>
              <w:rPr>
                <w:rFonts w:ascii="Lato" w:hAnsi="Lato"/>
                <w:color w:val="000000" w:themeColor="text1"/>
                <w:sz w:val="20"/>
                <w:szCs w:val="20"/>
              </w:rPr>
            </w:pPr>
            <w:r w:rsidRPr="00AA22C4">
              <w:rPr>
                <w:rFonts w:ascii="Lato" w:hAnsi="Lato"/>
                <w:color w:val="000000" w:themeColor="text1"/>
                <w:sz w:val="20"/>
                <w:szCs w:val="20"/>
              </w:rPr>
              <w:t>Poz.</w:t>
            </w:r>
          </w:p>
        </w:tc>
        <w:tc>
          <w:tcPr>
            <w:tcW w:w="3084" w:type="dxa"/>
            <w:shd w:val="clear" w:color="auto" w:fill="auto"/>
            <w:vAlign w:val="center"/>
          </w:tcPr>
          <w:p w14:paraId="5F000AF8" w14:textId="77777777" w:rsidR="005E347E" w:rsidRPr="00AA22C4" w:rsidRDefault="005E347E" w:rsidP="0015358E">
            <w:pPr>
              <w:pStyle w:val="pismamz"/>
              <w:tabs>
                <w:tab w:val="left" w:pos="5400"/>
              </w:tabs>
              <w:spacing w:line="240" w:lineRule="auto"/>
              <w:jc w:val="center"/>
              <w:rPr>
                <w:rFonts w:ascii="Lato" w:hAnsi="Lato"/>
                <w:color w:val="000000" w:themeColor="text1"/>
                <w:sz w:val="20"/>
                <w:szCs w:val="20"/>
              </w:rPr>
            </w:pPr>
            <w:r w:rsidRPr="00AA22C4">
              <w:rPr>
                <w:rFonts w:ascii="Lato" w:hAnsi="Lato"/>
                <w:color w:val="000000" w:themeColor="text1"/>
                <w:sz w:val="20"/>
                <w:szCs w:val="20"/>
              </w:rPr>
              <w:t>Rodzaj kosztu</w:t>
            </w:r>
          </w:p>
        </w:tc>
        <w:tc>
          <w:tcPr>
            <w:tcW w:w="2891" w:type="dxa"/>
            <w:shd w:val="clear" w:color="auto" w:fill="auto"/>
            <w:vAlign w:val="center"/>
          </w:tcPr>
          <w:p w14:paraId="1FB1A5DC" w14:textId="77777777" w:rsidR="005E347E" w:rsidRPr="00AA22C4" w:rsidRDefault="005E347E" w:rsidP="0015358E">
            <w:pPr>
              <w:pStyle w:val="pismamz"/>
              <w:tabs>
                <w:tab w:val="left" w:pos="5400"/>
              </w:tabs>
              <w:spacing w:line="240" w:lineRule="auto"/>
              <w:jc w:val="center"/>
              <w:rPr>
                <w:rFonts w:ascii="Lato" w:hAnsi="Lato"/>
                <w:color w:val="000000" w:themeColor="text1"/>
                <w:sz w:val="20"/>
                <w:szCs w:val="20"/>
              </w:rPr>
            </w:pPr>
            <w:r w:rsidRPr="00AA22C4">
              <w:rPr>
                <w:rFonts w:ascii="Lato" w:hAnsi="Lato"/>
                <w:color w:val="000000" w:themeColor="text1"/>
                <w:sz w:val="20"/>
                <w:szCs w:val="20"/>
              </w:rPr>
              <w:t>Cena za 1 noworodka</w:t>
            </w:r>
          </w:p>
        </w:tc>
        <w:tc>
          <w:tcPr>
            <w:tcW w:w="2637" w:type="dxa"/>
            <w:shd w:val="clear" w:color="auto" w:fill="auto"/>
            <w:vAlign w:val="center"/>
          </w:tcPr>
          <w:p w14:paraId="7D34B39F" w14:textId="77777777" w:rsidR="005E347E" w:rsidRPr="00AA22C4" w:rsidRDefault="005E347E" w:rsidP="0015358E">
            <w:pPr>
              <w:pStyle w:val="pismamz"/>
              <w:tabs>
                <w:tab w:val="left" w:pos="5400"/>
              </w:tabs>
              <w:spacing w:line="240" w:lineRule="auto"/>
              <w:jc w:val="center"/>
              <w:rPr>
                <w:rFonts w:ascii="Lato" w:hAnsi="Lato"/>
                <w:color w:val="000000" w:themeColor="text1"/>
                <w:sz w:val="20"/>
                <w:szCs w:val="20"/>
              </w:rPr>
            </w:pPr>
            <w:r w:rsidRPr="00AA22C4">
              <w:rPr>
                <w:rFonts w:ascii="Lato" w:hAnsi="Lato"/>
                <w:color w:val="000000" w:themeColor="text1"/>
                <w:sz w:val="20"/>
                <w:szCs w:val="20"/>
              </w:rPr>
              <w:t xml:space="preserve">Koszt badania </w:t>
            </w:r>
          </w:p>
          <w:p w14:paraId="69DBDEA2" w14:textId="77777777" w:rsidR="005E347E" w:rsidRPr="00AA22C4" w:rsidRDefault="005E347E" w:rsidP="0015358E">
            <w:pPr>
              <w:pStyle w:val="pismamz"/>
              <w:tabs>
                <w:tab w:val="left" w:pos="5400"/>
              </w:tabs>
              <w:spacing w:line="240" w:lineRule="auto"/>
              <w:jc w:val="center"/>
              <w:rPr>
                <w:rFonts w:ascii="Lato" w:hAnsi="Lato"/>
                <w:color w:val="000000" w:themeColor="text1"/>
                <w:sz w:val="20"/>
                <w:szCs w:val="20"/>
              </w:rPr>
            </w:pPr>
            <w:r w:rsidRPr="00AA22C4">
              <w:rPr>
                <w:rFonts w:ascii="Lato" w:hAnsi="Lato"/>
                <w:b/>
                <w:bCs/>
                <w:color w:val="000000" w:themeColor="text1"/>
                <w:sz w:val="20"/>
                <w:szCs w:val="20"/>
              </w:rPr>
              <w:t>274 000</w:t>
            </w:r>
            <w:r w:rsidRPr="00AA22C4">
              <w:rPr>
                <w:rFonts w:ascii="Lato" w:hAnsi="Lato"/>
                <w:color w:val="000000" w:themeColor="text1"/>
                <w:sz w:val="20"/>
                <w:szCs w:val="20"/>
              </w:rPr>
              <w:t xml:space="preserve"> noworodków</w:t>
            </w:r>
          </w:p>
        </w:tc>
      </w:tr>
      <w:tr w:rsidR="00B3776C" w:rsidRPr="00B3776C" w14:paraId="497FE1EF" w14:textId="77777777" w:rsidTr="0015358E">
        <w:trPr>
          <w:trHeight w:val="454"/>
        </w:trPr>
        <w:tc>
          <w:tcPr>
            <w:tcW w:w="602" w:type="dxa"/>
            <w:shd w:val="clear" w:color="auto" w:fill="auto"/>
            <w:vAlign w:val="center"/>
          </w:tcPr>
          <w:p w14:paraId="10DF1874" w14:textId="77777777" w:rsidR="005E347E" w:rsidRPr="00AA22C4" w:rsidRDefault="005E347E" w:rsidP="0015358E">
            <w:pPr>
              <w:pStyle w:val="pismamz"/>
              <w:tabs>
                <w:tab w:val="left" w:pos="5400"/>
              </w:tabs>
              <w:jc w:val="center"/>
              <w:rPr>
                <w:rFonts w:ascii="Lato" w:hAnsi="Lato"/>
                <w:color w:val="000000" w:themeColor="text1"/>
                <w:sz w:val="20"/>
                <w:szCs w:val="20"/>
              </w:rPr>
            </w:pPr>
            <w:r w:rsidRPr="00AA22C4">
              <w:rPr>
                <w:rFonts w:ascii="Lato" w:hAnsi="Lato"/>
                <w:color w:val="000000" w:themeColor="text1"/>
                <w:sz w:val="20"/>
                <w:szCs w:val="20"/>
              </w:rPr>
              <w:t>1</w:t>
            </w:r>
          </w:p>
        </w:tc>
        <w:tc>
          <w:tcPr>
            <w:tcW w:w="3084" w:type="dxa"/>
            <w:shd w:val="clear" w:color="auto" w:fill="auto"/>
            <w:vAlign w:val="center"/>
          </w:tcPr>
          <w:p w14:paraId="59B9D45C" w14:textId="77777777" w:rsidR="005E347E" w:rsidRPr="00AA22C4" w:rsidRDefault="005E347E" w:rsidP="0015358E">
            <w:pPr>
              <w:pStyle w:val="pismamz"/>
              <w:tabs>
                <w:tab w:val="left" w:pos="5400"/>
              </w:tabs>
              <w:spacing w:line="240" w:lineRule="auto"/>
              <w:jc w:val="left"/>
              <w:rPr>
                <w:rFonts w:ascii="Lato" w:hAnsi="Lato"/>
                <w:color w:val="000000" w:themeColor="text1"/>
                <w:sz w:val="20"/>
                <w:szCs w:val="20"/>
              </w:rPr>
            </w:pPr>
            <w:r w:rsidRPr="00AA22C4">
              <w:rPr>
                <w:rFonts w:ascii="Lato" w:hAnsi="Lato"/>
                <w:color w:val="000000" w:themeColor="text1"/>
                <w:sz w:val="20"/>
                <w:szCs w:val="20"/>
              </w:rPr>
              <w:t>Koszt laboratoryjny</w:t>
            </w:r>
          </w:p>
        </w:tc>
        <w:tc>
          <w:tcPr>
            <w:tcW w:w="2891" w:type="dxa"/>
            <w:shd w:val="clear" w:color="auto" w:fill="auto"/>
            <w:vAlign w:val="center"/>
          </w:tcPr>
          <w:p w14:paraId="4914AC6E" w14:textId="77777777" w:rsidR="005E347E" w:rsidRPr="00AA22C4" w:rsidRDefault="005E347E" w:rsidP="0015358E">
            <w:pPr>
              <w:pStyle w:val="pismamz"/>
              <w:tabs>
                <w:tab w:val="left" w:pos="5400"/>
              </w:tabs>
              <w:spacing w:line="240" w:lineRule="auto"/>
              <w:jc w:val="center"/>
              <w:rPr>
                <w:rFonts w:ascii="Lato" w:hAnsi="Lato"/>
                <w:color w:val="000000" w:themeColor="text1"/>
                <w:sz w:val="20"/>
                <w:szCs w:val="20"/>
              </w:rPr>
            </w:pPr>
            <w:r w:rsidRPr="00AA22C4">
              <w:rPr>
                <w:rFonts w:ascii="Lato" w:hAnsi="Lato"/>
                <w:color w:val="000000" w:themeColor="text1"/>
                <w:sz w:val="20"/>
                <w:szCs w:val="20"/>
              </w:rPr>
              <w:t>11,15 zł</w:t>
            </w:r>
          </w:p>
        </w:tc>
        <w:tc>
          <w:tcPr>
            <w:tcW w:w="2637" w:type="dxa"/>
            <w:shd w:val="clear" w:color="auto" w:fill="auto"/>
            <w:vAlign w:val="center"/>
          </w:tcPr>
          <w:p w14:paraId="3927DE17" w14:textId="77777777" w:rsidR="005E347E" w:rsidRPr="00AA22C4" w:rsidRDefault="005E347E" w:rsidP="0015358E">
            <w:pPr>
              <w:pStyle w:val="pismamz"/>
              <w:tabs>
                <w:tab w:val="left" w:pos="5400"/>
              </w:tabs>
              <w:spacing w:line="240" w:lineRule="auto"/>
              <w:jc w:val="center"/>
              <w:rPr>
                <w:rFonts w:ascii="Lato" w:hAnsi="Lato"/>
                <w:color w:val="000000" w:themeColor="text1"/>
                <w:sz w:val="20"/>
                <w:szCs w:val="20"/>
              </w:rPr>
            </w:pPr>
            <w:r w:rsidRPr="00AA22C4">
              <w:rPr>
                <w:rFonts w:ascii="Lato" w:hAnsi="Lato"/>
                <w:color w:val="000000" w:themeColor="text1"/>
                <w:sz w:val="20"/>
                <w:szCs w:val="20"/>
              </w:rPr>
              <w:t>3 055 100 zł</w:t>
            </w:r>
          </w:p>
        </w:tc>
      </w:tr>
      <w:tr w:rsidR="00B3776C" w:rsidRPr="00B3776C" w14:paraId="4FF92E98" w14:textId="77777777" w:rsidTr="0015358E">
        <w:trPr>
          <w:trHeight w:val="454"/>
        </w:trPr>
        <w:tc>
          <w:tcPr>
            <w:tcW w:w="602" w:type="dxa"/>
            <w:shd w:val="clear" w:color="auto" w:fill="auto"/>
            <w:vAlign w:val="center"/>
          </w:tcPr>
          <w:p w14:paraId="4A0B75E6" w14:textId="77777777" w:rsidR="005E347E" w:rsidRPr="00AA22C4" w:rsidRDefault="005E347E" w:rsidP="0015358E">
            <w:pPr>
              <w:pStyle w:val="pismamz"/>
              <w:tabs>
                <w:tab w:val="left" w:pos="5400"/>
              </w:tabs>
              <w:jc w:val="center"/>
              <w:rPr>
                <w:rFonts w:ascii="Lato" w:hAnsi="Lato"/>
                <w:color w:val="000000" w:themeColor="text1"/>
                <w:sz w:val="20"/>
                <w:szCs w:val="20"/>
              </w:rPr>
            </w:pPr>
            <w:r w:rsidRPr="00AA22C4">
              <w:rPr>
                <w:rFonts w:ascii="Lato" w:hAnsi="Lato"/>
                <w:color w:val="000000" w:themeColor="text1"/>
                <w:sz w:val="20"/>
                <w:szCs w:val="20"/>
              </w:rPr>
              <w:t>2</w:t>
            </w:r>
          </w:p>
        </w:tc>
        <w:tc>
          <w:tcPr>
            <w:tcW w:w="3084" w:type="dxa"/>
            <w:shd w:val="clear" w:color="auto" w:fill="auto"/>
            <w:vAlign w:val="center"/>
          </w:tcPr>
          <w:p w14:paraId="34B6DDDC" w14:textId="77777777" w:rsidR="005E347E" w:rsidRPr="00AA22C4" w:rsidRDefault="005E347E" w:rsidP="0015358E">
            <w:pPr>
              <w:pStyle w:val="pismamz"/>
              <w:tabs>
                <w:tab w:val="left" w:pos="5400"/>
              </w:tabs>
              <w:spacing w:line="240" w:lineRule="auto"/>
              <w:jc w:val="left"/>
              <w:rPr>
                <w:rFonts w:ascii="Lato" w:hAnsi="Lato"/>
                <w:color w:val="000000" w:themeColor="text1"/>
                <w:sz w:val="20"/>
                <w:szCs w:val="20"/>
                <w:vertAlign w:val="superscript"/>
              </w:rPr>
            </w:pPr>
            <w:r w:rsidRPr="00AA22C4">
              <w:rPr>
                <w:rFonts w:ascii="Lato" w:hAnsi="Lato"/>
                <w:color w:val="000000" w:themeColor="text1"/>
                <w:sz w:val="20"/>
                <w:szCs w:val="20"/>
              </w:rPr>
              <w:t>Koszt testów i odczynników</w:t>
            </w:r>
          </w:p>
        </w:tc>
        <w:tc>
          <w:tcPr>
            <w:tcW w:w="2891" w:type="dxa"/>
            <w:shd w:val="clear" w:color="auto" w:fill="auto"/>
            <w:vAlign w:val="center"/>
          </w:tcPr>
          <w:p w14:paraId="666A0A93" w14:textId="77777777" w:rsidR="005E347E" w:rsidRPr="00AA22C4" w:rsidRDefault="005E347E" w:rsidP="0015358E">
            <w:pPr>
              <w:pStyle w:val="pismamz"/>
              <w:tabs>
                <w:tab w:val="left" w:pos="5400"/>
              </w:tabs>
              <w:spacing w:line="240" w:lineRule="auto"/>
              <w:jc w:val="center"/>
              <w:rPr>
                <w:rFonts w:ascii="Lato" w:hAnsi="Lato"/>
                <w:color w:val="000000" w:themeColor="text1"/>
                <w:sz w:val="20"/>
                <w:szCs w:val="20"/>
              </w:rPr>
            </w:pPr>
            <w:r w:rsidRPr="00AA22C4">
              <w:rPr>
                <w:rFonts w:ascii="Lato" w:hAnsi="Lato"/>
                <w:color w:val="000000" w:themeColor="text1"/>
                <w:sz w:val="20"/>
                <w:szCs w:val="20"/>
              </w:rPr>
              <w:t>14,28 zł</w:t>
            </w:r>
          </w:p>
        </w:tc>
        <w:tc>
          <w:tcPr>
            <w:tcW w:w="2637" w:type="dxa"/>
            <w:shd w:val="clear" w:color="auto" w:fill="auto"/>
            <w:vAlign w:val="center"/>
          </w:tcPr>
          <w:p w14:paraId="0D249873" w14:textId="77777777" w:rsidR="005E347E" w:rsidRPr="00AA22C4" w:rsidRDefault="005E347E" w:rsidP="0015358E">
            <w:pPr>
              <w:pStyle w:val="pismamz"/>
              <w:tabs>
                <w:tab w:val="left" w:pos="5400"/>
              </w:tabs>
              <w:spacing w:line="240" w:lineRule="auto"/>
              <w:jc w:val="center"/>
              <w:rPr>
                <w:rFonts w:ascii="Lato" w:hAnsi="Lato"/>
                <w:color w:val="000000" w:themeColor="text1"/>
                <w:sz w:val="20"/>
                <w:szCs w:val="20"/>
              </w:rPr>
            </w:pPr>
            <w:r w:rsidRPr="00AA22C4">
              <w:rPr>
                <w:rFonts w:ascii="Lato" w:hAnsi="Lato"/>
                <w:color w:val="000000" w:themeColor="text1"/>
                <w:sz w:val="20"/>
                <w:szCs w:val="20"/>
              </w:rPr>
              <w:t>3 912 720 zł</w:t>
            </w:r>
          </w:p>
        </w:tc>
      </w:tr>
      <w:tr w:rsidR="00B3776C" w:rsidRPr="00B3776C" w14:paraId="462CA503" w14:textId="77777777" w:rsidTr="0015358E">
        <w:trPr>
          <w:trHeight w:val="454"/>
        </w:trPr>
        <w:tc>
          <w:tcPr>
            <w:tcW w:w="602" w:type="dxa"/>
            <w:shd w:val="clear" w:color="auto" w:fill="AEAAAA"/>
            <w:vAlign w:val="center"/>
          </w:tcPr>
          <w:p w14:paraId="257D6D9D" w14:textId="77777777" w:rsidR="005E347E" w:rsidRPr="00AA22C4" w:rsidRDefault="005E347E" w:rsidP="0015358E">
            <w:pPr>
              <w:pStyle w:val="pismamz"/>
              <w:tabs>
                <w:tab w:val="left" w:pos="5400"/>
              </w:tabs>
              <w:jc w:val="center"/>
              <w:rPr>
                <w:rFonts w:ascii="Lato" w:hAnsi="Lato"/>
                <w:color w:val="000000" w:themeColor="text1"/>
                <w:sz w:val="20"/>
                <w:szCs w:val="20"/>
              </w:rPr>
            </w:pPr>
            <w:r w:rsidRPr="00AA22C4">
              <w:rPr>
                <w:rFonts w:ascii="Lato" w:hAnsi="Lato"/>
                <w:color w:val="000000" w:themeColor="text1"/>
                <w:sz w:val="20"/>
                <w:szCs w:val="20"/>
              </w:rPr>
              <w:t>3</w:t>
            </w:r>
          </w:p>
        </w:tc>
        <w:tc>
          <w:tcPr>
            <w:tcW w:w="3084" w:type="dxa"/>
            <w:shd w:val="clear" w:color="auto" w:fill="AEAAAA"/>
            <w:vAlign w:val="center"/>
          </w:tcPr>
          <w:p w14:paraId="57E2E531" w14:textId="77777777" w:rsidR="005E347E" w:rsidRPr="00AA22C4" w:rsidRDefault="005E347E" w:rsidP="0015358E">
            <w:pPr>
              <w:pStyle w:val="pismamz"/>
              <w:tabs>
                <w:tab w:val="left" w:pos="5400"/>
              </w:tabs>
              <w:spacing w:line="240" w:lineRule="auto"/>
              <w:jc w:val="left"/>
              <w:rPr>
                <w:rFonts w:ascii="Lato" w:hAnsi="Lato"/>
                <w:b/>
                <w:bCs/>
                <w:color w:val="000000" w:themeColor="text1"/>
                <w:sz w:val="20"/>
                <w:szCs w:val="20"/>
              </w:rPr>
            </w:pPr>
            <w:r w:rsidRPr="00AA22C4">
              <w:rPr>
                <w:rFonts w:ascii="Lato" w:hAnsi="Lato"/>
                <w:b/>
                <w:bCs/>
                <w:color w:val="000000" w:themeColor="text1"/>
                <w:sz w:val="20"/>
                <w:szCs w:val="20"/>
              </w:rPr>
              <w:t>Suma</w:t>
            </w:r>
          </w:p>
        </w:tc>
        <w:tc>
          <w:tcPr>
            <w:tcW w:w="2891" w:type="dxa"/>
            <w:shd w:val="clear" w:color="auto" w:fill="AEAAAA"/>
            <w:vAlign w:val="center"/>
          </w:tcPr>
          <w:p w14:paraId="367F7BBE" w14:textId="77777777" w:rsidR="005E347E" w:rsidRPr="00AA22C4" w:rsidRDefault="005E347E" w:rsidP="0015358E">
            <w:pPr>
              <w:pStyle w:val="pismamz"/>
              <w:tabs>
                <w:tab w:val="left" w:pos="5400"/>
              </w:tabs>
              <w:spacing w:line="240" w:lineRule="auto"/>
              <w:jc w:val="center"/>
              <w:rPr>
                <w:rFonts w:ascii="Lato" w:hAnsi="Lato"/>
                <w:color w:val="000000" w:themeColor="text1"/>
                <w:sz w:val="20"/>
                <w:szCs w:val="20"/>
              </w:rPr>
            </w:pPr>
            <w:r w:rsidRPr="00AA22C4">
              <w:rPr>
                <w:rFonts w:ascii="Lato" w:hAnsi="Lato"/>
                <w:color w:val="000000" w:themeColor="text1"/>
                <w:sz w:val="20"/>
                <w:szCs w:val="20"/>
              </w:rPr>
              <w:t>25,43 zł</w:t>
            </w:r>
          </w:p>
        </w:tc>
        <w:tc>
          <w:tcPr>
            <w:tcW w:w="2637" w:type="dxa"/>
            <w:shd w:val="clear" w:color="auto" w:fill="AEAAAA"/>
            <w:vAlign w:val="center"/>
          </w:tcPr>
          <w:p w14:paraId="53BAF3ED" w14:textId="77777777" w:rsidR="005E347E" w:rsidRPr="00AA22C4" w:rsidRDefault="005E347E" w:rsidP="0015358E">
            <w:pPr>
              <w:pStyle w:val="pismamz"/>
              <w:tabs>
                <w:tab w:val="left" w:pos="5400"/>
              </w:tabs>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6 967 820 zł</w:t>
            </w:r>
          </w:p>
        </w:tc>
      </w:tr>
    </w:tbl>
    <w:p w14:paraId="39C33CBB" w14:textId="77777777" w:rsidR="005E347E" w:rsidRPr="00AA22C4" w:rsidRDefault="005E347E" w:rsidP="005E347E">
      <w:pPr>
        <w:rPr>
          <w:rFonts w:ascii="Lato" w:hAnsi="Lato"/>
          <w:color w:val="000000" w:themeColor="text1"/>
        </w:rPr>
      </w:pPr>
    </w:p>
    <w:p w14:paraId="11FDA735" w14:textId="77777777" w:rsidR="005E347E" w:rsidRPr="00AA22C4" w:rsidRDefault="005E347E" w:rsidP="005E347E">
      <w:pPr>
        <w:rPr>
          <w:rFonts w:ascii="Lato" w:hAnsi="Lato"/>
          <w:color w:val="000000" w:themeColor="text1"/>
        </w:rPr>
      </w:pPr>
    </w:p>
    <w:p w14:paraId="4B04447D" w14:textId="77777777" w:rsidR="005E347E" w:rsidRPr="00AA22C4" w:rsidRDefault="005E347E" w:rsidP="005E347E">
      <w:pPr>
        <w:rPr>
          <w:rFonts w:ascii="Lato" w:hAnsi="Lato"/>
          <w:color w:val="000000" w:themeColor="text1"/>
        </w:rPr>
      </w:pPr>
    </w:p>
    <w:p w14:paraId="7DC45E00" w14:textId="77777777" w:rsidR="005E347E" w:rsidRPr="00AA22C4" w:rsidRDefault="005E347E" w:rsidP="005E347E">
      <w:pPr>
        <w:rPr>
          <w:rFonts w:ascii="Lato" w:hAnsi="Lato"/>
          <w:color w:val="000000" w:themeColor="text1"/>
        </w:rPr>
      </w:pPr>
    </w:p>
    <w:p w14:paraId="71572A19" w14:textId="77777777" w:rsidR="005E347E" w:rsidRPr="00AA22C4" w:rsidRDefault="005E347E" w:rsidP="005E347E">
      <w:pPr>
        <w:rPr>
          <w:rFonts w:ascii="Lato" w:hAnsi="Lato"/>
          <w:color w:val="000000" w:themeColor="text1"/>
        </w:rPr>
      </w:pPr>
    </w:p>
    <w:p w14:paraId="37F6E3EA" w14:textId="77777777" w:rsidR="005E347E" w:rsidRPr="00AA22C4" w:rsidRDefault="005E347E" w:rsidP="005E347E">
      <w:pPr>
        <w:rPr>
          <w:rFonts w:ascii="Lato" w:hAnsi="Lato"/>
          <w:color w:val="000000" w:themeColor="text1"/>
        </w:rPr>
      </w:pPr>
    </w:p>
    <w:p w14:paraId="159251F7" w14:textId="77777777" w:rsidR="005E347E" w:rsidRPr="00AA22C4" w:rsidRDefault="005E347E" w:rsidP="005E347E">
      <w:pPr>
        <w:rPr>
          <w:rFonts w:ascii="Lato" w:hAnsi="Lato"/>
          <w:color w:val="000000" w:themeColor="text1"/>
        </w:rPr>
      </w:pPr>
    </w:p>
    <w:p w14:paraId="295F2EEC" w14:textId="77777777" w:rsidR="005E347E" w:rsidRPr="00AA22C4" w:rsidRDefault="005E347E" w:rsidP="005E347E">
      <w:pPr>
        <w:rPr>
          <w:rFonts w:ascii="Lato" w:hAnsi="Lato"/>
          <w:color w:val="000000" w:themeColor="text1"/>
        </w:rPr>
      </w:pPr>
    </w:p>
    <w:p w14:paraId="4397E46F" w14:textId="77777777" w:rsidR="005E347E" w:rsidRPr="00AA22C4" w:rsidRDefault="005E347E" w:rsidP="005E347E">
      <w:pPr>
        <w:rPr>
          <w:rFonts w:ascii="Lato" w:hAnsi="Lato"/>
          <w:color w:val="000000" w:themeColor="text1"/>
        </w:rPr>
      </w:pPr>
    </w:p>
    <w:p w14:paraId="352341DA" w14:textId="77777777" w:rsidR="005E347E" w:rsidRPr="00AA22C4" w:rsidRDefault="005E347E" w:rsidP="005E347E">
      <w:pPr>
        <w:rPr>
          <w:rFonts w:ascii="Lato" w:hAnsi="Lato"/>
          <w:color w:val="000000" w:themeColor="text1"/>
        </w:rPr>
      </w:pPr>
    </w:p>
    <w:p w14:paraId="24A225A2" w14:textId="77777777" w:rsidR="005E347E" w:rsidRPr="00AA22C4" w:rsidRDefault="005E347E" w:rsidP="005E347E">
      <w:pPr>
        <w:rPr>
          <w:rFonts w:ascii="Lato" w:hAnsi="Lato"/>
          <w:color w:val="000000" w:themeColor="text1"/>
        </w:rPr>
      </w:pPr>
    </w:p>
    <w:p w14:paraId="7B8A7EBB" w14:textId="77777777" w:rsidR="005E347E" w:rsidRPr="00AA22C4" w:rsidRDefault="005E347E" w:rsidP="005E347E">
      <w:pPr>
        <w:rPr>
          <w:rFonts w:ascii="Lato" w:hAnsi="Lato"/>
          <w:color w:val="000000" w:themeColor="text1"/>
        </w:rPr>
      </w:pPr>
    </w:p>
    <w:p w14:paraId="0B2CC5B2" w14:textId="77777777" w:rsidR="005E347E" w:rsidRPr="00AA22C4" w:rsidRDefault="005E347E" w:rsidP="005E347E">
      <w:pPr>
        <w:rPr>
          <w:rFonts w:ascii="Lato" w:hAnsi="Lato"/>
          <w:color w:val="000000" w:themeColor="text1"/>
        </w:rPr>
      </w:pPr>
    </w:p>
    <w:p w14:paraId="4FA8F795" w14:textId="77777777" w:rsidR="005E347E" w:rsidRPr="00AA22C4" w:rsidRDefault="005E347E" w:rsidP="005E347E">
      <w:pPr>
        <w:rPr>
          <w:rFonts w:ascii="Lato" w:hAnsi="Lato"/>
          <w:color w:val="000000" w:themeColor="text1"/>
        </w:rPr>
      </w:pPr>
    </w:p>
    <w:p w14:paraId="202EF8A1" w14:textId="77777777" w:rsidR="005E347E" w:rsidRPr="00AA22C4" w:rsidRDefault="005E347E" w:rsidP="005E347E">
      <w:pPr>
        <w:rPr>
          <w:rFonts w:ascii="Lato" w:hAnsi="Lato"/>
          <w:color w:val="000000" w:themeColor="text1"/>
        </w:rPr>
      </w:pPr>
    </w:p>
    <w:p w14:paraId="450508BD" w14:textId="77777777" w:rsidR="005E347E" w:rsidRPr="00AA22C4" w:rsidRDefault="005E347E" w:rsidP="005E347E">
      <w:pPr>
        <w:rPr>
          <w:rFonts w:ascii="Lato" w:hAnsi="Lato"/>
          <w:color w:val="000000" w:themeColor="text1"/>
        </w:rPr>
      </w:pPr>
    </w:p>
    <w:p w14:paraId="6D2D02BD" w14:textId="77777777" w:rsidR="005E347E" w:rsidRPr="00AA22C4" w:rsidRDefault="005E347E" w:rsidP="005E347E">
      <w:pPr>
        <w:rPr>
          <w:rFonts w:ascii="Lato" w:hAnsi="Lato"/>
          <w:color w:val="000000" w:themeColor="text1"/>
        </w:rPr>
      </w:pPr>
    </w:p>
    <w:p w14:paraId="72CF02D2" w14:textId="77777777" w:rsidR="005E347E" w:rsidRPr="00AA22C4" w:rsidRDefault="005E347E" w:rsidP="005E347E">
      <w:pPr>
        <w:rPr>
          <w:rFonts w:ascii="Lato" w:hAnsi="Lato"/>
          <w:color w:val="000000" w:themeColor="text1"/>
        </w:rPr>
      </w:pPr>
    </w:p>
    <w:tbl>
      <w:tblPr>
        <w:tblpPr w:leftFromText="141" w:rightFromText="141" w:horzAnchor="margin" w:tblpY="-1548"/>
        <w:tblW w:w="9515" w:type="dxa"/>
        <w:tblCellMar>
          <w:left w:w="70" w:type="dxa"/>
          <w:right w:w="70" w:type="dxa"/>
        </w:tblCellMar>
        <w:tblLook w:val="04A0" w:firstRow="1" w:lastRow="0" w:firstColumn="1" w:lastColumn="0" w:noHBand="0" w:noVBand="1"/>
      </w:tblPr>
      <w:tblGrid>
        <w:gridCol w:w="794"/>
        <w:gridCol w:w="25"/>
        <w:gridCol w:w="3818"/>
        <w:gridCol w:w="264"/>
        <w:gridCol w:w="61"/>
        <w:gridCol w:w="2011"/>
        <w:gridCol w:w="216"/>
        <w:gridCol w:w="47"/>
        <w:gridCol w:w="1682"/>
        <w:gridCol w:w="277"/>
        <w:gridCol w:w="160"/>
        <w:gridCol w:w="160"/>
      </w:tblGrid>
      <w:tr w:rsidR="00B3776C" w:rsidRPr="00B3776C" w14:paraId="7862BA1C" w14:textId="77777777" w:rsidTr="00DE19D8">
        <w:trPr>
          <w:gridAfter w:val="3"/>
          <w:wAfter w:w="597" w:type="dxa"/>
          <w:trHeight w:val="753"/>
        </w:trPr>
        <w:tc>
          <w:tcPr>
            <w:tcW w:w="8918" w:type="dxa"/>
            <w:gridSpan w:val="9"/>
            <w:tcBorders>
              <w:top w:val="nil"/>
              <w:left w:val="nil"/>
              <w:bottom w:val="single" w:sz="8" w:space="0" w:color="auto"/>
              <w:right w:val="nil"/>
            </w:tcBorders>
            <w:shd w:val="clear" w:color="auto" w:fill="auto"/>
            <w:vAlign w:val="center"/>
            <w:hideMark/>
          </w:tcPr>
          <w:p w14:paraId="0AAC1D5D" w14:textId="77777777" w:rsidR="005E347E" w:rsidRPr="00AA22C4" w:rsidRDefault="005E347E" w:rsidP="00DE19D8">
            <w:pPr>
              <w:widowControl/>
              <w:spacing w:line="240" w:lineRule="auto"/>
              <w:ind w:right="-94"/>
              <w:jc w:val="center"/>
              <w:rPr>
                <w:rFonts w:ascii="Lato" w:eastAsia="Courier New" w:hAnsi="Lato"/>
                <w:b/>
                <w:bCs/>
                <w:color w:val="000000" w:themeColor="text1"/>
                <w:sz w:val="22"/>
                <w:szCs w:val="22"/>
              </w:rPr>
            </w:pPr>
          </w:p>
          <w:p w14:paraId="07EF41FE" w14:textId="77777777" w:rsidR="005E347E" w:rsidRPr="00AA22C4" w:rsidRDefault="005E347E" w:rsidP="00DE19D8">
            <w:pPr>
              <w:widowControl/>
              <w:spacing w:line="240" w:lineRule="auto"/>
              <w:ind w:right="-94"/>
              <w:jc w:val="center"/>
              <w:rPr>
                <w:rFonts w:ascii="Lato" w:eastAsia="Courier New" w:hAnsi="Lato"/>
                <w:b/>
                <w:bCs/>
                <w:color w:val="000000" w:themeColor="text1"/>
                <w:sz w:val="22"/>
                <w:szCs w:val="22"/>
              </w:rPr>
            </w:pPr>
          </w:p>
          <w:p w14:paraId="00C37283" w14:textId="77777777" w:rsidR="005E347E" w:rsidRPr="00AA22C4" w:rsidRDefault="005E347E" w:rsidP="00DE19D8">
            <w:pPr>
              <w:widowControl/>
              <w:spacing w:line="240" w:lineRule="auto"/>
              <w:ind w:right="-94"/>
              <w:jc w:val="center"/>
              <w:rPr>
                <w:rFonts w:ascii="Lato" w:eastAsia="Courier New" w:hAnsi="Lato"/>
                <w:b/>
                <w:bCs/>
                <w:color w:val="000000" w:themeColor="text1"/>
                <w:sz w:val="22"/>
                <w:szCs w:val="22"/>
              </w:rPr>
            </w:pPr>
          </w:p>
          <w:p w14:paraId="650CB8C5" w14:textId="77777777" w:rsidR="005E347E" w:rsidRPr="00AA22C4" w:rsidRDefault="005E347E" w:rsidP="00DE19D8">
            <w:pPr>
              <w:widowControl/>
              <w:spacing w:line="240" w:lineRule="auto"/>
              <w:ind w:right="-94"/>
              <w:jc w:val="center"/>
              <w:rPr>
                <w:rFonts w:ascii="Lato" w:eastAsia="Courier New" w:hAnsi="Lato"/>
                <w:b/>
                <w:bCs/>
                <w:color w:val="000000" w:themeColor="text1"/>
                <w:sz w:val="22"/>
                <w:szCs w:val="22"/>
              </w:rPr>
            </w:pPr>
          </w:p>
          <w:p w14:paraId="34194BB7" w14:textId="77777777" w:rsidR="005E347E" w:rsidRPr="00AA22C4" w:rsidRDefault="005E347E" w:rsidP="00DE19D8">
            <w:pPr>
              <w:widowControl/>
              <w:spacing w:line="240" w:lineRule="auto"/>
              <w:ind w:right="-94"/>
              <w:jc w:val="center"/>
              <w:rPr>
                <w:rFonts w:ascii="Lato" w:eastAsia="Courier New" w:hAnsi="Lato"/>
                <w:b/>
                <w:bCs/>
                <w:color w:val="000000" w:themeColor="text1"/>
                <w:sz w:val="22"/>
                <w:szCs w:val="22"/>
              </w:rPr>
            </w:pPr>
          </w:p>
          <w:p w14:paraId="497A6ADF" w14:textId="3334464D" w:rsidR="005E347E" w:rsidRPr="00AA22C4" w:rsidRDefault="005E347E" w:rsidP="00DE19D8">
            <w:pPr>
              <w:widowControl/>
              <w:spacing w:line="240" w:lineRule="auto"/>
              <w:ind w:right="-94"/>
              <w:jc w:val="center"/>
              <w:rPr>
                <w:rFonts w:ascii="Lato" w:hAnsi="Lato"/>
                <w:b/>
                <w:bCs/>
                <w:color w:val="000000" w:themeColor="text1"/>
                <w:sz w:val="22"/>
                <w:szCs w:val="22"/>
              </w:rPr>
            </w:pPr>
            <w:r w:rsidRPr="00AA22C4">
              <w:rPr>
                <w:rFonts w:ascii="Lato" w:eastAsia="Courier New" w:hAnsi="Lato"/>
                <w:b/>
                <w:bCs/>
                <w:color w:val="000000" w:themeColor="text1"/>
                <w:sz w:val="22"/>
                <w:szCs w:val="22"/>
              </w:rPr>
              <w:t xml:space="preserve">PROGNOZOWANY KOSZTORYS REALIZACJI RZĄDOWEGO PROGRAMU BADAŃ PRZESIEWOWYCH NOWORODKÓW NA 2023 </w:t>
            </w:r>
            <w:r w:rsidR="00A04888" w:rsidRPr="00AA22C4">
              <w:rPr>
                <w:rFonts w:ascii="Lato" w:eastAsia="Courier New" w:hAnsi="Lato"/>
                <w:b/>
                <w:bCs/>
                <w:color w:val="000000" w:themeColor="text1"/>
                <w:sz w:val="22"/>
                <w:szCs w:val="22"/>
              </w:rPr>
              <w:t xml:space="preserve">R. </w:t>
            </w:r>
            <w:r w:rsidRPr="00AA22C4">
              <w:rPr>
                <w:rFonts w:ascii="Lato" w:hAnsi="Lato"/>
                <w:b/>
                <w:color w:val="000000" w:themeColor="text1"/>
                <w:sz w:val="22"/>
                <w:szCs w:val="22"/>
              </w:rPr>
              <w:t>(wydatki bieżące)</w:t>
            </w:r>
          </w:p>
        </w:tc>
      </w:tr>
      <w:tr w:rsidR="00B3776C" w:rsidRPr="00B3776C" w14:paraId="2C154EA0" w14:textId="77777777" w:rsidTr="00DE19D8">
        <w:trPr>
          <w:gridAfter w:val="3"/>
          <w:wAfter w:w="597" w:type="dxa"/>
          <w:trHeight w:val="302"/>
        </w:trPr>
        <w:tc>
          <w:tcPr>
            <w:tcW w:w="8918" w:type="dxa"/>
            <w:gridSpan w:val="9"/>
            <w:tcBorders>
              <w:top w:val="single" w:sz="8" w:space="0" w:color="auto"/>
              <w:left w:val="single" w:sz="8" w:space="0" w:color="auto"/>
              <w:bottom w:val="single" w:sz="4" w:space="0" w:color="auto"/>
              <w:right w:val="single" w:sz="8" w:space="0" w:color="000000"/>
            </w:tcBorders>
            <w:shd w:val="clear" w:color="auto" w:fill="E7E6E6"/>
            <w:vAlign w:val="center"/>
            <w:hideMark/>
          </w:tcPr>
          <w:p w14:paraId="7E8AC0D9"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Koszty laboratoryjne</w:t>
            </w:r>
          </w:p>
        </w:tc>
      </w:tr>
      <w:tr w:rsidR="00B3776C" w:rsidRPr="00B3776C" w14:paraId="30EF3180" w14:textId="77777777" w:rsidTr="00DE19D8">
        <w:trPr>
          <w:gridAfter w:val="3"/>
          <w:wAfter w:w="597" w:type="dxa"/>
          <w:trHeight w:val="507"/>
        </w:trPr>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62B76"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Poz.</w:t>
            </w:r>
          </w:p>
        </w:tc>
        <w:tc>
          <w:tcPr>
            <w:tcW w:w="41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86E37D0"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Rodzaj badania</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0209F"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 xml:space="preserve">Koszt jednostkowy </w:t>
            </w:r>
          </w:p>
          <w:p w14:paraId="7DD0498D"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 xml:space="preserve">(bez kosztu testów) </w:t>
            </w:r>
          </w:p>
          <w:p w14:paraId="3AA2A59A"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w zł</w:t>
            </w:r>
          </w:p>
        </w:tc>
        <w:tc>
          <w:tcPr>
            <w:tcW w:w="194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B7D6B2"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 xml:space="preserve">Łączny koszt badań </w:t>
            </w:r>
          </w:p>
          <w:p w14:paraId="03B424AA"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w zł</w:t>
            </w:r>
          </w:p>
        </w:tc>
      </w:tr>
      <w:tr w:rsidR="00B3776C" w:rsidRPr="00B3776C" w14:paraId="155786AC" w14:textId="77777777" w:rsidTr="00DE19D8">
        <w:trPr>
          <w:gridAfter w:val="3"/>
          <w:wAfter w:w="597" w:type="dxa"/>
          <w:trHeight w:val="567"/>
        </w:trPr>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AC7A0"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1.</w:t>
            </w:r>
          </w:p>
        </w:tc>
        <w:tc>
          <w:tcPr>
            <w:tcW w:w="41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6D933F2"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 xml:space="preserve">Badania przesiewowe w kierunku wrodzonej niedoczynności tarczycy </w:t>
            </w:r>
          </w:p>
          <w:p w14:paraId="15AA9732"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(340 000 badań)</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70931"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12,74</w:t>
            </w:r>
          </w:p>
        </w:tc>
        <w:tc>
          <w:tcPr>
            <w:tcW w:w="194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DA88734"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4 331 600</w:t>
            </w:r>
          </w:p>
        </w:tc>
      </w:tr>
      <w:tr w:rsidR="00B3776C" w:rsidRPr="00B3776C" w14:paraId="75C9C065" w14:textId="77777777" w:rsidTr="00DE19D8">
        <w:trPr>
          <w:gridAfter w:val="3"/>
          <w:wAfter w:w="597" w:type="dxa"/>
          <w:trHeight w:val="567"/>
        </w:trPr>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6317A"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2.</w:t>
            </w:r>
          </w:p>
        </w:tc>
        <w:tc>
          <w:tcPr>
            <w:tcW w:w="41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934E99E"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Badania przesiewowe w kierunku fenyloketonurii (373 000 badań)</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F31323"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9,99</w:t>
            </w:r>
          </w:p>
        </w:tc>
        <w:tc>
          <w:tcPr>
            <w:tcW w:w="194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131FD29"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3 726 270</w:t>
            </w:r>
          </w:p>
        </w:tc>
      </w:tr>
      <w:tr w:rsidR="00B3776C" w:rsidRPr="00B3776C" w14:paraId="72BAE7AC" w14:textId="77777777" w:rsidTr="00DE19D8">
        <w:trPr>
          <w:gridAfter w:val="3"/>
          <w:wAfter w:w="597" w:type="dxa"/>
          <w:trHeight w:val="567"/>
        </w:trPr>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6CCDD"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3.</w:t>
            </w:r>
          </w:p>
        </w:tc>
        <w:tc>
          <w:tcPr>
            <w:tcW w:w="41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C4E2E80"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Badania przesiewowe w kierunku mukowiscydozy (340 000 badań)</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AB3C6"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15,22</w:t>
            </w:r>
          </w:p>
        </w:tc>
        <w:tc>
          <w:tcPr>
            <w:tcW w:w="194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8AF9384"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5 174 800</w:t>
            </w:r>
          </w:p>
        </w:tc>
      </w:tr>
      <w:tr w:rsidR="00B3776C" w:rsidRPr="00B3776C" w14:paraId="2ADF0FCD" w14:textId="77777777" w:rsidTr="00DE19D8">
        <w:trPr>
          <w:gridAfter w:val="3"/>
          <w:wAfter w:w="597" w:type="dxa"/>
          <w:trHeight w:val="567"/>
        </w:trPr>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69E95"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4.</w:t>
            </w:r>
          </w:p>
        </w:tc>
        <w:tc>
          <w:tcPr>
            <w:tcW w:w="41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10E7F97"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 xml:space="preserve">Badania przesiewowe w kierunku rzadkich wad metabolicznych - MS/MS </w:t>
            </w:r>
          </w:p>
          <w:p w14:paraId="444185F1"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(340 000 badań)</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C5056"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16,97</w:t>
            </w:r>
          </w:p>
        </w:tc>
        <w:tc>
          <w:tcPr>
            <w:tcW w:w="194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362A84A"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5 769 800</w:t>
            </w:r>
          </w:p>
        </w:tc>
      </w:tr>
      <w:tr w:rsidR="00B3776C" w:rsidRPr="00B3776C" w14:paraId="75735E8D" w14:textId="77777777" w:rsidTr="00DE19D8">
        <w:trPr>
          <w:gridAfter w:val="3"/>
          <w:wAfter w:w="597" w:type="dxa"/>
          <w:trHeight w:val="567"/>
        </w:trPr>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DFB1F"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5.</w:t>
            </w:r>
          </w:p>
        </w:tc>
        <w:tc>
          <w:tcPr>
            <w:tcW w:w="41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847B152"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 xml:space="preserve">Badania przesiewowe w kierunku wrodzonego przerostu nadnerczy </w:t>
            </w:r>
          </w:p>
          <w:p w14:paraId="716A878E"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(340 000 badań)</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F3AAA"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11,15</w:t>
            </w:r>
          </w:p>
        </w:tc>
        <w:tc>
          <w:tcPr>
            <w:tcW w:w="194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4DA4AC5"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3 791 000</w:t>
            </w:r>
          </w:p>
        </w:tc>
      </w:tr>
      <w:tr w:rsidR="00B3776C" w:rsidRPr="00B3776C" w14:paraId="2077DD2C" w14:textId="77777777" w:rsidTr="00DE19D8">
        <w:trPr>
          <w:gridAfter w:val="3"/>
          <w:wAfter w:w="597" w:type="dxa"/>
          <w:trHeight w:val="567"/>
        </w:trPr>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F3225"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6.</w:t>
            </w:r>
          </w:p>
        </w:tc>
        <w:tc>
          <w:tcPr>
            <w:tcW w:w="41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A339714"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Badania przesiewowe w kierunku deficytu biotynidazy (340 000 badań)</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378160"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4,75</w:t>
            </w:r>
          </w:p>
        </w:tc>
        <w:tc>
          <w:tcPr>
            <w:tcW w:w="194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46B390A"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1 615 000</w:t>
            </w:r>
          </w:p>
        </w:tc>
      </w:tr>
      <w:tr w:rsidR="00B3776C" w:rsidRPr="00B3776C" w14:paraId="0F883E97" w14:textId="77777777" w:rsidTr="00DE19D8">
        <w:trPr>
          <w:gridAfter w:val="3"/>
          <w:wAfter w:w="597" w:type="dxa"/>
          <w:trHeight w:val="567"/>
        </w:trPr>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C9EBA"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7.</w:t>
            </w:r>
          </w:p>
        </w:tc>
        <w:tc>
          <w:tcPr>
            <w:tcW w:w="41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F1212D3"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Badania przesiewowe w kierunku rdzeniowego zaniku mięśni (340 000 badań)</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8E68B"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14,88</w:t>
            </w:r>
          </w:p>
        </w:tc>
        <w:tc>
          <w:tcPr>
            <w:tcW w:w="194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A613DAF"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5 059 200</w:t>
            </w:r>
          </w:p>
        </w:tc>
      </w:tr>
      <w:tr w:rsidR="00B3776C" w:rsidRPr="00B3776C" w14:paraId="360C4FB4" w14:textId="77777777" w:rsidTr="00DE19D8">
        <w:trPr>
          <w:gridAfter w:val="3"/>
          <w:wAfter w:w="597" w:type="dxa"/>
          <w:trHeight w:val="454"/>
        </w:trPr>
        <w:tc>
          <w:tcPr>
            <w:tcW w:w="6973"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78D5DC6D" w14:textId="77777777" w:rsidR="005E347E" w:rsidRPr="00AA22C4" w:rsidRDefault="005E347E" w:rsidP="00DE19D8">
            <w:pPr>
              <w:widowControl/>
              <w:spacing w:line="240" w:lineRule="auto"/>
              <w:jc w:val="right"/>
              <w:rPr>
                <w:rFonts w:ascii="Lato" w:hAnsi="Lato"/>
                <w:b/>
                <w:bCs/>
                <w:color w:val="000000" w:themeColor="text1"/>
                <w:sz w:val="18"/>
                <w:szCs w:val="18"/>
              </w:rPr>
            </w:pPr>
            <w:r w:rsidRPr="00AA22C4">
              <w:rPr>
                <w:rFonts w:ascii="Lato" w:hAnsi="Lato"/>
                <w:b/>
                <w:bCs/>
                <w:color w:val="000000" w:themeColor="text1"/>
                <w:sz w:val="20"/>
                <w:szCs w:val="20"/>
              </w:rPr>
              <w:t>Razem</w:t>
            </w:r>
            <w:r w:rsidRPr="00AA22C4">
              <w:rPr>
                <w:rFonts w:ascii="Lato" w:hAnsi="Lato"/>
                <w:b/>
                <w:bCs/>
                <w:color w:val="000000" w:themeColor="text1"/>
                <w:sz w:val="18"/>
                <w:szCs w:val="18"/>
              </w:rPr>
              <w:t>:</w:t>
            </w:r>
          </w:p>
        </w:tc>
        <w:tc>
          <w:tcPr>
            <w:tcW w:w="1945" w:type="dxa"/>
            <w:gridSpan w:val="3"/>
            <w:tcBorders>
              <w:top w:val="single" w:sz="4" w:space="0" w:color="auto"/>
              <w:left w:val="nil"/>
              <w:bottom w:val="single" w:sz="8" w:space="0" w:color="auto"/>
              <w:right w:val="single" w:sz="8" w:space="0" w:color="auto"/>
            </w:tcBorders>
            <w:shd w:val="clear" w:color="auto" w:fill="auto"/>
            <w:vAlign w:val="center"/>
            <w:hideMark/>
          </w:tcPr>
          <w:p w14:paraId="3F763CEE"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29 467 670</w:t>
            </w:r>
          </w:p>
        </w:tc>
      </w:tr>
      <w:tr w:rsidR="00B3776C" w:rsidRPr="00B3776C" w14:paraId="55082334" w14:textId="77777777" w:rsidTr="00DE19D8">
        <w:trPr>
          <w:gridAfter w:val="3"/>
          <w:wAfter w:w="597" w:type="dxa"/>
          <w:trHeight w:val="353"/>
        </w:trPr>
        <w:tc>
          <w:tcPr>
            <w:tcW w:w="8918" w:type="dxa"/>
            <w:gridSpan w:val="9"/>
            <w:tcBorders>
              <w:top w:val="single" w:sz="8" w:space="0" w:color="auto"/>
              <w:left w:val="single" w:sz="8" w:space="0" w:color="auto"/>
              <w:bottom w:val="single" w:sz="8" w:space="0" w:color="auto"/>
              <w:right w:val="single" w:sz="8" w:space="0" w:color="000000"/>
            </w:tcBorders>
            <w:shd w:val="clear" w:color="auto" w:fill="E7E6E6"/>
            <w:vAlign w:val="center"/>
            <w:hideMark/>
          </w:tcPr>
          <w:p w14:paraId="115A6CAF" w14:textId="690CBD86"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 xml:space="preserve">Koszt testów diagnostycznych i odczynników na 2023 </w:t>
            </w:r>
            <w:r w:rsidR="00A04888" w:rsidRPr="00AA22C4">
              <w:rPr>
                <w:rFonts w:ascii="Lato" w:hAnsi="Lato"/>
                <w:b/>
                <w:bCs/>
                <w:color w:val="000000" w:themeColor="text1"/>
                <w:sz w:val="20"/>
                <w:szCs w:val="20"/>
              </w:rPr>
              <w:t xml:space="preserve">r. </w:t>
            </w:r>
            <w:r w:rsidRPr="00AA22C4">
              <w:rPr>
                <w:rFonts w:ascii="Lato" w:hAnsi="Lato"/>
                <w:b/>
                <w:bCs/>
                <w:color w:val="000000" w:themeColor="text1"/>
                <w:sz w:val="20"/>
                <w:szCs w:val="20"/>
              </w:rPr>
              <w:t xml:space="preserve">i </w:t>
            </w:r>
            <w:proofErr w:type="spellStart"/>
            <w:r w:rsidRPr="00AA22C4">
              <w:rPr>
                <w:rFonts w:ascii="Lato" w:hAnsi="Lato"/>
                <w:b/>
                <w:bCs/>
                <w:color w:val="000000" w:themeColor="text1"/>
                <w:sz w:val="20"/>
                <w:szCs w:val="20"/>
              </w:rPr>
              <w:t>I</w:t>
            </w:r>
            <w:proofErr w:type="spellEnd"/>
            <w:r w:rsidRPr="00AA22C4">
              <w:rPr>
                <w:rFonts w:ascii="Lato" w:hAnsi="Lato"/>
                <w:b/>
                <w:bCs/>
                <w:color w:val="000000" w:themeColor="text1"/>
                <w:sz w:val="20"/>
                <w:szCs w:val="20"/>
              </w:rPr>
              <w:t xml:space="preserve"> kwartał 2024</w:t>
            </w:r>
            <w:r w:rsidR="00A04888" w:rsidRPr="00AA22C4">
              <w:rPr>
                <w:rFonts w:ascii="Lato" w:hAnsi="Lato"/>
                <w:b/>
                <w:bCs/>
                <w:color w:val="000000" w:themeColor="text1"/>
                <w:sz w:val="20"/>
                <w:szCs w:val="20"/>
              </w:rPr>
              <w:t xml:space="preserve"> r.</w:t>
            </w:r>
          </w:p>
        </w:tc>
      </w:tr>
      <w:tr w:rsidR="00B3776C" w:rsidRPr="00B3776C" w14:paraId="2FA06E88" w14:textId="77777777" w:rsidTr="00DE19D8">
        <w:trPr>
          <w:gridAfter w:val="3"/>
          <w:wAfter w:w="597" w:type="dxa"/>
          <w:trHeight w:val="353"/>
        </w:trPr>
        <w:tc>
          <w:tcPr>
            <w:tcW w:w="794" w:type="dxa"/>
            <w:tcBorders>
              <w:top w:val="nil"/>
              <w:left w:val="single" w:sz="8" w:space="0" w:color="auto"/>
              <w:bottom w:val="nil"/>
              <w:right w:val="nil"/>
            </w:tcBorders>
            <w:shd w:val="clear" w:color="auto" w:fill="auto"/>
            <w:vAlign w:val="center"/>
            <w:hideMark/>
          </w:tcPr>
          <w:p w14:paraId="343B737C"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Poz.</w:t>
            </w:r>
          </w:p>
        </w:tc>
        <w:tc>
          <w:tcPr>
            <w:tcW w:w="6179"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67CA1D9B"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Kategoria wydatków</w:t>
            </w:r>
          </w:p>
        </w:tc>
        <w:tc>
          <w:tcPr>
            <w:tcW w:w="1945" w:type="dxa"/>
            <w:gridSpan w:val="3"/>
            <w:tcBorders>
              <w:top w:val="nil"/>
              <w:left w:val="nil"/>
              <w:bottom w:val="nil"/>
              <w:right w:val="single" w:sz="8" w:space="0" w:color="auto"/>
            </w:tcBorders>
            <w:shd w:val="clear" w:color="auto" w:fill="auto"/>
            <w:vAlign w:val="center"/>
            <w:hideMark/>
          </w:tcPr>
          <w:p w14:paraId="4FDEC10A"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Łączny koszt zakupu testów w zł</w:t>
            </w:r>
          </w:p>
        </w:tc>
      </w:tr>
      <w:tr w:rsidR="00B3776C" w:rsidRPr="00B3776C" w14:paraId="3706895F" w14:textId="77777777" w:rsidTr="00DE19D8">
        <w:trPr>
          <w:gridAfter w:val="3"/>
          <w:wAfter w:w="597" w:type="dxa"/>
          <w:trHeight w:val="504"/>
        </w:trPr>
        <w:tc>
          <w:tcPr>
            <w:tcW w:w="794" w:type="dxa"/>
            <w:tcBorders>
              <w:top w:val="single" w:sz="8" w:space="0" w:color="auto"/>
              <w:left w:val="single" w:sz="8" w:space="0" w:color="auto"/>
              <w:bottom w:val="single" w:sz="8" w:space="0" w:color="auto"/>
              <w:right w:val="nil"/>
            </w:tcBorders>
            <w:shd w:val="clear" w:color="auto" w:fill="auto"/>
            <w:vAlign w:val="center"/>
            <w:hideMark/>
          </w:tcPr>
          <w:p w14:paraId="38BD1F57"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8.</w:t>
            </w:r>
          </w:p>
        </w:tc>
        <w:tc>
          <w:tcPr>
            <w:tcW w:w="6179"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4A680E78" w14:textId="22353FD1" w:rsidR="005E347E" w:rsidRPr="00AA22C4" w:rsidRDefault="005E347E"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 xml:space="preserve">Koszt testów diagnostycznych i odczynników do badań przesiewowych noworodków w 2023 </w:t>
            </w:r>
            <w:r w:rsidR="00A04888" w:rsidRPr="00AA22C4">
              <w:rPr>
                <w:rFonts w:ascii="Lato" w:hAnsi="Lato"/>
                <w:color w:val="000000" w:themeColor="text1"/>
                <w:sz w:val="20"/>
                <w:szCs w:val="20"/>
              </w:rPr>
              <w:t xml:space="preserve">r. </w:t>
            </w:r>
            <w:r w:rsidRPr="00AA22C4">
              <w:rPr>
                <w:rFonts w:ascii="Lato" w:hAnsi="Lato"/>
                <w:color w:val="000000" w:themeColor="text1"/>
                <w:sz w:val="20"/>
                <w:szCs w:val="20"/>
              </w:rPr>
              <w:t>oraz na zabezpieczenie badań w I kwartale 2024</w:t>
            </w:r>
            <w:r w:rsidR="00A04888" w:rsidRPr="00AA22C4">
              <w:rPr>
                <w:rFonts w:ascii="Lato" w:hAnsi="Lato"/>
                <w:color w:val="000000" w:themeColor="text1"/>
                <w:sz w:val="20"/>
                <w:szCs w:val="20"/>
              </w:rPr>
              <w:t xml:space="preserve"> r.</w:t>
            </w:r>
          </w:p>
        </w:tc>
        <w:tc>
          <w:tcPr>
            <w:tcW w:w="1945" w:type="dxa"/>
            <w:gridSpan w:val="3"/>
            <w:tcBorders>
              <w:top w:val="single" w:sz="8" w:space="0" w:color="auto"/>
              <w:left w:val="nil"/>
              <w:bottom w:val="single" w:sz="8" w:space="0" w:color="auto"/>
              <w:right w:val="single" w:sz="8" w:space="0" w:color="auto"/>
            </w:tcBorders>
            <w:shd w:val="clear" w:color="auto" w:fill="auto"/>
            <w:vAlign w:val="center"/>
            <w:hideMark/>
          </w:tcPr>
          <w:p w14:paraId="14FFDE79"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19 055 800</w:t>
            </w:r>
          </w:p>
        </w:tc>
      </w:tr>
      <w:tr w:rsidR="00B3776C" w:rsidRPr="00B3776C" w14:paraId="350659B1" w14:textId="77777777" w:rsidTr="00DE19D8">
        <w:trPr>
          <w:gridAfter w:val="3"/>
          <w:wAfter w:w="597" w:type="dxa"/>
          <w:trHeight w:val="353"/>
        </w:trPr>
        <w:tc>
          <w:tcPr>
            <w:tcW w:w="8918" w:type="dxa"/>
            <w:gridSpan w:val="9"/>
            <w:tcBorders>
              <w:top w:val="single" w:sz="8" w:space="0" w:color="auto"/>
              <w:left w:val="single" w:sz="8" w:space="0" w:color="auto"/>
              <w:bottom w:val="single" w:sz="8" w:space="0" w:color="auto"/>
              <w:right w:val="single" w:sz="8" w:space="0" w:color="000000"/>
            </w:tcBorders>
            <w:shd w:val="clear" w:color="auto" w:fill="E7E6E6"/>
            <w:vAlign w:val="center"/>
            <w:hideMark/>
          </w:tcPr>
          <w:p w14:paraId="10D0CAF2"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 xml:space="preserve">Koszty ogólnokrajowe IMiD oraz koordynacja i </w:t>
            </w:r>
            <w:r w:rsidRPr="00AA22C4">
              <w:rPr>
                <w:rFonts w:ascii="Lato" w:hAnsi="Lato"/>
                <w:b/>
                <w:bCs/>
                <w:color w:val="000000" w:themeColor="text1"/>
                <w:sz w:val="20"/>
                <w:szCs w:val="20"/>
                <w:shd w:val="clear" w:color="auto" w:fill="E7E6E6"/>
              </w:rPr>
              <w:t>monitorowanie programu</w:t>
            </w:r>
          </w:p>
        </w:tc>
      </w:tr>
      <w:tr w:rsidR="00B3776C" w:rsidRPr="00B3776C" w14:paraId="517DE2D0" w14:textId="77777777" w:rsidTr="00DE19D8">
        <w:trPr>
          <w:gridAfter w:val="3"/>
          <w:wAfter w:w="597" w:type="dxa"/>
          <w:trHeight w:val="353"/>
        </w:trPr>
        <w:tc>
          <w:tcPr>
            <w:tcW w:w="794" w:type="dxa"/>
            <w:tcBorders>
              <w:top w:val="nil"/>
              <w:left w:val="single" w:sz="8" w:space="0" w:color="auto"/>
              <w:bottom w:val="nil"/>
              <w:right w:val="nil"/>
            </w:tcBorders>
            <w:shd w:val="clear" w:color="auto" w:fill="auto"/>
            <w:vAlign w:val="center"/>
            <w:hideMark/>
          </w:tcPr>
          <w:p w14:paraId="4FABA27B"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 </w:t>
            </w:r>
          </w:p>
        </w:tc>
        <w:tc>
          <w:tcPr>
            <w:tcW w:w="6179"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068537F5"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Kategoria wydatków</w:t>
            </w:r>
          </w:p>
        </w:tc>
        <w:tc>
          <w:tcPr>
            <w:tcW w:w="1945" w:type="dxa"/>
            <w:gridSpan w:val="3"/>
            <w:tcBorders>
              <w:top w:val="nil"/>
              <w:left w:val="nil"/>
              <w:bottom w:val="nil"/>
              <w:right w:val="single" w:sz="8" w:space="0" w:color="auto"/>
            </w:tcBorders>
            <w:shd w:val="clear" w:color="auto" w:fill="auto"/>
            <w:vAlign w:val="center"/>
            <w:hideMark/>
          </w:tcPr>
          <w:p w14:paraId="3FC05B5D"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Łączny koszt w zł</w:t>
            </w:r>
          </w:p>
        </w:tc>
      </w:tr>
      <w:tr w:rsidR="00B3776C" w:rsidRPr="00B3776C" w14:paraId="33ACF382" w14:textId="77777777" w:rsidTr="00DE19D8">
        <w:trPr>
          <w:gridAfter w:val="3"/>
          <w:wAfter w:w="597" w:type="dxa"/>
          <w:trHeight w:val="353"/>
        </w:trPr>
        <w:tc>
          <w:tcPr>
            <w:tcW w:w="794" w:type="dxa"/>
            <w:tcBorders>
              <w:top w:val="single" w:sz="8" w:space="0" w:color="auto"/>
              <w:left w:val="single" w:sz="8" w:space="0" w:color="auto"/>
              <w:bottom w:val="single" w:sz="4" w:space="0" w:color="auto"/>
              <w:right w:val="nil"/>
            </w:tcBorders>
            <w:shd w:val="clear" w:color="auto" w:fill="auto"/>
            <w:vAlign w:val="center"/>
            <w:hideMark/>
          </w:tcPr>
          <w:p w14:paraId="65733235"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9.</w:t>
            </w:r>
          </w:p>
        </w:tc>
        <w:tc>
          <w:tcPr>
            <w:tcW w:w="6179" w:type="dxa"/>
            <w:gridSpan w:val="5"/>
            <w:tcBorders>
              <w:top w:val="single" w:sz="8" w:space="0" w:color="auto"/>
              <w:left w:val="single" w:sz="8" w:space="0" w:color="auto"/>
              <w:bottom w:val="single" w:sz="4" w:space="0" w:color="auto"/>
              <w:right w:val="single" w:sz="8" w:space="0" w:color="000000"/>
            </w:tcBorders>
            <w:shd w:val="clear" w:color="auto" w:fill="auto"/>
            <w:vAlign w:val="center"/>
            <w:hideMark/>
          </w:tcPr>
          <w:p w14:paraId="0F5A03A2"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Prowadzenie rejestru noworodków</w:t>
            </w:r>
          </w:p>
        </w:tc>
        <w:tc>
          <w:tcPr>
            <w:tcW w:w="1945" w:type="dxa"/>
            <w:gridSpan w:val="3"/>
            <w:tcBorders>
              <w:top w:val="single" w:sz="8" w:space="0" w:color="auto"/>
              <w:left w:val="nil"/>
              <w:bottom w:val="single" w:sz="4" w:space="0" w:color="auto"/>
              <w:right w:val="single" w:sz="8" w:space="0" w:color="auto"/>
            </w:tcBorders>
            <w:shd w:val="clear" w:color="auto" w:fill="auto"/>
            <w:vAlign w:val="center"/>
            <w:hideMark/>
          </w:tcPr>
          <w:p w14:paraId="0B4A124E"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103 300</w:t>
            </w:r>
          </w:p>
        </w:tc>
      </w:tr>
      <w:tr w:rsidR="00B3776C" w:rsidRPr="00B3776C" w14:paraId="7DF1158D" w14:textId="77777777" w:rsidTr="00DE19D8">
        <w:trPr>
          <w:gridAfter w:val="3"/>
          <w:wAfter w:w="597" w:type="dxa"/>
          <w:trHeight w:val="353"/>
        </w:trPr>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68C69"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10.</w:t>
            </w:r>
          </w:p>
        </w:tc>
        <w:tc>
          <w:tcPr>
            <w:tcW w:w="617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F4544E0"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Korespondencja, przesyłki, łączność elektroniczna</w:t>
            </w:r>
          </w:p>
        </w:tc>
        <w:tc>
          <w:tcPr>
            <w:tcW w:w="194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F703013"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35 320</w:t>
            </w:r>
          </w:p>
        </w:tc>
      </w:tr>
      <w:tr w:rsidR="00B3776C" w:rsidRPr="00B3776C" w14:paraId="4BE4E0A7" w14:textId="77777777" w:rsidTr="00DE19D8">
        <w:trPr>
          <w:gridAfter w:val="3"/>
          <w:wAfter w:w="597" w:type="dxa"/>
          <w:trHeight w:val="353"/>
        </w:trPr>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4BB75"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11.</w:t>
            </w:r>
          </w:p>
        </w:tc>
        <w:tc>
          <w:tcPr>
            <w:tcW w:w="617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0284D73"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Szkolenia, konferencje, delegacje krajowe</w:t>
            </w:r>
          </w:p>
        </w:tc>
        <w:tc>
          <w:tcPr>
            <w:tcW w:w="194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52FF55D"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21 800</w:t>
            </w:r>
          </w:p>
        </w:tc>
      </w:tr>
      <w:tr w:rsidR="00B3776C" w:rsidRPr="00B3776C" w14:paraId="67A7C202" w14:textId="77777777" w:rsidTr="00DE19D8">
        <w:trPr>
          <w:gridAfter w:val="3"/>
          <w:wAfter w:w="597" w:type="dxa"/>
          <w:trHeight w:val="353"/>
        </w:trPr>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B47DA"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12.</w:t>
            </w:r>
          </w:p>
        </w:tc>
        <w:tc>
          <w:tcPr>
            <w:tcW w:w="617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8504039"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Opracowanie treści oraz grafiki na stronę internetową oraz do materiałów informacyjnych</w:t>
            </w:r>
          </w:p>
        </w:tc>
        <w:tc>
          <w:tcPr>
            <w:tcW w:w="194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9BCB63B"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47 520</w:t>
            </w:r>
          </w:p>
        </w:tc>
      </w:tr>
      <w:tr w:rsidR="00B3776C" w:rsidRPr="00B3776C" w14:paraId="4B44C889" w14:textId="77777777" w:rsidTr="00DE19D8">
        <w:trPr>
          <w:gridAfter w:val="3"/>
          <w:wAfter w:w="597" w:type="dxa"/>
          <w:trHeight w:val="353"/>
        </w:trPr>
        <w:tc>
          <w:tcPr>
            <w:tcW w:w="794" w:type="dxa"/>
            <w:tcBorders>
              <w:top w:val="single" w:sz="4" w:space="0" w:color="auto"/>
              <w:left w:val="single" w:sz="8" w:space="0" w:color="auto"/>
              <w:bottom w:val="single" w:sz="8" w:space="0" w:color="auto"/>
              <w:right w:val="nil"/>
            </w:tcBorders>
            <w:shd w:val="clear" w:color="auto" w:fill="auto"/>
            <w:vAlign w:val="center"/>
            <w:hideMark/>
          </w:tcPr>
          <w:p w14:paraId="29CAB8FE"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13.</w:t>
            </w:r>
          </w:p>
        </w:tc>
        <w:tc>
          <w:tcPr>
            <w:tcW w:w="6179" w:type="dxa"/>
            <w:gridSpan w:val="5"/>
            <w:tcBorders>
              <w:top w:val="single" w:sz="4" w:space="0" w:color="auto"/>
              <w:left w:val="single" w:sz="8" w:space="0" w:color="auto"/>
              <w:bottom w:val="single" w:sz="8" w:space="0" w:color="auto"/>
              <w:right w:val="single" w:sz="8" w:space="0" w:color="000000"/>
            </w:tcBorders>
            <w:shd w:val="clear" w:color="auto" w:fill="auto"/>
            <w:vAlign w:val="center"/>
            <w:hideMark/>
          </w:tcPr>
          <w:p w14:paraId="6127C230"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Koszty osobowe</w:t>
            </w:r>
          </w:p>
        </w:tc>
        <w:tc>
          <w:tcPr>
            <w:tcW w:w="1945" w:type="dxa"/>
            <w:gridSpan w:val="3"/>
            <w:tcBorders>
              <w:top w:val="single" w:sz="4" w:space="0" w:color="auto"/>
              <w:left w:val="nil"/>
              <w:bottom w:val="single" w:sz="8" w:space="0" w:color="auto"/>
              <w:right w:val="single" w:sz="8" w:space="0" w:color="auto"/>
            </w:tcBorders>
            <w:shd w:val="clear" w:color="auto" w:fill="auto"/>
            <w:vAlign w:val="center"/>
            <w:hideMark/>
          </w:tcPr>
          <w:p w14:paraId="4D518414"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202 000</w:t>
            </w:r>
          </w:p>
        </w:tc>
      </w:tr>
      <w:tr w:rsidR="00B3776C" w:rsidRPr="00B3776C" w14:paraId="66924D3B" w14:textId="77777777" w:rsidTr="00DE19D8">
        <w:trPr>
          <w:gridAfter w:val="3"/>
          <w:wAfter w:w="597" w:type="dxa"/>
          <w:trHeight w:val="353"/>
        </w:trPr>
        <w:tc>
          <w:tcPr>
            <w:tcW w:w="794" w:type="dxa"/>
            <w:tcBorders>
              <w:top w:val="single" w:sz="8" w:space="0" w:color="auto"/>
              <w:left w:val="single" w:sz="8" w:space="0" w:color="auto"/>
              <w:bottom w:val="single" w:sz="4" w:space="0" w:color="auto"/>
              <w:right w:val="nil"/>
            </w:tcBorders>
            <w:shd w:val="clear" w:color="auto" w:fill="auto"/>
            <w:vAlign w:val="center"/>
            <w:hideMark/>
          </w:tcPr>
          <w:p w14:paraId="28CDFE5F"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14.</w:t>
            </w:r>
          </w:p>
        </w:tc>
        <w:tc>
          <w:tcPr>
            <w:tcW w:w="6179" w:type="dxa"/>
            <w:gridSpan w:val="5"/>
            <w:tcBorders>
              <w:top w:val="single" w:sz="8" w:space="0" w:color="auto"/>
              <w:left w:val="single" w:sz="8" w:space="0" w:color="auto"/>
              <w:bottom w:val="single" w:sz="4" w:space="0" w:color="auto"/>
              <w:right w:val="single" w:sz="8" w:space="0" w:color="000000"/>
            </w:tcBorders>
            <w:shd w:val="clear" w:color="auto" w:fill="auto"/>
            <w:vAlign w:val="center"/>
            <w:hideMark/>
          </w:tcPr>
          <w:p w14:paraId="01A44ABF"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Opracowanie oraz druk ulotek, materiałów informacyjnych, plakatów, instrukcji, etykiet z kodem</w:t>
            </w:r>
          </w:p>
        </w:tc>
        <w:tc>
          <w:tcPr>
            <w:tcW w:w="1945" w:type="dxa"/>
            <w:gridSpan w:val="3"/>
            <w:tcBorders>
              <w:top w:val="single" w:sz="8" w:space="0" w:color="auto"/>
              <w:left w:val="nil"/>
              <w:bottom w:val="single" w:sz="4" w:space="0" w:color="auto"/>
              <w:right w:val="single" w:sz="8" w:space="0" w:color="auto"/>
            </w:tcBorders>
            <w:shd w:val="clear" w:color="auto" w:fill="auto"/>
            <w:vAlign w:val="center"/>
            <w:hideMark/>
          </w:tcPr>
          <w:p w14:paraId="16D438C3"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203 830</w:t>
            </w:r>
          </w:p>
        </w:tc>
      </w:tr>
      <w:tr w:rsidR="00B3776C" w:rsidRPr="00B3776C" w14:paraId="080414D0" w14:textId="77777777" w:rsidTr="00DE19D8">
        <w:trPr>
          <w:gridAfter w:val="3"/>
          <w:wAfter w:w="597" w:type="dxa"/>
          <w:trHeight w:val="353"/>
        </w:trPr>
        <w:tc>
          <w:tcPr>
            <w:tcW w:w="794" w:type="dxa"/>
            <w:tcBorders>
              <w:top w:val="single" w:sz="4" w:space="0" w:color="auto"/>
              <w:left w:val="single" w:sz="8" w:space="0" w:color="auto"/>
              <w:bottom w:val="nil"/>
              <w:right w:val="nil"/>
            </w:tcBorders>
            <w:shd w:val="clear" w:color="auto" w:fill="auto"/>
            <w:vAlign w:val="center"/>
            <w:hideMark/>
          </w:tcPr>
          <w:p w14:paraId="15A9C536"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15.</w:t>
            </w:r>
          </w:p>
        </w:tc>
        <w:tc>
          <w:tcPr>
            <w:tcW w:w="6179" w:type="dxa"/>
            <w:gridSpan w:val="5"/>
            <w:tcBorders>
              <w:top w:val="single" w:sz="4" w:space="0" w:color="auto"/>
              <w:left w:val="single" w:sz="8" w:space="0" w:color="auto"/>
              <w:bottom w:val="single" w:sz="8" w:space="0" w:color="auto"/>
              <w:right w:val="single" w:sz="8" w:space="0" w:color="000000"/>
            </w:tcBorders>
            <w:shd w:val="clear" w:color="auto" w:fill="auto"/>
            <w:vAlign w:val="center"/>
            <w:hideMark/>
          </w:tcPr>
          <w:p w14:paraId="2CFF72A6"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Transport próbek krwi ze szpitali do ośrodków przesiewowych w całym kraju</w:t>
            </w:r>
          </w:p>
        </w:tc>
        <w:tc>
          <w:tcPr>
            <w:tcW w:w="1945" w:type="dxa"/>
            <w:gridSpan w:val="3"/>
            <w:tcBorders>
              <w:top w:val="single" w:sz="4" w:space="0" w:color="auto"/>
              <w:left w:val="nil"/>
              <w:bottom w:val="nil"/>
              <w:right w:val="single" w:sz="8" w:space="0" w:color="auto"/>
            </w:tcBorders>
            <w:shd w:val="clear" w:color="auto" w:fill="auto"/>
            <w:vAlign w:val="center"/>
            <w:hideMark/>
          </w:tcPr>
          <w:p w14:paraId="5EDE0F76"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2 725 000</w:t>
            </w:r>
          </w:p>
        </w:tc>
      </w:tr>
      <w:tr w:rsidR="00B3776C" w:rsidRPr="00B3776C" w14:paraId="5DF2820F" w14:textId="77777777" w:rsidTr="00DE19D8">
        <w:trPr>
          <w:gridAfter w:val="3"/>
          <w:wAfter w:w="597" w:type="dxa"/>
          <w:trHeight w:val="340"/>
        </w:trPr>
        <w:tc>
          <w:tcPr>
            <w:tcW w:w="6973"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1F9F151B" w14:textId="77777777" w:rsidR="005E347E" w:rsidRPr="00AA22C4" w:rsidRDefault="005E347E" w:rsidP="00DE19D8">
            <w:pPr>
              <w:widowControl/>
              <w:spacing w:line="240" w:lineRule="auto"/>
              <w:jc w:val="right"/>
              <w:rPr>
                <w:rFonts w:ascii="Lato" w:hAnsi="Lato"/>
                <w:b/>
                <w:bCs/>
                <w:color w:val="000000" w:themeColor="text1"/>
                <w:sz w:val="20"/>
                <w:szCs w:val="20"/>
              </w:rPr>
            </w:pPr>
            <w:r w:rsidRPr="00AA22C4">
              <w:rPr>
                <w:rFonts w:ascii="Lato" w:hAnsi="Lato"/>
                <w:b/>
                <w:bCs/>
                <w:color w:val="000000" w:themeColor="text1"/>
                <w:sz w:val="20"/>
                <w:szCs w:val="20"/>
              </w:rPr>
              <w:t>Razem:</w:t>
            </w:r>
          </w:p>
        </w:tc>
        <w:tc>
          <w:tcPr>
            <w:tcW w:w="1945" w:type="dxa"/>
            <w:gridSpan w:val="3"/>
            <w:tcBorders>
              <w:top w:val="single" w:sz="8" w:space="0" w:color="auto"/>
              <w:left w:val="nil"/>
              <w:bottom w:val="single" w:sz="8" w:space="0" w:color="auto"/>
              <w:right w:val="single" w:sz="8" w:space="0" w:color="auto"/>
            </w:tcBorders>
            <w:shd w:val="clear" w:color="auto" w:fill="auto"/>
            <w:vAlign w:val="center"/>
            <w:hideMark/>
          </w:tcPr>
          <w:p w14:paraId="34F9605C"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3 338 770</w:t>
            </w:r>
          </w:p>
        </w:tc>
      </w:tr>
      <w:tr w:rsidR="00B3776C" w:rsidRPr="00B3776C" w14:paraId="41EA20AA" w14:textId="77777777" w:rsidTr="00DE19D8">
        <w:trPr>
          <w:gridAfter w:val="3"/>
          <w:wAfter w:w="597" w:type="dxa"/>
          <w:trHeight w:val="340"/>
        </w:trPr>
        <w:tc>
          <w:tcPr>
            <w:tcW w:w="6973" w:type="dxa"/>
            <w:gridSpan w:val="6"/>
            <w:tcBorders>
              <w:top w:val="single" w:sz="8" w:space="0" w:color="auto"/>
              <w:left w:val="single" w:sz="8" w:space="0" w:color="auto"/>
              <w:bottom w:val="single" w:sz="4" w:space="0" w:color="auto"/>
              <w:right w:val="single" w:sz="8" w:space="0" w:color="000000"/>
            </w:tcBorders>
            <w:shd w:val="clear" w:color="auto" w:fill="A5A5A5"/>
            <w:vAlign w:val="center"/>
          </w:tcPr>
          <w:p w14:paraId="3B747515" w14:textId="77777777" w:rsidR="005E347E" w:rsidRPr="00AA22C4" w:rsidRDefault="005E347E" w:rsidP="00DE19D8">
            <w:pPr>
              <w:widowControl/>
              <w:spacing w:line="240" w:lineRule="auto"/>
              <w:jc w:val="right"/>
              <w:rPr>
                <w:rFonts w:ascii="Lato" w:hAnsi="Lato"/>
                <w:b/>
                <w:bCs/>
                <w:color w:val="000000" w:themeColor="text1"/>
                <w:sz w:val="20"/>
                <w:szCs w:val="20"/>
              </w:rPr>
            </w:pPr>
            <w:r w:rsidRPr="00AA22C4">
              <w:rPr>
                <w:rFonts w:ascii="Lato" w:hAnsi="Lato"/>
                <w:b/>
                <w:bCs/>
                <w:color w:val="000000" w:themeColor="text1"/>
                <w:sz w:val="22"/>
                <w:szCs w:val="22"/>
              </w:rPr>
              <w:t>Koszt całkowity badań przesiewowych w 2023 r. w zł</w:t>
            </w:r>
          </w:p>
        </w:tc>
        <w:tc>
          <w:tcPr>
            <w:tcW w:w="1945" w:type="dxa"/>
            <w:gridSpan w:val="3"/>
            <w:tcBorders>
              <w:top w:val="single" w:sz="8" w:space="0" w:color="auto"/>
              <w:left w:val="nil"/>
              <w:bottom w:val="single" w:sz="4" w:space="0" w:color="auto"/>
              <w:right w:val="single" w:sz="8" w:space="0" w:color="auto"/>
            </w:tcBorders>
            <w:shd w:val="clear" w:color="auto" w:fill="A5A5A5"/>
            <w:vAlign w:val="center"/>
          </w:tcPr>
          <w:p w14:paraId="7DBC753A"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2"/>
                <w:szCs w:val="22"/>
              </w:rPr>
              <w:t>51 862 240</w:t>
            </w:r>
            <w:r w:rsidRPr="00AA22C4">
              <w:rPr>
                <w:rStyle w:val="Odwoanieprzypisudolnego"/>
                <w:rFonts w:ascii="Lato" w:hAnsi="Lato"/>
                <w:b/>
                <w:bCs/>
                <w:color w:val="000000" w:themeColor="text1"/>
                <w:sz w:val="22"/>
                <w:szCs w:val="22"/>
              </w:rPr>
              <w:footnoteReference w:id="7"/>
            </w:r>
          </w:p>
        </w:tc>
      </w:tr>
      <w:tr w:rsidR="00B3776C" w:rsidRPr="00B3776C" w14:paraId="236A7F88" w14:textId="77777777" w:rsidTr="00DE19D8">
        <w:trPr>
          <w:gridAfter w:val="2"/>
          <w:wAfter w:w="320" w:type="dxa"/>
          <w:trHeight w:val="737"/>
        </w:trPr>
        <w:tc>
          <w:tcPr>
            <w:tcW w:w="9195" w:type="dxa"/>
            <w:gridSpan w:val="10"/>
            <w:tcBorders>
              <w:top w:val="nil"/>
              <w:left w:val="nil"/>
              <w:bottom w:val="single" w:sz="8" w:space="0" w:color="auto"/>
              <w:right w:val="nil"/>
            </w:tcBorders>
            <w:shd w:val="clear" w:color="auto" w:fill="auto"/>
            <w:vAlign w:val="center"/>
            <w:hideMark/>
          </w:tcPr>
          <w:p w14:paraId="4DF3F77E" w14:textId="752E3929" w:rsidR="005E347E" w:rsidRPr="00AA22C4" w:rsidRDefault="005E347E" w:rsidP="00DE19D8">
            <w:pPr>
              <w:widowControl/>
              <w:spacing w:line="240" w:lineRule="auto"/>
              <w:jc w:val="center"/>
              <w:rPr>
                <w:rFonts w:ascii="Lato" w:hAnsi="Lato"/>
                <w:b/>
                <w:bCs/>
                <w:color w:val="000000" w:themeColor="text1"/>
                <w:sz w:val="22"/>
                <w:szCs w:val="22"/>
                <w:u w:val="single"/>
              </w:rPr>
            </w:pPr>
            <w:r w:rsidRPr="00AA22C4">
              <w:rPr>
                <w:rFonts w:ascii="Lato" w:eastAsia="Courier New" w:hAnsi="Lato"/>
                <w:b/>
                <w:bCs/>
                <w:color w:val="000000" w:themeColor="text1"/>
                <w:sz w:val="22"/>
                <w:szCs w:val="22"/>
              </w:rPr>
              <w:lastRenderedPageBreak/>
              <w:t>PROGNOZOWANY KOSZTORYS REALIZACJI RZĄDOWEGO PROGRAMU BADAŃ PRZESIEWOWYCH NOWORODKÓW NA</w:t>
            </w:r>
            <w:r w:rsidR="00A04888" w:rsidRPr="00AA22C4">
              <w:rPr>
                <w:rFonts w:ascii="Lato" w:eastAsia="Courier New" w:hAnsi="Lato"/>
                <w:b/>
                <w:bCs/>
                <w:color w:val="000000" w:themeColor="text1"/>
                <w:sz w:val="22"/>
                <w:szCs w:val="22"/>
              </w:rPr>
              <w:t xml:space="preserve"> </w:t>
            </w:r>
            <w:r w:rsidRPr="00AA22C4">
              <w:rPr>
                <w:rFonts w:ascii="Lato" w:eastAsia="Courier New" w:hAnsi="Lato"/>
                <w:b/>
                <w:bCs/>
                <w:color w:val="000000" w:themeColor="text1"/>
                <w:sz w:val="22"/>
                <w:szCs w:val="22"/>
              </w:rPr>
              <w:t xml:space="preserve">2024 </w:t>
            </w:r>
            <w:r w:rsidR="00A04888" w:rsidRPr="00AA22C4">
              <w:rPr>
                <w:rFonts w:ascii="Lato" w:eastAsia="Courier New" w:hAnsi="Lato"/>
                <w:b/>
                <w:bCs/>
                <w:color w:val="000000" w:themeColor="text1"/>
                <w:sz w:val="22"/>
                <w:szCs w:val="22"/>
              </w:rPr>
              <w:t xml:space="preserve">R. </w:t>
            </w:r>
            <w:r w:rsidRPr="00AA22C4">
              <w:rPr>
                <w:rFonts w:ascii="Lato" w:hAnsi="Lato"/>
                <w:b/>
                <w:color w:val="000000" w:themeColor="text1"/>
                <w:sz w:val="22"/>
                <w:szCs w:val="22"/>
              </w:rPr>
              <w:t>(wydatki bieżące)</w:t>
            </w:r>
          </w:p>
        </w:tc>
      </w:tr>
      <w:tr w:rsidR="00B3776C" w:rsidRPr="00B3776C" w14:paraId="10DBD023" w14:textId="77777777" w:rsidTr="00DE19D8">
        <w:trPr>
          <w:gridAfter w:val="2"/>
          <w:wAfter w:w="320" w:type="dxa"/>
          <w:trHeight w:val="283"/>
        </w:trPr>
        <w:tc>
          <w:tcPr>
            <w:tcW w:w="9195" w:type="dxa"/>
            <w:gridSpan w:val="10"/>
            <w:tcBorders>
              <w:top w:val="single" w:sz="8" w:space="0" w:color="auto"/>
              <w:left w:val="single" w:sz="8" w:space="0" w:color="auto"/>
              <w:bottom w:val="single" w:sz="4" w:space="0" w:color="auto"/>
              <w:right w:val="single" w:sz="8" w:space="0" w:color="000000"/>
            </w:tcBorders>
            <w:shd w:val="clear" w:color="auto" w:fill="E7E6E6"/>
            <w:vAlign w:val="center"/>
            <w:hideMark/>
          </w:tcPr>
          <w:p w14:paraId="47AB4751"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Koszty laboratoryjne</w:t>
            </w:r>
          </w:p>
        </w:tc>
      </w:tr>
      <w:tr w:rsidR="00B3776C" w:rsidRPr="00B3776C" w14:paraId="5E32840F" w14:textId="77777777" w:rsidTr="00DE19D8">
        <w:trPr>
          <w:gridAfter w:val="2"/>
          <w:wAfter w:w="320" w:type="dxa"/>
          <w:trHeight w:val="397"/>
        </w:trPr>
        <w:tc>
          <w:tcPr>
            <w:tcW w:w="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CC7CCB"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eastAsia="Courier New" w:hAnsi="Lato"/>
                <w:b/>
                <w:bCs/>
                <w:color w:val="000000" w:themeColor="text1"/>
                <w:sz w:val="20"/>
                <w:szCs w:val="20"/>
              </w:rPr>
              <w:t>Poz.</w:t>
            </w:r>
          </w:p>
        </w:tc>
        <w:tc>
          <w:tcPr>
            <w:tcW w:w="40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DC6CC9"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eastAsia="Courier New" w:hAnsi="Lato"/>
                <w:b/>
                <w:bCs/>
                <w:color w:val="000000" w:themeColor="text1"/>
                <w:sz w:val="20"/>
                <w:szCs w:val="20"/>
              </w:rPr>
              <w:t>Rodzaj badania</w:t>
            </w:r>
          </w:p>
        </w:tc>
        <w:tc>
          <w:tcPr>
            <w:tcW w:w="228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9462A37" w14:textId="77777777" w:rsidR="005E347E" w:rsidRPr="00AA22C4" w:rsidRDefault="005E347E" w:rsidP="00DE19D8">
            <w:pPr>
              <w:widowControl/>
              <w:spacing w:line="240" w:lineRule="auto"/>
              <w:jc w:val="center"/>
              <w:rPr>
                <w:rFonts w:ascii="Lato" w:eastAsia="Courier New" w:hAnsi="Lato"/>
                <w:b/>
                <w:bCs/>
                <w:color w:val="000000" w:themeColor="text1"/>
                <w:sz w:val="20"/>
                <w:szCs w:val="20"/>
              </w:rPr>
            </w:pPr>
            <w:r w:rsidRPr="00AA22C4">
              <w:rPr>
                <w:rFonts w:ascii="Lato" w:eastAsia="Courier New" w:hAnsi="Lato"/>
                <w:b/>
                <w:bCs/>
                <w:color w:val="000000" w:themeColor="text1"/>
                <w:sz w:val="20"/>
                <w:szCs w:val="20"/>
              </w:rPr>
              <w:t xml:space="preserve">Koszt jednostkowy </w:t>
            </w:r>
          </w:p>
          <w:p w14:paraId="13CE7FF6"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eastAsia="Courier New" w:hAnsi="Lato"/>
                <w:b/>
                <w:bCs/>
                <w:color w:val="000000" w:themeColor="text1"/>
                <w:sz w:val="20"/>
                <w:szCs w:val="20"/>
              </w:rPr>
              <w:t>(bez kosztu testów) w zł</w:t>
            </w:r>
          </w:p>
        </w:tc>
        <w:tc>
          <w:tcPr>
            <w:tcW w:w="200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40FBD22" w14:textId="77777777" w:rsidR="005E347E" w:rsidRPr="00AA22C4" w:rsidRDefault="005E347E" w:rsidP="00DE19D8">
            <w:pPr>
              <w:widowControl/>
              <w:spacing w:line="240" w:lineRule="auto"/>
              <w:jc w:val="center"/>
              <w:rPr>
                <w:rFonts w:ascii="Lato" w:eastAsia="Courier New" w:hAnsi="Lato"/>
                <w:b/>
                <w:bCs/>
                <w:color w:val="000000" w:themeColor="text1"/>
                <w:sz w:val="20"/>
                <w:szCs w:val="20"/>
              </w:rPr>
            </w:pPr>
            <w:r w:rsidRPr="00AA22C4">
              <w:rPr>
                <w:rFonts w:ascii="Lato" w:eastAsia="Courier New" w:hAnsi="Lato"/>
                <w:b/>
                <w:bCs/>
                <w:color w:val="000000" w:themeColor="text1"/>
                <w:sz w:val="20"/>
                <w:szCs w:val="20"/>
              </w:rPr>
              <w:t xml:space="preserve">Łączny koszt badań </w:t>
            </w:r>
          </w:p>
          <w:p w14:paraId="1AD7A71B"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eastAsia="Courier New" w:hAnsi="Lato"/>
                <w:b/>
                <w:bCs/>
                <w:color w:val="000000" w:themeColor="text1"/>
                <w:sz w:val="20"/>
                <w:szCs w:val="20"/>
              </w:rPr>
              <w:t>w zł</w:t>
            </w:r>
          </w:p>
        </w:tc>
      </w:tr>
      <w:tr w:rsidR="00B3776C" w:rsidRPr="00B3776C" w14:paraId="1CE9EEA9" w14:textId="77777777" w:rsidTr="00DE19D8">
        <w:trPr>
          <w:gridAfter w:val="2"/>
          <w:wAfter w:w="320" w:type="dxa"/>
          <w:trHeight w:val="567"/>
        </w:trPr>
        <w:tc>
          <w:tcPr>
            <w:tcW w:w="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0117B4"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eastAsia="Courier New" w:hAnsi="Lato"/>
                <w:color w:val="000000" w:themeColor="text1"/>
                <w:sz w:val="20"/>
                <w:szCs w:val="20"/>
              </w:rPr>
              <w:t>1.</w:t>
            </w:r>
          </w:p>
        </w:tc>
        <w:tc>
          <w:tcPr>
            <w:tcW w:w="40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F72F93"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 xml:space="preserve">Badania przesiewowe w kierunku wrodzonej niedoczynności tarczycy </w:t>
            </w:r>
          </w:p>
          <w:p w14:paraId="04E91CC8"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(340 000 badań)</w:t>
            </w:r>
          </w:p>
        </w:tc>
        <w:tc>
          <w:tcPr>
            <w:tcW w:w="228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E01DA3A" w14:textId="77777777" w:rsidR="005E347E" w:rsidRPr="00AA22C4" w:rsidRDefault="005E347E" w:rsidP="00DE19D8">
            <w:pPr>
              <w:widowControl/>
              <w:spacing w:line="240" w:lineRule="auto"/>
              <w:jc w:val="center"/>
              <w:rPr>
                <w:rFonts w:ascii="Lato" w:eastAsia="Courier New" w:hAnsi="Lato"/>
                <w:color w:val="000000" w:themeColor="text1"/>
                <w:sz w:val="20"/>
                <w:szCs w:val="20"/>
              </w:rPr>
            </w:pPr>
            <w:r w:rsidRPr="00AA22C4">
              <w:rPr>
                <w:rFonts w:ascii="Lato" w:eastAsia="Courier New" w:hAnsi="Lato"/>
                <w:color w:val="000000" w:themeColor="text1"/>
                <w:sz w:val="20"/>
                <w:szCs w:val="20"/>
              </w:rPr>
              <w:t>13,27</w:t>
            </w:r>
          </w:p>
        </w:tc>
        <w:tc>
          <w:tcPr>
            <w:tcW w:w="20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81DDE67" w14:textId="77777777" w:rsidR="005E347E" w:rsidRPr="00AA22C4" w:rsidRDefault="005E347E" w:rsidP="00DE19D8">
            <w:pPr>
              <w:widowControl/>
              <w:spacing w:line="240" w:lineRule="auto"/>
              <w:jc w:val="center"/>
              <w:rPr>
                <w:rFonts w:ascii="Lato" w:eastAsia="Courier New" w:hAnsi="Lato"/>
                <w:color w:val="000000" w:themeColor="text1"/>
                <w:sz w:val="20"/>
                <w:szCs w:val="20"/>
              </w:rPr>
            </w:pPr>
            <w:r w:rsidRPr="00AA22C4">
              <w:rPr>
                <w:rFonts w:ascii="Lato" w:eastAsia="Courier New" w:hAnsi="Lato"/>
                <w:color w:val="000000" w:themeColor="text1"/>
                <w:sz w:val="20"/>
                <w:szCs w:val="20"/>
              </w:rPr>
              <w:t>4 511 800</w:t>
            </w:r>
          </w:p>
        </w:tc>
      </w:tr>
      <w:tr w:rsidR="00B3776C" w:rsidRPr="00B3776C" w14:paraId="0B4CD5DC" w14:textId="77777777" w:rsidTr="00DE19D8">
        <w:trPr>
          <w:gridAfter w:val="2"/>
          <w:wAfter w:w="320" w:type="dxa"/>
          <w:trHeight w:val="567"/>
        </w:trPr>
        <w:tc>
          <w:tcPr>
            <w:tcW w:w="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7589AF"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eastAsia="Courier New" w:hAnsi="Lato"/>
                <w:color w:val="000000" w:themeColor="text1"/>
                <w:sz w:val="20"/>
                <w:szCs w:val="20"/>
              </w:rPr>
              <w:t>2.</w:t>
            </w:r>
          </w:p>
        </w:tc>
        <w:tc>
          <w:tcPr>
            <w:tcW w:w="40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2FD292"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Badania przesiewowe w kierunku fenyloketonurii (373 000 badań)</w:t>
            </w:r>
          </w:p>
        </w:tc>
        <w:tc>
          <w:tcPr>
            <w:tcW w:w="228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AADF644" w14:textId="77777777" w:rsidR="005E347E" w:rsidRPr="00AA22C4" w:rsidRDefault="005E347E" w:rsidP="00DE19D8">
            <w:pPr>
              <w:widowControl/>
              <w:spacing w:line="240" w:lineRule="auto"/>
              <w:jc w:val="center"/>
              <w:rPr>
                <w:rFonts w:ascii="Lato" w:eastAsia="Courier New" w:hAnsi="Lato"/>
                <w:color w:val="000000" w:themeColor="text1"/>
                <w:sz w:val="20"/>
                <w:szCs w:val="20"/>
              </w:rPr>
            </w:pPr>
            <w:r w:rsidRPr="00AA22C4">
              <w:rPr>
                <w:rFonts w:ascii="Lato" w:eastAsia="Courier New" w:hAnsi="Lato"/>
                <w:color w:val="000000" w:themeColor="text1"/>
                <w:sz w:val="20"/>
                <w:szCs w:val="20"/>
              </w:rPr>
              <w:t>10,41</w:t>
            </w:r>
          </w:p>
        </w:tc>
        <w:tc>
          <w:tcPr>
            <w:tcW w:w="20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CD76A1" w14:textId="77777777" w:rsidR="005E347E" w:rsidRPr="00AA22C4" w:rsidRDefault="005E347E" w:rsidP="00DE19D8">
            <w:pPr>
              <w:widowControl/>
              <w:spacing w:line="240" w:lineRule="auto"/>
              <w:jc w:val="center"/>
              <w:rPr>
                <w:rFonts w:ascii="Lato" w:eastAsia="Courier New" w:hAnsi="Lato"/>
                <w:color w:val="000000" w:themeColor="text1"/>
                <w:sz w:val="20"/>
                <w:szCs w:val="20"/>
              </w:rPr>
            </w:pPr>
            <w:r w:rsidRPr="00AA22C4">
              <w:rPr>
                <w:rFonts w:ascii="Lato" w:eastAsia="Courier New" w:hAnsi="Lato"/>
                <w:color w:val="000000" w:themeColor="text1"/>
                <w:sz w:val="20"/>
                <w:szCs w:val="20"/>
              </w:rPr>
              <w:t>3 882 930</w:t>
            </w:r>
          </w:p>
        </w:tc>
      </w:tr>
      <w:tr w:rsidR="00B3776C" w:rsidRPr="00B3776C" w14:paraId="4A474ADB" w14:textId="77777777" w:rsidTr="00DE19D8">
        <w:trPr>
          <w:gridAfter w:val="2"/>
          <w:wAfter w:w="320" w:type="dxa"/>
          <w:trHeight w:val="567"/>
        </w:trPr>
        <w:tc>
          <w:tcPr>
            <w:tcW w:w="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B50475"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eastAsia="Courier New" w:hAnsi="Lato"/>
                <w:color w:val="000000" w:themeColor="text1"/>
                <w:sz w:val="20"/>
                <w:szCs w:val="20"/>
              </w:rPr>
              <w:t>3.</w:t>
            </w:r>
          </w:p>
        </w:tc>
        <w:tc>
          <w:tcPr>
            <w:tcW w:w="40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78C46F"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Badania przesiewowe w kierunku mukowiscydozy (340 000 badań)</w:t>
            </w:r>
          </w:p>
        </w:tc>
        <w:tc>
          <w:tcPr>
            <w:tcW w:w="228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814BE8C" w14:textId="77777777" w:rsidR="005E347E" w:rsidRPr="00AA22C4" w:rsidRDefault="005E347E" w:rsidP="00DE19D8">
            <w:pPr>
              <w:widowControl/>
              <w:spacing w:line="240" w:lineRule="auto"/>
              <w:jc w:val="center"/>
              <w:rPr>
                <w:rFonts w:ascii="Lato" w:eastAsia="Courier New" w:hAnsi="Lato"/>
                <w:color w:val="000000" w:themeColor="text1"/>
                <w:sz w:val="20"/>
                <w:szCs w:val="20"/>
              </w:rPr>
            </w:pPr>
            <w:r w:rsidRPr="00AA22C4">
              <w:rPr>
                <w:rFonts w:ascii="Lato" w:eastAsia="Courier New" w:hAnsi="Lato"/>
                <w:color w:val="000000" w:themeColor="text1"/>
                <w:sz w:val="20"/>
                <w:szCs w:val="20"/>
              </w:rPr>
              <w:t>15,86</w:t>
            </w:r>
          </w:p>
        </w:tc>
        <w:tc>
          <w:tcPr>
            <w:tcW w:w="20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EDEF418" w14:textId="77777777" w:rsidR="005E347E" w:rsidRPr="00AA22C4" w:rsidRDefault="005E347E" w:rsidP="00DE19D8">
            <w:pPr>
              <w:widowControl/>
              <w:spacing w:line="240" w:lineRule="auto"/>
              <w:jc w:val="center"/>
              <w:rPr>
                <w:rFonts w:ascii="Lato" w:eastAsia="Courier New" w:hAnsi="Lato"/>
                <w:color w:val="000000" w:themeColor="text1"/>
                <w:sz w:val="20"/>
                <w:szCs w:val="20"/>
              </w:rPr>
            </w:pPr>
            <w:r w:rsidRPr="00AA22C4">
              <w:rPr>
                <w:rFonts w:ascii="Lato" w:eastAsia="Courier New" w:hAnsi="Lato"/>
                <w:color w:val="000000" w:themeColor="text1"/>
                <w:sz w:val="20"/>
                <w:szCs w:val="20"/>
              </w:rPr>
              <w:t>5 392 400</w:t>
            </w:r>
          </w:p>
        </w:tc>
      </w:tr>
      <w:tr w:rsidR="00B3776C" w:rsidRPr="00B3776C" w14:paraId="28A404F8" w14:textId="77777777" w:rsidTr="00DE19D8">
        <w:trPr>
          <w:gridAfter w:val="2"/>
          <w:wAfter w:w="320" w:type="dxa"/>
          <w:trHeight w:val="567"/>
        </w:trPr>
        <w:tc>
          <w:tcPr>
            <w:tcW w:w="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C0FA36E"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eastAsia="Courier New" w:hAnsi="Lato"/>
                <w:color w:val="000000" w:themeColor="text1"/>
                <w:sz w:val="20"/>
                <w:szCs w:val="20"/>
              </w:rPr>
              <w:t>4.</w:t>
            </w:r>
          </w:p>
        </w:tc>
        <w:tc>
          <w:tcPr>
            <w:tcW w:w="40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FD6DB4"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 xml:space="preserve">Badania przesiewowe w kierunku rzadkich wad metabolicznych - MS/MS </w:t>
            </w:r>
          </w:p>
          <w:p w14:paraId="0B667BD1"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(340 000 badań)</w:t>
            </w:r>
          </w:p>
        </w:tc>
        <w:tc>
          <w:tcPr>
            <w:tcW w:w="228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5A8CA47" w14:textId="77777777" w:rsidR="005E347E" w:rsidRPr="00AA22C4" w:rsidRDefault="005E347E" w:rsidP="00DE19D8">
            <w:pPr>
              <w:widowControl/>
              <w:spacing w:line="240" w:lineRule="auto"/>
              <w:jc w:val="center"/>
              <w:rPr>
                <w:rFonts w:ascii="Lato" w:eastAsia="Courier New" w:hAnsi="Lato"/>
                <w:color w:val="000000" w:themeColor="text1"/>
                <w:sz w:val="20"/>
                <w:szCs w:val="20"/>
              </w:rPr>
            </w:pPr>
            <w:r w:rsidRPr="00AA22C4">
              <w:rPr>
                <w:rFonts w:ascii="Lato" w:eastAsia="Courier New" w:hAnsi="Lato"/>
                <w:color w:val="000000" w:themeColor="text1"/>
                <w:sz w:val="20"/>
                <w:szCs w:val="20"/>
              </w:rPr>
              <w:t>17,68</w:t>
            </w:r>
          </w:p>
        </w:tc>
        <w:tc>
          <w:tcPr>
            <w:tcW w:w="20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764FF53" w14:textId="77777777" w:rsidR="005E347E" w:rsidRPr="00AA22C4" w:rsidRDefault="005E347E" w:rsidP="00DE19D8">
            <w:pPr>
              <w:widowControl/>
              <w:spacing w:line="240" w:lineRule="auto"/>
              <w:jc w:val="center"/>
              <w:rPr>
                <w:rFonts w:ascii="Lato" w:eastAsia="Courier New" w:hAnsi="Lato"/>
                <w:color w:val="000000" w:themeColor="text1"/>
                <w:sz w:val="20"/>
                <w:szCs w:val="20"/>
              </w:rPr>
            </w:pPr>
            <w:r w:rsidRPr="00AA22C4">
              <w:rPr>
                <w:rFonts w:ascii="Lato" w:eastAsia="Courier New" w:hAnsi="Lato"/>
                <w:color w:val="000000" w:themeColor="text1"/>
                <w:sz w:val="20"/>
                <w:szCs w:val="20"/>
              </w:rPr>
              <w:t>6 011 200</w:t>
            </w:r>
          </w:p>
        </w:tc>
      </w:tr>
      <w:tr w:rsidR="00B3776C" w:rsidRPr="00B3776C" w14:paraId="3649BEA1" w14:textId="77777777" w:rsidTr="00DE19D8">
        <w:trPr>
          <w:gridAfter w:val="2"/>
          <w:wAfter w:w="320" w:type="dxa"/>
          <w:trHeight w:val="567"/>
        </w:trPr>
        <w:tc>
          <w:tcPr>
            <w:tcW w:w="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5F7490"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eastAsia="Courier New" w:hAnsi="Lato"/>
                <w:color w:val="000000" w:themeColor="text1"/>
                <w:sz w:val="20"/>
                <w:szCs w:val="20"/>
              </w:rPr>
              <w:t>5.</w:t>
            </w:r>
          </w:p>
        </w:tc>
        <w:tc>
          <w:tcPr>
            <w:tcW w:w="40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078350"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 xml:space="preserve">Badania przesiewowe w kierunku wrodzonego przerostu nadnerczy </w:t>
            </w:r>
          </w:p>
          <w:p w14:paraId="0F458D73"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(340 000 badań)</w:t>
            </w:r>
          </w:p>
        </w:tc>
        <w:tc>
          <w:tcPr>
            <w:tcW w:w="228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503224" w14:textId="77777777" w:rsidR="005E347E" w:rsidRPr="00AA22C4" w:rsidRDefault="005E347E" w:rsidP="00DE19D8">
            <w:pPr>
              <w:widowControl/>
              <w:spacing w:line="240" w:lineRule="auto"/>
              <w:jc w:val="center"/>
              <w:rPr>
                <w:rFonts w:ascii="Lato" w:eastAsia="Courier New" w:hAnsi="Lato"/>
                <w:color w:val="000000" w:themeColor="text1"/>
                <w:sz w:val="20"/>
                <w:szCs w:val="20"/>
              </w:rPr>
            </w:pPr>
            <w:r w:rsidRPr="00AA22C4">
              <w:rPr>
                <w:rFonts w:ascii="Lato" w:eastAsia="Courier New" w:hAnsi="Lato"/>
                <w:color w:val="000000" w:themeColor="text1"/>
                <w:sz w:val="20"/>
                <w:szCs w:val="20"/>
              </w:rPr>
              <w:t>11,62</w:t>
            </w:r>
          </w:p>
        </w:tc>
        <w:tc>
          <w:tcPr>
            <w:tcW w:w="20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A08636" w14:textId="77777777" w:rsidR="005E347E" w:rsidRPr="00AA22C4" w:rsidRDefault="005E347E" w:rsidP="00DE19D8">
            <w:pPr>
              <w:widowControl/>
              <w:spacing w:line="240" w:lineRule="auto"/>
              <w:jc w:val="center"/>
              <w:rPr>
                <w:rFonts w:ascii="Lato" w:eastAsia="Courier New" w:hAnsi="Lato"/>
                <w:color w:val="000000" w:themeColor="text1"/>
                <w:sz w:val="20"/>
                <w:szCs w:val="20"/>
              </w:rPr>
            </w:pPr>
            <w:r w:rsidRPr="00AA22C4">
              <w:rPr>
                <w:rFonts w:ascii="Lato" w:eastAsia="Courier New" w:hAnsi="Lato"/>
                <w:color w:val="000000" w:themeColor="text1"/>
                <w:sz w:val="20"/>
                <w:szCs w:val="20"/>
              </w:rPr>
              <w:t>3 950 800</w:t>
            </w:r>
          </w:p>
        </w:tc>
      </w:tr>
      <w:tr w:rsidR="00B3776C" w:rsidRPr="00B3776C" w14:paraId="73F210C4" w14:textId="77777777" w:rsidTr="00DE19D8">
        <w:trPr>
          <w:gridAfter w:val="2"/>
          <w:wAfter w:w="320" w:type="dxa"/>
          <w:trHeight w:val="567"/>
        </w:trPr>
        <w:tc>
          <w:tcPr>
            <w:tcW w:w="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22E773"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eastAsia="Courier New" w:hAnsi="Lato"/>
                <w:color w:val="000000" w:themeColor="text1"/>
                <w:sz w:val="20"/>
                <w:szCs w:val="20"/>
              </w:rPr>
              <w:t>6.</w:t>
            </w:r>
          </w:p>
        </w:tc>
        <w:tc>
          <w:tcPr>
            <w:tcW w:w="40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161320"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Badania przesiewowe w kierunku deficytu biotynidazy (340 000 badań)</w:t>
            </w:r>
          </w:p>
        </w:tc>
        <w:tc>
          <w:tcPr>
            <w:tcW w:w="228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DE87F21" w14:textId="77777777" w:rsidR="005E347E" w:rsidRPr="00AA22C4" w:rsidRDefault="005E347E" w:rsidP="00DE19D8">
            <w:pPr>
              <w:widowControl/>
              <w:spacing w:line="240" w:lineRule="auto"/>
              <w:jc w:val="center"/>
              <w:rPr>
                <w:rFonts w:ascii="Lato" w:eastAsia="Courier New" w:hAnsi="Lato"/>
                <w:color w:val="000000" w:themeColor="text1"/>
                <w:sz w:val="20"/>
                <w:szCs w:val="20"/>
              </w:rPr>
            </w:pPr>
            <w:r w:rsidRPr="00AA22C4">
              <w:rPr>
                <w:rFonts w:ascii="Lato" w:eastAsia="Courier New" w:hAnsi="Lato"/>
                <w:color w:val="000000" w:themeColor="text1"/>
                <w:sz w:val="20"/>
                <w:szCs w:val="20"/>
              </w:rPr>
              <w:t>4,95</w:t>
            </w:r>
          </w:p>
        </w:tc>
        <w:tc>
          <w:tcPr>
            <w:tcW w:w="20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61D9EB" w14:textId="77777777" w:rsidR="005E347E" w:rsidRPr="00AA22C4" w:rsidRDefault="005E347E" w:rsidP="00DE19D8">
            <w:pPr>
              <w:widowControl/>
              <w:spacing w:line="240" w:lineRule="auto"/>
              <w:jc w:val="center"/>
              <w:rPr>
                <w:rFonts w:ascii="Lato" w:eastAsia="Courier New" w:hAnsi="Lato"/>
                <w:color w:val="000000" w:themeColor="text1"/>
                <w:sz w:val="20"/>
                <w:szCs w:val="20"/>
              </w:rPr>
            </w:pPr>
            <w:r w:rsidRPr="00AA22C4">
              <w:rPr>
                <w:rFonts w:ascii="Lato" w:eastAsia="Courier New" w:hAnsi="Lato"/>
                <w:color w:val="000000" w:themeColor="text1"/>
                <w:sz w:val="20"/>
                <w:szCs w:val="20"/>
              </w:rPr>
              <w:t>1 683 000</w:t>
            </w:r>
          </w:p>
        </w:tc>
      </w:tr>
      <w:tr w:rsidR="00B3776C" w:rsidRPr="00B3776C" w14:paraId="34E9172B" w14:textId="77777777" w:rsidTr="00DE19D8">
        <w:trPr>
          <w:gridAfter w:val="2"/>
          <w:wAfter w:w="320" w:type="dxa"/>
          <w:trHeight w:val="567"/>
        </w:trPr>
        <w:tc>
          <w:tcPr>
            <w:tcW w:w="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7A2DE9"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7.</w:t>
            </w:r>
          </w:p>
        </w:tc>
        <w:tc>
          <w:tcPr>
            <w:tcW w:w="40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3FFD1D"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Badania przesiewowe w kierunku rdzeniowego zaniku mięśni (340 000 badań)</w:t>
            </w:r>
          </w:p>
        </w:tc>
        <w:tc>
          <w:tcPr>
            <w:tcW w:w="228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BDE2797" w14:textId="3130841E" w:rsidR="005E347E" w:rsidRPr="00AA22C4" w:rsidRDefault="005E347E" w:rsidP="00DE19D8">
            <w:pPr>
              <w:widowControl/>
              <w:spacing w:line="240" w:lineRule="auto"/>
              <w:jc w:val="center"/>
              <w:rPr>
                <w:rFonts w:ascii="Lato" w:eastAsia="Courier New" w:hAnsi="Lato"/>
                <w:color w:val="000000" w:themeColor="text1"/>
                <w:sz w:val="20"/>
                <w:szCs w:val="20"/>
              </w:rPr>
            </w:pPr>
            <w:r w:rsidRPr="00AA22C4">
              <w:rPr>
                <w:rFonts w:ascii="Lato" w:eastAsia="Courier New" w:hAnsi="Lato"/>
                <w:color w:val="000000" w:themeColor="text1"/>
                <w:sz w:val="20"/>
                <w:szCs w:val="20"/>
              </w:rPr>
              <w:t>15,5</w:t>
            </w:r>
            <w:r w:rsidR="003F05E7" w:rsidRPr="00AA22C4">
              <w:rPr>
                <w:rFonts w:ascii="Lato" w:eastAsia="Courier New" w:hAnsi="Lato"/>
                <w:color w:val="000000" w:themeColor="text1"/>
                <w:sz w:val="20"/>
                <w:szCs w:val="20"/>
              </w:rPr>
              <w:t>0</w:t>
            </w:r>
          </w:p>
        </w:tc>
        <w:tc>
          <w:tcPr>
            <w:tcW w:w="20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A18E9E" w14:textId="77777777" w:rsidR="005E347E" w:rsidRPr="00AA22C4" w:rsidRDefault="005E347E" w:rsidP="00DE19D8">
            <w:pPr>
              <w:widowControl/>
              <w:spacing w:line="240" w:lineRule="auto"/>
              <w:jc w:val="center"/>
              <w:rPr>
                <w:rFonts w:ascii="Lato" w:eastAsia="Courier New" w:hAnsi="Lato"/>
                <w:color w:val="000000" w:themeColor="text1"/>
                <w:sz w:val="20"/>
                <w:szCs w:val="20"/>
              </w:rPr>
            </w:pPr>
            <w:r w:rsidRPr="00AA22C4">
              <w:rPr>
                <w:rFonts w:ascii="Lato" w:eastAsia="Courier New" w:hAnsi="Lato"/>
                <w:color w:val="000000" w:themeColor="text1"/>
                <w:sz w:val="20"/>
                <w:szCs w:val="20"/>
              </w:rPr>
              <w:t>5 270 000</w:t>
            </w:r>
          </w:p>
        </w:tc>
      </w:tr>
      <w:tr w:rsidR="00B3776C" w:rsidRPr="00B3776C" w14:paraId="67B4155E" w14:textId="77777777" w:rsidTr="00DE19D8">
        <w:trPr>
          <w:gridAfter w:val="2"/>
          <w:wAfter w:w="320" w:type="dxa"/>
          <w:trHeight w:val="397"/>
        </w:trPr>
        <w:tc>
          <w:tcPr>
            <w:tcW w:w="7189" w:type="dxa"/>
            <w:gridSpan w:val="7"/>
            <w:tcBorders>
              <w:top w:val="single" w:sz="4" w:space="0" w:color="auto"/>
              <w:left w:val="single" w:sz="8" w:space="0" w:color="auto"/>
              <w:bottom w:val="single" w:sz="8" w:space="0" w:color="auto"/>
              <w:right w:val="single" w:sz="8" w:space="0" w:color="000000"/>
            </w:tcBorders>
            <w:shd w:val="clear" w:color="auto" w:fill="auto"/>
            <w:vAlign w:val="center"/>
            <w:hideMark/>
          </w:tcPr>
          <w:p w14:paraId="6D2AA94E" w14:textId="77777777" w:rsidR="005E347E" w:rsidRPr="00AA22C4" w:rsidRDefault="005E347E" w:rsidP="00DE19D8">
            <w:pPr>
              <w:widowControl/>
              <w:spacing w:line="240" w:lineRule="auto"/>
              <w:jc w:val="right"/>
              <w:rPr>
                <w:rFonts w:ascii="Lato" w:hAnsi="Lato"/>
                <w:b/>
                <w:bCs/>
                <w:color w:val="000000" w:themeColor="text1"/>
                <w:sz w:val="20"/>
                <w:szCs w:val="20"/>
              </w:rPr>
            </w:pPr>
            <w:r w:rsidRPr="00AA22C4">
              <w:rPr>
                <w:rFonts w:ascii="Lato" w:eastAsia="Courier New" w:hAnsi="Lato"/>
                <w:b/>
                <w:bCs/>
                <w:color w:val="000000" w:themeColor="text1"/>
                <w:sz w:val="20"/>
                <w:szCs w:val="20"/>
              </w:rPr>
              <w:t>Razem:</w:t>
            </w:r>
          </w:p>
        </w:tc>
        <w:tc>
          <w:tcPr>
            <w:tcW w:w="2006" w:type="dxa"/>
            <w:gridSpan w:val="3"/>
            <w:tcBorders>
              <w:top w:val="single" w:sz="4" w:space="0" w:color="auto"/>
              <w:left w:val="nil"/>
              <w:bottom w:val="single" w:sz="8" w:space="0" w:color="auto"/>
              <w:right w:val="single" w:sz="8" w:space="0" w:color="auto"/>
            </w:tcBorders>
            <w:shd w:val="clear" w:color="auto" w:fill="auto"/>
            <w:vAlign w:val="center"/>
            <w:hideMark/>
          </w:tcPr>
          <w:p w14:paraId="18AE09A1" w14:textId="77777777" w:rsidR="005E347E" w:rsidRPr="00AA22C4" w:rsidRDefault="005E347E" w:rsidP="00DE19D8">
            <w:pPr>
              <w:widowControl/>
              <w:spacing w:line="240" w:lineRule="auto"/>
              <w:jc w:val="center"/>
              <w:rPr>
                <w:rFonts w:ascii="Lato" w:hAnsi="Lato"/>
                <w:b/>
                <w:color w:val="000000" w:themeColor="text1"/>
                <w:sz w:val="20"/>
                <w:szCs w:val="20"/>
              </w:rPr>
            </w:pPr>
            <w:r w:rsidRPr="00AA22C4">
              <w:rPr>
                <w:rFonts w:ascii="Lato" w:hAnsi="Lato"/>
                <w:b/>
                <w:color w:val="000000" w:themeColor="text1"/>
                <w:sz w:val="20"/>
                <w:szCs w:val="20"/>
              </w:rPr>
              <w:t>30 702 130</w:t>
            </w:r>
          </w:p>
        </w:tc>
      </w:tr>
      <w:tr w:rsidR="00B3776C" w:rsidRPr="00B3776C" w14:paraId="7EBFA70D" w14:textId="77777777" w:rsidTr="00DE19D8">
        <w:trPr>
          <w:gridAfter w:val="2"/>
          <w:wAfter w:w="320" w:type="dxa"/>
          <w:trHeight w:val="340"/>
        </w:trPr>
        <w:tc>
          <w:tcPr>
            <w:tcW w:w="9195" w:type="dxa"/>
            <w:gridSpan w:val="10"/>
            <w:tcBorders>
              <w:top w:val="single" w:sz="8" w:space="0" w:color="auto"/>
              <w:left w:val="single" w:sz="8" w:space="0" w:color="auto"/>
              <w:bottom w:val="single" w:sz="8" w:space="0" w:color="auto"/>
              <w:right w:val="single" w:sz="8" w:space="0" w:color="000000"/>
            </w:tcBorders>
            <w:shd w:val="clear" w:color="auto" w:fill="E7E6E6"/>
            <w:vAlign w:val="center"/>
            <w:hideMark/>
          </w:tcPr>
          <w:p w14:paraId="02A4939D" w14:textId="427292C5"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 xml:space="preserve">Koszt testów diagnostycznych i odczynników na 2024 </w:t>
            </w:r>
            <w:r w:rsidR="00A04888" w:rsidRPr="00AA22C4">
              <w:rPr>
                <w:rFonts w:ascii="Lato" w:hAnsi="Lato"/>
                <w:b/>
                <w:bCs/>
                <w:color w:val="000000" w:themeColor="text1"/>
                <w:sz w:val="20"/>
                <w:szCs w:val="20"/>
              </w:rPr>
              <w:t xml:space="preserve">r. </w:t>
            </w:r>
            <w:r w:rsidRPr="00AA22C4">
              <w:rPr>
                <w:rFonts w:ascii="Lato" w:hAnsi="Lato"/>
                <w:b/>
                <w:bCs/>
                <w:color w:val="000000" w:themeColor="text1"/>
                <w:sz w:val="20"/>
                <w:szCs w:val="20"/>
              </w:rPr>
              <w:t xml:space="preserve">i </w:t>
            </w:r>
            <w:proofErr w:type="spellStart"/>
            <w:r w:rsidRPr="00AA22C4">
              <w:rPr>
                <w:rFonts w:ascii="Lato" w:hAnsi="Lato"/>
                <w:b/>
                <w:bCs/>
                <w:color w:val="000000" w:themeColor="text1"/>
                <w:sz w:val="20"/>
                <w:szCs w:val="20"/>
              </w:rPr>
              <w:t>I</w:t>
            </w:r>
            <w:proofErr w:type="spellEnd"/>
            <w:r w:rsidRPr="00AA22C4">
              <w:rPr>
                <w:rFonts w:ascii="Lato" w:hAnsi="Lato"/>
                <w:b/>
                <w:bCs/>
                <w:color w:val="000000" w:themeColor="text1"/>
                <w:sz w:val="20"/>
                <w:szCs w:val="20"/>
              </w:rPr>
              <w:t xml:space="preserve"> kwartał 2025</w:t>
            </w:r>
            <w:r w:rsidR="00A04888" w:rsidRPr="00AA22C4">
              <w:rPr>
                <w:rFonts w:ascii="Lato" w:hAnsi="Lato"/>
                <w:b/>
                <w:bCs/>
                <w:color w:val="000000" w:themeColor="text1"/>
                <w:sz w:val="20"/>
                <w:szCs w:val="20"/>
              </w:rPr>
              <w:t xml:space="preserve"> r.</w:t>
            </w:r>
          </w:p>
        </w:tc>
      </w:tr>
      <w:tr w:rsidR="00B3776C" w:rsidRPr="00B3776C" w14:paraId="05D88748" w14:textId="77777777" w:rsidTr="00DE19D8">
        <w:trPr>
          <w:gridAfter w:val="2"/>
          <w:wAfter w:w="320" w:type="dxa"/>
          <w:trHeight w:val="397"/>
        </w:trPr>
        <w:tc>
          <w:tcPr>
            <w:tcW w:w="819" w:type="dxa"/>
            <w:gridSpan w:val="2"/>
            <w:tcBorders>
              <w:top w:val="nil"/>
              <w:left w:val="single" w:sz="8" w:space="0" w:color="auto"/>
              <w:bottom w:val="nil"/>
              <w:right w:val="nil"/>
            </w:tcBorders>
            <w:shd w:val="clear" w:color="auto" w:fill="auto"/>
            <w:vAlign w:val="center"/>
            <w:hideMark/>
          </w:tcPr>
          <w:p w14:paraId="1978A6B2"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eastAsia="Courier New" w:hAnsi="Lato"/>
                <w:b/>
                <w:bCs/>
                <w:color w:val="000000" w:themeColor="text1"/>
                <w:sz w:val="20"/>
                <w:szCs w:val="20"/>
              </w:rPr>
              <w:t>Poz.</w:t>
            </w:r>
          </w:p>
        </w:tc>
        <w:tc>
          <w:tcPr>
            <w:tcW w:w="6370" w:type="dxa"/>
            <w:gridSpan w:val="5"/>
            <w:tcBorders>
              <w:top w:val="single" w:sz="8" w:space="0" w:color="auto"/>
              <w:left w:val="single" w:sz="8" w:space="0" w:color="auto"/>
              <w:bottom w:val="nil"/>
              <w:right w:val="single" w:sz="8" w:space="0" w:color="000000"/>
            </w:tcBorders>
            <w:shd w:val="clear" w:color="auto" w:fill="auto"/>
            <w:vAlign w:val="center"/>
            <w:hideMark/>
          </w:tcPr>
          <w:p w14:paraId="449FC6B7"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eastAsia="Courier New" w:hAnsi="Lato"/>
                <w:b/>
                <w:bCs/>
                <w:color w:val="000000" w:themeColor="text1"/>
                <w:sz w:val="20"/>
                <w:szCs w:val="20"/>
              </w:rPr>
              <w:t>Kategoria wydatków</w:t>
            </w:r>
          </w:p>
        </w:tc>
        <w:tc>
          <w:tcPr>
            <w:tcW w:w="2006" w:type="dxa"/>
            <w:gridSpan w:val="3"/>
            <w:tcBorders>
              <w:top w:val="nil"/>
              <w:left w:val="nil"/>
              <w:bottom w:val="nil"/>
              <w:right w:val="single" w:sz="8" w:space="0" w:color="auto"/>
            </w:tcBorders>
            <w:shd w:val="clear" w:color="auto" w:fill="auto"/>
            <w:vAlign w:val="center"/>
            <w:hideMark/>
          </w:tcPr>
          <w:p w14:paraId="40974255"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eastAsia="Courier New" w:hAnsi="Lato"/>
                <w:b/>
                <w:bCs/>
                <w:color w:val="000000" w:themeColor="text1"/>
                <w:sz w:val="20"/>
                <w:szCs w:val="20"/>
              </w:rPr>
              <w:t>Łączny koszt zakupu testów w zł</w:t>
            </w:r>
          </w:p>
        </w:tc>
      </w:tr>
      <w:tr w:rsidR="00B3776C" w:rsidRPr="00B3776C" w14:paraId="78327C6C" w14:textId="77777777" w:rsidTr="00DE19D8">
        <w:trPr>
          <w:gridAfter w:val="2"/>
          <w:wAfter w:w="320" w:type="dxa"/>
          <w:trHeight w:val="567"/>
        </w:trPr>
        <w:tc>
          <w:tcPr>
            <w:tcW w:w="819" w:type="dxa"/>
            <w:gridSpan w:val="2"/>
            <w:tcBorders>
              <w:top w:val="single" w:sz="8" w:space="0" w:color="auto"/>
              <w:left w:val="single" w:sz="8" w:space="0" w:color="auto"/>
              <w:bottom w:val="single" w:sz="8" w:space="0" w:color="auto"/>
              <w:right w:val="nil"/>
            </w:tcBorders>
            <w:shd w:val="clear" w:color="auto" w:fill="auto"/>
            <w:vAlign w:val="center"/>
            <w:hideMark/>
          </w:tcPr>
          <w:p w14:paraId="5ECA84CF"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eastAsia="Courier New" w:hAnsi="Lato"/>
                <w:color w:val="000000" w:themeColor="text1"/>
                <w:sz w:val="20"/>
                <w:szCs w:val="20"/>
              </w:rPr>
              <w:t>8.</w:t>
            </w:r>
          </w:p>
        </w:tc>
        <w:tc>
          <w:tcPr>
            <w:tcW w:w="6370" w:type="dxa"/>
            <w:gridSpan w:val="5"/>
            <w:tcBorders>
              <w:top w:val="single" w:sz="8" w:space="0" w:color="auto"/>
              <w:left w:val="single" w:sz="8" w:space="0" w:color="auto"/>
              <w:bottom w:val="single" w:sz="8" w:space="0" w:color="auto"/>
              <w:right w:val="nil"/>
            </w:tcBorders>
            <w:shd w:val="clear" w:color="auto" w:fill="auto"/>
            <w:vAlign w:val="center"/>
            <w:hideMark/>
          </w:tcPr>
          <w:p w14:paraId="1A55E71F"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eastAsia="Courier New" w:hAnsi="Lato"/>
                <w:color w:val="000000" w:themeColor="text1"/>
                <w:sz w:val="20"/>
                <w:szCs w:val="20"/>
              </w:rPr>
              <w:t>Koszt testów diagnostycznych i odczynników do badań przesiewowych noworodków w 2024 oraz na zabezpieczenie badań w I kwartale 2025</w:t>
            </w:r>
          </w:p>
        </w:tc>
        <w:tc>
          <w:tcPr>
            <w:tcW w:w="2006"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14:paraId="6C9055A5"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eastAsia="Courier New" w:hAnsi="Lato"/>
                <w:b/>
                <w:bCs/>
                <w:color w:val="000000" w:themeColor="text1"/>
                <w:sz w:val="20"/>
                <w:szCs w:val="20"/>
              </w:rPr>
              <w:t>19 856 100</w:t>
            </w:r>
          </w:p>
        </w:tc>
      </w:tr>
      <w:tr w:rsidR="00B3776C" w:rsidRPr="00B3776C" w14:paraId="6EF2F6B2" w14:textId="77777777" w:rsidTr="00DE19D8">
        <w:trPr>
          <w:gridAfter w:val="2"/>
          <w:wAfter w:w="320" w:type="dxa"/>
          <w:trHeight w:val="340"/>
        </w:trPr>
        <w:tc>
          <w:tcPr>
            <w:tcW w:w="9195" w:type="dxa"/>
            <w:gridSpan w:val="10"/>
            <w:tcBorders>
              <w:top w:val="single" w:sz="8" w:space="0" w:color="auto"/>
              <w:left w:val="single" w:sz="8" w:space="0" w:color="auto"/>
              <w:bottom w:val="single" w:sz="8" w:space="0" w:color="auto"/>
              <w:right w:val="single" w:sz="8" w:space="0" w:color="000000"/>
            </w:tcBorders>
            <w:shd w:val="clear" w:color="auto" w:fill="E7E6E6"/>
            <w:vAlign w:val="center"/>
            <w:hideMark/>
          </w:tcPr>
          <w:p w14:paraId="43DC2136"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Koszty ogólnokrajowe IMiD oraz koordynacja i monitorowanie programu</w:t>
            </w:r>
          </w:p>
        </w:tc>
      </w:tr>
      <w:tr w:rsidR="00B3776C" w:rsidRPr="00B3776C" w14:paraId="4CD979AD" w14:textId="77777777" w:rsidTr="00DE19D8">
        <w:trPr>
          <w:gridAfter w:val="2"/>
          <w:wAfter w:w="320" w:type="dxa"/>
          <w:trHeight w:val="397"/>
        </w:trPr>
        <w:tc>
          <w:tcPr>
            <w:tcW w:w="819" w:type="dxa"/>
            <w:gridSpan w:val="2"/>
            <w:tcBorders>
              <w:top w:val="nil"/>
              <w:left w:val="single" w:sz="8" w:space="0" w:color="auto"/>
              <w:bottom w:val="nil"/>
              <w:right w:val="nil"/>
            </w:tcBorders>
            <w:shd w:val="clear" w:color="auto" w:fill="auto"/>
            <w:vAlign w:val="center"/>
            <w:hideMark/>
          </w:tcPr>
          <w:p w14:paraId="79EF01F2" w14:textId="77777777" w:rsidR="005E347E" w:rsidRPr="00AA22C4" w:rsidRDefault="005E347E" w:rsidP="00DE19D8">
            <w:pPr>
              <w:widowControl/>
              <w:spacing w:line="240" w:lineRule="auto"/>
              <w:jc w:val="center"/>
              <w:rPr>
                <w:rFonts w:ascii="Lato" w:hAnsi="Lato" w:cs="Courier New"/>
                <w:color w:val="000000" w:themeColor="text1"/>
                <w:sz w:val="20"/>
                <w:szCs w:val="20"/>
              </w:rPr>
            </w:pPr>
            <w:r w:rsidRPr="00AA22C4">
              <w:rPr>
                <w:rFonts w:ascii="Lato" w:hAnsi="Lato" w:cs="Courier New"/>
                <w:color w:val="000000" w:themeColor="text1"/>
                <w:sz w:val="20"/>
                <w:szCs w:val="20"/>
              </w:rPr>
              <w:t> </w:t>
            </w:r>
          </w:p>
        </w:tc>
        <w:tc>
          <w:tcPr>
            <w:tcW w:w="6370"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612AA7B5"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eastAsia="Courier New" w:hAnsi="Lato"/>
                <w:b/>
                <w:bCs/>
                <w:color w:val="000000" w:themeColor="text1"/>
                <w:sz w:val="20"/>
                <w:szCs w:val="20"/>
              </w:rPr>
              <w:t>Kategoria wydatków</w:t>
            </w:r>
          </w:p>
        </w:tc>
        <w:tc>
          <w:tcPr>
            <w:tcW w:w="2006" w:type="dxa"/>
            <w:gridSpan w:val="3"/>
            <w:tcBorders>
              <w:top w:val="nil"/>
              <w:left w:val="nil"/>
              <w:bottom w:val="nil"/>
              <w:right w:val="single" w:sz="8" w:space="0" w:color="auto"/>
            </w:tcBorders>
            <w:shd w:val="clear" w:color="auto" w:fill="auto"/>
            <w:vAlign w:val="center"/>
            <w:hideMark/>
          </w:tcPr>
          <w:p w14:paraId="3C70C244"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Łączny koszt w zł</w:t>
            </w:r>
          </w:p>
        </w:tc>
      </w:tr>
      <w:tr w:rsidR="00B3776C" w:rsidRPr="00B3776C" w14:paraId="000374AE" w14:textId="77777777" w:rsidTr="00DE19D8">
        <w:trPr>
          <w:gridAfter w:val="2"/>
          <w:wAfter w:w="320" w:type="dxa"/>
          <w:trHeight w:val="397"/>
        </w:trPr>
        <w:tc>
          <w:tcPr>
            <w:tcW w:w="819" w:type="dxa"/>
            <w:gridSpan w:val="2"/>
            <w:tcBorders>
              <w:top w:val="single" w:sz="8" w:space="0" w:color="auto"/>
              <w:left w:val="single" w:sz="8" w:space="0" w:color="auto"/>
              <w:bottom w:val="single" w:sz="4" w:space="0" w:color="auto"/>
              <w:right w:val="nil"/>
            </w:tcBorders>
            <w:shd w:val="clear" w:color="auto" w:fill="auto"/>
            <w:vAlign w:val="center"/>
            <w:hideMark/>
          </w:tcPr>
          <w:p w14:paraId="4E1DCCEB"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eastAsia="Courier New" w:hAnsi="Lato"/>
                <w:color w:val="000000" w:themeColor="text1"/>
                <w:sz w:val="20"/>
                <w:szCs w:val="20"/>
              </w:rPr>
              <w:t>9.</w:t>
            </w:r>
          </w:p>
        </w:tc>
        <w:tc>
          <w:tcPr>
            <w:tcW w:w="6370" w:type="dxa"/>
            <w:gridSpan w:val="5"/>
            <w:tcBorders>
              <w:top w:val="single" w:sz="8" w:space="0" w:color="auto"/>
              <w:left w:val="single" w:sz="8" w:space="0" w:color="auto"/>
              <w:bottom w:val="single" w:sz="4" w:space="0" w:color="auto"/>
              <w:right w:val="single" w:sz="8" w:space="0" w:color="000000"/>
            </w:tcBorders>
            <w:shd w:val="clear" w:color="auto" w:fill="auto"/>
            <w:vAlign w:val="center"/>
            <w:hideMark/>
          </w:tcPr>
          <w:p w14:paraId="684B42DD"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eastAsia="Courier New" w:hAnsi="Lato"/>
                <w:color w:val="000000" w:themeColor="text1"/>
                <w:sz w:val="20"/>
                <w:szCs w:val="20"/>
              </w:rPr>
              <w:t>Prowadzenie rejestru noworodków</w:t>
            </w:r>
          </w:p>
        </w:tc>
        <w:tc>
          <w:tcPr>
            <w:tcW w:w="2006" w:type="dxa"/>
            <w:gridSpan w:val="3"/>
            <w:tcBorders>
              <w:top w:val="single" w:sz="8" w:space="0" w:color="auto"/>
              <w:left w:val="nil"/>
              <w:bottom w:val="single" w:sz="4" w:space="0" w:color="auto"/>
              <w:right w:val="single" w:sz="8" w:space="0" w:color="auto"/>
            </w:tcBorders>
            <w:shd w:val="clear" w:color="auto" w:fill="auto"/>
            <w:vAlign w:val="center"/>
          </w:tcPr>
          <w:p w14:paraId="2A50FCEA" w14:textId="77777777" w:rsidR="005E347E" w:rsidRPr="00AA22C4" w:rsidRDefault="005E347E" w:rsidP="00DE19D8">
            <w:pPr>
              <w:widowControl/>
              <w:spacing w:line="240" w:lineRule="auto"/>
              <w:jc w:val="center"/>
              <w:rPr>
                <w:rFonts w:ascii="Lato" w:eastAsia="Courier New" w:hAnsi="Lato"/>
                <w:b/>
                <w:bCs/>
                <w:color w:val="000000" w:themeColor="text1"/>
                <w:sz w:val="20"/>
                <w:szCs w:val="20"/>
              </w:rPr>
            </w:pPr>
            <w:r w:rsidRPr="00AA22C4">
              <w:rPr>
                <w:rFonts w:ascii="Lato" w:hAnsi="Lato"/>
                <w:color w:val="000000" w:themeColor="text1"/>
                <w:sz w:val="20"/>
                <w:szCs w:val="20"/>
              </w:rPr>
              <w:t>107 600</w:t>
            </w:r>
          </w:p>
        </w:tc>
      </w:tr>
      <w:tr w:rsidR="00B3776C" w:rsidRPr="00B3776C" w14:paraId="69739742" w14:textId="77777777" w:rsidTr="00DE19D8">
        <w:trPr>
          <w:gridAfter w:val="2"/>
          <w:wAfter w:w="320" w:type="dxa"/>
          <w:trHeight w:val="397"/>
        </w:trPr>
        <w:tc>
          <w:tcPr>
            <w:tcW w:w="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F9FD842"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eastAsia="Courier New" w:hAnsi="Lato"/>
                <w:color w:val="000000" w:themeColor="text1"/>
                <w:sz w:val="20"/>
                <w:szCs w:val="20"/>
              </w:rPr>
              <w:t>10.</w:t>
            </w:r>
          </w:p>
        </w:tc>
        <w:tc>
          <w:tcPr>
            <w:tcW w:w="63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238136D"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eastAsia="Courier New" w:hAnsi="Lato"/>
                <w:color w:val="000000" w:themeColor="text1"/>
                <w:sz w:val="20"/>
                <w:szCs w:val="20"/>
              </w:rPr>
              <w:t>Korespondencja, przesyłki, łączność elektroniczna</w:t>
            </w:r>
          </w:p>
        </w:tc>
        <w:tc>
          <w:tcPr>
            <w:tcW w:w="20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C4E0DC8" w14:textId="77777777" w:rsidR="005E347E" w:rsidRPr="00AA22C4" w:rsidRDefault="005E347E" w:rsidP="00DE19D8">
            <w:pPr>
              <w:widowControl/>
              <w:spacing w:line="240" w:lineRule="auto"/>
              <w:jc w:val="center"/>
              <w:rPr>
                <w:rFonts w:ascii="Lato" w:eastAsia="Courier New" w:hAnsi="Lato"/>
                <w:b/>
                <w:bCs/>
                <w:color w:val="000000" w:themeColor="text1"/>
                <w:sz w:val="20"/>
                <w:szCs w:val="20"/>
              </w:rPr>
            </w:pPr>
            <w:r w:rsidRPr="00AA22C4">
              <w:rPr>
                <w:rFonts w:ascii="Lato" w:hAnsi="Lato"/>
                <w:color w:val="000000" w:themeColor="text1"/>
                <w:sz w:val="20"/>
                <w:szCs w:val="20"/>
              </w:rPr>
              <w:t>36 800</w:t>
            </w:r>
          </w:p>
        </w:tc>
      </w:tr>
      <w:tr w:rsidR="00B3776C" w:rsidRPr="00B3776C" w14:paraId="5CCD5F50" w14:textId="77777777" w:rsidTr="00DE19D8">
        <w:trPr>
          <w:gridAfter w:val="2"/>
          <w:wAfter w:w="320" w:type="dxa"/>
          <w:trHeight w:val="397"/>
        </w:trPr>
        <w:tc>
          <w:tcPr>
            <w:tcW w:w="819" w:type="dxa"/>
            <w:gridSpan w:val="2"/>
            <w:tcBorders>
              <w:top w:val="single" w:sz="4" w:space="0" w:color="auto"/>
              <w:left w:val="single" w:sz="8" w:space="0" w:color="auto"/>
              <w:bottom w:val="nil"/>
              <w:right w:val="nil"/>
            </w:tcBorders>
            <w:shd w:val="clear" w:color="auto" w:fill="auto"/>
            <w:vAlign w:val="center"/>
            <w:hideMark/>
          </w:tcPr>
          <w:p w14:paraId="127EA482"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eastAsia="Courier New" w:hAnsi="Lato"/>
                <w:color w:val="000000" w:themeColor="text1"/>
                <w:sz w:val="20"/>
                <w:szCs w:val="20"/>
              </w:rPr>
              <w:t>11.</w:t>
            </w:r>
          </w:p>
        </w:tc>
        <w:tc>
          <w:tcPr>
            <w:tcW w:w="6370" w:type="dxa"/>
            <w:gridSpan w:val="5"/>
            <w:tcBorders>
              <w:top w:val="single" w:sz="4" w:space="0" w:color="auto"/>
              <w:left w:val="single" w:sz="8" w:space="0" w:color="auto"/>
              <w:bottom w:val="single" w:sz="8" w:space="0" w:color="auto"/>
              <w:right w:val="single" w:sz="8" w:space="0" w:color="000000"/>
            </w:tcBorders>
            <w:shd w:val="clear" w:color="auto" w:fill="auto"/>
            <w:vAlign w:val="center"/>
            <w:hideMark/>
          </w:tcPr>
          <w:p w14:paraId="1F79C76D"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eastAsia="Courier New" w:hAnsi="Lato"/>
                <w:color w:val="000000" w:themeColor="text1"/>
                <w:sz w:val="20"/>
                <w:szCs w:val="20"/>
              </w:rPr>
              <w:t>Szkolenia, konferencje, delegacje krajowe</w:t>
            </w:r>
          </w:p>
        </w:tc>
        <w:tc>
          <w:tcPr>
            <w:tcW w:w="2006" w:type="dxa"/>
            <w:gridSpan w:val="3"/>
            <w:tcBorders>
              <w:top w:val="single" w:sz="4" w:space="0" w:color="auto"/>
              <w:left w:val="nil"/>
              <w:bottom w:val="nil"/>
              <w:right w:val="single" w:sz="8" w:space="0" w:color="auto"/>
            </w:tcBorders>
            <w:shd w:val="clear" w:color="auto" w:fill="auto"/>
            <w:vAlign w:val="center"/>
          </w:tcPr>
          <w:p w14:paraId="1DE45CEB" w14:textId="77777777" w:rsidR="005E347E" w:rsidRPr="00AA22C4" w:rsidRDefault="005E347E" w:rsidP="00DE19D8">
            <w:pPr>
              <w:widowControl/>
              <w:spacing w:line="240" w:lineRule="auto"/>
              <w:jc w:val="center"/>
              <w:rPr>
                <w:rFonts w:ascii="Lato" w:eastAsia="Courier New" w:hAnsi="Lato"/>
                <w:b/>
                <w:bCs/>
                <w:color w:val="000000" w:themeColor="text1"/>
                <w:sz w:val="20"/>
                <w:szCs w:val="20"/>
              </w:rPr>
            </w:pPr>
            <w:r w:rsidRPr="00AA22C4">
              <w:rPr>
                <w:rFonts w:ascii="Lato" w:hAnsi="Lato"/>
                <w:color w:val="000000" w:themeColor="text1"/>
                <w:sz w:val="20"/>
                <w:szCs w:val="20"/>
              </w:rPr>
              <w:t>22 700</w:t>
            </w:r>
          </w:p>
        </w:tc>
      </w:tr>
      <w:tr w:rsidR="00B3776C" w:rsidRPr="00B3776C" w14:paraId="0E88958F" w14:textId="77777777" w:rsidTr="00DE19D8">
        <w:trPr>
          <w:gridAfter w:val="2"/>
          <w:wAfter w:w="320" w:type="dxa"/>
          <w:trHeight w:val="397"/>
        </w:trPr>
        <w:tc>
          <w:tcPr>
            <w:tcW w:w="819" w:type="dxa"/>
            <w:gridSpan w:val="2"/>
            <w:tcBorders>
              <w:top w:val="single" w:sz="8" w:space="0" w:color="auto"/>
              <w:left w:val="single" w:sz="8" w:space="0" w:color="auto"/>
              <w:bottom w:val="nil"/>
              <w:right w:val="nil"/>
            </w:tcBorders>
            <w:shd w:val="clear" w:color="auto" w:fill="auto"/>
            <w:vAlign w:val="center"/>
            <w:hideMark/>
          </w:tcPr>
          <w:p w14:paraId="4DCE65E4"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eastAsia="Courier New" w:hAnsi="Lato"/>
                <w:color w:val="000000" w:themeColor="text1"/>
                <w:sz w:val="20"/>
                <w:szCs w:val="20"/>
              </w:rPr>
              <w:t>12.</w:t>
            </w:r>
          </w:p>
        </w:tc>
        <w:tc>
          <w:tcPr>
            <w:tcW w:w="6370"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0227AFE7"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eastAsia="Courier New" w:hAnsi="Lato"/>
                <w:color w:val="000000" w:themeColor="text1"/>
                <w:sz w:val="20"/>
                <w:szCs w:val="20"/>
              </w:rPr>
              <w:t>Opracowanie treści oraz grafiki na stronę internetową oraz do materiałów informacyjnych</w:t>
            </w:r>
          </w:p>
        </w:tc>
        <w:tc>
          <w:tcPr>
            <w:tcW w:w="2006" w:type="dxa"/>
            <w:gridSpan w:val="3"/>
            <w:tcBorders>
              <w:top w:val="single" w:sz="8" w:space="0" w:color="auto"/>
              <w:left w:val="nil"/>
              <w:bottom w:val="nil"/>
              <w:right w:val="single" w:sz="8" w:space="0" w:color="auto"/>
            </w:tcBorders>
            <w:shd w:val="clear" w:color="auto" w:fill="auto"/>
            <w:vAlign w:val="center"/>
          </w:tcPr>
          <w:p w14:paraId="4793DCC0" w14:textId="77777777" w:rsidR="005E347E" w:rsidRPr="00AA22C4" w:rsidRDefault="005E347E" w:rsidP="00DE19D8">
            <w:pPr>
              <w:widowControl/>
              <w:spacing w:line="240" w:lineRule="auto"/>
              <w:jc w:val="center"/>
              <w:rPr>
                <w:rFonts w:ascii="Lato" w:eastAsia="Courier New" w:hAnsi="Lato"/>
                <w:b/>
                <w:bCs/>
                <w:color w:val="000000" w:themeColor="text1"/>
                <w:sz w:val="20"/>
                <w:szCs w:val="20"/>
              </w:rPr>
            </w:pPr>
            <w:r w:rsidRPr="00AA22C4">
              <w:rPr>
                <w:rFonts w:ascii="Lato" w:hAnsi="Lato"/>
                <w:color w:val="000000" w:themeColor="text1"/>
                <w:sz w:val="20"/>
                <w:szCs w:val="20"/>
              </w:rPr>
              <w:t>49 500</w:t>
            </w:r>
          </w:p>
        </w:tc>
      </w:tr>
      <w:tr w:rsidR="00B3776C" w:rsidRPr="00B3776C" w14:paraId="3A6C184D" w14:textId="77777777" w:rsidTr="00DE19D8">
        <w:trPr>
          <w:gridAfter w:val="2"/>
          <w:wAfter w:w="320" w:type="dxa"/>
          <w:trHeight w:val="397"/>
        </w:trPr>
        <w:tc>
          <w:tcPr>
            <w:tcW w:w="819" w:type="dxa"/>
            <w:gridSpan w:val="2"/>
            <w:tcBorders>
              <w:top w:val="single" w:sz="8" w:space="0" w:color="auto"/>
              <w:left w:val="single" w:sz="8" w:space="0" w:color="auto"/>
              <w:bottom w:val="nil"/>
              <w:right w:val="nil"/>
            </w:tcBorders>
            <w:shd w:val="clear" w:color="auto" w:fill="auto"/>
            <w:vAlign w:val="center"/>
            <w:hideMark/>
          </w:tcPr>
          <w:p w14:paraId="28DE5755"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eastAsia="Courier New" w:hAnsi="Lato"/>
                <w:color w:val="000000" w:themeColor="text1"/>
                <w:sz w:val="20"/>
                <w:szCs w:val="20"/>
              </w:rPr>
              <w:t>13.</w:t>
            </w:r>
          </w:p>
        </w:tc>
        <w:tc>
          <w:tcPr>
            <w:tcW w:w="6370"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74C91D2F"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eastAsia="Courier New" w:hAnsi="Lato"/>
                <w:color w:val="000000" w:themeColor="text1"/>
                <w:sz w:val="20"/>
                <w:szCs w:val="20"/>
              </w:rPr>
              <w:t>Koszty osobowe</w:t>
            </w:r>
          </w:p>
        </w:tc>
        <w:tc>
          <w:tcPr>
            <w:tcW w:w="2006" w:type="dxa"/>
            <w:gridSpan w:val="3"/>
            <w:tcBorders>
              <w:top w:val="single" w:sz="8" w:space="0" w:color="auto"/>
              <w:left w:val="nil"/>
              <w:bottom w:val="nil"/>
              <w:right w:val="single" w:sz="8" w:space="0" w:color="auto"/>
            </w:tcBorders>
            <w:shd w:val="clear" w:color="auto" w:fill="auto"/>
            <w:vAlign w:val="center"/>
          </w:tcPr>
          <w:p w14:paraId="627194F3" w14:textId="77777777" w:rsidR="005E347E" w:rsidRPr="00AA22C4" w:rsidRDefault="005E347E" w:rsidP="00DE19D8">
            <w:pPr>
              <w:widowControl/>
              <w:spacing w:line="240" w:lineRule="auto"/>
              <w:jc w:val="center"/>
              <w:rPr>
                <w:rFonts w:ascii="Lato" w:eastAsia="Courier New" w:hAnsi="Lato"/>
                <w:b/>
                <w:bCs/>
                <w:color w:val="000000" w:themeColor="text1"/>
                <w:sz w:val="20"/>
                <w:szCs w:val="20"/>
              </w:rPr>
            </w:pPr>
            <w:r w:rsidRPr="00AA22C4">
              <w:rPr>
                <w:rFonts w:ascii="Lato" w:hAnsi="Lato"/>
                <w:color w:val="000000" w:themeColor="text1"/>
                <w:sz w:val="20"/>
                <w:szCs w:val="20"/>
              </w:rPr>
              <w:t>210 000</w:t>
            </w:r>
          </w:p>
        </w:tc>
      </w:tr>
      <w:tr w:rsidR="00B3776C" w:rsidRPr="00B3776C" w14:paraId="4440B8E5" w14:textId="77777777" w:rsidTr="00DE19D8">
        <w:trPr>
          <w:gridAfter w:val="2"/>
          <w:wAfter w:w="320" w:type="dxa"/>
          <w:trHeight w:val="397"/>
        </w:trPr>
        <w:tc>
          <w:tcPr>
            <w:tcW w:w="819" w:type="dxa"/>
            <w:gridSpan w:val="2"/>
            <w:tcBorders>
              <w:top w:val="single" w:sz="8" w:space="0" w:color="auto"/>
              <w:left w:val="single" w:sz="8" w:space="0" w:color="auto"/>
              <w:bottom w:val="nil"/>
              <w:right w:val="nil"/>
            </w:tcBorders>
            <w:shd w:val="clear" w:color="auto" w:fill="auto"/>
            <w:vAlign w:val="center"/>
            <w:hideMark/>
          </w:tcPr>
          <w:p w14:paraId="5FED1CA2"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eastAsia="Courier New" w:hAnsi="Lato"/>
                <w:color w:val="000000" w:themeColor="text1"/>
                <w:sz w:val="20"/>
                <w:szCs w:val="20"/>
              </w:rPr>
              <w:t>14.</w:t>
            </w:r>
          </w:p>
        </w:tc>
        <w:tc>
          <w:tcPr>
            <w:tcW w:w="6370"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26706AD0"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eastAsia="Courier New" w:hAnsi="Lato"/>
                <w:color w:val="000000" w:themeColor="text1"/>
                <w:sz w:val="20"/>
                <w:szCs w:val="20"/>
              </w:rPr>
              <w:t>Opracowanie oraz druk ulotek, materiałów informacyjnych, plakatów, instrukcji, etykiet z kodem</w:t>
            </w:r>
          </w:p>
        </w:tc>
        <w:tc>
          <w:tcPr>
            <w:tcW w:w="2006" w:type="dxa"/>
            <w:gridSpan w:val="3"/>
            <w:tcBorders>
              <w:top w:val="single" w:sz="8" w:space="0" w:color="auto"/>
              <w:left w:val="nil"/>
              <w:bottom w:val="nil"/>
              <w:right w:val="single" w:sz="8" w:space="0" w:color="auto"/>
            </w:tcBorders>
            <w:shd w:val="clear" w:color="auto" w:fill="auto"/>
            <w:vAlign w:val="center"/>
          </w:tcPr>
          <w:p w14:paraId="41BE7FFC" w14:textId="77777777" w:rsidR="005E347E" w:rsidRPr="00AA22C4" w:rsidRDefault="005E347E" w:rsidP="00DE19D8">
            <w:pPr>
              <w:widowControl/>
              <w:spacing w:line="240" w:lineRule="auto"/>
              <w:jc w:val="center"/>
              <w:rPr>
                <w:rFonts w:ascii="Lato" w:eastAsia="Courier New" w:hAnsi="Lato"/>
                <w:b/>
                <w:bCs/>
                <w:color w:val="000000" w:themeColor="text1"/>
                <w:sz w:val="20"/>
                <w:szCs w:val="20"/>
              </w:rPr>
            </w:pPr>
            <w:r w:rsidRPr="00AA22C4">
              <w:rPr>
                <w:rFonts w:ascii="Lato" w:hAnsi="Lato"/>
                <w:color w:val="000000" w:themeColor="text1"/>
                <w:sz w:val="20"/>
                <w:szCs w:val="20"/>
              </w:rPr>
              <w:t>212 300</w:t>
            </w:r>
          </w:p>
        </w:tc>
      </w:tr>
      <w:tr w:rsidR="00B3776C" w:rsidRPr="00B3776C" w14:paraId="55A52AA0" w14:textId="77777777" w:rsidTr="00DE19D8">
        <w:trPr>
          <w:gridAfter w:val="2"/>
          <w:wAfter w:w="320" w:type="dxa"/>
          <w:trHeight w:val="397"/>
        </w:trPr>
        <w:tc>
          <w:tcPr>
            <w:tcW w:w="819" w:type="dxa"/>
            <w:gridSpan w:val="2"/>
            <w:tcBorders>
              <w:top w:val="single" w:sz="8" w:space="0" w:color="auto"/>
              <w:left w:val="single" w:sz="8" w:space="0" w:color="auto"/>
              <w:bottom w:val="nil"/>
              <w:right w:val="nil"/>
            </w:tcBorders>
            <w:shd w:val="clear" w:color="auto" w:fill="auto"/>
            <w:vAlign w:val="center"/>
            <w:hideMark/>
          </w:tcPr>
          <w:p w14:paraId="0201F493"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eastAsia="Courier New" w:hAnsi="Lato"/>
                <w:color w:val="000000" w:themeColor="text1"/>
                <w:sz w:val="20"/>
                <w:szCs w:val="20"/>
              </w:rPr>
              <w:t>15.</w:t>
            </w:r>
          </w:p>
        </w:tc>
        <w:tc>
          <w:tcPr>
            <w:tcW w:w="6370"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2010548A"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eastAsia="Courier New" w:hAnsi="Lato"/>
                <w:color w:val="000000" w:themeColor="text1"/>
                <w:sz w:val="20"/>
                <w:szCs w:val="20"/>
              </w:rPr>
              <w:t>Transport próbek krwi ze szpitali do ośrodków przesiewowych w całym kraju</w:t>
            </w:r>
          </w:p>
        </w:tc>
        <w:tc>
          <w:tcPr>
            <w:tcW w:w="2006" w:type="dxa"/>
            <w:gridSpan w:val="3"/>
            <w:tcBorders>
              <w:top w:val="single" w:sz="8" w:space="0" w:color="auto"/>
              <w:left w:val="nil"/>
              <w:bottom w:val="nil"/>
              <w:right w:val="single" w:sz="8" w:space="0" w:color="auto"/>
            </w:tcBorders>
            <w:shd w:val="clear" w:color="auto" w:fill="auto"/>
            <w:vAlign w:val="center"/>
          </w:tcPr>
          <w:p w14:paraId="2D880143" w14:textId="77777777" w:rsidR="005E347E" w:rsidRPr="00AA22C4" w:rsidRDefault="005E347E" w:rsidP="00DE19D8">
            <w:pPr>
              <w:widowControl/>
              <w:spacing w:line="240" w:lineRule="auto"/>
              <w:jc w:val="center"/>
              <w:rPr>
                <w:rFonts w:ascii="Lato" w:eastAsia="Courier New" w:hAnsi="Lato"/>
                <w:b/>
                <w:bCs/>
                <w:color w:val="000000" w:themeColor="text1"/>
                <w:sz w:val="20"/>
                <w:szCs w:val="20"/>
              </w:rPr>
            </w:pPr>
            <w:r w:rsidRPr="00AA22C4">
              <w:rPr>
                <w:rFonts w:ascii="Lato" w:hAnsi="Lato"/>
                <w:color w:val="000000" w:themeColor="text1"/>
                <w:sz w:val="20"/>
                <w:szCs w:val="20"/>
              </w:rPr>
              <w:t>2 839 400</w:t>
            </w:r>
          </w:p>
        </w:tc>
      </w:tr>
      <w:tr w:rsidR="00B3776C" w:rsidRPr="00B3776C" w14:paraId="4B1ACD42" w14:textId="77777777" w:rsidTr="00DE19D8">
        <w:trPr>
          <w:gridAfter w:val="1"/>
          <w:wAfter w:w="160" w:type="dxa"/>
          <w:trHeight w:val="397"/>
        </w:trPr>
        <w:tc>
          <w:tcPr>
            <w:tcW w:w="7189"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14:paraId="3C611A4F" w14:textId="77777777" w:rsidR="005E347E" w:rsidRPr="00AA22C4" w:rsidRDefault="005E347E" w:rsidP="00DE19D8">
            <w:pPr>
              <w:widowControl/>
              <w:spacing w:line="240" w:lineRule="auto"/>
              <w:jc w:val="right"/>
              <w:rPr>
                <w:rFonts w:ascii="Lato" w:hAnsi="Lato"/>
                <w:b/>
                <w:bCs/>
                <w:color w:val="000000" w:themeColor="text1"/>
                <w:sz w:val="20"/>
                <w:szCs w:val="20"/>
              </w:rPr>
            </w:pPr>
            <w:r w:rsidRPr="00AA22C4">
              <w:rPr>
                <w:rFonts w:ascii="Lato" w:eastAsia="Courier New" w:hAnsi="Lato"/>
                <w:b/>
                <w:bCs/>
                <w:color w:val="000000" w:themeColor="text1"/>
                <w:sz w:val="20"/>
                <w:szCs w:val="20"/>
              </w:rPr>
              <w:t>Razem:</w:t>
            </w:r>
          </w:p>
        </w:tc>
        <w:tc>
          <w:tcPr>
            <w:tcW w:w="2006" w:type="dxa"/>
            <w:gridSpan w:val="3"/>
            <w:tcBorders>
              <w:top w:val="single" w:sz="8" w:space="0" w:color="auto"/>
              <w:left w:val="nil"/>
              <w:bottom w:val="nil"/>
              <w:right w:val="single" w:sz="8" w:space="0" w:color="auto"/>
            </w:tcBorders>
            <w:shd w:val="clear" w:color="auto" w:fill="auto"/>
            <w:vAlign w:val="center"/>
          </w:tcPr>
          <w:p w14:paraId="743B2EE6"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3 478 300</w:t>
            </w:r>
          </w:p>
        </w:tc>
        <w:tc>
          <w:tcPr>
            <w:tcW w:w="160" w:type="dxa"/>
            <w:vAlign w:val="center"/>
          </w:tcPr>
          <w:p w14:paraId="1D832478" w14:textId="77777777" w:rsidR="005E347E" w:rsidRPr="00AA22C4" w:rsidRDefault="005E347E" w:rsidP="00DE19D8">
            <w:pPr>
              <w:widowControl/>
              <w:spacing w:line="240" w:lineRule="auto"/>
              <w:rPr>
                <w:rFonts w:ascii="Lato" w:hAnsi="Lato"/>
                <w:color w:val="000000" w:themeColor="text1"/>
              </w:rPr>
            </w:pPr>
          </w:p>
        </w:tc>
      </w:tr>
      <w:tr w:rsidR="00B3776C" w:rsidRPr="00B3776C" w14:paraId="1679B688" w14:textId="77777777" w:rsidTr="00DE19D8">
        <w:trPr>
          <w:gridAfter w:val="2"/>
          <w:wAfter w:w="320" w:type="dxa"/>
          <w:trHeight w:val="397"/>
        </w:trPr>
        <w:tc>
          <w:tcPr>
            <w:tcW w:w="7189" w:type="dxa"/>
            <w:gridSpan w:val="7"/>
            <w:tcBorders>
              <w:top w:val="single" w:sz="8" w:space="0" w:color="auto"/>
              <w:left w:val="single" w:sz="8" w:space="0" w:color="auto"/>
              <w:bottom w:val="single" w:sz="8" w:space="0" w:color="auto"/>
              <w:right w:val="nil"/>
            </w:tcBorders>
            <w:shd w:val="clear" w:color="auto" w:fill="AEAAAA"/>
            <w:vAlign w:val="center"/>
            <w:hideMark/>
          </w:tcPr>
          <w:p w14:paraId="5E41499F" w14:textId="00307248" w:rsidR="005E347E" w:rsidRPr="00AA22C4" w:rsidRDefault="005E347E" w:rsidP="00DE19D8">
            <w:pPr>
              <w:widowControl/>
              <w:spacing w:line="240" w:lineRule="auto"/>
              <w:jc w:val="center"/>
              <w:rPr>
                <w:rFonts w:ascii="Lato" w:hAnsi="Lato"/>
                <w:b/>
                <w:bCs/>
                <w:color w:val="000000" w:themeColor="text1"/>
                <w:sz w:val="22"/>
                <w:szCs w:val="22"/>
              </w:rPr>
            </w:pPr>
            <w:bookmarkStart w:id="67" w:name="_Hlk112763715"/>
            <w:r w:rsidRPr="00AA22C4">
              <w:rPr>
                <w:rFonts w:ascii="Lato" w:hAnsi="Lato"/>
                <w:b/>
                <w:bCs/>
                <w:color w:val="000000" w:themeColor="text1"/>
                <w:sz w:val="22"/>
                <w:szCs w:val="22"/>
              </w:rPr>
              <w:t>Koszt całkowity badań przesiewowych w 2024</w:t>
            </w:r>
            <w:r w:rsidR="00833054" w:rsidRPr="00AA22C4">
              <w:rPr>
                <w:rFonts w:ascii="Lato" w:hAnsi="Lato"/>
                <w:b/>
                <w:bCs/>
                <w:color w:val="000000" w:themeColor="text1"/>
                <w:sz w:val="22"/>
                <w:szCs w:val="22"/>
              </w:rPr>
              <w:t xml:space="preserve"> r.</w:t>
            </w:r>
            <w:r w:rsidRPr="00AA22C4">
              <w:rPr>
                <w:rFonts w:ascii="Lato" w:hAnsi="Lato"/>
                <w:b/>
                <w:bCs/>
                <w:color w:val="000000" w:themeColor="text1"/>
                <w:sz w:val="22"/>
                <w:szCs w:val="22"/>
              </w:rPr>
              <w:t xml:space="preserve"> w zł</w:t>
            </w:r>
          </w:p>
        </w:tc>
        <w:tc>
          <w:tcPr>
            <w:tcW w:w="2006" w:type="dxa"/>
            <w:gridSpan w:val="3"/>
            <w:tcBorders>
              <w:top w:val="single" w:sz="8" w:space="0" w:color="auto"/>
              <w:left w:val="single" w:sz="8" w:space="0" w:color="auto"/>
              <w:bottom w:val="single" w:sz="8" w:space="0" w:color="auto"/>
              <w:right w:val="single" w:sz="8" w:space="0" w:color="auto"/>
            </w:tcBorders>
            <w:shd w:val="clear" w:color="auto" w:fill="AEAAAA"/>
            <w:vAlign w:val="center"/>
          </w:tcPr>
          <w:p w14:paraId="09B24124" w14:textId="77777777" w:rsidR="005E347E" w:rsidRPr="00AA22C4" w:rsidRDefault="005E347E" w:rsidP="00DE19D8">
            <w:pPr>
              <w:widowControl/>
              <w:spacing w:line="240" w:lineRule="auto"/>
              <w:jc w:val="center"/>
              <w:rPr>
                <w:rFonts w:ascii="Lato" w:hAnsi="Lato"/>
                <w:b/>
                <w:bCs/>
                <w:color w:val="000000" w:themeColor="text1"/>
                <w:sz w:val="22"/>
                <w:szCs w:val="22"/>
              </w:rPr>
            </w:pPr>
            <w:r w:rsidRPr="00AA22C4">
              <w:rPr>
                <w:rFonts w:ascii="Lato" w:hAnsi="Lato"/>
                <w:b/>
                <w:bCs/>
                <w:color w:val="000000" w:themeColor="text1"/>
                <w:sz w:val="22"/>
                <w:szCs w:val="22"/>
              </w:rPr>
              <w:t>54 036 530 zł</w:t>
            </w:r>
            <w:r w:rsidRPr="00AA22C4">
              <w:rPr>
                <w:rStyle w:val="Odwoanieprzypisudolnego"/>
                <w:rFonts w:ascii="Lato" w:hAnsi="Lato"/>
                <w:b/>
                <w:bCs/>
                <w:color w:val="000000" w:themeColor="text1"/>
                <w:sz w:val="22"/>
                <w:szCs w:val="22"/>
              </w:rPr>
              <w:footnoteReference w:id="8"/>
            </w:r>
          </w:p>
        </w:tc>
      </w:tr>
      <w:bookmarkEnd w:id="67"/>
      <w:tr w:rsidR="00B3776C" w:rsidRPr="00B3776C" w14:paraId="7404A2A2" w14:textId="77777777" w:rsidTr="00DE19D8">
        <w:trPr>
          <w:gridAfter w:val="2"/>
          <w:wAfter w:w="320" w:type="dxa"/>
          <w:trHeight w:val="693"/>
        </w:trPr>
        <w:tc>
          <w:tcPr>
            <w:tcW w:w="9195" w:type="dxa"/>
            <w:gridSpan w:val="10"/>
            <w:tcBorders>
              <w:top w:val="nil"/>
              <w:left w:val="nil"/>
              <w:bottom w:val="nil"/>
              <w:right w:val="nil"/>
            </w:tcBorders>
            <w:shd w:val="clear" w:color="auto" w:fill="auto"/>
            <w:vAlign w:val="center"/>
            <w:hideMark/>
          </w:tcPr>
          <w:p w14:paraId="6EDB742C" w14:textId="47757F98" w:rsidR="005E347E" w:rsidRPr="00AA22C4" w:rsidRDefault="005E347E" w:rsidP="00DE19D8">
            <w:pPr>
              <w:widowControl/>
              <w:spacing w:line="240" w:lineRule="auto"/>
              <w:jc w:val="center"/>
              <w:rPr>
                <w:rFonts w:ascii="Lato" w:hAnsi="Lato"/>
                <w:b/>
                <w:bCs/>
                <w:color w:val="000000" w:themeColor="text1"/>
                <w:sz w:val="22"/>
                <w:szCs w:val="22"/>
                <w:u w:val="single"/>
              </w:rPr>
            </w:pPr>
            <w:r w:rsidRPr="00AA22C4">
              <w:rPr>
                <w:rFonts w:ascii="Lato" w:eastAsia="Courier New" w:hAnsi="Lato"/>
                <w:b/>
                <w:bCs/>
                <w:color w:val="000000" w:themeColor="text1"/>
                <w:sz w:val="22"/>
                <w:szCs w:val="22"/>
              </w:rPr>
              <w:lastRenderedPageBreak/>
              <w:t>PROGNOZOWANY KOSZTORYS REALIZACJI RZĄDOWEGO PROGRAMU BADAŃ PRZESIEWOWYCH NOWORODKÓW NA</w:t>
            </w:r>
            <w:r w:rsidR="00A04888" w:rsidRPr="00AA22C4">
              <w:rPr>
                <w:rFonts w:ascii="Lato" w:eastAsia="Courier New" w:hAnsi="Lato"/>
                <w:b/>
                <w:bCs/>
                <w:color w:val="000000" w:themeColor="text1"/>
                <w:sz w:val="22"/>
                <w:szCs w:val="22"/>
              </w:rPr>
              <w:t xml:space="preserve"> </w:t>
            </w:r>
            <w:r w:rsidRPr="00AA22C4">
              <w:rPr>
                <w:rFonts w:ascii="Lato" w:eastAsia="Courier New" w:hAnsi="Lato"/>
                <w:b/>
                <w:bCs/>
                <w:color w:val="000000" w:themeColor="text1"/>
                <w:sz w:val="22"/>
                <w:szCs w:val="22"/>
              </w:rPr>
              <w:t xml:space="preserve">2025 </w:t>
            </w:r>
            <w:r w:rsidR="00A04888" w:rsidRPr="00AA22C4">
              <w:rPr>
                <w:rFonts w:ascii="Lato" w:eastAsia="Courier New" w:hAnsi="Lato"/>
                <w:b/>
                <w:bCs/>
                <w:color w:val="000000" w:themeColor="text1"/>
                <w:sz w:val="22"/>
                <w:szCs w:val="22"/>
              </w:rPr>
              <w:t xml:space="preserve">R. </w:t>
            </w:r>
            <w:r w:rsidRPr="00AA22C4">
              <w:rPr>
                <w:rFonts w:ascii="Lato" w:hAnsi="Lato"/>
                <w:b/>
                <w:color w:val="000000" w:themeColor="text1"/>
                <w:sz w:val="22"/>
                <w:szCs w:val="22"/>
              </w:rPr>
              <w:t>(wydatki bieżące)</w:t>
            </w:r>
          </w:p>
        </w:tc>
      </w:tr>
      <w:tr w:rsidR="00B3776C" w:rsidRPr="00B3776C" w14:paraId="608671A9" w14:textId="77777777" w:rsidTr="00DE19D8">
        <w:trPr>
          <w:gridAfter w:val="2"/>
          <w:wAfter w:w="320" w:type="dxa"/>
          <w:trHeight w:val="454"/>
        </w:trPr>
        <w:tc>
          <w:tcPr>
            <w:tcW w:w="9195" w:type="dxa"/>
            <w:gridSpan w:val="10"/>
            <w:tcBorders>
              <w:top w:val="single" w:sz="8" w:space="0" w:color="auto"/>
              <w:left w:val="single" w:sz="8" w:space="0" w:color="auto"/>
              <w:bottom w:val="single" w:sz="4" w:space="0" w:color="auto"/>
              <w:right w:val="single" w:sz="8" w:space="0" w:color="000000"/>
            </w:tcBorders>
            <w:shd w:val="clear" w:color="auto" w:fill="E7E6E6"/>
            <w:vAlign w:val="center"/>
            <w:hideMark/>
          </w:tcPr>
          <w:p w14:paraId="70E01B5B"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Koszty laboratoryjne</w:t>
            </w:r>
          </w:p>
        </w:tc>
      </w:tr>
      <w:tr w:rsidR="00B3776C" w:rsidRPr="00B3776C" w14:paraId="449DE2E0" w14:textId="77777777" w:rsidTr="00DE19D8">
        <w:trPr>
          <w:gridAfter w:val="2"/>
          <w:wAfter w:w="320" w:type="dxa"/>
          <w:trHeight w:val="170"/>
        </w:trPr>
        <w:tc>
          <w:tcPr>
            <w:tcW w:w="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C34720"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eastAsia="Segoe UI" w:hAnsi="Lato"/>
                <w:b/>
                <w:bCs/>
                <w:color w:val="000000" w:themeColor="text1"/>
                <w:sz w:val="20"/>
                <w:szCs w:val="20"/>
              </w:rPr>
              <w:t>Poz.</w:t>
            </w:r>
          </w:p>
        </w:tc>
        <w:tc>
          <w:tcPr>
            <w:tcW w:w="40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8C4B39"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eastAsia="Segoe UI" w:hAnsi="Lato"/>
                <w:b/>
                <w:bCs/>
                <w:color w:val="000000" w:themeColor="text1"/>
                <w:sz w:val="20"/>
                <w:szCs w:val="20"/>
              </w:rPr>
              <w:t>Rodzaj badania</w:t>
            </w:r>
          </w:p>
        </w:tc>
        <w:tc>
          <w:tcPr>
            <w:tcW w:w="228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72EB72D" w14:textId="77777777" w:rsidR="005E347E" w:rsidRPr="00AA22C4" w:rsidRDefault="005E347E" w:rsidP="00DE19D8">
            <w:pPr>
              <w:widowControl/>
              <w:spacing w:line="240" w:lineRule="auto"/>
              <w:jc w:val="center"/>
              <w:rPr>
                <w:rFonts w:ascii="Lato" w:eastAsia="Segoe UI" w:hAnsi="Lato"/>
                <w:b/>
                <w:bCs/>
                <w:color w:val="000000" w:themeColor="text1"/>
                <w:sz w:val="20"/>
                <w:szCs w:val="20"/>
              </w:rPr>
            </w:pPr>
            <w:r w:rsidRPr="00AA22C4">
              <w:rPr>
                <w:rFonts w:ascii="Lato" w:eastAsia="Segoe UI" w:hAnsi="Lato"/>
                <w:b/>
                <w:bCs/>
                <w:color w:val="000000" w:themeColor="text1"/>
                <w:sz w:val="20"/>
                <w:szCs w:val="20"/>
              </w:rPr>
              <w:t xml:space="preserve">Koszt jednostkowy </w:t>
            </w:r>
          </w:p>
          <w:p w14:paraId="063621BA"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eastAsia="Segoe UI" w:hAnsi="Lato"/>
                <w:b/>
                <w:bCs/>
                <w:color w:val="000000" w:themeColor="text1"/>
                <w:sz w:val="20"/>
                <w:szCs w:val="20"/>
              </w:rPr>
              <w:t>(bez kosztu testów) w zł</w:t>
            </w:r>
          </w:p>
        </w:tc>
        <w:tc>
          <w:tcPr>
            <w:tcW w:w="200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5B89105" w14:textId="77777777" w:rsidR="005E347E" w:rsidRPr="00AA22C4" w:rsidRDefault="005E347E" w:rsidP="00DE19D8">
            <w:pPr>
              <w:widowControl/>
              <w:spacing w:line="240" w:lineRule="auto"/>
              <w:jc w:val="center"/>
              <w:rPr>
                <w:rFonts w:ascii="Lato" w:eastAsia="Segoe UI" w:hAnsi="Lato"/>
                <w:b/>
                <w:bCs/>
                <w:color w:val="000000" w:themeColor="text1"/>
                <w:sz w:val="20"/>
                <w:szCs w:val="20"/>
              </w:rPr>
            </w:pPr>
            <w:r w:rsidRPr="00AA22C4">
              <w:rPr>
                <w:rFonts w:ascii="Lato" w:eastAsia="Segoe UI" w:hAnsi="Lato"/>
                <w:b/>
                <w:bCs/>
                <w:color w:val="000000" w:themeColor="text1"/>
                <w:sz w:val="20"/>
                <w:szCs w:val="20"/>
              </w:rPr>
              <w:t>Łączny koszt badań</w:t>
            </w:r>
          </w:p>
          <w:p w14:paraId="74A04C59"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eastAsia="Segoe UI" w:hAnsi="Lato"/>
                <w:b/>
                <w:bCs/>
                <w:color w:val="000000" w:themeColor="text1"/>
                <w:sz w:val="20"/>
                <w:szCs w:val="20"/>
              </w:rPr>
              <w:t xml:space="preserve"> w zł</w:t>
            </w:r>
          </w:p>
        </w:tc>
      </w:tr>
      <w:tr w:rsidR="00B3776C" w:rsidRPr="00B3776C" w14:paraId="6B36B773" w14:textId="77777777" w:rsidTr="00DE19D8">
        <w:trPr>
          <w:gridAfter w:val="2"/>
          <w:wAfter w:w="320" w:type="dxa"/>
          <w:trHeight w:val="567"/>
        </w:trPr>
        <w:tc>
          <w:tcPr>
            <w:tcW w:w="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157E9E" w14:textId="77777777" w:rsidR="004C404E" w:rsidRPr="00AA22C4" w:rsidRDefault="004C404E" w:rsidP="00DE19D8">
            <w:pPr>
              <w:widowControl/>
              <w:spacing w:line="240" w:lineRule="auto"/>
              <w:jc w:val="center"/>
              <w:rPr>
                <w:rFonts w:ascii="Lato" w:hAnsi="Lato"/>
                <w:color w:val="000000" w:themeColor="text1"/>
                <w:sz w:val="20"/>
                <w:szCs w:val="20"/>
              </w:rPr>
            </w:pPr>
            <w:r w:rsidRPr="00AA22C4">
              <w:rPr>
                <w:rFonts w:ascii="Lato" w:eastAsia="Segoe UI" w:hAnsi="Lato"/>
                <w:color w:val="000000" w:themeColor="text1"/>
                <w:sz w:val="20"/>
                <w:szCs w:val="20"/>
              </w:rPr>
              <w:t>1.</w:t>
            </w:r>
          </w:p>
        </w:tc>
        <w:tc>
          <w:tcPr>
            <w:tcW w:w="40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A76C08" w14:textId="77777777" w:rsidR="004C404E" w:rsidRPr="00AA22C4" w:rsidRDefault="004C404E" w:rsidP="00DE19D8">
            <w:pPr>
              <w:widowControl/>
              <w:spacing w:line="240" w:lineRule="auto"/>
              <w:rPr>
                <w:rFonts w:ascii="Lato" w:eastAsia="Segoe UI" w:hAnsi="Lato"/>
                <w:color w:val="000000" w:themeColor="text1"/>
                <w:sz w:val="20"/>
                <w:szCs w:val="20"/>
              </w:rPr>
            </w:pPr>
            <w:r w:rsidRPr="00AA22C4">
              <w:rPr>
                <w:rFonts w:ascii="Lato" w:eastAsia="Segoe UI" w:hAnsi="Lato"/>
                <w:color w:val="000000" w:themeColor="text1"/>
                <w:sz w:val="20"/>
                <w:szCs w:val="20"/>
              </w:rPr>
              <w:t xml:space="preserve">Badania przesiewowe w kierunku wrodzonej niedoczynności tarczycy </w:t>
            </w:r>
          </w:p>
          <w:p w14:paraId="10E859D5" w14:textId="5E2629E0" w:rsidR="004C404E" w:rsidRPr="00AA22C4" w:rsidRDefault="004C404E" w:rsidP="00DE19D8">
            <w:pPr>
              <w:widowControl/>
              <w:spacing w:line="240" w:lineRule="auto"/>
              <w:rPr>
                <w:rFonts w:ascii="Lato" w:hAnsi="Lato"/>
                <w:color w:val="000000" w:themeColor="text1"/>
                <w:sz w:val="20"/>
                <w:szCs w:val="20"/>
              </w:rPr>
            </w:pPr>
            <w:r w:rsidRPr="00AA22C4">
              <w:rPr>
                <w:rFonts w:ascii="Lato" w:eastAsia="Segoe UI" w:hAnsi="Lato"/>
                <w:color w:val="000000" w:themeColor="text1"/>
                <w:sz w:val="20"/>
                <w:szCs w:val="20"/>
              </w:rPr>
              <w:t>(251 000 badań)</w:t>
            </w:r>
          </w:p>
        </w:tc>
        <w:tc>
          <w:tcPr>
            <w:tcW w:w="22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CCAFBA6" w14:textId="2C6AE262" w:rsidR="004C404E" w:rsidRPr="00AA22C4" w:rsidRDefault="004C404E" w:rsidP="00DE19D8">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15,50</w:t>
            </w:r>
          </w:p>
        </w:tc>
        <w:tc>
          <w:tcPr>
            <w:tcW w:w="20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24DCC8" w14:textId="2C503EAC" w:rsidR="004C404E" w:rsidRPr="00AA22C4" w:rsidRDefault="004C404E" w:rsidP="00DE19D8">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3 890 500</w:t>
            </w:r>
          </w:p>
        </w:tc>
      </w:tr>
      <w:tr w:rsidR="00B3776C" w:rsidRPr="00B3776C" w14:paraId="76B50372" w14:textId="77777777" w:rsidTr="00DE19D8">
        <w:trPr>
          <w:gridAfter w:val="2"/>
          <w:wAfter w:w="320" w:type="dxa"/>
          <w:trHeight w:val="567"/>
        </w:trPr>
        <w:tc>
          <w:tcPr>
            <w:tcW w:w="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28ABF7" w14:textId="77777777" w:rsidR="004C404E" w:rsidRPr="00AA22C4" w:rsidRDefault="004C404E" w:rsidP="00DE19D8">
            <w:pPr>
              <w:widowControl/>
              <w:spacing w:line="240" w:lineRule="auto"/>
              <w:jc w:val="center"/>
              <w:rPr>
                <w:rFonts w:ascii="Lato" w:hAnsi="Lato"/>
                <w:color w:val="000000" w:themeColor="text1"/>
                <w:sz w:val="20"/>
                <w:szCs w:val="20"/>
              </w:rPr>
            </w:pPr>
            <w:r w:rsidRPr="00AA22C4">
              <w:rPr>
                <w:rFonts w:ascii="Lato" w:eastAsia="Segoe UI" w:hAnsi="Lato"/>
                <w:color w:val="000000" w:themeColor="text1"/>
                <w:sz w:val="20"/>
                <w:szCs w:val="20"/>
              </w:rPr>
              <w:t>2.</w:t>
            </w:r>
          </w:p>
        </w:tc>
        <w:tc>
          <w:tcPr>
            <w:tcW w:w="40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59FFDF" w14:textId="0B8514C7" w:rsidR="004C404E" w:rsidRPr="00AA22C4" w:rsidRDefault="004C404E" w:rsidP="00DE19D8">
            <w:pPr>
              <w:widowControl/>
              <w:spacing w:line="240" w:lineRule="auto"/>
              <w:rPr>
                <w:rFonts w:ascii="Lato" w:hAnsi="Lato"/>
                <w:color w:val="000000" w:themeColor="text1"/>
                <w:sz w:val="20"/>
                <w:szCs w:val="20"/>
              </w:rPr>
            </w:pPr>
            <w:r w:rsidRPr="00AA22C4">
              <w:rPr>
                <w:rFonts w:ascii="Lato" w:eastAsia="Segoe UI" w:hAnsi="Lato"/>
                <w:color w:val="000000" w:themeColor="text1"/>
                <w:sz w:val="20"/>
                <w:szCs w:val="20"/>
              </w:rPr>
              <w:t>Badania przesiewowe w kierunku fenyloketonurii (284 500 badań)</w:t>
            </w:r>
          </w:p>
        </w:tc>
        <w:tc>
          <w:tcPr>
            <w:tcW w:w="22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3B9B905" w14:textId="71D250DE" w:rsidR="004C404E" w:rsidRPr="00AA22C4" w:rsidRDefault="004C404E" w:rsidP="00DE19D8">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12,15</w:t>
            </w:r>
          </w:p>
        </w:tc>
        <w:tc>
          <w:tcPr>
            <w:tcW w:w="20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FBD8B2" w14:textId="7CFBC317" w:rsidR="004C404E" w:rsidRPr="00AA22C4" w:rsidRDefault="004C404E" w:rsidP="00DE19D8">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3 456 675</w:t>
            </w:r>
          </w:p>
        </w:tc>
      </w:tr>
      <w:tr w:rsidR="00B3776C" w:rsidRPr="00B3776C" w14:paraId="14E34E00" w14:textId="77777777" w:rsidTr="00DE19D8">
        <w:trPr>
          <w:gridAfter w:val="2"/>
          <w:wAfter w:w="320" w:type="dxa"/>
          <w:trHeight w:val="567"/>
        </w:trPr>
        <w:tc>
          <w:tcPr>
            <w:tcW w:w="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522401" w14:textId="77777777" w:rsidR="004C404E" w:rsidRPr="00AA22C4" w:rsidRDefault="004C404E" w:rsidP="00DE19D8">
            <w:pPr>
              <w:widowControl/>
              <w:spacing w:line="240" w:lineRule="auto"/>
              <w:jc w:val="center"/>
              <w:rPr>
                <w:rFonts w:ascii="Lato" w:hAnsi="Lato"/>
                <w:color w:val="000000" w:themeColor="text1"/>
                <w:sz w:val="20"/>
                <w:szCs w:val="20"/>
              </w:rPr>
            </w:pPr>
            <w:r w:rsidRPr="00AA22C4">
              <w:rPr>
                <w:rFonts w:ascii="Lato" w:eastAsia="Segoe UI" w:hAnsi="Lato"/>
                <w:color w:val="000000" w:themeColor="text1"/>
                <w:sz w:val="20"/>
                <w:szCs w:val="20"/>
              </w:rPr>
              <w:t>3.</w:t>
            </w:r>
          </w:p>
        </w:tc>
        <w:tc>
          <w:tcPr>
            <w:tcW w:w="40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3BE9F0" w14:textId="374156EC" w:rsidR="004C404E" w:rsidRPr="00AA22C4" w:rsidRDefault="004C404E" w:rsidP="00DE19D8">
            <w:pPr>
              <w:widowControl/>
              <w:spacing w:line="240" w:lineRule="auto"/>
              <w:rPr>
                <w:rFonts w:ascii="Lato" w:hAnsi="Lato"/>
                <w:color w:val="000000" w:themeColor="text1"/>
                <w:sz w:val="20"/>
                <w:szCs w:val="20"/>
              </w:rPr>
            </w:pPr>
            <w:r w:rsidRPr="00AA22C4">
              <w:rPr>
                <w:rFonts w:ascii="Lato" w:eastAsia="Segoe UI" w:hAnsi="Lato"/>
                <w:color w:val="000000" w:themeColor="text1"/>
                <w:sz w:val="20"/>
                <w:szCs w:val="20"/>
              </w:rPr>
              <w:t>Badania przesiewowe w kierunku mukowiscydozy (251 000 badań)</w:t>
            </w:r>
          </w:p>
        </w:tc>
        <w:tc>
          <w:tcPr>
            <w:tcW w:w="22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88AA981" w14:textId="28374FB5" w:rsidR="004C404E" w:rsidRPr="00AA22C4" w:rsidRDefault="004C404E" w:rsidP="00DE19D8">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18,50</w:t>
            </w:r>
          </w:p>
        </w:tc>
        <w:tc>
          <w:tcPr>
            <w:tcW w:w="20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A958385" w14:textId="5EA22502" w:rsidR="004C404E" w:rsidRPr="00AA22C4" w:rsidRDefault="004C404E" w:rsidP="00DE19D8">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4 643 500</w:t>
            </w:r>
          </w:p>
        </w:tc>
      </w:tr>
      <w:tr w:rsidR="00B3776C" w:rsidRPr="00B3776C" w14:paraId="298FEFDC" w14:textId="77777777" w:rsidTr="00DE19D8">
        <w:trPr>
          <w:gridAfter w:val="2"/>
          <w:wAfter w:w="320" w:type="dxa"/>
          <w:trHeight w:val="567"/>
        </w:trPr>
        <w:tc>
          <w:tcPr>
            <w:tcW w:w="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3410D1" w14:textId="77777777" w:rsidR="004C404E" w:rsidRPr="00AA22C4" w:rsidRDefault="004C404E" w:rsidP="00DE19D8">
            <w:pPr>
              <w:widowControl/>
              <w:spacing w:line="240" w:lineRule="auto"/>
              <w:jc w:val="center"/>
              <w:rPr>
                <w:rFonts w:ascii="Lato" w:hAnsi="Lato"/>
                <w:color w:val="000000" w:themeColor="text1"/>
                <w:sz w:val="20"/>
                <w:szCs w:val="20"/>
              </w:rPr>
            </w:pPr>
            <w:r w:rsidRPr="00AA22C4">
              <w:rPr>
                <w:rFonts w:ascii="Lato" w:eastAsia="Segoe UI" w:hAnsi="Lato"/>
                <w:color w:val="000000" w:themeColor="text1"/>
                <w:sz w:val="20"/>
                <w:szCs w:val="20"/>
              </w:rPr>
              <w:t>4.</w:t>
            </w:r>
          </w:p>
        </w:tc>
        <w:tc>
          <w:tcPr>
            <w:tcW w:w="40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761252" w14:textId="77777777" w:rsidR="004C404E" w:rsidRPr="00AA22C4" w:rsidRDefault="004C404E" w:rsidP="00DE19D8">
            <w:pPr>
              <w:widowControl/>
              <w:spacing w:line="240" w:lineRule="auto"/>
              <w:rPr>
                <w:rFonts w:ascii="Lato" w:eastAsia="Segoe UI" w:hAnsi="Lato"/>
                <w:color w:val="000000" w:themeColor="text1"/>
                <w:sz w:val="20"/>
                <w:szCs w:val="20"/>
              </w:rPr>
            </w:pPr>
            <w:r w:rsidRPr="00AA22C4">
              <w:rPr>
                <w:rFonts w:ascii="Lato" w:eastAsia="Segoe UI" w:hAnsi="Lato"/>
                <w:color w:val="000000" w:themeColor="text1"/>
                <w:sz w:val="20"/>
                <w:szCs w:val="20"/>
              </w:rPr>
              <w:t xml:space="preserve">Badania przesiewowe w kierunku rzadkich wad metabolicznych - MS/MS </w:t>
            </w:r>
          </w:p>
          <w:p w14:paraId="3BA998F3" w14:textId="6BB388BE" w:rsidR="004C404E" w:rsidRPr="00AA22C4" w:rsidRDefault="004C404E" w:rsidP="00DE19D8">
            <w:pPr>
              <w:widowControl/>
              <w:spacing w:line="240" w:lineRule="auto"/>
              <w:rPr>
                <w:rFonts w:ascii="Lato" w:hAnsi="Lato"/>
                <w:color w:val="000000" w:themeColor="text1"/>
                <w:sz w:val="20"/>
                <w:szCs w:val="20"/>
              </w:rPr>
            </w:pPr>
            <w:r w:rsidRPr="00AA22C4">
              <w:rPr>
                <w:rFonts w:ascii="Lato" w:eastAsia="Segoe UI" w:hAnsi="Lato"/>
                <w:color w:val="000000" w:themeColor="text1"/>
                <w:sz w:val="20"/>
                <w:szCs w:val="20"/>
              </w:rPr>
              <w:t>(251 000 badań)</w:t>
            </w:r>
          </w:p>
        </w:tc>
        <w:tc>
          <w:tcPr>
            <w:tcW w:w="22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5D6EDA" w14:textId="3C5FEE71" w:rsidR="004C404E" w:rsidRPr="00AA22C4" w:rsidRDefault="004C404E" w:rsidP="00DE19D8">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20,63</w:t>
            </w:r>
          </w:p>
        </w:tc>
        <w:tc>
          <w:tcPr>
            <w:tcW w:w="20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729376" w14:textId="01F672CA" w:rsidR="004C404E" w:rsidRPr="00AA22C4" w:rsidRDefault="004C404E" w:rsidP="00DE19D8">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5 178 130</w:t>
            </w:r>
          </w:p>
        </w:tc>
      </w:tr>
      <w:tr w:rsidR="00B3776C" w:rsidRPr="00B3776C" w14:paraId="4563D503" w14:textId="77777777" w:rsidTr="00DE19D8">
        <w:trPr>
          <w:gridAfter w:val="2"/>
          <w:wAfter w:w="320" w:type="dxa"/>
          <w:trHeight w:val="567"/>
        </w:trPr>
        <w:tc>
          <w:tcPr>
            <w:tcW w:w="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F1842C" w14:textId="77777777" w:rsidR="004C404E" w:rsidRPr="00AA22C4" w:rsidRDefault="004C404E" w:rsidP="00DE19D8">
            <w:pPr>
              <w:widowControl/>
              <w:spacing w:line="240" w:lineRule="auto"/>
              <w:jc w:val="center"/>
              <w:rPr>
                <w:rFonts w:ascii="Lato" w:hAnsi="Lato"/>
                <w:color w:val="000000" w:themeColor="text1"/>
                <w:sz w:val="20"/>
                <w:szCs w:val="20"/>
              </w:rPr>
            </w:pPr>
            <w:r w:rsidRPr="00AA22C4">
              <w:rPr>
                <w:rFonts w:ascii="Lato" w:eastAsia="Segoe UI" w:hAnsi="Lato"/>
                <w:color w:val="000000" w:themeColor="text1"/>
                <w:sz w:val="20"/>
                <w:szCs w:val="20"/>
              </w:rPr>
              <w:t>5.</w:t>
            </w:r>
          </w:p>
        </w:tc>
        <w:tc>
          <w:tcPr>
            <w:tcW w:w="40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6836C4" w14:textId="77777777" w:rsidR="004C404E" w:rsidRPr="00AA22C4" w:rsidRDefault="004C404E" w:rsidP="00DE19D8">
            <w:pPr>
              <w:widowControl/>
              <w:spacing w:line="240" w:lineRule="auto"/>
              <w:rPr>
                <w:rFonts w:ascii="Lato" w:eastAsia="Segoe UI" w:hAnsi="Lato"/>
                <w:color w:val="000000" w:themeColor="text1"/>
                <w:sz w:val="20"/>
                <w:szCs w:val="20"/>
              </w:rPr>
            </w:pPr>
            <w:r w:rsidRPr="00AA22C4">
              <w:rPr>
                <w:rFonts w:ascii="Lato" w:eastAsia="Segoe UI" w:hAnsi="Lato"/>
                <w:color w:val="000000" w:themeColor="text1"/>
                <w:sz w:val="20"/>
                <w:szCs w:val="20"/>
              </w:rPr>
              <w:t xml:space="preserve">Badania przesiewowe w kierunku wrodzonego przerostu nadnerczy </w:t>
            </w:r>
          </w:p>
          <w:p w14:paraId="2E09F28B" w14:textId="10802B28" w:rsidR="004C404E" w:rsidRPr="00AA22C4" w:rsidRDefault="004C404E" w:rsidP="00DE19D8">
            <w:pPr>
              <w:widowControl/>
              <w:spacing w:line="240" w:lineRule="auto"/>
              <w:rPr>
                <w:rFonts w:ascii="Lato" w:hAnsi="Lato"/>
                <w:color w:val="000000" w:themeColor="text1"/>
                <w:sz w:val="20"/>
                <w:szCs w:val="20"/>
              </w:rPr>
            </w:pPr>
            <w:r w:rsidRPr="00AA22C4">
              <w:rPr>
                <w:rFonts w:ascii="Lato" w:eastAsia="Segoe UI" w:hAnsi="Lato"/>
                <w:color w:val="000000" w:themeColor="text1"/>
                <w:sz w:val="20"/>
                <w:szCs w:val="20"/>
              </w:rPr>
              <w:t>(251 000 badań)</w:t>
            </w:r>
          </w:p>
        </w:tc>
        <w:tc>
          <w:tcPr>
            <w:tcW w:w="22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AA835B" w14:textId="2B87D036" w:rsidR="004C404E" w:rsidRPr="00AA22C4" w:rsidRDefault="004C404E" w:rsidP="00DE19D8">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13,55</w:t>
            </w:r>
          </w:p>
        </w:tc>
        <w:tc>
          <w:tcPr>
            <w:tcW w:w="20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E7E111F" w14:textId="64BC49AC" w:rsidR="004C404E" w:rsidRPr="00AA22C4" w:rsidRDefault="004C404E" w:rsidP="00DE19D8">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3 401 050</w:t>
            </w:r>
          </w:p>
        </w:tc>
      </w:tr>
      <w:tr w:rsidR="00B3776C" w:rsidRPr="00B3776C" w14:paraId="516D025D" w14:textId="77777777" w:rsidTr="00DE19D8">
        <w:trPr>
          <w:gridAfter w:val="2"/>
          <w:wAfter w:w="320" w:type="dxa"/>
          <w:trHeight w:val="567"/>
        </w:trPr>
        <w:tc>
          <w:tcPr>
            <w:tcW w:w="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EFAC95" w14:textId="77777777" w:rsidR="004C404E" w:rsidRPr="00AA22C4" w:rsidRDefault="004C404E" w:rsidP="00DE19D8">
            <w:pPr>
              <w:widowControl/>
              <w:spacing w:line="240" w:lineRule="auto"/>
              <w:jc w:val="center"/>
              <w:rPr>
                <w:rFonts w:ascii="Lato" w:hAnsi="Lato"/>
                <w:color w:val="000000" w:themeColor="text1"/>
                <w:sz w:val="20"/>
                <w:szCs w:val="20"/>
              </w:rPr>
            </w:pPr>
            <w:r w:rsidRPr="00AA22C4">
              <w:rPr>
                <w:rFonts w:ascii="Lato" w:eastAsia="Segoe UI" w:hAnsi="Lato"/>
                <w:color w:val="000000" w:themeColor="text1"/>
                <w:sz w:val="20"/>
                <w:szCs w:val="20"/>
              </w:rPr>
              <w:t>6.</w:t>
            </w:r>
          </w:p>
        </w:tc>
        <w:tc>
          <w:tcPr>
            <w:tcW w:w="40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BC9777" w14:textId="13431F00" w:rsidR="004C404E" w:rsidRPr="00AA22C4" w:rsidRDefault="004C404E" w:rsidP="00DE19D8">
            <w:pPr>
              <w:widowControl/>
              <w:spacing w:line="240" w:lineRule="auto"/>
              <w:rPr>
                <w:rFonts w:ascii="Lato" w:hAnsi="Lato"/>
                <w:color w:val="000000" w:themeColor="text1"/>
                <w:sz w:val="20"/>
                <w:szCs w:val="20"/>
              </w:rPr>
            </w:pPr>
            <w:r w:rsidRPr="00AA22C4">
              <w:rPr>
                <w:rFonts w:ascii="Lato" w:eastAsia="Segoe UI" w:hAnsi="Lato"/>
                <w:color w:val="000000" w:themeColor="text1"/>
                <w:sz w:val="20"/>
                <w:szCs w:val="20"/>
              </w:rPr>
              <w:t>Badania przesiewowe w kierunku deficytu biotynidazy (251 000 badań)</w:t>
            </w:r>
          </w:p>
        </w:tc>
        <w:tc>
          <w:tcPr>
            <w:tcW w:w="22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80B60B6" w14:textId="2C1A6090" w:rsidR="004C404E" w:rsidRPr="00AA22C4" w:rsidRDefault="004C404E" w:rsidP="00DE19D8">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5,79</w:t>
            </w:r>
          </w:p>
        </w:tc>
        <w:tc>
          <w:tcPr>
            <w:tcW w:w="20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789ED9B" w14:textId="4844C8AA" w:rsidR="004C404E" w:rsidRPr="00AA22C4" w:rsidRDefault="004C404E" w:rsidP="00DE19D8">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1 453 290</w:t>
            </w:r>
          </w:p>
        </w:tc>
      </w:tr>
      <w:tr w:rsidR="00B3776C" w:rsidRPr="00B3776C" w14:paraId="46536D9B" w14:textId="77777777" w:rsidTr="00DE19D8">
        <w:trPr>
          <w:gridAfter w:val="2"/>
          <w:wAfter w:w="320" w:type="dxa"/>
          <w:trHeight w:val="567"/>
        </w:trPr>
        <w:tc>
          <w:tcPr>
            <w:tcW w:w="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008652" w14:textId="77777777" w:rsidR="004C404E" w:rsidRPr="00AA22C4" w:rsidRDefault="004C404E" w:rsidP="00DE19D8">
            <w:pPr>
              <w:widowControl/>
              <w:spacing w:line="240" w:lineRule="auto"/>
              <w:jc w:val="center"/>
              <w:rPr>
                <w:rFonts w:ascii="Lato" w:hAnsi="Lato"/>
                <w:color w:val="000000" w:themeColor="text1"/>
                <w:sz w:val="20"/>
                <w:szCs w:val="20"/>
              </w:rPr>
            </w:pPr>
            <w:r w:rsidRPr="00AA22C4">
              <w:rPr>
                <w:rFonts w:ascii="Lato" w:eastAsia="Segoe UI" w:hAnsi="Lato"/>
                <w:color w:val="000000" w:themeColor="text1"/>
                <w:sz w:val="20"/>
                <w:szCs w:val="20"/>
              </w:rPr>
              <w:t>7.</w:t>
            </w:r>
          </w:p>
        </w:tc>
        <w:tc>
          <w:tcPr>
            <w:tcW w:w="40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2DDE24" w14:textId="751041CE" w:rsidR="004C404E" w:rsidRPr="00AA22C4" w:rsidRDefault="004C404E" w:rsidP="00DE19D8">
            <w:pPr>
              <w:widowControl/>
              <w:spacing w:line="240" w:lineRule="auto"/>
              <w:rPr>
                <w:rFonts w:ascii="Lato" w:hAnsi="Lato"/>
                <w:color w:val="000000" w:themeColor="text1"/>
                <w:sz w:val="20"/>
                <w:szCs w:val="20"/>
              </w:rPr>
            </w:pPr>
            <w:r w:rsidRPr="00AA22C4">
              <w:rPr>
                <w:rFonts w:ascii="Lato" w:eastAsia="Segoe UI" w:hAnsi="Lato"/>
                <w:color w:val="000000" w:themeColor="text1"/>
                <w:sz w:val="20"/>
                <w:szCs w:val="20"/>
              </w:rPr>
              <w:t xml:space="preserve">Badania przesiewowe w kierunku rdzeniowego zaniku mięśni (191 000 </w:t>
            </w:r>
            <w:r w:rsidR="005B4F14" w:rsidRPr="00AA22C4">
              <w:rPr>
                <w:rFonts w:ascii="Lato" w:eastAsia="Segoe UI" w:hAnsi="Lato"/>
                <w:color w:val="000000" w:themeColor="text1"/>
                <w:sz w:val="20"/>
                <w:szCs w:val="20"/>
              </w:rPr>
              <w:t>badań) *</w:t>
            </w:r>
          </w:p>
        </w:tc>
        <w:tc>
          <w:tcPr>
            <w:tcW w:w="22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AFE990" w14:textId="48D4EA00" w:rsidR="004C404E" w:rsidRPr="00AA22C4" w:rsidRDefault="004C404E" w:rsidP="00DE19D8">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18,09</w:t>
            </w:r>
          </w:p>
        </w:tc>
        <w:tc>
          <w:tcPr>
            <w:tcW w:w="20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6A01507" w14:textId="65DCF052" w:rsidR="004C404E" w:rsidRPr="00AA22C4" w:rsidRDefault="004C404E" w:rsidP="00DE19D8">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3 455 190</w:t>
            </w:r>
          </w:p>
        </w:tc>
      </w:tr>
      <w:tr w:rsidR="00B3776C" w:rsidRPr="00B3776C" w14:paraId="6D4E5AEA" w14:textId="77777777" w:rsidTr="00DE19D8">
        <w:trPr>
          <w:trHeight w:val="397"/>
        </w:trPr>
        <w:tc>
          <w:tcPr>
            <w:tcW w:w="718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9A0B8C4" w14:textId="77777777" w:rsidR="005E347E" w:rsidRPr="00AA22C4" w:rsidRDefault="005E347E" w:rsidP="00DE19D8">
            <w:pPr>
              <w:widowControl/>
              <w:spacing w:line="240" w:lineRule="auto"/>
              <w:jc w:val="right"/>
              <w:rPr>
                <w:rFonts w:ascii="Lato" w:eastAsia="Segoe UI" w:hAnsi="Lato"/>
                <w:b/>
                <w:bCs/>
                <w:color w:val="000000" w:themeColor="text1"/>
                <w:sz w:val="20"/>
                <w:szCs w:val="20"/>
              </w:rPr>
            </w:pPr>
            <w:r w:rsidRPr="00AA22C4">
              <w:rPr>
                <w:rFonts w:ascii="Lato" w:eastAsia="Segoe UI" w:hAnsi="Lato"/>
                <w:b/>
                <w:bCs/>
                <w:color w:val="000000" w:themeColor="text1"/>
                <w:sz w:val="20"/>
                <w:szCs w:val="20"/>
              </w:rPr>
              <w:t>Razem:</w:t>
            </w:r>
          </w:p>
        </w:tc>
        <w:tc>
          <w:tcPr>
            <w:tcW w:w="20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DCE86E" w14:textId="3E60CFB4" w:rsidR="005E347E" w:rsidRPr="00AA22C4" w:rsidRDefault="004C404E" w:rsidP="00DE19D8">
            <w:pPr>
              <w:widowControl/>
              <w:spacing w:line="240" w:lineRule="auto"/>
              <w:jc w:val="center"/>
              <w:rPr>
                <w:rFonts w:ascii="Lato" w:eastAsia="Segoe UI" w:hAnsi="Lato"/>
                <w:b/>
                <w:bCs/>
                <w:color w:val="000000" w:themeColor="text1"/>
                <w:sz w:val="20"/>
                <w:szCs w:val="20"/>
              </w:rPr>
            </w:pPr>
            <w:r w:rsidRPr="00AA22C4">
              <w:rPr>
                <w:rFonts w:ascii="Lato" w:eastAsia="Segoe UI" w:hAnsi="Lato"/>
                <w:b/>
                <w:bCs/>
                <w:color w:val="000000" w:themeColor="text1"/>
                <w:sz w:val="20"/>
                <w:szCs w:val="20"/>
              </w:rPr>
              <w:t>25 478 335</w:t>
            </w:r>
          </w:p>
        </w:tc>
        <w:tc>
          <w:tcPr>
            <w:tcW w:w="160" w:type="dxa"/>
            <w:tcBorders>
              <w:left w:val="single" w:sz="4" w:space="0" w:color="auto"/>
            </w:tcBorders>
          </w:tcPr>
          <w:p w14:paraId="36CDAAC3" w14:textId="77777777" w:rsidR="005E347E" w:rsidRPr="00AA22C4" w:rsidRDefault="005E347E" w:rsidP="00DE19D8">
            <w:pPr>
              <w:widowControl/>
              <w:spacing w:line="240" w:lineRule="auto"/>
              <w:ind w:right="1390"/>
              <w:rPr>
                <w:rFonts w:ascii="Lato" w:hAnsi="Lato"/>
                <w:color w:val="000000" w:themeColor="text1"/>
              </w:rPr>
            </w:pPr>
          </w:p>
        </w:tc>
        <w:tc>
          <w:tcPr>
            <w:tcW w:w="160" w:type="dxa"/>
            <w:vAlign w:val="center"/>
          </w:tcPr>
          <w:p w14:paraId="0B1CDCC6" w14:textId="77777777" w:rsidR="005E347E" w:rsidRPr="00AA22C4" w:rsidRDefault="005E347E" w:rsidP="00DE19D8">
            <w:pPr>
              <w:widowControl/>
              <w:spacing w:line="240" w:lineRule="auto"/>
              <w:rPr>
                <w:rFonts w:ascii="Lato" w:hAnsi="Lato"/>
                <w:color w:val="000000" w:themeColor="text1"/>
              </w:rPr>
            </w:pPr>
          </w:p>
        </w:tc>
      </w:tr>
      <w:tr w:rsidR="00B3776C" w:rsidRPr="00B3776C" w14:paraId="6B8128F8" w14:textId="77777777" w:rsidTr="00181F00">
        <w:trPr>
          <w:gridAfter w:val="2"/>
          <w:wAfter w:w="320" w:type="dxa"/>
          <w:trHeight w:val="370"/>
        </w:trPr>
        <w:tc>
          <w:tcPr>
            <w:tcW w:w="9195" w:type="dxa"/>
            <w:gridSpan w:val="10"/>
            <w:tcBorders>
              <w:top w:val="single" w:sz="4" w:space="0" w:color="auto"/>
              <w:left w:val="single" w:sz="4" w:space="0" w:color="auto"/>
              <w:bottom w:val="single" w:sz="4" w:space="0" w:color="auto"/>
              <w:right w:val="single" w:sz="4" w:space="0" w:color="auto"/>
            </w:tcBorders>
            <w:shd w:val="clear" w:color="auto" w:fill="E7E6E6"/>
            <w:vAlign w:val="center"/>
            <w:hideMark/>
          </w:tcPr>
          <w:p w14:paraId="7202ABAE" w14:textId="5B343DCA"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Koszt testów diagnostycznych i odczynników na 2025</w:t>
            </w:r>
            <w:r w:rsidR="00A04888" w:rsidRPr="00AA22C4">
              <w:rPr>
                <w:rFonts w:ascii="Lato" w:hAnsi="Lato"/>
                <w:b/>
                <w:bCs/>
                <w:color w:val="000000" w:themeColor="text1"/>
                <w:sz w:val="20"/>
                <w:szCs w:val="20"/>
              </w:rPr>
              <w:t xml:space="preserve"> r.</w:t>
            </w:r>
            <w:r w:rsidRPr="00AA22C4">
              <w:rPr>
                <w:rFonts w:ascii="Lato" w:hAnsi="Lato"/>
                <w:b/>
                <w:bCs/>
                <w:color w:val="000000" w:themeColor="text1"/>
                <w:sz w:val="20"/>
                <w:szCs w:val="20"/>
              </w:rPr>
              <w:t xml:space="preserve"> i </w:t>
            </w:r>
            <w:proofErr w:type="spellStart"/>
            <w:r w:rsidRPr="00AA22C4">
              <w:rPr>
                <w:rFonts w:ascii="Lato" w:hAnsi="Lato"/>
                <w:b/>
                <w:bCs/>
                <w:color w:val="000000" w:themeColor="text1"/>
                <w:sz w:val="20"/>
                <w:szCs w:val="20"/>
              </w:rPr>
              <w:t>I</w:t>
            </w:r>
            <w:proofErr w:type="spellEnd"/>
            <w:r w:rsidRPr="00AA22C4">
              <w:rPr>
                <w:rFonts w:ascii="Lato" w:hAnsi="Lato"/>
                <w:b/>
                <w:bCs/>
                <w:color w:val="000000" w:themeColor="text1"/>
                <w:sz w:val="20"/>
                <w:szCs w:val="20"/>
              </w:rPr>
              <w:t xml:space="preserve"> kwartał 2026</w:t>
            </w:r>
            <w:r w:rsidR="00A04888" w:rsidRPr="00AA22C4">
              <w:rPr>
                <w:rFonts w:ascii="Lato" w:hAnsi="Lato"/>
                <w:b/>
                <w:bCs/>
                <w:color w:val="000000" w:themeColor="text1"/>
                <w:sz w:val="20"/>
                <w:szCs w:val="20"/>
              </w:rPr>
              <w:t xml:space="preserve"> r.</w:t>
            </w:r>
          </w:p>
        </w:tc>
      </w:tr>
      <w:tr w:rsidR="00B3776C" w:rsidRPr="00B3776C" w14:paraId="00BFD6D7" w14:textId="77777777" w:rsidTr="00DE19D8">
        <w:trPr>
          <w:gridAfter w:val="2"/>
          <w:wAfter w:w="320" w:type="dxa"/>
          <w:trHeight w:val="20"/>
        </w:trPr>
        <w:tc>
          <w:tcPr>
            <w:tcW w:w="819" w:type="dxa"/>
            <w:gridSpan w:val="2"/>
            <w:tcBorders>
              <w:top w:val="single" w:sz="4" w:space="0" w:color="auto"/>
              <w:left w:val="single" w:sz="8" w:space="0" w:color="auto"/>
              <w:bottom w:val="nil"/>
              <w:right w:val="nil"/>
            </w:tcBorders>
            <w:shd w:val="clear" w:color="auto" w:fill="auto"/>
            <w:vAlign w:val="center"/>
            <w:hideMark/>
          </w:tcPr>
          <w:p w14:paraId="550DAE8C"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eastAsia="Segoe UI" w:hAnsi="Lato"/>
                <w:color w:val="000000" w:themeColor="text1"/>
                <w:sz w:val="20"/>
                <w:szCs w:val="20"/>
              </w:rPr>
              <w:t>Poz.</w:t>
            </w:r>
          </w:p>
        </w:tc>
        <w:tc>
          <w:tcPr>
            <w:tcW w:w="6370" w:type="dxa"/>
            <w:gridSpan w:val="5"/>
            <w:tcBorders>
              <w:top w:val="single" w:sz="4" w:space="0" w:color="auto"/>
              <w:left w:val="single" w:sz="8" w:space="0" w:color="auto"/>
              <w:bottom w:val="nil"/>
              <w:right w:val="single" w:sz="8" w:space="0" w:color="000000"/>
            </w:tcBorders>
            <w:shd w:val="clear" w:color="auto" w:fill="auto"/>
            <w:vAlign w:val="center"/>
            <w:hideMark/>
          </w:tcPr>
          <w:p w14:paraId="08EE25D3"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eastAsia="Segoe UI" w:hAnsi="Lato"/>
                <w:b/>
                <w:bCs/>
                <w:color w:val="000000" w:themeColor="text1"/>
                <w:sz w:val="20"/>
                <w:szCs w:val="20"/>
              </w:rPr>
              <w:t>Kategoria wydatków</w:t>
            </w:r>
          </w:p>
        </w:tc>
        <w:tc>
          <w:tcPr>
            <w:tcW w:w="2006" w:type="dxa"/>
            <w:gridSpan w:val="3"/>
            <w:tcBorders>
              <w:top w:val="single" w:sz="4" w:space="0" w:color="auto"/>
              <w:left w:val="nil"/>
              <w:bottom w:val="nil"/>
              <w:right w:val="single" w:sz="8" w:space="0" w:color="auto"/>
            </w:tcBorders>
            <w:shd w:val="clear" w:color="auto" w:fill="auto"/>
            <w:vAlign w:val="center"/>
            <w:hideMark/>
          </w:tcPr>
          <w:p w14:paraId="332DD7E2"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eastAsia="Segoe UI" w:hAnsi="Lato"/>
                <w:b/>
                <w:bCs/>
                <w:color w:val="000000" w:themeColor="text1"/>
                <w:sz w:val="20"/>
                <w:szCs w:val="20"/>
              </w:rPr>
              <w:t>Łączny koszt zakupu testów w zł</w:t>
            </w:r>
          </w:p>
        </w:tc>
      </w:tr>
      <w:tr w:rsidR="00B3776C" w:rsidRPr="00B3776C" w14:paraId="33D207DB" w14:textId="77777777" w:rsidTr="00DE19D8">
        <w:trPr>
          <w:gridAfter w:val="2"/>
          <w:wAfter w:w="320" w:type="dxa"/>
          <w:trHeight w:val="624"/>
        </w:trPr>
        <w:tc>
          <w:tcPr>
            <w:tcW w:w="819" w:type="dxa"/>
            <w:gridSpan w:val="2"/>
            <w:tcBorders>
              <w:top w:val="single" w:sz="8" w:space="0" w:color="auto"/>
              <w:left w:val="single" w:sz="8" w:space="0" w:color="auto"/>
              <w:bottom w:val="single" w:sz="4" w:space="0" w:color="auto"/>
              <w:right w:val="nil"/>
            </w:tcBorders>
            <w:shd w:val="clear" w:color="auto" w:fill="auto"/>
            <w:vAlign w:val="center"/>
            <w:hideMark/>
          </w:tcPr>
          <w:p w14:paraId="5AA1B27F" w14:textId="77777777" w:rsidR="005E347E" w:rsidRPr="00AA22C4" w:rsidRDefault="005E347E" w:rsidP="00DE19D8">
            <w:pPr>
              <w:widowControl/>
              <w:spacing w:line="240" w:lineRule="auto"/>
              <w:jc w:val="center"/>
              <w:rPr>
                <w:rFonts w:ascii="Lato" w:hAnsi="Lato"/>
                <w:color w:val="000000" w:themeColor="text1"/>
                <w:sz w:val="20"/>
                <w:szCs w:val="20"/>
              </w:rPr>
            </w:pPr>
            <w:r w:rsidRPr="00AA22C4">
              <w:rPr>
                <w:rFonts w:ascii="Lato" w:eastAsia="Segoe UI" w:hAnsi="Lato"/>
                <w:color w:val="000000" w:themeColor="text1"/>
                <w:sz w:val="20"/>
                <w:szCs w:val="20"/>
              </w:rPr>
              <w:t>8.</w:t>
            </w:r>
          </w:p>
        </w:tc>
        <w:tc>
          <w:tcPr>
            <w:tcW w:w="6370" w:type="dxa"/>
            <w:gridSpan w:val="5"/>
            <w:tcBorders>
              <w:top w:val="single" w:sz="8" w:space="0" w:color="auto"/>
              <w:left w:val="single" w:sz="8" w:space="0" w:color="auto"/>
              <w:bottom w:val="single" w:sz="4" w:space="0" w:color="auto"/>
              <w:right w:val="single" w:sz="8" w:space="0" w:color="000000"/>
            </w:tcBorders>
            <w:shd w:val="clear" w:color="auto" w:fill="auto"/>
            <w:vAlign w:val="center"/>
            <w:hideMark/>
          </w:tcPr>
          <w:p w14:paraId="08499B6A"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eastAsia="Segoe UI" w:hAnsi="Lato"/>
                <w:color w:val="000000" w:themeColor="text1"/>
                <w:sz w:val="20"/>
                <w:szCs w:val="20"/>
              </w:rPr>
              <w:t>Koszt testów diagnostycznych i odczynników do badań przesiewowych noworodków w 2025 oraz na zabezpieczenie badań w I kwartale 2026</w:t>
            </w:r>
          </w:p>
        </w:tc>
        <w:tc>
          <w:tcPr>
            <w:tcW w:w="2006" w:type="dxa"/>
            <w:gridSpan w:val="3"/>
            <w:tcBorders>
              <w:top w:val="single" w:sz="8" w:space="0" w:color="auto"/>
              <w:left w:val="nil"/>
              <w:bottom w:val="single" w:sz="4" w:space="0" w:color="auto"/>
              <w:right w:val="single" w:sz="8" w:space="0" w:color="auto"/>
            </w:tcBorders>
            <w:shd w:val="clear" w:color="auto" w:fill="auto"/>
            <w:vAlign w:val="center"/>
            <w:hideMark/>
          </w:tcPr>
          <w:p w14:paraId="0ADBF852" w14:textId="0535D6C6"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eastAsia="Segoe UI" w:hAnsi="Lato"/>
                <w:b/>
                <w:bCs/>
                <w:color w:val="000000" w:themeColor="text1"/>
                <w:sz w:val="20"/>
                <w:szCs w:val="20"/>
              </w:rPr>
              <w:t>1</w:t>
            </w:r>
            <w:r w:rsidR="004C404E" w:rsidRPr="00AA22C4">
              <w:rPr>
                <w:rFonts w:ascii="Lato" w:eastAsia="Segoe UI" w:hAnsi="Lato"/>
                <w:b/>
                <w:bCs/>
                <w:color w:val="000000" w:themeColor="text1"/>
                <w:sz w:val="20"/>
                <w:szCs w:val="20"/>
              </w:rPr>
              <w:t>2</w:t>
            </w:r>
            <w:r w:rsidRPr="00AA22C4">
              <w:rPr>
                <w:rFonts w:ascii="Lato" w:eastAsia="Segoe UI" w:hAnsi="Lato"/>
                <w:b/>
                <w:bCs/>
                <w:color w:val="000000" w:themeColor="text1"/>
                <w:sz w:val="20"/>
                <w:szCs w:val="20"/>
              </w:rPr>
              <w:t xml:space="preserve"> </w:t>
            </w:r>
            <w:r w:rsidR="004C404E" w:rsidRPr="00AA22C4">
              <w:rPr>
                <w:rFonts w:ascii="Lato" w:eastAsia="Segoe UI" w:hAnsi="Lato"/>
                <w:b/>
                <w:bCs/>
                <w:color w:val="000000" w:themeColor="text1"/>
                <w:sz w:val="20"/>
                <w:szCs w:val="20"/>
              </w:rPr>
              <w:t>50</w:t>
            </w:r>
            <w:r w:rsidRPr="00AA22C4">
              <w:rPr>
                <w:rFonts w:ascii="Lato" w:eastAsia="Segoe UI" w:hAnsi="Lato"/>
                <w:b/>
                <w:bCs/>
                <w:color w:val="000000" w:themeColor="text1"/>
                <w:sz w:val="20"/>
                <w:szCs w:val="20"/>
              </w:rPr>
              <w:t>0 000</w:t>
            </w:r>
          </w:p>
        </w:tc>
      </w:tr>
      <w:tr w:rsidR="00B3776C" w:rsidRPr="00B3776C" w14:paraId="35FA68D6" w14:textId="77777777" w:rsidTr="00181F00">
        <w:trPr>
          <w:gridAfter w:val="2"/>
          <w:wAfter w:w="320" w:type="dxa"/>
          <w:trHeight w:val="421"/>
        </w:trPr>
        <w:tc>
          <w:tcPr>
            <w:tcW w:w="9195" w:type="dxa"/>
            <w:gridSpan w:val="10"/>
            <w:tcBorders>
              <w:top w:val="single" w:sz="4" w:space="0" w:color="auto"/>
              <w:left w:val="single" w:sz="4" w:space="0" w:color="auto"/>
              <w:bottom w:val="single" w:sz="4" w:space="0" w:color="auto"/>
              <w:right w:val="single" w:sz="4" w:space="0" w:color="auto"/>
            </w:tcBorders>
            <w:shd w:val="clear" w:color="auto" w:fill="E7E6E6"/>
            <w:vAlign w:val="center"/>
            <w:hideMark/>
          </w:tcPr>
          <w:p w14:paraId="1B841A87"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Koszty ogólnokrajowe IMiD oraz koordynacja i monitorowanie programu</w:t>
            </w:r>
          </w:p>
        </w:tc>
      </w:tr>
      <w:tr w:rsidR="00B3776C" w:rsidRPr="00B3776C" w14:paraId="19700051" w14:textId="77777777" w:rsidTr="00DE19D8">
        <w:trPr>
          <w:gridAfter w:val="2"/>
          <w:wAfter w:w="320" w:type="dxa"/>
          <w:trHeight w:val="340"/>
        </w:trPr>
        <w:tc>
          <w:tcPr>
            <w:tcW w:w="819" w:type="dxa"/>
            <w:gridSpan w:val="2"/>
            <w:tcBorders>
              <w:top w:val="single" w:sz="4" w:space="0" w:color="auto"/>
              <w:left w:val="single" w:sz="8" w:space="0" w:color="auto"/>
              <w:bottom w:val="nil"/>
              <w:right w:val="nil"/>
            </w:tcBorders>
            <w:shd w:val="clear" w:color="auto" w:fill="auto"/>
            <w:vAlign w:val="center"/>
            <w:hideMark/>
          </w:tcPr>
          <w:p w14:paraId="6294B1A2" w14:textId="77777777" w:rsidR="005E347E" w:rsidRPr="00AA22C4" w:rsidRDefault="005E347E" w:rsidP="00DE19D8">
            <w:pPr>
              <w:widowControl/>
              <w:spacing w:line="240" w:lineRule="auto"/>
              <w:jc w:val="center"/>
              <w:rPr>
                <w:rFonts w:ascii="Lato" w:hAnsi="Lato" w:cs="Courier New"/>
                <w:color w:val="000000" w:themeColor="text1"/>
                <w:sz w:val="20"/>
                <w:szCs w:val="20"/>
              </w:rPr>
            </w:pPr>
            <w:r w:rsidRPr="00AA22C4">
              <w:rPr>
                <w:rFonts w:ascii="Lato" w:hAnsi="Lato" w:cs="Courier New"/>
                <w:color w:val="000000" w:themeColor="text1"/>
                <w:sz w:val="20"/>
                <w:szCs w:val="20"/>
              </w:rPr>
              <w:t> </w:t>
            </w:r>
          </w:p>
        </w:tc>
        <w:tc>
          <w:tcPr>
            <w:tcW w:w="6370" w:type="dxa"/>
            <w:gridSpan w:val="5"/>
            <w:tcBorders>
              <w:top w:val="single" w:sz="4" w:space="0" w:color="auto"/>
              <w:left w:val="single" w:sz="8" w:space="0" w:color="auto"/>
              <w:bottom w:val="single" w:sz="8" w:space="0" w:color="auto"/>
              <w:right w:val="single" w:sz="8" w:space="0" w:color="000000"/>
            </w:tcBorders>
            <w:shd w:val="clear" w:color="auto" w:fill="auto"/>
            <w:vAlign w:val="center"/>
            <w:hideMark/>
          </w:tcPr>
          <w:p w14:paraId="7D6F7029"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eastAsia="Segoe UI" w:hAnsi="Lato"/>
                <w:b/>
                <w:bCs/>
                <w:color w:val="000000" w:themeColor="text1"/>
                <w:sz w:val="20"/>
                <w:szCs w:val="20"/>
              </w:rPr>
              <w:t>Kategoria wydatków</w:t>
            </w:r>
          </w:p>
        </w:tc>
        <w:tc>
          <w:tcPr>
            <w:tcW w:w="2006" w:type="dxa"/>
            <w:gridSpan w:val="3"/>
            <w:tcBorders>
              <w:top w:val="single" w:sz="4" w:space="0" w:color="auto"/>
              <w:left w:val="nil"/>
              <w:bottom w:val="nil"/>
              <w:right w:val="single" w:sz="8" w:space="0" w:color="auto"/>
            </w:tcBorders>
            <w:shd w:val="clear" w:color="auto" w:fill="auto"/>
            <w:vAlign w:val="center"/>
            <w:hideMark/>
          </w:tcPr>
          <w:p w14:paraId="372ECCB5"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Łączny koszt w zł</w:t>
            </w:r>
          </w:p>
        </w:tc>
      </w:tr>
      <w:tr w:rsidR="00B3776C" w:rsidRPr="00B3776C" w14:paraId="621A0ADE" w14:textId="77777777" w:rsidTr="00DE19D8">
        <w:trPr>
          <w:gridAfter w:val="2"/>
          <w:wAfter w:w="320" w:type="dxa"/>
          <w:trHeight w:val="397"/>
        </w:trPr>
        <w:tc>
          <w:tcPr>
            <w:tcW w:w="819" w:type="dxa"/>
            <w:gridSpan w:val="2"/>
            <w:tcBorders>
              <w:top w:val="single" w:sz="8" w:space="0" w:color="auto"/>
              <w:left w:val="single" w:sz="8" w:space="0" w:color="auto"/>
              <w:bottom w:val="single" w:sz="4" w:space="0" w:color="auto"/>
              <w:right w:val="nil"/>
            </w:tcBorders>
            <w:shd w:val="clear" w:color="auto" w:fill="auto"/>
            <w:vAlign w:val="center"/>
            <w:hideMark/>
          </w:tcPr>
          <w:p w14:paraId="78C8DE9E" w14:textId="77777777" w:rsidR="00617E57" w:rsidRPr="00AA22C4" w:rsidRDefault="00617E57" w:rsidP="00DE19D8">
            <w:pPr>
              <w:widowControl/>
              <w:spacing w:line="240" w:lineRule="auto"/>
              <w:jc w:val="center"/>
              <w:rPr>
                <w:rFonts w:ascii="Lato" w:hAnsi="Lato"/>
                <w:color w:val="000000" w:themeColor="text1"/>
                <w:sz w:val="20"/>
                <w:szCs w:val="20"/>
              </w:rPr>
            </w:pPr>
            <w:r w:rsidRPr="00AA22C4">
              <w:rPr>
                <w:rFonts w:ascii="Lato" w:eastAsia="Segoe UI" w:hAnsi="Lato"/>
                <w:color w:val="000000" w:themeColor="text1"/>
                <w:sz w:val="20"/>
                <w:szCs w:val="20"/>
              </w:rPr>
              <w:t>9.</w:t>
            </w:r>
          </w:p>
        </w:tc>
        <w:tc>
          <w:tcPr>
            <w:tcW w:w="6370" w:type="dxa"/>
            <w:gridSpan w:val="5"/>
            <w:tcBorders>
              <w:top w:val="single" w:sz="8" w:space="0" w:color="auto"/>
              <w:left w:val="single" w:sz="8" w:space="0" w:color="auto"/>
              <w:bottom w:val="single" w:sz="4" w:space="0" w:color="auto"/>
              <w:right w:val="single" w:sz="8" w:space="0" w:color="000000"/>
            </w:tcBorders>
            <w:shd w:val="clear" w:color="auto" w:fill="auto"/>
            <w:vAlign w:val="center"/>
            <w:hideMark/>
          </w:tcPr>
          <w:p w14:paraId="4D114045" w14:textId="77777777" w:rsidR="00617E57" w:rsidRPr="00AA22C4" w:rsidRDefault="00617E57" w:rsidP="00DE19D8">
            <w:pPr>
              <w:widowControl/>
              <w:spacing w:line="240" w:lineRule="auto"/>
              <w:rPr>
                <w:rFonts w:ascii="Lato" w:hAnsi="Lato"/>
                <w:color w:val="000000" w:themeColor="text1"/>
                <w:sz w:val="20"/>
                <w:szCs w:val="20"/>
              </w:rPr>
            </w:pPr>
            <w:r w:rsidRPr="00AA22C4">
              <w:rPr>
                <w:rFonts w:ascii="Lato" w:eastAsia="Segoe UI" w:hAnsi="Lato"/>
                <w:color w:val="000000" w:themeColor="text1"/>
                <w:sz w:val="20"/>
                <w:szCs w:val="20"/>
              </w:rPr>
              <w:t>Prowadzenie rejestru noworodków</w:t>
            </w:r>
          </w:p>
        </w:tc>
        <w:tc>
          <w:tcPr>
            <w:tcW w:w="2006" w:type="dxa"/>
            <w:gridSpan w:val="3"/>
            <w:tcBorders>
              <w:top w:val="single" w:sz="8" w:space="0" w:color="auto"/>
              <w:left w:val="nil"/>
              <w:bottom w:val="single" w:sz="4" w:space="0" w:color="auto"/>
              <w:right w:val="single" w:sz="8" w:space="0" w:color="auto"/>
            </w:tcBorders>
            <w:shd w:val="clear" w:color="auto" w:fill="auto"/>
          </w:tcPr>
          <w:p w14:paraId="29DB6E0F" w14:textId="1DA08B24" w:rsidR="00617E57" w:rsidRPr="00AA22C4" w:rsidRDefault="00617E57" w:rsidP="00DE19D8">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124 800</w:t>
            </w:r>
          </w:p>
        </w:tc>
      </w:tr>
      <w:tr w:rsidR="00B3776C" w:rsidRPr="00B3776C" w14:paraId="2AEFED58" w14:textId="77777777" w:rsidTr="00DE19D8">
        <w:trPr>
          <w:gridAfter w:val="2"/>
          <w:wAfter w:w="320" w:type="dxa"/>
          <w:trHeight w:val="397"/>
        </w:trPr>
        <w:tc>
          <w:tcPr>
            <w:tcW w:w="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1FC330" w14:textId="77777777" w:rsidR="00617E57" w:rsidRPr="00AA22C4" w:rsidRDefault="00617E57" w:rsidP="00DE19D8">
            <w:pPr>
              <w:widowControl/>
              <w:spacing w:line="240" w:lineRule="auto"/>
              <w:jc w:val="center"/>
              <w:rPr>
                <w:rFonts w:ascii="Lato" w:hAnsi="Lato"/>
                <w:color w:val="000000" w:themeColor="text1"/>
                <w:sz w:val="20"/>
                <w:szCs w:val="20"/>
              </w:rPr>
            </w:pPr>
            <w:r w:rsidRPr="00AA22C4">
              <w:rPr>
                <w:rFonts w:ascii="Lato" w:eastAsia="Segoe UI" w:hAnsi="Lato"/>
                <w:color w:val="000000" w:themeColor="text1"/>
                <w:sz w:val="20"/>
                <w:szCs w:val="20"/>
              </w:rPr>
              <w:t>10.</w:t>
            </w:r>
          </w:p>
        </w:tc>
        <w:tc>
          <w:tcPr>
            <w:tcW w:w="63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98FC86E" w14:textId="77777777" w:rsidR="00617E57" w:rsidRPr="00AA22C4" w:rsidRDefault="00617E57" w:rsidP="00DE19D8">
            <w:pPr>
              <w:widowControl/>
              <w:spacing w:line="240" w:lineRule="auto"/>
              <w:rPr>
                <w:rFonts w:ascii="Lato" w:hAnsi="Lato"/>
                <w:color w:val="000000" w:themeColor="text1"/>
                <w:sz w:val="20"/>
                <w:szCs w:val="20"/>
              </w:rPr>
            </w:pPr>
            <w:r w:rsidRPr="00AA22C4">
              <w:rPr>
                <w:rFonts w:ascii="Lato" w:eastAsia="Segoe UI" w:hAnsi="Lato"/>
                <w:color w:val="000000" w:themeColor="text1"/>
                <w:sz w:val="20"/>
                <w:szCs w:val="20"/>
              </w:rPr>
              <w:t>Korespondencja, przesyłki, łączność elektroniczna</w:t>
            </w:r>
          </w:p>
        </w:tc>
        <w:tc>
          <w:tcPr>
            <w:tcW w:w="2006" w:type="dxa"/>
            <w:gridSpan w:val="3"/>
            <w:tcBorders>
              <w:top w:val="single" w:sz="4" w:space="0" w:color="auto"/>
              <w:left w:val="single" w:sz="4" w:space="0" w:color="auto"/>
              <w:bottom w:val="single" w:sz="4" w:space="0" w:color="auto"/>
              <w:right w:val="single" w:sz="4" w:space="0" w:color="auto"/>
            </w:tcBorders>
            <w:shd w:val="clear" w:color="auto" w:fill="auto"/>
          </w:tcPr>
          <w:p w14:paraId="6C08DC14" w14:textId="22328EC1" w:rsidR="00617E57" w:rsidRPr="00AA22C4" w:rsidRDefault="00617E57" w:rsidP="00DE19D8">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42 600</w:t>
            </w:r>
          </w:p>
        </w:tc>
      </w:tr>
      <w:tr w:rsidR="00B3776C" w:rsidRPr="00B3776C" w14:paraId="46A5DBF7" w14:textId="77777777" w:rsidTr="00DE19D8">
        <w:trPr>
          <w:gridAfter w:val="2"/>
          <w:wAfter w:w="320" w:type="dxa"/>
          <w:trHeight w:val="397"/>
        </w:trPr>
        <w:tc>
          <w:tcPr>
            <w:tcW w:w="819" w:type="dxa"/>
            <w:gridSpan w:val="2"/>
            <w:tcBorders>
              <w:top w:val="single" w:sz="4" w:space="0" w:color="auto"/>
              <w:left w:val="single" w:sz="8" w:space="0" w:color="auto"/>
              <w:bottom w:val="nil"/>
              <w:right w:val="nil"/>
            </w:tcBorders>
            <w:shd w:val="clear" w:color="auto" w:fill="auto"/>
            <w:vAlign w:val="center"/>
            <w:hideMark/>
          </w:tcPr>
          <w:p w14:paraId="51710908" w14:textId="77777777" w:rsidR="00617E57" w:rsidRPr="00AA22C4" w:rsidRDefault="00617E57" w:rsidP="00DE19D8">
            <w:pPr>
              <w:widowControl/>
              <w:spacing w:line="240" w:lineRule="auto"/>
              <w:jc w:val="center"/>
              <w:rPr>
                <w:rFonts w:ascii="Lato" w:hAnsi="Lato"/>
                <w:color w:val="000000" w:themeColor="text1"/>
                <w:sz w:val="20"/>
                <w:szCs w:val="20"/>
              </w:rPr>
            </w:pPr>
            <w:r w:rsidRPr="00AA22C4">
              <w:rPr>
                <w:rFonts w:ascii="Lato" w:eastAsia="Segoe UI" w:hAnsi="Lato"/>
                <w:color w:val="000000" w:themeColor="text1"/>
                <w:sz w:val="20"/>
                <w:szCs w:val="20"/>
              </w:rPr>
              <w:t>11.</w:t>
            </w:r>
          </w:p>
        </w:tc>
        <w:tc>
          <w:tcPr>
            <w:tcW w:w="6370" w:type="dxa"/>
            <w:gridSpan w:val="5"/>
            <w:tcBorders>
              <w:top w:val="single" w:sz="4" w:space="0" w:color="auto"/>
              <w:left w:val="single" w:sz="8" w:space="0" w:color="auto"/>
              <w:bottom w:val="single" w:sz="8" w:space="0" w:color="auto"/>
              <w:right w:val="single" w:sz="8" w:space="0" w:color="000000"/>
            </w:tcBorders>
            <w:shd w:val="clear" w:color="auto" w:fill="auto"/>
            <w:vAlign w:val="center"/>
            <w:hideMark/>
          </w:tcPr>
          <w:p w14:paraId="78745D5B" w14:textId="77777777" w:rsidR="00617E57" w:rsidRPr="00AA22C4" w:rsidRDefault="00617E57" w:rsidP="00DE19D8">
            <w:pPr>
              <w:widowControl/>
              <w:spacing w:line="240" w:lineRule="auto"/>
              <w:rPr>
                <w:rFonts w:ascii="Lato" w:hAnsi="Lato"/>
                <w:color w:val="000000" w:themeColor="text1"/>
                <w:sz w:val="20"/>
                <w:szCs w:val="20"/>
              </w:rPr>
            </w:pPr>
            <w:r w:rsidRPr="00AA22C4">
              <w:rPr>
                <w:rFonts w:ascii="Lato" w:eastAsia="Segoe UI" w:hAnsi="Lato"/>
                <w:color w:val="000000" w:themeColor="text1"/>
                <w:sz w:val="20"/>
                <w:szCs w:val="20"/>
              </w:rPr>
              <w:t>Szkolenia, konferencje, delegacje krajowe</w:t>
            </w:r>
          </w:p>
        </w:tc>
        <w:tc>
          <w:tcPr>
            <w:tcW w:w="2006" w:type="dxa"/>
            <w:gridSpan w:val="3"/>
            <w:tcBorders>
              <w:top w:val="single" w:sz="4" w:space="0" w:color="auto"/>
              <w:left w:val="nil"/>
              <w:bottom w:val="nil"/>
              <w:right w:val="single" w:sz="8" w:space="0" w:color="auto"/>
            </w:tcBorders>
            <w:shd w:val="clear" w:color="auto" w:fill="auto"/>
          </w:tcPr>
          <w:p w14:paraId="232E6A04" w14:textId="4A31FC2D" w:rsidR="00617E57" w:rsidRPr="00AA22C4" w:rsidRDefault="00617E57" w:rsidP="00DE19D8">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50 600</w:t>
            </w:r>
          </w:p>
        </w:tc>
      </w:tr>
      <w:tr w:rsidR="00B3776C" w:rsidRPr="00B3776C" w14:paraId="2A066336" w14:textId="77777777" w:rsidTr="00DE19D8">
        <w:trPr>
          <w:gridAfter w:val="2"/>
          <w:wAfter w:w="320" w:type="dxa"/>
          <w:trHeight w:val="397"/>
        </w:trPr>
        <w:tc>
          <w:tcPr>
            <w:tcW w:w="819" w:type="dxa"/>
            <w:gridSpan w:val="2"/>
            <w:tcBorders>
              <w:top w:val="single" w:sz="8" w:space="0" w:color="auto"/>
              <w:left w:val="single" w:sz="8" w:space="0" w:color="auto"/>
              <w:bottom w:val="nil"/>
              <w:right w:val="nil"/>
            </w:tcBorders>
            <w:shd w:val="clear" w:color="auto" w:fill="auto"/>
            <w:vAlign w:val="center"/>
            <w:hideMark/>
          </w:tcPr>
          <w:p w14:paraId="63F47BA1" w14:textId="77777777" w:rsidR="00617E57" w:rsidRPr="00AA22C4" w:rsidRDefault="00617E57" w:rsidP="00DE19D8">
            <w:pPr>
              <w:widowControl/>
              <w:spacing w:line="240" w:lineRule="auto"/>
              <w:jc w:val="center"/>
              <w:rPr>
                <w:rFonts w:ascii="Lato" w:hAnsi="Lato"/>
                <w:color w:val="000000" w:themeColor="text1"/>
                <w:sz w:val="20"/>
                <w:szCs w:val="20"/>
              </w:rPr>
            </w:pPr>
            <w:r w:rsidRPr="00AA22C4">
              <w:rPr>
                <w:rFonts w:ascii="Lato" w:eastAsia="Segoe UI" w:hAnsi="Lato"/>
                <w:color w:val="000000" w:themeColor="text1"/>
                <w:sz w:val="20"/>
                <w:szCs w:val="20"/>
              </w:rPr>
              <w:t>12.</w:t>
            </w:r>
          </w:p>
        </w:tc>
        <w:tc>
          <w:tcPr>
            <w:tcW w:w="6370"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3537B4B8" w14:textId="77777777" w:rsidR="00617E57" w:rsidRPr="00AA22C4" w:rsidRDefault="00617E57" w:rsidP="00DE19D8">
            <w:pPr>
              <w:widowControl/>
              <w:spacing w:line="240" w:lineRule="auto"/>
              <w:rPr>
                <w:rFonts w:ascii="Lato" w:hAnsi="Lato"/>
                <w:color w:val="000000" w:themeColor="text1"/>
                <w:sz w:val="20"/>
                <w:szCs w:val="20"/>
              </w:rPr>
            </w:pPr>
            <w:r w:rsidRPr="00AA22C4">
              <w:rPr>
                <w:rFonts w:ascii="Lato" w:eastAsia="Segoe UI" w:hAnsi="Lato"/>
                <w:color w:val="000000" w:themeColor="text1"/>
                <w:sz w:val="20"/>
                <w:szCs w:val="20"/>
              </w:rPr>
              <w:t>Opracowanie treści oraz grafiki na stronę internetową oraz do materiałów informacyjnych</w:t>
            </w:r>
          </w:p>
        </w:tc>
        <w:tc>
          <w:tcPr>
            <w:tcW w:w="2006" w:type="dxa"/>
            <w:gridSpan w:val="3"/>
            <w:tcBorders>
              <w:top w:val="single" w:sz="8" w:space="0" w:color="auto"/>
              <w:left w:val="nil"/>
              <w:bottom w:val="nil"/>
              <w:right w:val="single" w:sz="8" w:space="0" w:color="auto"/>
            </w:tcBorders>
            <w:shd w:val="clear" w:color="auto" w:fill="auto"/>
          </w:tcPr>
          <w:p w14:paraId="351CB988" w14:textId="061E5656" w:rsidR="00617E57" w:rsidRPr="00AA22C4" w:rsidRDefault="00617E57" w:rsidP="00DE19D8">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57 200</w:t>
            </w:r>
          </w:p>
        </w:tc>
      </w:tr>
      <w:tr w:rsidR="00B3776C" w:rsidRPr="00B3776C" w14:paraId="14CCE8EE" w14:textId="77777777" w:rsidTr="00DE19D8">
        <w:trPr>
          <w:gridAfter w:val="2"/>
          <w:wAfter w:w="320" w:type="dxa"/>
          <w:trHeight w:val="397"/>
        </w:trPr>
        <w:tc>
          <w:tcPr>
            <w:tcW w:w="819" w:type="dxa"/>
            <w:gridSpan w:val="2"/>
            <w:tcBorders>
              <w:top w:val="single" w:sz="8" w:space="0" w:color="auto"/>
              <w:left w:val="single" w:sz="8" w:space="0" w:color="auto"/>
              <w:bottom w:val="nil"/>
              <w:right w:val="nil"/>
            </w:tcBorders>
            <w:shd w:val="clear" w:color="auto" w:fill="auto"/>
            <w:vAlign w:val="center"/>
            <w:hideMark/>
          </w:tcPr>
          <w:p w14:paraId="5218C90F" w14:textId="77777777" w:rsidR="00617E57" w:rsidRPr="00AA22C4" w:rsidRDefault="00617E57" w:rsidP="00DE19D8">
            <w:pPr>
              <w:widowControl/>
              <w:spacing w:line="240" w:lineRule="auto"/>
              <w:jc w:val="center"/>
              <w:rPr>
                <w:rFonts w:ascii="Lato" w:hAnsi="Lato"/>
                <w:color w:val="000000" w:themeColor="text1"/>
                <w:sz w:val="20"/>
                <w:szCs w:val="20"/>
              </w:rPr>
            </w:pPr>
            <w:r w:rsidRPr="00AA22C4">
              <w:rPr>
                <w:rFonts w:ascii="Lato" w:eastAsia="Segoe UI" w:hAnsi="Lato"/>
                <w:color w:val="000000" w:themeColor="text1"/>
                <w:sz w:val="20"/>
                <w:szCs w:val="20"/>
              </w:rPr>
              <w:t>13.</w:t>
            </w:r>
          </w:p>
        </w:tc>
        <w:tc>
          <w:tcPr>
            <w:tcW w:w="6370"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1BE6385E" w14:textId="77777777" w:rsidR="00617E57" w:rsidRPr="00AA22C4" w:rsidRDefault="00617E57" w:rsidP="00DE19D8">
            <w:pPr>
              <w:widowControl/>
              <w:spacing w:line="240" w:lineRule="auto"/>
              <w:rPr>
                <w:rFonts w:ascii="Lato" w:hAnsi="Lato"/>
                <w:color w:val="000000" w:themeColor="text1"/>
                <w:sz w:val="20"/>
                <w:szCs w:val="20"/>
              </w:rPr>
            </w:pPr>
            <w:r w:rsidRPr="00AA22C4">
              <w:rPr>
                <w:rFonts w:ascii="Lato" w:eastAsia="Segoe UI" w:hAnsi="Lato"/>
                <w:color w:val="000000" w:themeColor="text1"/>
                <w:sz w:val="20"/>
                <w:szCs w:val="20"/>
              </w:rPr>
              <w:t>Koszty osobowe</w:t>
            </w:r>
          </w:p>
        </w:tc>
        <w:tc>
          <w:tcPr>
            <w:tcW w:w="2006" w:type="dxa"/>
            <w:gridSpan w:val="3"/>
            <w:tcBorders>
              <w:top w:val="single" w:sz="8" w:space="0" w:color="auto"/>
              <w:left w:val="nil"/>
              <w:bottom w:val="nil"/>
              <w:right w:val="single" w:sz="8" w:space="0" w:color="auto"/>
            </w:tcBorders>
            <w:shd w:val="clear" w:color="auto" w:fill="auto"/>
          </w:tcPr>
          <w:p w14:paraId="6A0D218C" w14:textId="1F0151C2" w:rsidR="00617E57" w:rsidRPr="00AA22C4" w:rsidRDefault="00617E57" w:rsidP="00DE19D8">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244 000</w:t>
            </w:r>
          </w:p>
        </w:tc>
      </w:tr>
      <w:tr w:rsidR="00B3776C" w:rsidRPr="00B3776C" w14:paraId="628F5339" w14:textId="77777777" w:rsidTr="00DE19D8">
        <w:trPr>
          <w:gridAfter w:val="2"/>
          <w:wAfter w:w="320" w:type="dxa"/>
          <w:trHeight w:val="397"/>
        </w:trPr>
        <w:tc>
          <w:tcPr>
            <w:tcW w:w="819" w:type="dxa"/>
            <w:gridSpan w:val="2"/>
            <w:tcBorders>
              <w:top w:val="single" w:sz="8" w:space="0" w:color="auto"/>
              <w:left w:val="single" w:sz="8" w:space="0" w:color="auto"/>
              <w:bottom w:val="nil"/>
              <w:right w:val="nil"/>
            </w:tcBorders>
            <w:shd w:val="clear" w:color="auto" w:fill="auto"/>
            <w:vAlign w:val="center"/>
            <w:hideMark/>
          </w:tcPr>
          <w:p w14:paraId="1410A99C" w14:textId="77777777" w:rsidR="00617E57" w:rsidRPr="00AA22C4" w:rsidRDefault="00617E57" w:rsidP="00DE19D8">
            <w:pPr>
              <w:widowControl/>
              <w:spacing w:line="240" w:lineRule="auto"/>
              <w:jc w:val="center"/>
              <w:rPr>
                <w:rFonts w:ascii="Lato" w:hAnsi="Lato"/>
                <w:color w:val="000000" w:themeColor="text1"/>
                <w:sz w:val="20"/>
                <w:szCs w:val="20"/>
              </w:rPr>
            </w:pPr>
            <w:r w:rsidRPr="00AA22C4">
              <w:rPr>
                <w:rFonts w:ascii="Lato" w:eastAsia="Segoe UI" w:hAnsi="Lato"/>
                <w:color w:val="000000" w:themeColor="text1"/>
                <w:sz w:val="20"/>
                <w:szCs w:val="20"/>
              </w:rPr>
              <w:t>14.</w:t>
            </w:r>
          </w:p>
        </w:tc>
        <w:tc>
          <w:tcPr>
            <w:tcW w:w="6370"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5E479385" w14:textId="77777777" w:rsidR="00617E57" w:rsidRPr="00AA22C4" w:rsidRDefault="00617E57" w:rsidP="00DE19D8">
            <w:pPr>
              <w:widowControl/>
              <w:spacing w:line="240" w:lineRule="auto"/>
              <w:rPr>
                <w:rFonts w:ascii="Lato" w:hAnsi="Lato"/>
                <w:color w:val="000000" w:themeColor="text1"/>
                <w:sz w:val="20"/>
                <w:szCs w:val="20"/>
              </w:rPr>
            </w:pPr>
            <w:r w:rsidRPr="00AA22C4">
              <w:rPr>
                <w:rFonts w:ascii="Lato" w:eastAsia="Segoe UI" w:hAnsi="Lato"/>
                <w:color w:val="000000" w:themeColor="text1"/>
                <w:sz w:val="20"/>
                <w:szCs w:val="20"/>
              </w:rPr>
              <w:t>Opracowanie oraz druk ulotek, materiałów informacyjnych, plakatów, instrukcji, etykiet z kodem</w:t>
            </w:r>
          </w:p>
        </w:tc>
        <w:tc>
          <w:tcPr>
            <w:tcW w:w="2006" w:type="dxa"/>
            <w:gridSpan w:val="3"/>
            <w:tcBorders>
              <w:top w:val="single" w:sz="8" w:space="0" w:color="auto"/>
              <w:left w:val="nil"/>
              <w:bottom w:val="nil"/>
              <w:right w:val="single" w:sz="8" w:space="0" w:color="auto"/>
            </w:tcBorders>
            <w:shd w:val="clear" w:color="auto" w:fill="auto"/>
          </w:tcPr>
          <w:p w14:paraId="7AF34AF3" w14:textId="6CEA46E1" w:rsidR="00617E57" w:rsidRPr="00AA22C4" w:rsidRDefault="00617E57" w:rsidP="00DE19D8">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224 000</w:t>
            </w:r>
          </w:p>
        </w:tc>
      </w:tr>
      <w:tr w:rsidR="00B3776C" w:rsidRPr="00B3776C" w14:paraId="6BCF4387" w14:textId="77777777" w:rsidTr="00DE19D8">
        <w:trPr>
          <w:gridAfter w:val="2"/>
          <w:wAfter w:w="320" w:type="dxa"/>
          <w:trHeight w:val="397"/>
        </w:trPr>
        <w:tc>
          <w:tcPr>
            <w:tcW w:w="819" w:type="dxa"/>
            <w:gridSpan w:val="2"/>
            <w:tcBorders>
              <w:top w:val="single" w:sz="8" w:space="0" w:color="auto"/>
              <w:left w:val="single" w:sz="8" w:space="0" w:color="auto"/>
              <w:bottom w:val="nil"/>
              <w:right w:val="nil"/>
            </w:tcBorders>
            <w:shd w:val="clear" w:color="auto" w:fill="auto"/>
            <w:vAlign w:val="center"/>
            <w:hideMark/>
          </w:tcPr>
          <w:p w14:paraId="2F7890CB" w14:textId="77777777" w:rsidR="00617E57" w:rsidRPr="00AA22C4" w:rsidRDefault="00617E57" w:rsidP="00DE19D8">
            <w:pPr>
              <w:widowControl/>
              <w:spacing w:line="240" w:lineRule="auto"/>
              <w:jc w:val="center"/>
              <w:rPr>
                <w:rFonts w:ascii="Lato" w:hAnsi="Lato"/>
                <w:color w:val="000000" w:themeColor="text1"/>
                <w:sz w:val="20"/>
                <w:szCs w:val="20"/>
              </w:rPr>
            </w:pPr>
            <w:r w:rsidRPr="00AA22C4">
              <w:rPr>
                <w:rFonts w:ascii="Lato" w:eastAsia="Segoe UI" w:hAnsi="Lato"/>
                <w:color w:val="000000" w:themeColor="text1"/>
                <w:sz w:val="20"/>
                <w:szCs w:val="20"/>
              </w:rPr>
              <w:t>15.</w:t>
            </w:r>
          </w:p>
        </w:tc>
        <w:tc>
          <w:tcPr>
            <w:tcW w:w="6370"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3F57827B" w14:textId="77777777" w:rsidR="00617E57" w:rsidRPr="00AA22C4" w:rsidRDefault="00617E57" w:rsidP="00DE19D8">
            <w:pPr>
              <w:widowControl/>
              <w:spacing w:line="240" w:lineRule="auto"/>
              <w:rPr>
                <w:rFonts w:ascii="Lato" w:hAnsi="Lato"/>
                <w:color w:val="000000" w:themeColor="text1"/>
                <w:sz w:val="20"/>
                <w:szCs w:val="20"/>
              </w:rPr>
            </w:pPr>
            <w:r w:rsidRPr="00AA22C4">
              <w:rPr>
                <w:rFonts w:ascii="Lato" w:eastAsia="Segoe UI" w:hAnsi="Lato"/>
                <w:color w:val="000000" w:themeColor="text1"/>
                <w:sz w:val="20"/>
                <w:szCs w:val="20"/>
              </w:rPr>
              <w:t>Transport próbek krwi ze szpitali do ośrodków przesiewowych w całym kraju</w:t>
            </w:r>
          </w:p>
        </w:tc>
        <w:tc>
          <w:tcPr>
            <w:tcW w:w="2006" w:type="dxa"/>
            <w:gridSpan w:val="3"/>
            <w:tcBorders>
              <w:top w:val="single" w:sz="8" w:space="0" w:color="auto"/>
              <w:left w:val="nil"/>
              <w:bottom w:val="nil"/>
              <w:right w:val="single" w:sz="8" w:space="0" w:color="auto"/>
            </w:tcBorders>
            <w:shd w:val="clear" w:color="auto" w:fill="auto"/>
          </w:tcPr>
          <w:p w14:paraId="1B356E25" w14:textId="1AF002F6" w:rsidR="00617E57" w:rsidRPr="00AA22C4" w:rsidRDefault="00617E57" w:rsidP="00DE19D8">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2 550 000</w:t>
            </w:r>
          </w:p>
        </w:tc>
      </w:tr>
      <w:tr w:rsidR="00B3776C" w:rsidRPr="00B3776C" w14:paraId="18738667" w14:textId="77777777" w:rsidTr="00DE19D8">
        <w:trPr>
          <w:gridAfter w:val="1"/>
          <w:wAfter w:w="160" w:type="dxa"/>
          <w:trHeight w:val="170"/>
        </w:trPr>
        <w:tc>
          <w:tcPr>
            <w:tcW w:w="7189" w:type="dxa"/>
            <w:gridSpan w:val="7"/>
            <w:tcBorders>
              <w:top w:val="single" w:sz="8" w:space="0" w:color="auto"/>
              <w:left w:val="single" w:sz="8" w:space="0" w:color="auto"/>
              <w:bottom w:val="nil"/>
              <w:right w:val="single" w:sz="8" w:space="0" w:color="000000"/>
            </w:tcBorders>
            <w:shd w:val="clear" w:color="auto" w:fill="auto"/>
            <w:vAlign w:val="center"/>
            <w:hideMark/>
          </w:tcPr>
          <w:p w14:paraId="095E73D4" w14:textId="77777777" w:rsidR="005E347E" w:rsidRPr="00AA22C4" w:rsidRDefault="005E347E" w:rsidP="00DE19D8">
            <w:pPr>
              <w:widowControl/>
              <w:spacing w:line="240" w:lineRule="auto"/>
              <w:jc w:val="right"/>
              <w:rPr>
                <w:rFonts w:ascii="Lato" w:hAnsi="Lato"/>
                <w:b/>
                <w:bCs/>
                <w:color w:val="000000" w:themeColor="text1"/>
                <w:sz w:val="20"/>
                <w:szCs w:val="20"/>
              </w:rPr>
            </w:pPr>
            <w:r w:rsidRPr="00AA22C4">
              <w:rPr>
                <w:rFonts w:ascii="Lato" w:eastAsia="Segoe UI" w:hAnsi="Lato"/>
                <w:b/>
                <w:bCs/>
                <w:color w:val="000000" w:themeColor="text1"/>
                <w:sz w:val="20"/>
                <w:szCs w:val="20"/>
              </w:rPr>
              <w:t>Razem:</w:t>
            </w:r>
          </w:p>
        </w:tc>
        <w:tc>
          <w:tcPr>
            <w:tcW w:w="2006" w:type="dxa"/>
            <w:gridSpan w:val="3"/>
            <w:tcBorders>
              <w:top w:val="single" w:sz="8" w:space="0" w:color="auto"/>
              <w:left w:val="nil"/>
              <w:bottom w:val="single" w:sz="8" w:space="0" w:color="auto"/>
              <w:right w:val="single" w:sz="8" w:space="0" w:color="auto"/>
            </w:tcBorders>
            <w:shd w:val="clear" w:color="auto" w:fill="auto"/>
            <w:vAlign w:val="center"/>
          </w:tcPr>
          <w:p w14:paraId="078E4125" w14:textId="219682A8" w:rsidR="005E347E" w:rsidRPr="00AA22C4" w:rsidRDefault="00617E57" w:rsidP="00DE19D8">
            <w:pPr>
              <w:widowControl/>
              <w:spacing w:line="240" w:lineRule="auto"/>
              <w:jc w:val="center"/>
              <w:rPr>
                <w:rFonts w:ascii="Lato" w:eastAsia="Segoe UI" w:hAnsi="Lato"/>
                <w:b/>
                <w:bCs/>
                <w:color w:val="000000" w:themeColor="text1"/>
                <w:sz w:val="20"/>
                <w:szCs w:val="20"/>
              </w:rPr>
            </w:pPr>
            <w:r w:rsidRPr="00AA22C4">
              <w:rPr>
                <w:rFonts w:ascii="Lato" w:eastAsia="Segoe UI" w:hAnsi="Lato"/>
                <w:b/>
                <w:bCs/>
                <w:color w:val="000000" w:themeColor="text1"/>
                <w:sz w:val="20"/>
                <w:szCs w:val="20"/>
              </w:rPr>
              <w:t>3 293 200</w:t>
            </w:r>
          </w:p>
        </w:tc>
        <w:tc>
          <w:tcPr>
            <w:tcW w:w="160" w:type="dxa"/>
            <w:vAlign w:val="center"/>
          </w:tcPr>
          <w:p w14:paraId="7765D399" w14:textId="77777777" w:rsidR="005E347E" w:rsidRPr="00AA22C4" w:rsidRDefault="005E347E" w:rsidP="00DE19D8">
            <w:pPr>
              <w:widowControl/>
              <w:spacing w:line="240" w:lineRule="auto"/>
              <w:rPr>
                <w:rFonts w:ascii="Lato" w:hAnsi="Lato"/>
                <w:color w:val="000000" w:themeColor="text1"/>
              </w:rPr>
            </w:pPr>
          </w:p>
        </w:tc>
      </w:tr>
      <w:tr w:rsidR="00B3776C" w:rsidRPr="00B3776C" w14:paraId="1F616E7D" w14:textId="77777777" w:rsidTr="00DE19D8">
        <w:trPr>
          <w:gridAfter w:val="2"/>
          <w:wAfter w:w="320" w:type="dxa"/>
          <w:trHeight w:val="454"/>
        </w:trPr>
        <w:tc>
          <w:tcPr>
            <w:tcW w:w="7189" w:type="dxa"/>
            <w:gridSpan w:val="7"/>
            <w:tcBorders>
              <w:top w:val="single" w:sz="8" w:space="0" w:color="auto"/>
              <w:left w:val="single" w:sz="8" w:space="0" w:color="auto"/>
              <w:bottom w:val="single" w:sz="8" w:space="0" w:color="auto"/>
              <w:right w:val="single" w:sz="4" w:space="0" w:color="auto"/>
            </w:tcBorders>
            <w:shd w:val="clear" w:color="auto" w:fill="AEAAAA"/>
            <w:vAlign w:val="center"/>
            <w:hideMark/>
          </w:tcPr>
          <w:p w14:paraId="22F7CD99" w14:textId="3640B768" w:rsidR="005E347E" w:rsidRPr="00AA22C4" w:rsidRDefault="005E347E" w:rsidP="00DE19D8">
            <w:pPr>
              <w:widowControl/>
              <w:spacing w:line="240" w:lineRule="auto"/>
              <w:jc w:val="center"/>
              <w:rPr>
                <w:rFonts w:ascii="Lato" w:hAnsi="Lato"/>
                <w:b/>
                <w:bCs/>
                <w:color w:val="000000" w:themeColor="text1"/>
                <w:sz w:val="22"/>
                <w:szCs w:val="22"/>
              </w:rPr>
            </w:pPr>
            <w:bookmarkStart w:id="68" w:name="_Hlk112763736"/>
            <w:r w:rsidRPr="00AA22C4">
              <w:rPr>
                <w:rFonts w:ascii="Lato" w:hAnsi="Lato"/>
                <w:b/>
                <w:bCs/>
                <w:color w:val="000000" w:themeColor="text1"/>
                <w:sz w:val="22"/>
                <w:szCs w:val="22"/>
              </w:rPr>
              <w:t xml:space="preserve">Koszt całkowity badań przesiewowych w </w:t>
            </w:r>
            <w:r w:rsidR="006B7116" w:rsidRPr="00AA22C4">
              <w:rPr>
                <w:rFonts w:ascii="Lato" w:hAnsi="Lato"/>
                <w:b/>
                <w:bCs/>
                <w:color w:val="000000" w:themeColor="text1"/>
                <w:sz w:val="22"/>
                <w:szCs w:val="22"/>
              </w:rPr>
              <w:t>2025 r.</w:t>
            </w:r>
            <w:r w:rsidR="00651B25" w:rsidRPr="00AA22C4">
              <w:rPr>
                <w:rFonts w:ascii="Lato" w:hAnsi="Lato"/>
                <w:b/>
                <w:bCs/>
                <w:color w:val="000000" w:themeColor="text1"/>
                <w:sz w:val="22"/>
                <w:szCs w:val="22"/>
              </w:rPr>
              <w:t xml:space="preserve"> </w:t>
            </w:r>
            <w:r w:rsidRPr="00AA22C4">
              <w:rPr>
                <w:rFonts w:ascii="Lato" w:hAnsi="Lato"/>
                <w:b/>
                <w:bCs/>
                <w:color w:val="000000" w:themeColor="text1"/>
                <w:sz w:val="22"/>
                <w:szCs w:val="22"/>
              </w:rPr>
              <w:t>w zł</w:t>
            </w:r>
          </w:p>
        </w:tc>
        <w:tc>
          <w:tcPr>
            <w:tcW w:w="2006" w:type="dxa"/>
            <w:gridSpan w:val="3"/>
            <w:tcBorders>
              <w:top w:val="nil"/>
              <w:left w:val="single" w:sz="8" w:space="0" w:color="auto"/>
              <w:bottom w:val="single" w:sz="8" w:space="0" w:color="auto"/>
              <w:right w:val="single" w:sz="8" w:space="0" w:color="auto"/>
            </w:tcBorders>
            <w:shd w:val="clear" w:color="auto" w:fill="AEAAAA"/>
            <w:vAlign w:val="center"/>
            <w:hideMark/>
          </w:tcPr>
          <w:p w14:paraId="1797388E" w14:textId="7E334C6A" w:rsidR="005E347E" w:rsidRPr="00AA22C4" w:rsidRDefault="004047BF" w:rsidP="00DE19D8">
            <w:pPr>
              <w:widowControl/>
              <w:spacing w:line="240" w:lineRule="auto"/>
              <w:jc w:val="center"/>
              <w:rPr>
                <w:rFonts w:ascii="Lato" w:eastAsia="Segoe UI" w:hAnsi="Lato"/>
                <w:b/>
                <w:bCs/>
                <w:color w:val="000000" w:themeColor="text1"/>
                <w:sz w:val="22"/>
                <w:szCs w:val="22"/>
              </w:rPr>
            </w:pPr>
            <w:r w:rsidRPr="00AA22C4">
              <w:rPr>
                <w:rFonts w:ascii="Lato" w:eastAsia="Segoe UI" w:hAnsi="Lato"/>
                <w:b/>
                <w:bCs/>
                <w:color w:val="000000" w:themeColor="text1"/>
                <w:sz w:val="22"/>
                <w:szCs w:val="22"/>
              </w:rPr>
              <w:t>41 271 </w:t>
            </w:r>
            <w:r w:rsidR="00444A5A" w:rsidRPr="00AA22C4">
              <w:rPr>
                <w:rFonts w:ascii="Lato" w:eastAsia="Segoe UI" w:hAnsi="Lato"/>
                <w:b/>
                <w:bCs/>
                <w:color w:val="000000" w:themeColor="text1"/>
                <w:sz w:val="22"/>
                <w:szCs w:val="22"/>
              </w:rPr>
              <w:t>5</w:t>
            </w:r>
            <w:r w:rsidRPr="00AA22C4">
              <w:rPr>
                <w:rFonts w:ascii="Lato" w:eastAsia="Segoe UI" w:hAnsi="Lato"/>
                <w:b/>
                <w:bCs/>
                <w:color w:val="000000" w:themeColor="text1"/>
                <w:sz w:val="22"/>
                <w:szCs w:val="22"/>
              </w:rPr>
              <w:t>35</w:t>
            </w:r>
          </w:p>
        </w:tc>
      </w:tr>
      <w:bookmarkEnd w:id="68"/>
      <w:tr w:rsidR="00B3776C" w:rsidRPr="00B3776C" w14:paraId="58CFAC77" w14:textId="77777777" w:rsidTr="00DE19D8">
        <w:trPr>
          <w:trHeight w:val="737"/>
        </w:trPr>
        <w:tc>
          <w:tcPr>
            <w:tcW w:w="9515" w:type="dxa"/>
            <w:gridSpan w:val="12"/>
            <w:tcBorders>
              <w:top w:val="nil"/>
              <w:left w:val="nil"/>
              <w:bottom w:val="single" w:sz="8" w:space="0" w:color="auto"/>
              <w:right w:val="nil"/>
            </w:tcBorders>
            <w:shd w:val="clear" w:color="auto" w:fill="auto"/>
            <w:vAlign w:val="center"/>
            <w:hideMark/>
          </w:tcPr>
          <w:p w14:paraId="2C661E19" w14:textId="77777777" w:rsidR="00181F00" w:rsidRPr="00AA22C4" w:rsidRDefault="00181F00" w:rsidP="00181F00">
            <w:pPr>
              <w:tabs>
                <w:tab w:val="left" w:pos="5004"/>
              </w:tabs>
              <w:spacing w:after="120" w:line="240" w:lineRule="auto"/>
              <w:rPr>
                <w:rFonts w:ascii="Lato" w:hAnsi="Lato"/>
                <w:color w:val="000000" w:themeColor="text1"/>
              </w:rPr>
            </w:pPr>
            <w:r w:rsidRPr="00181F00">
              <w:rPr>
                <w:rFonts w:ascii="Lato" w:hAnsi="Lato"/>
                <w:color w:val="000000" w:themeColor="text1"/>
              </w:rPr>
              <w:t>*</w:t>
            </w:r>
            <w:r w:rsidRPr="00181F00">
              <w:rPr>
                <w:rFonts w:ascii="Lato" w:hAnsi="Lato"/>
                <w:color w:val="000000" w:themeColor="text1"/>
                <w:sz w:val="18"/>
                <w:szCs w:val="18"/>
              </w:rPr>
              <w:t>część badań na SMA zostanie wykonana pojedynczymi testami zgodnie z dotychczasową procedurą w ramach środków na podstawowe badania w Programie, część zostanie wykonana w ramach pilotażowych testów podwójnych SMA/SCID.</w:t>
            </w:r>
            <w:r w:rsidRPr="00181F00">
              <w:rPr>
                <w:rFonts w:ascii="Lato" w:hAnsi="Lato"/>
                <w:color w:val="000000" w:themeColor="text1"/>
                <w:sz w:val="22"/>
                <w:szCs w:val="22"/>
              </w:rPr>
              <w:t xml:space="preserve"> </w:t>
            </w:r>
            <w:r w:rsidRPr="00181F00">
              <w:rPr>
                <w:rFonts w:ascii="Lato" w:hAnsi="Lato"/>
                <w:color w:val="000000" w:themeColor="text1"/>
                <w:sz w:val="18"/>
                <w:szCs w:val="18"/>
              </w:rPr>
              <w:t>Ze względów technicznych część (ok. 10 tys. oznaczeń) zostanie wykonana zarówno testem pojedynczym, jak i</w:t>
            </w:r>
            <w:r w:rsidRPr="00AA22C4">
              <w:rPr>
                <w:rFonts w:ascii="Lato" w:hAnsi="Lato"/>
                <w:color w:val="000000" w:themeColor="text1"/>
                <w:sz w:val="20"/>
                <w:szCs w:val="20"/>
              </w:rPr>
              <w:t xml:space="preserve"> </w:t>
            </w:r>
            <w:r w:rsidRPr="00181F00">
              <w:rPr>
                <w:rFonts w:ascii="Lato" w:hAnsi="Lato"/>
                <w:color w:val="000000" w:themeColor="text1"/>
                <w:sz w:val="18"/>
                <w:szCs w:val="18"/>
              </w:rPr>
              <w:t>podwójnym.</w:t>
            </w:r>
          </w:p>
          <w:p w14:paraId="6B177D9A" w14:textId="77777777" w:rsidR="003F05E7" w:rsidRPr="00AA22C4" w:rsidRDefault="003F05E7" w:rsidP="00DE19D8">
            <w:pPr>
              <w:widowControl/>
              <w:spacing w:line="240" w:lineRule="auto"/>
              <w:jc w:val="center"/>
              <w:rPr>
                <w:rFonts w:ascii="Lato" w:eastAsia="Courier New" w:hAnsi="Lato"/>
                <w:b/>
                <w:bCs/>
                <w:color w:val="000000" w:themeColor="text1"/>
                <w:sz w:val="22"/>
                <w:szCs w:val="22"/>
              </w:rPr>
            </w:pPr>
          </w:p>
          <w:p w14:paraId="452CF86B" w14:textId="50E1693C" w:rsidR="005E347E" w:rsidRPr="00AA22C4" w:rsidRDefault="005E347E" w:rsidP="00DE19D8">
            <w:pPr>
              <w:widowControl/>
              <w:spacing w:line="240" w:lineRule="auto"/>
              <w:jc w:val="center"/>
              <w:rPr>
                <w:rFonts w:ascii="Lato" w:eastAsia="Courier New" w:hAnsi="Lato"/>
                <w:b/>
                <w:bCs/>
                <w:color w:val="000000" w:themeColor="text1"/>
                <w:sz w:val="22"/>
                <w:szCs w:val="22"/>
              </w:rPr>
            </w:pPr>
            <w:r w:rsidRPr="00AA22C4">
              <w:rPr>
                <w:rFonts w:ascii="Lato" w:eastAsia="Courier New" w:hAnsi="Lato"/>
                <w:b/>
                <w:bCs/>
                <w:color w:val="000000" w:themeColor="text1"/>
                <w:sz w:val="22"/>
                <w:szCs w:val="22"/>
              </w:rPr>
              <w:t xml:space="preserve">PROGNOZOWANY KOSZTORYS REALIZACJI PILOTAŻOWYCH BADAŃ PRZESIEWOWYCH W 2025 </w:t>
            </w:r>
            <w:r w:rsidR="00A04888" w:rsidRPr="00AA22C4">
              <w:rPr>
                <w:rFonts w:ascii="Lato" w:eastAsia="Courier New" w:hAnsi="Lato"/>
                <w:b/>
                <w:bCs/>
                <w:color w:val="000000" w:themeColor="text1"/>
                <w:sz w:val="22"/>
                <w:szCs w:val="22"/>
              </w:rPr>
              <w:t xml:space="preserve">R. </w:t>
            </w:r>
            <w:r w:rsidRPr="00AA22C4">
              <w:rPr>
                <w:rFonts w:ascii="Lato" w:eastAsia="Courier New" w:hAnsi="Lato"/>
                <w:b/>
                <w:bCs/>
                <w:color w:val="000000" w:themeColor="text1"/>
                <w:sz w:val="22"/>
                <w:szCs w:val="22"/>
              </w:rPr>
              <w:t>(wydatki bieżące)</w:t>
            </w:r>
          </w:p>
          <w:p w14:paraId="69430533" w14:textId="77777777" w:rsidR="005E347E" w:rsidRPr="00AA22C4" w:rsidRDefault="005E347E" w:rsidP="00DE19D8">
            <w:pPr>
              <w:widowControl/>
              <w:spacing w:line="240" w:lineRule="auto"/>
              <w:jc w:val="center"/>
              <w:rPr>
                <w:rFonts w:ascii="Lato" w:eastAsia="Courier New" w:hAnsi="Lato"/>
                <w:b/>
                <w:bCs/>
                <w:color w:val="000000" w:themeColor="text1"/>
                <w:sz w:val="22"/>
                <w:szCs w:val="22"/>
              </w:rPr>
            </w:pPr>
          </w:p>
          <w:p w14:paraId="4B2B57AF" w14:textId="77777777" w:rsidR="005E347E" w:rsidRPr="00AA22C4" w:rsidRDefault="005E347E" w:rsidP="00DE19D8">
            <w:pPr>
              <w:widowControl/>
              <w:spacing w:line="240" w:lineRule="auto"/>
              <w:jc w:val="center"/>
              <w:rPr>
                <w:rFonts w:ascii="Lato" w:hAnsi="Lato"/>
                <w:b/>
                <w:bCs/>
                <w:color w:val="000000" w:themeColor="text1"/>
                <w:sz w:val="22"/>
                <w:szCs w:val="22"/>
                <w:u w:val="single"/>
              </w:rPr>
            </w:pPr>
          </w:p>
        </w:tc>
      </w:tr>
      <w:tr w:rsidR="00B3776C" w:rsidRPr="00B3776C" w14:paraId="6497FEF1" w14:textId="77777777" w:rsidTr="00DE19D8">
        <w:trPr>
          <w:trHeight w:val="454"/>
        </w:trPr>
        <w:tc>
          <w:tcPr>
            <w:tcW w:w="9515" w:type="dxa"/>
            <w:gridSpan w:val="12"/>
            <w:tcBorders>
              <w:top w:val="single" w:sz="8" w:space="0" w:color="auto"/>
              <w:left w:val="single" w:sz="8" w:space="0" w:color="auto"/>
              <w:bottom w:val="single" w:sz="4" w:space="0" w:color="auto"/>
              <w:right w:val="single" w:sz="8" w:space="0" w:color="000000"/>
            </w:tcBorders>
            <w:shd w:val="clear" w:color="auto" w:fill="E7E6E6"/>
            <w:vAlign w:val="center"/>
            <w:hideMark/>
          </w:tcPr>
          <w:p w14:paraId="32182D8B"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lastRenderedPageBreak/>
              <w:t>Koszty laboratoryjne</w:t>
            </w:r>
          </w:p>
        </w:tc>
      </w:tr>
      <w:tr w:rsidR="00B3776C" w:rsidRPr="00B3776C" w14:paraId="033B8E59" w14:textId="77777777" w:rsidTr="00DE19D8">
        <w:trPr>
          <w:trHeight w:val="868"/>
        </w:trPr>
        <w:tc>
          <w:tcPr>
            <w:tcW w:w="46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61C4E66"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eastAsia="Courier New" w:hAnsi="Lato"/>
                <w:b/>
                <w:bCs/>
                <w:color w:val="000000" w:themeColor="text1"/>
                <w:sz w:val="20"/>
                <w:szCs w:val="20"/>
              </w:rPr>
              <w:t>Rodzaj badania</w:t>
            </w:r>
          </w:p>
        </w:tc>
        <w:tc>
          <w:tcPr>
            <w:tcW w:w="259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6F879A4" w14:textId="77777777" w:rsidR="005E347E" w:rsidRPr="00AA22C4" w:rsidRDefault="005E347E" w:rsidP="00DE19D8">
            <w:pPr>
              <w:widowControl/>
              <w:spacing w:line="240" w:lineRule="auto"/>
              <w:jc w:val="center"/>
              <w:rPr>
                <w:rFonts w:ascii="Lato" w:eastAsia="Courier New" w:hAnsi="Lato"/>
                <w:b/>
                <w:bCs/>
                <w:color w:val="000000" w:themeColor="text1"/>
                <w:sz w:val="20"/>
                <w:szCs w:val="20"/>
              </w:rPr>
            </w:pPr>
            <w:r w:rsidRPr="00AA22C4">
              <w:rPr>
                <w:rFonts w:ascii="Lato" w:eastAsia="Courier New" w:hAnsi="Lato"/>
                <w:b/>
                <w:bCs/>
                <w:color w:val="000000" w:themeColor="text1"/>
                <w:sz w:val="20"/>
                <w:szCs w:val="20"/>
              </w:rPr>
              <w:t xml:space="preserve">Koszt jednostkowy </w:t>
            </w:r>
          </w:p>
          <w:p w14:paraId="5E7E4764" w14:textId="77777777" w:rsidR="00DE19D8" w:rsidRPr="00AA22C4" w:rsidRDefault="005E347E" w:rsidP="00DE19D8">
            <w:pPr>
              <w:widowControl/>
              <w:spacing w:line="240" w:lineRule="auto"/>
              <w:jc w:val="center"/>
              <w:rPr>
                <w:rFonts w:ascii="Lato" w:eastAsia="Courier New" w:hAnsi="Lato"/>
                <w:b/>
                <w:bCs/>
                <w:color w:val="000000" w:themeColor="text1"/>
                <w:sz w:val="20"/>
                <w:szCs w:val="20"/>
              </w:rPr>
            </w:pPr>
            <w:r w:rsidRPr="00AA22C4">
              <w:rPr>
                <w:rFonts w:ascii="Lato" w:eastAsia="Courier New" w:hAnsi="Lato"/>
                <w:b/>
                <w:bCs/>
                <w:color w:val="000000" w:themeColor="text1"/>
                <w:sz w:val="20"/>
                <w:szCs w:val="20"/>
              </w:rPr>
              <w:t>(bez kosztu testów)</w:t>
            </w:r>
          </w:p>
          <w:p w14:paraId="355F7992" w14:textId="3780AD1F"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eastAsia="Courier New" w:hAnsi="Lato"/>
                <w:b/>
                <w:bCs/>
                <w:color w:val="000000" w:themeColor="text1"/>
                <w:sz w:val="20"/>
                <w:szCs w:val="20"/>
              </w:rPr>
              <w:t xml:space="preserve"> w zł</w:t>
            </w:r>
          </w:p>
        </w:tc>
        <w:tc>
          <w:tcPr>
            <w:tcW w:w="227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AC7AC95" w14:textId="77777777" w:rsidR="005E347E" w:rsidRPr="00AA22C4" w:rsidRDefault="005E347E" w:rsidP="00DE19D8">
            <w:pPr>
              <w:widowControl/>
              <w:spacing w:line="240" w:lineRule="auto"/>
              <w:jc w:val="center"/>
              <w:rPr>
                <w:rFonts w:ascii="Lato" w:eastAsia="Courier New" w:hAnsi="Lato"/>
                <w:b/>
                <w:bCs/>
                <w:color w:val="000000" w:themeColor="text1"/>
                <w:sz w:val="20"/>
                <w:szCs w:val="20"/>
              </w:rPr>
            </w:pPr>
            <w:r w:rsidRPr="00AA22C4">
              <w:rPr>
                <w:rFonts w:ascii="Lato" w:eastAsia="Courier New" w:hAnsi="Lato"/>
                <w:b/>
                <w:bCs/>
                <w:color w:val="000000" w:themeColor="text1"/>
                <w:sz w:val="20"/>
                <w:szCs w:val="20"/>
              </w:rPr>
              <w:t xml:space="preserve">Łączny koszt badań </w:t>
            </w:r>
          </w:p>
          <w:p w14:paraId="4934A21A"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eastAsia="Courier New" w:hAnsi="Lato"/>
                <w:b/>
                <w:bCs/>
                <w:color w:val="000000" w:themeColor="text1"/>
                <w:sz w:val="20"/>
                <w:szCs w:val="20"/>
              </w:rPr>
              <w:t>w zł</w:t>
            </w:r>
          </w:p>
        </w:tc>
      </w:tr>
      <w:tr w:rsidR="00B3776C" w:rsidRPr="00B3776C" w14:paraId="4CD74DAE" w14:textId="77777777" w:rsidTr="00DE19D8">
        <w:trPr>
          <w:trHeight w:val="1077"/>
        </w:trPr>
        <w:tc>
          <w:tcPr>
            <w:tcW w:w="46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ED0AA13" w14:textId="4C1B9491" w:rsidR="00B1261D" w:rsidRPr="00AA22C4" w:rsidRDefault="00B1261D"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Badania przesiewowe w kierunku rdzeniowego zaniku mięśni i ciężkiego złożonego niedoboru odporności SMA/SCID</w:t>
            </w:r>
            <w:r w:rsidR="005B4F14" w:rsidRPr="00AA22C4">
              <w:rPr>
                <w:rFonts w:ascii="Lato" w:hAnsi="Lato"/>
                <w:color w:val="000000" w:themeColor="text1"/>
                <w:sz w:val="20"/>
                <w:szCs w:val="20"/>
              </w:rPr>
              <w:t>*</w:t>
            </w:r>
          </w:p>
          <w:p w14:paraId="46196828" w14:textId="46BF00FB" w:rsidR="00B1261D" w:rsidRPr="00AA22C4" w:rsidRDefault="00B1261D"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w:t>
            </w:r>
            <w:r w:rsidR="00AC678F" w:rsidRPr="00AA22C4">
              <w:rPr>
                <w:rFonts w:ascii="Lato" w:hAnsi="Lato"/>
                <w:color w:val="000000" w:themeColor="text1"/>
                <w:sz w:val="20"/>
                <w:szCs w:val="20"/>
              </w:rPr>
              <w:t>70</w:t>
            </w:r>
            <w:r w:rsidRPr="00AA22C4">
              <w:rPr>
                <w:rFonts w:ascii="Lato" w:hAnsi="Lato"/>
                <w:color w:val="000000" w:themeColor="text1"/>
                <w:sz w:val="20"/>
                <w:szCs w:val="20"/>
              </w:rPr>
              <w:t> 000 badań)</w:t>
            </w:r>
          </w:p>
        </w:tc>
        <w:tc>
          <w:tcPr>
            <w:tcW w:w="259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7BD9B6D" w14:textId="591F58D0" w:rsidR="00B1261D" w:rsidRPr="00AA22C4" w:rsidRDefault="00B1261D" w:rsidP="00DE19D8">
            <w:pPr>
              <w:widowControl/>
              <w:spacing w:line="240" w:lineRule="auto"/>
              <w:jc w:val="center"/>
              <w:rPr>
                <w:rFonts w:ascii="Lato" w:eastAsia="Courier New" w:hAnsi="Lato"/>
                <w:color w:val="000000" w:themeColor="text1"/>
                <w:sz w:val="20"/>
                <w:szCs w:val="20"/>
              </w:rPr>
            </w:pPr>
            <w:r w:rsidRPr="00AA22C4">
              <w:rPr>
                <w:rFonts w:ascii="Lato" w:hAnsi="Lato"/>
                <w:color w:val="000000" w:themeColor="text1"/>
                <w:sz w:val="20"/>
                <w:szCs w:val="20"/>
              </w:rPr>
              <w:t>29,69*</w:t>
            </w:r>
            <w:r w:rsidR="005B4F14" w:rsidRPr="00AA22C4">
              <w:rPr>
                <w:rFonts w:ascii="Lato" w:hAnsi="Lato"/>
                <w:color w:val="000000" w:themeColor="text1"/>
                <w:sz w:val="20"/>
                <w:szCs w:val="20"/>
              </w:rPr>
              <w:t>*</w:t>
            </w:r>
          </w:p>
        </w:tc>
        <w:tc>
          <w:tcPr>
            <w:tcW w:w="227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00076B9" w14:textId="2AADFC75" w:rsidR="00B1261D" w:rsidRPr="00AA22C4" w:rsidRDefault="005C78C1" w:rsidP="00DE19D8">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2 078 300</w:t>
            </w:r>
          </w:p>
        </w:tc>
      </w:tr>
      <w:tr w:rsidR="00B3776C" w:rsidRPr="00B3776C" w14:paraId="0BBA5B0A" w14:textId="77777777" w:rsidTr="00DE19D8">
        <w:trPr>
          <w:trHeight w:val="794"/>
        </w:trPr>
        <w:tc>
          <w:tcPr>
            <w:tcW w:w="46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CBE812" w14:textId="77777777" w:rsidR="00B1261D" w:rsidRPr="00AA22C4" w:rsidRDefault="00B1261D"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 xml:space="preserve">Badania przesiewowe w kierunku galaktozemii </w:t>
            </w:r>
          </w:p>
          <w:p w14:paraId="7B92EEE6" w14:textId="20E87B88" w:rsidR="00B1261D" w:rsidRPr="00AA22C4" w:rsidRDefault="00B1261D"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w:t>
            </w:r>
            <w:r w:rsidR="00AC678F" w:rsidRPr="00AA22C4">
              <w:rPr>
                <w:rFonts w:ascii="Lato" w:hAnsi="Lato"/>
                <w:color w:val="000000" w:themeColor="text1"/>
                <w:sz w:val="20"/>
                <w:szCs w:val="20"/>
              </w:rPr>
              <w:t>75</w:t>
            </w:r>
            <w:r w:rsidRPr="00AA22C4">
              <w:rPr>
                <w:rFonts w:ascii="Lato" w:hAnsi="Lato"/>
                <w:color w:val="000000" w:themeColor="text1"/>
                <w:sz w:val="20"/>
                <w:szCs w:val="20"/>
              </w:rPr>
              <w:t xml:space="preserve"> 000 badań) </w:t>
            </w:r>
          </w:p>
        </w:tc>
        <w:tc>
          <w:tcPr>
            <w:tcW w:w="259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EE3F134" w14:textId="229F111C" w:rsidR="00B1261D" w:rsidRPr="00AA22C4" w:rsidRDefault="00B1261D" w:rsidP="00DE19D8">
            <w:pPr>
              <w:widowControl/>
              <w:spacing w:line="240" w:lineRule="auto"/>
              <w:jc w:val="center"/>
              <w:rPr>
                <w:rFonts w:ascii="Lato" w:eastAsia="Courier New" w:hAnsi="Lato"/>
                <w:color w:val="000000" w:themeColor="text1"/>
                <w:sz w:val="20"/>
                <w:szCs w:val="20"/>
              </w:rPr>
            </w:pPr>
            <w:r w:rsidRPr="00AA22C4">
              <w:rPr>
                <w:rFonts w:ascii="Lato" w:hAnsi="Lato"/>
                <w:color w:val="000000" w:themeColor="text1"/>
                <w:sz w:val="20"/>
                <w:szCs w:val="20"/>
              </w:rPr>
              <w:t>19,70*</w:t>
            </w:r>
            <w:r w:rsidR="005B4F14" w:rsidRPr="00AA22C4">
              <w:rPr>
                <w:rFonts w:ascii="Lato" w:hAnsi="Lato"/>
                <w:color w:val="000000" w:themeColor="text1"/>
                <w:sz w:val="20"/>
                <w:szCs w:val="20"/>
              </w:rPr>
              <w:t>*</w:t>
            </w:r>
          </w:p>
        </w:tc>
        <w:tc>
          <w:tcPr>
            <w:tcW w:w="227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9A93747" w14:textId="7FDFE633" w:rsidR="00B1261D" w:rsidRPr="00AA22C4" w:rsidRDefault="005C78C1" w:rsidP="00DE19D8">
            <w:pPr>
              <w:widowControl/>
              <w:spacing w:line="240" w:lineRule="auto"/>
              <w:jc w:val="center"/>
              <w:rPr>
                <w:rFonts w:ascii="Lato" w:eastAsia="Courier New" w:hAnsi="Lato"/>
                <w:color w:val="000000" w:themeColor="text1"/>
                <w:sz w:val="20"/>
                <w:szCs w:val="20"/>
              </w:rPr>
            </w:pPr>
            <w:r w:rsidRPr="00AA22C4">
              <w:rPr>
                <w:rFonts w:ascii="Lato" w:hAnsi="Lato"/>
                <w:color w:val="000000" w:themeColor="text1"/>
                <w:sz w:val="20"/>
                <w:szCs w:val="20"/>
              </w:rPr>
              <w:t>1 477 500</w:t>
            </w:r>
          </w:p>
        </w:tc>
      </w:tr>
      <w:tr w:rsidR="00B3776C" w:rsidRPr="00B3776C" w14:paraId="13E75EF1" w14:textId="77777777" w:rsidTr="00DE19D8">
        <w:trPr>
          <w:trHeight w:val="1361"/>
        </w:trPr>
        <w:tc>
          <w:tcPr>
            <w:tcW w:w="46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743439C" w14:textId="77777777" w:rsidR="00B1261D" w:rsidRPr="00AA22C4" w:rsidRDefault="00B1261D"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 xml:space="preserve">Badania przesiewowe w kierunku lizosomalnych chorób spichrzeniowych - panel: choroba Pompego, choroba </w:t>
            </w:r>
            <w:proofErr w:type="spellStart"/>
            <w:r w:rsidRPr="00AA22C4">
              <w:rPr>
                <w:rFonts w:ascii="Lato" w:hAnsi="Lato"/>
                <w:color w:val="000000" w:themeColor="text1"/>
                <w:sz w:val="20"/>
                <w:szCs w:val="20"/>
              </w:rPr>
              <w:t>Gauchera</w:t>
            </w:r>
            <w:proofErr w:type="spellEnd"/>
            <w:r w:rsidRPr="00AA22C4">
              <w:rPr>
                <w:rFonts w:ascii="Lato" w:hAnsi="Lato"/>
                <w:color w:val="000000" w:themeColor="text1"/>
                <w:sz w:val="20"/>
                <w:szCs w:val="20"/>
              </w:rPr>
              <w:t xml:space="preserve">, choroba </w:t>
            </w:r>
            <w:proofErr w:type="spellStart"/>
            <w:r w:rsidRPr="00AA22C4">
              <w:rPr>
                <w:rFonts w:ascii="Lato" w:hAnsi="Lato"/>
                <w:color w:val="000000" w:themeColor="text1"/>
                <w:sz w:val="20"/>
                <w:szCs w:val="20"/>
              </w:rPr>
              <w:t>Fabry’ego</w:t>
            </w:r>
            <w:proofErr w:type="spellEnd"/>
            <w:r w:rsidRPr="00AA22C4">
              <w:rPr>
                <w:rFonts w:ascii="Lato" w:hAnsi="Lato"/>
                <w:color w:val="000000" w:themeColor="text1"/>
                <w:sz w:val="20"/>
                <w:szCs w:val="20"/>
              </w:rPr>
              <w:t xml:space="preserve">, </w:t>
            </w:r>
            <w:proofErr w:type="spellStart"/>
            <w:r w:rsidRPr="00AA22C4">
              <w:rPr>
                <w:rFonts w:ascii="Lato" w:hAnsi="Lato"/>
                <w:color w:val="000000" w:themeColor="text1"/>
                <w:sz w:val="20"/>
                <w:szCs w:val="20"/>
              </w:rPr>
              <w:t>mukopolisacharydoza</w:t>
            </w:r>
            <w:proofErr w:type="spellEnd"/>
            <w:r w:rsidRPr="00AA22C4">
              <w:rPr>
                <w:rFonts w:ascii="Lato" w:hAnsi="Lato"/>
                <w:color w:val="000000" w:themeColor="text1"/>
                <w:sz w:val="20"/>
                <w:szCs w:val="20"/>
              </w:rPr>
              <w:t xml:space="preserve"> I</w:t>
            </w:r>
          </w:p>
          <w:p w14:paraId="3A857B42" w14:textId="137612E8" w:rsidR="00B1261D" w:rsidRPr="00AA22C4" w:rsidRDefault="00B1261D" w:rsidP="00DE19D8">
            <w:pPr>
              <w:widowControl/>
              <w:spacing w:line="240" w:lineRule="auto"/>
              <w:rPr>
                <w:rFonts w:ascii="Lato" w:hAnsi="Lato"/>
                <w:color w:val="000000" w:themeColor="text1"/>
                <w:sz w:val="20"/>
                <w:szCs w:val="20"/>
              </w:rPr>
            </w:pPr>
            <w:r w:rsidRPr="00AA22C4">
              <w:rPr>
                <w:rFonts w:ascii="Lato" w:hAnsi="Lato"/>
                <w:color w:val="000000" w:themeColor="text1"/>
                <w:sz w:val="20"/>
                <w:szCs w:val="20"/>
              </w:rPr>
              <w:t>(</w:t>
            </w:r>
            <w:r w:rsidR="00AC678F" w:rsidRPr="00AA22C4">
              <w:rPr>
                <w:rFonts w:ascii="Lato" w:hAnsi="Lato"/>
                <w:color w:val="000000" w:themeColor="text1"/>
                <w:sz w:val="20"/>
                <w:szCs w:val="20"/>
              </w:rPr>
              <w:t>75</w:t>
            </w:r>
            <w:r w:rsidRPr="00AA22C4">
              <w:rPr>
                <w:rFonts w:ascii="Lato" w:hAnsi="Lato"/>
                <w:color w:val="000000" w:themeColor="text1"/>
                <w:sz w:val="20"/>
                <w:szCs w:val="20"/>
              </w:rPr>
              <w:t xml:space="preserve"> 000 badań)</w:t>
            </w:r>
          </w:p>
        </w:tc>
        <w:tc>
          <w:tcPr>
            <w:tcW w:w="259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DD666AC" w14:textId="4B602814" w:rsidR="00B1261D" w:rsidRPr="00AA22C4" w:rsidRDefault="00B1261D" w:rsidP="00DE19D8">
            <w:pPr>
              <w:widowControl/>
              <w:spacing w:line="240" w:lineRule="auto"/>
              <w:jc w:val="center"/>
              <w:rPr>
                <w:rFonts w:ascii="Lato" w:eastAsia="Courier New" w:hAnsi="Lato"/>
                <w:color w:val="000000" w:themeColor="text1"/>
                <w:sz w:val="20"/>
                <w:szCs w:val="20"/>
              </w:rPr>
            </w:pPr>
            <w:r w:rsidRPr="00AA22C4">
              <w:rPr>
                <w:rFonts w:ascii="Lato" w:hAnsi="Lato"/>
                <w:color w:val="000000" w:themeColor="text1"/>
                <w:sz w:val="20"/>
                <w:szCs w:val="20"/>
              </w:rPr>
              <w:t>45,68*</w:t>
            </w:r>
            <w:r w:rsidR="005B4F14" w:rsidRPr="00AA22C4">
              <w:rPr>
                <w:rFonts w:ascii="Lato" w:hAnsi="Lato"/>
                <w:color w:val="000000" w:themeColor="text1"/>
                <w:sz w:val="20"/>
                <w:szCs w:val="20"/>
              </w:rPr>
              <w:t>*</w:t>
            </w:r>
          </w:p>
        </w:tc>
        <w:tc>
          <w:tcPr>
            <w:tcW w:w="227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52DAA35" w14:textId="0A08FF97" w:rsidR="00B1261D" w:rsidRPr="00AA22C4" w:rsidRDefault="005C78C1" w:rsidP="00DE19D8">
            <w:pPr>
              <w:widowControl/>
              <w:spacing w:line="240" w:lineRule="auto"/>
              <w:jc w:val="center"/>
              <w:rPr>
                <w:rFonts w:ascii="Lato" w:eastAsia="Courier New" w:hAnsi="Lato"/>
                <w:color w:val="000000" w:themeColor="text1"/>
                <w:sz w:val="20"/>
                <w:szCs w:val="20"/>
              </w:rPr>
            </w:pPr>
            <w:r w:rsidRPr="00AA22C4">
              <w:rPr>
                <w:rFonts w:ascii="Lato" w:hAnsi="Lato"/>
                <w:color w:val="000000" w:themeColor="text1"/>
                <w:sz w:val="20"/>
                <w:szCs w:val="20"/>
              </w:rPr>
              <w:t>3 426 000</w:t>
            </w:r>
          </w:p>
        </w:tc>
      </w:tr>
      <w:tr w:rsidR="00B3776C" w:rsidRPr="00B3776C" w14:paraId="1B14C02B" w14:textId="77777777" w:rsidTr="00DE19D8">
        <w:trPr>
          <w:trHeight w:val="397"/>
        </w:trPr>
        <w:tc>
          <w:tcPr>
            <w:tcW w:w="7236" w:type="dxa"/>
            <w:gridSpan w:val="8"/>
            <w:tcBorders>
              <w:top w:val="single" w:sz="4" w:space="0" w:color="auto"/>
              <w:left w:val="single" w:sz="8" w:space="0" w:color="auto"/>
              <w:bottom w:val="single" w:sz="8" w:space="0" w:color="auto"/>
              <w:right w:val="single" w:sz="8" w:space="0" w:color="000000"/>
            </w:tcBorders>
            <w:shd w:val="clear" w:color="auto" w:fill="auto"/>
            <w:vAlign w:val="center"/>
            <w:hideMark/>
          </w:tcPr>
          <w:p w14:paraId="2E31F30F" w14:textId="77777777" w:rsidR="005E347E" w:rsidRPr="00AA22C4" w:rsidRDefault="005E347E" w:rsidP="00DE19D8">
            <w:pPr>
              <w:widowControl/>
              <w:spacing w:line="240" w:lineRule="auto"/>
              <w:jc w:val="right"/>
              <w:rPr>
                <w:rFonts w:ascii="Lato" w:hAnsi="Lato"/>
                <w:b/>
                <w:bCs/>
                <w:color w:val="000000" w:themeColor="text1"/>
                <w:sz w:val="20"/>
                <w:szCs w:val="20"/>
              </w:rPr>
            </w:pPr>
            <w:r w:rsidRPr="00AA22C4">
              <w:rPr>
                <w:rFonts w:ascii="Lato" w:eastAsia="Courier New" w:hAnsi="Lato"/>
                <w:b/>
                <w:bCs/>
                <w:color w:val="000000" w:themeColor="text1"/>
                <w:sz w:val="20"/>
                <w:szCs w:val="20"/>
              </w:rPr>
              <w:t>Razem:</w:t>
            </w:r>
          </w:p>
        </w:tc>
        <w:tc>
          <w:tcPr>
            <w:tcW w:w="2279" w:type="dxa"/>
            <w:gridSpan w:val="4"/>
            <w:tcBorders>
              <w:top w:val="single" w:sz="4" w:space="0" w:color="auto"/>
              <w:left w:val="nil"/>
              <w:bottom w:val="single" w:sz="8" w:space="0" w:color="auto"/>
              <w:right w:val="single" w:sz="8" w:space="0" w:color="auto"/>
            </w:tcBorders>
            <w:shd w:val="clear" w:color="auto" w:fill="auto"/>
            <w:vAlign w:val="center"/>
            <w:hideMark/>
          </w:tcPr>
          <w:p w14:paraId="4D464012" w14:textId="3C6ABB6F" w:rsidR="005E347E" w:rsidRPr="00AA22C4" w:rsidRDefault="005C78C1" w:rsidP="00DE19D8">
            <w:pPr>
              <w:widowControl/>
              <w:spacing w:line="240" w:lineRule="auto"/>
              <w:jc w:val="center"/>
              <w:rPr>
                <w:rFonts w:ascii="Lato" w:eastAsia="Arial" w:hAnsi="Lato" w:cs="Arial"/>
                <w:b/>
                <w:color w:val="000000" w:themeColor="text1"/>
                <w:sz w:val="22"/>
                <w:szCs w:val="22"/>
              </w:rPr>
            </w:pPr>
            <w:r w:rsidRPr="00AA22C4">
              <w:rPr>
                <w:rFonts w:ascii="Lato" w:eastAsia="Arial" w:hAnsi="Lato" w:cs="Arial"/>
                <w:b/>
                <w:color w:val="000000" w:themeColor="text1"/>
                <w:sz w:val="22"/>
                <w:szCs w:val="22"/>
              </w:rPr>
              <w:t>6 981 800</w:t>
            </w:r>
          </w:p>
        </w:tc>
      </w:tr>
      <w:tr w:rsidR="00B3776C" w:rsidRPr="00B3776C" w14:paraId="1E9635DC" w14:textId="77777777" w:rsidTr="00DE19D8">
        <w:trPr>
          <w:trHeight w:val="510"/>
        </w:trPr>
        <w:tc>
          <w:tcPr>
            <w:tcW w:w="9515" w:type="dxa"/>
            <w:gridSpan w:val="12"/>
            <w:tcBorders>
              <w:top w:val="single" w:sz="8" w:space="0" w:color="auto"/>
              <w:left w:val="single" w:sz="8" w:space="0" w:color="auto"/>
              <w:bottom w:val="single" w:sz="8" w:space="0" w:color="auto"/>
              <w:right w:val="single" w:sz="8" w:space="0" w:color="000000"/>
            </w:tcBorders>
            <w:shd w:val="clear" w:color="auto" w:fill="E7E6E6"/>
            <w:vAlign w:val="center"/>
            <w:hideMark/>
          </w:tcPr>
          <w:p w14:paraId="061CEBFE" w14:textId="71E9519C"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 xml:space="preserve">Koszt testów diagnostycznych i </w:t>
            </w:r>
            <w:r w:rsidR="006A274D" w:rsidRPr="00AA22C4">
              <w:rPr>
                <w:rFonts w:ascii="Lato" w:hAnsi="Lato"/>
                <w:b/>
                <w:bCs/>
                <w:color w:val="000000" w:themeColor="text1"/>
                <w:sz w:val="20"/>
                <w:szCs w:val="20"/>
              </w:rPr>
              <w:t xml:space="preserve">odczynników </w:t>
            </w:r>
            <w:r w:rsidR="005B4F14" w:rsidRPr="00AA22C4">
              <w:rPr>
                <w:rFonts w:ascii="Lato" w:hAnsi="Lato"/>
                <w:b/>
                <w:bCs/>
                <w:color w:val="000000" w:themeColor="text1"/>
                <w:sz w:val="20"/>
                <w:szCs w:val="20"/>
              </w:rPr>
              <w:t xml:space="preserve">na </w:t>
            </w:r>
            <w:r w:rsidR="006A274D" w:rsidRPr="00AA22C4">
              <w:rPr>
                <w:rFonts w:ascii="Lato" w:hAnsi="Lato"/>
                <w:b/>
                <w:bCs/>
                <w:color w:val="000000" w:themeColor="text1"/>
                <w:sz w:val="20"/>
                <w:szCs w:val="20"/>
              </w:rPr>
              <w:t xml:space="preserve">2025 </w:t>
            </w:r>
            <w:r w:rsidR="00A04888" w:rsidRPr="00AA22C4">
              <w:rPr>
                <w:rFonts w:ascii="Lato" w:hAnsi="Lato"/>
                <w:b/>
                <w:bCs/>
                <w:color w:val="000000" w:themeColor="text1"/>
                <w:sz w:val="20"/>
                <w:szCs w:val="20"/>
              </w:rPr>
              <w:t xml:space="preserve">r. </w:t>
            </w:r>
            <w:r w:rsidR="006A274D" w:rsidRPr="00AA22C4">
              <w:rPr>
                <w:rFonts w:ascii="Lato" w:hAnsi="Lato"/>
                <w:b/>
                <w:bCs/>
                <w:color w:val="000000" w:themeColor="text1"/>
                <w:sz w:val="20"/>
                <w:szCs w:val="20"/>
              </w:rPr>
              <w:t xml:space="preserve">i </w:t>
            </w:r>
            <w:proofErr w:type="spellStart"/>
            <w:r w:rsidR="006A274D" w:rsidRPr="00AA22C4">
              <w:rPr>
                <w:rFonts w:ascii="Lato" w:hAnsi="Lato"/>
                <w:b/>
                <w:bCs/>
                <w:color w:val="000000" w:themeColor="text1"/>
                <w:sz w:val="20"/>
                <w:szCs w:val="20"/>
              </w:rPr>
              <w:t>I</w:t>
            </w:r>
            <w:proofErr w:type="spellEnd"/>
            <w:r w:rsidR="006A274D" w:rsidRPr="00AA22C4">
              <w:rPr>
                <w:rFonts w:ascii="Lato" w:hAnsi="Lato"/>
                <w:b/>
                <w:bCs/>
                <w:color w:val="000000" w:themeColor="text1"/>
                <w:sz w:val="20"/>
                <w:szCs w:val="20"/>
              </w:rPr>
              <w:t xml:space="preserve"> kwartał 2026</w:t>
            </w:r>
            <w:r w:rsidR="00A04888" w:rsidRPr="00AA22C4">
              <w:rPr>
                <w:rFonts w:ascii="Lato" w:hAnsi="Lato"/>
                <w:b/>
                <w:bCs/>
                <w:color w:val="000000" w:themeColor="text1"/>
                <w:sz w:val="20"/>
                <w:szCs w:val="20"/>
              </w:rPr>
              <w:t xml:space="preserve"> r.</w:t>
            </w:r>
          </w:p>
        </w:tc>
      </w:tr>
      <w:tr w:rsidR="00B3776C" w:rsidRPr="00B3776C" w14:paraId="2785CD0F" w14:textId="77777777" w:rsidTr="00DE19D8">
        <w:trPr>
          <w:trHeight w:val="397"/>
        </w:trPr>
        <w:tc>
          <w:tcPr>
            <w:tcW w:w="7236" w:type="dxa"/>
            <w:gridSpan w:val="8"/>
            <w:tcBorders>
              <w:top w:val="single" w:sz="8" w:space="0" w:color="auto"/>
              <w:left w:val="single" w:sz="8" w:space="0" w:color="auto"/>
              <w:bottom w:val="nil"/>
              <w:right w:val="single" w:sz="8" w:space="0" w:color="000000"/>
            </w:tcBorders>
            <w:shd w:val="clear" w:color="auto" w:fill="auto"/>
            <w:vAlign w:val="center"/>
            <w:hideMark/>
          </w:tcPr>
          <w:p w14:paraId="039CF073" w14:textId="77777777" w:rsidR="005E347E" w:rsidRPr="00AA22C4" w:rsidRDefault="005E347E" w:rsidP="00DE19D8">
            <w:pPr>
              <w:widowControl/>
              <w:spacing w:line="240" w:lineRule="auto"/>
              <w:rPr>
                <w:rFonts w:ascii="Lato" w:hAnsi="Lato"/>
                <w:b/>
                <w:bCs/>
                <w:color w:val="000000" w:themeColor="text1"/>
                <w:sz w:val="20"/>
                <w:szCs w:val="20"/>
              </w:rPr>
            </w:pPr>
            <w:r w:rsidRPr="00AA22C4">
              <w:rPr>
                <w:rFonts w:ascii="Lato" w:eastAsia="Courier New" w:hAnsi="Lato"/>
                <w:b/>
                <w:bCs/>
                <w:color w:val="000000" w:themeColor="text1"/>
                <w:sz w:val="20"/>
                <w:szCs w:val="20"/>
              </w:rPr>
              <w:t>Kategoria wydatków</w:t>
            </w:r>
          </w:p>
        </w:tc>
        <w:tc>
          <w:tcPr>
            <w:tcW w:w="2279" w:type="dxa"/>
            <w:gridSpan w:val="4"/>
            <w:tcBorders>
              <w:top w:val="nil"/>
              <w:left w:val="nil"/>
              <w:bottom w:val="nil"/>
              <w:right w:val="single" w:sz="8" w:space="0" w:color="auto"/>
            </w:tcBorders>
            <w:shd w:val="clear" w:color="auto" w:fill="auto"/>
            <w:vAlign w:val="center"/>
            <w:hideMark/>
          </w:tcPr>
          <w:p w14:paraId="36C10FBE" w14:textId="77777777" w:rsidR="005E347E" w:rsidRPr="00AA22C4" w:rsidRDefault="005E347E" w:rsidP="00DE19D8">
            <w:pPr>
              <w:widowControl/>
              <w:spacing w:line="240" w:lineRule="auto"/>
              <w:jc w:val="center"/>
              <w:rPr>
                <w:rFonts w:ascii="Lato" w:hAnsi="Lato"/>
                <w:b/>
                <w:bCs/>
                <w:color w:val="000000" w:themeColor="text1"/>
                <w:sz w:val="20"/>
                <w:szCs w:val="20"/>
              </w:rPr>
            </w:pPr>
            <w:r w:rsidRPr="00AA22C4">
              <w:rPr>
                <w:rFonts w:ascii="Lato" w:eastAsia="Courier New" w:hAnsi="Lato"/>
                <w:b/>
                <w:bCs/>
                <w:color w:val="000000" w:themeColor="text1"/>
                <w:sz w:val="20"/>
                <w:szCs w:val="20"/>
              </w:rPr>
              <w:t>Łączny koszt zakupu testów w zł</w:t>
            </w:r>
          </w:p>
        </w:tc>
      </w:tr>
      <w:tr w:rsidR="00B3776C" w:rsidRPr="00B3776C" w14:paraId="4C23D462" w14:textId="77777777" w:rsidTr="00DE19D8">
        <w:trPr>
          <w:trHeight w:val="567"/>
        </w:trPr>
        <w:tc>
          <w:tcPr>
            <w:tcW w:w="7236" w:type="dxa"/>
            <w:gridSpan w:val="8"/>
            <w:tcBorders>
              <w:top w:val="single" w:sz="8" w:space="0" w:color="auto"/>
              <w:left w:val="single" w:sz="8" w:space="0" w:color="auto"/>
              <w:bottom w:val="single" w:sz="8" w:space="0" w:color="auto"/>
              <w:right w:val="nil"/>
            </w:tcBorders>
            <w:shd w:val="clear" w:color="auto" w:fill="auto"/>
            <w:vAlign w:val="center"/>
            <w:hideMark/>
          </w:tcPr>
          <w:p w14:paraId="5318748A" w14:textId="77777777" w:rsidR="005E347E" w:rsidRPr="00AA22C4" w:rsidRDefault="005E347E" w:rsidP="00DE19D8">
            <w:pPr>
              <w:widowControl/>
              <w:spacing w:line="240" w:lineRule="auto"/>
              <w:rPr>
                <w:rFonts w:ascii="Lato" w:hAnsi="Lato"/>
                <w:color w:val="000000" w:themeColor="text1"/>
                <w:sz w:val="20"/>
                <w:szCs w:val="20"/>
              </w:rPr>
            </w:pPr>
            <w:r w:rsidRPr="00AA22C4">
              <w:rPr>
                <w:rFonts w:ascii="Lato" w:eastAsia="Courier New" w:hAnsi="Lato"/>
                <w:color w:val="000000" w:themeColor="text1"/>
                <w:sz w:val="20"/>
                <w:szCs w:val="20"/>
              </w:rPr>
              <w:t xml:space="preserve">Koszt testów diagnostycznych i odczynników do badań przesiewowych </w:t>
            </w:r>
          </w:p>
        </w:tc>
        <w:tc>
          <w:tcPr>
            <w:tcW w:w="2279" w:type="dxa"/>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14:paraId="6C3BC5E5" w14:textId="431E025A" w:rsidR="005E347E" w:rsidRPr="00AA22C4" w:rsidRDefault="005C78C1" w:rsidP="00DE19D8">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12 120 100</w:t>
            </w:r>
          </w:p>
        </w:tc>
      </w:tr>
      <w:tr w:rsidR="00B3776C" w:rsidRPr="00B3776C" w14:paraId="483FF9A8" w14:textId="77777777" w:rsidTr="00DE19D8">
        <w:trPr>
          <w:trHeight w:val="567"/>
        </w:trPr>
        <w:tc>
          <w:tcPr>
            <w:tcW w:w="7236" w:type="dxa"/>
            <w:gridSpan w:val="8"/>
            <w:tcBorders>
              <w:top w:val="single" w:sz="8" w:space="0" w:color="auto"/>
              <w:left w:val="single" w:sz="8" w:space="0" w:color="auto"/>
              <w:bottom w:val="single" w:sz="8" w:space="0" w:color="auto"/>
              <w:right w:val="nil"/>
            </w:tcBorders>
            <w:shd w:val="clear" w:color="auto" w:fill="AEAAAA"/>
            <w:vAlign w:val="center"/>
            <w:hideMark/>
          </w:tcPr>
          <w:p w14:paraId="1597868D" w14:textId="4CDEC30C" w:rsidR="005E347E" w:rsidRPr="00AA22C4" w:rsidRDefault="005E347E" w:rsidP="00DE19D8">
            <w:pPr>
              <w:widowControl/>
              <w:spacing w:line="240" w:lineRule="auto"/>
              <w:jc w:val="center"/>
              <w:rPr>
                <w:rFonts w:ascii="Lato" w:hAnsi="Lato"/>
                <w:b/>
                <w:bCs/>
                <w:color w:val="000000" w:themeColor="text1"/>
                <w:sz w:val="22"/>
                <w:szCs w:val="22"/>
              </w:rPr>
            </w:pPr>
            <w:r w:rsidRPr="00AA22C4">
              <w:rPr>
                <w:rFonts w:ascii="Lato" w:hAnsi="Lato"/>
                <w:b/>
                <w:bCs/>
                <w:color w:val="000000" w:themeColor="text1"/>
                <w:sz w:val="22"/>
                <w:szCs w:val="22"/>
              </w:rPr>
              <w:t xml:space="preserve">Koszt całkowity badań pilotażowych w 2025 </w:t>
            </w:r>
            <w:r w:rsidR="00170996" w:rsidRPr="00AA22C4">
              <w:rPr>
                <w:rFonts w:ascii="Lato" w:hAnsi="Lato"/>
                <w:b/>
                <w:bCs/>
                <w:color w:val="000000" w:themeColor="text1"/>
                <w:sz w:val="22"/>
                <w:szCs w:val="22"/>
              </w:rPr>
              <w:t xml:space="preserve">r. </w:t>
            </w:r>
            <w:r w:rsidRPr="00AA22C4">
              <w:rPr>
                <w:rFonts w:ascii="Lato" w:hAnsi="Lato"/>
                <w:b/>
                <w:bCs/>
                <w:color w:val="000000" w:themeColor="text1"/>
                <w:sz w:val="22"/>
                <w:szCs w:val="22"/>
              </w:rPr>
              <w:t>w zł</w:t>
            </w:r>
          </w:p>
        </w:tc>
        <w:tc>
          <w:tcPr>
            <w:tcW w:w="2279" w:type="dxa"/>
            <w:gridSpan w:val="4"/>
            <w:tcBorders>
              <w:top w:val="single" w:sz="8" w:space="0" w:color="auto"/>
              <w:left w:val="single" w:sz="8" w:space="0" w:color="auto"/>
              <w:bottom w:val="single" w:sz="8" w:space="0" w:color="auto"/>
              <w:right w:val="single" w:sz="8" w:space="0" w:color="auto"/>
            </w:tcBorders>
            <w:shd w:val="clear" w:color="auto" w:fill="AEAAAA"/>
            <w:vAlign w:val="center"/>
          </w:tcPr>
          <w:p w14:paraId="7111859E" w14:textId="7A45D3A1" w:rsidR="005E347E" w:rsidRPr="00AA22C4" w:rsidRDefault="005C78C1" w:rsidP="00DE19D8">
            <w:pPr>
              <w:widowControl/>
              <w:spacing w:line="240" w:lineRule="auto"/>
              <w:jc w:val="center"/>
              <w:rPr>
                <w:rFonts w:ascii="Lato" w:eastAsia="Arial" w:hAnsi="Lato" w:cs="Arial"/>
                <w:b/>
                <w:color w:val="000000" w:themeColor="text1"/>
                <w:sz w:val="22"/>
                <w:szCs w:val="22"/>
              </w:rPr>
            </w:pPr>
            <w:r w:rsidRPr="00AA22C4">
              <w:rPr>
                <w:rFonts w:ascii="Lato" w:eastAsia="Arial" w:hAnsi="Lato" w:cs="Arial"/>
                <w:b/>
                <w:color w:val="000000" w:themeColor="text1"/>
                <w:sz w:val="22"/>
                <w:szCs w:val="22"/>
              </w:rPr>
              <w:t>19 101 900</w:t>
            </w:r>
          </w:p>
        </w:tc>
      </w:tr>
    </w:tbl>
    <w:p w14:paraId="56B19D49" w14:textId="2566F3CA" w:rsidR="005B4F14" w:rsidRPr="00AA22C4" w:rsidRDefault="00B1261D" w:rsidP="005B4F14">
      <w:pPr>
        <w:tabs>
          <w:tab w:val="left" w:pos="5004"/>
        </w:tabs>
        <w:rPr>
          <w:rFonts w:ascii="Lato" w:hAnsi="Lato"/>
          <w:color w:val="000000" w:themeColor="text1"/>
          <w:sz w:val="20"/>
          <w:szCs w:val="20"/>
        </w:rPr>
      </w:pPr>
      <w:r w:rsidRPr="00AA22C4">
        <w:rPr>
          <w:rFonts w:ascii="Lato" w:hAnsi="Lato"/>
          <w:color w:val="000000" w:themeColor="text1"/>
          <w:sz w:val="28"/>
          <w:szCs w:val="28"/>
        </w:rPr>
        <w:t>*</w:t>
      </w:r>
      <w:r w:rsidR="005B4F14" w:rsidRPr="00AA22C4">
        <w:rPr>
          <w:rFonts w:ascii="Lato" w:hAnsi="Lato"/>
          <w:color w:val="000000" w:themeColor="text1"/>
          <w:sz w:val="28"/>
          <w:szCs w:val="28"/>
        </w:rPr>
        <w:t>*</w:t>
      </w:r>
      <w:r w:rsidR="005B4F14" w:rsidRPr="00AA22C4">
        <w:rPr>
          <w:rFonts w:ascii="Lato" w:hAnsi="Lato"/>
          <w:color w:val="000000" w:themeColor="text1"/>
          <w:sz w:val="20"/>
          <w:szCs w:val="20"/>
        </w:rPr>
        <w:t>o</w:t>
      </w:r>
      <w:r w:rsidRPr="00AA22C4">
        <w:rPr>
          <w:rFonts w:ascii="Lato" w:hAnsi="Lato"/>
          <w:color w:val="000000" w:themeColor="text1"/>
          <w:sz w:val="20"/>
          <w:szCs w:val="20"/>
        </w:rPr>
        <w:t>bejmuje szacunkowy koszt badań genetycznych w etapie diagnostyki różnicowej i potwierdzenia</w:t>
      </w:r>
    </w:p>
    <w:p w14:paraId="4202F138" w14:textId="77777777" w:rsidR="003F05E7" w:rsidRPr="00AA22C4" w:rsidRDefault="003F05E7" w:rsidP="005B4F14">
      <w:pPr>
        <w:tabs>
          <w:tab w:val="left" w:pos="5004"/>
        </w:tabs>
        <w:rPr>
          <w:rFonts w:ascii="Lato" w:hAnsi="Lato"/>
          <w:color w:val="000000" w:themeColor="text1"/>
          <w:sz w:val="20"/>
          <w:szCs w:val="20"/>
        </w:rPr>
      </w:pPr>
    </w:p>
    <w:p w14:paraId="57CF5F7C" w14:textId="12B30BE8" w:rsidR="00222AB9" w:rsidRPr="00AA22C4" w:rsidRDefault="00856E79" w:rsidP="00856E79">
      <w:pPr>
        <w:tabs>
          <w:tab w:val="left" w:pos="5004"/>
        </w:tabs>
        <w:jc w:val="center"/>
        <w:rPr>
          <w:rFonts w:ascii="Lato" w:hAnsi="Lato"/>
          <w:color w:val="000000" w:themeColor="text1"/>
          <w:sz w:val="22"/>
          <w:szCs w:val="22"/>
        </w:rPr>
      </w:pPr>
      <w:r w:rsidRPr="00AA22C4">
        <w:rPr>
          <w:rFonts w:ascii="Lato" w:eastAsia="Courier New" w:hAnsi="Lato"/>
          <w:b/>
          <w:bCs/>
          <w:color w:val="000000" w:themeColor="text1"/>
          <w:sz w:val="22"/>
          <w:szCs w:val="22"/>
        </w:rPr>
        <w:t xml:space="preserve">ŁĄCZNIE PROGNOZOWANY KOSZTORYS REALIZACJI RZĄDOWEGO PROGRAMU BADAŃ PRZESIEWOWYCH </w:t>
      </w:r>
      <w:r w:rsidR="006B7116" w:rsidRPr="00AA22C4">
        <w:rPr>
          <w:rFonts w:ascii="Lato" w:eastAsia="Courier New" w:hAnsi="Lato"/>
          <w:b/>
          <w:bCs/>
          <w:color w:val="000000" w:themeColor="text1"/>
          <w:sz w:val="22"/>
          <w:szCs w:val="22"/>
        </w:rPr>
        <w:t>NOWORODKÓW NA</w:t>
      </w:r>
      <w:r w:rsidRPr="00AA22C4">
        <w:rPr>
          <w:rFonts w:ascii="Lato" w:eastAsia="Courier New" w:hAnsi="Lato"/>
          <w:b/>
          <w:bCs/>
          <w:color w:val="000000" w:themeColor="text1"/>
          <w:sz w:val="22"/>
          <w:szCs w:val="22"/>
        </w:rPr>
        <w:t xml:space="preserve"> 2025</w:t>
      </w:r>
      <w:r w:rsidR="00A04888" w:rsidRPr="00AA22C4">
        <w:rPr>
          <w:rFonts w:ascii="Lato" w:eastAsia="Courier New" w:hAnsi="Lato"/>
          <w:b/>
          <w:bCs/>
          <w:color w:val="000000" w:themeColor="text1"/>
          <w:sz w:val="22"/>
          <w:szCs w:val="22"/>
        </w:rPr>
        <w:t xml:space="preserve"> R.</w:t>
      </w:r>
    </w:p>
    <w:tbl>
      <w:tblPr>
        <w:tblStyle w:val="Tabela-Siatka"/>
        <w:tblW w:w="9493" w:type="dxa"/>
        <w:shd w:val="clear" w:color="auto" w:fill="A6A6A6" w:themeFill="background1" w:themeFillShade="A6"/>
        <w:tblLook w:val="04A0" w:firstRow="1" w:lastRow="0" w:firstColumn="1" w:lastColumn="0" w:noHBand="0" w:noVBand="1"/>
      </w:tblPr>
      <w:tblGrid>
        <w:gridCol w:w="7225"/>
        <w:gridCol w:w="2268"/>
      </w:tblGrid>
      <w:tr w:rsidR="00B3776C" w:rsidRPr="00B3776C" w14:paraId="347BCCC3" w14:textId="77777777" w:rsidTr="00222AB9">
        <w:trPr>
          <w:trHeight w:val="510"/>
        </w:trPr>
        <w:tc>
          <w:tcPr>
            <w:tcW w:w="7225" w:type="dxa"/>
            <w:shd w:val="clear" w:color="auto" w:fill="auto"/>
            <w:vAlign w:val="center"/>
          </w:tcPr>
          <w:p w14:paraId="638EE2E2" w14:textId="60B9B8BA" w:rsidR="00222AB9" w:rsidRPr="00AA22C4" w:rsidRDefault="00222AB9" w:rsidP="006B7116">
            <w:pPr>
              <w:tabs>
                <w:tab w:val="left" w:pos="5004"/>
              </w:tabs>
              <w:spacing w:line="240" w:lineRule="auto"/>
              <w:rPr>
                <w:rFonts w:ascii="Lato" w:hAnsi="Lato"/>
                <w:color w:val="000000" w:themeColor="text1"/>
                <w:sz w:val="20"/>
                <w:szCs w:val="20"/>
                <w:lang w:eastAsia="pl-PL"/>
              </w:rPr>
            </w:pPr>
            <w:r w:rsidRPr="00AA22C4">
              <w:rPr>
                <w:rFonts w:ascii="Lato" w:hAnsi="Lato"/>
                <w:color w:val="000000" w:themeColor="text1"/>
                <w:sz w:val="20"/>
                <w:szCs w:val="20"/>
                <w:lang w:eastAsia="pl-PL"/>
              </w:rPr>
              <w:t>Koszt całkowity badań przesiewowych podstawowych</w:t>
            </w:r>
          </w:p>
        </w:tc>
        <w:tc>
          <w:tcPr>
            <w:tcW w:w="2268" w:type="dxa"/>
            <w:shd w:val="clear" w:color="auto" w:fill="auto"/>
            <w:vAlign w:val="center"/>
          </w:tcPr>
          <w:p w14:paraId="7BA2ED70" w14:textId="7B35F80E" w:rsidR="00222AB9" w:rsidRPr="00AA22C4" w:rsidRDefault="00222AB9" w:rsidP="006B7116">
            <w:pPr>
              <w:tabs>
                <w:tab w:val="left" w:pos="5004"/>
              </w:tabs>
              <w:spacing w:line="240" w:lineRule="auto"/>
              <w:jc w:val="center"/>
              <w:rPr>
                <w:rFonts w:ascii="Lato" w:hAnsi="Lato"/>
                <w:color w:val="000000" w:themeColor="text1"/>
                <w:sz w:val="20"/>
                <w:szCs w:val="20"/>
                <w:lang w:eastAsia="pl-PL"/>
              </w:rPr>
            </w:pPr>
            <w:r w:rsidRPr="00AA22C4">
              <w:rPr>
                <w:rFonts w:ascii="Lato" w:hAnsi="Lato"/>
                <w:color w:val="000000" w:themeColor="text1"/>
                <w:sz w:val="20"/>
                <w:szCs w:val="20"/>
                <w:lang w:eastAsia="pl-PL"/>
              </w:rPr>
              <w:t>41 271</w:t>
            </w:r>
            <w:r w:rsidR="00856E79" w:rsidRPr="00AA22C4">
              <w:rPr>
                <w:rFonts w:ascii="Lato" w:hAnsi="Lato"/>
                <w:color w:val="000000" w:themeColor="text1"/>
                <w:sz w:val="20"/>
                <w:szCs w:val="20"/>
                <w:lang w:eastAsia="pl-PL"/>
              </w:rPr>
              <w:t> </w:t>
            </w:r>
            <w:r w:rsidR="00444A5A" w:rsidRPr="00AA22C4">
              <w:rPr>
                <w:rFonts w:ascii="Lato" w:hAnsi="Lato"/>
                <w:color w:val="000000" w:themeColor="text1"/>
                <w:sz w:val="20"/>
                <w:szCs w:val="20"/>
                <w:lang w:eastAsia="pl-PL"/>
              </w:rPr>
              <w:t>5</w:t>
            </w:r>
            <w:r w:rsidRPr="00AA22C4">
              <w:rPr>
                <w:rFonts w:ascii="Lato" w:hAnsi="Lato"/>
                <w:color w:val="000000" w:themeColor="text1"/>
                <w:sz w:val="20"/>
                <w:szCs w:val="20"/>
                <w:lang w:eastAsia="pl-PL"/>
              </w:rPr>
              <w:t>35</w:t>
            </w:r>
            <w:r w:rsidR="00856E79" w:rsidRPr="00AA22C4">
              <w:rPr>
                <w:rFonts w:ascii="Lato" w:hAnsi="Lato"/>
                <w:color w:val="000000" w:themeColor="text1"/>
                <w:sz w:val="20"/>
                <w:szCs w:val="20"/>
                <w:lang w:eastAsia="pl-PL"/>
              </w:rPr>
              <w:t xml:space="preserve"> zł</w:t>
            </w:r>
          </w:p>
        </w:tc>
      </w:tr>
      <w:tr w:rsidR="00B3776C" w:rsidRPr="00B3776C" w14:paraId="6860961A" w14:textId="77777777" w:rsidTr="00222AB9">
        <w:trPr>
          <w:trHeight w:val="510"/>
        </w:trPr>
        <w:tc>
          <w:tcPr>
            <w:tcW w:w="7225" w:type="dxa"/>
            <w:shd w:val="clear" w:color="auto" w:fill="auto"/>
            <w:vAlign w:val="center"/>
          </w:tcPr>
          <w:p w14:paraId="643FDF67" w14:textId="4FF0924F" w:rsidR="00222AB9" w:rsidRPr="00AA22C4" w:rsidRDefault="00222AB9" w:rsidP="006B7116">
            <w:pPr>
              <w:tabs>
                <w:tab w:val="left" w:pos="5004"/>
              </w:tabs>
              <w:spacing w:line="240" w:lineRule="auto"/>
              <w:rPr>
                <w:rFonts w:ascii="Lato" w:hAnsi="Lato"/>
                <w:color w:val="000000" w:themeColor="text1"/>
                <w:sz w:val="20"/>
                <w:szCs w:val="20"/>
                <w:lang w:eastAsia="pl-PL"/>
              </w:rPr>
            </w:pPr>
            <w:r w:rsidRPr="00AA22C4">
              <w:rPr>
                <w:rFonts w:ascii="Lato" w:hAnsi="Lato"/>
                <w:color w:val="000000" w:themeColor="text1"/>
                <w:sz w:val="20"/>
                <w:szCs w:val="20"/>
                <w:lang w:eastAsia="pl-PL"/>
              </w:rPr>
              <w:t>Koszt całkowity badań pilotażowych</w:t>
            </w:r>
          </w:p>
        </w:tc>
        <w:tc>
          <w:tcPr>
            <w:tcW w:w="2268" w:type="dxa"/>
            <w:shd w:val="clear" w:color="auto" w:fill="auto"/>
            <w:vAlign w:val="center"/>
          </w:tcPr>
          <w:p w14:paraId="016A5C39" w14:textId="4E192C5E" w:rsidR="00222AB9" w:rsidRPr="00AA22C4" w:rsidRDefault="00222AB9" w:rsidP="006B7116">
            <w:pPr>
              <w:tabs>
                <w:tab w:val="left" w:pos="5004"/>
              </w:tabs>
              <w:spacing w:line="240" w:lineRule="auto"/>
              <w:jc w:val="center"/>
              <w:rPr>
                <w:rFonts w:ascii="Lato" w:hAnsi="Lato"/>
                <w:color w:val="000000" w:themeColor="text1"/>
                <w:sz w:val="20"/>
                <w:szCs w:val="20"/>
                <w:lang w:eastAsia="pl-PL"/>
              </w:rPr>
            </w:pPr>
            <w:r w:rsidRPr="00AA22C4">
              <w:rPr>
                <w:rFonts w:ascii="Lato" w:hAnsi="Lato"/>
                <w:color w:val="000000" w:themeColor="text1"/>
                <w:sz w:val="20"/>
                <w:szCs w:val="20"/>
                <w:lang w:eastAsia="pl-PL"/>
              </w:rPr>
              <w:t>19 101</w:t>
            </w:r>
            <w:r w:rsidR="00856E79" w:rsidRPr="00AA22C4">
              <w:rPr>
                <w:rFonts w:ascii="Lato" w:hAnsi="Lato"/>
                <w:color w:val="000000" w:themeColor="text1"/>
                <w:sz w:val="20"/>
                <w:szCs w:val="20"/>
                <w:lang w:eastAsia="pl-PL"/>
              </w:rPr>
              <w:t> </w:t>
            </w:r>
            <w:r w:rsidRPr="00AA22C4">
              <w:rPr>
                <w:rFonts w:ascii="Lato" w:hAnsi="Lato"/>
                <w:color w:val="000000" w:themeColor="text1"/>
                <w:sz w:val="20"/>
                <w:szCs w:val="20"/>
                <w:lang w:eastAsia="pl-PL"/>
              </w:rPr>
              <w:t>900</w:t>
            </w:r>
            <w:r w:rsidR="00856E79" w:rsidRPr="00AA22C4">
              <w:rPr>
                <w:rFonts w:ascii="Lato" w:hAnsi="Lato"/>
                <w:color w:val="000000" w:themeColor="text1"/>
                <w:sz w:val="20"/>
                <w:szCs w:val="20"/>
                <w:lang w:eastAsia="pl-PL"/>
              </w:rPr>
              <w:t xml:space="preserve"> zł</w:t>
            </w:r>
          </w:p>
        </w:tc>
      </w:tr>
      <w:tr w:rsidR="00B3776C" w:rsidRPr="00B3776C" w14:paraId="5034D5C3" w14:textId="77777777" w:rsidTr="00222AB9">
        <w:trPr>
          <w:trHeight w:val="510"/>
        </w:trPr>
        <w:tc>
          <w:tcPr>
            <w:tcW w:w="7225" w:type="dxa"/>
            <w:shd w:val="clear" w:color="auto" w:fill="A6A6A6" w:themeFill="background1" w:themeFillShade="A6"/>
            <w:vAlign w:val="center"/>
          </w:tcPr>
          <w:p w14:paraId="0C6B1E0C" w14:textId="01C9978B" w:rsidR="00222AB9" w:rsidRPr="00AA22C4" w:rsidRDefault="00222AB9" w:rsidP="004E62F6">
            <w:pPr>
              <w:widowControl/>
              <w:spacing w:line="240" w:lineRule="auto"/>
              <w:jc w:val="center"/>
              <w:rPr>
                <w:rFonts w:ascii="Lato" w:hAnsi="Lato"/>
                <w:b/>
                <w:bCs/>
                <w:color w:val="000000" w:themeColor="text1"/>
                <w:sz w:val="22"/>
                <w:szCs w:val="22"/>
                <w:lang w:eastAsia="pl-PL"/>
              </w:rPr>
            </w:pPr>
            <w:r w:rsidRPr="00AA22C4">
              <w:rPr>
                <w:rFonts w:ascii="Lato" w:hAnsi="Lato"/>
                <w:b/>
                <w:bCs/>
                <w:color w:val="000000" w:themeColor="text1"/>
                <w:sz w:val="22"/>
                <w:szCs w:val="22"/>
                <w:lang w:eastAsia="pl-PL"/>
              </w:rPr>
              <w:t>Łączny planowany koszt Programu w 2025</w:t>
            </w:r>
            <w:r w:rsidR="00856E79" w:rsidRPr="00AA22C4">
              <w:rPr>
                <w:rFonts w:ascii="Lato" w:hAnsi="Lato"/>
                <w:b/>
                <w:bCs/>
                <w:color w:val="000000" w:themeColor="text1"/>
                <w:sz w:val="22"/>
                <w:szCs w:val="22"/>
                <w:lang w:eastAsia="pl-PL"/>
              </w:rPr>
              <w:t xml:space="preserve"> r.</w:t>
            </w:r>
          </w:p>
        </w:tc>
        <w:tc>
          <w:tcPr>
            <w:tcW w:w="2268" w:type="dxa"/>
            <w:shd w:val="clear" w:color="auto" w:fill="A6A6A6" w:themeFill="background1" w:themeFillShade="A6"/>
            <w:vAlign w:val="center"/>
          </w:tcPr>
          <w:p w14:paraId="046C7799" w14:textId="607A193C" w:rsidR="00222AB9" w:rsidRPr="00AA22C4" w:rsidRDefault="00222AB9" w:rsidP="004E62F6">
            <w:pPr>
              <w:widowControl/>
              <w:spacing w:line="240" w:lineRule="auto"/>
              <w:jc w:val="center"/>
              <w:rPr>
                <w:rFonts w:ascii="Lato" w:hAnsi="Lato"/>
                <w:b/>
                <w:bCs/>
                <w:color w:val="000000" w:themeColor="text1"/>
                <w:sz w:val="22"/>
                <w:szCs w:val="22"/>
                <w:lang w:eastAsia="pl-PL"/>
              </w:rPr>
            </w:pPr>
            <w:r w:rsidRPr="00AA22C4">
              <w:rPr>
                <w:rFonts w:ascii="Lato" w:hAnsi="Lato"/>
                <w:b/>
                <w:bCs/>
                <w:color w:val="000000" w:themeColor="text1"/>
                <w:sz w:val="22"/>
                <w:szCs w:val="22"/>
                <w:lang w:eastAsia="pl-PL"/>
              </w:rPr>
              <w:t>60 373 </w:t>
            </w:r>
            <w:r w:rsidR="00444A5A" w:rsidRPr="00AA22C4">
              <w:rPr>
                <w:rFonts w:ascii="Lato" w:hAnsi="Lato"/>
                <w:b/>
                <w:bCs/>
                <w:color w:val="000000" w:themeColor="text1"/>
                <w:sz w:val="22"/>
                <w:szCs w:val="22"/>
                <w:lang w:eastAsia="pl-PL"/>
              </w:rPr>
              <w:t>4</w:t>
            </w:r>
            <w:r w:rsidRPr="00AA22C4">
              <w:rPr>
                <w:rFonts w:ascii="Lato" w:hAnsi="Lato"/>
                <w:b/>
                <w:bCs/>
                <w:color w:val="000000" w:themeColor="text1"/>
                <w:sz w:val="22"/>
                <w:szCs w:val="22"/>
                <w:lang w:eastAsia="pl-PL"/>
              </w:rPr>
              <w:t xml:space="preserve">35 </w:t>
            </w:r>
            <w:r w:rsidR="00856E79" w:rsidRPr="00AA22C4">
              <w:rPr>
                <w:rFonts w:ascii="Lato" w:hAnsi="Lato"/>
                <w:b/>
                <w:bCs/>
                <w:color w:val="000000" w:themeColor="text1"/>
                <w:sz w:val="22"/>
                <w:szCs w:val="22"/>
                <w:lang w:eastAsia="pl-PL"/>
              </w:rPr>
              <w:t>zł</w:t>
            </w:r>
          </w:p>
        </w:tc>
      </w:tr>
    </w:tbl>
    <w:p w14:paraId="7D4281A0" w14:textId="257B3D41" w:rsidR="003F05E7" w:rsidRPr="00AA22C4" w:rsidRDefault="003F05E7" w:rsidP="005B4F14">
      <w:pPr>
        <w:tabs>
          <w:tab w:val="left" w:pos="5004"/>
        </w:tabs>
        <w:rPr>
          <w:rFonts w:ascii="Lato" w:hAnsi="Lato"/>
          <w:color w:val="000000" w:themeColor="text1"/>
        </w:rPr>
      </w:pPr>
    </w:p>
    <w:tbl>
      <w:tblPr>
        <w:tblpPr w:leftFromText="141" w:rightFromText="141" w:horzAnchor="margin" w:tblpY="-1548"/>
        <w:tblW w:w="9195" w:type="dxa"/>
        <w:tblCellMar>
          <w:left w:w="70" w:type="dxa"/>
          <w:right w:w="70" w:type="dxa"/>
        </w:tblCellMar>
        <w:tblLook w:val="04A0" w:firstRow="1" w:lastRow="0" w:firstColumn="1" w:lastColumn="0" w:noHBand="0" w:noVBand="1"/>
      </w:tblPr>
      <w:tblGrid>
        <w:gridCol w:w="819"/>
        <w:gridCol w:w="4082"/>
        <w:gridCol w:w="2288"/>
        <w:gridCol w:w="2006"/>
      </w:tblGrid>
      <w:tr w:rsidR="00B3776C" w:rsidRPr="00B3776C" w14:paraId="70A37138" w14:textId="77777777" w:rsidTr="0013416F">
        <w:trPr>
          <w:trHeight w:val="900"/>
        </w:trPr>
        <w:tc>
          <w:tcPr>
            <w:tcW w:w="9195" w:type="dxa"/>
            <w:gridSpan w:val="4"/>
            <w:tcBorders>
              <w:top w:val="nil"/>
              <w:left w:val="nil"/>
              <w:bottom w:val="nil"/>
              <w:right w:val="nil"/>
            </w:tcBorders>
            <w:shd w:val="clear" w:color="auto" w:fill="auto"/>
            <w:vAlign w:val="center"/>
            <w:hideMark/>
          </w:tcPr>
          <w:p w14:paraId="57CCB8E0" w14:textId="77777777" w:rsidR="005E347E" w:rsidRPr="00AA22C4" w:rsidRDefault="005E347E" w:rsidP="0013416F">
            <w:pPr>
              <w:widowControl/>
              <w:spacing w:line="240" w:lineRule="auto"/>
              <w:jc w:val="center"/>
              <w:rPr>
                <w:rFonts w:ascii="Lato" w:eastAsia="Courier New" w:hAnsi="Lato"/>
                <w:b/>
                <w:bCs/>
                <w:color w:val="000000" w:themeColor="text1"/>
                <w:sz w:val="22"/>
                <w:szCs w:val="22"/>
              </w:rPr>
            </w:pPr>
          </w:p>
          <w:p w14:paraId="63DD411D" w14:textId="77777777" w:rsidR="005E347E" w:rsidRPr="00AA22C4" w:rsidRDefault="005E347E" w:rsidP="0013416F">
            <w:pPr>
              <w:widowControl/>
              <w:spacing w:line="240" w:lineRule="auto"/>
              <w:jc w:val="center"/>
              <w:rPr>
                <w:rFonts w:ascii="Lato" w:eastAsia="Courier New" w:hAnsi="Lato"/>
                <w:b/>
                <w:bCs/>
                <w:color w:val="000000" w:themeColor="text1"/>
                <w:sz w:val="22"/>
                <w:szCs w:val="22"/>
              </w:rPr>
            </w:pPr>
          </w:p>
          <w:p w14:paraId="3A17EA46" w14:textId="77777777" w:rsidR="005E347E" w:rsidRPr="00AA22C4" w:rsidRDefault="005E347E" w:rsidP="0013416F">
            <w:pPr>
              <w:widowControl/>
              <w:spacing w:line="240" w:lineRule="auto"/>
              <w:jc w:val="center"/>
              <w:rPr>
                <w:rFonts w:ascii="Lato" w:eastAsia="Courier New" w:hAnsi="Lato"/>
                <w:b/>
                <w:bCs/>
                <w:color w:val="000000" w:themeColor="text1"/>
                <w:sz w:val="22"/>
                <w:szCs w:val="22"/>
              </w:rPr>
            </w:pPr>
          </w:p>
          <w:p w14:paraId="4283591E" w14:textId="77777777" w:rsidR="005E347E" w:rsidRPr="00AA22C4" w:rsidRDefault="005E347E" w:rsidP="0013416F">
            <w:pPr>
              <w:widowControl/>
              <w:spacing w:line="240" w:lineRule="auto"/>
              <w:jc w:val="center"/>
              <w:rPr>
                <w:rFonts w:ascii="Lato" w:eastAsia="Courier New" w:hAnsi="Lato"/>
                <w:b/>
                <w:bCs/>
                <w:color w:val="000000" w:themeColor="text1"/>
                <w:sz w:val="22"/>
                <w:szCs w:val="22"/>
              </w:rPr>
            </w:pPr>
          </w:p>
          <w:p w14:paraId="43FEBDFF" w14:textId="77777777" w:rsidR="005E347E" w:rsidRPr="00AA22C4" w:rsidRDefault="005E347E" w:rsidP="0013416F">
            <w:pPr>
              <w:widowControl/>
              <w:spacing w:line="240" w:lineRule="auto"/>
              <w:jc w:val="center"/>
              <w:rPr>
                <w:rFonts w:ascii="Lato" w:eastAsia="Courier New" w:hAnsi="Lato"/>
                <w:b/>
                <w:bCs/>
                <w:color w:val="000000" w:themeColor="text1"/>
                <w:sz w:val="22"/>
                <w:szCs w:val="22"/>
              </w:rPr>
            </w:pPr>
          </w:p>
          <w:p w14:paraId="1ECBC145" w14:textId="77777777" w:rsidR="005E347E" w:rsidRPr="00AA22C4" w:rsidRDefault="005E347E" w:rsidP="0013416F">
            <w:pPr>
              <w:widowControl/>
              <w:spacing w:line="240" w:lineRule="auto"/>
              <w:rPr>
                <w:rFonts w:ascii="Lato" w:eastAsia="Courier New" w:hAnsi="Lato"/>
                <w:b/>
                <w:bCs/>
                <w:color w:val="000000" w:themeColor="text1"/>
                <w:sz w:val="22"/>
                <w:szCs w:val="22"/>
              </w:rPr>
            </w:pPr>
          </w:p>
          <w:p w14:paraId="09C2418C" w14:textId="3DD6AE2D" w:rsidR="005E347E" w:rsidRPr="00AA22C4" w:rsidRDefault="005E347E" w:rsidP="0013416F">
            <w:pPr>
              <w:widowControl/>
              <w:spacing w:line="240" w:lineRule="auto"/>
              <w:jc w:val="center"/>
              <w:rPr>
                <w:rFonts w:ascii="Lato" w:hAnsi="Lato"/>
                <w:b/>
                <w:color w:val="000000" w:themeColor="text1"/>
                <w:sz w:val="22"/>
                <w:szCs w:val="22"/>
              </w:rPr>
            </w:pPr>
            <w:r w:rsidRPr="00AA22C4">
              <w:rPr>
                <w:rFonts w:ascii="Lato" w:eastAsia="Courier New" w:hAnsi="Lato"/>
                <w:b/>
                <w:bCs/>
                <w:color w:val="000000" w:themeColor="text1"/>
                <w:sz w:val="22"/>
                <w:szCs w:val="22"/>
              </w:rPr>
              <w:t>PROGNOZOWANY KOSZTORYS REALIZACJI RZĄDOWEGO PROGRAMU BADAŃ PRZESIEWOWYCH NOWORODKÓW NA</w:t>
            </w:r>
            <w:r w:rsidR="00A04888" w:rsidRPr="00AA22C4">
              <w:rPr>
                <w:rFonts w:ascii="Lato" w:eastAsia="Courier New" w:hAnsi="Lato"/>
                <w:b/>
                <w:bCs/>
                <w:color w:val="000000" w:themeColor="text1"/>
                <w:sz w:val="22"/>
                <w:szCs w:val="22"/>
              </w:rPr>
              <w:t xml:space="preserve"> </w:t>
            </w:r>
            <w:r w:rsidRPr="00AA22C4">
              <w:rPr>
                <w:rFonts w:ascii="Lato" w:eastAsia="Courier New" w:hAnsi="Lato"/>
                <w:b/>
                <w:bCs/>
                <w:color w:val="000000" w:themeColor="text1"/>
                <w:sz w:val="22"/>
                <w:szCs w:val="22"/>
              </w:rPr>
              <w:t xml:space="preserve">2026 </w:t>
            </w:r>
            <w:r w:rsidR="00A04888" w:rsidRPr="00AA22C4">
              <w:rPr>
                <w:rFonts w:ascii="Lato" w:eastAsia="Courier New" w:hAnsi="Lato"/>
                <w:b/>
                <w:bCs/>
                <w:color w:val="000000" w:themeColor="text1"/>
                <w:sz w:val="22"/>
                <w:szCs w:val="22"/>
              </w:rPr>
              <w:t xml:space="preserve">R. </w:t>
            </w:r>
            <w:r w:rsidRPr="00AA22C4">
              <w:rPr>
                <w:rFonts w:ascii="Lato" w:hAnsi="Lato"/>
                <w:b/>
                <w:color w:val="000000" w:themeColor="text1"/>
                <w:sz w:val="22"/>
                <w:szCs w:val="22"/>
              </w:rPr>
              <w:t>(wydatki bieżące)</w:t>
            </w:r>
            <w:r w:rsidRPr="00AA22C4">
              <w:rPr>
                <w:rStyle w:val="Odwoanieprzypisudolnego"/>
                <w:rFonts w:ascii="Lato" w:hAnsi="Lato"/>
                <w:b/>
                <w:color w:val="000000" w:themeColor="text1"/>
                <w:sz w:val="22"/>
                <w:szCs w:val="22"/>
              </w:rPr>
              <w:footnoteReference w:id="9"/>
            </w:r>
          </w:p>
          <w:p w14:paraId="7C59444A" w14:textId="77777777" w:rsidR="001E30F7" w:rsidRPr="00AA22C4" w:rsidRDefault="001E30F7" w:rsidP="0013416F">
            <w:pPr>
              <w:widowControl/>
              <w:spacing w:line="240" w:lineRule="auto"/>
              <w:jc w:val="center"/>
              <w:rPr>
                <w:rFonts w:ascii="Lato" w:hAnsi="Lato"/>
                <w:b/>
                <w:color w:val="000000" w:themeColor="text1"/>
                <w:sz w:val="22"/>
                <w:szCs w:val="22"/>
              </w:rPr>
            </w:pPr>
          </w:p>
          <w:p w14:paraId="079DC013" w14:textId="77777777" w:rsidR="005E347E" w:rsidRPr="00AA22C4" w:rsidRDefault="005E347E" w:rsidP="0013416F">
            <w:pPr>
              <w:widowControl/>
              <w:spacing w:line="240" w:lineRule="auto"/>
              <w:jc w:val="center"/>
              <w:rPr>
                <w:rFonts w:ascii="Lato" w:eastAsia="Courier New" w:hAnsi="Lato"/>
                <w:b/>
                <w:bCs/>
                <w:color w:val="000000" w:themeColor="text1"/>
                <w:sz w:val="22"/>
                <w:szCs w:val="22"/>
              </w:rPr>
            </w:pPr>
          </w:p>
          <w:p w14:paraId="49DE4FAD" w14:textId="77777777" w:rsidR="005E347E" w:rsidRPr="00AA22C4" w:rsidRDefault="005E347E" w:rsidP="0013416F">
            <w:pPr>
              <w:widowControl/>
              <w:spacing w:line="240" w:lineRule="auto"/>
              <w:jc w:val="center"/>
              <w:rPr>
                <w:rFonts w:ascii="Lato" w:hAnsi="Lato"/>
                <w:b/>
                <w:bCs/>
                <w:color w:val="000000" w:themeColor="text1"/>
                <w:sz w:val="22"/>
                <w:szCs w:val="22"/>
              </w:rPr>
            </w:pPr>
          </w:p>
        </w:tc>
      </w:tr>
      <w:tr w:rsidR="00B3776C" w:rsidRPr="00B3776C" w14:paraId="04414A7F" w14:textId="77777777" w:rsidTr="0015358E">
        <w:trPr>
          <w:trHeight w:val="680"/>
        </w:trPr>
        <w:tc>
          <w:tcPr>
            <w:tcW w:w="9195" w:type="dxa"/>
            <w:gridSpan w:val="4"/>
            <w:tcBorders>
              <w:top w:val="single" w:sz="8" w:space="0" w:color="auto"/>
              <w:left w:val="single" w:sz="8" w:space="0" w:color="auto"/>
              <w:bottom w:val="single" w:sz="4" w:space="0" w:color="auto"/>
              <w:right w:val="single" w:sz="8" w:space="0" w:color="000000"/>
            </w:tcBorders>
            <w:shd w:val="clear" w:color="auto" w:fill="E7E6E6"/>
            <w:vAlign w:val="center"/>
            <w:hideMark/>
          </w:tcPr>
          <w:p w14:paraId="493B5539" w14:textId="77777777" w:rsidR="005E347E" w:rsidRPr="00AA22C4" w:rsidRDefault="005E347E" w:rsidP="0013416F">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Koszty laboratoryjne</w:t>
            </w:r>
          </w:p>
        </w:tc>
      </w:tr>
      <w:tr w:rsidR="00B3776C" w:rsidRPr="00B3776C" w14:paraId="6856F0E4" w14:textId="77777777" w:rsidTr="0013416F">
        <w:trPr>
          <w:trHeight w:val="794"/>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D394FF" w14:textId="77777777" w:rsidR="005E347E" w:rsidRPr="00AA22C4" w:rsidRDefault="005E347E" w:rsidP="0013416F">
            <w:pPr>
              <w:widowControl/>
              <w:spacing w:line="240" w:lineRule="auto"/>
              <w:jc w:val="center"/>
              <w:rPr>
                <w:rFonts w:ascii="Lato" w:hAnsi="Lato"/>
                <w:b/>
                <w:bCs/>
                <w:color w:val="000000" w:themeColor="text1"/>
                <w:sz w:val="20"/>
                <w:szCs w:val="20"/>
              </w:rPr>
            </w:pPr>
            <w:r w:rsidRPr="00AA22C4">
              <w:rPr>
                <w:rFonts w:ascii="Lato" w:eastAsia="Lucida Sans Unicode" w:hAnsi="Lato"/>
                <w:b/>
                <w:bCs/>
                <w:color w:val="000000" w:themeColor="text1"/>
                <w:sz w:val="20"/>
                <w:szCs w:val="20"/>
              </w:rPr>
              <w:t>Poz.</w:t>
            </w:r>
          </w:p>
        </w:tc>
        <w:tc>
          <w:tcPr>
            <w:tcW w:w="4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7D094" w14:textId="77777777" w:rsidR="005E347E" w:rsidRPr="00AA22C4" w:rsidRDefault="005E347E" w:rsidP="0013416F">
            <w:pPr>
              <w:widowControl/>
              <w:spacing w:line="240" w:lineRule="auto"/>
              <w:jc w:val="center"/>
              <w:rPr>
                <w:rFonts w:ascii="Lato" w:hAnsi="Lato"/>
                <w:b/>
                <w:bCs/>
                <w:color w:val="000000" w:themeColor="text1"/>
                <w:sz w:val="20"/>
                <w:szCs w:val="20"/>
              </w:rPr>
            </w:pPr>
            <w:r w:rsidRPr="00AA22C4">
              <w:rPr>
                <w:rFonts w:ascii="Lato" w:eastAsia="Lucida Sans Unicode" w:hAnsi="Lato"/>
                <w:b/>
                <w:bCs/>
                <w:color w:val="000000" w:themeColor="text1"/>
                <w:sz w:val="20"/>
                <w:szCs w:val="20"/>
              </w:rPr>
              <w:t>Rodzaj badania</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9A4B8" w14:textId="77777777" w:rsidR="005E347E" w:rsidRPr="00AA22C4" w:rsidRDefault="005E347E" w:rsidP="0013416F">
            <w:pPr>
              <w:widowControl/>
              <w:spacing w:line="240" w:lineRule="auto"/>
              <w:jc w:val="center"/>
              <w:rPr>
                <w:rFonts w:ascii="Lato" w:hAnsi="Lato"/>
                <w:b/>
                <w:bCs/>
                <w:color w:val="000000" w:themeColor="text1"/>
                <w:sz w:val="20"/>
                <w:szCs w:val="20"/>
              </w:rPr>
            </w:pPr>
            <w:r w:rsidRPr="00AA22C4">
              <w:rPr>
                <w:rFonts w:ascii="Lato" w:eastAsia="Lucida Sans Unicode" w:hAnsi="Lato"/>
                <w:b/>
                <w:bCs/>
                <w:color w:val="000000" w:themeColor="text1"/>
                <w:sz w:val="20"/>
                <w:szCs w:val="20"/>
              </w:rPr>
              <w:t>Koszt jednostkowy (bez kosztu testów) w zł</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0F080" w14:textId="77777777" w:rsidR="005E347E" w:rsidRPr="00AA22C4" w:rsidRDefault="005E347E" w:rsidP="0013416F">
            <w:pPr>
              <w:widowControl/>
              <w:spacing w:line="240" w:lineRule="auto"/>
              <w:jc w:val="center"/>
              <w:rPr>
                <w:rFonts w:ascii="Lato" w:eastAsia="Lucida Sans Unicode" w:hAnsi="Lato"/>
                <w:b/>
                <w:bCs/>
                <w:color w:val="000000" w:themeColor="text1"/>
                <w:sz w:val="20"/>
                <w:szCs w:val="20"/>
              </w:rPr>
            </w:pPr>
            <w:r w:rsidRPr="00AA22C4">
              <w:rPr>
                <w:rFonts w:ascii="Lato" w:eastAsia="Lucida Sans Unicode" w:hAnsi="Lato"/>
                <w:b/>
                <w:bCs/>
                <w:color w:val="000000" w:themeColor="text1"/>
                <w:sz w:val="20"/>
                <w:szCs w:val="20"/>
              </w:rPr>
              <w:t xml:space="preserve">Łączny koszt badań </w:t>
            </w:r>
          </w:p>
          <w:p w14:paraId="3867272E" w14:textId="77777777" w:rsidR="005E347E" w:rsidRPr="00AA22C4" w:rsidRDefault="005E347E" w:rsidP="0013416F">
            <w:pPr>
              <w:widowControl/>
              <w:spacing w:line="240" w:lineRule="auto"/>
              <w:jc w:val="center"/>
              <w:rPr>
                <w:rFonts w:ascii="Lato" w:hAnsi="Lato"/>
                <w:b/>
                <w:bCs/>
                <w:color w:val="000000" w:themeColor="text1"/>
                <w:sz w:val="20"/>
                <w:szCs w:val="20"/>
              </w:rPr>
            </w:pPr>
            <w:r w:rsidRPr="00AA22C4">
              <w:rPr>
                <w:rFonts w:ascii="Lato" w:eastAsia="Lucida Sans Unicode" w:hAnsi="Lato"/>
                <w:b/>
                <w:bCs/>
                <w:color w:val="000000" w:themeColor="text1"/>
                <w:sz w:val="20"/>
                <w:szCs w:val="20"/>
              </w:rPr>
              <w:t>w zł</w:t>
            </w:r>
          </w:p>
        </w:tc>
      </w:tr>
      <w:tr w:rsidR="00B3776C" w:rsidRPr="00B3776C" w14:paraId="4A44F627" w14:textId="77777777" w:rsidTr="0013416F">
        <w:trPr>
          <w:trHeight w:val="794"/>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644B38" w14:textId="77777777" w:rsidR="005E347E" w:rsidRPr="00AA22C4" w:rsidRDefault="005E347E" w:rsidP="0013416F">
            <w:pPr>
              <w:widowControl/>
              <w:spacing w:line="240" w:lineRule="auto"/>
              <w:jc w:val="center"/>
              <w:rPr>
                <w:rFonts w:ascii="Lato" w:hAnsi="Lato"/>
                <w:color w:val="000000" w:themeColor="text1"/>
                <w:sz w:val="20"/>
                <w:szCs w:val="20"/>
              </w:rPr>
            </w:pPr>
            <w:r w:rsidRPr="00AA22C4">
              <w:rPr>
                <w:rFonts w:ascii="Lato" w:eastAsia="Lucida Sans Unicode" w:hAnsi="Lato"/>
                <w:color w:val="000000" w:themeColor="text1"/>
                <w:sz w:val="20"/>
                <w:szCs w:val="20"/>
              </w:rPr>
              <w:t>1.</w:t>
            </w:r>
          </w:p>
        </w:tc>
        <w:tc>
          <w:tcPr>
            <w:tcW w:w="4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A68EDE" w14:textId="77777777" w:rsidR="005E347E" w:rsidRPr="00AA22C4" w:rsidRDefault="005E347E" w:rsidP="0013416F">
            <w:pPr>
              <w:widowControl/>
              <w:spacing w:line="240" w:lineRule="auto"/>
              <w:rPr>
                <w:rFonts w:ascii="Lato" w:eastAsia="Segoe UI" w:hAnsi="Lato"/>
                <w:color w:val="000000" w:themeColor="text1"/>
                <w:sz w:val="20"/>
                <w:szCs w:val="20"/>
              </w:rPr>
            </w:pPr>
            <w:r w:rsidRPr="00AA22C4">
              <w:rPr>
                <w:rFonts w:ascii="Lato" w:eastAsia="Segoe UI" w:hAnsi="Lato"/>
                <w:color w:val="000000" w:themeColor="text1"/>
                <w:sz w:val="20"/>
                <w:szCs w:val="20"/>
              </w:rPr>
              <w:t xml:space="preserve">Badania przesiewowe w kierunku wrodzonej niedoczynności tarczycy </w:t>
            </w:r>
          </w:p>
          <w:p w14:paraId="24C3A73A" w14:textId="38E80E71" w:rsidR="005E347E" w:rsidRPr="00AA22C4" w:rsidRDefault="005E347E" w:rsidP="0013416F">
            <w:pPr>
              <w:widowControl/>
              <w:spacing w:line="240" w:lineRule="auto"/>
              <w:rPr>
                <w:rFonts w:ascii="Lato" w:hAnsi="Lato"/>
                <w:color w:val="000000" w:themeColor="text1"/>
                <w:sz w:val="22"/>
                <w:szCs w:val="22"/>
              </w:rPr>
            </w:pPr>
            <w:r w:rsidRPr="00AA22C4">
              <w:rPr>
                <w:rFonts w:ascii="Lato" w:eastAsia="Segoe UI" w:hAnsi="Lato"/>
                <w:color w:val="000000" w:themeColor="text1"/>
                <w:sz w:val="20"/>
                <w:szCs w:val="20"/>
              </w:rPr>
              <w:t>(2</w:t>
            </w:r>
            <w:r w:rsidR="0065532B" w:rsidRPr="00AA22C4">
              <w:rPr>
                <w:rFonts w:ascii="Lato" w:eastAsia="Segoe UI" w:hAnsi="Lato"/>
                <w:color w:val="000000" w:themeColor="text1"/>
                <w:sz w:val="20"/>
                <w:szCs w:val="20"/>
              </w:rPr>
              <w:t>51</w:t>
            </w:r>
            <w:r w:rsidRPr="00AA22C4">
              <w:rPr>
                <w:rFonts w:ascii="Lato" w:eastAsia="Segoe UI" w:hAnsi="Lato"/>
                <w:color w:val="000000" w:themeColor="text1"/>
                <w:sz w:val="20"/>
                <w:szCs w:val="20"/>
              </w:rPr>
              <w:t xml:space="preserve"> 000 badań)</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14:paraId="00F327FA" w14:textId="1BA067F2" w:rsidR="005E347E" w:rsidRPr="00AA22C4" w:rsidRDefault="00095CD9" w:rsidP="00095CD9">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15,92</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14:paraId="0B515560" w14:textId="202DBE9A" w:rsidR="005E347E" w:rsidRPr="00AA22C4" w:rsidRDefault="00F863A0" w:rsidP="00F863A0">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3 995 920</w:t>
            </w:r>
          </w:p>
        </w:tc>
      </w:tr>
      <w:tr w:rsidR="00B3776C" w:rsidRPr="00B3776C" w14:paraId="6F70B7BB" w14:textId="77777777" w:rsidTr="0013416F">
        <w:trPr>
          <w:trHeight w:val="794"/>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416F0" w14:textId="77777777" w:rsidR="005E347E" w:rsidRPr="00AA22C4" w:rsidRDefault="005E347E" w:rsidP="0013416F">
            <w:pPr>
              <w:widowControl/>
              <w:spacing w:line="240" w:lineRule="auto"/>
              <w:jc w:val="center"/>
              <w:rPr>
                <w:rFonts w:ascii="Lato" w:hAnsi="Lato"/>
                <w:color w:val="000000" w:themeColor="text1"/>
                <w:sz w:val="20"/>
                <w:szCs w:val="20"/>
              </w:rPr>
            </w:pPr>
            <w:r w:rsidRPr="00AA22C4">
              <w:rPr>
                <w:rFonts w:ascii="Lato" w:eastAsia="Lucida Sans Unicode" w:hAnsi="Lato"/>
                <w:color w:val="000000" w:themeColor="text1"/>
                <w:sz w:val="20"/>
                <w:szCs w:val="20"/>
              </w:rPr>
              <w:t>2.</w:t>
            </w:r>
          </w:p>
        </w:tc>
        <w:tc>
          <w:tcPr>
            <w:tcW w:w="4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0D265" w14:textId="13E6A67E" w:rsidR="005E347E" w:rsidRPr="00AA22C4" w:rsidRDefault="005E347E" w:rsidP="0013416F">
            <w:pPr>
              <w:widowControl/>
              <w:spacing w:line="240" w:lineRule="auto"/>
              <w:rPr>
                <w:rFonts w:ascii="Lato" w:hAnsi="Lato"/>
                <w:color w:val="000000" w:themeColor="text1"/>
                <w:sz w:val="22"/>
                <w:szCs w:val="22"/>
              </w:rPr>
            </w:pPr>
            <w:r w:rsidRPr="00AA22C4">
              <w:rPr>
                <w:rFonts w:ascii="Lato" w:eastAsia="Segoe UI" w:hAnsi="Lato"/>
                <w:color w:val="000000" w:themeColor="text1"/>
                <w:sz w:val="20"/>
                <w:szCs w:val="20"/>
              </w:rPr>
              <w:t>Badania przesiewowe w kierunku fenyloketonurii (2</w:t>
            </w:r>
            <w:r w:rsidR="0065532B" w:rsidRPr="00AA22C4">
              <w:rPr>
                <w:rFonts w:ascii="Lato" w:eastAsia="Segoe UI" w:hAnsi="Lato"/>
                <w:color w:val="000000" w:themeColor="text1"/>
                <w:sz w:val="20"/>
                <w:szCs w:val="20"/>
              </w:rPr>
              <w:t>85</w:t>
            </w:r>
            <w:r w:rsidRPr="00AA22C4">
              <w:rPr>
                <w:rFonts w:ascii="Lato" w:eastAsia="Segoe UI" w:hAnsi="Lato"/>
                <w:color w:val="000000" w:themeColor="text1"/>
                <w:sz w:val="20"/>
                <w:szCs w:val="20"/>
              </w:rPr>
              <w:t xml:space="preserve"> 000 badań)</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14:paraId="2C646B66" w14:textId="6A5921FD" w:rsidR="005E347E" w:rsidRPr="00AA22C4" w:rsidRDefault="005E347E" w:rsidP="0013416F">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12,</w:t>
            </w:r>
            <w:r w:rsidR="00F863A0" w:rsidRPr="00AA22C4">
              <w:rPr>
                <w:rFonts w:ascii="Lato" w:eastAsia="Segoe UI" w:hAnsi="Lato"/>
                <w:color w:val="000000" w:themeColor="text1"/>
                <w:sz w:val="20"/>
                <w:szCs w:val="20"/>
              </w:rPr>
              <w:t>48</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14:paraId="2378E187" w14:textId="7791549F" w:rsidR="005E347E" w:rsidRPr="00AA22C4" w:rsidRDefault="00394ACD" w:rsidP="00394ACD">
            <w:pPr>
              <w:widowControl/>
              <w:spacing w:line="240" w:lineRule="auto"/>
              <w:jc w:val="center"/>
              <w:rPr>
                <w:rFonts w:ascii="Lato" w:eastAsia="Segoe UI" w:hAnsi="Lato"/>
                <w:color w:val="000000" w:themeColor="text1"/>
                <w:sz w:val="20"/>
                <w:szCs w:val="20"/>
              </w:rPr>
            </w:pPr>
            <w:r w:rsidRPr="00AA22C4">
              <w:rPr>
                <w:rFonts w:ascii="Lato" w:hAnsi="Lato"/>
                <w:color w:val="000000" w:themeColor="text1"/>
                <w:sz w:val="20"/>
                <w:szCs w:val="20"/>
              </w:rPr>
              <w:t>3 556 800</w:t>
            </w:r>
          </w:p>
        </w:tc>
      </w:tr>
      <w:tr w:rsidR="00B3776C" w:rsidRPr="00B3776C" w14:paraId="3C6F5516" w14:textId="77777777" w:rsidTr="0013416F">
        <w:trPr>
          <w:trHeight w:val="794"/>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569E8" w14:textId="77777777" w:rsidR="005E347E" w:rsidRPr="00AA22C4" w:rsidRDefault="005E347E" w:rsidP="0013416F">
            <w:pPr>
              <w:widowControl/>
              <w:spacing w:line="240" w:lineRule="auto"/>
              <w:jc w:val="center"/>
              <w:rPr>
                <w:rFonts w:ascii="Lato" w:hAnsi="Lato"/>
                <w:color w:val="000000" w:themeColor="text1"/>
                <w:sz w:val="20"/>
                <w:szCs w:val="20"/>
              </w:rPr>
            </w:pPr>
            <w:r w:rsidRPr="00AA22C4">
              <w:rPr>
                <w:rFonts w:ascii="Lato" w:eastAsia="Lucida Sans Unicode" w:hAnsi="Lato"/>
                <w:color w:val="000000" w:themeColor="text1"/>
                <w:sz w:val="20"/>
                <w:szCs w:val="20"/>
              </w:rPr>
              <w:t>3.</w:t>
            </w:r>
          </w:p>
        </w:tc>
        <w:tc>
          <w:tcPr>
            <w:tcW w:w="4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CD58D" w14:textId="11D35FDF" w:rsidR="005E347E" w:rsidRPr="00AA22C4" w:rsidRDefault="005E347E" w:rsidP="0013416F">
            <w:pPr>
              <w:widowControl/>
              <w:spacing w:line="240" w:lineRule="auto"/>
              <w:rPr>
                <w:rFonts w:ascii="Lato" w:hAnsi="Lato"/>
                <w:color w:val="000000" w:themeColor="text1"/>
                <w:sz w:val="22"/>
                <w:szCs w:val="22"/>
              </w:rPr>
            </w:pPr>
            <w:r w:rsidRPr="00AA22C4">
              <w:rPr>
                <w:rFonts w:ascii="Lato" w:eastAsia="Segoe UI" w:hAnsi="Lato"/>
                <w:color w:val="000000" w:themeColor="text1"/>
                <w:sz w:val="20"/>
                <w:szCs w:val="20"/>
              </w:rPr>
              <w:t>Badania przesiewowe w kierunku mukowiscydozy (2</w:t>
            </w:r>
            <w:r w:rsidR="0065532B" w:rsidRPr="00AA22C4">
              <w:rPr>
                <w:rFonts w:ascii="Lato" w:eastAsia="Segoe UI" w:hAnsi="Lato"/>
                <w:color w:val="000000" w:themeColor="text1"/>
                <w:sz w:val="20"/>
                <w:szCs w:val="20"/>
              </w:rPr>
              <w:t>51</w:t>
            </w:r>
            <w:r w:rsidRPr="00AA22C4">
              <w:rPr>
                <w:rFonts w:ascii="Lato" w:eastAsia="Segoe UI" w:hAnsi="Lato"/>
                <w:color w:val="000000" w:themeColor="text1"/>
                <w:sz w:val="20"/>
                <w:szCs w:val="20"/>
              </w:rPr>
              <w:t xml:space="preserve"> 000 badań)</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14:paraId="3D996E1F" w14:textId="1307B4BD" w:rsidR="005E347E" w:rsidRPr="00AA22C4" w:rsidRDefault="005E347E" w:rsidP="0013416F">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1</w:t>
            </w:r>
            <w:r w:rsidR="00F863A0" w:rsidRPr="00AA22C4">
              <w:rPr>
                <w:rFonts w:ascii="Lato" w:eastAsia="Segoe UI" w:hAnsi="Lato"/>
                <w:color w:val="000000" w:themeColor="text1"/>
                <w:sz w:val="20"/>
                <w:szCs w:val="20"/>
              </w:rPr>
              <w:t>9,00</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14:paraId="42226451" w14:textId="4C844DFE" w:rsidR="005E347E" w:rsidRPr="00AA22C4" w:rsidRDefault="00394ACD" w:rsidP="00394ACD">
            <w:pPr>
              <w:widowControl/>
              <w:spacing w:line="240" w:lineRule="auto"/>
              <w:jc w:val="center"/>
              <w:rPr>
                <w:rFonts w:ascii="Lato" w:eastAsia="Segoe UI" w:hAnsi="Lato"/>
                <w:color w:val="000000" w:themeColor="text1"/>
                <w:sz w:val="20"/>
                <w:szCs w:val="20"/>
              </w:rPr>
            </w:pPr>
            <w:r w:rsidRPr="00AA22C4">
              <w:rPr>
                <w:rFonts w:ascii="Lato" w:hAnsi="Lato"/>
                <w:color w:val="000000" w:themeColor="text1"/>
                <w:sz w:val="20"/>
                <w:szCs w:val="20"/>
              </w:rPr>
              <w:t>4 769 000</w:t>
            </w:r>
          </w:p>
        </w:tc>
      </w:tr>
      <w:tr w:rsidR="00B3776C" w:rsidRPr="00B3776C" w14:paraId="722F7FC3" w14:textId="77777777" w:rsidTr="0013416F">
        <w:trPr>
          <w:trHeight w:val="794"/>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008C8" w14:textId="77777777" w:rsidR="005E347E" w:rsidRPr="00AA22C4" w:rsidRDefault="005E347E" w:rsidP="0013416F">
            <w:pPr>
              <w:widowControl/>
              <w:spacing w:line="240" w:lineRule="auto"/>
              <w:jc w:val="center"/>
              <w:rPr>
                <w:rFonts w:ascii="Lato" w:hAnsi="Lato"/>
                <w:color w:val="000000" w:themeColor="text1"/>
                <w:sz w:val="20"/>
                <w:szCs w:val="20"/>
              </w:rPr>
            </w:pPr>
            <w:r w:rsidRPr="00AA22C4">
              <w:rPr>
                <w:rFonts w:ascii="Lato" w:eastAsia="Lucida Sans Unicode" w:hAnsi="Lato"/>
                <w:color w:val="000000" w:themeColor="text1"/>
                <w:sz w:val="20"/>
                <w:szCs w:val="20"/>
              </w:rPr>
              <w:t>4.</w:t>
            </w:r>
          </w:p>
        </w:tc>
        <w:tc>
          <w:tcPr>
            <w:tcW w:w="4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DA7B0" w14:textId="77777777" w:rsidR="005E347E" w:rsidRPr="00AA22C4" w:rsidRDefault="005E347E" w:rsidP="0013416F">
            <w:pPr>
              <w:widowControl/>
              <w:spacing w:line="240" w:lineRule="auto"/>
              <w:rPr>
                <w:rFonts w:ascii="Lato" w:eastAsia="Segoe UI" w:hAnsi="Lato"/>
                <w:color w:val="000000" w:themeColor="text1"/>
                <w:sz w:val="20"/>
                <w:szCs w:val="20"/>
              </w:rPr>
            </w:pPr>
            <w:r w:rsidRPr="00AA22C4">
              <w:rPr>
                <w:rFonts w:ascii="Lato" w:eastAsia="Segoe UI" w:hAnsi="Lato"/>
                <w:color w:val="000000" w:themeColor="text1"/>
                <w:sz w:val="20"/>
                <w:szCs w:val="20"/>
              </w:rPr>
              <w:t xml:space="preserve">Badania przesiewowe w kierunku rzadkich wad metabolicznych - MS/MS </w:t>
            </w:r>
          </w:p>
          <w:p w14:paraId="4F16EC45" w14:textId="2210B653" w:rsidR="005E347E" w:rsidRPr="00AA22C4" w:rsidRDefault="005E347E" w:rsidP="0013416F">
            <w:pPr>
              <w:widowControl/>
              <w:spacing w:line="240" w:lineRule="auto"/>
              <w:rPr>
                <w:rFonts w:ascii="Lato" w:hAnsi="Lato"/>
                <w:color w:val="000000" w:themeColor="text1"/>
                <w:sz w:val="22"/>
                <w:szCs w:val="22"/>
              </w:rPr>
            </w:pPr>
            <w:r w:rsidRPr="00AA22C4">
              <w:rPr>
                <w:rFonts w:ascii="Lato" w:eastAsia="Segoe UI" w:hAnsi="Lato"/>
                <w:color w:val="000000" w:themeColor="text1"/>
                <w:sz w:val="20"/>
                <w:szCs w:val="20"/>
              </w:rPr>
              <w:t>(2</w:t>
            </w:r>
            <w:r w:rsidR="0065532B" w:rsidRPr="00AA22C4">
              <w:rPr>
                <w:rFonts w:ascii="Lato" w:eastAsia="Segoe UI" w:hAnsi="Lato"/>
                <w:color w:val="000000" w:themeColor="text1"/>
                <w:sz w:val="20"/>
                <w:szCs w:val="20"/>
              </w:rPr>
              <w:t>51</w:t>
            </w:r>
            <w:r w:rsidRPr="00AA22C4">
              <w:rPr>
                <w:rFonts w:ascii="Lato" w:eastAsia="Segoe UI" w:hAnsi="Lato"/>
                <w:color w:val="000000" w:themeColor="text1"/>
                <w:sz w:val="20"/>
                <w:szCs w:val="20"/>
              </w:rPr>
              <w:t xml:space="preserve"> 000 badań)</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14:paraId="3D72EB08" w14:textId="5BCC5F22" w:rsidR="005E347E" w:rsidRPr="00AA22C4" w:rsidRDefault="005E347E" w:rsidP="0013416F">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21,</w:t>
            </w:r>
            <w:r w:rsidR="00F863A0" w:rsidRPr="00AA22C4">
              <w:rPr>
                <w:rFonts w:ascii="Lato" w:eastAsia="Segoe UI" w:hAnsi="Lato"/>
                <w:color w:val="000000" w:themeColor="text1"/>
                <w:sz w:val="20"/>
                <w:szCs w:val="20"/>
              </w:rPr>
              <w:t>19</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14:paraId="7CAF752F" w14:textId="1CC67ABA" w:rsidR="005E347E" w:rsidRPr="00AA22C4" w:rsidRDefault="00394ACD" w:rsidP="00394ACD">
            <w:pPr>
              <w:widowControl/>
              <w:spacing w:line="240" w:lineRule="auto"/>
              <w:jc w:val="center"/>
              <w:rPr>
                <w:rFonts w:ascii="Lato" w:eastAsia="Segoe UI" w:hAnsi="Lato"/>
                <w:color w:val="000000" w:themeColor="text1"/>
                <w:sz w:val="20"/>
                <w:szCs w:val="20"/>
              </w:rPr>
            </w:pPr>
            <w:r w:rsidRPr="00AA22C4">
              <w:rPr>
                <w:rFonts w:ascii="Lato" w:hAnsi="Lato"/>
                <w:color w:val="000000" w:themeColor="text1"/>
                <w:sz w:val="20"/>
                <w:szCs w:val="20"/>
              </w:rPr>
              <w:t>5 318 690</w:t>
            </w:r>
          </w:p>
        </w:tc>
      </w:tr>
      <w:tr w:rsidR="00B3776C" w:rsidRPr="00B3776C" w14:paraId="256BFFC2" w14:textId="77777777" w:rsidTr="0013416F">
        <w:trPr>
          <w:trHeight w:val="794"/>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54710" w14:textId="77777777" w:rsidR="005E347E" w:rsidRPr="00AA22C4" w:rsidRDefault="005E347E" w:rsidP="0013416F">
            <w:pPr>
              <w:widowControl/>
              <w:spacing w:line="240" w:lineRule="auto"/>
              <w:jc w:val="center"/>
              <w:rPr>
                <w:rFonts w:ascii="Lato" w:hAnsi="Lato"/>
                <w:color w:val="000000" w:themeColor="text1"/>
                <w:sz w:val="20"/>
                <w:szCs w:val="20"/>
              </w:rPr>
            </w:pPr>
            <w:r w:rsidRPr="00AA22C4">
              <w:rPr>
                <w:rFonts w:ascii="Lato" w:eastAsia="Lucida Sans Unicode" w:hAnsi="Lato"/>
                <w:color w:val="000000" w:themeColor="text1"/>
                <w:sz w:val="20"/>
                <w:szCs w:val="20"/>
              </w:rPr>
              <w:t>5.</w:t>
            </w:r>
          </w:p>
        </w:tc>
        <w:tc>
          <w:tcPr>
            <w:tcW w:w="4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407F5" w14:textId="77777777" w:rsidR="005E347E" w:rsidRPr="00AA22C4" w:rsidRDefault="005E347E" w:rsidP="0013416F">
            <w:pPr>
              <w:widowControl/>
              <w:spacing w:line="240" w:lineRule="auto"/>
              <w:rPr>
                <w:rFonts w:ascii="Lato" w:eastAsia="Segoe UI" w:hAnsi="Lato"/>
                <w:color w:val="000000" w:themeColor="text1"/>
                <w:sz w:val="20"/>
                <w:szCs w:val="20"/>
              </w:rPr>
            </w:pPr>
            <w:r w:rsidRPr="00AA22C4">
              <w:rPr>
                <w:rFonts w:ascii="Lato" w:eastAsia="Segoe UI" w:hAnsi="Lato"/>
                <w:color w:val="000000" w:themeColor="text1"/>
                <w:sz w:val="20"/>
                <w:szCs w:val="20"/>
              </w:rPr>
              <w:t xml:space="preserve">Badania przesiewowe w kierunku wrodzonego przerostu nadnerczy </w:t>
            </w:r>
          </w:p>
          <w:p w14:paraId="0271FF00" w14:textId="5A0F2D09" w:rsidR="005E347E" w:rsidRPr="00AA22C4" w:rsidRDefault="005E347E" w:rsidP="0013416F">
            <w:pPr>
              <w:widowControl/>
              <w:spacing w:line="240" w:lineRule="auto"/>
              <w:rPr>
                <w:rFonts w:ascii="Lato" w:hAnsi="Lato"/>
                <w:color w:val="000000" w:themeColor="text1"/>
                <w:sz w:val="22"/>
                <w:szCs w:val="22"/>
              </w:rPr>
            </w:pPr>
            <w:r w:rsidRPr="00AA22C4">
              <w:rPr>
                <w:rFonts w:ascii="Lato" w:eastAsia="Segoe UI" w:hAnsi="Lato"/>
                <w:color w:val="000000" w:themeColor="text1"/>
                <w:sz w:val="20"/>
                <w:szCs w:val="20"/>
              </w:rPr>
              <w:t>(2</w:t>
            </w:r>
            <w:r w:rsidR="0065532B" w:rsidRPr="00AA22C4">
              <w:rPr>
                <w:rFonts w:ascii="Lato" w:eastAsia="Segoe UI" w:hAnsi="Lato"/>
                <w:color w:val="000000" w:themeColor="text1"/>
                <w:sz w:val="20"/>
                <w:szCs w:val="20"/>
              </w:rPr>
              <w:t>51</w:t>
            </w:r>
            <w:r w:rsidRPr="00AA22C4">
              <w:rPr>
                <w:rFonts w:ascii="Lato" w:eastAsia="Segoe UI" w:hAnsi="Lato"/>
                <w:color w:val="000000" w:themeColor="text1"/>
                <w:sz w:val="20"/>
                <w:szCs w:val="20"/>
              </w:rPr>
              <w:t xml:space="preserve"> 000 badań)</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14:paraId="6A5050EE" w14:textId="1530A945" w:rsidR="005E347E" w:rsidRPr="00AA22C4" w:rsidRDefault="005E347E" w:rsidP="0013416F">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13,</w:t>
            </w:r>
            <w:r w:rsidR="00F863A0" w:rsidRPr="00AA22C4">
              <w:rPr>
                <w:rFonts w:ascii="Lato" w:eastAsia="Segoe UI" w:hAnsi="Lato"/>
                <w:color w:val="000000" w:themeColor="text1"/>
                <w:sz w:val="20"/>
                <w:szCs w:val="20"/>
              </w:rPr>
              <w:t>92</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14:paraId="263DA191" w14:textId="3D4CCAAD" w:rsidR="005E347E" w:rsidRPr="00AA22C4" w:rsidRDefault="00394ACD" w:rsidP="00394ACD">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3 493 920</w:t>
            </w:r>
          </w:p>
        </w:tc>
      </w:tr>
      <w:tr w:rsidR="00B3776C" w:rsidRPr="00B3776C" w14:paraId="44512B62" w14:textId="77777777" w:rsidTr="0013416F">
        <w:trPr>
          <w:trHeight w:val="794"/>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3F8547" w14:textId="77777777" w:rsidR="005E347E" w:rsidRPr="00AA22C4" w:rsidRDefault="005E347E" w:rsidP="0013416F">
            <w:pPr>
              <w:widowControl/>
              <w:spacing w:line="240" w:lineRule="auto"/>
              <w:jc w:val="center"/>
              <w:rPr>
                <w:rFonts w:ascii="Lato" w:hAnsi="Lato"/>
                <w:color w:val="000000" w:themeColor="text1"/>
                <w:sz w:val="20"/>
                <w:szCs w:val="20"/>
              </w:rPr>
            </w:pPr>
            <w:r w:rsidRPr="00AA22C4">
              <w:rPr>
                <w:rFonts w:ascii="Lato" w:eastAsia="Lucida Sans Unicode" w:hAnsi="Lato"/>
                <w:color w:val="000000" w:themeColor="text1"/>
                <w:sz w:val="20"/>
                <w:szCs w:val="20"/>
              </w:rPr>
              <w:t>6.</w:t>
            </w:r>
          </w:p>
        </w:tc>
        <w:tc>
          <w:tcPr>
            <w:tcW w:w="4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8B96E" w14:textId="2448BFDB" w:rsidR="005E347E" w:rsidRPr="00AA22C4" w:rsidRDefault="005E347E" w:rsidP="0013416F">
            <w:pPr>
              <w:widowControl/>
              <w:spacing w:line="240" w:lineRule="auto"/>
              <w:rPr>
                <w:rFonts w:ascii="Lato" w:hAnsi="Lato"/>
                <w:color w:val="000000" w:themeColor="text1"/>
                <w:sz w:val="22"/>
                <w:szCs w:val="22"/>
              </w:rPr>
            </w:pPr>
            <w:r w:rsidRPr="00AA22C4">
              <w:rPr>
                <w:rFonts w:ascii="Lato" w:eastAsia="Segoe UI" w:hAnsi="Lato"/>
                <w:color w:val="000000" w:themeColor="text1"/>
                <w:sz w:val="20"/>
                <w:szCs w:val="20"/>
              </w:rPr>
              <w:t>Badania przesiewowe w kierunku deficytu biotynidazy (2</w:t>
            </w:r>
            <w:r w:rsidR="0065532B" w:rsidRPr="00AA22C4">
              <w:rPr>
                <w:rFonts w:ascii="Lato" w:eastAsia="Segoe UI" w:hAnsi="Lato"/>
                <w:color w:val="000000" w:themeColor="text1"/>
                <w:sz w:val="20"/>
                <w:szCs w:val="20"/>
              </w:rPr>
              <w:t>51</w:t>
            </w:r>
            <w:r w:rsidRPr="00AA22C4">
              <w:rPr>
                <w:rFonts w:ascii="Lato" w:eastAsia="Segoe UI" w:hAnsi="Lato"/>
                <w:color w:val="000000" w:themeColor="text1"/>
                <w:sz w:val="20"/>
                <w:szCs w:val="20"/>
              </w:rPr>
              <w:t xml:space="preserve"> 000 badań)</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14:paraId="111E7320" w14:textId="039A28D2" w:rsidR="005E347E" w:rsidRPr="00AA22C4" w:rsidRDefault="005E347E" w:rsidP="0013416F">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5,9</w:t>
            </w:r>
            <w:r w:rsidR="00F863A0" w:rsidRPr="00AA22C4">
              <w:rPr>
                <w:rFonts w:ascii="Lato" w:eastAsia="Segoe UI" w:hAnsi="Lato"/>
                <w:color w:val="000000" w:themeColor="text1"/>
                <w:sz w:val="20"/>
                <w:szCs w:val="20"/>
              </w:rPr>
              <w:t>4</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14:paraId="58335503" w14:textId="73D9EA16" w:rsidR="005E347E" w:rsidRPr="00AA22C4" w:rsidRDefault="00394ACD" w:rsidP="00394ACD">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1 490 940</w:t>
            </w:r>
          </w:p>
        </w:tc>
      </w:tr>
      <w:tr w:rsidR="00B3776C" w:rsidRPr="00B3776C" w14:paraId="30B3C96A" w14:textId="77777777" w:rsidTr="0013416F">
        <w:trPr>
          <w:trHeight w:val="1134"/>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A1987" w14:textId="77777777" w:rsidR="001E30F7" w:rsidRPr="00AA22C4" w:rsidRDefault="001E30F7" w:rsidP="0013416F">
            <w:pPr>
              <w:widowControl/>
              <w:spacing w:line="240" w:lineRule="auto"/>
              <w:jc w:val="center"/>
              <w:rPr>
                <w:rFonts w:ascii="Lato" w:hAnsi="Lato"/>
                <w:color w:val="000000" w:themeColor="text1"/>
                <w:sz w:val="20"/>
                <w:szCs w:val="20"/>
              </w:rPr>
            </w:pPr>
            <w:r w:rsidRPr="00AA22C4">
              <w:rPr>
                <w:rFonts w:ascii="Lato" w:eastAsia="Lucida Sans Unicode" w:hAnsi="Lato"/>
                <w:color w:val="000000" w:themeColor="text1"/>
                <w:sz w:val="20"/>
                <w:szCs w:val="20"/>
              </w:rPr>
              <w:t>7.</w:t>
            </w:r>
          </w:p>
        </w:tc>
        <w:tc>
          <w:tcPr>
            <w:tcW w:w="4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B24276" w14:textId="38B6FADB" w:rsidR="001E30F7" w:rsidRPr="00AA22C4" w:rsidRDefault="001E30F7" w:rsidP="0013416F">
            <w:pPr>
              <w:widowControl/>
              <w:spacing w:line="240" w:lineRule="auto"/>
              <w:rPr>
                <w:rFonts w:ascii="Lato" w:hAnsi="Lato"/>
                <w:color w:val="000000" w:themeColor="text1"/>
                <w:sz w:val="22"/>
                <w:szCs w:val="22"/>
              </w:rPr>
            </w:pPr>
            <w:r w:rsidRPr="00AA22C4">
              <w:rPr>
                <w:rFonts w:ascii="Lato" w:eastAsia="Segoe UI" w:hAnsi="Lato"/>
                <w:color w:val="000000" w:themeColor="text1"/>
                <w:sz w:val="20"/>
                <w:szCs w:val="20"/>
              </w:rPr>
              <w:t xml:space="preserve">Badania przesiewowe w kierunku rdzeniowego zaniku mięśni i ciężkiego złożonego niedoboru odporności </w:t>
            </w:r>
            <w:r w:rsidRPr="00AA22C4">
              <w:rPr>
                <w:rFonts w:ascii="Lato" w:eastAsia="Segoe UI" w:hAnsi="Lato"/>
                <w:color w:val="000000" w:themeColor="text1"/>
                <w:sz w:val="20"/>
                <w:szCs w:val="20"/>
              </w:rPr>
              <w:br/>
              <w:t>(2</w:t>
            </w:r>
            <w:r w:rsidR="0065532B" w:rsidRPr="00AA22C4">
              <w:rPr>
                <w:rFonts w:ascii="Lato" w:eastAsia="Segoe UI" w:hAnsi="Lato"/>
                <w:color w:val="000000" w:themeColor="text1"/>
                <w:sz w:val="20"/>
                <w:szCs w:val="20"/>
              </w:rPr>
              <w:t>51</w:t>
            </w:r>
            <w:r w:rsidRPr="00AA22C4">
              <w:rPr>
                <w:rFonts w:ascii="Lato" w:eastAsia="Segoe UI" w:hAnsi="Lato"/>
                <w:color w:val="000000" w:themeColor="text1"/>
                <w:sz w:val="20"/>
                <w:szCs w:val="20"/>
              </w:rPr>
              <w:t xml:space="preserve"> 000 badań)</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14:paraId="2AAC6A6E" w14:textId="041518C9" w:rsidR="001E30F7" w:rsidRPr="00AA22C4" w:rsidRDefault="001E30F7" w:rsidP="0013416F">
            <w:pPr>
              <w:widowControl/>
              <w:spacing w:line="240" w:lineRule="auto"/>
              <w:jc w:val="center"/>
              <w:rPr>
                <w:rFonts w:ascii="Lato" w:eastAsia="Segoe UI" w:hAnsi="Lato"/>
                <w:color w:val="000000" w:themeColor="text1"/>
                <w:sz w:val="20"/>
                <w:szCs w:val="20"/>
              </w:rPr>
            </w:pPr>
            <w:r w:rsidRPr="00AA22C4">
              <w:rPr>
                <w:rFonts w:ascii="Lato" w:hAnsi="Lato"/>
                <w:color w:val="000000" w:themeColor="text1"/>
                <w:sz w:val="20"/>
                <w:szCs w:val="20"/>
              </w:rPr>
              <w:t>30,</w:t>
            </w:r>
            <w:r w:rsidR="00F863A0" w:rsidRPr="00AA22C4">
              <w:rPr>
                <w:rFonts w:ascii="Lato" w:hAnsi="Lato"/>
                <w:color w:val="000000" w:themeColor="text1"/>
                <w:sz w:val="20"/>
                <w:szCs w:val="20"/>
              </w:rPr>
              <w:t>4</w:t>
            </w:r>
            <w:r w:rsidRPr="00AA22C4">
              <w:rPr>
                <w:rFonts w:ascii="Lato" w:hAnsi="Lato"/>
                <w:color w:val="000000" w:themeColor="text1"/>
                <w:sz w:val="20"/>
                <w:szCs w:val="20"/>
              </w:rPr>
              <w:t xml:space="preserve">9* </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14:paraId="337BD554" w14:textId="71A79F0B" w:rsidR="001E30F7" w:rsidRPr="00AA22C4" w:rsidRDefault="00394ACD" w:rsidP="00394ACD">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7 652 990</w:t>
            </w:r>
          </w:p>
        </w:tc>
      </w:tr>
      <w:tr w:rsidR="00B3776C" w:rsidRPr="00B3776C" w14:paraId="5C7829F6" w14:textId="77777777" w:rsidTr="0013416F">
        <w:trPr>
          <w:trHeight w:val="794"/>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14:paraId="7C42AF70" w14:textId="77777777" w:rsidR="001E30F7" w:rsidRPr="00AA22C4" w:rsidRDefault="001E30F7" w:rsidP="0013416F">
            <w:pPr>
              <w:widowControl/>
              <w:spacing w:line="240" w:lineRule="auto"/>
              <w:jc w:val="center"/>
              <w:rPr>
                <w:rFonts w:ascii="Lato" w:eastAsia="Lucida Sans Unicode" w:hAnsi="Lato"/>
                <w:color w:val="000000" w:themeColor="text1"/>
                <w:sz w:val="20"/>
                <w:szCs w:val="20"/>
              </w:rPr>
            </w:pPr>
            <w:r w:rsidRPr="00AA22C4">
              <w:rPr>
                <w:rFonts w:ascii="Lato" w:eastAsia="Lucida Sans Unicode" w:hAnsi="Lato"/>
                <w:color w:val="000000" w:themeColor="text1"/>
                <w:sz w:val="20"/>
                <w:szCs w:val="20"/>
              </w:rPr>
              <w:t>8.</w:t>
            </w:r>
          </w:p>
        </w:tc>
        <w:tc>
          <w:tcPr>
            <w:tcW w:w="4082" w:type="dxa"/>
            <w:tcBorders>
              <w:top w:val="single" w:sz="4" w:space="0" w:color="auto"/>
              <w:left w:val="single" w:sz="4" w:space="0" w:color="auto"/>
              <w:bottom w:val="single" w:sz="4" w:space="0" w:color="auto"/>
              <w:right w:val="single" w:sz="4" w:space="0" w:color="auto"/>
            </w:tcBorders>
            <w:shd w:val="clear" w:color="auto" w:fill="auto"/>
            <w:vAlign w:val="center"/>
          </w:tcPr>
          <w:p w14:paraId="255143EA" w14:textId="77777777" w:rsidR="0013416F" w:rsidRPr="00AA22C4" w:rsidRDefault="001E30F7" w:rsidP="0013416F">
            <w:pPr>
              <w:widowControl/>
              <w:spacing w:line="240" w:lineRule="auto"/>
              <w:rPr>
                <w:rFonts w:ascii="Lato" w:eastAsia="Segoe UI" w:hAnsi="Lato"/>
                <w:color w:val="000000" w:themeColor="text1"/>
                <w:sz w:val="20"/>
                <w:szCs w:val="20"/>
              </w:rPr>
            </w:pPr>
            <w:r w:rsidRPr="00AA22C4">
              <w:rPr>
                <w:rFonts w:ascii="Lato" w:eastAsia="Segoe UI" w:hAnsi="Lato"/>
                <w:color w:val="000000" w:themeColor="text1"/>
                <w:sz w:val="20"/>
                <w:szCs w:val="20"/>
              </w:rPr>
              <w:t xml:space="preserve">Badania przesiewowe w kierunku galaktozemii </w:t>
            </w:r>
          </w:p>
          <w:p w14:paraId="39A734F6" w14:textId="694AD0D2" w:rsidR="001E30F7" w:rsidRPr="00AA22C4" w:rsidRDefault="001E30F7" w:rsidP="0013416F">
            <w:pPr>
              <w:widowControl/>
              <w:spacing w:line="240" w:lineRule="auto"/>
              <w:rPr>
                <w:rFonts w:ascii="Lato" w:eastAsia="Segoe UI" w:hAnsi="Lato"/>
                <w:color w:val="000000" w:themeColor="text1"/>
                <w:sz w:val="20"/>
                <w:szCs w:val="20"/>
              </w:rPr>
            </w:pPr>
            <w:r w:rsidRPr="00AA22C4">
              <w:rPr>
                <w:rFonts w:ascii="Lato" w:eastAsia="Segoe UI" w:hAnsi="Lato"/>
                <w:color w:val="000000" w:themeColor="text1"/>
                <w:sz w:val="20"/>
                <w:szCs w:val="20"/>
              </w:rPr>
              <w:t>(2</w:t>
            </w:r>
            <w:r w:rsidR="0065532B" w:rsidRPr="00AA22C4">
              <w:rPr>
                <w:rFonts w:ascii="Lato" w:eastAsia="Segoe UI" w:hAnsi="Lato"/>
                <w:color w:val="000000" w:themeColor="text1"/>
                <w:sz w:val="20"/>
                <w:szCs w:val="20"/>
              </w:rPr>
              <w:t>51</w:t>
            </w:r>
            <w:r w:rsidRPr="00AA22C4">
              <w:rPr>
                <w:rFonts w:ascii="Lato" w:eastAsia="Segoe UI" w:hAnsi="Lato"/>
                <w:color w:val="000000" w:themeColor="text1"/>
                <w:sz w:val="20"/>
                <w:szCs w:val="20"/>
              </w:rPr>
              <w:t xml:space="preserve"> 000 badań)</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14:paraId="5EA789BF" w14:textId="301812C0" w:rsidR="001E30F7" w:rsidRPr="00AA22C4" w:rsidRDefault="001E30F7" w:rsidP="0013416F">
            <w:pPr>
              <w:widowControl/>
              <w:spacing w:line="240" w:lineRule="auto"/>
              <w:jc w:val="center"/>
              <w:rPr>
                <w:rFonts w:ascii="Lato" w:eastAsia="Segoe UI" w:hAnsi="Lato"/>
                <w:color w:val="000000" w:themeColor="text1"/>
                <w:sz w:val="20"/>
                <w:szCs w:val="20"/>
              </w:rPr>
            </w:pPr>
            <w:r w:rsidRPr="00AA22C4">
              <w:rPr>
                <w:rFonts w:ascii="Lato" w:hAnsi="Lato"/>
                <w:color w:val="000000" w:themeColor="text1"/>
                <w:sz w:val="20"/>
                <w:szCs w:val="20"/>
              </w:rPr>
              <w:t>20,</w:t>
            </w:r>
            <w:r w:rsidR="00394ACD" w:rsidRPr="00AA22C4">
              <w:rPr>
                <w:rFonts w:ascii="Lato" w:hAnsi="Lato"/>
                <w:color w:val="000000" w:themeColor="text1"/>
                <w:sz w:val="20"/>
                <w:szCs w:val="20"/>
              </w:rPr>
              <w:t>2</w:t>
            </w:r>
            <w:r w:rsidRPr="00AA22C4">
              <w:rPr>
                <w:rFonts w:ascii="Lato" w:hAnsi="Lato"/>
                <w:color w:val="000000" w:themeColor="text1"/>
                <w:sz w:val="20"/>
                <w:szCs w:val="20"/>
              </w:rPr>
              <w:t>3*</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14:paraId="5C5C500F" w14:textId="5CA96F57" w:rsidR="001E30F7" w:rsidRPr="00AA22C4" w:rsidRDefault="00394ACD" w:rsidP="00394ACD">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5 077 730</w:t>
            </w:r>
          </w:p>
        </w:tc>
      </w:tr>
      <w:tr w:rsidR="00B3776C" w:rsidRPr="00B3776C" w14:paraId="27195AA8" w14:textId="77777777" w:rsidTr="0013416F">
        <w:trPr>
          <w:trHeight w:val="1644"/>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14:paraId="08EEAC65" w14:textId="77777777" w:rsidR="001E30F7" w:rsidRPr="00AA22C4" w:rsidRDefault="001E30F7" w:rsidP="0013416F">
            <w:pPr>
              <w:widowControl/>
              <w:spacing w:line="240" w:lineRule="auto"/>
              <w:jc w:val="center"/>
              <w:rPr>
                <w:rFonts w:ascii="Lato" w:eastAsia="Lucida Sans Unicode" w:hAnsi="Lato"/>
                <w:color w:val="000000" w:themeColor="text1"/>
                <w:sz w:val="20"/>
                <w:szCs w:val="20"/>
              </w:rPr>
            </w:pPr>
            <w:r w:rsidRPr="00AA22C4">
              <w:rPr>
                <w:rFonts w:ascii="Lato" w:eastAsia="Lucida Sans Unicode" w:hAnsi="Lato"/>
                <w:color w:val="000000" w:themeColor="text1"/>
                <w:sz w:val="20"/>
                <w:szCs w:val="20"/>
              </w:rPr>
              <w:t>9.</w:t>
            </w:r>
          </w:p>
        </w:tc>
        <w:tc>
          <w:tcPr>
            <w:tcW w:w="4082" w:type="dxa"/>
            <w:tcBorders>
              <w:top w:val="single" w:sz="4" w:space="0" w:color="auto"/>
              <w:left w:val="single" w:sz="4" w:space="0" w:color="auto"/>
              <w:bottom w:val="single" w:sz="4" w:space="0" w:color="auto"/>
              <w:right w:val="single" w:sz="4" w:space="0" w:color="auto"/>
            </w:tcBorders>
            <w:shd w:val="clear" w:color="auto" w:fill="auto"/>
            <w:vAlign w:val="center"/>
          </w:tcPr>
          <w:p w14:paraId="475852FE" w14:textId="77777777" w:rsidR="001E30F7" w:rsidRPr="00AA22C4" w:rsidRDefault="001E30F7" w:rsidP="0013416F">
            <w:pPr>
              <w:spacing w:after="19" w:line="238" w:lineRule="auto"/>
              <w:rPr>
                <w:rFonts w:ascii="Lato" w:eastAsia="Segoe UI" w:hAnsi="Lato"/>
                <w:color w:val="000000" w:themeColor="text1"/>
                <w:sz w:val="20"/>
                <w:szCs w:val="20"/>
              </w:rPr>
            </w:pPr>
            <w:r w:rsidRPr="00AA22C4">
              <w:rPr>
                <w:rFonts w:ascii="Lato" w:eastAsia="Segoe UI" w:hAnsi="Lato"/>
                <w:color w:val="000000" w:themeColor="text1"/>
                <w:sz w:val="20"/>
                <w:szCs w:val="20"/>
              </w:rPr>
              <w:t xml:space="preserve">Badania przesiewowe w kierunku lizosomalnych chorób </w:t>
            </w:r>
          </w:p>
          <w:p w14:paraId="2274ABDF" w14:textId="77777777" w:rsidR="001E30F7" w:rsidRPr="00AA22C4" w:rsidRDefault="001E30F7" w:rsidP="0013416F">
            <w:pPr>
              <w:widowControl/>
              <w:spacing w:line="240" w:lineRule="auto"/>
              <w:rPr>
                <w:rFonts w:ascii="Lato" w:hAnsi="Lato"/>
                <w:color w:val="000000" w:themeColor="text1"/>
                <w:sz w:val="20"/>
                <w:szCs w:val="20"/>
              </w:rPr>
            </w:pPr>
            <w:r w:rsidRPr="00AA22C4">
              <w:rPr>
                <w:rFonts w:ascii="Lato" w:eastAsia="Segoe UI" w:hAnsi="Lato"/>
                <w:color w:val="000000" w:themeColor="text1"/>
                <w:sz w:val="20"/>
                <w:szCs w:val="20"/>
              </w:rPr>
              <w:t xml:space="preserve">spichrzeniowych - </w:t>
            </w:r>
            <w:r w:rsidRPr="00AA22C4">
              <w:rPr>
                <w:rFonts w:ascii="Lato" w:hAnsi="Lato"/>
                <w:color w:val="000000" w:themeColor="text1"/>
                <w:sz w:val="20"/>
                <w:szCs w:val="20"/>
              </w:rPr>
              <w:t xml:space="preserve">panel: choroba Pompego, choroba </w:t>
            </w:r>
            <w:proofErr w:type="spellStart"/>
            <w:r w:rsidRPr="00AA22C4">
              <w:rPr>
                <w:rFonts w:ascii="Lato" w:hAnsi="Lato"/>
                <w:color w:val="000000" w:themeColor="text1"/>
                <w:sz w:val="20"/>
                <w:szCs w:val="20"/>
              </w:rPr>
              <w:t>Gauchera</w:t>
            </w:r>
            <w:proofErr w:type="spellEnd"/>
            <w:r w:rsidRPr="00AA22C4">
              <w:rPr>
                <w:rFonts w:ascii="Lato" w:hAnsi="Lato"/>
                <w:color w:val="000000" w:themeColor="text1"/>
                <w:sz w:val="20"/>
                <w:szCs w:val="20"/>
              </w:rPr>
              <w:t xml:space="preserve">, choroba </w:t>
            </w:r>
            <w:proofErr w:type="spellStart"/>
            <w:r w:rsidRPr="00AA22C4">
              <w:rPr>
                <w:rFonts w:ascii="Lato" w:hAnsi="Lato"/>
                <w:color w:val="000000" w:themeColor="text1"/>
                <w:sz w:val="20"/>
                <w:szCs w:val="20"/>
              </w:rPr>
              <w:t>Fabry’ego</w:t>
            </w:r>
            <w:proofErr w:type="spellEnd"/>
            <w:r w:rsidRPr="00AA22C4">
              <w:rPr>
                <w:rFonts w:ascii="Lato" w:hAnsi="Lato"/>
                <w:color w:val="000000" w:themeColor="text1"/>
                <w:sz w:val="20"/>
                <w:szCs w:val="20"/>
              </w:rPr>
              <w:t xml:space="preserve">, </w:t>
            </w:r>
            <w:proofErr w:type="spellStart"/>
            <w:r w:rsidRPr="00AA22C4">
              <w:rPr>
                <w:rFonts w:ascii="Lato" w:hAnsi="Lato"/>
                <w:color w:val="000000" w:themeColor="text1"/>
                <w:sz w:val="20"/>
                <w:szCs w:val="20"/>
              </w:rPr>
              <w:t>mukopolisacharydoza</w:t>
            </w:r>
            <w:proofErr w:type="spellEnd"/>
            <w:r w:rsidRPr="00AA22C4">
              <w:rPr>
                <w:rFonts w:ascii="Lato" w:hAnsi="Lato"/>
                <w:color w:val="000000" w:themeColor="text1"/>
                <w:sz w:val="20"/>
                <w:szCs w:val="20"/>
              </w:rPr>
              <w:t xml:space="preserve"> </w:t>
            </w:r>
          </w:p>
          <w:p w14:paraId="70F25C6E" w14:textId="67463ECC" w:rsidR="001E30F7" w:rsidRPr="00AA22C4" w:rsidRDefault="001E30F7" w:rsidP="0013416F">
            <w:pPr>
              <w:widowControl/>
              <w:spacing w:line="240" w:lineRule="auto"/>
              <w:rPr>
                <w:rFonts w:ascii="Lato" w:eastAsia="Segoe UI" w:hAnsi="Lato"/>
                <w:color w:val="000000" w:themeColor="text1"/>
                <w:sz w:val="20"/>
                <w:szCs w:val="20"/>
              </w:rPr>
            </w:pPr>
            <w:r w:rsidRPr="00AA22C4">
              <w:rPr>
                <w:rFonts w:ascii="Lato" w:eastAsia="Segoe UI" w:hAnsi="Lato"/>
                <w:color w:val="000000" w:themeColor="text1"/>
                <w:sz w:val="20"/>
                <w:szCs w:val="20"/>
              </w:rPr>
              <w:t>(2</w:t>
            </w:r>
            <w:r w:rsidR="0065532B" w:rsidRPr="00AA22C4">
              <w:rPr>
                <w:rFonts w:ascii="Lato" w:eastAsia="Segoe UI" w:hAnsi="Lato"/>
                <w:color w:val="000000" w:themeColor="text1"/>
                <w:sz w:val="20"/>
                <w:szCs w:val="20"/>
              </w:rPr>
              <w:t>51</w:t>
            </w:r>
            <w:r w:rsidRPr="00AA22C4">
              <w:rPr>
                <w:rFonts w:ascii="Lato" w:eastAsia="Segoe UI" w:hAnsi="Lato"/>
                <w:color w:val="000000" w:themeColor="text1"/>
                <w:sz w:val="20"/>
                <w:szCs w:val="20"/>
              </w:rPr>
              <w:t xml:space="preserve"> 000 badań)</w:t>
            </w:r>
            <w:r w:rsidRPr="00AA22C4">
              <w:rPr>
                <w:rFonts w:ascii="Lato" w:hAnsi="Lato"/>
                <w:color w:val="000000" w:themeColor="text1"/>
              </w:rPr>
              <w:t xml:space="preserve"> </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14:paraId="1CD0E0AC" w14:textId="5EEACF38" w:rsidR="001E30F7" w:rsidRPr="00AA22C4" w:rsidRDefault="001E30F7" w:rsidP="0013416F">
            <w:pPr>
              <w:widowControl/>
              <w:spacing w:line="240" w:lineRule="auto"/>
              <w:jc w:val="center"/>
              <w:rPr>
                <w:rFonts w:ascii="Lato" w:eastAsia="Segoe UI" w:hAnsi="Lato"/>
                <w:color w:val="000000" w:themeColor="text1"/>
                <w:sz w:val="20"/>
                <w:szCs w:val="20"/>
              </w:rPr>
            </w:pPr>
            <w:r w:rsidRPr="00AA22C4">
              <w:rPr>
                <w:rFonts w:ascii="Lato" w:hAnsi="Lato"/>
                <w:color w:val="000000" w:themeColor="text1"/>
                <w:sz w:val="20"/>
                <w:szCs w:val="20"/>
              </w:rPr>
              <w:t>4</w:t>
            </w:r>
            <w:r w:rsidR="00394ACD" w:rsidRPr="00AA22C4">
              <w:rPr>
                <w:rFonts w:ascii="Lato" w:hAnsi="Lato"/>
                <w:color w:val="000000" w:themeColor="text1"/>
                <w:sz w:val="20"/>
                <w:szCs w:val="20"/>
              </w:rPr>
              <w:t>6</w:t>
            </w:r>
            <w:r w:rsidRPr="00AA22C4">
              <w:rPr>
                <w:rFonts w:ascii="Lato" w:hAnsi="Lato"/>
                <w:color w:val="000000" w:themeColor="text1"/>
                <w:sz w:val="20"/>
                <w:szCs w:val="20"/>
              </w:rPr>
              <w:t>,</w:t>
            </w:r>
            <w:r w:rsidR="00394ACD" w:rsidRPr="00AA22C4">
              <w:rPr>
                <w:rFonts w:ascii="Lato" w:hAnsi="Lato"/>
                <w:color w:val="000000" w:themeColor="text1"/>
                <w:sz w:val="20"/>
                <w:szCs w:val="20"/>
              </w:rPr>
              <w:t>95</w:t>
            </w:r>
            <w:r w:rsidRPr="00AA22C4">
              <w:rPr>
                <w:rFonts w:ascii="Lato" w:hAnsi="Lato"/>
                <w:color w:val="000000" w:themeColor="text1"/>
                <w:sz w:val="20"/>
                <w:szCs w:val="20"/>
              </w:rPr>
              <w:t>*</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14:paraId="1447F1F1" w14:textId="5D3DCF49" w:rsidR="001E30F7" w:rsidRPr="00AA22C4" w:rsidRDefault="00394ACD" w:rsidP="00394ACD">
            <w:pPr>
              <w:widowControl/>
              <w:spacing w:line="240" w:lineRule="auto"/>
              <w:jc w:val="center"/>
              <w:rPr>
                <w:rFonts w:ascii="Lato" w:hAnsi="Lato"/>
                <w:color w:val="000000" w:themeColor="text1"/>
                <w:sz w:val="20"/>
                <w:szCs w:val="20"/>
              </w:rPr>
            </w:pPr>
            <w:r w:rsidRPr="00AA22C4">
              <w:rPr>
                <w:rFonts w:ascii="Lato" w:hAnsi="Lato"/>
                <w:color w:val="000000" w:themeColor="text1"/>
                <w:sz w:val="20"/>
                <w:szCs w:val="20"/>
              </w:rPr>
              <w:t>11 784 450</w:t>
            </w:r>
          </w:p>
        </w:tc>
      </w:tr>
      <w:tr w:rsidR="00B3776C" w:rsidRPr="00B3776C" w14:paraId="2A7C709D" w14:textId="77777777" w:rsidTr="0013416F">
        <w:trPr>
          <w:trHeight w:val="680"/>
        </w:trPr>
        <w:tc>
          <w:tcPr>
            <w:tcW w:w="718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2B7AA0A" w14:textId="77777777" w:rsidR="005E347E" w:rsidRPr="00AA22C4" w:rsidRDefault="005E347E" w:rsidP="0013416F">
            <w:pPr>
              <w:widowControl/>
              <w:spacing w:line="240" w:lineRule="auto"/>
              <w:jc w:val="right"/>
              <w:rPr>
                <w:rFonts w:ascii="Lato" w:hAnsi="Lato"/>
                <w:b/>
                <w:bCs/>
                <w:color w:val="000000" w:themeColor="text1"/>
                <w:sz w:val="20"/>
                <w:szCs w:val="20"/>
              </w:rPr>
            </w:pPr>
            <w:r w:rsidRPr="00AA22C4">
              <w:rPr>
                <w:rFonts w:ascii="Lato" w:eastAsia="Lucida Sans Unicode" w:hAnsi="Lato"/>
                <w:b/>
                <w:bCs/>
                <w:color w:val="000000" w:themeColor="text1"/>
                <w:sz w:val="20"/>
                <w:szCs w:val="20"/>
              </w:rPr>
              <w:t>Razem:</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2EE4B" w14:textId="60EB1BF3" w:rsidR="005E347E" w:rsidRPr="00AA22C4" w:rsidRDefault="00394ACD" w:rsidP="00394ACD">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47 140 440</w:t>
            </w:r>
          </w:p>
        </w:tc>
      </w:tr>
      <w:tr w:rsidR="00B3776C" w:rsidRPr="00B3776C" w14:paraId="26AD62B2" w14:textId="77777777" w:rsidTr="0015358E">
        <w:trPr>
          <w:trHeight w:val="680"/>
        </w:trPr>
        <w:tc>
          <w:tcPr>
            <w:tcW w:w="9195" w:type="dxa"/>
            <w:gridSpan w:val="4"/>
            <w:tcBorders>
              <w:top w:val="single" w:sz="4" w:space="0" w:color="auto"/>
              <w:left w:val="single" w:sz="8" w:space="0" w:color="auto"/>
              <w:bottom w:val="single" w:sz="8" w:space="0" w:color="auto"/>
              <w:right w:val="single" w:sz="8" w:space="0" w:color="000000"/>
            </w:tcBorders>
            <w:shd w:val="clear" w:color="auto" w:fill="E7E6E6"/>
            <w:vAlign w:val="center"/>
            <w:hideMark/>
          </w:tcPr>
          <w:p w14:paraId="02F907D0" w14:textId="3E19DAD0" w:rsidR="005E347E" w:rsidRPr="00AA22C4" w:rsidRDefault="005E347E" w:rsidP="0013416F">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lastRenderedPageBreak/>
              <w:t xml:space="preserve">Koszt testów diagnostycznych i odczynników na 2026 </w:t>
            </w:r>
            <w:r w:rsidR="00A04888" w:rsidRPr="00AA22C4">
              <w:rPr>
                <w:rFonts w:ascii="Lato" w:hAnsi="Lato"/>
                <w:b/>
                <w:bCs/>
                <w:color w:val="000000" w:themeColor="text1"/>
                <w:sz w:val="20"/>
                <w:szCs w:val="20"/>
              </w:rPr>
              <w:t xml:space="preserve">r. </w:t>
            </w:r>
            <w:r w:rsidRPr="00AA22C4">
              <w:rPr>
                <w:rFonts w:ascii="Lato" w:hAnsi="Lato"/>
                <w:b/>
                <w:bCs/>
                <w:color w:val="000000" w:themeColor="text1"/>
                <w:sz w:val="20"/>
                <w:szCs w:val="20"/>
              </w:rPr>
              <w:t xml:space="preserve">i </w:t>
            </w:r>
            <w:proofErr w:type="spellStart"/>
            <w:r w:rsidRPr="00AA22C4">
              <w:rPr>
                <w:rFonts w:ascii="Lato" w:hAnsi="Lato"/>
                <w:b/>
                <w:bCs/>
                <w:color w:val="000000" w:themeColor="text1"/>
                <w:sz w:val="20"/>
                <w:szCs w:val="20"/>
              </w:rPr>
              <w:t>I</w:t>
            </w:r>
            <w:proofErr w:type="spellEnd"/>
            <w:r w:rsidRPr="00AA22C4">
              <w:rPr>
                <w:rFonts w:ascii="Lato" w:hAnsi="Lato"/>
                <w:b/>
                <w:bCs/>
                <w:color w:val="000000" w:themeColor="text1"/>
                <w:sz w:val="20"/>
                <w:szCs w:val="20"/>
              </w:rPr>
              <w:t xml:space="preserve"> kwartał 2027</w:t>
            </w:r>
            <w:r w:rsidR="00A04888" w:rsidRPr="00AA22C4">
              <w:rPr>
                <w:rFonts w:ascii="Lato" w:hAnsi="Lato"/>
                <w:b/>
                <w:bCs/>
                <w:color w:val="000000" w:themeColor="text1"/>
                <w:sz w:val="20"/>
                <w:szCs w:val="20"/>
              </w:rPr>
              <w:t xml:space="preserve"> r.</w:t>
            </w:r>
          </w:p>
        </w:tc>
      </w:tr>
      <w:tr w:rsidR="00B3776C" w:rsidRPr="00B3776C" w14:paraId="64B07122" w14:textId="77777777" w:rsidTr="0013416F">
        <w:trPr>
          <w:trHeight w:val="567"/>
        </w:trPr>
        <w:tc>
          <w:tcPr>
            <w:tcW w:w="819" w:type="dxa"/>
            <w:tcBorders>
              <w:top w:val="nil"/>
              <w:left w:val="single" w:sz="8" w:space="0" w:color="auto"/>
              <w:bottom w:val="nil"/>
              <w:right w:val="nil"/>
            </w:tcBorders>
            <w:shd w:val="clear" w:color="auto" w:fill="auto"/>
            <w:vAlign w:val="center"/>
            <w:hideMark/>
          </w:tcPr>
          <w:p w14:paraId="64B01FFB" w14:textId="77777777" w:rsidR="005E347E" w:rsidRPr="00AA22C4" w:rsidRDefault="005E347E" w:rsidP="0013416F">
            <w:pPr>
              <w:widowControl/>
              <w:spacing w:line="240" w:lineRule="auto"/>
              <w:jc w:val="center"/>
              <w:rPr>
                <w:rFonts w:ascii="Lato" w:hAnsi="Lato"/>
                <w:color w:val="000000" w:themeColor="text1"/>
                <w:sz w:val="22"/>
                <w:szCs w:val="22"/>
              </w:rPr>
            </w:pPr>
            <w:r w:rsidRPr="00AA22C4">
              <w:rPr>
                <w:rFonts w:ascii="Lato" w:eastAsia="Lucida Sans Unicode" w:hAnsi="Lato"/>
                <w:color w:val="000000" w:themeColor="text1"/>
                <w:sz w:val="22"/>
                <w:szCs w:val="22"/>
              </w:rPr>
              <w:t>Poz.</w:t>
            </w:r>
          </w:p>
        </w:tc>
        <w:tc>
          <w:tcPr>
            <w:tcW w:w="637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53C7BE71" w14:textId="77777777" w:rsidR="005E347E" w:rsidRPr="00AA22C4" w:rsidRDefault="005E347E" w:rsidP="0013416F">
            <w:pPr>
              <w:widowControl/>
              <w:spacing w:line="240" w:lineRule="auto"/>
              <w:jc w:val="center"/>
              <w:rPr>
                <w:rFonts w:ascii="Lato" w:hAnsi="Lato"/>
                <w:b/>
                <w:bCs/>
                <w:color w:val="000000" w:themeColor="text1"/>
                <w:sz w:val="20"/>
                <w:szCs w:val="20"/>
              </w:rPr>
            </w:pPr>
            <w:r w:rsidRPr="00AA22C4">
              <w:rPr>
                <w:rFonts w:ascii="Lato" w:eastAsia="Lucida Sans Unicode" w:hAnsi="Lato"/>
                <w:b/>
                <w:bCs/>
                <w:color w:val="000000" w:themeColor="text1"/>
                <w:sz w:val="20"/>
                <w:szCs w:val="20"/>
              </w:rPr>
              <w:t>Kategoria wydatków</w:t>
            </w:r>
          </w:p>
        </w:tc>
        <w:tc>
          <w:tcPr>
            <w:tcW w:w="2006" w:type="dxa"/>
            <w:tcBorders>
              <w:top w:val="nil"/>
              <w:left w:val="nil"/>
              <w:bottom w:val="nil"/>
              <w:right w:val="single" w:sz="8" w:space="0" w:color="auto"/>
            </w:tcBorders>
            <w:shd w:val="clear" w:color="auto" w:fill="auto"/>
            <w:vAlign w:val="center"/>
            <w:hideMark/>
          </w:tcPr>
          <w:p w14:paraId="30E1E239" w14:textId="77777777" w:rsidR="005E347E" w:rsidRPr="00AA22C4" w:rsidRDefault="005E347E" w:rsidP="0013416F">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Łączny koszt zakupu testów w zł</w:t>
            </w:r>
          </w:p>
        </w:tc>
      </w:tr>
      <w:tr w:rsidR="00B3776C" w:rsidRPr="00B3776C" w14:paraId="6C5F5BF1" w14:textId="77777777" w:rsidTr="0013416F">
        <w:trPr>
          <w:trHeight w:val="794"/>
        </w:trPr>
        <w:tc>
          <w:tcPr>
            <w:tcW w:w="819" w:type="dxa"/>
            <w:tcBorders>
              <w:top w:val="single" w:sz="8" w:space="0" w:color="auto"/>
              <w:left w:val="single" w:sz="8" w:space="0" w:color="auto"/>
              <w:bottom w:val="single" w:sz="8" w:space="0" w:color="auto"/>
              <w:right w:val="nil"/>
            </w:tcBorders>
            <w:shd w:val="clear" w:color="auto" w:fill="auto"/>
            <w:vAlign w:val="center"/>
            <w:hideMark/>
          </w:tcPr>
          <w:p w14:paraId="5FF109AE" w14:textId="77777777" w:rsidR="005E347E" w:rsidRPr="00AA22C4" w:rsidRDefault="005E347E" w:rsidP="0013416F">
            <w:pPr>
              <w:widowControl/>
              <w:spacing w:line="240" w:lineRule="auto"/>
              <w:jc w:val="center"/>
              <w:rPr>
                <w:rFonts w:ascii="Lato" w:hAnsi="Lato"/>
                <w:color w:val="000000" w:themeColor="text1"/>
                <w:sz w:val="22"/>
                <w:szCs w:val="22"/>
              </w:rPr>
            </w:pPr>
            <w:r w:rsidRPr="00AA22C4">
              <w:rPr>
                <w:rFonts w:ascii="Lato" w:eastAsia="Lucida Sans Unicode" w:hAnsi="Lato"/>
                <w:color w:val="000000" w:themeColor="text1"/>
                <w:sz w:val="20"/>
                <w:szCs w:val="20"/>
              </w:rPr>
              <w:t>8.</w:t>
            </w:r>
          </w:p>
        </w:tc>
        <w:tc>
          <w:tcPr>
            <w:tcW w:w="637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D0D3A5E" w14:textId="77777777" w:rsidR="005E347E" w:rsidRPr="00AA22C4" w:rsidRDefault="005E347E" w:rsidP="0013416F">
            <w:pPr>
              <w:widowControl/>
              <w:spacing w:line="240" w:lineRule="auto"/>
              <w:rPr>
                <w:rFonts w:ascii="Lato" w:hAnsi="Lato"/>
                <w:color w:val="000000" w:themeColor="text1"/>
                <w:sz w:val="20"/>
                <w:szCs w:val="20"/>
              </w:rPr>
            </w:pPr>
            <w:r w:rsidRPr="00AA22C4">
              <w:rPr>
                <w:rFonts w:ascii="Lato" w:eastAsia="Lucida Sans Unicode" w:hAnsi="Lato"/>
                <w:color w:val="000000" w:themeColor="text1"/>
                <w:sz w:val="20"/>
                <w:szCs w:val="20"/>
              </w:rPr>
              <w:t>Koszt testów diagnostycznych i odczynników do badań przesiewowych noworodków w 2026 oraz na zabezpieczenie badań w I kwartale 2027</w:t>
            </w:r>
          </w:p>
        </w:tc>
        <w:tc>
          <w:tcPr>
            <w:tcW w:w="2006" w:type="dxa"/>
            <w:tcBorders>
              <w:top w:val="single" w:sz="8" w:space="0" w:color="auto"/>
              <w:left w:val="nil"/>
              <w:bottom w:val="single" w:sz="8" w:space="0" w:color="auto"/>
              <w:right w:val="single" w:sz="8" w:space="0" w:color="auto"/>
            </w:tcBorders>
            <w:shd w:val="clear" w:color="auto" w:fill="auto"/>
            <w:vAlign w:val="center"/>
            <w:hideMark/>
          </w:tcPr>
          <w:p w14:paraId="3F85000A" w14:textId="0A5C7FBF" w:rsidR="005E347E" w:rsidRPr="00AA22C4" w:rsidRDefault="00394ACD" w:rsidP="00394ACD">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42 082 000</w:t>
            </w:r>
          </w:p>
        </w:tc>
      </w:tr>
      <w:tr w:rsidR="00B3776C" w:rsidRPr="00B3776C" w14:paraId="271AC859" w14:textId="77777777" w:rsidTr="0015358E">
        <w:trPr>
          <w:trHeight w:val="680"/>
        </w:trPr>
        <w:tc>
          <w:tcPr>
            <w:tcW w:w="9195" w:type="dxa"/>
            <w:gridSpan w:val="4"/>
            <w:tcBorders>
              <w:top w:val="single" w:sz="8" w:space="0" w:color="auto"/>
              <w:left w:val="single" w:sz="8" w:space="0" w:color="auto"/>
              <w:bottom w:val="single" w:sz="8" w:space="0" w:color="auto"/>
              <w:right w:val="single" w:sz="8" w:space="0" w:color="000000"/>
            </w:tcBorders>
            <w:shd w:val="clear" w:color="auto" w:fill="E7E6E6"/>
            <w:vAlign w:val="center"/>
            <w:hideMark/>
          </w:tcPr>
          <w:p w14:paraId="2157245D" w14:textId="77777777" w:rsidR="005E347E" w:rsidRPr="00AA22C4" w:rsidRDefault="005E347E" w:rsidP="0013416F">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Koszty ogólnokrajowe IMiD oraz koordynacja i monitorowanie programu</w:t>
            </w:r>
          </w:p>
        </w:tc>
      </w:tr>
      <w:tr w:rsidR="00B3776C" w:rsidRPr="00B3776C" w14:paraId="05FFB188" w14:textId="77777777" w:rsidTr="0013416F">
        <w:trPr>
          <w:trHeight w:val="510"/>
        </w:trPr>
        <w:tc>
          <w:tcPr>
            <w:tcW w:w="819" w:type="dxa"/>
            <w:tcBorders>
              <w:top w:val="nil"/>
              <w:left w:val="single" w:sz="8" w:space="0" w:color="auto"/>
              <w:bottom w:val="nil"/>
              <w:right w:val="nil"/>
            </w:tcBorders>
            <w:shd w:val="clear" w:color="auto" w:fill="auto"/>
            <w:vAlign w:val="center"/>
            <w:hideMark/>
          </w:tcPr>
          <w:p w14:paraId="4984B986" w14:textId="77777777" w:rsidR="005E347E" w:rsidRPr="00AA22C4" w:rsidRDefault="005E347E" w:rsidP="0013416F">
            <w:pPr>
              <w:widowControl/>
              <w:spacing w:line="240" w:lineRule="auto"/>
              <w:jc w:val="center"/>
              <w:rPr>
                <w:rFonts w:ascii="Lato" w:hAnsi="Lato" w:cs="Courier New"/>
                <w:color w:val="000000" w:themeColor="text1"/>
                <w:sz w:val="10"/>
                <w:szCs w:val="10"/>
              </w:rPr>
            </w:pPr>
            <w:r w:rsidRPr="00AA22C4">
              <w:rPr>
                <w:rFonts w:ascii="Lato" w:hAnsi="Lato" w:cs="Courier New"/>
                <w:color w:val="000000" w:themeColor="text1"/>
                <w:sz w:val="10"/>
                <w:szCs w:val="10"/>
              </w:rPr>
              <w:t> </w:t>
            </w:r>
          </w:p>
        </w:tc>
        <w:tc>
          <w:tcPr>
            <w:tcW w:w="637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3CE368E" w14:textId="77777777" w:rsidR="005E347E" w:rsidRPr="00AA22C4" w:rsidRDefault="005E347E" w:rsidP="0013416F">
            <w:pPr>
              <w:widowControl/>
              <w:spacing w:line="240" w:lineRule="auto"/>
              <w:jc w:val="center"/>
              <w:rPr>
                <w:rFonts w:ascii="Lato" w:hAnsi="Lato"/>
                <w:b/>
                <w:bCs/>
                <w:color w:val="000000" w:themeColor="text1"/>
                <w:sz w:val="20"/>
                <w:szCs w:val="20"/>
              </w:rPr>
            </w:pPr>
            <w:r w:rsidRPr="00AA22C4">
              <w:rPr>
                <w:rFonts w:ascii="Lato" w:eastAsia="Lucida Sans Unicode" w:hAnsi="Lato"/>
                <w:b/>
                <w:bCs/>
                <w:color w:val="000000" w:themeColor="text1"/>
                <w:sz w:val="20"/>
                <w:szCs w:val="20"/>
              </w:rPr>
              <w:t>Kategoria wydatków</w:t>
            </w:r>
          </w:p>
        </w:tc>
        <w:tc>
          <w:tcPr>
            <w:tcW w:w="2006" w:type="dxa"/>
            <w:tcBorders>
              <w:top w:val="nil"/>
              <w:left w:val="nil"/>
              <w:bottom w:val="nil"/>
              <w:right w:val="single" w:sz="8" w:space="0" w:color="auto"/>
            </w:tcBorders>
            <w:shd w:val="clear" w:color="auto" w:fill="auto"/>
            <w:vAlign w:val="center"/>
            <w:hideMark/>
          </w:tcPr>
          <w:p w14:paraId="190F9624" w14:textId="77777777" w:rsidR="005E347E" w:rsidRPr="00AA22C4" w:rsidRDefault="005E347E" w:rsidP="0013416F">
            <w:pPr>
              <w:widowControl/>
              <w:spacing w:line="240" w:lineRule="auto"/>
              <w:jc w:val="center"/>
              <w:rPr>
                <w:rFonts w:ascii="Lato" w:hAnsi="Lato"/>
                <w:b/>
                <w:bCs/>
                <w:color w:val="000000" w:themeColor="text1"/>
                <w:sz w:val="20"/>
                <w:szCs w:val="20"/>
              </w:rPr>
            </w:pPr>
            <w:r w:rsidRPr="00AA22C4">
              <w:rPr>
                <w:rFonts w:ascii="Lato" w:hAnsi="Lato"/>
                <w:b/>
                <w:bCs/>
                <w:color w:val="000000" w:themeColor="text1"/>
                <w:sz w:val="20"/>
                <w:szCs w:val="20"/>
              </w:rPr>
              <w:t>Łączny koszt w zł</w:t>
            </w:r>
          </w:p>
        </w:tc>
      </w:tr>
      <w:tr w:rsidR="00B3776C" w:rsidRPr="00B3776C" w14:paraId="16803778" w14:textId="77777777" w:rsidTr="0013416F">
        <w:trPr>
          <w:trHeight w:val="454"/>
        </w:trPr>
        <w:tc>
          <w:tcPr>
            <w:tcW w:w="819" w:type="dxa"/>
            <w:tcBorders>
              <w:top w:val="single" w:sz="8" w:space="0" w:color="auto"/>
              <w:left w:val="single" w:sz="8" w:space="0" w:color="auto"/>
              <w:bottom w:val="single" w:sz="8" w:space="0" w:color="auto"/>
              <w:right w:val="nil"/>
            </w:tcBorders>
            <w:shd w:val="clear" w:color="auto" w:fill="auto"/>
            <w:vAlign w:val="center"/>
            <w:hideMark/>
          </w:tcPr>
          <w:p w14:paraId="3D4A68B3" w14:textId="77777777" w:rsidR="005E347E" w:rsidRPr="00AA22C4" w:rsidRDefault="005E347E" w:rsidP="0013416F">
            <w:pPr>
              <w:widowControl/>
              <w:spacing w:line="240" w:lineRule="auto"/>
              <w:jc w:val="center"/>
              <w:rPr>
                <w:rFonts w:ascii="Lato" w:hAnsi="Lato"/>
                <w:color w:val="000000" w:themeColor="text1"/>
                <w:sz w:val="20"/>
                <w:szCs w:val="20"/>
              </w:rPr>
            </w:pPr>
            <w:r w:rsidRPr="00AA22C4">
              <w:rPr>
                <w:rFonts w:ascii="Lato" w:eastAsia="Lucida Sans Unicode" w:hAnsi="Lato"/>
                <w:color w:val="000000" w:themeColor="text1"/>
                <w:sz w:val="20"/>
                <w:szCs w:val="20"/>
              </w:rPr>
              <w:t>9.</w:t>
            </w:r>
          </w:p>
        </w:tc>
        <w:tc>
          <w:tcPr>
            <w:tcW w:w="637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A9F8101" w14:textId="77777777" w:rsidR="005E347E" w:rsidRPr="00AA22C4" w:rsidRDefault="005E347E" w:rsidP="0013416F">
            <w:pPr>
              <w:widowControl/>
              <w:spacing w:line="240" w:lineRule="auto"/>
              <w:rPr>
                <w:rFonts w:ascii="Lato" w:hAnsi="Lato"/>
                <w:color w:val="000000" w:themeColor="text1"/>
                <w:sz w:val="20"/>
                <w:szCs w:val="20"/>
              </w:rPr>
            </w:pPr>
            <w:r w:rsidRPr="00AA22C4">
              <w:rPr>
                <w:rFonts w:ascii="Lato" w:eastAsia="Lucida Sans Unicode" w:hAnsi="Lato"/>
                <w:color w:val="000000" w:themeColor="text1"/>
                <w:sz w:val="20"/>
                <w:szCs w:val="20"/>
              </w:rPr>
              <w:t>Prowadzenie rejestru noworodków</w:t>
            </w:r>
          </w:p>
        </w:tc>
        <w:tc>
          <w:tcPr>
            <w:tcW w:w="2006" w:type="dxa"/>
            <w:tcBorders>
              <w:top w:val="single" w:sz="8" w:space="0" w:color="auto"/>
              <w:left w:val="nil"/>
              <w:bottom w:val="single" w:sz="8" w:space="0" w:color="auto"/>
              <w:right w:val="single" w:sz="8" w:space="0" w:color="auto"/>
            </w:tcBorders>
            <w:shd w:val="clear" w:color="auto" w:fill="auto"/>
            <w:vAlign w:val="center"/>
          </w:tcPr>
          <w:p w14:paraId="0424E560" w14:textId="1C287479" w:rsidR="005E347E" w:rsidRPr="00AA22C4" w:rsidRDefault="00394ACD" w:rsidP="00394ACD">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128 400</w:t>
            </w:r>
          </w:p>
        </w:tc>
      </w:tr>
      <w:tr w:rsidR="00B3776C" w:rsidRPr="00B3776C" w14:paraId="26D16AF3" w14:textId="77777777" w:rsidTr="0013416F">
        <w:trPr>
          <w:trHeight w:val="454"/>
        </w:trPr>
        <w:tc>
          <w:tcPr>
            <w:tcW w:w="819" w:type="dxa"/>
            <w:tcBorders>
              <w:top w:val="single" w:sz="8" w:space="0" w:color="auto"/>
              <w:left w:val="single" w:sz="8" w:space="0" w:color="auto"/>
              <w:bottom w:val="single" w:sz="4" w:space="0" w:color="auto"/>
              <w:right w:val="nil"/>
            </w:tcBorders>
            <w:shd w:val="clear" w:color="auto" w:fill="auto"/>
            <w:vAlign w:val="center"/>
            <w:hideMark/>
          </w:tcPr>
          <w:p w14:paraId="4FDCB4C9" w14:textId="77777777" w:rsidR="005E347E" w:rsidRPr="00AA22C4" w:rsidRDefault="005E347E" w:rsidP="0013416F">
            <w:pPr>
              <w:widowControl/>
              <w:spacing w:line="240" w:lineRule="auto"/>
              <w:jc w:val="center"/>
              <w:rPr>
                <w:rFonts w:ascii="Lato" w:hAnsi="Lato"/>
                <w:color w:val="000000" w:themeColor="text1"/>
                <w:sz w:val="20"/>
                <w:szCs w:val="20"/>
              </w:rPr>
            </w:pPr>
            <w:r w:rsidRPr="00AA22C4">
              <w:rPr>
                <w:rFonts w:ascii="Lato" w:eastAsia="Lucida Sans Unicode" w:hAnsi="Lato"/>
                <w:color w:val="000000" w:themeColor="text1"/>
                <w:sz w:val="20"/>
                <w:szCs w:val="20"/>
              </w:rPr>
              <w:t>10.</w:t>
            </w:r>
          </w:p>
        </w:tc>
        <w:tc>
          <w:tcPr>
            <w:tcW w:w="6370" w:type="dxa"/>
            <w:gridSpan w:val="2"/>
            <w:tcBorders>
              <w:top w:val="single" w:sz="8" w:space="0" w:color="auto"/>
              <w:left w:val="single" w:sz="8" w:space="0" w:color="auto"/>
              <w:bottom w:val="single" w:sz="4" w:space="0" w:color="auto"/>
              <w:right w:val="single" w:sz="8" w:space="0" w:color="000000"/>
            </w:tcBorders>
            <w:shd w:val="clear" w:color="auto" w:fill="auto"/>
            <w:vAlign w:val="center"/>
            <w:hideMark/>
          </w:tcPr>
          <w:p w14:paraId="611053B7" w14:textId="77777777" w:rsidR="005E347E" w:rsidRPr="00AA22C4" w:rsidRDefault="005E347E" w:rsidP="0013416F">
            <w:pPr>
              <w:widowControl/>
              <w:spacing w:line="240" w:lineRule="auto"/>
              <w:rPr>
                <w:rFonts w:ascii="Lato" w:hAnsi="Lato"/>
                <w:color w:val="000000" w:themeColor="text1"/>
                <w:sz w:val="20"/>
                <w:szCs w:val="20"/>
              </w:rPr>
            </w:pPr>
            <w:r w:rsidRPr="00AA22C4">
              <w:rPr>
                <w:rFonts w:ascii="Lato" w:eastAsia="Lucida Sans Unicode" w:hAnsi="Lato"/>
                <w:color w:val="000000" w:themeColor="text1"/>
                <w:sz w:val="20"/>
                <w:szCs w:val="20"/>
              </w:rPr>
              <w:t>Korespondencja, przesyłki, łączność elektroniczna</w:t>
            </w:r>
          </w:p>
        </w:tc>
        <w:tc>
          <w:tcPr>
            <w:tcW w:w="2006" w:type="dxa"/>
            <w:tcBorders>
              <w:top w:val="single" w:sz="8" w:space="0" w:color="auto"/>
              <w:left w:val="nil"/>
              <w:bottom w:val="single" w:sz="4" w:space="0" w:color="auto"/>
              <w:right w:val="single" w:sz="8" w:space="0" w:color="auto"/>
            </w:tcBorders>
            <w:shd w:val="clear" w:color="auto" w:fill="auto"/>
            <w:vAlign w:val="center"/>
          </w:tcPr>
          <w:p w14:paraId="4A68855F" w14:textId="2AA61F7B" w:rsidR="005E347E" w:rsidRPr="00AA22C4" w:rsidRDefault="005E347E" w:rsidP="0013416F">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4</w:t>
            </w:r>
            <w:r w:rsidR="00394ACD" w:rsidRPr="00AA22C4">
              <w:rPr>
                <w:rFonts w:ascii="Lato" w:eastAsia="Segoe UI" w:hAnsi="Lato"/>
                <w:color w:val="000000" w:themeColor="text1"/>
                <w:sz w:val="20"/>
                <w:szCs w:val="20"/>
              </w:rPr>
              <w:t>4</w:t>
            </w:r>
            <w:r w:rsidRPr="00AA22C4">
              <w:rPr>
                <w:rFonts w:ascii="Lato" w:eastAsia="Segoe UI" w:hAnsi="Lato"/>
                <w:color w:val="000000" w:themeColor="text1"/>
                <w:sz w:val="20"/>
                <w:szCs w:val="20"/>
              </w:rPr>
              <w:t xml:space="preserve"> </w:t>
            </w:r>
            <w:r w:rsidR="00394ACD" w:rsidRPr="00AA22C4">
              <w:rPr>
                <w:rFonts w:ascii="Lato" w:eastAsia="Segoe UI" w:hAnsi="Lato"/>
                <w:color w:val="000000" w:themeColor="text1"/>
                <w:sz w:val="20"/>
                <w:szCs w:val="20"/>
              </w:rPr>
              <w:t>0</w:t>
            </w:r>
            <w:r w:rsidRPr="00AA22C4">
              <w:rPr>
                <w:rFonts w:ascii="Lato" w:eastAsia="Segoe UI" w:hAnsi="Lato"/>
                <w:color w:val="000000" w:themeColor="text1"/>
                <w:sz w:val="20"/>
                <w:szCs w:val="20"/>
              </w:rPr>
              <w:t>00</w:t>
            </w:r>
          </w:p>
        </w:tc>
      </w:tr>
      <w:tr w:rsidR="00B3776C" w:rsidRPr="00B3776C" w14:paraId="584746E3" w14:textId="77777777" w:rsidTr="0013416F">
        <w:trPr>
          <w:trHeight w:val="454"/>
        </w:trPr>
        <w:tc>
          <w:tcPr>
            <w:tcW w:w="819" w:type="dxa"/>
            <w:tcBorders>
              <w:top w:val="single" w:sz="4" w:space="0" w:color="auto"/>
              <w:left w:val="single" w:sz="8" w:space="0" w:color="auto"/>
              <w:bottom w:val="nil"/>
              <w:right w:val="nil"/>
            </w:tcBorders>
            <w:shd w:val="clear" w:color="auto" w:fill="auto"/>
            <w:vAlign w:val="center"/>
            <w:hideMark/>
          </w:tcPr>
          <w:p w14:paraId="4B00B329" w14:textId="77777777" w:rsidR="005E347E" w:rsidRPr="00AA22C4" w:rsidRDefault="005E347E" w:rsidP="0013416F">
            <w:pPr>
              <w:widowControl/>
              <w:spacing w:line="240" w:lineRule="auto"/>
              <w:jc w:val="center"/>
              <w:rPr>
                <w:rFonts w:ascii="Lato" w:hAnsi="Lato"/>
                <w:color w:val="000000" w:themeColor="text1"/>
                <w:sz w:val="20"/>
                <w:szCs w:val="20"/>
              </w:rPr>
            </w:pPr>
            <w:r w:rsidRPr="00AA22C4">
              <w:rPr>
                <w:rFonts w:ascii="Lato" w:eastAsia="Lucida Sans Unicode" w:hAnsi="Lato"/>
                <w:color w:val="000000" w:themeColor="text1"/>
                <w:sz w:val="20"/>
                <w:szCs w:val="20"/>
              </w:rPr>
              <w:t>11.</w:t>
            </w:r>
          </w:p>
        </w:tc>
        <w:tc>
          <w:tcPr>
            <w:tcW w:w="6370" w:type="dxa"/>
            <w:gridSpan w:val="2"/>
            <w:tcBorders>
              <w:top w:val="single" w:sz="4" w:space="0" w:color="auto"/>
              <w:left w:val="single" w:sz="8" w:space="0" w:color="auto"/>
              <w:bottom w:val="single" w:sz="8" w:space="0" w:color="auto"/>
              <w:right w:val="single" w:sz="8" w:space="0" w:color="000000"/>
            </w:tcBorders>
            <w:shd w:val="clear" w:color="auto" w:fill="auto"/>
            <w:vAlign w:val="center"/>
            <w:hideMark/>
          </w:tcPr>
          <w:p w14:paraId="74E5FF49" w14:textId="77777777" w:rsidR="005E347E" w:rsidRPr="00AA22C4" w:rsidRDefault="005E347E" w:rsidP="0013416F">
            <w:pPr>
              <w:widowControl/>
              <w:spacing w:line="240" w:lineRule="auto"/>
              <w:rPr>
                <w:rFonts w:ascii="Lato" w:hAnsi="Lato"/>
                <w:color w:val="000000" w:themeColor="text1"/>
                <w:sz w:val="20"/>
                <w:szCs w:val="20"/>
              </w:rPr>
            </w:pPr>
            <w:r w:rsidRPr="00AA22C4">
              <w:rPr>
                <w:rFonts w:ascii="Lato" w:eastAsia="Lucida Sans Unicode" w:hAnsi="Lato"/>
                <w:color w:val="000000" w:themeColor="text1"/>
                <w:sz w:val="20"/>
                <w:szCs w:val="20"/>
              </w:rPr>
              <w:t>Szkolenia, konferencje, delegacje krajowe</w:t>
            </w:r>
          </w:p>
        </w:tc>
        <w:tc>
          <w:tcPr>
            <w:tcW w:w="2006" w:type="dxa"/>
            <w:tcBorders>
              <w:top w:val="single" w:sz="4" w:space="0" w:color="auto"/>
              <w:left w:val="nil"/>
              <w:bottom w:val="nil"/>
              <w:right w:val="single" w:sz="8" w:space="0" w:color="auto"/>
            </w:tcBorders>
            <w:shd w:val="clear" w:color="auto" w:fill="auto"/>
            <w:vAlign w:val="center"/>
          </w:tcPr>
          <w:p w14:paraId="367F9A17" w14:textId="4D71748E" w:rsidR="005E347E" w:rsidRPr="00AA22C4" w:rsidRDefault="005E347E" w:rsidP="0013416F">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5</w:t>
            </w:r>
            <w:r w:rsidR="00394ACD" w:rsidRPr="00AA22C4">
              <w:rPr>
                <w:rFonts w:ascii="Lato" w:eastAsia="Segoe UI" w:hAnsi="Lato"/>
                <w:color w:val="000000" w:themeColor="text1"/>
                <w:sz w:val="20"/>
                <w:szCs w:val="20"/>
              </w:rPr>
              <w:t>2</w:t>
            </w:r>
            <w:r w:rsidRPr="00AA22C4">
              <w:rPr>
                <w:rFonts w:ascii="Lato" w:eastAsia="Segoe UI" w:hAnsi="Lato"/>
                <w:color w:val="000000" w:themeColor="text1"/>
                <w:sz w:val="20"/>
                <w:szCs w:val="20"/>
              </w:rPr>
              <w:t xml:space="preserve"> </w:t>
            </w:r>
            <w:r w:rsidR="00394ACD" w:rsidRPr="00AA22C4">
              <w:rPr>
                <w:rFonts w:ascii="Lato" w:eastAsia="Segoe UI" w:hAnsi="Lato"/>
                <w:color w:val="000000" w:themeColor="text1"/>
                <w:sz w:val="20"/>
                <w:szCs w:val="20"/>
              </w:rPr>
              <w:t>0</w:t>
            </w:r>
            <w:r w:rsidRPr="00AA22C4">
              <w:rPr>
                <w:rFonts w:ascii="Lato" w:eastAsia="Segoe UI" w:hAnsi="Lato"/>
                <w:color w:val="000000" w:themeColor="text1"/>
                <w:sz w:val="20"/>
                <w:szCs w:val="20"/>
              </w:rPr>
              <w:t>00</w:t>
            </w:r>
          </w:p>
        </w:tc>
      </w:tr>
      <w:tr w:rsidR="00B3776C" w:rsidRPr="00B3776C" w14:paraId="6CA5CA52" w14:textId="77777777" w:rsidTr="0013416F">
        <w:trPr>
          <w:trHeight w:val="454"/>
        </w:trPr>
        <w:tc>
          <w:tcPr>
            <w:tcW w:w="819" w:type="dxa"/>
            <w:tcBorders>
              <w:top w:val="single" w:sz="8" w:space="0" w:color="auto"/>
              <w:left w:val="single" w:sz="8" w:space="0" w:color="auto"/>
              <w:bottom w:val="nil"/>
              <w:right w:val="nil"/>
            </w:tcBorders>
            <w:shd w:val="clear" w:color="auto" w:fill="auto"/>
            <w:vAlign w:val="center"/>
            <w:hideMark/>
          </w:tcPr>
          <w:p w14:paraId="417746D6" w14:textId="77777777" w:rsidR="005E347E" w:rsidRPr="00AA22C4" w:rsidRDefault="005E347E" w:rsidP="0013416F">
            <w:pPr>
              <w:widowControl/>
              <w:spacing w:line="240" w:lineRule="auto"/>
              <w:jc w:val="center"/>
              <w:rPr>
                <w:rFonts w:ascii="Lato" w:hAnsi="Lato"/>
                <w:color w:val="000000" w:themeColor="text1"/>
                <w:sz w:val="20"/>
                <w:szCs w:val="20"/>
              </w:rPr>
            </w:pPr>
            <w:r w:rsidRPr="00AA22C4">
              <w:rPr>
                <w:rFonts w:ascii="Lato" w:eastAsia="Lucida Sans Unicode" w:hAnsi="Lato"/>
                <w:color w:val="000000" w:themeColor="text1"/>
                <w:sz w:val="20"/>
                <w:szCs w:val="20"/>
              </w:rPr>
              <w:t>12.</w:t>
            </w:r>
          </w:p>
        </w:tc>
        <w:tc>
          <w:tcPr>
            <w:tcW w:w="637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7E54774" w14:textId="77777777" w:rsidR="005E347E" w:rsidRPr="00AA22C4" w:rsidRDefault="005E347E" w:rsidP="0013416F">
            <w:pPr>
              <w:widowControl/>
              <w:spacing w:line="240" w:lineRule="auto"/>
              <w:rPr>
                <w:rFonts w:ascii="Lato" w:hAnsi="Lato"/>
                <w:color w:val="000000" w:themeColor="text1"/>
                <w:sz w:val="20"/>
                <w:szCs w:val="20"/>
              </w:rPr>
            </w:pPr>
            <w:r w:rsidRPr="00AA22C4">
              <w:rPr>
                <w:rFonts w:ascii="Lato" w:eastAsia="Lucida Sans Unicode" w:hAnsi="Lato"/>
                <w:color w:val="000000" w:themeColor="text1"/>
                <w:sz w:val="20"/>
                <w:szCs w:val="20"/>
              </w:rPr>
              <w:t>Opracowanie treści oraz grafiki na stronę internetową oraz do materiałów informacyjnych</w:t>
            </w:r>
          </w:p>
        </w:tc>
        <w:tc>
          <w:tcPr>
            <w:tcW w:w="2006" w:type="dxa"/>
            <w:tcBorders>
              <w:top w:val="single" w:sz="8" w:space="0" w:color="auto"/>
              <w:left w:val="nil"/>
              <w:bottom w:val="nil"/>
              <w:right w:val="single" w:sz="8" w:space="0" w:color="auto"/>
            </w:tcBorders>
            <w:shd w:val="clear" w:color="auto" w:fill="auto"/>
            <w:vAlign w:val="center"/>
          </w:tcPr>
          <w:p w14:paraId="51F2DA19" w14:textId="77777777" w:rsidR="005E347E" w:rsidRPr="00AA22C4" w:rsidRDefault="005E347E" w:rsidP="0013416F">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58 800</w:t>
            </w:r>
          </w:p>
        </w:tc>
      </w:tr>
      <w:tr w:rsidR="00B3776C" w:rsidRPr="00B3776C" w14:paraId="235A0633" w14:textId="77777777" w:rsidTr="0013416F">
        <w:trPr>
          <w:trHeight w:val="454"/>
        </w:trPr>
        <w:tc>
          <w:tcPr>
            <w:tcW w:w="819" w:type="dxa"/>
            <w:tcBorders>
              <w:top w:val="single" w:sz="8" w:space="0" w:color="auto"/>
              <w:left w:val="single" w:sz="8" w:space="0" w:color="auto"/>
              <w:bottom w:val="nil"/>
              <w:right w:val="nil"/>
            </w:tcBorders>
            <w:shd w:val="clear" w:color="auto" w:fill="auto"/>
            <w:vAlign w:val="center"/>
            <w:hideMark/>
          </w:tcPr>
          <w:p w14:paraId="2F4F9271" w14:textId="77777777" w:rsidR="005E347E" w:rsidRPr="00AA22C4" w:rsidRDefault="005E347E" w:rsidP="0013416F">
            <w:pPr>
              <w:widowControl/>
              <w:spacing w:line="240" w:lineRule="auto"/>
              <w:jc w:val="center"/>
              <w:rPr>
                <w:rFonts w:ascii="Lato" w:hAnsi="Lato"/>
                <w:color w:val="000000" w:themeColor="text1"/>
                <w:sz w:val="20"/>
                <w:szCs w:val="20"/>
              </w:rPr>
            </w:pPr>
            <w:r w:rsidRPr="00AA22C4">
              <w:rPr>
                <w:rFonts w:ascii="Lato" w:eastAsia="Lucida Sans Unicode" w:hAnsi="Lato"/>
                <w:color w:val="000000" w:themeColor="text1"/>
                <w:sz w:val="20"/>
                <w:szCs w:val="20"/>
              </w:rPr>
              <w:t>13.</w:t>
            </w:r>
          </w:p>
        </w:tc>
        <w:tc>
          <w:tcPr>
            <w:tcW w:w="637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AB1CD33" w14:textId="77777777" w:rsidR="005E347E" w:rsidRPr="00AA22C4" w:rsidRDefault="005E347E" w:rsidP="0013416F">
            <w:pPr>
              <w:widowControl/>
              <w:spacing w:line="240" w:lineRule="auto"/>
              <w:rPr>
                <w:rFonts w:ascii="Lato" w:hAnsi="Lato"/>
                <w:color w:val="000000" w:themeColor="text1"/>
                <w:sz w:val="20"/>
                <w:szCs w:val="20"/>
              </w:rPr>
            </w:pPr>
            <w:r w:rsidRPr="00AA22C4">
              <w:rPr>
                <w:rFonts w:ascii="Lato" w:eastAsia="Lucida Sans Unicode" w:hAnsi="Lato"/>
                <w:color w:val="000000" w:themeColor="text1"/>
                <w:sz w:val="20"/>
                <w:szCs w:val="20"/>
              </w:rPr>
              <w:t>Koszty osobowe</w:t>
            </w:r>
          </w:p>
        </w:tc>
        <w:tc>
          <w:tcPr>
            <w:tcW w:w="2006" w:type="dxa"/>
            <w:tcBorders>
              <w:top w:val="single" w:sz="8" w:space="0" w:color="auto"/>
              <w:left w:val="nil"/>
              <w:bottom w:val="nil"/>
              <w:right w:val="single" w:sz="8" w:space="0" w:color="auto"/>
            </w:tcBorders>
            <w:shd w:val="clear" w:color="auto" w:fill="auto"/>
            <w:vAlign w:val="center"/>
          </w:tcPr>
          <w:p w14:paraId="3219D054" w14:textId="58D1DBDA" w:rsidR="005E347E" w:rsidRPr="00AA22C4" w:rsidRDefault="005E347E" w:rsidP="0013416F">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25</w:t>
            </w:r>
            <w:r w:rsidR="00394ACD" w:rsidRPr="00AA22C4">
              <w:rPr>
                <w:rFonts w:ascii="Lato" w:eastAsia="Segoe UI" w:hAnsi="Lato"/>
                <w:color w:val="000000" w:themeColor="text1"/>
                <w:sz w:val="20"/>
                <w:szCs w:val="20"/>
              </w:rPr>
              <w:t>0</w:t>
            </w:r>
            <w:r w:rsidRPr="00AA22C4">
              <w:rPr>
                <w:rFonts w:ascii="Lato" w:eastAsia="Segoe UI" w:hAnsi="Lato"/>
                <w:color w:val="000000" w:themeColor="text1"/>
                <w:sz w:val="20"/>
                <w:szCs w:val="20"/>
              </w:rPr>
              <w:t xml:space="preserve"> </w:t>
            </w:r>
            <w:r w:rsidR="00394ACD" w:rsidRPr="00AA22C4">
              <w:rPr>
                <w:rFonts w:ascii="Lato" w:eastAsia="Segoe UI" w:hAnsi="Lato"/>
                <w:color w:val="000000" w:themeColor="text1"/>
                <w:sz w:val="20"/>
                <w:szCs w:val="20"/>
              </w:rPr>
              <w:t>8</w:t>
            </w:r>
            <w:r w:rsidRPr="00AA22C4">
              <w:rPr>
                <w:rFonts w:ascii="Lato" w:eastAsia="Segoe UI" w:hAnsi="Lato"/>
                <w:color w:val="000000" w:themeColor="text1"/>
                <w:sz w:val="20"/>
                <w:szCs w:val="20"/>
              </w:rPr>
              <w:t>00</w:t>
            </w:r>
          </w:p>
        </w:tc>
      </w:tr>
      <w:tr w:rsidR="00B3776C" w:rsidRPr="00B3776C" w14:paraId="78D4D4C5" w14:textId="77777777" w:rsidTr="0013416F">
        <w:trPr>
          <w:trHeight w:val="454"/>
        </w:trPr>
        <w:tc>
          <w:tcPr>
            <w:tcW w:w="819" w:type="dxa"/>
            <w:tcBorders>
              <w:top w:val="single" w:sz="8" w:space="0" w:color="auto"/>
              <w:left w:val="single" w:sz="8" w:space="0" w:color="auto"/>
              <w:bottom w:val="nil"/>
              <w:right w:val="nil"/>
            </w:tcBorders>
            <w:shd w:val="clear" w:color="auto" w:fill="auto"/>
            <w:vAlign w:val="center"/>
            <w:hideMark/>
          </w:tcPr>
          <w:p w14:paraId="4FACAAA4" w14:textId="77777777" w:rsidR="005E347E" w:rsidRPr="00AA22C4" w:rsidRDefault="005E347E" w:rsidP="0013416F">
            <w:pPr>
              <w:widowControl/>
              <w:spacing w:line="240" w:lineRule="auto"/>
              <w:jc w:val="center"/>
              <w:rPr>
                <w:rFonts w:ascii="Lato" w:hAnsi="Lato"/>
                <w:color w:val="000000" w:themeColor="text1"/>
                <w:sz w:val="20"/>
                <w:szCs w:val="20"/>
              </w:rPr>
            </w:pPr>
            <w:r w:rsidRPr="00AA22C4">
              <w:rPr>
                <w:rFonts w:ascii="Lato" w:eastAsia="Lucida Sans Unicode" w:hAnsi="Lato"/>
                <w:color w:val="000000" w:themeColor="text1"/>
                <w:sz w:val="20"/>
                <w:szCs w:val="20"/>
              </w:rPr>
              <w:t>14.</w:t>
            </w:r>
          </w:p>
        </w:tc>
        <w:tc>
          <w:tcPr>
            <w:tcW w:w="637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E1B46CC" w14:textId="77777777" w:rsidR="005E347E" w:rsidRPr="00AA22C4" w:rsidRDefault="005E347E" w:rsidP="0013416F">
            <w:pPr>
              <w:widowControl/>
              <w:spacing w:line="240" w:lineRule="auto"/>
              <w:rPr>
                <w:rFonts w:ascii="Lato" w:hAnsi="Lato"/>
                <w:color w:val="000000" w:themeColor="text1"/>
                <w:sz w:val="20"/>
                <w:szCs w:val="20"/>
              </w:rPr>
            </w:pPr>
            <w:r w:rsidRPr="00AA22C4">
              <w:rPr>
                <w:rFonts w:ascii="Lato" w:eastAsia="Lucida Sans Unicode" w:hAnsi="Lato"/>
                <w:color w:val="000000" w:themeColor="text1"/>
                <w:sz w:val="20"/>
                <w:szCs w:val="20"/>
              </w:rPr>
              <w:t>Opracowanie oraz druk ulotek, materiałów informacyjnych, plakatów, instrukcji, etykiet z kodem</w:t>
            </w:r>
          </w:p>
        </w:tc>
        <w:tc>
          <w:tcPr>
            <w:tcW w:w="2006" w:type="dxa"/>
            <w:tcBorders>
              <w:top w:val="single" w:sz="8" w:space="0" w:color="auto"/>
              <w:left w:val="nil"/>
              <w:bottom w:val="nil"/>
              <w:right w:val="single" w:sz="8" w:space="0" w:color="auto"/>
            </w:tcBorders>
            <w:shd w:val="clear" w:color="auto" w:fill="auto"/>
            <w:vAlign w:val="center"/>
          </w:tcPr>
          <w:p w14:paraId="6777C531" w14:textId="77777777" w:rsidR="005E347E" w:rsidRPr="00AA22C4" w:rsidRDefault="005E347E" w:rsidP="0013416F">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230 000</w:t>
            </w:r>
          </w:p>
        </w:tc>
      </w:tr>
      <w:tr w:rsidR="00B3776C" w:rsidRPr="00B3776C" w14:paraId="2AE2CA09" w14:textId="77777777" w:rsidTr="0013416F">
        <w:trPr>
          <w:trHeight w:val="454"/>
        </w:trPr>
        <w:tc>
          <w:tcPr>
            <w:tcW w:w="819" w:type="dxa"/>
            <w:tcBorders>
              <w:top w:val="single" w:sz="8" w:space="0" w:color="auto"/>
              <w:left w:val="single" w:sz="8" w:space="0" w:color="auto"/>
              <w:bottom w:val="nil"/>
              <w:right w:val="nil"/>
            </w:tcBorders>
            <w:shd w:val="clear" w:color="auto" w:fill="auto"/>
            <w:vAlign w:val="center"/>
            <w:hideMark/>
          </w:tcPr>
          <w:p w14:paraId="17F37FF5" w14:textId="77777777" w:rsidR="005E347E" w:rsidRPr="00AA22C4" w:rsidRDefault="005E347E" w:rsidP="0013416F">
            <w:pPr>
              <w:widowControl/>
              <w:spacing w:line="240" w:lineRule="auto"/>
              <w:jc w:val="center"/>
              <w:rPr>
                <w:rFonts w:ascii="Lato" w:hAnsi="Lato"/>
                <w:color w:val="000000" w:themeColor="text1"/>
                <w:sz w:val="20"/>
                <w:szCs w:val="20"/>
              </w:rPr>
            </w:pPr>
            <w:r w:rsidRPr="00AA22C4">
              <w:rPr>
                <w:rFonts w:ascii="Lato" w:eastAsia="Lucida Sans Unicode" w:hAnsi="Lato"/>
                <w:color w:val="000000" w:themeColor="text1"/>
                <w:sz w:val="20"/>
                <w:szCs w:val="20"/>
              </w:rPr>
              <w:t>15.</w:t>
            </w:r>
          </w:p>
        </w:tc>
        <w:tc>
          <w:tcPr>
            <w:tcW w:w="637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3808D2D" w14:textId="77777777" w:rsidR="005E347E" w:rsidRPr="00AA22C4" w:rsidRDefault="005E347E" w:rsidP="0013416F">
            <w:pPr>
              <w:widowControl/>
              <w:spacing w:line="240" w:lineRule="auto"/>
              <w:rPr>
                <w:rFonts w:ascii="Lato" w:hAnsi="Lato"/>
                <w:color w:val="000000" w:themeColor="text1"/>
                <w:sz w:val="20"/>
                <w:szCs w:val="20"/>
              </w:rPr>
            </w:pPr>
            <w:r w:rsidRPr="00AA22C4">
              <w:rPr>
                <w:rFonts w:ascii="Lato" w:eastAsia="Lucida Sans Unicode" w:hAnsi="Lato"/>
                <w:color w:val="000000" w:themeColor="text1"/>
                <w:sz w:val="20"/>
                <w:szCs w:val="20"/>
              </w:rPr>
              <w:t>Transport próbek krwi ze szpitali do ośrodków przesiewowych w całym kraju</w:t>
            </w:r>
          </w:p>
        </w:tc>
        <w:tc>
          <w:tcPr>
            <w:tcW w:w="2006" w:type="dxa"/>
            <w:tcBorders>
              <w:top w:val="single" w:sz="8" w:space="0" w:color="auto"/>
              <w:left w:val="nil"/>
              <w:bottom w:val="single" w:sz="8" w:space="0" w:color="auto"/>
              <w:right w:val="single" w:sz="8" w:space="0" w:color="auto"/>
            </w:tcBorders>
            <w:shd w:val="clear" w:color="auto" w:fill="auto"/>
            <w:vAlign w:val="center"/>
          </w:tcPr>
          <w:p w14:paraId="25B4F9E0" w14:textId="1B3F5393" w:rsidR="005E347E" w:rsidRPr="00AA22C4" w:rsidRDefault="005E347E" w:rsidP="0013416F">
            <w:pPr>
              <w:widowControl/>
              <w:spacing w:line="240" w:lineRule="auto"/>
              <w:jc w:val="center"/>
              <w:rPr>
                <w:rFonts w:ascii="Lato" w:eastAsia="Segoe UI" w:hAnsi="Lato"/>
                <w:color w:val="000000" w:themeColor="text1"/>
                <w:sz w:val="20"/>
                <w:szCs w:val="20"/>
              </w:rPr>
            </w:pPr>
            <w:r w:rsidRPr="00AA22C4">
              <w:rPr>
                <w:rFonts w:ascii="Lato" w:eastAsia="Segoe UI" w:hAnsi="Lato"/>
                <w:color w:val="000000" w:themeColor="text1"/>
                <w:sz w:val="20"/>
                <w:szCs w:val="20"/>
              </w:rPr>
              <w:t xml:space="preserve">2 </w:t>
            </w:r>
            <w:r w:rsidR="00394ACD" w:rsidRPr="00AA22C4">
              <w:rPr>
                <w:rFonts w:ascii="Lato" w:eastAsia="Segoe UI" w:hAnsi="Lato"/>
                <w:color w:val="000000" w:themeColor="text1"/>
                <w:sz w:val="20"/>
                <w:szCs w:val="20"/>
              </w:rPr>
              <w:t>65</w:t>
            </w:r>
            <w:r w:rsidRPr="00AA22C4">
              <w:rPr>
                <w:rFonts w:ascii="Lato" w:eastAsia="Segoe UI" w:hAnsi="Lato"/>
                <w:color w:val="000000" w:themeColor="text1"/>
                <w:sz w:val="20"/>
                <w:szCs w:val="20"/>
              </w:rPr>
              <w:t>0 000</w:t>
            </w:r>
          </w:p>
        </w:tc>
      </w:tr>
      <w:tr w:rsidR="00B3776C" w:rsidRPr="00B3776C" w14:paraId="7CDED8A7" w14:textId="77777777" w:rsidTr="0013416F">
        <w:trPr>
          <w:trHeight w:val="454"/>
        </w:trPr>
        <w:tc>
          <w:tcPr>
            <w:tcW w:w="7189"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596D95EE" w14:textId="77777777" w:rsidR="005E347E" w:rsidRPr="00AA22C4" w:rsidRDefault="005E347E" w:rsidP="0013416F">
            <w:pPr>
              <w:widowControl/>
              <w:spacing w:line="240" w:lineRule="auto"/>
              <w:jc w:val="right"/>
              <w:rPr>
                <w:rFonts w:ascii="Lato" w:hAnsi="Lato"/>
                <w:b/>
                <w:bCs/>
                <w:color w:val="000000" w:themeColor="text1"/>
                <w:sz w:val="20"/>
                <w:szCs w:val="20"/>
              </w:rPr>
            </w:pPr>
            <w:r w:rsidRPr="00AA22C4">
              <w:rPr>
                <w:rFonts w:ascii="Lato" w:eastAsia="Lucida Sans Unicode" w:hAnsi="Lato"/>
                <w:b/>
                <w:bCs/>
                <w:color w:val="000000" w:themeColor="text1"/>
                <w:sz w:val="20"/>
                <w:szCs w:val="20"/>
              </w:rPr>
              <w:t>Razem:</w:t>
            </w:r>
          </w:p>
        </w:tc>
        <w:tc>
          <w:tcPr>
            <w:tcW w:w="2006" w:type="dxa"/>
            <w:tcBorders>
              <w:top w:val="nil"/>
              <w:left w:val="nil"/>
              <w:bottom w:val="single" w:sz="8" w:space="0" w:color="auto"/>
              <w:right w:val="single" w:sz="8" w:space="0" w:color="auto"/>
            </w:tcBorders>
            <w:shd w:val="clear" w:color="auto" w:fill="auto"/>
            <w:vAlign w:val="center"/>
          </w:tcPr>
          <w:p w14:paraId="5C1DC36B" w14:textId="39AB234B" w:rsidR="005E347E" w:rsidRPr="00AA22C4" w:rsidRDefault="00394ACD" w:rsidP="00394ACD">
            <w:pPr>
              <w:widowControl/>
              <w:spacing w:line="240" w:lineRule="auto"/>
              <w:jc w:val="center"/>
              <w:rPr>
                <w:rFonts w:ascii="Lato" w:eastAsia="Segoe UI" w:hAnsi="Lato"/>
                <w:b/>
                <w:bCs/>
                <w:color w:val="000000" w:themeColor="text1"/>
                <w:sz w:val="20"/>
                <w:szCs w:val="20"/>
              </w:rPr>
            </w:pPr>
            <w:r w:rsidRPr="00AA22C4">
              <w:rPr>
                <w:rFonts w:ascii="Lato" w:eastAsia="Segoe UI" w:hAnsi="Lato"/>
                <w:b/>
                <w:bCs/>
                <w:color w:val="000000" w:themeColor="text1"/>
                <w:sz w:val="20"/>
                <w:szCs w:val="20"/>
              </w:rPr>
              <w:t>3 414 000</w:t>
            </w:r>
          </w:p>
        </w:tc>
      </w:tr>
      <w:tr w:rsidR="00B3776C" w:rsidRPr="00B3776C" w14:paraId="32BF4FC5" w14:textId="77777777" w:rsidTr="0015358E">
        <w:trPr>
          <w:trHeight w:val="510"/>
        </w:trPr>
        <w:tc>
          <w:tcPr>
            <w:tcW w:w="7189" w:type="dxa"/>
            <w:gridSpan w:val="3"/>
            <w:tcBorders>
              <w:top w:val="single" w:sz="8" w:space="0" w:color="auto"/>
              <w:left w:val="single" w:sz="8" w:space="0" w:color="auto"/>
              <w:bottom w:val="single" w:sz="8" w:space="0" w:color="auto"/>
              <w:right w:val="single" w:sz="8" w:space="0" w:color="000000"/>
            </w:tcBorders>
            <w:shd w:val="clear" w:color="auto" w:fill="AEAAAA"/>
            <w:vAlign w:val="center"/>
            <w:hideMark/>
          </w:tcPr>
          <w:p w14:paraId="0C2A7762" w14:textId="689F11A1" w:rsidR="005E347E" w:rsidRPr="00AA22C4" w:rsidRDefault="005E347E" w:rsidP="0013416F">
            <w:pPr>
              <w:widowControl/>
              <w:spacing w:line="240" w:lineRule="auto"/>
              <w:jc w:val="center"/>
              <w:rPr>
                <w:rFonts w:ascii="Lato" w:hAnsi="Lato"/>
                <w:b/>
                <w:bCs/>
                <w:color w:val="000000" w:themeColor="text1"/>
                <w:sz w:val="22"/>
                <w:szCs w:val="22"/>
              </w:rPr>
            </w:pPr>
            <w:bookmarkStart w:id="69" w:name="_Hlk112763754"/>
            <w:r w:rsidRPr="00AA22C4">
              <w:rPr>
                <w:rFonts w:ascii="Lato" w:hAnsi="Lato"/>
                <w:b/>
                <w:bCs/>
                <w:color w:val="000000" w:themeColor="text1"/>
                <w:sz w:val="22"/>
                <w:szCs w:val="22"/>
              </w:rPr>
              <w:t xml:space="preserve">Koszt całkowity badań przesiewowych w 2026 </w:t>
            </w:r>
            <w:r w:rsidR="00170996" w:rsidRPr="00AA22C4">
              <w:rPr>
                <w:rFonts w:ascii="Lato" w:hAnsi="Lato"/>
                <w:b/>
                <w:bCs/>
                <w:color w:val="000000" w:themeColor="text1"/>
                <w:sz w:val="22"/>
                <w:szCs w:val="22"/>
              </w:rPr>
              <w:t xml:space="preserve">r. </w:t>
            </w:r>
            <w:r w:rsidRPr="00AA22C4">
              <w:rPr>
                <w:rFonts w:ascii="Lato" w:hAnsi="Lato"/>
                <w:b/>
                <w:bCs/>
                <w:color w:val="000000" w:themeColor="text1"/>
                <w:sz w:val="22"/>
                <w:szCs w:val="22"/>
              </w:rPr>
              <w:t>w zł</w:t>
            </w:r>
          </w:p>
        </w:tc>
        <w:tc>
          <w:tcPr>
            <w:tcW w:w="2006" w:type="dxa"/>
            <w:tcBorders>
              <w:top w:val="nil"/>
              <w:left w:val="nil"/>
              <w:bottom w:val="single" w:sz="8" w:space="0" w:color="auto"/>
              <w:right w:val="single" w:sz="8" w:space="0" w:color="auto"/>
            </w:tcBorders>
            <w:shd w:val="clear" w:color="auto" w:fill="AEAAAA"/>
            <w:vAlign w:val="center"/>
          </w:tcPr>
          <w:p w14:paraId="54328FB1" w14:textId="1063FBDF" w:rsidR="005E347E" w:rsidRPr="00AA22C4" w:rsidRDefault="00394ACD" w:rsidP="00394ACD">
            <w:pPr>
              <w:widowControl/>
              <w:spacing w:line="240" w:lineRule="auto"/>
              <w:jc w:val="center"/>
              <w:rPr>
                <w:rFonts w:ascii="Lato" w:hAnsi="Lato"/>
                <w:b/>
                <w:bCs/>
                <w:color w:val="000000" w:themeColor="text1"/>
                <w:sz w:val="22"/>
                <w:szCs w:val="22"/>
              </w:rPr>
            </w:pPr>
            <w:r w:rsidRPr="00AA22C4">
              <w:rPr>
                <w:rFonts w:ascii="Lato" w:hAnsi="Lato"/>
                <w:b/>
                <w:bCs/>
                <w:color w:val="000000" w:themeColor="text1"/>
                <w:sz w:val="22"/>
                <w:szCs w:val="22"/>
              </w:rPr>
              <w:t>92 636 440</w:t>
            </w:r>
          </w:p>
        </w:tc>
      </w:tr>
      <w:bookmarkEnd w:id="69"/>
    </w:tbl>
    <w:p w14:paraId="70640391" w14:textId="77777777" w:rsidR="005E347E" w:rsidRPr="00AA22C4" w:rsidRDefault="005E347E" w:rsidP="005E347E">
      <w:pPr>
        <w:widowControl/>
        <w:spacing w:line="240" w:lineRule="auto"/>
        <w:rPr>
          <w:rFonts w:ascii="Lato" w:hAnsi="Lato"/>
          <w:b/>
          <w:color w:val="000000" w:themeColor="text1"/>
          <w:sz w:val="28"/>
          <w:szCs w:val="22"/>
        </w:rPr>
      </w:pPr>
    </w:p>
    <w:p w14:paraId="47E9CB0F" w14:textId="77777777" w:rsidR="004B20D9" w:rsidRPr="00AA22C4" w:rsidRDefault="004B20D9" w:rsidP="005E347E">
      <w:pPr>
        <w:widowControl/>
        <w:spacing w:line="240" w:lineRule="auto"/>
        <w:rPr>
          <w:rFonts w:ascii="Lato" w:hAnsi="Lato"/>
          <w:b/>
          <w:color w:val="000000" w:themeColor="text1"/>
          <w:sz w:val="28"/>
          <w:szCs w:val="22"/>
        </w:rPr>
      </w:pPr>
    </w:p>
    <w:p w14:paraId="6F1FE22D" w14:textId="77777777" w:rsidR="004B20D9" w:rsidRPr="00AA22C4" w:rsidRDefault="004B20D9" w:rsidP="005E347E">
      <w:pPr>
        <w:widowControl/>
        <w:spacing w:line="240" w:lineRule="auto"/>
        <w:rPr>
          <w:rFonts w:ascii="Lato" w:hAnsi="Lato"/>
          <w:b/>
          <w:color w:val="000000" w:themeColor="text1"/>
          <w:sz w:val="28"/>
          <w:szCs w:val="22"/>
        </w:rPr>
      </w:pPr>
    </w:p>
    <w:p w14:paraId="3534CF7C" w14:textId="77777777" w:rsidR="004B20D9" w:rsidRPr="00AA22C4" w:rsidRDefault="004B20D9" w:rsidP="005E347E">
      <w:pPr>
        <w:widowControl/>
        <w:spacing w:line="240" w:lineRule="auto"/>
        <w:rPr>
          <w:rFonts w:ascii="Lato" w:hAnsi="Lato"/>
          <w:b/>
          <w:color w:val="000000" w:themeColor="text1"/>
          <w:sz w:val="28"/>
          <w:szCs w:val="22"/>
        </w:rPr>
      </w:pPr>
    </w:p>
    <w:p w14:paraId="46089AB1" w14:textId="77777777" w:rsidR="004B20D9" w:rsidRPr="00AA22C4" w:rsidRDefault="004B20D9" w:rsidP="005E347E">
      <w:pPr>
        <w:widowControl/>
        <w:spacing w:line="240" w:lineRule="auto"/>
        <w:rPr>
          <w:rFonts w:ascii="Lato" w:hAnsi="Lato"/>
          <w:b/>
          <w:color w:val="000000" w:themeColor="text1"/>
          <w:sz w:val="28"/>
          <w:szCs w:val="22"/>
        </w:rPr>
      </w:pPr>
    </w:p>
    <w:p w14:paraId="53235F8D" w14:textId="77777777" w:rsidR="004B20D9" w:rsidRPr="00AA22C4" w:rsidRDefault="004B20D9" w:rsidP="005E347E">
      <w:pPr>
        <w:widowControl/>
        <w:spacing w:line="240" w:lineRule="auto"/>
        <w:rPr>
          <w:rFonts w:ascii="Lato" w:hAnsi="Lato"/>
          <w:b/>
          <w:color w:val="000000" w:themeColor="text1"/>
          <w:sz w:val="28"/>
          <w:szCs w:val="22"/>
        </w:rPr>
      </w:pPr>
    </w:p>
    <w:p w14:paraId="0F15899B" w14:textId="77777777" w:rsidR="004B20D9" w:rsidRPr="00AA22C4" w:rsidRDefault="004B20D9" w:rsidP="005E347E">
      <w:pPr>
        <w:widowControl/>
        <w:spacing w:line="240" w:lineRule="auto"/>
        <w:rPr>
          <w:rFonts w:ascii="Lato" w:hAnsi="Lato"/>
          <w:b/>
          <w:color w:val="000000" w:themeColor="text1"/>
          <w:sz w:val="28"/>
          <w:szCs w:val="22"/>
        </w:rPr>
      </w:pPr>
    </w:p>
    <w:p w14:paraId="484CA991" w14:textId="77777777" w:rsidR="004B20D9" w:rsidRPr="00AA22C4" w:rsidRDefault="004B20D9" w:rsidP="005E347E">
      <w:pPr>
        <w:widowControl/>
        <w:spacing w:line="240" w:lineRule="auto"/>
        <w:rPr>
          <w:rFonts w:ascii="Lato" w:hAnsi="Lato"/>
          <w:b/>
          <w:color w:val="000000" w:themeColor="text1"/>
          <w:sz w:val="28"/>
          <w:szCs w:val="22"/>
        </w:rPr>
      </w:pPr>
    </w:p>
    <w:p w14:paraId="40120A99" w14:textId="77777777" w:rsidR="004B20D9" w:rsidRPr="00AA22C4" w:rsidRDefault="004B20D9" w:rsidP="005E347E">
      <w:pPr>
        <w:widowControl/>
        <w:spacing w:line="240" w:lineRule="auto"/>
        <w:rPr>
          <w:rFonts w:ascii="Lato" w:hAnsi="Lato"/>
          <w:b/>
          <w:color w:val="000000" w:themeColor="text1"/>
          <w:sz w:val="28"/>
          <w:szCs w:val="22"/>
        </w:rPr>
      </w:pPr>
    </w:p>
    <w:p w14:paraId="0F2D7124" w14:textId="77777777" w:rsidR="004B20D9" w:rsidRPr="00AA22C4" w:rsidRDefault="004B20D9" w:rsidP="005E347E">
      <w:pPr>
        <w:widowControl/>
        <w:spacing w:line="240" w:lineRule="auto"/>
        <w:rPr>
          <w:rFonts w:ascii="Lato" w:hAnsi="Lato"/>
          <w:b/>
          <w:color w:val="000000" w:themeColor="text1"/>
          <w:sz w:val="28"/>
          <w:szCs w:val="22"/>
        </w:rPr>
      </w:pPr>
    </w:p>
    <w:p w14:paraId="5D5A3896" w14:textId="77777777" w:rsidR="004B20D9" w:rsidRPr="00AA22C4" w:rsidRDefault="004B20D9" w:rsidP="005E347E">
      <w:pPr>
        <w:widowControl/>
        <w:spacing w:line="240" w:lineRule="auto"/>
        <w:rPr>
          <w:rFonts w:ascii="Lato" w:hAnsi="Lato"/>
          <w:b/>
          <w:color w:val="000000" w:themeColor="text1"/>
          <w:sz w:val="28"/>
          <w:szCs w:val="22"/>
        </w:rPr>
      </w:pPr>
    </w:p>
    <w:p w14:paraId="6939A968" w14:textId="77777777" w:rsidR="004B20D9" w:rsidRPr="00AA22C4" w:rsidRDefault="004B20D9" w:rsidP="005E347E">
      <w:pPr>
        <w:widowControl/>
        <w:spacing w:line="240" w:lineRule="auto"/>
        <w:rPr>
          <w:rFonts w:ascii="Lato" w:hAnsi="Lato"/>
          <w:b/>
          <w:color w:val="000000" w:themeColor="text1"/>
          <w:sz w:val="28"/>
          <w:szCs w:val="22"/>
        </w:rPr>
      </w:pPr>
    </w:p>
    <w:p w14:paraId="6424EF98" w14:textId="77777777" w:rsidR="004B20D9" w:rsidRPr="00AA22C4" w:rsidRDefault="004B20D9" w:rsidP="005E347E">
      <w:pPr>
        <w:widowControl/>
        <w:spacing w:line="240" w:lineRule="auto"/>
        <w:rPr>
          <w:rFonts w:ascii="Lato" w:hAnsi="Lato"/>
          <w:b/>
          <w:color w:val="000000" w:themeColor="text1"/>
          <w:sz w:val="28"/>
          <w:szCs w:val="22"/>
        </w:rPr>
      </w:pPr>
    </w:p>
    <w:p w14:paraId="78087AE0" w14:textId="77777777" w:rsidR="004B20D9" w:rsidRPr="00AA22C4" w:rsidRDefault="004B20D9" w:rsidP="005E347E">
      <w:pPr>
        <w:widowControl/>
        <w:spacing w:line="240" w:lineRule="auto"/>
        <w:rPr>
          <w:rFonts w:ascii="Lato" w:hAnsi="Lato"/>
          <w:b/>
          <w:color w:val="000000" w:themeColor="text1"/>
          <w:sz w:val="28"/>
          <w:szCs w:val="22"/>
        </w:rPr>
      </w:pPr>
    </w:p>
    <w:p w14:paraId="785EC959" w14:textId="77777777" w:rsidR="004B20D9" w:rsidRPr="00AA22C4" w:rsidRDefault="004B20D9" w:rsidP="005E347E">
      <w:pPr>
        <w:widowControl/>
        <w:spacing w:line="240" w:lineRule="auto"/>
        <w:rPr>
          <w:rFonts w:ascii="Lato" w:hAnsi="Lato"/>
          <w:b/>
          <w:color w:val="000000" w:themeColor="text1"/>
          <w:sz w:val="28"/>
          <w:szCs w:val="22"/>
        </w:rPr>
      </w:pPr>
    </w:p>
    <w:p w14:paraId="675F63C6" w14:textId="77777777" w:rsidR="004B20D9" w:rsidRPr="00AA22C4" w:rsidRDefault="004B20D9" w:rsidP="005E347E">
      <w:pPr>
        <w:widowControl/>
        <w:spacing w:line="240" w:lineRule="auto"/>
        <w:rPr>
          <w:rFonts w:ascii="Lato" w:hAnsi="Lato"/>
          <w:b/>
          <w:color w:val="000000" w:themeColor="text1"/>
          <w:sz w:val="28"/>
          <w:szCs w:val="22"/>
        </w:rPr>
      </w:pPr>
    </w:p>
    <w:p w14:paraId="51839A4A" w14:textId="77777777" w:rsidR="005E347E" w:rsidRPr="00AA22C4" w:rsidRDefault="005E347E" w:rsidP="005E347E">
      <w:pPr>
        <w:pStyle w:val="Akapitzlist"/>
        <w:keepNext/>
        <w:keepLines/>
        <w:numPr>
          <w:ilvl w:val="0"/>
          <w:numId w:val="112"/>
        </w:numPr>
        <w:suppressAutoHyphens w:val="0"/>
        <w:spacing w:line="360" w:lineRule="auto"/>
        <w:outlineLvl w:val="1"/>
        <w:rPr>
          <w:rFonts w:ascii="Lato" w:eastAsia="Times New Roman" w:hAnsi="Lato"/>
          <w:b/>
          <w:bCs/>
          <w:vanish/>
          <w:color w:val="000000" w:themeColor="text1"/>
          <w:kern w:val="0"/>
          <w:sz w:val="28"/>
          <w:szCs w:val="22"/>
          <w:lang w:eastAsia="pl-PL"/>
        </w:rPr>
      </w:pPr>
    </w:p>
    <w:p w14:paraId="40C2F049" w14:textId="77777777" w:rsidR="005E347E" w:rsidRPr="00AA22C4" w:rsidRDefault="005E347E" w:rsidP="005E347E">
      <w:pPr>
        <w:pStyle w:val="Akapitzlist"/>
        <w:keepNext/>
        <w:keepLines/>
        <w:numPr>
          <w:ilvl w:val="0"/>
          <w:numId w:val="112"/>
        </w:numPr>
        <w:suppressAutoHyphens w:val="0"/>
        <w:spacing w:line="360" w:lineRule="auto"/>
        <w:outlineLvl w:val="1"/>
        <w:rPr>
          <w:rFonts w:ascii="Lato" w:eastAsia="Times New Roman" w:hAnsi="Lato"/>
          <w:b/>
          <w:bCs/>
          <w:vanish/>
          <w:color w:val="000000" w:themeColor="text1"/>
          <w:kern w:val="0"/>
          <w:sz w:val="28"/>
          <w:szCs w:val="22"/>
          <w:lang w:eastAsia="pl-PL"/>
        </w:rPr>
      </w:pPr>
    </w:p>
    <w:p w14:paraId="1188ED79" w14:textId="77777777" w:rsidR="005E347E" w:rsidRPr="00AA22C4" w:rsidRDefault="005E347E" w:rsidP="005E347E">
      <w:pPr>
        <w:pStyle w:val="Akapitzlist"/>
        <w:keepNext/>
        <w:keepLines/>
        <w:numPr>
          <w:ilvl w:val="0"/>
          <w:numId w:val="112"/>
        </w:numPr>
        <w:suppressAutoHyphens w:val="0"/>
        <w:spacing w:line="360" w:lineRule="auto"/>
        <w:outlineLvl w:val="1"/>
        <w:rPr>
          <w:rFonts w:ascii="Lato" w:eastAsia="Times New Roman" w:hAnsi="Lato"/>
          <w:b/>
          <w:bCs/>
          <w:vanish/>
          <w:color w:val="000000" w:themeColor="text1"/>
          <w:kern w:val="0"/>
          <w:sz w:val="28"/>
          <w:szCs w:val="22"/>
          <w:lang w:eastAsia="pl-PL"/>
        </w:rPr>
      </w:pPr>
    </w:p>
    <w:p w14:paraId="4D0B0356" w14:textId="77777777" w:rsidR="005E347E" w:rsidRPr="00AA22C4" w:rsidRDefault="005E347E" w:rsidP="005E347E">
      <w:pPr>
        <w:pStyle w:val="Akapitzlist"/>
        <w:keepNext/>
        <w:keepLines/>
        <w:numPr>
          <w:ilvl w:val="0"/>
          <w:numId w:val="112"/>
        </w:numPr>
        <w:suppressAutoHyphens w:val="0"/>
        <w:spacing w:line="360" w:lineRule="auto"/>
        <w:outlineLvl w:val="1"/>
        <w:rPr>
          <w:rFonts w:ascii="Lato" w:eastAsia="Times New Roman" w:hAnsi="Lato"/>
          <w:b/>
          <w:bCs/>
          <w:vanish/>
          <w:color w:val="000000" w:themeColor="text1"/>
          <w:kern w:val="0"/>
          <w:sz w:val="28"/>
          <w:szCs w:val="22"/>
          <w:lang w:eastAsia="pl-PL"/>
        </w:rPr>
      </w:pPr>
    </w:p>
    <w:p w14:paraId="3A8BE5EA" w14:textId="77777777" w:rsidR="005E347E" w:rsidRPr="00AA22C4" w:rsidRDefault="005E347E" w:rsidP="005E347E">
      <w:pPr>
        <w:pStyle w:val="Akapitzlist"/>
        <w:keepNext/>
        <w:keepLines/>
        <w:numPr>
          <w:ilvl w:val="0"/>
          <w:numId w:val="112"/>
        </w:numPr>
        <w:suppressAutoHyphens w:val="0"/>
        <w:spacing w:line="360" w:lineRule="auto"/>
        <w:outlineLvl w:val="1"/>
        <w:rPr>
          <w:rFonts w:ascii="Lato" w:eastAsia="Times New Roman" w:hAnsi="Lato"/>
          <w:b/>
          <w:bCs/>
          <w:vanish/>
          <w:color w:val="000000" w:themeColor="text1"/>
          <w:kern w:val="0"/>
          <w:sz w:val="28"/>
          <w:szCs w:val="22"/>
          <w:lang w:eastAsia="pl-PL"/>
        </w:rPr>
      </w:pPr>
    </w:p>
    <w:p w14:paraId="24001C86" w14:textId="77777777" w:rsidR="005E347E" w:rsidRPr="00AA22C4" w:rsidRDefault="005E347E" w:rsidP="005E347E">
      <w:pPr>
        <w:pStyle w:val="Akapitzlist"/>
        <w:keepNext/>
        <w:keepLines/>
        <w:numPr>
          <w:ilvl w:val="1"/>
          <w:numId w:val="112"/>
        </w:numPr>
        <w:suppressAutoHyphens w:val="0"/>
        <w:spacing w:line="360" w:lineRule="auto"/>
        <w:outlineLvl w:val="1"/>
        <w:rPr>
          <w:rFonts w:ascii="Lato" w:eastAsia="Times New Roman" w:hAnsi="Lato"/>
          <w:b/>
          <w:bCs/>
          <w:vanish/>
          <w:color w:val="000000" w:themeColor="text1"/>
          <w:kern w:val="0"/>
          <w:sz w:val="28"/>
          <w:szCs w:val="22"/>
          <w:lang w:eastAsia="pl-PL"/>
        </w:rPr>
      </w:pPr>
    </w:p>
    <w:p w14:paraId="33530457" w14:textId="269CFC63" w:rsidR="005E347E" w:rsidRPr="00AA22C4" w:rsidRDefault="006A15A2" w:rsidP="005E347E">
      <w:pPr>
        <w:pStyle w:val="Nagwek2"/>
        <w:numPr>
          <w:ilvl w:val="1"/>
          <w:numId w:val="112"/>
        </w:numPr>
        <w:spacing w:before="0" w:after="0"/>
        <w:contextualSpacing/>
        <w:rPr>
          <w:rFonts w:ascii="Lato" w:hAnsi="Lato"/>
          <w:bCs w:val="0"/>
          <w:color w:val="000000" w:themeColor="text1"/>
          <w:sz w:val="28"/>
          <w:szCs w:val="22"/>
        </w:rPr>
      </w:pPr>
      <w:bookmarkStart w:id="70" w:name="_Źródło_finansowania"/>
      <w:bookmarkEnd w:id="70"/>
      <w:r>
        <w:rPr>
          <w:rFonts w:ascii="Lato" w:hAnsi="Lato"/>
          <w:color w:val="000000" w:themeColor="text1"/>
          <w:sz w:val="28"/>
          <w:szCs w:val="22"/>
        </w:rPr>
        <w:t>Ź</w:t>
      </w:r>
      <w:r w:rsidR="005E347E" w:rsidRPr="00AA22C4">
        <w:rPr>
          <w:rFonts w:ascii="Lato" w:hAnsi="Lato"/>
          <w:color w:val="000000" w:themeColor="text1"/>
          <w:sz w:val="28"/>
          <w:szCs w:val="22"/>
        </w:rPr>
        <w:t>ródło finansowania</w:t>
      </w:r>
      <w:r w:rsidR="005E347E" w:rsidRPr="00AA22C4">
        <w:rPr>
          <w:rFonts w:ascii="Lato" w:hAnsi="Lato"/>
          <w:bCs w:val="0"/>
          <w:color w:val="000000" w:themeColor="text1"/>
          <w:sz w:val="28"/>
          <w:szCs w:val="22"/>
        </w:rPr>
        <w:t xml:space="preserve"> </w:t>
      </w:r>
    </w:p>
    <w:p w14:paraId="12DA5846"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Badania przesiewowe noworodków nie należą do badań standardowych, dla których wypracowano stałe normy i standardy diagnostyczne oraz lecznicze, lecz są ciągle rozwijanym, specjalistycznym działem chemii klinicznej, czego dowodem są setki publikacji naukowych oraz specjalistyczne konferencje poświęcone stale doskonalonej metodyce i technice przesiewowej, a nawet poszczególnym chorobom, np. mukowiscydozie. Program badań przesiewowych wymaga dostosowywania do najnowszych osiągnięć nauki oraz poszerzania przez wprowadzanie badań w kierunku kolejnych chorób wrodzonych, dlatego powinien być finansowany przez ministra właściwego do spraw zdrowia, a nie Narodowy Fundusz Zdrowia. Program badań przesiewowych w innym systemie finansowania byłby zatrzymany na obecnym etapie rozwoju i nie obejmowałby nowych chorób spełniających kryteria określone przez Światową Organizację Zdrowia oraz rekomendowanych przez ekspertów z </w:t>
      </w:r>
      <w:proofErr w:type="spellStart"/>
      <w:r w:rsidRPr="00AA22C4">
        <w:rPr>
          <w:rFonts w:ascii="Lato" w:hAnsi="Lato"/>
          <w:color w:val="000000" w:themeColor="text1"/>
          <w:sz w:val="22"/>
          <w:szCs w:val="22"/>
        </w:rPr>
        <w:t>European</w:t>
      </w:r>
      <w:proofErr w:type="spellEnd"/>
      <w:r w:rsidRPr="00AA22C4">
        <w:rPr>
          <w:rFonts w:ascii="Lato" w:hAnsi="Lato"/>
          <w:color w:val="000000" w:themeColor="text1"/>
          <w:sz w:val="22"/>
          <w:szCs w:val="22"/>
        </w:rPr>
        <w:t xml:space="preserve"> Union Network of </w:t>
      </w:r>
      <w:proofErr w:type="spellStart"/>
      <w:r w:rsidRPr="00AA22C4">
        <w:rPr>
          <w:rFonts w:ascii="Lato" w:hAnsi="Lato"/>
          <w:color w:val="000000" w:themeColor="text1"/>
          <w:sz w:val="22"/>
          <w:szCs w:val="22"/>
        </w:rPr>
        <w:t>Experts</w:t>
      </w:r>
      <w:proofErr w:type="spellEnd"/>
      <w:r w:rsidRPr="00AA22C4">
        <w:rPr>
          <w:rFonts w:ascii="Lato" w:hAnsi="Lato"/>
          <w:color w:val="000000" w:themeColor="text1"/>
          <w:sz w:val="22"/>
          <w:szCs w:val="22"/>
        </w:rPr>
        <w:t xml:space="preserve"> on </w:t>
      </w:r>
      <w:proofErr w:type="spellStart"/>
      <w:r w:rsidRPr="00AA22C4">
        <w:rPr>
          <w:rFonts w:ascii="Lato" w:hAnsi="Lato"/>
          <w:color w:val="000000" w:themeColor="text1"/>
          <w:sz w:val="22"/>
          <w:szCs w:val="22"/>
        </w:rPr>
        <w:t>Newborn</w:t>
      </w:r>
      <w:proofErr w:type="spellEnd"/>
      <w:r w:rsidRPr="00AA22C4">
        <w:rPr>
          <w:rFonts w:ascii="Lato" w:hAnsi="Lato"/>
          <w:color w:val="000000" w:themeColor="text1"/>
          <w:sz w:val="22"/>
          <w:szCs w:val="22"/>
        </w:rPr>
        <w:t xml:space="preserve"> Screening.</w:t>
      </w:r>
    </w:p>
    <w:p w14:paraId="5D7920A9" w14:textId="77C615CA"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Badania przesiewowe, powinny być zakwalifikowane, jako stałe działanie profilaktyczne w ochronie zdrowia, analogicznie do większości krajów europejskich, w których nie ocenia się już zasadności finansowania, a programy są finansowane przez Ministerstwo Zdrowia lub analogiczne jednostki rządowe. Ze względu na konieczność dostosowania się do szybkiego postępu w świecie, badania przesiewowe powinny być prowadzone w dotychczasowej formie organizacyjnej, jako program </w:t>
      </w:r>
      <w:r w:rsidR="00EB3406" w:rsidRPr="00AA22C4">
        <w:rPr>
          <w:rFonts w:ascii="Lato" w:hAnsi="Lato"/>
          <w:color w:val="000000" w:themeColor="text1"/>
          <w:sz w:val="22"/>
          <w:szCs w:val="22"/>
        </w:rPr>
        <w:t xml:space="preserve">polityki zdrowotnej </w:t>
      </w:r>
      <w:r w:rsidRPr="00AA22C4">
        <w:rPr>
          <w:rFonts w:ascii="Lato" w:hAnsi="Lato"/>
          <w:color w:val="000000" w:themeColor="text1"/>
          <w:sz w:val="22"/>
          <w:szCs w:val="22"/>
        </w:rPr>
        <w:t xml:space="preserve">Ministra Zdrowia. </w:t>
      </w:r>
    </w:p>
    <w:p w14:paraId="0AE6EC2F" w14:textId="0FEB4E0B" w:rsidR="005E347E" w:rsidRPr="00AA22C4" w:rsidRDefault="005E347E" w:rsidP="00667DF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Program w 100% finansowany będzie ze środków będących w dyspozycji ministra właściwego do spraw zdrowia, w ramach części 46 – Zdrowie, dział 851 – Ochrona zdrowia, rozdział 85149 – Programy polityki zdrowotnej.</w:t>
      </w:r>
    </w:p>
    <w:p w14:paraId="57FF730E" w14:textId="77777777"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W kosztorysie na lata 2019-2022 uwzględniono projekt inflacji Narodowego Banku Polskiego z dnia 16 lipca 2018 r., która określa poziom inflacji do 2020 r., z uwzględnieniem stałych stóp procentowych. Przyjęto poziom inflacji dla 2019 r. na poziomie – 2,7%, 2020 – 2,9% (80). W dalszych latach, ze względu na brak danych, przyjęto poziom z 2020 r. </w:t>
      </w:r>
    </w:p>
    <w:p w14:paraId="7DEDD1D3" w14:textId="17586575"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t xml:space="preserve">Kosztorys na lata 2023-2024 przygotowano </w:t>
      </w:r>
      <w:r w:rsidR="00B01154" w:rsidRPr="00AA22C4">
        <w:rPr>
          <w:rFonts w:ascii="Lato" w:hAnsi="Lato"/>
          <w:color w:val="000000" w:themeColor="text1"/>
          <w:sz w:val="22"/>
          <w:szCs w:val="22"/>
        </w:rPr>
        <w:t xml:space="preserve">na podstawie </w:t>
      </w:r>
      <w:r w:rsidRPr="00AA22C4">
        <w:rPr>
          <w:rFonts w:ascii="Lato" w:hAnsi="Lato"/>
          <w:color w:val="000000" w:themeColor="text1"/>
          <w:sz w:val="22"/>
          <w:szCs w:val="22"/>
        </w:rPr>
        <w:t>projekcj</w:t>
      </w:r>
      <w:r w:rsidR="00B01154" w:rsidRPr="00AA22C4">
        <w:rPr>
          <w:rFonts w:ascii="Lato" w:hAnsi="Lato"/>
          <w:color w:val="000000" w:themeColor="text1"/>
          <w:sz w:val="22"/>
          <w:szCs w:val="22"/>
        </w:rPr>
        <w:t>i</w:t>
      </w:r>
      <w:r w:rsidRPr="00AA22C4">
        <w:rPr>
          <w:rFonts w:ascii="Lato" w:hAnsi="Lato"/>
          <w:color w:val="000000" w:themeColor="text1"/>
          <w:sz w:val="22"/>
          <w:szCs w:val="22"/>
        </w:rPr>
        <w:t xml:space="preserve"> inflacji Narodowego Banku Polskiego z dnia 1 marca 2022</w:t>
      </w:r>
      <w:r w:rsidR="00B01154" w:rsidRPr="00AA22C4">
        <w:rPr>
          <w:rFonts w:ascii="Lato" w:hAnsi="Lato"/>
          <w:color w:val="000000" w:themeColor="text1"/>
          <w:sz w:val="22"/>
          <w:szCs w:val="22"/>
        </w:rPr>
        <w:t xml:space="preserve"> r</w:t>
      </w:r>
      <w:r w:rsidRPr="00AA22C4">
        <w:rPr>
          <w:rFonts w:ascii="Lato" w:hAnsi="Lato"/>
          <w:color w:val="000000" w:themeColor="text1"/>
          <w:sz w:val="22"/>
          <w:szCs w:val="22"/>
        </w:rPr>
        <w:t xml:space="preserve">. Zgodnie z projekcją przyjęto poziom inflacji dla 2023 r. w wysokości 9,0%, natomiast dla 2024 r. - 4,2%.  </w:t>
      </w:r>
    </w:p>
    <w:p w14:paraId="27978184" w14:textId="35F94EB6" w:rsidR="005E347E" w:rsidRPr="00AA22C4" w:rsidRDefault="005E347E" w:rsidP="005E347E">
      <w:pPr>
        <w:pStyle w:val="Tekstprzypisudolnego"/>
        <w:spacing w:before="120" w:after="120"/>
        <w:jc w:val="both"/>
        <w:rPr>
          <w:rFonts w:ascii="Lato" w:hAnsi="Lato"/>
          <w:strike/>
          <w:color w:val="000000" w:themeColor="text1"/>
          <w:sz w:val="22"/>
          <w:szCs w:val="22"/>
        </w:rPr>
      </w:pPr>
      <w:r w:rsidRPr="00AA22C4">
        <w:rPr>
          <w:rFonts w:ascii="Lato" w:hAnsi="Lato"/>
          <w:color w:val="000000" w:themeColor="text1"/>
          <w:sz w:val="22"/>
          <w:szCs w:val="22"/>
        </w:rPr>
        <w:t xml:space="preserve">Dla 2025 </w:t>
      </w:r>
      <w:r w:rsidR="00B01154" w:rsidRPr="00AA22C4">
        <w:rPr>
          <w:rFonts w:ascii="Lato" w:hAnsi="Lato"/>
          <w:color w:val="000000" w:themeColor="text1"/>
          <w:sz w:val="22"/>
          <w:szCs w:val="22"/>
        </w:rPr>
        <w:t xml:space="preserve">r. </w:t>
      </w:r>
      <w:r w:rsidRPr="00AA22C4">
        <w:rPr>
          <w:rFonts w:ascii="Lato" w:hAnsi="Lato"/>
          <w:color w:val="000000" w:themeColor="text1"/>
          <w:sz w:val="22"/>
          <w:szCs w:val="22"/>
        </w:rPr>
        <w:t xml:space="preserve">przyjęto poziom finansowania </w:t>
      </w:r>
      <w:r w:rsidR="00B01154" w:rsidRPr="00AA22C4">
        <w:rPr>
          <w:rFonts w:ascii="Lato" w:hAnsi="Lato"/>
          <w:color w:val="000000" w:themeColor="text1"/>
          <w:sz w:val="22"/>
          <w:szCs w:val="22"/>
        </w:rPr>
        <w:t xml:space="preserve">na podstawie </w:t>
      </w:r>
      <w:r w:rsidRPr="00AA22C4">
        <w:rPr>
          <w:rFonts w:ascii="Lato" w:hAnsi="Lato"/>
          <w:color w:val="000000" w:themeColor="text1"/>
          <w:sz w:val="22"/>
          <w:szCs w:val="22"/>
        </w:rPr>
        <w:t>projekcj</w:t>
      </w:r>
      <w:r w:rsidR="00B01154" w:rsidRPr="00AA22C4">
        <w:rPr>
          <w:rFonts w:ascii="Lato" w:hAnsi="Lato"/>
          <w:color w:val="000000" w:themeColor="text1"/>
          <w:sz w:val="22"/>
          <w:szCs w:val="22"/>
        </w:rPr>
        <w:t>i</w:t>
      </w:r>
      <w:r w:rsidRPr="00AA22C4">
        <w:rPr>
          <w:rFonts w:ascii="Lato" w:hAnsi="Lato"/>
          <w:color w:val="000000" w:themeColor="text1"/>
          <w:sz w:val="22"/>
          <w:szCs w:val="22"/>
        </w:rPr>
        <w:t xml:space="preserve"> inflacji Narodowego Banku Polskiego z dnia </w:t>
      </w:r>
      <w:r w:rsidR="001454A3" w:rsidRPr="00AA22C4">
        <w:rPr>
          <w:rFonts w:ascii="Lato" w:hAnsi="Lato"/>
          <w:color w:val="000000" w:themeColor="text1"/>
          <w:sz w:val="22"/>
          <w:szCs w:val="22"/>
        </w:rPr>
        <w:t>8 listopada 2024 r.  wynoszącą 5</w:t>
      </w:r>
      <w:r w:rsidRPr="00AA22C4">
        <w:rPr>
          <w:rFonts w:ascii="Lato" w:hAnsi="Lato"/>
          <w:color w:val="000000" w:themeColor="text1"/>
          <w:sz w:val="22"/>
          <w:szCs w:val="22"/>
        </w:rPr>
        <w:t>,</w:t>
      </w:r>
      <w:r w:rsidR="001454A3" w:rsidRPr="00AA22C4">
        <w:rPr>
          <w:rFonts w:ascii="Lato" w:hAnsi="Lato"/>
          <w:color w:val="000000" w:themeColor="text1"/>
          <w:sz w:val="22"/>
          <w:szCs w:val="22"/>
        </w:rPr>
        <w:t>6</w:t>
      </w:r>
      <w:r w:rsidRPr="00AA22C4">
        <w:rPr>
          <w:rFonts w:ascii="Lato" w:hAnsi="Lato"/>
          <w:color w:val="000000" w:themeColor="text1"/>
          <w:sz w:val="22"/>
          <w:szCs w:val="22"/>
        </w:rPr>
        <w:t>%</w:t>
      </w:r>
      <w:r w:rsidR="000D012C" w:rsidRPr="00AA22C4">
        <w:rPr>
          <w:rFonts w:ascii="Lato" w:hAnsi="Lato"/>
          <w:color w:val="000000" w:themeColor="text1"/>
          <w:sz w:val="22"/>
          <w:szCs w:val="22"/>
        </w:rPr>
        <w:t xml:space="preserve">, a dla 2026 </w:t>
      </w:r>
      <w:r w:rsidR="00B01154" w:rsidRPr="00AA22C4">
        <w:rPr>
          <w:rFonts w:ascii="Lato" w:hAnsi="Lato"/>
          <w:color w:val="000000" w:themeColor="text1"/>
          <w:sz w:val="22"/>
          <w:szCs w:val="22"/>
        </w:rPr>
        <w:t xml:space="preserve">r. </w:t>
      </w:r>
      <w:r w:rsidR="000D012C" w:rsidRPr="00AA22C4">
        <w:rPr>
          <w:rFonts w:ascii="Lato" w:hAnsi="Lato"/>
          <w:color w:val="000000" w:themeColor="text1"/>
          <w:sz w:val="22"/>
          <w:szCs w:val="22"/>
        </w:rPr>
        <w:t>– 2,7%</w:t>
      </w:r>
      <w:r w:rsidRPr="00AA22C4">
        <w:rPr>
          <w:rFonts w:ascii="Lato" w:hAnsi="Lato"/>
          <w:color w:val="000000" w:themeColor="text1"/>
          <w:sz w:val="22"/>
          <w:szCs w:val="22"/>
        </w:rPr>
        <w:t xml:space="preserve"> (81</w:t>
      </w:r>
      <w:r w:rsidR="000D012C" w:rsidRPr="00AA22C4">
        <w:rPr>
          <w:rFonts w:ascii="Lato" w:hAnsi="Lato"/>
          <w:color w:val="000000" w:themeColor="text1"/>
          <w:sz w:val="22"/>
          <w:szCs w:val="22"/>
        </w:rPr>
        <w:t xml:space="preserve">). </w:t>
      </w:r>
      <w:r w:rsidRPr="00AA22C4">
        <w:rPr>
          <w:rFonts w:ascii="Lato" w:hAnsi="Lato"/>
          <w:color w:val="000000" w:themeColor="text1"/>
          <w:sz w:val="22"/>
          <w:szCs w:val="22"/>
        </w:rPr>
        <w:t>Ponadto uwzględniono trend spadkowy liczby urodzeń (82)</w:t>
      </w:r>
      <w:r w:rsidR="002D716A" w:rsidRPr="00AA22C4">
        <w:rPr>
          <w:rFonts w:ascii="Lato" w:hAnsi="Lato"/>
          <w:color w:val="000000" w:themeColor="text1"/>
          <w:sz w:val="22"/>
          <w:szCs w:val="22"/>
        </w:rPr>
        <w:t>.</w:t>
      </w:r>
      <w:r w:rsidR="002D716A" w:rsidRPr="00AA22C4">
        <w:rPr>
          <w:rFonts w:ascii="Lato" w:hAnsi="Lato"/>
          <w:strike/>
          <w:color w:val="000000" w:themeColor="text1"/>
          <w:sz w:val="22"/>
          <w:szCs w:val="22"/>
        </w:rPr>
        <w:t xml:space="preserve"> </w:t>
      </w:r>
    </w:p>
    <w:p w14:paraId="54B9C02B" w14:textId="77777777" w:rsidR="006B7116" w:rsidRDefault="006B7116" w:rsidP="005E347E">
      <w:pPr>
        <w:pStyle w:val="Tekstprzypisudolnego"/>
        <w:spacing w:before="120" w:after="120"/>
        <w:jc w:val="both"/>
        <w:rPr>
          <w:rFonts w:ascii="Lato" w:hAnsi="Lato"/>
          <w:color w:val="000000" w:themeColor="text1"/>
          <w:sz w:val="22"/>
          <w:szCs w:val="22"/>
        </w:rPr>
      </w:pPr>
    </w:p>
    <w:p w14:paraId="7A507426" w14:textId="320A6B0E" w:rsidR="005E347E" w:rsidRPr="00AA22C4" w:rsidRDefault="005E347E" w:rsidP="005E347E">
      <w:pPr>
        <w:pStyle w:val="Tekstprzypisudolnego"/>
        <w:spacing w:before="120" w:after="120"/>
        <w:jc w:val="both"/>
        <w:rPr>
          <w:rFonts w:ascii="Lato" w:hAnsi="Lato"/>
          <w:color w:val="000000" w:themeColor="text1"/>
          <w:sz w:val="22"/>
          <w:szCs w:val="22"/>
        </w:rPr>
      </w:pPr>
      <w:r w:rsidRPr="00AA22C4">
        <w:rPr>
          <w:rFonts w:ascii="Lato" w:hAnsi="Lato"/>
          <w:color w:val="000000" w:themeColor="text1"/>
          <w:sz w:val="22"/>
          <w:szCs w:val="22"/>
        </w:rPr>
        <w:lastRenderedPageBreak/>
        <w:t>Ostateczna wysokość środków przeznaczonych na realizację Programu</w:t>
      </w:r>
      <w:r w:rsidR="00345858" w:rsidRPr="00AA22C4">
        <w:rPr>
          <w:rFonts w:ascii="Lato" w:hAnsi="Lato"/>
          <w:color w:val="000000" w:themeColor="text1"/>
          <w:sz w:val="22"/>
          <w:szCs w:val="22"/>
        </w:rPr>
        <w:t xml:space="preserve"> z uwzględnieniem prognozowan</w:t>
      </w:r>
      <w:r w:rsidR="00D65495" w:rsidRPr="00AA22C4">
        <w:rPr>
          <w:rFonts w:ascii="Lato" w:hAnsi="Lato"/>
          <w:color w:val="000000" w:themeColor="text1"/>
          <w:sz w:val="22"/>
          <w:szCs w:val="22"/>
        </w:rPr>
        <w:t>ej</w:t>
      </w:r>
      <w:r w:rsidR="00345858" w:rsidRPr="00AA22C4">
        <w:rPr>
          <w:rFonts w:ascii="Lato" w:hAnsi="Lato"/>
          <w:color w:val="000000" w:themeColor="text1"/>
          <w:sz w:val="22"/>
          <w:szCs w:val="22"/>
        </w:rPr>
        <w:t xml:space="preserve"> inflacji</w:t>
      </w:r>
      <w:r w:rsidR="007A1642" w:rsidRPr="00AA22C4">
        <w:rPr>
          <w:rFonts w:ascii="Lato" w:hAnsi="Lato"/>
          <w:color w:val="000000" w:themeColor="text1"/>
          <w:sz w:val="22"/>
          <w:szCs w:val="22"/>
        </w:rPr>
        <w:t xml:space="preserve"> oraz </w:t>
      </w:r>
      <w:r w:rsidR="00D65495" w:rsidRPr="00AA22C4">
        <w:rPr>
          <w:rFonts w:ascii="Lato" w:hAnsi="Lato"/>
          <w:color w:val="000000" w:themeColor="text1"/>
          <w:sz w:val="22"/>
          <w:szCs w:val="22"/>
        </w:rPr>
        <w:t xml:space="preserve">prawdopodobnego </w:t>
      </w:r>
      <w:r w:rsidR="00345858" w:rsidRPr="00AA22C4">
        <w:rPr>
          <w:rFonts w:ascii="Lato" w:hAnsi="Lato"/>
          <w:color w:val="000000" w:themeColor="text1"/>
          <w:sz w:val="22"/>
          <w:szCs w:val="22"/>
        </w:rPr>
        <w:t xml:space="preserve">wskaźnika urodzeń </w:t>
      </w:r>
      <w:r w:rsidR="007A1642" w:rsidRPr="00AA22C4">
        <w:rPr>
          <w:rFonts w:ascii="Lato" w:hAnsi="Lato"/>
          <w:color w:val="000000" w:themeColor="text1"/>
          <w:sz w:val="22"/>
          <w:szCs w:val="22"/>
        </w:rPr>
        <w:t xml:space="preserve">na każdy rok </w:t>
      </w:r>
      <w:r w:rsidR="00345858" w:rsidRPr="00AA22C4">
        <w:rPr>
          <w:rFonts w:ascii="Lato" w:hAnsi="Lato"/>
          <w:color w:val="000000" w:themeColor="text1"/>
          <w:sz w:val="22"/>
          <w:szCs w:val="22"/>
        </w:rPr>
        <w:t>jest określana</w:t>
      </w:r>
      <w:r w:rsidRPr="00AA22C4">
        <w:rPr>
          <w:rFonts w:ascii="Lato" w:hAnsi="Lato"/>
          <w:color w:val="000000" w:themeColor="text1"/>
          <w:sz w:val="22"/>
          <w:szCs w:val="22"/>
        </w:rPr>
        <w:t xml:space="preserve"> w umowach (oddzielnie w zakresie realizacji badań, zakupu testów i odczynników oraz koordynacji) zawartych z realizatorem Programu i</w:t>
      </w:r>
      <w:r w:rsidR="007A1642" w:rsidRPr="00AA22C4">
        <w:rPr>
          <w:rFonts w:ascii="Lato" w:hAnsi="Lato"/>
          <w:color w:val="000000" w:themeColor="text1"/>
          <w:sz w:val="22"/>
          <w:szCs w:val="22"/>
        </w:rPr>
        <w:t xml:space="preserve"> jest</w:t>
      </w:r>
      <w:r w:rsidRPr="00AA22C4">
        <w:rPr>
          <w:rFonts w:ascii="Lato" w:hAnsi="Lato"/>
          <w:color w:val="000000" w:themeColor="text1"/>
          <w:sz w:val="22"/>
          <w:szCs w:val="22"/>
        </w:rPr>
        <w:t xml:space="preserve"> aktualizowana na początku każdego roku. Należy mieć na uwadze, </w:t>
      </w:r>
      <w:r w:rsidR="00A05056" w:rsidRPr="00AA22C4">
        <w:rPr>
          <w:rFonts w:ascii="Lato" w:hAnsi="Lato"/>
          <w:color w:val="000000" w:themeColor="text1"/>
          <w:sz w:val="22"/>
          <w:szCs w:val="22"/>
        </w:rPr>
        <w:t>że</w:t>
      </w:r>
      <w:r w:rsidRPr="00AA22C4">
        <w:rPr>
          <w:rFonts w:ascii="Lato" w:hAnsi="Lato"/>
          <w:color w:val="000000" w:themeColor="text1"/>
          <w:sz w:val="22"/>
          <w:szCs w:val="22"/>
        </w:rPr>
        <w:t xml:space="preserve"> ostateczna wysokość środków przeznaczona na realizację Programu</w:t>
      </w:r>
      <w:r w:rsidR="00A05056" w:rsidRPr="00AA22C4">
        <w:rPr>
          <w:color w:val="000000" w:themeColor="text1"/>
        </w:rPr>
        <w:t xml:space="preserve"> </w:t>
      </w:r>
      <w:r w:rsidR="00A05056" w:rsidRPr="00AA22C4">
        <w:rPr>
          <w:rFonts w:ascii="Lato" w:hAnsi="Lato"/>
          <w:color w:val="000000" w:themeColor="text1"/>
          <w:sz w:val="22"/>
          <w:szCs w:val="22"/>
        </w:rPr>
        <w:t>jest</w:t>
      </w:r>
      <w:r w:rsidRPr="00AA22C4">
        <w:rPr>
          <w:rFonts w:ascii="Lato" w:hAnsi="Lato"/>
          <w:color w:val="000000" w:themeColor="text1"/>
          <w:sz w:val="22"/>
          <w:szCs w:val="22"/>
        </w:rPr>
        <w:t xml:space="preserve"> zależna przede wszystkim od prognozowanej liczby urodzeń na dany rok. </w:t>
      </w:r>
      <w:r w:rsidR="00A05056" w:rsidRPr="00AA22C4">
        <w:rPr>
          <w:rFonts w:ascii="Lato" w:hAnsi="Lato"/>
          <w:color w:val="000000" w:themeColor="text1"/>
          <w:sz w:val="22"/>
          <w:szCs w:val="22"/>
        </w:rPr>
        <w:t xml:space="preserve"> </w:t>
      </w:r>
    </w:p>
    <w:p w14:paraId="320A3CCA" w14:textId="77777777" w:rsidR="005E347E" w:rsidRPr="00AA22C4" w:rsidRDefault="005E347E" w:rsidP="005E347E">
      <w:pPr>
        <w:pStyle w:val="Tekstprzypisudolnego"/>
        <w:spacing w:before="120" w:after="120"/>
        <w:jc w:val="both"/>
        <w:outlineLvl w:val="0"/>
        <w:rPr>
          <w:rFonts w:ascii="Lato" w:hAnsi="Lato"/>
          <w:b/>
          <w:color w:val="000000" w:themeColor="text1"/>
          <w:sz w:val="36"/>
          <w:szCs w:val="22"/>
        </w:rPr>
      </w:pPr>
      <w:r w:rsidRPr="00AA22C4">
        <w:rPr>
          <w:rFonts w:ascii="Lato" w:hAnsi="Lato"/>
          <w:b/>
          <w:color w:val="000000" w:themeColor="text1"/>
          <w:sz w:val="36"/>
          <w:szCs w:val="22"/>
        </w:rPr>
        <w:br w:type="page"/>
      </w:r>
      <w:bookmarkStart w:id="71" w:name="_Toc514072299"/>
      <w:r w:rsidRPr="00AA22C4">
        <w:rPr>
          <w:rFonts w:ascii="Lato" w:hAnsi="Lato"/>
          <w:b/>
          <w:color w:val="000000" w:themeColor="text1"/>
          <w:sz w:val="32"/>
        </w:rPr>
        <w:lastRenderedPageBreak/>
        <w:t>Bibliografia</w:t>
      </w:r>
      <w:bookmarkEnd w:id="71"/>
      <w:r w:rsidRPr="00AA22C4">
        <w:rPr>
          <w:rFonts w:ascii="Lato" w:hAnsi="Lato"/>
          <w:b/>
          <w:color w:val="000000" w:themeColor="text1"/>
          <w:sz w:val="36"/>
          <w:szCs w:val="22"/>
        </w:rPr>
        <w:t xml:space="preserve"> </w:t>
      </w:r>
    </w:p>
    <w:p w14:paraId="4DCAD0D9"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GB"/>
        </w:rPr>
      </w:pPr>
      <w:r w:rsidRPr="00AA22C4">
        <w:rPr>
          <w:rFonts w:ascii="Lato" w:hAnsi="Lato"/>
          <w:i/>
          <w:iCs/>
          <w:color w:val="000000" w:themeColor="text1"/>
          <w:sz w:val="22"/>
          <w:szCs w:val="22"/>
          <w:lang w:val="en-GB"/>
        </w:rPr>
        <w:t>Eur. J. Hum. Genet.</w:t>
      </w:r>
      <w:r w:rsidRPr="00AA22C4">
        <w:rPr>
          <w:rFonts w:ascii="Lato" w:hAnsi="Lato"/>
          <w:bCs/>
          <w:color w:val="000000" w:themeColor="text1"/>
          <w:sz w:val="22"/>
          <w:szCs w:val="22"/>
          <w:lang w:val="en-GB"/>
        </w:rPr>
        <w:t>2014</w:t>
      </w:r>
      <w:r w:rsidRPr="00AA22C4">
        <w:rPr>
          <w:rFonts w:ascii="Lato" w:hAnsi="Lato"/>
          <w:color w:val="000000" w:themeColor="text1"/>
          <w:sz w:val="22"/>
          <w:szCs w:val="22"/>
          <w:lang w:val="en-GB"/>
        </w:rPr>
        <w:t xml:space="preserve">, 22, 12–17 „A framework to start the debate on neonatal screening policies in the EU: an Expert Opinion Document.” Martina C. Cornel, Tessel </w:t>
      </w:r>
      <w:proofErr w:type="spellStart"/>
      <w:r w:rsidRPr="00AA22C4">
        <w:rPr>
          <w:rFonts w:ascii="Lato" w:hAnsi="Lato"/>
          <w:color w:val="000000" w:themeColor="text1"/>
          <w:sz w:val="22"/>
          <w:szCs w:val="22"/>
          <w:lang w:val="en-GB"/>
        </w:rPr>
        <w:t>Rigter</w:t>
      </w:r>
      <w:proofErr w:type="spellEnd"/>
      <w:r w:rsidRPr="00AA22C4">
        <w:rPr>
          <w:rFonts w:ascii="Lato" w:hAnsi="Lato"/>
          <w:color w:val="000000" w:themeColor="text1"/>
          <w:sz w:val="22"/>
          <w:szCs w:val="22"/>
          <w:lang w:val="en-GB"/>
        </w:rPr>
        <w:t>, Stephanie S. Weinreich, et All</w:t>
      </w:r>
    </w:p>
    <w:p w14:paraId="78BAE8E6"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GB"/>
        </w:rPr>
      </w:pPr>
      <w:r w:rsidRPr="00AA22C4">
        <w:rPr>
          <w:rFonts w:ascii="Lato" w:hAnsi="Lato"/>
          <w:i/>
          <w:iCs/>
          <w:color w:val="000000" w:themeColor="text1"/>
          <w:sz w:val="22"/>
          <w:szCs w:val="22"/>
          <w:lang w:val="en-GB"/>
        </w:rPr>
        <w:t xml:space="preserve">J. </w:t>
      </w:r>
      <w:proofErr w:type="spellStart"/>
      <w:r w:rsidRPr="00AA22C4">
        <w:rPr>
          <w:rFonts w:ascii="Lato" w:hAnsi="Lato"/>
          <w:i/>
          <w:iCs/>
          <w:color w:val="000000" w:themeColor="text1"/>
          <w:sz w:val="22"/>
          <w:szCs w:val="22"/>
          <w:lang w:val="en-GB"/>
        </w:rPr>
        <w:t>Inher</w:t>
      </w:r>
      <w:proofErr w:type="spellEnd"/>
      <w:r w:rsidRPr="00AA22C4">
        <w:rPr>
          <w:rFonts w:ascii="Lato" w:hAnsi="Lato"/>
          <w:i/>
          <w:iCs/>
          <w:color w:val="000000" w:themeColor="text1"/>
          <w:sz w:val="22"/>
          <w:szCs w:val="22"/>
          <w:lang w:val="en-GB"/>
        </w:rPr>
        <w:t>. Met. Dis.</w:t>
      </w:r>
      <w:r w:rsidRPr="00AA22C4">
        <w:rPr>
          <w:rFonts w:ascii="Lato" w:hAnsi="Lato"/>
          <w:color w:val="000000" w:themeColor="text1"/>
          <w:sz w:val="22"/>
          <w:szCs w:val="22"/>
          <w:lang w:val="en-GB"/>
        </w:rPr>
        <w:t xml:space="preserve">, </w:t>
      </w:r>
      <w:r w:rsidRPr="00AA22C4">
        <w:rPr>
          <w:rFonts w:ascii="Lato" w:hAnsi="Lato"/>
          <w:bCs/>
          <w:color w:val="000000" w:themeColor="text1"/>
          <w:sz w:val="22"/>
          <w:szCs w:val="22"/>
          <w:lang w:val="en-GB"/>
        </w:rPr>
        <w:t>2011</w:t>
      </w:r>
      <w:r w:rsidRPr="00AA22C4">
        <w:rPr>
          <w:rFonts w:ascii="Lato" w:hAnsi="Lato"/>
          <w:color w:val="000000" w:themeColor="text1"/>
          <w:sz w:val="22"/>
          <w:szCs w:val="22"/>
          <w:lang w:val="en-GB"/>
        </w:rPr>
        <w:t>, 34, S1-S16, „Suppl. 1 „Prevention of Congenital Diseases. Screening Newborns: Current State and Future Challenges.”</w:t>
      </w:r>
    </w:p>
    <w:p w14:paraId="3585B81E"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GB"/>
        </w:rPr>
      </w:pPr>
      <w:r w:rsidRPr="00AA22C4">
        <w:rPr>
          <w:rFonts w:ascii="Lato" w:hAnsi="Lato"/>
          <w:i/>
          <w:iCs/>
          <w:color w:val="000000" w:themeColor="text1"/>
          <w:sz w:val="22"/>
          <w:szCs w:val="22"/>
          <w:lang w:val="en-GB"/>
        </w:rPr>
        <w:t>EU Network of experts on newborn screening</w:t>
      </w:r>
      <w:r w:rsidRPr="00AA22C4">
        <w:rPr>
          <w:rFonts w:ascii="Lato" w:hAnsi="Lato"/>
          <w:color w:val="000000" w:themeColor="text1"/>
          <w:sz w:val="22"/>
          <w:szCs w:val="22"/>
          <w:lang w:val="en-GB"/>
        </w:rPr>
        <w:t xml:space="preserve"> 06.01.</w:t>
      </w:r>
      <w:r w:rsidRPr="00AA22C4">
        <w:rPr>
          <w:rFonts w:ascii="Lato" w:hAnsi="Lato"/>
          <w:bCs/>
          <w:color w:val="000000" w:themeColor="text1"/>
          <w:sz w:val="22"/>
          <w:szCs w:val="22"/>
          <w:lang w:val="en-GB"/>
        </w:rPr>
        <w:t xml:space="preserve">2012 </w:t>
      </w:r>
      <w:r w:rsidRPr="00AA22C4">
        <w:rPr>
          <w:rFonts w:ascii="Lato" w:hAnsi="Lato"/>
          <w:color w:val="000000" w:themeColor="text1"/>
          <w:sz w:val="22"/>
          <w:szCs w:val="22"/>
          <w:lang w:val="en-GB"/>
        </w:rPr>
        <w:t xml:space="preserve">EU Tender “Evaluation of population newborn screening practices for rare disorders in Member States of the European Union” Martina Cornel, Tessel </w:t>
      </w:r>
      <w:proofErr w:type="spellStart"/>
      <w:r w:rsidRPr="00AA22C4">
        <w:rPr>
          <w:rFonts w:ascii="Lato" w:hAnsi="Lato"/>
          <w:color w:val="000000" w:themeColor="text1"/>
          <w:sz w:val="22"/>
          <w:szCs w:val="22"/>
          <w:lang w:val="en-GB"/>
        </w:rPr>
        <w:t>Rigter</w:t>
      </w:r>
      <w:proofErr w:type="spellEnd"/>
      <w:r w:rsidRPr="00AA22C4">
        <w:rPr>
          <w:rFonts w:ascii="Lato" w:hAnsi="Lato"/>
          <w:color w:val="000000" w:themeColor="text1"/>
          <w:sz w:val="22"/>
          <w:szCs w:val="22"/>
          <w:lang w:val="en-GB"/>
        </w:rPr>
        <w:t>, Stephanie Weinreich, et all</w:t>
      </w:r>
    </w:p>
    <w:p w14:paraId="65F5146A"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rPr>
      </w:pPr>
      <w:r w:rsidRPr="00AA22C4">
        <w:rPr>
          <w:rFonts w:ascii="Lato" w:hAnsi="Lato"/>
          <w:i/>
          <w:iCs/>
          <w:color w:val="000000" w:themeColor="text1"/>
          <w:sz w:val="22"/>
          <w:szCs w:val="22"/>
          <w:lang w:val="en-GB"/>
        </w:rPr>
        <w:t xml:space="preserve">J. Clin. </w:t>
      </w:r>
      <w:proofErr w:type="spellStart"/>
      <w:r w:rsidRPr="00AA22C4">
        <w:rPr>
          <w:rFonts w:ascii="Lato" w:hAnsi="Lato"/>
          <w:i/>
          <w:iCs/>
          <w:color w:val="000000" w:themeColor="text1"/>
          <w:sz w:val="22"/>
          <w:szCs w:val="22"/>
          <w:lang w:val="en-GB"/>
        </w:rPr>
        <w:t>Endocrin</w:t>
      </w:r>
      <w:proofErr w:type="spellEnd"/>
      <w:r w:rsidRPr="00AA22C4">
        <w:rPr>
          <w:rFonts w:ascii="Lato" w:hAnsi="Lato"/>
          <w:i/>
          <w:iCs/>
          <w:color w:val="000000" w:themeColor="text1"/>
          <w:sz w:val="22"/>
          <w:szCs w:val="22"/>
          <w:lang w:val="en-GB"/>
        </w:rPr>
        <w:t xml:space="preserve">. &amp; </w:t>
      </w:r>
      <w:proofErr w:type="spellStart"/>
      <w:r w:rsidRPr="00AA22C4">
        <w:rPr>
          <w:rFonts w:ascii="Lato" w:hAnsi="Lato"/>
          <w:i/>
          <w:iCs/>
          <w:color w:val="000000" w:themeColor="text1"/>
          <w:sz w:val="22"/>
          <w:szCs w:val="22"/>
          <w:lang w:val="en-GB"/>
        </w:rPr>
        <w:t>Metab</w:t>
      </w:r>
      <w:proofErr w:type="spellEnd"/>
      <w:r w:rsidRPr="00AA22C4">
        <w:rPr>
          <w:rFonts w:ascii="Lato" w:hAnsi="Lato"/>
          <w:i/>
          <w:iCs/>
          <w:color w:val="000000" w:themeColor="text1"/>
          <w:sz w:val="22"/>
          <w:szCs w:val="22"/>
          <w:lang w:val="en-GB"/>
        </w:rPr>
        <w:t xml:space="preserve">., </w:t>
      </w:r>
      <w:r w:rsidRPr="00AA22C4">
        <w:rPr>
          <w:rFonts w:ascii="Lato" w:hAnsi="Lato"/>
          <w:bCs/>
          <w:color w:val="000000" w:themeColor="text1"/>
          <w:sz w:val="22"/>
          <w:szCs w:val="22"/>
          <w:lang w:val="en-GB"/>
        </w:rPr>
        <w:t>2002</w:t>
      </w:r>
      <w:r w:rsidRPr="00AA22C4">
        <w:rPr>
          <w:rFonts w:ascii="Lato" w:hAnsi="Lato"/>
          <w:color w:val="000000" w:themeColor="text1"/>
          <w:sz w:val="22"/>
          <w:szCs w:val="22"/>
          <w:lang w:val="en-GB"/>
        </w:rPr>
        <w:t xml:space="preserve">, 87(9), 4106–4110 „High Reliability of Neonatal Screening for Congenital Adrenal Hyperplasia in Switzerland.” </w:t>
      </w:r>
      <w:r w:rsidRPr="00AA22C4">
        <w:rPr>
          <w:rFonts w:ascii="Lato" w:hAnsi="Lato"/>
          <w:color w:val="000000" w:themeColor="text1"/>
          <w:sz w:val="22"/>
          <w:szCs w:val="22"/>
        </w:rPr>
        <w:t xml:space="preserve">Michael </w:t>
      </w:r>
      <w:proofErr w:type="spellStart"/>
      <w:r w:rsidRPr="00AA22C4">
        <w:rPr>
          <w:rFonts w:ascii="Lato" w:hAnsi="Lato"/>
          <w:color w:val="000000" w:themeColor="text1"/>
          <w:sz w:val="22"/>
          <w:szCs w:val="22"/>
        </w:rPr>
        <w:t>Steigert</w:t>
      </w:r>
      <w:proofErr w:type="spellEnd"/>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Eugen</w:t>
      </w:r>
      <w:proofErr w:type="spellEnd"/>
      <w:r w:rsidRPr="00AA22C4">
        <w:rPr>
          <w:rFonts w:ascii="Lato" w:hAnsi="Lato"/>
          <w:color w:val="000000" w:themeColor="text1"/>
          <w:sz w:val="22"/>
          <w:szCs w:val="22"/>
        </w:rPr>
        <w:t xml:space="preserve"> J. </w:t>
      </w:r>
      <w:proofErr w:type="spellStart"/>
      <w:r w:rsidRPr="00AA22C4">
        <w:rPr>
          <w:rFonts w:ascii="Lato" w:hAnsi="Lato"/>
          <w:color w:val="000000" w:themeColor="text1"/>
          <w:sz w:val="22"/>
          <w:szCs w:val="22"/>
        </w:rPr>
        <w:t>Schoenle</w:t>
      </w:r>
      <w:proofErr w:type="spellEnd"/>
      <w:r w:rsidRPr="00AA22C4">
        <w:rPr>
          <w:rFonts w:ascii="Lato" w:hAnsi="Lato"/>
          <w:color w:val="000000" w:themeColor="text1"/>
          <w:sz w:val="22"/>
          <w:szCs w:val="22"/>
        </w:rPr>
        <w:t xml:space="preserve">, Anna </w:t>
      </w:r>
      <w:proofErr w:type="spellStart"/>
      <w:r w:rsidRPr="00AA22C4">
        <w:rPr>
          <w:rFonts w:ascii="Lato" w:hAnsi="Lato"/>
          <w:color w:val="000000" w:themeColor="text1"/>
          <w:sz w:val="22"/>
          <w:szCs w:val="22"/>
        </w:rPr>
        <w:t>Biason-Lauber</w:t>
      </w:r>
      <w:proofErr w:type="spellEnd"/>
    </w:p>
    <w:p w14:paraId="061D0539"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GB"/>
        </w:rPr>
      </w:pPr>
      <w:r w:rsidRPr="00AA22C4">
        <w:rPr>
          <w:rFonts w:ascii="Lato" w:hAnsi="Lato"/>
          <w:i/>
          <w:iCs/>
          <w:color w:val="000000" w:themeColor="text1"/>
          <w:sz w:val="22"/>
          <w:szCs w:val="22"/>
          <w:lang w:val="en-GB"/>
        </w:rPr>
        <w:t>Rev. Assoc. Med. Bras.,</w:t>
      </w:r>
      <w:r w:rsidRPr="00AA22C4">
        <w:rPr>
          <w:rFonts w:ascii="Lato" w:hAnsi="Lato"/>
          <w:bCs/>
          <w:color w:val="000000" w:themeColor="text1"/>
          <w:sz w:val="22"/>
          <w:szCs w:val="22"/>
          <w:lang w:val="en-GB"/>
        </w:rPr>
        <w:t xml:space="preserve"> 2012</w:t>
      </w:r>
      <w:r w:rsidRPr="00AA22C4">
        <w:rPr>
          <w:rFonts w:ascii="Lato" w:hAnsi="Lato"/>
          <w:color w:val="000000" w:themeColor="text1"/>
          <w:sz w:val="22"/>
          <w:szCs w:val="22"/>
          <w:lang w:val="en-GB"/>
        </w:rPr>
        <w:t>, 58(4), 459-464 „Neonatal screening for congenital adrenal hyperplasia.” Cristina Botelho Barra, Ivani Novato Silva, Isabela Leite Pezzuti</w:t>
      </w:r>
      <w:proofErr w:type="gramStart"/>
      <w:r w:rsidRPr="00AA22C4">
        <w:rPr>
          <w:rFonts w:ascii="Lato" w:hAnsi="Lato"/>
          <w:color w:val="000000" w:themeColor="text1"/>
          <w:sz w:val="22"/>
          <w:szCs w:val="22"/>
          <w:lang w:val="en-GB"/>
        </w:rPr>
        <w:t>1,et</w:t>
      </w:r>
      <w:proofErr w:type="gramEnd"/>
      <w:r w:rsidRPr="00AA22C4">
        <w:rPr>
          <w:rFonts w:ascii="Lato" w:hAnsi="Lato"/>
          <w:color w:val="000000" w:themeColor="text1"/>
          <w:sz w:val="22"/>
          <w:szCs w:val="22"/>
          <w:lang w:val="en-GB"/>
        </w:rPr>
        <w:t xml:space="preserve"> all</w:t>
      </w:r>
    </w:p>
    <w:p w14:paraId="225DFF9A"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GB"/>
        </w:rPr>
      </w:pPr>
      <w:r w:rsidRPr="00AA22C4">
        <w:rPr>
          <w:rFonts w:ascii="Lato" w:hAnsi="Lato"/>
          <w:color w:val="000000" w:themeColor="text1"/>
          <w:sz w:val="22"/>
          <w:szCs w:val="22"/>
          <w:lang w:val="en-GB"/>
        </w:rPr>
        <w:t xml:space="preserve">A </w:t>
      </w:r>
      <w:r w:rsidRPr="00AA22C4">
        <w:rPr>
          <w:rFonts w:ascii="Lato" w:hAnsi="Lato"/>
          <w:i/>
          <w:iCs/>
          <w:color w:val="000000" w:themeColor="text1"/>
          <w:sz w:val="22"/>
          <w:szCs w:val="22"/>
          <w:lang w:val="en-GB"/>
        </w:rPr>
        <w:t>J. Med. Screen.</w:t>
      </w:r>
      <w:r w:rsidRPr="00AA22C4">
        <w:rPr>
          <w:rFonts w:ascii="Lato" w:hAnsi="Lato"/>
          <w:bCs/>
          <w:i/>
          <w:iCs/>
          <w:color w:val="000000" w:themeColor="text1"/>
          <w:sz w:val="22"/>
          <w:szCs w:val="22"/>
          <w:lang w:val="en-GB"/>
        </w:rPr>
        <w:t xml:space="preserve">, </w:t>
      </w:r>
      <w:proofErr w:type="gramStart"/>
      <w:r w:rsidRPr="00AA22C4">
        <w:rPr>
          <w:rFonts w:ascii="Lato" w:hAnsi="Lato"/>
          <w:bCs/>
          <w:color w:val="000000" w:themeColor="text1"/>
          <w:sz w:val="22"/>
          <w:szCs w:val="22"/>
          <w:lang w:val="en-GB"/>
        </w:rPr>
        <w:t xml:space="preserve">1998,  </w:t>
      </w:r>
      <w:r w:rsidRPr="00AA22C4">
        <w:rPr>
          <w:rFonts w:ascii="Lato" w:hAnsi="Lato"/>
          <w:color w:val="000000" w:themeColor="text1"/>
          <w:sz w:val="22"/>
          <w:szCs w:val="22"/>
          <w:lang w:val="en-GB"/>
        </w:rPr>
        <w:t>5</w:t>
      </w:r>
      <w:proofErr w:type="gramEnd"/>
      <w:r w:rsidRPr="00AA22C4">
        <w:rPr>
          <w:rFonts w:ascii="Lato" w:hAnsi="Lato"/>
          <w:color w:val="000000" w:themeColor="text1"/>
          <w:sz w:val="22"/>
          <w:szCs w:val="22"/>
          <w:lang w:val="en-GB"/>
        </w:rPr>
        <w:t xml:space="preserve">, 24 „Congenital adrenal hyperplasia and early newborn screening: 17a-hydroxyprogesterone (17a-OHP)during the first days of </w:t>
      </w:r>
      <w:proofErr w:type="spellStart"/>
      <w:r w:rsidRPr="00AA22C4">
        <w:rPr>
          <w:rFonts w:ascii="Lato" w:hAnsi="Lato"/>
          <w:color w:val="000000" w:themeColor="text1"/>
          <w:sz w:val="22"/>
          <w:szCs w:val="22"/>
          <w:lang w:val="en-GB"/>
        </w:rPr>
        <w:t>life.”L</w:t>
      </w:r>
      <w:proofErr w:type="spellEnd"/>
      <w:r w:rsidRPr="00AA22C4">
        <w:rPr>
          <w:rFonts w:ascii="Lato" w:hAnsi="Lato"/>
          <w:color w:val="000000" w:themeColor="text1"/>
          <w:sz w:val="22"/>
          <w:szCs w:val="22"/>
          <w:lang w:val="en-GB"/>
        </w:rPr>
        <w:t xml:space="preserve"> </w:t>
      </w:r>
      <w:proofErr w:type="spellStart"/>
      <w:r w:rsidRPr="00AA22C4">
        <w:rPr>
          <w:rFonts w:ascii="Lato" w:hAnsi="Lato"/>
          <w:color w:val="000000" w:themeColor="text1"/>
          <w:sz w:val="22"/>
          <w:szCs w:val="22"/>
          <w:lang w:val="en-GB"/>
        </w:rPr>
        <w:t>Gruñeiro</w:t>
      </w:r>
      <w:proofErr w:type="spellEnd"/>
      <w:r w:rsidRPr="00AA22C4">
        <w:rPr>
          <w:rFonts w:ascii="Lato" w:hAnsi="Lato"/>
          <w:color w:val="000000" w:themeColor="text1"/>
          <w:sz w:val="22"/>
          <w:szCs w:val="22"/>
          <w:lang w:val="en-GB"/>
        </w:rPr>
        <w:t xml:space="preserve"> de </w:t>
      </w:r>
      <w:proofErr w:type="spellStart"/>
      <w:r w:rsidRPr="00AA22C4">
        <w:rPr>
          <w:rFonts w:ascii="Lato" w:hAnsi="Lato"/>
          <w:color w:val="000000" w:themeColor="text1"/>
          <w:sz w:val="22"/>
          <w:szCs w:val="22"/>
          <w:lang w:val="en-GB"/>
        </w:rPr>
        <w:t>Papendieck</w:t>
      </w:r>
      <w:proofErr w:type="spellEnd"/>
      <w:r w:rsidRPr="00AA22C4">
        <w:rPr>
          <w:rFonts w:ascii="Lato" w:hAnsi="Lato"/>
          <w:color w:val="000000" w:themeColor="text1"/>
          <w:sz w:val="22"/>
          <w:szCs w:val="22"/>
          <w:lang w:val="en-GB"/>
        </w:rPr>
        <w:t xml:space="preserve">, L  Prieto, A Chiesa, S </w:t>
      </w:r>
      <w:proofErr w:type="spellStart"/>
      <w:r w:rsidRPr="00AA22C4">
        <w:rPr>
          <w:rFonts w:ascii="Lato" w:hAnsi="Lato"/>
          <w:color w:val="000000" w:themeColor="text1"/>
          <w:sz w:val="22"/>
          <w:szCs w:val="22"/>
          <w:lang w:val="en-GB"/>
        </w:rPr>
        <w:t>Bengolea</w:t>
      </w:r>
      <w:proofErr w:type="spellEnd"/>
      <w:r w:rsidRPr="00AA22C4">
        <w:rPr>
          <w:rFonts w:ascii="Lato" w:hAnsi="Lato"/>
          <w:color w:val="000000" w:themeColor="text1"/>
          <w:sz w:val="22"/>
          <w:szCs w:val="22"/>
          <w:lang w:val="en-GB"/>
        </w:rPr>
        <w:t xml:space="preserve"> and C </w:t>
      </w:r>
      <w:proofErr w:type="spellStart"/>
      <w:r w:rsidRPr="00AA22C4">
        <w:rPr>
          <w:rFonts w:ascii="Lato" w:hAnsi="Lato"/>
          <w:color w:val="000000" w:themeColor="text1"/>
          <w:sz w:val="22"/>
          <w:szCs w:val="22"/>
          <w:lang w:val="en-GB"/>
        </w:rPr>
        <w:t>Bergadá</w:t>
      </w:r>
      <w:proofErr w:type="spellEnd"/>
    </w:p>
    <w:p w14:paraId="0B236AA6"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US"/>
        </w:rPr>
      </w:pPr>
      <w:proofErr w:type="spellStart"/>
      <w:r w:rsidRPr="00AA22C4">
        <w:rPr>
          <w:rFonts w:ascii="Lato" w:hAnsi="Lato"/>
          <w:i/>
          <w:color w:val="000000" w:themeColor="text1"/>
          <w:sz w:val="22"/>
          <w:szCs w:val="22"/>
          <w:lang w:val="en-US"/>
        </w:rPr>
        <w:t>Vademecum</w:t>
      </w:r>
      <w:proofErr w:type="spellEnd"/>
      <w:r w:rsidRPr="00AA22C4">
        <w:rPr>
          <w:rFonts w:ascii="Lato" w:hAnsi="Lato"/>
          <w:i/>
          <w:color w:val="000000" w:themeColor="text1"/>
          <w:sz w:val="22"/>
          <w:szCs w:val="22"/>
          <w:lang w:val="en-US"/>
        </w:rPr>
        <w:t xml:space="preserve"> </w:t>
      </w:r>
      <w:proofErr w:type="spellStart"/>
      <w:r w:rsidRPr="00AA22C4">
        <w:rPr>
          <w:rFonts w:ascii="Lato" w:hAnsi="Lato"/>
          <w:i/>
          <w:color w:val="000000" w:themeColor="text1"/>
          <w:sz w:val="22"/>
          <w:szCs w:val="22"/>
          <w:lang w:val="en-US"/>
        </w:rPr>
        <w:t>metabolicum</w:t>
      </w:r>
      <w:proofErr w:type="spellEnd"/>
      <w:r w:rsidRPr="00AA22C4">
        <w:rPr>
          <w:rFonts w:ascii="Lato" w:hAnsi="Lato"/>
          <w:i/>
          <w:color w:val="000000" w:themeColor="text1"/>
          <w:sz w:val="22"/>
          <w:szCs w:val="22"/>
          <w:lang w:val="en-US"/>
        </w:rPr>
        <w:t>,</w:t>
      </w:r>
      <w:r w:rsidRPr="00AA22C4">
        <w:rPr>
          <w:rFonts w:ascii="Lato" w:hAnsi="Lato"/>
          <w:color w:val="000000" w:themeColor="text1"/>
          <w:sz w:val="22"/>
          <w:szCs w:val="22"/>
          <w:lang w:val="en-US"/>
        </w:rPr>
        <w:t xml:space="preserve"> 3</w:t>
      </w:r>
      <w:r w:rsidRPr="00AA22C4">
        <w:rPr>
          <w:rFonts w:ascii="Lato" w:hAnsi="Lato"/>
          <w:color w:val="000000" w:themeColor="text1"/>
          <w:sz w:val="22"/>
          <w:szCs w:val="22"/>
          <w:vertAlign w:val="superscript"/>
          <w:lang w:val="en-US"/>
        </w:rPr>
        <w:t>rd</w:t>
      </w:r>
      <w:r w:rsidRPr="00AA22C4">
        <w:rPr>
          <w:rFonts w:ascii="Lato" w:hAnsi="Lato"/>
          <w:color w:val="000000" w:themeColor="text1"/>
          <w:sz w:val="22"/>
          <w:szCs w:val="22"/>
          <w:lang w:val="en-US"/>
        </w:rPr>
        <w:t xml:space="preserve"> Edition</w:t>
      </w:r>
      <w:proofErr w:type="gramStart"/>
      <w:r w:rsidRPr="00AA22C4">
        <w:rPr>
          <w:rFonts w:ascii="Lato" w:hAnsi="Lato"/>
          <w:color w:val="000000" w:themeColor="text1"/>
          <w:sz w:val="22"/>
          <w:szCs w:val="22"/>
          <w:lang w:val="en-US"/>
        </w:rPr>
        <w:t>2011,J.</w:t>
      </w:r>
      <w:proofErr w:type="gramEnd"/>
      <w:r w:rsidRPr="00AA22C4">
        <w:rPr>
          <w:rFonts w:ascii="Lato" w:hAnsi="Lato"/>
          <w:color w:val="000000" w:themeColor="text1"/>
          <w:sz w:val="22"/>
          <w:szCs w:val="22"/>
          <w:lang w:val="en-US"/>
        </w:rPr>
        <w:t xml:space="preserve"> </w:t>
      </w:r>
      <w:proofErr w:type="spellStart"/>
      <w:r w:rsidRPr="00AA22C4">
        <w:rPr>
          <w:rFonts w:ascii="Lato" w:hAnsi="Lato"/>
          <w:color w:val="000000" w:themeColor="text1"/>
          <w:sz w:val="22"/>
          <w:szCs w:val="22"/>
          <w:lang w:val="en-US"/>
        </w:rPr>
        <w:t>Zschocke</w:t>
      </w:r>
      <w:proofErr w:type="spellEnd"/>
      <w:r w:rsidRPr="00AA22C4">
        <w:rPr>
          <w:rFonts w:ascii="Lato" w:hAnsi="Lato"/>
          <w:color w:val="000000" w:themeColor="text1"/>
          <w:sz w:val="22"/>
          <w:szCs w:val="22"/>
          <w:lang w:val="en-US"/>
        </w:rPr>
        <w:t>, G. F. Hoffmann.</w:t>
      </w:r>
    </w:p>
    <w:p w14:paraId="68BF2284"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US"/>
        </w:rPr>
      </w:pPr>
      <w:r w:rsidRPr="00AA22C4">
        <w:rPr>
          <w:rFonts w:ascii="Lato" w:hAnsi="Lato"/>
          <w:i/>
          <w:color w:val="000000" w:themeColor="text1"/>
          <w:sz w:val="22"/>
          <w:szCs w:val="22"/>
          <w:lang w:val="en-US"/>
        </w:rPr>
        <w:t>Laboratory diagnosis of Inherited Metabolic Disease,</w:t>
      </w:r>
      <w:r w:rsidRPr="00AA22C4">
        <w:rPr>
          <w:rFonts w:ascii="Lato" w:hAnsi="Lato"/>
          <w:color w:val="000000" w:themeColor="text1"/>
          <w:sz w:val="22"/>
          <w:szCs w:val="22"/>
          <w:lang w:val="en-US"/>
        </w:rPr>
        <w:t xml:space="preserve"> U. Garg, L.D. Smith, B.A. Heese, AACC Press,2012</w:t>
      </w:r>
    </w:p>
    <w:p w14:paraId="079C1559"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GB"/>
        </w:rPr>
      </w:pPr>
      <w:r w:rsidRPr="00AA22C4">
        <w:rPr>
          <w:rFonts w:ascii="Lato" w:hAnsi="Lato"/>
          <w:i/>
          <w:color w:val="000000" w:themeColor="text1"/>
          <w:sz w:val="22"/>
          <w:szCs w:val="22"/>
          <w:lang w:val="en-US"/>
        </w:rPr>
        <w:t>Scriver’s Online Metabolic &amp; Molecular Bases of Inherited Disease.</w:t>
      </w:r>
      <w:r w:rsidRPr="00AA22C4">
        <w:rPr>
          <w:rFonts w:ascii="Lato" w:hAnsi="Lato"/>
          <w:color w:val="000000" w:themeColor="text1"/>
          <w:sz w:val="22"/>
          <w:szCs w:val="22"/>
          <w:lang w:val="en-GB"/>
        </w:rPr>
        <w:t xml:space="preserve">Mc Graw-Hill, publ. Jan. 2006, update March 2011. </w:t>
      </w:r>
      <w:hyperlink r:id="rId26" w:history="1">
        <w:r w:rsidRPr="00AA22C4">
          <w:rPr>
            <w:rStyle w:val="Hipercze"/>
            <w:rFonts w:ascii="Lato" w:hAnsi="Lato"/>
            <w:color w:val="000000" w:themeColor="text1"/>
            <w:sz w:val="22"/>
            <w:szCs w:val="22"/>
            <w:lang w:val="en-GB"/>
          </w:rPr>
          <w:t>http://www.ommbid.com</w:t>
        </w:r>
      </w:hyperlink>
    </w:p>
    <w:p w14:paraId="09EBA052"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GB"/>
        </w:rPr>
      </w:pPr>
      <w:r w:rsidRPr="00AA22C4">
        <w:rPr>
          <w:rFonts w:ascii="Lato" w:hAnsi="Lato"/>
          <w:i/>
          <w:color w:val="000000" w:themeColor="text1"/>
          <w:sz w:val="22"/>
          <w:szCs w:val="22"/>
          <w:lang w:val="en-GB"/>
        </w:rPr>
        <w:t>Atlas of Metabolic Diseases,</w:t>
      </w:r>
      <w:r w:rsidRPr="00AA22C4">
        <w:rPr>
          <w:rFonts w:ascii="Lato" w:hAnsi="Lato"/>
          <w:color w:val="000000" w:themeColor="text1"/>
          <w:sz w:val="22"/>
          <w:szCs w:val="22"/>
          <w:lang w:val="en-GB"/>
        </w:rPr>
        <w:t xml:space="preserve"> W. L. Nyhan, </w:t>
      </w:r>
      <w:proofErr w:type="spellStart"/>
      <w:r w:rsidRPr="00AA22C4">
        <w:rPr>
          <w:rFonts w:ascii="Lato" w:hAnsi="Lato"/>
          <w:color w:val="000000" w:themeColor="text1"/>
          <w:sz w:val="22"/>
          <w:szCs w:val="22"/>
          <w:lang w:val="en-GB"/>
        </w:rPr>
        <w:t>P.</w:t>
      </w:r>
      <w:proofErr w:type="gramStart"/>
      <w:r w:rsidRPr="00AA22C4">
        <w:rPr>
          <w:rFonts w:ascii="Lato" w:hAnsi="Lato"/>
          <w:color w:val="000000" w:themeColor="text1"/>
          <w:sz w:val="22"/>
          <w:szCs w:val="22"/>
          <w:lang w:val="en-GB"/>
        </w:rPr>
        <w:t>T.Ozand</w:t>
      </w:r>
      <w:proofErr w:type="spellEnd"/>
      <w:proofErr w:type="gramEnd"/>
      <w:r w:rsidRPr="00AA22C4">
        <w:rPr>
          <w:rFonts w:ascii="Lato" w:hAnsi="Lato"/>
          <w:color w:val="000000" w:themeColor="text1"/>
          <w:sz w:val="22"/>
          <w:szCs w:val="22"/>
          <w:lang w:val="en-GB"/>
        </w:rPr>
        <w:t>, Chapman &amp; Hall Medical, 1998</w:t>
      </w:r>
    </w:p>
    <w:p w14:paraId="2F722AFA"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rPr>
      </w:pPr>
      <w:r w:rsidRPr="00AA22C4">
        <w:rPr>
          <w:rFonts w:ascii="Lato" w:hAnsi="Lato"/>
          <w:i/>
          <w:iCs/>
          <w:color w:val="000000" w:themeColor="text1"/>
          <w:sz w:val="22"/>
          <w:szCs w:val="22"/>
          <w:lang w:val="en-GB"/>
        </w:rPr>
        <w:t xml:space="preserve">J. </w:t>
      </w:r>
      <w:proofErr w:type="spellStart"/>
      <w:r w:rsidRPr="00AA22C4">
        <w:rPr>
          <w:rFonts w:ascii="Lato" w:hAnsi="Lato"/>
          <w:i/>
          <w:iCs/>
          <w:color w:val="000000" w:themeColor="text1"/>
          <w:sz w:val="22"/>
          <w:szCs w:val="22"/>
          <w:lang w:val="en-GB"/>
        </w:rPr>
        <w:t>Inher</w:t>
      </w:r>
      <w:proofErr w:type="spellEnd"/>
      <w:r w:rsidRPr="00AA22C4">
        <w:rPr>
          <w:rFonts w:ascii="Lato" w:hAnsi="Lato"/>
          <w:i/>
          <w:iCs/>
          <w:color w:val="000000" w:themeColor="text1"/>
          <w:sz w:val="22"/>
          <w:szCs w:val="22"/>
          <w:lang w:val="en-GB"/>
        </w:rPr>
        <w:t>. Met. Dis.,</w:t>
      </w:r>
      <w:r w:rsidRPr="00AA22C4">
        <w:rPr>
          <w:rFonts w:ascii="Lato" w:hAnsi="Lato"/>
          <w:bCs/>
          <w:color w:val="000000" w:themeColor="text1"/>
          <w:sz w:val="22"/>
          <w:szCs w:val="22"/>
          <w:lang w:val="en-GB"/>
        </w:rPr>
        <w:t xml:space="preserve">2010, </w:t>
      </w:r>
      <w:proofErr w:type="gramStart"/>
      <w:r w:rsidRPr="00AA22C4">
        <w:rPr>
          <w:rFonts w:ascii="Lato" w:hAnsi="Lato"/>
          <w:color w:val="000000" w:themeColor="text1"/>
          <w:sz w:val="22"/>
          <w:szCs w:val="22"/>
          <w:lang w:val="en-GB"/>
        </w:rPr>
        <w:t>33 ,</w:t>
      </w:r>
      <w:proofErr w:type="gramEnd"/>
      <w:r w:rsidRPr="00AA22C4">
        <w:rPr>
          <w:rFonts w:ascii="Lato" w:hAnsi="Lato"/>
          <w:color w:val="000000" w:themeColor="text1"/>
          <w:sz w:val="22"/>
          <w:szCs w:val="22"/>
          <w:lang w:val="en-GB"/>
        </w:rPr>
        <w:t xml:space="preserve"> Supp. 2, S205-S210 „Expanded newborn screening: reducing harm, assessing benefit.” </w:t>
      </w:r>
      <w:r w:rsidRPr="00AA22C4">
        <w:rPr>
          <w:rFonts w:ascii="Lato" w:hAnsi="Lato"/>
          <w:color w:val="000000" w:themeColor="text1"/>
          <w:sz w:val="22"/>
          <w:szCs w:val="22"/>
        </w:rPr>
        <w:t xml:space="preserve">B. </w:t>
      </w:r>
      <w:proofErr w:type="spellStart"/>
      <w:r w:rsidRPr="00AA22C4">
        <w:rPr>
          <w:rFonts w:ascii="Lato" w:hAnsi="Lato"/>
          <w:color w:val="000000" w:themeColor="text1"/>
          <w:sz w:val="22"/>
          <w:szCs w:val="22"/>
        </w:rPr>
        <w:t>Wilcken</w:t>
      </w:r>
      <w:proofErr w:type="spellEnd"/>
    </w:p>
    <w:p w14:paraId="49E793B5"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GB"/>
        </w:rPr>
      </w:pPr>
      <w:r w:rsidRPr="00AA22C4">
        <w:rPr>
          <w:rFonts w:ascii="Lato" w:hAnsi="Lato"/>
          <w:i/>
          <w:iCs/>
          <w:color w:val="000000" w:themeColor="text1"/>
          <w:sz w:val="22"/>
          <w:szCs w:val="22"/>
          <w:lang w:val="en-GB"/>
        </w:rPr>
        <w:t>Mol. Genet. Metab.,</w:t>
      </w:r>
      <w:r w:rsidRPr="00AA22C4">
        <w:rPr>
          <w:rFonts w:ascii="Lato" w:hAnsi="Lato"/>
          <w:bCs/>
          <w:color w:val="000000" w:themeColor="text1"/>
          <w:sz w:val="22"/>
          <w:szCs w:val="22"/>
          <w:lang w:val="en-GB"/>
        </w:rPr>
        <w:t>2012</w:t>
      </w:r>
      <w:r w:rsidRPr="00AA22C4">
        <w:rPr>
          <w:rFonts w:ascii="Lato" w:hAnsi="Lato"/>
          <w:color w:val="000000" w:themeColor="text1"/>
          <w:sz w:val="22"/>
          <w:szCs w:val="22"/>
          <w:lang w:val="en-GB"/>
        </w:rPr>
        <w:t xml:space="preserve">, 106, 430–438 „Glutaric </w:t>
      </w:r>
      <w:proofErr w:type="spellStart"/>
      <w:r w:rsidRPr="00AA22C4">
        <w:rPr>
          <w:rFonts w:ascii="Lato" w:hAnsi="Lato"/>
          <w:color w:val="000000" w:themeColor="text1"/>
          <w:sz w:val="22"/>
          <w:szCs w:val="22"/>
          <w:lang w:val="en-GB"/>
        </w:rPr>
        <w:t>acidemia</w:t>
      </w:r>
      <w:proofErr w:type="spellEnd"/>
      <w:r w:rsidRPr="00AA22C4">
        <w:rPr>
          <w:rFonts w:ascii="Lato" w:hAnsi="Lato"/>
          <w:color w:val="000000" w:themeColor="text1"/>
          <w:sz w:val="22"/>
          <w:szCs w:val="22"/>
          <w:lang w:val="en-GB"/>
        </w:rPr>
        <w:t xml:space="preserve"> Type 1: Outcomes before and after expanded newborn screening” K. Viau, S. L. Ernst, R. J. Vanzo, et al</w:t>
      </w:r>
    </w:p>
    <w:p w14:paraId="541A6D41"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GB"/>
        </w:rPr>
      </w:pPr>
      <w:r w:rsidRPr="00AA22C4">
        <w:rPr>
          <w:rFonts w:ascii="Lato" w:hAnsi="Lato"/>
          <w:i/>
          <w:iCs/>
          <w:color w:val="000000" w:themeColor="text1"/>
          <w:sz w:val="22"/>
          <w:szCs w:val="22"/>
          <w:lang w:val="en-GB"/>
        </w:rPr>
        <w:t xml:space="preserve">J. </w:t>
      </w:r>
      <w:proofErr w:type="spellStart"/>
      <w:r w:rsidRPr="00AA22C4">
        <w:rPr>
          <w:rFonts w:ascii="Lato" w:hAnsi="Lato"/>
          <w:i/>
          <w:iCs/>
          <w:color w:val="000000" w:themeColor="text1"/>
          <w:sz w:val="22"/>
          <w:szCs w:val="22"/>
          <w:lang w:val="en-GB"/>
        </w:rPr>
        <w:t>Inher</w:t>
      </w:r>
      <w:proofErr w:type="spellEnd"/>
      <w:r w:rsidRPr="00AA22C4">
        <w:rPr>
          <w:rFonts w:ascii="Lato" w:hAnsi="Lato"/>
          <w:i/>
          <w:iCs/>
          <w:color w:val="000000" w:themeColor="text1"/>
          <w:sz w:val="22"/>
          <w:szCs w:val="22"/>
          <w:lang w:val="en-GB"/>
        </w:rPr>
        <w:t>. Met. Dis.,</w:t>
      </w:r>
      <w:r w:rsidRPr="00AA22C4">
        <w:rPr>
          <w:rFonts w:ascii="Lato" w:hAnsi="Lato"/>
          <w:bCs/>
          <w:color w:val="000000" w:themeColor="text1"/>
          <w:sz w:val="22"/>
          <w:szCs w:val="22"/>
          <w:lang w:val="en-GB"/>
        </w:rPr>
        <w:t xml:space="preserve">2011, </w:t>
      </w:r>
      <w:r w:rsidRPr="00AA22C4">
        <w:rPr>
          <w:rFonts w:ascii="Lato" w:hAnsi="Lato"/>
          <w:color w:val="000000" w:themeColor="text1"/>
          <w:sz w:val="22"/>
          <w:szCs w:val="22"/>
          <w:lang w:val="en-GB"/>
        </w:rPr>
        <w:t xml:space="preserve">34, 677-694 „Diagnosis and management of glutaric aciduria type I – revised recommendations.” S. </w:t>
      </w:r>
      <w:proofErr w:type="spellStart"/>
      <w:r w:rsidRPr="00AA22C4">
        <w:rPr>
          <w:rFonts w:ascii="Lato" w:hAnsi="Lato"/>
          <w:color w:val="000000" w:themeColor="text1"/>
          <w:sz w:val="22"/>
          <w:szCs w:val="22"/>
          <w:lang w:val="en-GB"/>
        </w:rPr>
        <w:t>Kölker</w:t>
      </w:r>
      <w:proofErr w:type="spellEnd"/>
      <w:r w:rsidRPr="00AA22C4">
        <w:rPr>
          <w:rFonts w:ascii="Lato" w:hAnsi="Lato"/>
          <w:color w:val="000000" w:themeColor="text1"/>
          <w:sz w:val="22"/>
          <w:szCs w:val="22"/>
          <w:lang w:val="en-GB"/>
        </w:rPr>
        <w:t>, E. Christensen, J.V. Leonard, et al</w:t>
      </w:r>
    </w:p>
    <w:p w14:paraId="14DE430A"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pacing w:val="-6"/>
          <w:sz w:val="22"/>
          <w:szCs w:val="22"/>
          <w:lang w:val="en-GB"/>
        </w:rPr>
      </w:pPr>
      <w:r w:rsidRPr="00AA22C4">
        <w:rPr>
          <w:rFonts w:ascii="Lato" w:hAnsi="Lato"/>
          <w:i/>
          <w:color w:val="000000" w:themeColor="text1"/>
          <w:spacing w:val="-6"/>
          <w:sz w:val="22"/>
          <w:szCs w:val="22"/>
          <w:lang w:val="en-GB"/>
        </w:rPr>
        <w:t>Lancet 2007</w:t>
      </w:r>
      <w:r w:rsidRPr="00AA22C4">
        <w:rPr>
          <w:rFonts w:ascii="Lato" w:hAnsi="Lato"/>
          <w:color w:val="000000" w:themeColor="text1"/>
          <w:spacing w:val="-6"/>
          <w:sz w:val="22"/>
          <w:szCs w:val="22"/>
          <w:lang w:val="en-GB"/>
        </w:rPr>
        <w:t xml:space="preserve">, 369,37-42, Wilcken B, Haas </w:t>
      </w:r>
      <w:proofErr w:type="spellStart"/>
      <w:r w:rsidRPr="00AA22C4">
        <w:rPr>
          <w:rFonts w:ascii="Lato" w:hAnsi="Lato"/>
          <w:color w:val="000000" w:themeColor="text1"/>
          <w:spacing w:val="-6"/>
          <w:sz w:val="22"/>
          <w:szCs w:val="22"/>
          <w:lang w:val="en-GB"/>
        </w:rPr>
        <w:t>MJoy</w:t>
      </w:r>
      <w:proofErr w:type="spellEnd"/>
      <w:r w:rsidRPr="00AA22C4">
        <w:rPr>
          <w:rFonts w:ascii="Lato" w:hAnsi="Lato"/>
          <w:color w:val="000000" w:themeColor="text1"/>
          <w:spacing w:val="-6"/>
          <w:sz w:val="22"/>
          <w:szCs w:val="22"/>
          <w:lang w:val="en-GB"/>
        </w:rPr>
        <w:t xml:space="preserve"> P, et al Outcome of neonatal </w:t>
      </w:r>
      <w:proofErr w:type="spellStart"/>
      <w:r w:rsidRPr="00AA22C4">
        <w:rPr>
          <w:rFonts w:ascii="Lato" w:hAnsi="Lato"/>
          <w:color w:val="000000" w:themeColor="text1"/>
          <w:spacing w:val="-6"/>
          <w:sz w:val="22"/>
          <w:szCs w:val="22"/>
          <w:lang w:val="en-GB"/>
        </w:rPr>
        <w:t>screeningfor</w:t>
      </w:r>
      <w:proofErr w:type="spellEnd"/>
      <w:r w:rsidRPr="00AA22C4">
        <w:rPr>
          <w:rFonts w:ascii="Lato" w:hAnsi="Lato"/>
          <w:color w:val="000000" w:themeColor="text1"/>
          <w:spacing w:val="-6"/>
          <w:sz w:val="22"/>
          <w:szCs w:val="22"/>
          <w:lang w:val="en-GB"/>
        </w:rPr>
        <w:t xml:space="preserve"> medium </w:t>
      </w:r>
      <w:proofErr w:type="spellStart"/>
      <w:r w:rsidRPr="00AA22C4">
        <w:rPr>
          <w:rFonts w:ascii="Lato" w:hAnsi="Lato"/>
          <w:color w:val="000000" w:themeColor="text1"/>
          <w:spacing w:val="-6"/>
          <w:sz w:val="22"/>
          <w:szCs w:val="22"/>
          <w:lang w:val="en-GB"/>
        </w:rPr>
        <w:t>chainacyl</w:t>
      </w:r>
      <w:proofErr w:type="spellEnd"/>
      <w:r w:rsidRPr="00AA22C4">
        <w:rPr>
          <w:rFonts w:ascii="Lato" w:hAnsi="Lato"/>
          <w:color w:val="000000" w:themeColor="text1"/>
          <w:spacing w:val="-6"/>
          <w:sz w:val="22"/>
          <w:szCs w:val="22"/>
          <w:lang w:val="en-GB"/>
        </w:rPr>
        <w:t>-CoA dehydrogenase deficiency in Australian cohort study.</w:t>
      </w:r>
    </w:p>
    <w:p w14:paraId="2DBE83BE"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rPr>
      </w:pPr>
      <w:r w:rsidRPr="00AA22C4">
        <w:rPr>
          <w:rFonts w:ascii="Lato" w:hAnsi="Lato"/>
          <w:i/>
          <w:iCs/>
          <w:color w:val="000000" w:themeColor="text1"/>
          <w:sz w:val="22"/>
          <w:szCs w:val="22"/>
          <w:lang w:val="en-GB"/>
        </w:rPr>
        <w:t xml:space="preserve">J. Inherit. </w:t>
      </w:r>
      <w:proofErr w:type="spellStart"/>
      <w:r w:rsidRPr="00AA22C4">
        <w:rPr>
          <w:rFonts w:ascii="Lato" w:hAnsi="Lato"/>
          <w:i/>
          <w:iCs/>
          <w:color w:val="000000" w:themeColor="text1"/>
          <w:sz w:val="22"/>
          <w:szCs w:val="22"/>
          <w:lang w:val="en-GB"/>
        </w:rPr>
        <w:t>Metab.Dis</w:t>
      </w:r>
      <w:proofErr w:type="spellEnd"/>
      <w:r w:rsidRPr="00AA22C4">
        <w:rPr>
          <w:rFonts w:ascii="Lato" w:hAnsi="Lato"/>
          <w:color w:val="000000" w:themeColor="text1"/>
          <w:sz w:val="22"/>
          <w:szCs w:val="22"/>
          <w:lang w:val="en-GB"/>
        </w:rPr>
        <w:t xml:space="preserve">., </w:t>
      </w:r>
      <w:r w:rsidRPr="00AA22C4">
        <w:rPr>
          <w:rFonts w:ascii="Lato" w:hAnsi="Lato"/>
          <w:bCs/>
          <w:color w:val="000000" w:themeColor="text1"/>
          <w:sz w:val="22"/>
          <w:szCs w:val="22"/>
          <w:lang w:val="en-GB"/>
        </w:rPr>
        <w:t>2011</w:t>
      </w:r>
      <w:r w:rsidRPr="00AA22C4">
        <w:rPr>
          <w:rFonts w:ascii="Lato" w:hAnsi="Lato"/>
          <w:color w:val="000000" w:themeColor="text1"/>
          <w:sz w:val="22"/>
          <w:szCs w:val="22"/>
          <w:lang w:val="en-GB"/>
        </w:rPr>
        <w:t xml:space="preserve">, 34, 185-195 „Urgent metabolic service improves survival in Long-chain 3-hydroxyacyl-CoA dehydrogenase (LCHAD) deficiency detected by symptomatic identification and pilot newborn screening.” </w:t>
      </w:r>
      <w:proofErr w:type="spellStart"/>
      <w:proofErr w:type="gramStart"/>
      <w:r w:rsidRPr="00AA22C4">
        <w:rPr>
          <w:rFonts w:ascii="Lato" w:hAnsi="Lato"/>
          <w:color w:val="000000" w:themeColor="text1"/>
          <w:sz w:val="22"/>
          <w:szCs w:val="22"/>
        </w:rPr>
        <w:t>J.Sykut</w:t>
      </w:r>
      <w:proofErr w:type="spellEnd"/>
      <w:proofErr w:type="gramEnd"/>
      <w:r w:rsidRPr="00AA22C4">
        <w:rPr>
          <w:rFonts w:ascii="Lato" w:hAnsi="Lato"/>
          <w:color w:val="000000" w:themeColor="text1"/>
          <w:sz w:val="22"/>
          <w:szCs w:val="22"/>
        </w:rPr>
        <w:t xml:space="preserve">-Cegielska, </w:t>
      </w:r>
      <w:proofErr w:type="spellStart"/>
      <w:r w:rsidRPr="00AA22C4">
        <w:rPr>
          <w:rFonts w:ascii="Lato" w:hAnsi="Lato"/>
          <w:color w:val="000000" w:themeColor="text1"/>
          <w:sz w:val="22"/>
          <w:szCs w:val="22"/>
        </w:rPr>
        <w:lastRenderedPageBreak/>
        <w:t>W.Gradowska</w:t>
      </w:r>
      <w:proofErr w:type="spellEnd"/>
      <w:r w:rsidRPr="00AA22C4">
        <w:rPr>
          <w:rFonts w:ascii="Lato" w:hAnsi="Lato"/>
          <w:color w:val="000000" w:themeColor="text1"/>
          <w:sz w:val="22"/>
          <w:szCs w:val="22"/>
        </w:rPr>
        <w:t xml:space="preserve">, </w:t>
      </w:r>
      <w:proofErr w:type="spellStart"/>
      <w:r w:rsidRPr="00AA22C4">
        <w:rPr>
          <w:rFonts w:ascii="Lato" w:hAnsi="Lato"/>
          <w:color w:val="000000" w:themeColor="text1"/>
          <w:sz w:val="22"/>
          <w:szCs w:val="22"/>
        </w:rPr>
        <w:t>D.Piekutowska</w:t>
      </w:r>
      <w:proofErr w:type="spellEnd"/>
      <w:r w:rsidRPr="00AA22C4">
        <w:rPr>
          <w:rFonts w:ascii="Lato" w:hAnsi="Lato"/>
          <w:color w:val="000000" w:themeColor="text1"/>
          <w:sz w:val="22"/>
          <w:szCs w:val="22"/>
        </w:rPr>
        <w:t>-Abramczuk, et al.</w:t>
      </w:r>
    </w:p>
    <w:p w14:paraId="00D0D0D7"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rPr>
      </w:pPr>
      <w:r w:rsidRPr="00AA22C4">
        <w:rPr>
          <w:rFonts w:ascii="Lato" w:hAnsi="Lato"/>
          <w:i/>
          <w:color w:val="000000" w:themeColor="text1"/>
          <w:sz w:val="22"/>
          <w:szCs w:val="22"/>
        </w:rPr>
        <w:t>Pediatria,</w:t>
      </w:r>
      <w:r w:rsidRPr="00AA22C4">
        <w:rPr>
          <w:rFonts w:ascii="Lato" w:hAnsi="Lato"/>
          <w:color w:val="000000" w:themeColor="text1"/>
          <w:sz w:val="22"/>
          <w:szCs w:val="22"/>
        </w:rPr>
        <w:t xml:space="preserve"> Wydawnictwo Lekarskie PZWL, Warszawa 2006, Kubicka K., Kawal.</w:t>
      </w:r>
    </w:p>
    <w:p w14:paraId="65E88026"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rPr>
      </w:pPr>
      <w:r w:rsidRPr="00AA22C4">
        <w:rPr>
          <w:rFonts w:ascii="Lato" w:hAnsi="Lato"/>
          <w:i/>
          <w:color w:val="000000" w:themeColor="text1"/>
          <w:sz w:val="22"/>
          <w:szCs w:val="22"/>
        </w:rPr>
        <w:t>Profilaktyka w pediatrii</w:t>
      </w:r>
      <w:r w:rsidRPr="00AA22C4">
        <w:rPr>
          <w:rFonts w:ascii="Lato" w:hAnsi="Lato"/>
          <w:color w:val="000000" w:themeColor="text1"/>
          <w:sz w:val="22"/>
          <w:szCs w:val="22"/>
        </w:rPr>
        <w:t xml:space="preserve">, 2008, red. </w:t>
      </w:r>
      <w:proofErr w:type="spellStart"/>
      <w:r w:rsidRPr="00AA22C4">
        <w:rPr>
          <w:rFonts w:ascii="Lato" w:hAnsi="Lato"/>
          <w:color w:val="000000" w:themeColor="text1"/>
          <w:sz w:val="22"/>
          <w:szCs w:val="22"/>
        </w:rPr>
        <w:t>Woynarowska</w:t>
      </w:r>
      <w:proofErr w:type="spellEnd"/>
      <w:r w:rsidRPr="00AA22C4">
        <w:rPr>
          <w:rFonts w:ascii="Lato" w:hAnsi="Lato"/>
          <w:color w:val="000000" w:themeColor="text1"/>
          <w:sz w:val="22"/>
          <w:szCs w:val="22"/>
        </w:rPr>
        <w:t xml:space="preserve"> B.</w:t>
      </w:r>
    </w:p>
    <w:p w14:paraId="23892CEA"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GB"/>
        </w:rPr>
      </w:pPr>
      <w:proofErr w:type="spellStart"/>
      <w:r w:rsidRPr="00AA22C4">
        <w:rPr>
          <w:rFonts w:ascii="Lato" w:hAnsi="Lato"/>
          <w:i/>
          <w:iCs/>
          <w:color w:val="000000" w:themeColor="text1"/>
          <w:sz w:val="22"/>
          <w:szCs w:val="22"/>
          <w:lang w:val="en-GB"/>
        </w:rPr>
        <w:t>Pediatrics</w:t>
      </w:r>
      <w:proofErr w:type="spellEnd"/>
      <w:r w:rsidRPr="00AA22C4">
        <w:rPr>
          <w:rFonts w:ascii="Lato" w:hAnsi="Lato"/>
          <w:i/>
          <w:iCs/>
          <w:color w:val="000000" w:themeColor="text1"/>
          <w:sz w:val="22"/>
          <w:szCs w:val="22"/>
          <w:lang w:val="en-GB"/>
        </w:rPr>
        <w:t xml:space="preserve"> </w:t>
      </w:r>
      <w:r w:rsidRPr="00AA22C4">
        <w:rPr>
          <w:rFonts w:ascii="Lato" w:hAnsi="Lato"/>
          <w:iCs/>
          <w:color w:val="000000" w:themeColor="text1"/>
          <w:sz w:val="22"/>
          <w:szCs w:val="22"/>
          <w:lang w:val="en-GB"/>
        </w:rPr>
        <w:t>1963, 32(3), 338 “A simple phenylalanine method for detecting phenylketonuria in a large population of newborn infants.” Guthrie R. Suzi A.</w:t>
      </w:r>
    </w:p>
    <w:p w14:paraId="608CDCA8"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GB"/>
        </w:rPr>
      </w:pPr>
      <w:r w:rsidRPr="00AA22C4">
        <w:rPr>
          <w:rFonts w:ascii="Lato" w:hAnsi="Lato"/>
          <w:i/>
          <w:iCs/>
          <w:color w:val="000000" w:themeColor="text1"/>
          <w:sz w:val="22"/>
          <w:szCs w:val="22"/>
          <w:lang w:val="en-GB"/>
        </w:rPr>
        <w:t xml:space="preserve">Eur. J. </w:t>
      </w:r>
      <w:proofErr w:type="spellStart"/>
      <w:r w:rsidRPr="00AA22C4">
        <w:rPr>
          <w:rFonts w:ascii="Lato" w:hAnsi="Lato"/>
          <w:i/>
          <w:iCs/>
          <w:color w:val="000000" w:themeColor="text1"/>
          <w:sz w:val="22"/>
          <w:szCs w:val="22"/>
          <w:lang w:val="en-GB"/>
        </w:rPr>
        <w:t>Pediatr</w:t>
      </w:r>
      <w:proofErr w:type="spellEnd"/>
      <w:r w:rsidRPr="00AA22C4">
        <w:rPr>
          <w:rFonts w:ascii="Lato" w:hAnsi="Lato"/>
          <w:i/>
          <w:iCs/>
          <w:color w:val="000000" w:themeColor="text1"/>
          <w:sz w:val="22"/>
          <w:szCs w:val="22"/>
          <w:lang w:val="en-GB"/>
        </w:rPr>
        <w:t xml:space="preserve">., </w:t>
      </w:r>
      <w:r w:rsidRPr="00AA22C4">
        <w:rPr>
          <w:rFonts w:ascii="Lato" w:hAnsi="Lato"/>
          <w:iCs/>
          <w:color w:val="000000" w:themeColor="text1"/>
          <w:sz w:val="22"/>
          <w:szCs w:val="22"/>
          <w:lang w:val="en-GB"/>
        </w:rPr>
        <w:t>1966 Jul., 155, suppl.1. 53 “</w:t>
      </w:r>
      <w:proofErr w:type="spellStart"/>
      <w:r w:rsidRPr="00AA22C4">
        <w:rPr>
          <w:rFonts w:ascii="Lato" w:hAnsi="Lato"/>
          <w:iCs/>
          <w:color w:val="000000" w:themeColor="text1"/>
          <w:sz w:val="22"/>
          <w:szCs w:val="22"/>
          <w:lang w:val="en-GB"/>
        </w:rPr>
        <w:t>Longitudal</w:t>
      </w:r>
      <w:proofErr w:type="spellEnd"/>
      <w:r w:rsidRPr="00AA22C4">
        <w:rPr>
          <w:rFonts w:ascii="Lato" w:hAnsi="Lato"/>
          <w:iCs/>
          <w:color w:val="000000" w:themeColor="text1"/>
          <w:sz w:val="22"/>
          <w:szCs w:val="22"/>
          <w:lang w:val="en-GB"/>
        </w:rPr>
        <w:t xml:space="preserve"> study on early </w:t>
      </w:r>
      <w:proofErr w:type="spellStart"/>
      <w:r w:rsidRPr="00AA22C4">
        <w:rPr>
          <w:rFonts w:ascii="Lato" w:hAnsi="Lato"/>
          <w:iCs/>
          <w:color w:val="000000" w:themeColor="text1"/>
          <w:sz w:val="22"/>
          <w:szCs w:val="22"/>
          <w:lang w:val="en-GB"/>
        </w:rPr>
        <w:t>diagnoais</w:t>
      </w:r>
      <w:proofErr w:type="spellEnd"/>
      <w:r w:rsidRPr="00AA22C4">
        <w:rPr>
          <w:rFonts w:ascii="Lato" w:hAnsi="Lato"/>
          <w:iCs/>
          <w:color w:val="000000" w:themeColor="text1"/>
          <w:sz w:val="22"/>
          <w:szCs w:val="22"/>
          <w:lang w:val="en-GB"/>
        </w:rPr>
        <w:t xml:space="preserve"> and treatment of phenylketonuria in Poland.” </w:t>
      </w:r>
      <w:proofErr w:type="spellStart"/>
      <w:r w:rsidRPr="00AA22C4">
        <w:rPr>
          <w:rFonts w:ascii="Lato" w:hAnsi="Lato"/>
          <w:iCs/>
          <w:color w:val="000000" w:themeColor="text1"/>
          <w:sz w:val="22"/>
          <w:szCs w:val="22"/>
          <w:lang w:val="en-GB"/>
        </w:rPr>
        <w:t>Cabalska</w:t>
      </w:r>
      <w:proofErr w:type="spellEnd"/>
      <w:r w:rsidRPr="00AA22C4">
        <w:rPr>
          <w:rFonts w:ascii="Lato" w:hAnsi="Lato"/>
          <w:iCs/>
          <w:color w:val="000000" w:themeColor="text1"/>
          <w:sz w:val="22"/>
          <w:szCs w:val="22"/>
          <w:lang w:val="en-GB"/>
        </w:rPr>
        <w:t xml:space="preserve"> M.B. </w:t>
      </w:r>
      <w:proofErr w:type="spellStart"/>
      <w:r w:rsidRPr="00AA22C4">
        <w:rPr>
          <w:rFonts w:ascii="Lato" w:hAnsi="Lato"/>
          <w:iCs/>
          <w:color w:val="000000" w:themeColor="text1"/>
          <w:sz w:val="22"/>
          <w:szCs w:val="22"/>
          <w:lang w:val="en-GB"/>
        </w:rPr>
        <w:t>i</w:t>
      </w:r>
      <w:proofErr w:type="spellEnd"/>
      <w:r w:rsidRPr="00AA22C4">
        <w:rPr>
          <w:rFonts w:ascii="Lato" w:hAnsi="Lato"/>
          <w:iCs/>
          <w:color w:val="000000" w:themeColor="text1"/>
          <w:sz w:val="22"/>
          <w:szCs w:val="22"/>
          <w:lang w:val="en-GB"/>
        </w:rPr>
        <w:t xml:space="preserve"> </w:t>
      </w:r>
      <w:proofErr w:type="spellStart"/>
      <w:r w:rsidRPr="00AA22C4">
        <w:rPr>
          <w:rFonts w:ascii="Lato" w:hAnsi="Lato"/>
          <w:iCs/>
          <w:color w:val="000000" w:themeColor="text1"/>
          <w:sz w:val="22"/>
          <w:szCs w:val="22"/>
          <w:lang w:val="en-GB"/>
        </w:rPr>
        <w:t>wsp</w:t>
      </w:r>
      <w:proofErr w:type="spellEnd"/>
      <w:r w:rsidRPr="00AA22C4">
        <w:rPr>
          <w:rFonts w:ascii="Lato" w:hAnsi="Lato"/>
          <w:iCs/>
          <w:color w:val="000000" w:themeColor="text1"/>
          <w:sz w:val="22"/>
          <w:szCs w:val="22"/>
          <w:lang w:val="en-GB"/>
        </w:rPr>
        <w:t>.</w:t>
      </w:r>
    </w:p>
    <w:p w14:paraId="16F9F618"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pacing w:val="-8"/>
          <w:sz w:val="22"/>
          <w:szCs w:val="22"/>
          <w:lang w:val="en-GB"/>
        </w:rPr>
      </w:pPr>
      <w:r w:rsidRPr="00AA22C4">
        <w:rPr>
          <w:rFonts w:ascii="Lato" w:hAnsi="Lato"/>
          <w:i/>
          <w:iCs/>
          <w:color w:val="000000" w:themeColor="text1"/>
          <w:spacing w:val="-8"/>
          <w:sz w:val="22"/>
          <w:szCs w:val="22"/>
          <w:lang w:val="en-GB"/>
        </w:rPr>
        <w:t xml:space="preserve">Adv. </w:t>
      </w:r>
      <w:proofErr w:type="spellStart"/>
      <w:r w:rsidRPr="00AA22C4">
        <w:rPr>
          <w:rFonts w:ascii="Lato" w:hAnsi="Lato"/>
          <w:i/>
          <w:iCs/>
          <w:color w:val="000000" w:themeColor="text1"/>
          <w:spacing w:val="-8"/>
          <w:sz w:val="22"/>
          <w:szCs w:val="22"/>
          <w:lang w:val="en-GB"/>
        </w:rPr>
        <w:t>Pediatr</w:t>
      </w:r>
      <w:proofErr w:type="spellEnd"/>
      <w:r w:rsidRPr="00AA22C4">
        <w:rPr>
          <w:rFonts w:ascii="Lato" w:hAnsi="Lato"/>
          <w:i/>
          <w:iCs/>
          <w:color w:val="000000" w:themeColor="text1"/>
          <w:spacing w:val="-8"/>
          <w:sz w:val="22"/>
          <w:szCs w:val="22"/>
          <w:lang w:val="en-GB"/>
        </w:rPr>
        <w:t>.</w:t>
      </w:r>
      <w:r w:rsidRPr="00AA22C4">
        <w:rPr>
          <w:rFonts w:ascii="Lato" w:hAnsi="Lato"/>
          <w:iCs/>
          <w:color w:val="000000" w:themeColor="text1"/>
          <w:spacing w:val="-8"/>
          <w:sz w:val="22"/>
          <w:szCs w:val="22"/>
          <w:lang w:val="en-GB"/>
        </w:rPr>
        <w:t xml:space="preserve"> 1992; 39;35-70 “Newborn screening for cystic fibrosis”. Farrell P.M, Mischler E.M.</w:t>
      </w:r>
    </w:p>
    <w:p w14:paraId="0E62C120"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GB"/>
        </w:rPr>
      </w:pPr>
      <w:r w:rsidRPr="00AA22C4">
        <w:rPr>
          <w:rFonts w:ascii="Lato" w:hAnsi="Lato"/>
          <w:i/>
          <w:iCs/>
          <w:color w:val="000000" w:themeColor="text1"/>
          <w:sz w:val="22"/>
          <w:szCs w:val="22"/>
          <w:lang w:val="en-GB"/>
        </w:rPr>
        <w:t>Pulmonology</w:t>
      </w:r>
      <w:r w:rsidRPr="00AA22C4">
        <w:rPr>
          <w:rFonts w:ascii="Lato" w:hAnsi="Lato"/>
          <w:color w:val="000000" w:themeColor="text1"/>
          <w:sz w:val="22"/>
          <w:szCs w:val="22"/>
          <w:lang w:val="en-GB"/>
        </w:rPr>
        <w:t xml:space="preserve">, </w:t>
      </w:r>
      <w:r w:rsidRPr="00AA22C4">
        <w:rPr>
          <w:rFonts w:ascii="Lato" w:hAnsi="Lato"/>
          <w:bCs/>
          <w:color w:val="000000" w:themeColor="text1"/>
          <w:sz w:val="22"/>
          <w:szCs w:val="22"/>
          <w:lang w:val="en-GB"/>
        </w:rPr>
        <w:t>2008</w:t>
      </w:r>
      <w:r w:rsidRPr="00AA22C4">
        <w:rPr>
          <w:rFonts w:ascii="Lato" w:hAnsi="Lato"/>
          <w:color w:val="000000" w:themeColor="text1"/>
          <w:sz w:val="22"/>
          <w:szCs w:val="22"/>
          <w:lang w:val="en-GB"/>
        </w:rPr>
        <w:t>, „Lung Function Not Impaired in [Screened] Newborns with Cystic Fibrosis.” T. Neale.</w:t>
      </w:r>
    </w:p>
    <w:p w14:paraId="7D97AA42"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GB"/>
        </w:rPr>
      </w:pPr>
      <w:r w:rsidRPr="00AA22C4">
        <w:rPr>
          <w:rFonts w:ascii="Lato" w:hAnsi="Lato"/>
          <w:i/>
          <w:iCs/>
          <w:color w:val="000000" w:themeColor="text1"/>
          <w:sz w:val="22"/>
          <w:szCs w:val="22"/>
          <w:lang w:val="en-GB"/>
        </w:rPr>
        <w:t xml:space="preserve">Mol. Genet. and </w:t>
      </w:r>
      <w:proofErr w:type="spellStart"/>
      <w:r w:rsidRPr="00AA22C4">
        <w:rPr>
          <w:rFonts w:ascii="Lato" w:hAnsi="Lato"/>
          <w:i/>
          <w:iCs/>
          <w:color w:val="000000" w:themeColor="text1"/>
          <w:sz w:val="22"/>
          <w:szCs w:val="22"/>
          <w:lang w:val="en-GB"/>
        </w:rPr>
        <w:t>Metab</w:t>
      </w:r>
      <w:proofErr w:type="spellEnd"/>
      <w:r w:rsidRPr="00AA22C4">
        <w:rPr>
          <w:rFonts w:ascii="Lato" w:hAnsi="Lato"/>
          <w:i/>
          <w:iCs/>
          <w:color w:val="000000" w:themeColor="text1"/>
          <w:sz w:val="22"/>
          <w:szCs w:val="22"/>
          <w:lang w:val="en-GB"/>
        </w:rPr>
        <w:t xml:space="preserve">., </w:t>
      </w:r>
      <w:r w:rsidRPr="00AA22C4">
        <w:rPr>
          <w:rFonts w:ascii="Lato" w:hAnsi="Lato"/>
          <w:bCs/>
          <w:color w:val="000000" w:themeColor="text1"/>
          <w:sz w:val="22"/>
          <w:szCs w:val="22"/>
          <w:lang w:val="en-GB"/>
        </w:rPr>
        <w:t>2006</w:t>
      </w:r>
      <w:r w:rsidRPr="00AA22C4">
        <w:rPr>
          <w:rFonts w:ascii="Lato" w:hAnsi="Lato"/>
          <w:color w:val="000000" w:themeColor="text1"/>
          <w:sz w:val="22"/>
          <w:szCs w:val="22"/>
          <w:lang w:val="en-GB"/>
        </w:rPr>
        <w:t xml:space="preserve">, 88, 166–170 „VLCAD deficiency: Pitfalls in newborn screening and </w:t>
      </w:r>
      <w:proofErr w:type="spellStart"/>
      <w:r w:rsidRPr="00AA22C4">
        <w:rPr>
          <w:rFonts w:ascii="Lato" w:hAnsi="Lato"/>
          <w:color w:val="000000" w:themeColor="text1"/>
          <w:sz w:val="22"/>
          <w:szCs w:val="22"/>
          <w:lang w:val="en-GB"/>
        </w:rPr>
        <w:t>cofirmation</w:t>
      </w:r>
      <w:proofErr w:type="spellEnd"/>
      <w:r w:rsidRPr="00AA22C4">
        <w:rPr>
          <w:rFonts w:ascii="Lato" w:hAnsi="Lato"/>
          <w:color w:val="000000" w:themeColor="text1"/>
          <w:sz w:val="22"/>
          <w:szCs w:val="22"/>
          <w:lang w:val="en-GB"/>
        </w:rPr>
        <w:t xml:space="preserve"> of diagnosis by mutation analysis.” A. </w:t>
      </w:r>
      <w:proofErr w:type="spellStart"/>
      <w:r w:rsidRPr="00AA22C4">
        <w:rPr>
          <w:rFonts w:ascii="Lato" w:hAnsi="Lato"/>
          <w:color w:val="000000" w:themeColor="text1"/>
          <w:sz w:val="22"/>
          <w:szCs w:val="22"/>
          <w:lang w:val="en-GB"/>
        </w:rPr>
        <w:t>Boneh</w:t>
      </w:r>
      <w:proofErr w:type="spellEnd"/>
      <w:r w:rsidRPr="00AA22C4">
        <w:rPr>
          <w:rFonts w:ascii="Lato" w:hAnsi="Lato"/>
          <w:color w:val="000000" w:themeColor="text1"/>
          <w:sz w:val="22"/>
          <w:szCs w:val="22"/>
          <w:lang w:val="en-GB"/>
        </w:rPr>
        <w:t xml:space="preserve">, B.S. Andresen, N. Gregersen, M. Ibrahim, N. </w:t>
      </w:r>
      <w:proofErr w:type="spellStart"/>
      <w:r w:rsidRPr="00AA22C4">
        <w:rPr>
          <w:rFonts w:ascii="Lato" w:hAnsi="Lato"/>
          <w:color w:val="000000" w:themeColor="text1"/>
          <w:sz w:val="22"/>
          <w:szCs w:val="22"/>
          <w:lang w:val="en-GB"/>
        </w:rPr>
        <w:t>Tzanakos</w:t>
      </w:r>
      <w:proofErr w:type="spellEnd"/>
      <w:r w:rsidRPr="00AA22C4">
        <w:rPr>
          <w:rFonts w:ascii="Lato" w:hAnsi="Lato"/>
          <w:color w:val="000000" w:themeColor="text1"/>
          <w:sz w:val="22"/>
          <w:szCs w:val="22"/>
          <w:lang w:val="en-GB"/>
        </w:rPr>
        <w:t xml:space="preserve">, H. Peters, J. </w:t>
      </w:r>
      <w:proofErr w:type="spellStart"/>
      <w:r w:rsidRPr="00AA22C4">
        <w:rPr>
          <w:rFonts w:ascii="Lato" w:hAnsi="Lato"/>
          <w:color w:val="000000" w:themeColor="text1"/>
          <w:sz w:val="22"/>
          <w:szCs w:val="22"/>
          <w:lang w:val="en-GB"/>
        </w:rPr>
        <w:t>Yaplito</w:t>
      </w:r>
      <w:proofErr w:type="spellEnd"/>
      <w:r w:rsidRPr="00AA22C4">
        <w:rPr>
          <w:rFonts w:ascii="Lato" w:hAnsi="Lato"/>
          <w:color w:val="000000" w:themeColor="text1"/>
          <w:sz w:val="22"/>
          <w:szCs w:val="22"/>
          <w:lang w:val="en-GB"/>
        </w:rPr>
        <w:t xml:space="preserve">-Lee, J.J. </w:t>
      </w:r>
      <w:proofErr w:type="gramStart"/>
      <w:r w:rsidRPr="00AA22C4">
        <w:rPr>
          <w:rFonts w:ascii="Lato" w:hAnsi="Lato"/>
          <w:color w:val="000000" w:themeColor="text1"/>
          <w:sz w:val="22"/>
          <w:szCs w:val="22"/>
          <w:lang w:val="en-GB"/>
        </w:rPr>
        <w:t>Pitt .</w:t>
      </w:r>
      <w:proofErr w:type="gramEnd"/>
    </w:p>
    <w:p w14:paraId="3E6BAAAD"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rPr>
      </w:pPr>
      <w:r w:rsidRPr="00AA22C4">
        <w:rPr>
          <w:rFonts w:ascii="Lato" w:hAnsi="Lato"/>
          <w:i/>
          <w:iCs/>
          <w:color w:val="000000" w:themeColor="text1"/>
          <w:sz w:val="22"/>
          <w:szCs w:val="22"/>
          <w:lang w:val="en-GB"/>
        </w:rPr>
        <w:t xml:space="preserve">J. Clin. Endocrinol. </w:t>
      </w:r>
      <w:proofErr w:type="spellStart"/>
      <w:r w:rsidRPr="00AA22C4">
        <w:rPr>
          <w:rFonts w:ascii="Lato" w:hAnsi="Lato"/>
          <w:i/>
          <w:iCs/>
          <w:color w:val="000000" w:themeColor="text1"/>
          <w:sz w:val="22"/>
          <w:szCs w:val="22"/>
          <w:lang w:val="en-GB"/>
        </w:rPr>
        <w:t>Metab</w:t>
      </w:r>
      <w:proofErr w:type="spellEnd"/>
      <w:r w:rsidRPr="00AA22C4">
        <w:rPr>
          <w:rFonts w:ascii="Lato" w:hAnsi="Lato"/>
          <w:i/>
          <w:iCs/>
          <w:color w:val="000000" w:themeColor="text1"/>
          <w:sz w:val="22"/>
          <w:szCs w:val="22"/>
          <w:lang w:val="en-GB"/>
        </w:rPr>
        <w:t>.</w:t>
      </w:r>
      <w:r w:rsidRPr="00AA22C4">
        <w:rPr>
          <w:rFonts w:ascii="Lato" w:hAnsi="Lato"/>
          <w:color w:val="000000" w:themeColor="text1"/>
          <w:sz w:val="22"/>
          <w:szCs w:val="22"/>
          <w:lang w:val="en-GB"/>
        </w:rPr>
        <w:t xml:space="preserve">, </w:t>
      </w:r>
      <w:r w:rsidRPr="00AA22C4">
        <w:rPr>
          <w:rFonts w:ascii="Lato" w:hAnsi="Lato"/>
          <w:bCs/>
          <w:color w:val="000000" w:themeColor="text1"/>
          <w:sz w:val="22"/>
          <w:szCs w:val="22"/>
          <w:lang w:val="en-GB"/>
        </w:rPr>
        <w:t>2010</w:t>
      </w:r>
      <w:r w:rsidRPr="00AA22C4">
        <w:rPr>
          <w:rFonts w:ascii="Lato" w:hAnsi="Lato"/>
          <w:color w:val="000000" w:themeColor="text1"/>
          <w:sz w:val="22"/>
          <w:szCs w:val="22"/>
          <w:lang w:val="en-GB"/>
        </w:rPr>
        <w:t xml:space="preserve">, 95, 4133-4160 „Congenital Adrenal Hyperplasia Due to Steroid 21-hydroxylase Deficiency: An Endocrine Society Clinical Practice guideline.” </w:t>
      </w:r>
      <w:r w:rsidRPr="00AA22C4">
        <w:rPr>
          <w:rFonts w:ascii="Lato" w:hAnsi="Lato"/>
          <w:color w:val="000000" w:themeColor="text1"/>
          <w:sz w:val="22"/>
          <w:szCs w:val="22"/>
          <w:lang w:val="en-GB"/>
        </w:rPr>
        <w:br/>
      </w:r>
      <w:r w:rsidRPr="00AA22C4">
        <w:rPr>
          <w:rFonts w:ascii="Lato" w:hAnsi="Lato"/>
          <w:color w:val="000000" w:themeColor="text1"/>
          <w:sz w:val="22"/>
          <w:szCs w:val="22"/>
        </w:rPr>
        <w:t xml:space="preserve">P.W. </w:t>
      </w:r>
      <w:proofErr w:type="spellStart"/>
      <w:r w:rsidRPr="00AA22C4">
        <w:rPr>
          <w:rFonts w:ascii="Lato" w:hAnsi="Lato"/>
          <w:color w:val="000000" w:themeColor="text1"/>
          <w:sz w:val="22"/>
          <w:szCs w:val="22"/>
        </w:rPr>
        <w:t>Speiser</w:t>
      </w:r>
      <w:proofErr w:type="spellEnd"/>
      <w:r w:rsidRPr="00AA22C4">
        <w:rPr>
          <w:rFonts w:ascii="Lato" w:hAnsi="Lato"/>
          <w:color w:val="000000" w:themeColor="text1"/>
          <w:sz w:val="22"/>
          <w:szCs w:val="22"/>
        </w:rPr>
        <w:t xml:space="preserve">, R. </w:t>
      </w:r>
      <w:proofErr w:type="spellStart"/>
      <w:r w:rsidRPr="00AA22C4">
        <w:rPr>
          <w:rFonts w:ascii="Lato" w:hAnsi="Lato"/>
          <w:color w:val="000000" w:themeColor="text1"/>
          <w:sz w:val="22"/>
          <w:szCs w:val="22"/>
        </w:rPr>
        <w:t>Azizz</w:t>
      </w:r>
      <w:proofErr w:type="spellEnd"/>
      <w:r w:rsidRPr="00AA22C4">
        <w:rPr>
          <w:rFonts w:ascii="Lato" w:hAnsi="Lato"/>
          <w:color w:val="000000" w:themeColor="text1"/>
          <w:sz w:val="22"/>
          <w:szCs w:val="22"/>
        </w:rPr>
        <w:t xml:space="preserve">, L.S. Baskin et </w:t>
      </w:r>
      <w:proofErr w:type="spellStart"/>
      <w:r w:rsidRPr="00AA22C4">
        <w:rPr>
          <w:rFonts w:ascii="Lato" w:hAnsi="Lato"/>
          <w:color w:val="000000" w:themeColor="text1"/>
          <w:sz w:val="22"/>
          <w:szCs w:val="22"/>
        </w:rPr>
        <w:t>All</w:t>
      </w:r>
      <w:proofErr w:type="spellEnd"/>
    </w:p>
    <w:p w14:paraId="437F7CB3"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GB"/>
        </w:rPr>
      </w:pPr>
      <w:r w:rsidRPr="00AA22C4">
        <w:rPr>
          <w:rFonts w:ascii="Lato" w:hAnsi="Lato"/>
          <w:i/>
          <w:iCs/>
          <w:color w:val="000000" w:themeColor="text1"/>
          <w:sz w:val="22"/>
          <w:szCs w:val="22"/>
          <w:lang w:val="en-GB"/>
        </w:rPr>
        <w:t xml:space="preserve">Curr. </w:t>
      </w:r>
      <w:proofErr w:type="spellStart"/>
      <w:r w:rsidRPr="00AA22C4">
        <w:rPr>
          <w:rFonts w:ascii="Lato" w:hAnsi="Lato"/>
          <w:i/>
          <w:iCs/>
          <w:color w:val="000000" w:themeColor="text1"/>
          <w:sz w:val="22"/>
          <w:szCs w:val="22"/>
          <w:lang w:val="en-GB"/>
        </w:rPr>
        <w:t>Opin</w:t>
      </w:r>
      <w:proofErr w:type="spellEnd"/>
      <w:r w:rsidRPr="00AA22C4">
        <w:rPr>
          <w:rFonts w:ascii="Lato" w:hAnsi="Lato"/>
          <w:i/>
          <w:iCs/>
          <w:color w:val="000000" w:themeColor="text1"/>
          <w:sz w:val="22"/>
          <w:szCs w:val="22"/>
          <w:lang w:val="en-GB"/>
        </w:rPr>
        <w:t xml:space="preserve">. Endocrinol. Diabetes. </w:t>
      </w:r>
      <w:proofErr w:type="spellStart"/>
      <w:r w:rsidRPr="00AA22C4">
        <w:rPr>
          <w:rFonts w:ascii="Lato" w:hAnsi="Lato"/>
          <w:i/>
          <w:iCs/>
          <w:color w:val="000000" w:themeColor="text1"/>
          <w:sz w:val="22"/>
          <w:szCs w:val="22"/>
          <w:lang w:val="en-GB"/>
        </w:rPr>
        <w:t>Obes</w:t>
      </w:r>
      <w:proofErr w:type="spellEnd"/>
      <w:r w:rsidRPr="00AA22C4">
        <w:rPr>
          <w:rFonts w:ascii="Lato" w:hAnsi="Lato"/>
          <w:i/>
          <w:iCs/>
          <w:color w:val="000000" w:themeColor="text1"/>
          <w:sz w:val="22"/>
          <w:szCs w:val="22"/>
          <w:lang w:val="en-GB"/>
        </w:rPr>
        <w:t xml:space="preserve">. </w:t>
      </w:r>
      <w:r w:rsidRPr="00AA22C4">
        <w:rPr>
          <w:rFonts w:ascii="Lato" w:hAnsi="Lato"/>
          <w:bCs/>
          <w:color w:val="000000" w:themeColor="text1"/>
          <w:sz w:val="22"/>
          <w:szCs w:val="22"/>
          <w:lang w:val="en-GB"/>
        </w:rPr>
        <w:t>2011,</w:t>
      </w:r>
      <w:r w:rsidRPr="00AA22C4">
        <w:rPr>
          <w:rFonts w:ascii="Lato" w:hAnsi="Lato"/>
          <w:color w:val="000000" w:themeColor="text1"/>
          <w:sz w:val="22"/>
          <w:szCs w:val="22"/>
          <w:lang w:val="en-GB"/>
        </w:rPr>
        <w:t xml:space="preserve">18(3), 166–170. „Congenital adrenal hyperplasia: an update in children.” Christine M. Trapp, Phyllis W. </w:t>
      </w:r>
      <w:proofErr w:type="spellStart"/>
      <w:proofErr w:type="gramStart"/>
      <w:r w:rsidRPr="00AA22C4">
        <w:rPr>
          <w:rFonts w:ascii="Lato" w:hAnsi="Lato"/>
          <w:color w:val="000000" w:themeColor="text1"/>
          <w:sz w:val="22"/>
          <w:szCs w:val="22"/>
          <w:lang w:val="en-GB"/>
        </w:rPr>
        <w:t>Speiser,and</w:t>
      </w:r>
      <w:proofErr w:type="spellEnd"/>
      <w:proofErr w:type="gramEnd"/>
      <w:r w:rsidRPr="00AA22C4">
        <w:rPr>
          <w:rFonts w:ascii="Lato" w:hAnsi="Lato"/>
          <w:color w:val="000000" w:themeColor="text1"/>
          <w:sz w:val="22"/>
          <w:szCs w:val="22"/>
          <w:lang w:val="en-GB"/>
        </w:rPr>
        <w:t xml:space="preserve"> Sharon E. </w:t>
      </w:r>
      <w:proofErr w:type="spellStart"/>
      <w:r w:rsidRPr="00AA22C4">
        <w:rPr>
          <w:rFonts w:ascii="Lato" w:hAnsi="Lato"/>
          <w:color w:val="000000" w:themeColor="text1"/>
          <w:sz w:val="22"/>
          <w:szCs w:val="22"/>
          <w:lang w:val="en-GB"/>
        </w:rPr>
        <w:t>Oberfield</w:t>
      </w:r>
      <w:proofErr w:type="spellEnd"/>
      <w:r w:rsidRPr="00AA22C4">
        <w:rPr>
          <w:rFonts w:ascii="Lato" w:hAnsi="Lato"/>
          <w:color w:val="000000" w:themeColor="text1"/>
          <w:sz w:val="22"/>
          <w:szCs w:val="22"/>
          <w:lang w:val="en-GB"/>
        </w:rPr>
        <w:t>.</w:t>
      </w:r>
    </w:p>
    <w:p w14:paraId="0CDFAE4E" w14:textId="77777777" w:rsidR="005E347E" w:rsidRPr="00AA22C4" w:rsidDel="008221F6" w:rsidRDefault="005E347E" w:rsidP="005E347E">
      <w:pPr>
        <w:pStyle w:val="Tekstprzypisudolnego"/>
        <w:numPr>
          <w:ilvl w:val="0"/>
          <w:numId w:val="3"/>
        </w:numPr>
        <w:spacing w:before="120" w:after="120"/>
        <w:contextualSpacing/>
        <w:jc w:val="both"/>
        <w:rPr>
          <w:rFonts w:ascii="Lato" w:hAnsi="Lato"/>
          <w:i/>
          <w:iCs/>
          <w:color w:val="000000" w:themeColor="text1"/>
          <w:sz w:val="22"/>
          <w:szCs w:val="22"/>
          <w:lang w:val="en-GB"/>
        </w:rPr>
      </w:pPr>
      <w:r w:rsidRPr="00AA22C4">
        <w:rPr>
          <w:rFonts w:ascii="Lato" w:hAnsi="Lato"/>
          <w:i/>
          <w:iCs/>
          <w:color w:val="000000" w:themeColor="text1"/>
          <w:sz w:val="22"/>
          <w:szCs w:val="22"/>
          <w:lang w:val="en-GB"/>
        </w:rPr>
        <w:t>Clin. Chem</w:t>
      </w:r>
      <w:r w:rsidRPr="00AA22C4">
        <w:rPr>
          <w:rFonts w:ascii="Lato" w:hAnsi="Lato"/>
          <w:color w:val="000000" w:themeColor="text1"/>
          <w:sz w:val="22"/>
          <w:szCs w:val="22"/>
          <w:lang w:val="en-GB"/>
        </w:rPr>
        <w:t xml:space="preserve">., 1984, 30/1, 125-127 „A Screening Method for </w:t>
      </w:r>
      <w:proofErr w:type="spellStart"/>
      <w:r w:rsidRPr="00AA22C4">
        <w:rPr>
          <w:rFonts w:ascii="Lato" w:hAnsi="Lato"/>
          <w:color w:val="000000" w:themeColor="text1"/>
          <w:sz w:val="22"/>
          <w:szCs w:val="22"/>
          <w:lang w:val="en-GB"/>
        </w:rPr>
        <w:t>Biotinidase</w:t>
      </w:r>
      <w:proofErr w:type="spellEnd"/>
      <w:r w:rsidRPr="00AA22C4">
        <w:rPr>
          <w:rFonts w:ascii="Lato" w:hAnsi="Lato"/>
          <w:color w:val="000000" w:themeColor="text1"/>
          <w:sz w:val="22"/>
          <w:szCs w:val="22"/>
          <w:lang w:val="en-GB"/>
        </w:rPr>
        <w:t xml:space="preserve"> Deficiency </w:t>
      </w:r>
      <w:r w:rsidRPr="00AA22C4">
        <w:rPr>
          <w:rFonts w:ascii="Lato" w:hAnsi="Lato"/>
          <w:color w:val="000000" w:themeColor="text1"/>
          <w:sz w:val="22"/>
          <w:szCs w:val="22"/>
          <w:lang w:val="en-GB"/>
        </w:rPr>
        <w:br/>
        <w:t>in Newborns.” Gregory S. Heard, Julie R. Secor McVoy, and Barry Wolf.</w:t>
      </w:r>
    </w:p>
    <w:p w14:paraId="7C2EA08D"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GB"/>
        </w:rPr>
      </w:pPr>
      <w:r w:rsidRPr="00AA22C4">
        <w:rPr>
          <w:rFonts w:ascii="Lato" w:hAnsi="Lato"/>
          <w:i/>
          <w:iCs/>
          <w:color w:val="000000" w:themeColor="text1"/>
          <w:sz w:val="22"/>
          <w:szCs w:val="22"/>
          <w:lang w:val="en-GB"/>
        </w:rPr>
        <w:t xml:space="preserve">Genet. IN Med., </w:t>
      </w:r>
      <w:r w:rsidRPr="00AA22C4">
        <w:rPr>
          <w:rFonts w:ascii="Lato" w:hAnsi="Lato"/>
          <w:bCs/>
          <w:color w:val="000000" w:themeColor="text1"/>
          <w:sz w:val="22"/>
          <w:szCs w:val="22"/>
          <w:lang w:val="en-GB"/>
        </w:rPr>
        <w:t>2010,</w:t>
      </w:r>
      <w:r w:rsidRPr="00AA22C4">
        <w:rPr>
          <w:rFonts w:ascii="Lato" w:hAnsi="Lato"/>
          <w:color w:val="000000" w:themeColor="text1"/>
          <w:sz w:val="22"/>
          <w:szCs w:val="22"/>
          <w:lang w:val="en-GB"/>
        </w:rPr>
        <w:t xml:space="preserve"> 12, 7, „Technical standards and guidelines for the diagnosis of </w:t>
      </w:r>
      <w:proofErr w:type="spellStart"/>
      <w:r w:rsidRPr="00AA22C4">
        <w:rPr>
          <w:rFonts w:ascii="Lato" w:hAnsi="Lato"/>
          <w:color w:val="000000" w:themeColor="text1"/>
          <w:sz w:val="22"/>
          <w:szCs w:val="22"/>
          <w:lang w:val="en-GB"/>
        </w:rPr>
        <w:t>biotinidase</w:t>
      </w:r>
      <w:proofErr w:type="spellEnd"/>
      <w:r w:rsidRPr="00AA22C4">
        <w:rPr>
          <w:rFonts w:ascii="Lato" w:hAnsi="Lato"/>
          <w:color w:val="000000" w:themeColor="text1"/>
          <w:sz w:val="22"/>
          <w:szCs w:val="22"/>
          <w:lang w:val="en-GB"/>
        </w:rPr>
        <w:t xml:space="preserve"> deficiency.” Tina M. Cowan, Miriam G. Blitzer, and Barry Wolf.</w:t>
      </w:r>
    </w:p>
    <w:p w14:paraId="23D24699"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GB"/>
        </w:rPr>
      </w:pPr>
      <w:r w:rsidRPr="00AA22C4">
        <w:rPr>
          <w:rFonts w:ascii="Lato" w:hAnsi="Lato"/>
          <w:i/>
          <w:iCs/>
          <w:color w:val="000000" w:themeColor="text1"/>
          <w:sz w:val="22"/>
          <w:szCs w:val="22"/>
          <w:lang w:val="en-GB"/>
        </w:rPr>
        <w:t>Clin. Chim. Acta,</w:t>
      </w:r>
      <w:r w:rsidRPr="00AA22C4">
        <w:rPr>
          <w:rFonts w:ascii="Lato" w:hAnsi="Lato"/>
          <w:bCs/>
          <w:color w:val="000000" w:themeColor="text1"/>
          <w:sz w:val="22"/>
          <w:szCs w:val="22"/>
          <w:lang w:val="en-GB"/>
        </w:rPr>
        <w:t>2006</w:t>
      </w:r>
      <w:r w:rsidRPr="00AA22C4">
        <w:rPr>
          <w:rFonts w:ascii="Lato" w:hAnsi="Lato"/>
          <w:color w:val="000000" w:themeColor="text1"/>
          <w:sz w:val="22"/>
          <w:szCs w:val="22"/>
          <w:lang w:val="en-GB"/>
        </w:rPr>
        <w:t xml:space="preserve">, 369, 35–39 „Qualitative colorimetric </w:t>
      </w:r>
      <w:proofErr w:type="spellStart"/>
      <w:r w:rsidRPr="00AA22C4">
        <w:rPr>
          <w:rFonts w:ascii="Lato" w:hAnsi="Lato"/>
          <w:color w:val="000000" w:themeColor="text1"/>
          <w:sz w:val="22"/>
          <w:szCs w:val="22"/>
          <w:lang w:val="en-GB"/>
        </w:rPr>
        <w:t>ultramicroassay</w:t>
      </w:r>
      <w:proofErr w:type="spellEnd"/>
      <w:r w:rsidRPr="00AA22C4">
        <w:rPr>
          <w:rFonts w:ascii="Lato" w:hAnsi="Lato"/>
          <w:color w:val="000000" w:themeColor="text1"/>
          <w:sz w:val="22"/>
          <w:szCs w:val="22"/>
          <w:lang w:val="en-GB"/>
        </w:rPr>
        <w:t xml:space="preserve"> for the detection of </w:t>
      </w:r>
      <w:proofErr w:type="spellStart"/>
      <w:r w:rsidRPr="00AA22C4">
        <w:rPr>
          <w:rFonts w:ascii="Lato" w:hAnsi="Lato"/>
          <w:color w:val="000000" w:themeColor="text1"/>
          <w:sz w:val="22"/>
          <w:szCs w:val="22"/>
          <w:lang w:val="en-GB"/>
        </w:rPr>
        <w:t>biotinidase</w:t>
      </w:r>
      <w:proofErr w:type="spellEnd"/>
      <w:r w:rsidRPr="00AA22C4">
        <w:rPr>
          <w:rFonts w:ascii="Lato" w:hAnsi="Lato"/>
          <w:color w:val="000000" w:themeColor="text1"/>
          <w:sz w:val="22"/>
          <w:szCs w:val="22"/>
          <w:lang w:val="en-GB"/>
        </w:rPr>
        <w:t xml:space="preserve"> deficiency in newborns.” E. C. </w:t>
      </w:r>
      <w:proofErr w:type="spellStart"/>
      <w:r w:rsidRPr="00AA22C4">
        <w:rPr>
          <w:rFonts w:ascii="Lato" w:hAnsi="Lato"/>
          <w:color w:val="000000" w:themeColor="text1"/>
          <w:sz w:val="22"/>
          <w:szCs w:val="22"/>
          <w:lang w:val="en-GB"/>
        </w:rPr>
        <w:t>Gonza´lez</w:t>
      </w:r>
      <w:proofErr w:type="spellEnd"/>
      <w:r w:rsidRPr="00AA22C4">
        <w:rPr>
          <w:rFonts w:ascii="Lato" w:hAnsi="Lato"/>
          <w:color w:val="000000" w:themeColor="text1"/>
          <w:sz w:val="22"/>
          <w:szCs w:val="22"/>
          <w:lang w:val="en-GB"/>
        </w:rPr>
        <w:t xml:space="preserve">, N. Marrero, A. </w:t>
      </w:r>
      <w:proofErr w:type="spellStart"/>
      <w:r w:rsidRPr="00AA22C4">
        <w:rPr>
          <w:rFonts w:ascii="Lato" w:hAnsi="Lato"/>
          <w:color w:val="000000" w:themeColor="text1"/>
          <w:sz w:val="22"/>
          <w:szCs w:val="22"/>
          <w:lang w:val="en-GB"/>
        </w:rPr>
        <w:t>Fro´meta</w:t>
      </w:r>
      <w:proofErr w:type="spellEnd"/>
      <w:r w:rsidRPr="00AA22C4">
        <w:rPr>
          <w:rFonts w:ascii="Lato" w:hAnsi="Lato"/>
          <w:color w:val="000000" w:themeColor="text1"/>
          <w:sz w:val="22"/>
          <w:szCs w:val="22"/>
          <w:lang w:val="en-GB"/>
        </w:rPr>
        <w:t>, et all.</w:t>
      </w:r>
    </w:p>
    <w:p w14:paraId="54EB1B58"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GB"/>
        </w:rPr>
      </w:pPr>
      <w:r w:rsidRPr="00AA22C4">
        <w:rPr>
          <w:rFonts w:ascii="Lato" w:hAnsi="Lato"/>
          <w:i/>
          <w:iCs/>
          <w:color w:val="000000" w:themeColor="text1"/>
          <w:sz w:val="22"/>
          <w:szCs w:val="22"/>
          <w:lang w:val="en-GB"/>
        </w:rPr>
        <w:t xml:space="preserve">Eur. J. Human. Genet., </w:t>
      </w:r>
      <w:r w:rsidRPr="00AA22C4">
        <w:rPr>
          <w:rFonts w:ascii="Lato" w:hAnsi="Lato"/>
          <w:bCs/>
          <w:color w:val="000000" w:themeColor="text1"/>
          <w:sz w:val="22"/>
          <w:szCs w:val="22"/>
          <w:lang w:val="en-GB"/>
        </w:rPr>
        <w:t>2012,</w:t>
      </w:r>
      <w:r w:rsidRPr="00AA22C4">
        <w:rPr>
          <w:rFonts w:ascii="Lato" w:hAnsi="Lato"/>
          <w:color w:val="000000" w:themeColor="text1"/>
          <w:sz w:val="22"/>
          <w:szCs w:val="22"/>
          <w:lang w:val="en-GB"/>
        </w:rPr>
        <w:t xml:space="preserve">1-6 „Newborn screening for cystic fibrosis: polish 4 years' experience with CFTR sequencing </w:t>
      </w:r>
      <w:proofErr w:type="spellStart"/>
      <w:r w:rsidRPr="00AA22C4">
        <w:rPr>
          <w:rFonts w:ascii="Lato" w:hAnsi="Lato"/>
          <w:color w:val="000000" w:themeColor="text1"/>
          <w:sz w:val="22"/>
          <w:szCs w:val="22"/>
          <w:lang w:val="en-GB"/>
        </w:rPr>
        <w:t>startegy</w:t>
      </w:r>
      <w:proofErr w:type="spellEnd"/>
      <w:r w:rsidRPr="00AA22C4">
        <w:rPr>
          <w:rFonts w:ascii="Lato" w:hAnsi="Lato"/>
          <w:color w:val="000000" w:themeColor="text1"/>
          <w:sz w:val="22"/>
          <w:szCs w:val="22"/>
          <w:lang w:val="en-GB"/>
        </w:rPr>
        <w:t xml:space="preserve">.” </w:t>
      </w:r>
      <w:proofErr w:type="spellStart"/>
      <w:proofErr w:type="gramStart"/>
      <w:r w:rsidRPr="00AA22C4">
        <w:rPr>
          <w:rFonts w:ascii="Lato" w:hAnsi="Lato"/>
          <w:color w:val="000000" w:themeColor="text1"/>
          <w:sz w:val="22"/>
          <w:szCs w:val="22"/>
          <w:lang w:val="en-GB"/>
        </w:rPr>
        <w:t>A.Sobczyńska</w:t>
      </w:r>
      <w:proofErr w:type="spellEnd"/>
      <w:proofErr w:type="gramEnd"/>
      <w:r w:rsidRPr="00AA22C4">
        <w:rPr>
          <w:rFonts w:ascii="Lato" w:hAnsi="Lato"/>
          <w:color w:val="000000" w:themeColor="text1"/>
          <w:sz w:val="22"/>
          <w:szCs w:val="22"/>
          <w:lang w:val="en-GB"/>
        </w:rPr>
        <w:t xml:space="preserve">-Tomaszewska, </w:t>
      </w:r>
      <w:proofErr w:type="spellStart"/>
      <w:r w:rsidRPr="00AA22C4">
        <w:rPr>
          <w:rFonts w:ascii="Lato" w:hAnsi="Lato"/>
          <w:color w:val="000000" w:themeColor="text1"/>
          <w:sz w:val="22"/>
          <w:szCs w:val="22"/>
          <w:lang w:val="en-GB"/>
        </w:rPr>
        <w:t>M.Ołtarzewski</w:t>
      </w:r>
      <w:proofErr w:type="spellEnd"/>
      <w:r w:rsidRPr="00AA22C4">
        <w:rPr>
          <w:rFonts w:ascii="Lato" w:hAnsi="Lato"/>
          <w:color w:val="000000" w:themeColor="text1"/>
          <w:sz w:val="22"/>
          <w:szCs w:val="22"/>
          <w:lang w:val="en-GB"/>
        </w:rPr>
        <w:t>, K.  </w:t>
      </w:r>
      <w:proofErr w:type="spellStart"/>
      <w:r w:rsidRPr="00AA22C4">
        <w:rPr>
          <w:rFonts w:ascii="Lato" w:hAnsi="Lato"/>
          <w:color w:val="000000" w:themeColor="text1"/>
          <w:sz w:val="22"/>
          <w:szCs w:val="22"/>
          <w:lang w:val="en-GB"/>
        </w:rPr>
        <w:t>Czerska</w:t>
      </w:r>
      <w:proofErr w:type="spellEnd"/>
      <w:r w:rsidRPr="00AA22C4">
        <w:rPr>
          <w:rFonts w:ascii="Lato" w:hAnsi="Lato"/>
          <w:color w:val="000000" w:themeColor="text1"/>
          <w:sz w:val="22"/>
          <w:szCs w:val="22"/>
          <w:lang w:val="en-GB"/>
        </w:rPr>
        <w:t>, et all.</w:t>
      </w:r>
    </w:p>
    <w:p w14:paraId="5A84EEE9"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GB"/>
        </w:rPr>
      </w:pPr>
      <w:r w:rsidRPr="00AA22C4">
        <w:rPr>
          <w:rFonts w:ascii="Lato" w:hAnsi="Lato"/>
          <w:i/>
          <w:iCs/>
          <w:color w:val="000000" w:themeColor="text1"/>
          <w:sz w:val="22"/>
          <w:szCs w:val="22"/>
          <w:lang w:val="en-GB"/>
        </w:rPr>
        <w:t xml:space="preserve">Genetics in Medicine, Vol. </w:t>
      </w:r>
      <w:proofErr w:type="gramStart"/>
      <w:r w:rsidRPr="00AA22C4">
        <w:rPr>
          <w:rFonts w:ascii="Lato" w:hAnsi="Lato"/>
          <w:i/>
          <w:iCs/>
          <w:color w:val="000000" w:themeColor="text1"/>
          <w:sz w:val="22"/>
          <w:szCs w:val="22"/>
          <w:lang w:val="en-GB"/>
        </w:rPr>
        <w:t>11,NO</w:t>
      </w:r>
      <w:proofErr w:type="gramEnd"/>
      <w:r w:rsidRPr="00AA22C4">
        <w:rPr>
          <w:rFonts w:ascii="Lato" w:hAnsi="Lato"/>
          <w:i/>
          <w:iCs/>
          <w:color w:val="000000" w:themeColor="text1"/>
          <w:sz w:val="22"/>
          <w:szCs w:val="22"/>
          <w:lang w:val="en-GB"/>
        </w:rPr>
        <w:t xml:space="preserve"> 6, June 2009</w:t>
      </w:r>
      <w:r w:rsidRPr="00AA22C4">
        <w:rPr>
          <w:rFonts w:ascii="Lato" w:hAnsi="Lato"/>
          <w:iCs/>
          <w:color w:val="000000" w:themeColor="text1"/>
          <w:sz w:val="22"/>
          <w:szCs w:val="22"/>
          <w:lang w:val="en-GB"/>
        </w:rPr>
        <w:t xml:space="preserve">, Newborn screening a </w:t>
      </w:r>
      <w:proofErr w:type="spellStart"/>
      <w:r w:rsidRPr="00AA22C4">
        <w:rPr>
          <w:rFonts w:ascii="Lato" w:hAnsi="Lato"/>
          <w:iCs/>
          <w:color w:val="000000" w:themeColor="text1"/>
          <w:sz w:val="22"/>
          <w:szCs w:val="22"/>
          <w:lang w:val="en-GB"/>
        </w:rPr>
        <w:t>a</w:t>
      </w:r>
      <w:proofErr w:type="spellEnd"/>
      <w:r w:rsidRPr="00AA22C4">
        <w:rPr>
          <w:rFonts w:ascii="Lato" w:hAnsi="Lato"/>
          <w:iCs/>
          <w:color w:val="000000" w:themeColor="text1"/>
          <w:sz w:val="22"/>
          <w:szCs w:val="22"/>
          <w:lang w:val="en-GB"/>
        </w:rPr>
        <w:t xml:space="preserve"> system from birth through lifelong care. Linda L. McCabe, Edward R.B McCabe.</w:t>
      </w:r>
    </w:p>
    <w:p w14:paraId="38CE48B8"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GB"/>
        </w:rPr>
      </w:pPr>
      <w:proofErr w:type="spellStart"/>
      <w:r w:rsidRPr="00AA22C4">
        <w:rPr>
          <w:rFonts w:ascii="Lato" w:hAnsi="Lato"/>
          <w:i/>
          <w:iCs/>
          <w:color w:val="000000" w:themeColor="text1"/>
          <w:sz w:val="22"/>
          <w:szCs w:val="22"/>
          <w:lang w:val="en-GB"/>
        </w:rPr>
        <w:t>Clin.Endocrinol</w:t>
      </w:r>
      <w:proofErr w:type="spellEnd"/>
      <w:r w:rsidRPr="00AA22C4">
        <w:rPr>
          <w:rFonts w:ascii="Lato" w:hAnsi="Lato"/>
          <w:i/>
          <w:iCs/>
          <w:color w:val="000000" w:themeColor="text1"/>
          <w:sz w:val="22"/>
          <w:szCs w:val="22"/>
          <w:lang w:val="en-GB"/>
        </w:rPr>
        <w:t>.</w:t>
      </w:r>
      <w:r w:rsidRPr="00AA22C4">
        <w:rPr>
          <w:rFonts w:ascii="Lato" w:hAnsi="Lato"/>
          <w:color w:val="000000" w:themeColor="text1"/>
          <w:sz w:val="22"/>
          <w:szCs w:val="22"/>
          <w:lang w:val="en-GB"/>
        </w:rPr>
        <w:t xml:space="preserve">, </w:t>
      </w:r>
      <w:r w:rsidRPr="00AA22C4">
        <w:rPr>
          <w:rFonts w:ascii="Lato" w:hAnsi="Lato"/>
          <w:bCs/>
          <w:color w:val="000000" w:themeColor="text1"/>
          <w:sz w:val="22"/>
          <w:szCs w:val="22"/>
          <w:lang w:val="en-GB"/>
        </w:rPr>
        <w:t>2012</w:t>
      </w:r>
      <w:r w:rsidRPr="00AA22C4">
        <w:rPr>
          <w:rFonts w:ascii="Lato" w:hAnsi="Lato"/>
          <w:color w:val="000000" w:themeColor="text1"/>
          <w:sz w:val="22"/>
          <w:szCs w:val="22"/>
          <w:lang w:val="en-GB"/>
        </w:rPr>
        <w:t xml:space="preserve">, 76, 4, 465-466 „Endocrine Society Congenital Adrenal Hyperplasia Guidelines. Great Content </w:t>
      </w:r>
      <w:proofErr w:type="gramStart"/>
      <w:r w:rsidRPr="00AA22C4">
        <w:rPr>
          <w:rFonts w:ascii="Lato" w:hAnsi="Lato"/>
          <w:color w:val="000000" w:themeColor="text1"/>
          <w:sz w:val="22"/>
          <w:szCs w:val="22"/>
          <w:lang w:val="en-GB"/>
        </w:rPr>
        <w:t>But</w:t>
      </w:r>
      <w:proofErr w:type="gramEnd"/>
      <w:r w:rsidRPr="00AA22C4">
        <w:rPr>
          <w:rFonts w:ascii="Lato" w:hAnsi="Lato"/>
          <w:color w:val="000000" w:themeColor="text1"/>
          <w:sz w:val="22"/>
          <w:szCs w:val="22"/>
          <w:lang w:val="en-GB"/>
        </w:rPr>
        <w:t xml:space="preserve"> How to Deliver?” P.C. Hindmarsh.</w:t>
      </w:r>
    </w:p>
    <w:p w14:paraId="5CC8A025"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GB"/>
        </w:rPr>
      </w:pPr>
      <w:r w:rsidRPr="00AA22C4">
        <w:rPr>
          <w:rFonts w:ascii="Lato" w:hAnsi="Lato"/>
          <w:i/>
          <w:iCs/>
          <w:color w:val="000000" w:themeColor="text1"/>
          <w:sz w:val="22"/>
          <w:szCs w:val="22"/>
          <w:lang w:val="en-GB"/>
        </w:rPr>
        <w:t xml:space="preserve">J. </w:t>
      </w:r>
      <w:proofErr w:type="spellStart"/>
      <w:r w:rsidRPr="00AA22C4">
        <w:rPr>
          <w:rFonts w:ascii="Lato" w:hAnsi="Lato"/>
          <w:i/>
          <w:iCs/>
          <w:color w:val="000000" w:themeColor="text1"/>
          <w:sz w:val="22"/>
          <w:szCs w:val="22"/>
          <w:lang w:val="en-GB"/>
        </w:rPr>
        <w:t>Inher</w:t>
      </w:r>
      <w:proofErr w:type="spellEnd"/>
      <w:r w:rsidRPr="00AA22C4">
        <w:rPr>
          <w:rFonts w:ascii="Lato" w:hAnsi="Lato"/>
          <w:i/>
          <w:iCs/>
          <w:color w:val="000000" w:themeColor="text1"/>
          <w:sz w:val="22"/>
          <w:szCs w:val="22"/>
          <w:lang w:val="en-GB"/>
        </w:rPr>
        <w:t>. Met. Dis.</w:t>
      </w:r>
      <w:r w:rsidRPr="00AA22C4">
        <w:rPr>
          <w:rFonts w:ascii="Lato" w:hAnsi="Lato"/>
          <w:color w:val="000000" w:themeColor="text1"/>
          <w:sz w:val="22"/>
          <w:szCs w:val="22"/>
          <w:lang w:val="en-GB"/>
        </w:rPr>
        <w:t xml:space="preserve">, </w:t>
      </w:r>
      <w:r w:rsidRPr="00AA22C4">
        <w:rPr>
          <w:rFonts w:ascii="Lato" w:hAnsi="Lato"/>
          <w:bCs/>
          <w:color w:val="000000" w:themeColor="text1"/>
          <w:sz w:val="22"/>
          <w:szCs w:val="22"/>
          <w:lang w:val="en-GB"/>
        </w:rPr>
        <w:t>2011</w:t>
      </w:r>
      <w:r w:rsidRPr="00AA22C4">
        <w:rPr>
          <w:rFonts w:ascii="Lato" w:hAnsi="Lato"/>
          <w:color w:val="000000" w:themeColor="text1"/>
          <w:sz w:val="22"/>
          <w:szCs w:val="22"/>
          <w:lang w:val="en-GB"/>
        </w:rPr>
        <w:t>, 34, S1-S16, „Suppl. 1 „Prevention of Congenital Diseases. Screening Newborns: Current State and Future Challenges.”</w:t>
      </w:r>
    </w:p>
    <w:p w14:paraId="17B49B76"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US"/>
        </w:rPr>
      </w:pPr>
      <w:hyperlink r:id="rId27" w:history="1">
        <w:r w:rsidRPr="00AA22C4">
          <w:rPr>
            <w:rStyle w:val="Hipercze"/>
            <w:rFonts w:ascii="Lato" w:hAnsi="Lato"/>
            <w:i/>
            <w:color w:val="000000" w:themeColor="text1"/>
            <w:sz w:val="22"/>
            <w:szCs w:val="22"/>
            <w:lang w:val="en-US"/>
          </w:rPr>
          <w:t>Genet Med.</w:t>
        </w:r>
      </w:hyperlink>
      <w:r w:rsidRPr="00AA22C4">
        <w:rPr>
          <w:rStyle w:val="Hipercze"/>
          <w:rFonts w:ascii="Lato" w:hAnsi="Lato"/>
          <w:i/>
          <w:color w:val="000000" w:themeColor="text1"/>
          <w:sz w:val="22"/>
          <w:szCs w:val="22"/>
          <w:lang w:val="en-US"/>
        </w:rPr>
        <w:t xml:space="preserve"> </w:t>
      </w:r>
      <w:r w:rsidRPr="00AA22C4">
        <w:rPr>
          <w:rFonts w:ascii="Lato" w:hAnsi="Lato"/>
          <w:color w:val="000000" w:themeColor="text1"/>
          <w:sz w:val="22"/>
          <w:szCs w:val="22"/>
          <w:lang w:val="en-US"/>
        </w:rPr>
        <w:t xml:space="preserve">2009 Jun;11(6):418-24. </w:t>
      </w:r>
      <w:hyperlink r:id="rId28" w:history="1">
        <w:r w:rsidRPr="00AA22C4">
          <w:rPr>
            <w:rStyle w:val="Hipercze"/>
            <w:rFonts w:ascii="Lato" w:hAnsi="Lato"/>
            <w:color w:val="000000" w:themeColor="text1"/>
            <w:sz w:val="22"/>
            <w:szCs w:val="22"/>
            <w:lang w:val="en-US"/>
          </w:rPr>
          <w:t>Hinman AR</w:t>
        </w:r>
      </w:hyperlink>
      <w:r w:rsidRPr="00AA22C4">
        <w:rPr>
          <w:rFonts w:ascii="Lato" w:hAnsi="Lato"/>
          <w:color w:val="000000" w:themeColor="text1"/>
          <w:sz w:val="22"/>
          <w:szCs w:val="22"/>
          <w:lang w:val="en-US"/>
        </w:rPr>
        <w:t xml:space="preserve">, </w:t>
      </w:r>
      <w:hyperlink r:id="rId29" w:history="1">
        <w:r w:rsidRPr="00AA22C4">
          <w:rPr>
            <w:rStyle w:val="Hipercze"/>
            <w:rFonts w:ascii="Lato" w:hAnsi="Lato"/>
            <w:color w:val="000000" w:themeColor="text1"/>
            <w:sz w:val="22"/>
            <w:szCs w:val="22"/>
            <w:lang w:val="en-US"/>
          </w:rPr>
          <w:t>Mann MY</w:t>
        </w:r>
      </w:hyperlink>
      <w:r w:rsidRPr="00AA22C4">
        <w:rPr>
          <w:rFonts w:ascii="Lato" w:hAnsi="Lato"/>
          <w:color w:val="000000" w:themeColor="text1"/>
          <w:sz w:val="22"/>
          <w:szCs w:val="22"/>
          <w:lang w:val="en-US"/>
        </w:rPr>
        <w:t xml:space="preserve">, </w:t>
      </w:r>
      <w:hyperlink r:id="rId30" w:history="1">
        <w:r w:rsidRPr="00AA22C4">
          <w:rPr>
            <w:rStyle w:val="Hipercze"/>
            <w:rFonts w:ascii="Lato" w:hAnsi="Lato"/>
            <w:color w:val="000000" w:themeColor="text1"/>
            <w:sz w:val="22"/>
            <w:szCs w:val="22"/>
            <w:lang w:val="en-US"/>
          </w:rPr>
          <w:t>Singh RH</w:t>
        </w:r>
      </w:hyperlink>
      <w:r w:rsidRPr="00AA22C4">
        <w:rPr>
          <w:rFonts w:ascii="Lato" w:hAnsi="Lato"/>
          <w:color w:val="000000" w:themeColor="text1"/>
          <w:sz w:val="22"/>
          <w:szCs w:val="22"/>
          <w:lang w:val="en-US"/>
        </w:rPr>
        <w:t xml:space="preserve">; </w:t>
      </w:r>
      <w:hyperlink r:id="rId31" w:history="1">
        <w:r w:rsidRPr="00AA22C4">
          <w:rPr>
            <w:rStyle w:val="Hipercze"/>
            <w:rFonts w:ascii="Lato" w:hAnsi="Lato"/>
            <w:color w:val="000000" w:themeColor="text1"/>
            <w:sz w:val="22"/>
            <w:szCs w:val="22"/>
            <w:lang w:val="en-US"/>
          </w:rPr>
          <w:t>NDBS Business Process Analysis Workgroup</w:t>
        </w:r>
      </w:hyperlink>
      <w:r w:rsidRPr="00AA22C4">
        <w:rPr>
          <w:rStyle w:val="Hipercze"/>
          <w:rFonts w:ascii="Lato" w:hAnsi="Lato"/>
          <w:color w:val="000000" w:themeColor="text1"/>
          <w:sz w:val="22"/>
          <w:szCs w:val="22"/>
          <w:lang w:val="en-US"/>
        </w:rPr>
        <w:t xml:space="preserve"> </w:t>
      </w:r>
      <w:r w:rsidRPr="00AA22C4">
        <w:rPr>
          <w:rFonts w:ascii="Lato" w:hAnsi="Lato"/>
          <w:color w:val="000000" w:themeColor="text1"/>
          <w:sz w:val="22"/>
          <w:szCs w:val="22"/>
          <w:lang w:val="en-US"/>
        </w:rPr>
        <w:t>Newborn dried bloodspot screening: mapping the clinical and public health components and activities.</w:t>
      </w:r>
    </w:p>
    <w:p w14:paraId="06BCC68D"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GB"/>
        </w:rPr>
      </w:pPr>
      <w:r w:rsidRPr="00AA22C4">
        <w:rPr>
          <w:rFonts w:ascii="Lato" w:hAnsi="Lato"/>
          <w:i/>
          <w:iCs/>
          <w:color w:val="000000" w:themeColor="text1"/>
          <w:sz w:val="22"/>
          <w:szCs w:val="22"/>
          <w:lang w:val="en-GB"/>
        </w:rPr>
        <w:t xml:space="preserve">Clin. Chem., </w:t>
      </w:r>
      <w:r w:rsidRPr="00AA22C4">
        <w:rPr>
          <w:rFonts w:ascii="Lato" w:hAnsi="Lato"/>
          <w:bCs/>
          <w:color w:val="000000" w:themeColor="text1"/>
          <w:sz w:val="22"/>
          <w:szCs w:val="22"/>
          <w:lang w:val="en-GB"/>
        </w:rPr>
        <w:t>2001</w:t>
      </w:r>
      <w:r w:rsidRPr="00AA22C4">
        <w:rPr>
          <w:rFonts w:ascii="Lato" w:hAnsi="Lato"/>
          <w:i/>
          <w:iCs/>
          <w:color w:val="000000" w:themeColor="text1"/>
          <w:sz w:val="22"/>
          <w:szCs w:val="22"/>
          <w:lang w:val="en-GB"/>
        </w:rPr>
        <w:t xml:space="preserve">, </w:t>
      </w:r>
      <w:r w:rsidRPr="00AA22C4">
        <w:rPr>
          <w:rFonts w:ascii="Lato" w:hAnsi="Lato"/>
          <w:color w:val="000000" w:themeColor="text1"/>
          <w:sz w:val="22"/>
          <w:szCs w:val="22"/>
          <w:lang w:val="en-GB"/>
        </w:rPr>
        <w:t xml:space="preserve">47:11, 1945–1955 „Tandem Mass Spectrometric Analysis for Amino, Organic, and Fatty Acid Disorders in Newborn Dried Blood Spots: A Two-Year Summary from the New England Newborn Screening Program.” Thomas H. </w:t>
      </w:r>
      <w:proofErr w:type="spellStart"/>
      <w:r w:rsidRPr="00AA22C4">
        <w:rPr>
          <w:rFonts w:ascii="Lato" w:hAnsi="Lato"/>
          <w:color w:val="000000" w:themeColor="text1"/>
          <w:sz w:val="22"/>
          <w:szCs w:val="22"/>
          <w:lang w:val="en-GB"/>
        </w:rPr>
        <w:t>Zytkovicz</w:t>
      </w:r>
      <w:proofErr w:type="spellEnd"/>
      <w:r w:rsidRPr="00AA22C4">
        <w:rPr>
          <w:rFonts w:ascii="Lato" w:hAnsi="Lato"/>
          <w:color w:val="000000" w:themeColor="text1"/>
          <w:sz w:val="22"/>
          <w:szCs w:val="22"/>
          <w:lang w:val="en-GB"/>
        </w:rPr>
        <w:t>, Eileen F. Fitzgerald, Deborah Marsden, et all.</w:t>
      </w:r>
    </w:p>
    <w:p w14:paraId="1319CA0B"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GB"/>
        </w:rPr>
      </w:pPr>
      <w:r w:rsidRPr="00AA22C4">
        <w:rPr>
          <w:rFonts w:ascii="Lato" w:hAnsi="Lato"/>
          <w:i/>
          <w:iCs/>
          <w:color w:val="000000" w:themeColor="text1"/>
          <w:sz w:val="22"/>
          <w:szCs w:val="22"/>
          <w:lang w:val="en-GB"/>
        </w:rPr>
        <w:t xml:space="preserve">J. </w:t>
      </w:r>
      <w:proofErr w:type="spellStart"/>
      <w:r w:rsidRPr="00AA22C4">
        <w:rPr>
          <w:rFonts w:ascii="Lato" w:hAnsi="Lato"/>
          <w:i/>
          <w:iCs/>
          <w:color w:val="000000" w:themeColor="text1"/>
          <w:sz w:val="22"/>
          <w:szCs w:val="22"/>
          <w:lang w:val="en-GB"/>
        </w:rPr>
        <w:t>Inher</w:t>
      </w:r>
      <w:proofErr w:type="spellEnd"/>
      <w:r w:rsidRPr="00AA22C4">
        <w:rPr>
          <w:rFonts w:ascii="Lato" w:hAnsi="Lato"/>
          <w:i/>
          <w:iCs/>
          <w:color w:val="000000" w:themeColor="text1"/>
          <w:sz w:val="22"/>
          <w:szCs w:val="22"/>
          <w:lang w:val="en-GB"/>
        </w:rPr>
        <w:t>. Met. Dis.,</w:t>
      </w:r>
      <w:r w:rsidRPr="00AA22C4">
        <w:rPr>
          <w:rFonts w:ascii="Lato" w:hAnsi="Lato"/>
          <w:bCs/>
          <w:color w:val="000000" w:themeColor="text1"/>
          <w:sz w:val="22"/>
          <w:szCs w:val="22"/>
          <w:lang w:val="en-GB"/>
        </w:rPr>
        <w:t xml:space="preserve">2010, </w:t>
      </w:r>
      <w:r w:rsidRPr="00AA22C4">
        <w:rPr>
          <w:rFonts w:ascii="Lato" w:hAnsi="Lato"/>
          <w:color w:val="000000" w:themeColor="text1"/>
          <w:sz w:val="22"/>
          <w:szCs w:val="22"/>
          <w:lang w:val="en-GB"/>
        </w:rPr>
        <w:t>33, 501-506 „Fatty Acid Oxidation disorders: outcome and long-term prognosis.”  B. Wilcken.</w:t>
      </w:r>
    </w:p>
    <w:p w14:paraId="5F68D206"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GB"/>
        </w:rPr>
      </w:pPr>
      <w:r w:rsidRPr="00AA22C4">
        <w:rPr>
          <w:rFonts w:ascii="Lato" w:hAnsi="Lato"/>
          <w:i/>
          <w:iCs/>
          <w:color w:val="000000" w:themeColor="text1"/>
          <w:sz w:val="22"/>
          <w:szCs w:val="22"/>
          <w:lang w:val="en-GB"/>
        </w:rPr>
        <w:t xml:space="preserve">J. </w:t>
      </w:r>
      <w:proofErr w:type="spellStart"/>
      <w:r w:rsidRPr="00AA22C4">
        <w:rPr>
          <w:rFonts w:ascii="Lato" w:hAnsi="Lato"/>
          <w:i/>
          <w:iCs/>
          <w:color w:val="000000" w:themeColor="text1"/>
          <w:sz w:val="22"/>
          <w:szCs w:val="22"/>
          <w:lang w:val="en-GB"/>
        </w:rPr>
        <w:t>Inher</w:t>
      </w:r>
      <w:proofErr w:type="spellEnd"/>
      <w:r w:rsidRPr="00AA22C4">
        <w:rPr>
          <w:rFonts w:ascii="Lato" w:hAnsi="Lato"/>
          <w:i/>
          <w:iCs/>
          <w:color w:val="000000" w:themeColor="text1"/>
          <w:sz w:val="22"/>
          <w:szCs w:val="22"/>
          <w:lang w:val="en-GB"/>
        </w:rPr>
        <w:t>. Met. Dis.,</w:t>
      </w:r>
      <w:r w:rsidRPr="00AA22C4">
        <w:rPr>
          <w:rFonts w:ascii="Lato" w:hAnsi="Lato"/>
          <w:bCs/>
          <w:color w:val="000000" w:themeColor="text1"/>
          <w:sz w:val="22"/>
          <w:szCs w:val="22"/>
          <w:lang w:val="en-GB"/>
        </w:rPr>
        <w:t xml:space="preserve">2010, </w:t>
      </w:r>
      <w:r w:rsidRPr="00AA22C4">
        <w:rPr>
          <w:rFonts w:ascii="Lato" w:hAnsi="Lato"/>
          <w:color w:val="000000" w:themeColor="text1"/>
          <w:sz w:val="22"/>
          <w:szCs w:val="22"/>
          <w:lang w:val="en-GB"/>
        </w:rPr>
        <w:t xml:space="preserve">33, 467-468 „Update on mitochondrial fatty acid oxidation disorders”. U. </w:t>
      </w:r>
      <w:proofErr w:type="spellStart"/>
      <w:r w:rsidRPr="00AA22C4">
        <w:rPr>
          <w:rFonts w:ascii="Lato" w:hAnsi="Lato"/>
          <w:color w:val="000000" w:themeColor="text1"/>
          <w:sz w:val="22"/>
          <w:szCs w:val="22"/>
          <w:lang w:val="en-GB"/>
        </w:rPr>
        <w:t>Spiekerkoetter</w:t>
      </w:r>
      <w:proofErr w:type="spellEnd"/>
      <w:r w:rsidRPr="00AA22C4">
        <w:rPr>
          <w:rFonts w:ascii="Lato" w:hAnsi="Lato"/>
          <w:color w:val="000000" w:themeColor="text1"/>
          <w:sz w:val="22"/>
          <w:szCs w:val="22"/>
          <w:lang w:val="en-GB"/>
        </w:rPr>
        <w:t xml:space="preserve">, E. </w:t>
      </w:r>
      <w:proofErr w:type="spellStart"/>
      <w:r w:rsidRPr="00AA22C4">
        <w:rPr>
          <w:rFonts w:ascii="Lato" w:hAnsi="Lato"/>
          <w:color w:val="000000" w:themeColor="text1"/>
          <w:sz w:val="22"/>
          <w:szCs w:val="22"/>
          <w:lang w:val="en-GB"/>
        </w:rPr>
        <w:t>Mayatepek</w:t>
      </w:r>
      <w:proofErr w:type="spellEnd"/>
      <w:r w:rsidRPr="00AA22C4">
        <w:rPr>
          <w:rFonts w:ascii="Lato" w:hAnsi="Lato"/>
          <w:color w:val="000000" w:themeColor="text1"/>
          <w:sz w:val="22"/>
          <w:szCs w:val="22"/>
          <w:lang w:val="en-GB"/>
        </w:rPr>
        <w:t>.</w:t>
      </w:r>
    </w:p>
    <w:p w14:paraId="534E1BB3"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GB"/>
        </w:rPr>
      </w:pPr>
      <w:r w:rsidRPr="00AA22C4">
        <w:rPr>
          <w:rFonts w:ascii="Lato" w:hAnsi="Lato"/>
          <w:i/>
          <w:iCs/>
          <w:color w:val="000000" w:themeColor="text1"/>
          <w:sz w:val="22"/>
          <w:szCs w:val="22"/>
          <w:lang w:val="en-GB"/>
        </w:rPr>
        <w:t xml:space="preserve">J. </w:t>
      </w:r>
      <w:proofErr w:type="spellStart"/>
      <w:r w:rsidRPr="00AA22C4">
        <w:rPr>
          <w:rFonts w:ascii="Lato" w:hAnsi="Lato"/>
          <w:i/>
          <w:iCs/>
          <w:color w:val="000000" w:themeColor="text1"/>
          <w:sz w:val="22"/>
          <w:szCs w:val="22"/>
          <w:lang w:val="en-GB"/>
        </w:rPr>
        <w:t>Inher</w:t>
      </w:r>
      <w:proofErr w:type="spellEnd"/>
      <w:r w:rsidRPr="00AA22C4">
        <w:rPr>
          <w:rFonts w:ascii="Lato" w:hAnsi="Lato"/>
          <w:i/>
          <w:iCs/>
          <w:color w:val="000000" w:themeColor="text1"/>
          <w:sz w:val="22"/>
          <w:szCs w:val="22"/>
          <w:lang w:val="en-GB"/>
        </w:rPr>
        <w:t xml:space="preserve">. Met. Dis., </w:t>
      </w:r>
      <w:r w:rsidRPr="00AA22C4">
        <w:rPr>
          <w:rFonts w:ascii="Lato" w:hAnsi="Lato"/>
          <w:bCs/>
          <w:color w:val="000000" w:themeColor="text1"/>
          <w:sz w:val="22"/>
          <w:szCs w:val="22"/>
          <w:lang w:val="en-GB"/>
        </w:rPr>
        <w:t xml:space="preserve">2010, </w:t>
      </w:r>
      <w:r w:rsidRPr="00AA22C4">
        <w:rPr>
          <w:rFonts w:ascii="Lato" w:hAnsi="Lato"/>
          <w:color w:val="000000" w:themeColor="text1"/>
          <w:sz w:val="22"/>
          <w:szCs w:val="22"/>
          <w:lang w:val="en-GB"/>
        </w:rPr>
        <w:t xml:space="preserve">33, 469-477 „A general introduction to the biochemistry </w:t>
      </w:r>
      <w:proofErr w:type="gramStart"/>
      <w:r w:rsidRPr="00AA22C4">
        <w:rPr>
          <w:rFonts w:ascii="Lato" w:hAnsi="Lato"/>
          <w:color w:val="000000" w:themeColor="text1"/>
          <w:sz w:val="22"/>
          <w:szCs w:val="22"/>
          <w:lang w:val="en-GB"/>
        </w:rPr>
        <w:t>of  mitochondrial</w:t>
      </w:r>
      <w:proofErr w:type="gramEnd"/>
      <w:r w:rsidRPr="00AA22C4">
        <w:rPr>
          <w:rFonts w:ascii="Lato" w:hAnsi="Lato"/>
          <w:color w:val="000000" w:themeColor="text1"/>
          <w:sz w:val="22"/>
          <w:szCs w:val="22"/>
          <w:lang w:val="en-GB"/>
        </w:rPr>
        <w:t xml:space="preserve"> fatty acid </w:t>
      </w:r>
      <w:r w:rsidRPr="00AA22C4">
        <w:rPr>
          <w:rFonts w:ascii="Calibri" w:hAnsi="Calibri" w:cs="Calibri"/>
          <w:color w:val="000000" w:themeColor="text1"/>
          <w:sz w:val="22"/>
          <w:szCs w:val="22"/>
        </w:rPr>
        <w:t>β</w:t>
      </w:r>
      <w:r w:rsidRPr="00AA22C4">
        <w:rPr>
          <w:rFonts w:ascii="Lato" w:hAnsi="Lato"/>
          <w:color w:val="000000" w:themeColor="text1"/>
          <w:sz w:val="22"/>
          <w:szCs w:val="22"/>
          <w:lang w:val="en-GB"/>
        </w:rPr>
        <w:t xml:space="preserve">-oxidation.” S. M. Houten, R.J.A. </w:t>
      </w:r>
      <w:proofErr w:type="spellStart"/>
      <w:r w:rsidRPr="00AA22C4">
        <w:rPr>
          <w:rFonts w:ascii="Lato" w:hAnsi="Lato"/>
          <w:color w:val="000000" w:themeColor="text1"/>
          <w:sz w:val="22"/>
          <w:szCs w:val="22"/>
          <w:lang w:val="en-GB"/>
        </w:rPr>
        <w:t>Wandres</w:t>
      </w:r>
      <w:proofErr w:type="spellEnd"/>
      <w:r w:rsidRPr="00AA22C4">
        <w:rPr>
          <w:rFonts w:ascii="Lato" w:hAnsi="Lato"/>
          <w:color w:val="000000" w:themeColor="text1"/>
          <w:sz w:val="22"/>
          <w:szCs w:val="22"/>
          <w:lang w:val="en-GB"/>
        </w:rPr>
        <w:t>.</w:t>
      </w:r>
    </w:p>
    <w:p w14:paraId="768994F7"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GB"/>
        </w:rPr>
      </w:pPr>
      <w:r w:rsidRPr="00AA22C4">
        <w:rPr>
          <w:rFonts w:ascii="Lato" w:hAnsi="Lato"/>
          <w:i/>
          <w:iCs/>
          <w:color w:val="000000" w:themeColor="text1"/>
          <w:sz w:val="22"/>
          <w:szCs w:val="22"/>
          <w:lang w:val="en-GB"/>
        </w:rPr>
        <w:t xml:space="preserve">J. </w:t>
      </w:r>
      <w:proofErr w:type="spellStart"/>
      <w:r w:rsidRPr="00AA22C4">
        <w:rPr>
          <w:rFonts w:ascii="Lato" w:hAnsi="Lato"/>
          <w:i/>
          <w:iCs/>
          <w:color w:val="000000" w:themeColor="text1"/>
          <w:sz w:val="22"/>
          <w:szCs w:val="22"/>
          <w:lang w:val="en-GB"/>
        </w:rPr>
        <w:t>Inher</w:t>
      </w:r>
      <w:proofErr w:type="spellEnd"/>
      <w:r w:rsidRPr="00AA22C4">
        <w:rPr>
          <w:rFonts w:ascii="Lato" w:hAnsi="Lato"/>
          <w:i/>
          <w:iCs/>
          <w:color w:val="000000" w:themeColor="text1"/>
          <w:sz w:val="22"/>
          <w:szCs w:val="22"/>
          <w:lang w:val="en-GB"/>
        </w:rPr>
        <w:t>. Met. Dis.,</w:t>
      </w:r>
      <w:r w:rsidRPr="00AA22C4">
        <w:rPr>
          <w:rFonts w:ascii="Lato" w:hAnsi="Lato"/>
          <w:bCs/>
          <w:color w:val="000000" w:themeColor="text1"/>
          <w:sz w:val="22"/>
          <w:szCs w:val="22"/>
          <w:lang w:val="en-GB"/>
        </w:rPr>
        <w:t xml:space="preserve">2010, </w:t>
      </w:r>
      <w:proofErr w:type="gramStart"/>
      <w:r w:rsidRPr="00AA22C4">
        <w:rPr>
          <w:rFonts w:ascii="Lato" w:hAnsi="Lato"/>
          <w:color w:val="000000" w:themeColor="text1"/>
          <w:sz w:val="22"/>
          <w:szCs w:val="22"/>
          <w:lang w:val="en-GB"/>
        </w:rPr>
        <w:t>33 ,</w:t>
      </w:r>
      <w:proofErr w:type="gramEnd"/>
      <w:r w:rsidRPr="00AA22C4">
        <w:rPr>
          <w:rFonts w:ascii="Lato" w:hAnsi="Lato"/>
          <w:color w:val="000000" w:themeColor="text1"/>
          <w:sz w:val="22"/>
          <w:szCs w:val="22"/>
          <w:lang w:val="en-GB"/>
        </w:rPr>
        <w:t xml:space="preserve"> 521–526 „Newborn screening for disorders of fatty-acid oxidation: experience and recommendations from an expert meeting.” M. </w:t>
      </w:r>
      <w:proofErr w:type="spellStart"/>
      <w:proofErr w:type="gramStart"/>
      <w:r w:rsidRPr="00AA22C4">
        <w:rPr>
          <w:rFonts w:ascii="Lato" w:hAnsi="Lato"/>
          <w:color w:val="000000" w:themeColor="text1"/>
          <w:sz w:val="22"/>
          <w:szCs w:val="22"/>
          <w:lang w:val="en-GB"/>
        </w:rPr>
        <w:t>Lindner,G</w:t>
      </w:r>
      <w:proofErr w:type="spellEnd"/>
      <w:r w:rsidRPr="00AA22C4">
        <w:rPr>
          <w:rFonts w:ascii="Lato" w:hAnsi="Lato"/>
          <w:color w:val="000000" w:themeColor="text1"/>
          <w:sz w:val="22"/>
          <w:szCs w:val="22"/>
          <w:lang w:val="en-GB"/>
        </w:rPr>
        <w:t>.</w:t>
      </w:r>
      <w:proofErr w:type="gramEnd"/>
      <w:r w:rsidRPr="00AA22C4">
        <w:rPr>
          <w:rFonts w:ascii="Lato" w:hAnsi="Lato"/>
          <w:color w:val="000000" w:themeColor="text1"/>
          <w:sz w:val="22"/>
          <w:szCs w:val="22"/>
          <w:lang w:val="en-GB"/>
        </w:rPr>
        <w:t xml:space="preserve"> F. Hoffmann, D.  Matern.</w:t>
      </w:r>
    </w:p>
    <w:p w14:paraId="1724BA00"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GB"/>
        </w:rPr>
      </w:pPr>
      <w:r w:rsidRPr="00AA22C4">
        <w:rPr>
          <w:rFonts w:ascii="Lato" w:hAnsi="Lato"/>
          <w:i/>
          <w:iCs/>
          <w:color w:val="000000" w:themeColor="text1"/>
          <w:sz w:val="22"/>
          <w:szCs w:val="22"/>
          <w:lang w:val="en-GB"/>
        </w:rPr>
        <w:t>Ped.,</w:t>
      </w:r>
      <w:r w:rsidRPr="00AA22C4">
        <w:rPr>
          <w:rFonts w:ascii="Lato" w:hAnsi="Lato"/>
          <w:bCs/>
          <w:color w:val="000000" w:themeColor="text1"/>
          <w:sz w:val="22"/>
          <w:szCs w:val="22"/>
          <w:lang w:val="en-GB"/>
        </w:rPr>
        <w:t>2009</w:t>
      </w:r>
      <w:r w:rsidRPr="00AA22C4">
        <w:rPr>
          <w:rFonts w:ascii="Lato" w:hAnsi="Lato"/>
          <w:color w:val="000000" w:themeColor="text1"/>
          <w:sz w:val="22"/>
          <w:szCs w:val="22"/>
          <w:lang w:val="en-GB"/>
        </w:rPr>
        <w:t>, 124, e241-e249 „Expanded Newborn Screening: Outcome in Screened and Unscreened Patients at Age 6 Years.” Bridget Wilcken, Marion Haas, Pamela Joy, et al</w:t>
      </w:r>
    </w:p>
    <w:p w14:paraId="7700459F"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US"/>
        </w:rPr>
      </w:pPr>
      <w:r w:rsidRPr="00AA22C4">
        <w:rPr>
          <w:rFonts w:ascii="Lato" w:hAnsi="Lato"/>
          <w:i/>
          <w:iCs/>
          <w:color w:val="000000" w:themeColor="text1"/>
          <w:sz w:val="22"/>
          <w:szCs w:val="22"/>
          <w:lang w:val="en-GB"/>
        </w:rPr>
        <w:t>Eur. J. Endocrinology,</w:t>
      </w:r>
      <w:r w:rsidRPr="00AA22C4">
        <w:rPr>
          <w:rFonts w:ascii="Lato" w:hAnsi="Lato"/>
          <w:bCs/>
          <w:color w:val="000000" w:themeColor="text1"/>
          <w:sz w:val="22"/>
          <w:szCs w:val="22"/>
          <w:lang w:val="en-GB"/>
        </w:rPr>
        <w:t>2004</w:t>
      </w:r>
      <w:r w:rsidRPr="00AA22C4">
        <w:rPr>
          <w:rFonts w:ascii="Lato" w:hAnsi="Lato"/>
          <w:color w:val="000000" w:themeColor="text1"/>
          <w:sz w:val="22"/>
          <w:szCs w:val="22"/>
          <w:lang w:val="en-GB"/>
        </w:rPr>
        <w:t xml:space="preserve">, 151, U71–U75 „Neonatal screening for congenital adrenal </w:t>
      </w:r>
      <w:proofErr w:type="spellStart"/>
      <w:r w:rsidRPr="00AA22C4">
        <w:rPr>
          <w:rFonts w:ascii="Lato" w:hAnsi="Lato"/>
          <w:color w:val="000000" w:themeColor="text1"/>
          <w:sz w:val="22"/>
          <w:szCs w:val="22"/>
          <w:lang w:val="en-GB"/>
        </w:rPr>
        <w:t>hyperplasia</w:t>
      </w:r>
      <w:proofErr w:type="gramStart"/>
      <w:r w:rsidRPr="00AA22C4">
        <w:rPr>
          <w:rFonts w:ascii="Lato" w:hAnsi="Lato"/>
          <w:color w:val="000000" w:themeColor="text1"/>
          <w:sz w:val="22"/>
          <w:szCs w:val="22"/>
          <w:lang w:val="en-GB"/>
        </w:rPr>
        <w:t>.”Hetty</w:t>
      </w:r>
      <w:proofErr w:type="spellEnd"/>
      <w:proofErr w:type="gramEnd"/>
      <w:r w:rsidRPr="00AA22C4">
        <w:rPr>
          <w:rFonts w:ascii="Lato" w:hAnsi="Lato"/>
          <w:color w:val="000000" w:themeColor="text1"/>
          <w:sz w:val="22"/>
          <w:szCs w:val="22"/>
          <w:lang w:val="en-GB"/>
        </w:rPr>
        <w:t xml:space="preserve"> J van der </w:t>
      </w:r>
      <w:r w:rsidRPr="00AA22C4">
        <w:rPr>
          <w:rFonts w:ascii="Lato" w:hAnsi="Lato"/>
          <w:color w:val="000000" w:themeColor="text1"/>
          <w:sz w:val="22"/>
          <w:szCs w:val="22"/>
          <w:lang w:val="en-US"/>
        </w:rPr>
        <w:t>Kamp and Jan M Wit.</w:t>
      </w:r>
    </w:p>
    <w:p w14:paraId="607BEABB"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rPr>
      </w:pPr>
      <w:r w:rsidRPr="00AA22C4">
        <w:rPr>
          <w:rFonts w:ascii="Lato" w:hAnsi="Lato"/>
          <w:i/>
          <w:iCs/>
          <w:color w:val="000000" w:themeColor="text1"/>
          <w:sz w:val="22"/>
          <w:szCs w:val="22"/>
          <w:lang w:val="en-GB"/>
        </w:rPr>
        <w:t xml:space="preserve">Semin. in </w:t>
      </w:r>
      <w:proofErr w:type="spellStart"/>
      <w:r w:rsidRPr="00AA22C4">
        <w:rPr>
          <w:rFonts w:ascii="Lato" w:hAnsi="Lato"/>
          <w:i/>
          <w:iCs/>
          <w:color w:val="000000" w:themeColor="text1"/>
          <w:sz w:val="22"/>
          <w:szCs w:val="22"/>
          <w:lang w:val="en-GB"/>
        </w:rPr>
        <w:t>Neonat</w:t>
      </w:r>
      <w:proofErr w:type="spellEnd"/>
      <w:r w:rsidRPr="00AA22C4">
        <w:rPr>
          <w:rFonts w:ascii="Lato" w:hAnsi="Lato"/>
          <w:i/>
          <w:iCs/>
          <w:color w:val="000000" w:themeColor="text1"/>
          <w:sz w:val="22"/>
          <w:szCs w:val="22"/>
          <w:lang w:val="en-GB"/>
        </w:rPr>
        <w:t xml:space="preserve">., </w:t>
      </w:r>
      <w:r w:rsidRPr="00AA22C4">
        <w:rPr>
          <w:rFonts w:ascii="Lato" w:hAnsi="Lato"/>
          <w:bCs/>
          <w:color w:val="000000" w:themeColor="text1"/>
          <w:sz w:val="22"/>
          <w:szCs w:val="22"/>
          <w:lang w:val="en-GB"/>
        </w:rPr>
        <w:t>2004</w:t>
      </w:r>
      <w:r w:rsidRPr="00AA22C4">
        <w:rPr>
          <w:rFonts w:ascii="Lato" w:hAnsi="Lato"/>
          <w:color w:val="000000" w:themeColor="text1"/>
          <w:sz w:val="22"/>
          <w:szCs w:val="22"/>
          <w:lang w:val="en-GB"/>
        </w:rPr>
        <w:t xml:space="preserve">, 9, 75–85 „Screening for neonatal endocrinopathies: rationale, methods and results.” Guy Van </w:t>
      </w:r>
      <w:proofErr w:type="spellStart"/>
      <w:r w:rsidRPr="00AA22C4">
        <w:rPr>
          <w:rFonts w:ascii="Lato" w:hAnsi="Lato"/>
          <w:color w:val="000000" w:themeColor="text1"/>
          <w:sz w:val="22"/>
          <w:szCs w:val="22"/>
          <w:lang w:val="en-GB"/>
        </w:rPr>
        <w:t>Vlieta</w:t>
      </w:r>
      <w:proofErr w:type="spellEnd"/>
      <w:r w:rsidRPr="00AA22C4">
        <w:rPr>
          <w:rFonts w:ascii="Lato" w:hAnsi="Lato"/>
          <w:color w:val="000000" w:themeColor="text1"/>
          <w:sz w:val="22"/>
          <w:szCs w:val="22"/>
          <w:lang w:val="en-GB"/>
        </w:rPr>
        <w:t>, P</w:t>
      </w:r>
      <w:r w:rsidRPr="00AA22C4">
        <w:rPr>
          <w:rFonts w:ascii="Lato" w:hAnsi="Lato"/>
          <w:color w:val="000000" w:themeColor="text1"/>
          <w:sz w:val="22"/>
          <w:szCs w:val="22"/>
        </w:rPr>
        <w:t xml:space="preserve">aul </w:t>
      </w:r>
      <w:proofErr w:type="spellStart"/>
      <w:r w:rsidRPr="00AA22C4">
        <w:rPr>
          <w:rFonts w:ascii="Lato" w:hAnsi="Lato"/>
          <w:color w:val="000000" w:themeColor="text1"/>
          <w:sz w:val="22"/>
          <w:szCs w:val="22"/>
        </w:rPr>
        <w:t>Czernichow</w:t>
      </w:r>
      <w:proofErr w:type="spellEnd"/>
      <w:r w:rsidRPr="00AA22C4">
        <w:rPr>
          <w:rFonts w:ascii="Lato" w:hAnsi="Lato"/>
          <w:color w:val="000000" w:themeColor="text1"/>
          <w:sz w:val="22"/>
          <w:szCs w:val="22"/>
        </w:rPr>
        <w:t>.</w:t>
      </w:r>
    </w:p>
    <w:p w14:paraId="0CE8FF73"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rPr>
      </w:pPr>
      <w:r w:rsidRPr="00AA22C4">
        <w:rPr>
          <w:rFonts w:ascii="Lato" w:hAnsi="Lato"/>
          <w:i/>
          <w:iCs/>
          <w:color w:val="000000" w:themeColor="text1"/>
          <w:sz w:val="22"/>
          <w:szCs w:val="22"/>
        </w:rPr>
        <w:t>Pediatria Polska</w:t>
      </w:r>
      <w:r w:rsidRPr="00AA22C4">
        <w:rPr>
          <w:rFonts w:ascii="Lato" w:hAnsi="Lato"/>
          <w:color w:val="000000" w:themeColor="text1"/>
          <w:sz w:val="22"/>
          <w:szCs w:val="22"/>
        </w:rPr>
        <w:t xml:space="preserve">, </w:t>
      </w:r>
      <w:r w:rsidRPr="00AA22C4">
        <w:rPr>
          <w:rFonts w:ascii="Lato" w:hAnsi="Lato"/>
          <w:bCs/>
          <w:color w:val="000000" w:themeColor="text1"/>
          <w:sz w:val="22"/>
          <w:szCs w:val="22"/>
        </w:rPr>
        <w:t>2003</w:t>
      </w:r>
      <w:r w:rsidRPr="00AA22C4">
        <w:rPr>
          <w:rFonts w:ascii="Lato" w:hAnsi="Lato"/>
          <w:color w:val="000000" w:themeColor="text1"/>
          <w:sz w:val="22"/>
          <w:szCs w:val="22"/>
        </w:rPr>
        <w:t>, LXXVIII, 4,265-271 „</w:t>
      </w:r>
      <w:proofErr w:type="spellStart"/>
      <w:r w:rsidRPr="00AA22C4">
        <w:rPr>
          <w:rFonts w:ascii="Lato" w:hAnsi="Lato"/>
          <w:color w:val="000000" w:themeColor="text1"/>
          <w:sz w:val="22"/>
          <w:szCs w:val="22"/>
        </w:rPr>
        <w:t>Skrining</w:t>
      </w:r>
      <w:proofErr w:type="spellEnd"/>
      <w:r w:rsidRPr="00AA22C4">
        <w:rPr>
          <w:rFonts w:ascii="Lato" w:hAnsi="Lato"/>
          <w:color w:val="000000" w:themeColor="text1"/>
          <w:sz w:val="22"/>
          <w:szCs w:val="22"/>
        </w:rPr>
        <w:t xml:space="preserve"> selektywny w kierunku wrodzonych wad metabolizmu – rola badania profilu kwasów organicznych w moczu metodą GC-MS oraz badania profilu </w:t>
      </w:r>
      <w:proofErr w:type="spellStart"/>
      <w:r w:rsidRPr="00AA22C4">
        <w:rPr>
          <w:rFonts w:ascii="Lato" w:hAnsi="Lato"/>
          <w:color w:val="000000" w:themeColor="text1"/>
          <w:sz w:val="22"/>
          <w:szCs w:val="22"/>
        </w:rPr>
        <w:t>acylokarnityn</w:t>
      </w:r>
      <w:proofErr w:type="spellEnd"/>
      <w:r w:rsidRPr="00AA22C4">
        <w:rPr>
          <w:rFonts w:ascii="Lato" w:hAnsi="Lato"/>
          <w:color w:val="000000" w:themeColor="text1"/>
          <w:sz w:val="22"/>
          <w:szCs w:val="22"/>
        </w:rPr>
        <w:t xml:space="preserve"> i aminokwasów w suchej kropli krwi metodą MS/MS.” E. </w:t>
      </w:r>
      <w:proofErr w:type="spellStart"/>
      <w:r w:rsidRPr="00AA22C4">
        <w:rPr>
          <w:rFonts w:ascii="Lato" w:hAnsi="Lato"/>
          <w:color w:val="000000" w:themeColor="text1"/>
          <w:sz w:val="22"/>
          <w:szCs w:val="22"/>
        </w:rPr>
        <w:t>Pronicka</w:t>
      </w:r>
      <w:proofErr w:type="spellEnd"/>
      <w:r w:rsidRPr="00AA22C4">
        <w:rPr>
          <w:rFonts w:ascii="Lato" w:hAnsi="Lato"/>
          <w:color w:val="000000" w:themeColor="text1"/>
          <w:sz w:val="22"/>
          <w:szCs w:val="22"/>
        </w:rPr>
        <w:t xml:space="preserve">, M. Ołtarzewski, W. Gradowska, et </w:t>
      </w:r>
      <w:proofErr w:type="spellStart"/>
      <w:r w:rsidRPr="00AA22C4">
        <w:rPr>
          <w:rFonts w:ascii="Lato" w:hAnsi="Lato"/>
          <w:color w:val="000000" w:themeColor="text1"/>
          <w:sz w:val="22"/>
          <w:szCs w:val="22"/>
        </w:rPr>
        <w:t>all</w:t>
      </w:r>
      <w:proofErr w:type="spellEnd"/>
      <w:r w:rsidRPr="00AA22C4">
        <w:rPr>
          <w:rFonts w:ascii="Lato" w:hAnsi="Lato"/>
          <w:color w:val="000000" w:themeColor="text1"/>
          <w:sz w:val="22"/>
          <w:szCs w:val="22"/>
        </w:rPr>
        <w:t>.</w:t>
      </w:r>
    </w:p>
    <w:p w14:paraId="619C8763"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US"/>
        </w:rPr>
      </w:pPr>
      <w:r w:rsidRPr="00AA22C4">
        <w:rPr>
          <w:rFonts w:ascii="Lato" w:hAnsi="Lato"/>
          <w:i/>
          <w:color w:val="000000" w:themeColor="text1"/>
          <w:sz w:val="22"/>
          <w:szCs w:val="22"/>
          <w:lang w:val="en-US"/>
        </w:rPr>
        <w:t>Genet Med.</w:t>
      </w:r>
      <w:r w:rsidRPr="00AA22C4">
        <w:rPr>
          <w:rFonts w:ascii="Lato" w:hAnsi="Lato"/>
          <w:color w:val="000000" w:themeColor="text1"/>
          <w:sz w:val="22"/>
          <w:szCs w:val="22"/>
          <w:lang w:val="en-US"/>
        </w:rPr>
        <w:t xml:space="preserve">2011 Oct;13(10):861-5.  </w:t>
      </w:r>
      <w:hyperlink r:id="rId32" w:history="1">
        <w:r w:rsidRPr="00AA22C4">
          <w:rPr>
            <w:rStyle w:val="Hipercze"/>
            <w:rFonts w:ascii="Lato" w:hAnsi="Lato"/>
            <w:color w:val="000000" w:themeColor="text1"/>
            <w:sz w:val="22"/>
            <w:szCs w:val="22"/>
            <w:lang w:val="en-US"/>
          </w:rPr>
          <w:t>Hinton CF</w:t>
        </w:r>
      </w:hyperlink>
      <w:r w:rsidRPr="00AA22C4">
        <w:rPr>
          <w:rFonts w:ascii="Lato" w:hAnsi="Lato"/>
          <w:color w:val="000000" w:themeColor="text1"/>
          <w:sz w:val="22"/>
          <w:szCs w:val="22"/>
          <w:lang w:val="en-US"/>
        </w:rPr>
        <w:t xml:space="preserve">, </w:t>
      </w:r>
      <w:hyperlink r:id="rId33" w:history="1">
        <w:proofErr w:type="spellStart"/>
        <w:r w:rsidRPr="00AA22C4">
          <w:rPr>
            <w:rStyle w:val="Hipercze"/>
            <w:rFonts w:ascii="Lato" w:hAnsi="Lato"/>
            <w:color w:val="000000" w:themeColor="text1"/>
            <w:sz w:val="22"/>
            <w:szCs w:val="22"/>
            <w:lang w:val="en-US"/>
          </w:rPr>
          <w:t>Feuchtbaum</w:t>
        </w:r>
        <w:proofErr w:type="spellEnd"/>
        <w:r w:rsidRPr="00AA22C4">
          <w:rPr>
            <w:rStyle w:val="Hipercze"/>
            <w:rFonts w:ascii="Lato" w:hAnsi="Lato"/>
            <w:color w:val="000000" w:themeColor="text1"/>
            <w:sz w:val="22"/>
            <w:szCs w:val="22"/>
            <w:lang w:val="en-US"/>
          </w:rPr>
          <w:t xml:space="preserve"> L</w:t>
        </w:r>
      </w:hyperlink>
      <w:r w:rsidRPr="00AA22C4">
        <w:rPr>
          <w:rFonts w:ascii="Lato" w:hAnsi="Lato"/>
          <w:color w:val="000000" w:themeColor="text1"/>
          <w:sz w:val="22"/>
          <w:szCs w:val="22"/>
          <w:lang w:val="en-US"/>
        </w:rPr>
        <w:t xml:space="preserve">, </w:t>
      </w:r>
      <w:hyperlink r:id="rId34" w:history="1">
        <w:r w:rsidRPr="00AA22C4">
          <w:rPr>
            <w:rStyle w:val="Hipercze"/>
            <w:rFonts w:ascii="Lato" w:hAnsi="Lato"/>
            <w:color w:val="000000" w:themeColor="text1"/>
            <w:sz w:val="22"/>
            <w:szCs w:val="22"/>
            <w:lang w:val="en-US"/>
          </w:rPr>
          <w:t>Kus CA</w:t>
        </w:r>
      </w:hyperlink>
      <w:r w:rsidRPr="00AA22C4">
        <w:rPr>
          <w:rFonts w:ascii="Lato" w:hAnsi="Lato"/>
          <w:color w:val="000000" w:themeColor="text1"/>
          <w:sz w:val="22"/>
          <w:szCs w:val="22"/>
          <w:lang w:val="en-US"/>
        </w:rPr>
        <w:t xml:space="preserve">, </w:t>
      </w:r>
      <w:hyperlink r:id="rId35" w:history="1">
        <w:r w:rsidRPr="00AA22C4">
          <w:rPr>
            <w:rStyle w:val="Hipercze"/>
            <w:rFonts w:ascii="Lato" w:hAnsi="Lato"/>
            <w:color w:val="000000" w:themeColor="text1"/>
            <w:sz w:val="22"/>
            <w:szCs w:val="22"/>
            <w:lang w:val="en-US"/>
          </w:rPr>
          <w:t>Kemper AR</w:t>
        </w:r>
      </w:hyperlink>
      <w:r w:rsidRPr="00AA22C4">
        <w:rPr>
          <w:rFonts w:ascii="Lato" w:hAnsi="Lato"/>
          <w:color w:val="000000" w:themeColor="text1"/>
          <w:sz w:val="22"/>
          <w:szCs w:val="22"/>
          <w:lang w:val="en-US"/>
        </w:rPr>
        <w:t xml:space="preserve">, </w:t>
      </w:r>
      <w:hyperlink r:id="rId36" w:history="1">
        <w:r w:rsidRPr="00AA22C4">
          <w:rPr>
            <w:rStyle w:val="Hipercze"/>
            <w:rFonts w:ascii="Lato" w:hAnsi="Lato"/>
            <w:color w:val="000000" w:themeColor="text1"/>
            <w:sz w:val="22"/>
            <w:szCs w:val="22"/>
            <w:lang w:val="en-US"/>
          </w:rPr>
          <w:t>Berry SA</w:t>
        </w:r>
      </w:hyperlink>
      <w:r w:rsidRPr="00AA22C4">
        <w:rPr>
          <w:rFonts w:ascii="Lato" w:hAnsi="Lato"/>
          <w:color w:val="000000" w:themeColor="text1"/>
          <w:sz w:val="22"/>
          <w:szCs w:val="22"/>
          <w:lang w:val="en-US"/>
        </w:rPr>
        <w:t xml:space="preserve">, </w:t>
      </w:r>
      <w:hyperlink r:id="rId37" w:history="1">
        <w:r w:rsidRPr="00AA22C4">
          <w:rPr>
            <w:rStyle w:val="Hipercze"/>
            <w:rFonts w:ascii="Lato" w:hAnsi="Lato"/>
            <w:color w:val="000000" w:themeColor="text1"/>
            <w:sz w:val="22"/>
            <w:szCs w:val="22"/>
            <w:lang w:val="en-US"/>
          </w:rPr>
          <w:t>Levy-Fisch J</w:t>
        </w:r>
      </w:hyperlink>
      <w:r w:rsidRPr="00AA22C4">
        <w:rPr>
          <w:rFonts w:ascii="Lato" w:hAnsi="Lato"/>
          <w:color w:val="000000" w:themeColor="text1"/>
          <w:sz w:val="22"/>
          <w:szCs w:val="22"/>
          <w:lang w:val="en-US"/>
        </w:rPr>
        <w:t xml:space="preserve">, </w:t>
      </w:r>
      <w:hyperlink r:id="rId38" w:history="1">
        <w:r w:rsidRPr="00AA22C4">
          <w:rPr>
            <w:rStyle w:val="Hipercze"/>
            <w:rFonts w:ascii="Lato" w:hAnsi="Lato"/>
            <w:color w:val="000000" w:themeColor="text1"/>
            <w:sz w:val="22"/>
            <w:szCs w:val="22"/>
            <w:lang w:val="en-US"/>
          </w:rPr>
          <w:t>Luedtke J</w:t>
        </w:r>
      </w:hyperlink>
      <w:r w:rsidRPr="00AA22C4">
        <w:rPr>
          <w:rFonts w:ascii="Lato" w:hAnsi="Lato"/>
          <w:color w:val="000000" w:themeColor="text1"/>
          <w:sz w:val="22"/>
          <w:szCs w:val="22"/>
          <w:lang w:val="en-US"/>
        </w:rPr>
        <w:t xml:space="preserve">, </w:t>
      </w:r>
      <w:hyperlink r:id="rId39" w:history="1">
        <w:r w:rsidRPr="00AA22C4">
          <w:rPr>
            <w:rStyle w:val="Hipercze"/>
            <w:rFonts w:ascii="Lato" w:hAnsi="Lato"/>
            <w:color w:val="000000" w:themeColor="text1"/>
            <w:sz w:val="22"/>
            <w:szCs w:val="22"/>
            <w:lang w:val="en-US"/>
          </w:rPr>
          <w:t xml:space="preserve">Kaye </w:t>
        </w:r>
        <w:proofErr w:type="spellStart"/>
        <w:r w:rsidRPr="00AA22C4">
          <w:rPr>
            <w:rStyle w:val="Hipercze"/>
            <w:rFonts w:ascii="Lato" w:hAnsi="Lato"/>
            <w:color w:val="000000" w:themeColor="text1"/>
            <w:sz w:val="22"/>
            <w:szCs w:val="22"/>
            <w:lang w:val="en-US"/>
          </w:rPr>
          <w:t>C</w:t>
        </w:r>
      </w:hyperlink>
      <w:r w:rsidRPr="00AA22C4">
        <w:rPr>
          <w:rFonts w:ascii="Lato" w:hAnsi="Lato"/>
          <w:color w:val="000000" w:themeColor="text1"/>
          <w:sz w:val="22"/>
          <w:szCs w:val="22"/>
          <w:lang w:val="en-US"/>
        </w:rPr>
        <w:t>,</w:t>
      </w:r>
      <w:hyperlink r:id="rId40" w:history="1">
        <w:r w:rsidRPr="00AA22C4">
          <w:rPr>
            <w:rStyle w:val="Hipercze"/>
            <w:rFonts w:ascii="Lato" w:hAnsi="Lato"/>
            <w:color w:val="000000" w:themeColor="text1"/>
            <w:sz w:val="22"/>
            <w:szCs w:val="22"/>
            <w:lang w:val="en-US"/>
          </w:rPr>
          <w:t>Boyle</w:t>
        </w:r>
        <w:proofErr w:type="spellEnd"/>
        <w:r w:rsidRPr="00AA22C4">
          <w:rPr>
            <w:rStyle w:val="Hipercze"/>
            <w:rFonts w:ascii="Lato" w:hAnsi="Lato"/>
            <w:color w:val="000000" w:themeColor="text1"/>
            <w:sz w:val="22"/>
            <w:szCs w:val="22"/>
            <w:lang w:val="en-US"/>
          </w:rPr>
          <w:t xml:space="preserve"> CA</w:t>
        </w:r>
      </w:hyperlink>
      <w:r w:rsidRPr="00AA22C4">
        <w:rPr>
          <w:rFonts w:ascii="Lato" w:hAnsi="Lato"/>
          <w:color w:val="000000" w:themeColor="text1"/>
          <w:sz w:val="22"/>
          <w:szCs w:val="22"/>
          <w:lang w:val="en-US"/>
        </w:rPr>
        <w:t xml:space="preserve">. What questions should newborn screening long-term follow-up be able to answer? A statement of the US Secretary for Health and Human Services' Advisory Committee on Heritable Disorders in Newborns and Children. </w:t>
      </w:r>
    </w:p>
    <w:p w14:paraId="4D02CC09"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GB"/>
        </w:rPr>
      </w:pPr>
      <w:r w:rsidRPr="00AA22C4">
        <w:rPr>
          <w:rFonts w:ascii="Lato" w:hAnsi="Lato"/>
          <w:i/>
          <w:iCs/>
          <w:color w:val="000000" w:themeColor="text1"/>
          <w:sz w:val="22"/>
          <w:szCs w:val="22"/>
          <w:lang w:val="en-GB"/>
        </w:rPr>
        <w:t>J. Amer. College of Med. Genet.</w:t>
      </w:r>
      <w:r w:rsidRPr="00AA22C4">
        <w:rPr>
          <w:rFonts w:ascii="Lato" w:hAnsi="Lato"/>
          <w:bCs/>
          <w:color w:val="000000" w:themeColor="text1"/>
          <w:sz w:val="22"/>
          <w:szCs w:val="22"/>
          <w:lang w:val="en-GB"/>
        </w:rPr>
        <w:t xml:space="preserve">, 2006, </w:t>
      </w:r>
      <w:r w:rsidRPr="00AA22C4">
        <w:rPr>
          <w:rFonts w:ascii="Lato" w:hAnsi="Lato"/>
          <w:color w:val="000000" w:themeColor="text1"/>
          <w:sz w:val="22"/>
          <w:szCs w:val="22"/>
          <w:lang w:val="en-GB"/>
        </w:rPr>
        <w:t>8</w:t>
      </w:r>
      <w:r w:rsidRPr="00AA22C4">
        <w:rPr>
          <w:rFonts w:ascii="Lato" w:hAnsi="Lato"/>
          <w:bCs/>
          <w:color w:val="000000" w:themeColor="text1"/>
          <w:sz w:val="22"/>
          <w:szCs w:val="22"/>
          <w:lang w:val="en-GB"/>
        </w:rPr>
        <w:t xml:space="preserve">, </w:t>
      </w:r>
      <w:r w:rsidRPr="00AA22C4">
        <w:rPr>
          <w:rFonts w:ascii="Lato" w:hAnsi="Lato"/>
          <w:color w:val="000000" w:themeColor="text1"/>
          <w:sz w:val="22"/>
          <w:szCs w:val="22"/>
          <w:lang w:val="en-GB"/>
        </w:rPr>
        <w:t>S1-S11„Newborn Screening: Toward a Uniform Screening Panel and System.” Michael S. Watson, PhD, Marie Y. Mann, MD, MPH, Michele A. Lloyd-Puryear, MD, PhD, Piero Rinaldo, MD, PhD, and R. Rodney Howell, MD.</w:t>
      </w:r>
    </w:p>
    <w:p w14:paraId="7F5A64C2"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GB"/>
        </w:rPr>
      </w:pPr>
      <w:r w:rsidRPr="00AA22C4">
        <w:rPr>
          <w:rFonts w:ascii="Lato" w:hAnsi="Lato"/>
          <w:i/>
          <w:iCs/>
          <w:color w:val="000000" w:themeColor="text1"/>
          <w:sz w:val="22"/>
          <w:szCs w:val="22"/>
          <w:lang w:val="en-GB"/>
        </w:rPr>
        <w:t xml:space="preserve">J. </w:t>
      </w:r>
      <w:proofErr w:type="spellStart"/>
      <w:r w:rsidRPr="00AA22C4">
        <w:rPr>
          <w:rFonts w:ascii="Lato" w:hAnsi="Lato"/>
          <w:i/>
          <w:iCs/>
          <w:color w:val="000000" w:themeColor="text1"/>
          <w:sz w:val="22"/>
          <w:szCs w:val="22"/>
          <w:lang w:val="en-GB"/>
        </w:rPr>
        <w:t>Inher</w:t>
      </w:r>
      <w:proofErr w:type="spellEnd"/>
      <w:r w:rsidRPr="00AA22C4">
        <w:rPr>
          <w:rFonts w:ascii="Lato" w:hAnsi="Lato"/>
          <w:i/>
          <w:iCs/>
          <w:color w:val="000000" w:themeColor="text1"/>
          <w:sz w:val="22"/>
          <w:szCs w:val="22"/>
          <w:lang w:val="en-GB"/>
        </w:rPr>
        <w:t xml:space="preserve">. Met. Dis., </w:t>
      </w:r>
      <w:r w:rsidRPr="00AA22C4">
        <w:rPr>
          <w:rFonts w:ascii="Lato" w:hAnsi="Lato"/>
          <w:bCs/>
          <w:color w:val="000000" w:themeColor="text1"/>
          <w:sz w:val="22"/>
          <w:szCs w:val="22"/>
          <w:lang w:val="en-GB"/>
        </w:rPr>
        <w:t>2002, 25</w:t>
      </w:r>
      <w:r w:rsidRPr="00AA22C4">
        <w:rPr>
          <w:rFonts w:ascii="Lato" w:hAnsi="Lato"/>
          <w:color w:val="000000" w:themeColor="text1"/>
          <w:sz w:val="22"/>
          <w:szCs w:val="22"/>
          <w:lang w:val="en-GB"/>
        </w:rPr>
        <w:t xml:space="preserve">, 605-627 „Phenylketonuria – Present Knowledge and Future </w:t>
      </w:r>
      <w:r w:rsidRPr="00AA22C4">
        <w:rPr>
          <w:rFonts w:ascii="Lato" w:hAnsi="Lato"/>
          <w:color w:val="000000" w:themeColor="text1"/>
          <w:sz w:val="22"/>
          <w:szCs w:val="22"/>
          <w:lang w:val="en-GB"/>
        </w:rPr>
        <w:lastRenderedPageBreak/>
        <w:t>Challenges.”.</w:t>
      </w:r>
    </w:p>
    <w:p w14:paraId="49D87178"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US"/>
        </w:rPr>
      </w:pPr>
      <w:proofErr w:type="spellStart"/>
      <w:r w:rsidRPr="00AA22C4">
        <w:rPr>
          <w:rFonts w:ascii="Lato" w:hAnsi="Lato"/>
          <w:bCs/>
          <w:i/>
          <w:color w:val="000000" w:themeColor="text1"/>
          <w:sz w:val="22"/>
          <w:szCs w:val="22"/>
          <w:lang w:val="en-US"/>
        </w:rPr>
        <w:t>Orphanet</w:t>
      </w:r>
      <w:proofErr w:type="spellEnd"/>
      <w:r w:rsidRPr="00AA22C4">
        <w:rPr>
          <w:rFonts w:ascii="Lato" w:hAnsi="Lato"/>
          <w:i/>
          <w:color w:val="000000" w:themeColor="text1"/>
          <w:sz w:val="22"/>
          <w:szCs w:val="22"/>
          <w:lang w:val="en-US"/>
        </w:rPr>
        <w:t xml:space="preserve"> J Rare Dis.</w:t>
      </w:r>
      <w:r w:rsidRPr="00AA22C4">
        <w:rPr>
          <w:rFonts w:ascii="Lato" w:hAnsi="Lato"/>
          <w:color w:val="000000" w:themeColor="text1"/>
          <w:sz w:val="22"/>
          <w:szCs w:val="22"/>
          <w:lang w:val="en-US"/>
        </w:rPr>
        <w:t xml:space="preserve">2014 Sep 2; 9:130. </w:t>
      </w:r>
      <w:r w:rsidRPr="00AA22C4">
        <w:rPr>
          <w:rFonts w:ascii="Lato" w:hAnsi="Lato"/>
          <w:bCs/>
          <w:color w:val="000000" w:themeColor="text1"/>
          <w:sz w:val="22"/>
          <w:szCs w:val="22"/>
          <w:lang w:val="en-US"/>
        </w:rPr>
        <w:t>Baumgartner</w:t>
      </w:r>
      <w:r w:rsidRPr="00AA22C4">
        <w:rPr>
          <w:rFonts w:ascii="Lato" w:hAnsi="Lato"/>
          <w:color w:val="000000" w:themeColor="text1"/>
          <w:sz w:val="22"/>
          <w:szCs w:val="22"/>
          <w:lang w:val="en-US"/>
        </w:rPr>
        <w:t xml:space="preserve"> MR, </w:t>
      </w:r>
      <w:proofErr w:type="spellStart"/>
      <w:r w:rsidRPr="00AA22C4">
        <w:rPr>
          <w:rFonts w:ascii="Lato" w:hAnsi="Lato"/>
          <w:color w:val="000000" w:themeColor="text1"/>
          <w:sz w:val="22"/>
          <w:szCs w:val="22"/>
          <w:lang w:val="en-US"/>
        </w:rPr>
        <w:t>Hörster</w:t>
      </w:r>
      <w:proofErr w:type="spellEnd"/>
      <w:r w:rsidRPr="00AA22C4">
        <w:rPr>
          <w:rFonts w:ascii="Lato" w:hAnsi="Lato"/>
          <w:color w:val="000000" w:themeColor="text1"/>
          <w:sz w:val="22"/>
          <w:szCs w:val="22"/>
          <w:lang w:val="en-US"/>
        </w:rPr>
        <w:t xml:space="preserve"> F, Dionisi-Vici C, </w:t>
      </w:r>
      <w:proofErr w:type="spellStart"/>
      <w:r w:rsidRPr="00AA22C4">
        <w:rPr>
          <w:rFonts w:ascii="Lato" w:hAnsi="Lato"/>
          <w:color w:val="000000" w:themeColor="text1"/>
          <w:sz w:val="22"/>
          <w:szCs w:val="22"/>
          <w:lang w:val="en-US"/>
        </w:rPr>
        <w:t>Haliloglu</w:t>
      </w:r>
      <w:proofErr w:type="spellEnd"/>
      <w:r w:rsidRPr="00AA22C4">
        <w:rPr>
          <w:rFonts w:ascii="Lato" w:hAnsi="Lato"/>
          <w:color w:val="000000" w:themeColor="text1"/>
          <w:sz w:val="22"/>
          <w:szCs w:val="22"/>
          <w:lang w:val="en-US"/>
        </w:rPr>
        <w:t xml:space="preserve"> G, </w:t>
      </w:r>
      <w:proofErr w:type="spellStart"/>
      <w:r w:rsidRPr="00AA22C4">
        <w:rPr>
          <w:rFonts w:ascii="Lato" w:hAnsi="Lato"/>
          <w:color w:val="000000" w:themeColor="text1"/>
          <w:sz w:val="22"/>
          <w:szCs w:val="22"/>
          <w:lang w:val="en-US"/>
        </w:rPr>
        <w:t>Karall</w:t>
      </w:r>
      <w:proofErr w:type="spellEnd"/>
      <w:r w:rsidRPr="00AA22C4">
        <w:rPr>
          <w:rFonts w:ascii="Lato" w:hAnsi="Lato"/>
          <w:color w:val="000000" w:themeColor="text1"/>
          <w:sz w:val="22"/>
          <w:szCs w:val="22"/>
          <w:lang w:val="en-US"/>
        </w:rPr>
        <w:t xml:space="preserve"> D, Chapman KA, Huemer M, Hochuli M, </w:t>
      </w:r>
      <w:proofErr w:type="spellStart"/>
      <w:r w:rsidRPr="00AA22C4">
        <w:rPr>
          <w:rFonts w:ascii="Lato" w:hAnsi="Lato"/>
          <w:color w:val="000000" w:themeColor="text1"/>
          <w:sz w:val="22"/>
          <w:szCs w:val="22"/>
          <w:lang w:val="en-US"/>
        </w:rPr>
        <w:t>Assoun</w:t>
      </w:r>
      <w:proofErr w:type="spellEnd"/>
      <w:r w:rsidRPr="00AA22C4">
        <w:rPr>
          <w:rFonts w:ascii="Lato" w:hAnsi="Lato"/>
          <w:color w:val="000000" w:themeColor="text1"/>
          <w:sz w:val="22"/>
          <w:szCs w:val="22"/>
          <w:lang w:val="en-US"/>
        </w:rPr>
        <w:t xml:space="preserve"> M, Ballhausen D, Burlina A, Fowler B, </w:t>
      </w:r>
      <w:proofErr w:type="spellStart"/>
      <w:r w:rsidRPr="00AA22C4">
        <w:rPr>
          <w:rFonts w:ascii="Lato" w:hAnsi="Lato"/>
          <w:color w:val="000000" w:themeColor="text1"/>
          <w:sz w:val="22"/>
          <w:szCs w:val="22"/>
          <w:lang w:val="en-US"/>
        </w:rPr>
        <w:t>Grünert</w:t>
      </w:r>
      <w:proofErr w:type="spellEnd"/>
      <w:r w:rsidRPr="00AA22C4">
        <w:rPr>
          <w:rFonts w:ascii="Lato" w:hAnsi="Lato"/>
          <w:color w:val="000000" w:themeColor="text1"/>
          <w:sz w:val="22"/>
          <w:szCs w:val="22"/>
          <w:lang w:val="en-US"/>
        </w:rPr>
        <w:t xml:space="preserve"> SC, Grünewald S, Honzik T, </w:t>
      </w:r>
      <w:proofErr w:type="spellStart"/>
      <w:r w:rsidRPr="00AA22C4">
        <w:rPr>
          <w:rFonts w:ascii="Lato" w:hAnsi="Lato"/>
          <w:color w:val="000000" w:themeColor="text1"/>
          <w:sz w:val="22"/>
          <w:szCs w:val="22"/>
          <w:lang w:val="en-US"/>
        </w:rPr>
        <w:t>Merinero</w:t>
      </w:r>
      <w:proofErr w:type="spellEnd"/>
      <w:r w:rsidRPr="00AA22C4">
        <w:rPr>
          <w:rFonts w:ascii="Lato" w:hAnsi="Lato"/>
          <w:color w:val="000000" w:themeColor="text1"/>
          <w:sz w:val="22"/>
          <w:szCs w:val="22"/>
          <w:lang w:val="en-US"/>
        </w:rPr>
        <w:t xml:space="preserve"> B, Pérez-</w:t>
      </w:r>
      <w:proofErr w:type="spellStart"/>
      <w:r w:rsidRPr="00AA22C4">
        <w:rPr>
          <w:rFonts w:ascii="Lato" w:hAnsi="Lato"/>
          <w:color w:val="000000" w:themeColor="text1"/>
          <w:sz w:val="22"/>
          <w:szCs w:val="22"/>
          <w:lang w:val="en-US"/>
        </w:rPr>
        <w:t>Cerdá</w:t>
      </w:r>
      <w:proofErr w:type="spellEnd"/>
      <w:r w:rsidRPr="00AA22C4">
        <w:rPr>
          <w:rFonts w:ascii="Lato" w:hAnsi="Lato"/>
          <w:color w:val="000000" w:themeColor="text1"/>
          <w:sz w:val="22"/>
          <w:szCs w:val="22"/>
          <w:lang w:val="en-US"/>
        </w:rPr>
        <w:t xml:space="preserve"> C, Scholl-</w:t>
      </w:r>
      <w:proofErr w:type="spellStart"/>
      <w:r w:rsidRPr="00AA22C4">
        <w:rPr>
          <w:rFonts w:ascii="Lato" w:hAnsi="Lato"/>
          <w:color w:val="000000" w:themeColor="text1"/>
          <w:sz w:val="22"/>
          <w:szCs w:val="22"/>
          <w:lang w:val="en-US"/>
        </w:rPr>
        <w:t>Bürgi</w:t>
      </w:r>
      <w:proofErr w:type="spellEnd"/>
      <w:r w:rsidRPr="00AA22C4">
        <w:rPr>
          <w:rFonts w:ascii="Lato" w:hAnsi="Lato"/>
          <w:color w:val="000000" w:themeColor="text1"/>
          <w:sz w:val="22"/>
          <w:szCs w:val="22"/>
          <w:lang w:val="en-US"/>
        </w:rPr>
        <w:t xml:space="preserve"> S, Skovby F, </w:t>
      </w:r>
      <w:proofErr w:type="spellStart"/>
      <w:r w:rsidRPr="00AA22C4">
        <w:rPr>
          <w:rFonts w:ascii="Lato" w:hAnsi="Lato"/>
          <w:color w:val="000000" w:themeColor="text1"/>
          <w:sz w:val="22"/>
          <w:szCs w:val="22"/>
          <w:lang w:val="en-US"/>
        </w:rPr>
        <w:t>Wijburg</w:t>
      </w:r>
      <w:proofErr w:type="spellEnd"/>
      <w:r w:rsidRPr="00AA22C4">
        <w:rPr>
          <w:rFonts w:ascii="Lato" w:hAnsi="Lato"/>
          <w:color w:val="000000" w:themeColor="text1"/>
          <w:sz w:val="22"/>
          <w:szCs w:val="22"/>
          <w:lang w:val="en-US"/>
        </w:rPr>
        <w:t xml:space="preserve"> F, MacDonald A, Martinelli D, Sass JO, </w:t>
      </w:r>
      <w:proofErr w:type="spellStart"/>
      <w:r w:rsidRPr="00AA22C4">
        <w:rPr>
          <w:rFonts w:ascii="Lato" w:hAnsi="Lato"/>
          <w:color w:val="000000" w:themeColor="text1"/>
          <w:sz w:val="22"/>
          <w:szCs w:val="22"/>
          <w:lang w:val="en-US"/>
        </w:rPr>
        <w:t>Valayannopoulos</w:t>
      </w:r>
      <w:proofErr w:type="spellEnd"/>
      <w:r w:rsidRPr="00AA22C4">
        <w:rPr>
          <w:rFonts w:ascii="Lato" w:hAnsi="Lato"/>
          <w:color w:val="000000" w:themeColor="text1"/>
          <w:sz w:val="22"/>
          <w:szCs w:val="22"/>
          <w:lang w:val="en-US"/>
        </w:rPr>
        <w:t xml:space="preserve"> V, Chakrapani A. </w:t>
      </w:r>
      <w:hyperlink r:id="rId41" w:history="1">
        <w:r w:rsidRPr="00AA22C4">
          <w:rPr>
            <w:rStyle w:val="Hipercze"/>
            <w:rFonts w:ascii="Lato" w:hAnsi="Lato"/>
            <w:color w:val="000000" w:themeColor="text1"/>
            <w:sz w:val="22"/>
            <w:szCs w:val="22"/>
            <w:lang w:val="en-US"/>
          </w:rPr>
          <w:t>Proposed guidelines for the diagnosis and management of methylmalonic and propionic acidemia.</w:t>
        </w:r>
      </w:hyperlink>
    </w:p>
    <w:p w14:paraId="0F85E057"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US"/>
        </w:rPr>
      </w:pPr>
      <w:r w:rsidRPr="00AA22C4">
        <w:rPr>
          <w:rFonts w:ascii="Lato" w:hAnsi="Lato"/>
          <w:i/>
          <w:color w:val="000000" w:themeColor="text1"/>
          <w:sz w:val="22"/>
          <w:szCs w:val="22"/>
          <w:lang w:val="en-US"/>
        </w:rPr>
        <w:t xml:space="preserve">J Inherit </w:t>
      </w:r>
      <w:proofErr w:type="spellStart"/>
      <w:r w:rsidRPr="00AA22C4">
        <w:rPr>
          <w:rFonts w:ascii="Lato" w:hAnsi="Lato"/>
          <w:i/>
          <w:color w:val="000000" w:themeColor="text1"/>
          <w:sz w:val="22"/>
          <w:szCs w:val="22"/>
          <w:lang w:val="en-US"/>
        </w:rPr>
        <w:t>Metab</w:t>
      </w:r>
      <w:proofErr w:type="spellEnd"/>
      <w:r w:rsidRPr="00AA22C4">
        <w:rPr>
          <w:rFonts w:ascii="Lato" w:hAnsi="Lato"/>
          <w:i/>
          <w:color w:val="000000" w:themeColor="text1"/>
          <w:sz w:val="22"/>
          <w:szCs w:val="22"/>
          <w:lang w:val="en-US"/>
        </w:rPr>
        <w:t xml:space="preserve"> Dis. </w:t>
      </w:r>
      <w:r w:rsidRPr="00AA22C4">
        <w:rPr>
          <w:rFonts w:ascii="Lato" w:hAnsi="Lato"/>
          <w:color w:val="000000" w:themeColor="text1"/>
          <w:sz w:val="22"/>
          <w:szCs w:val="22"/>
          <w:lang w:val="en-US"/>
        </w:rPr>
        <w:t>2016 May;39(3):341-53</w:t>
      </w:r>
      <w:r w:rsidRPr="00AA22C4">
        <w:rPr>
          <w:rFonts w:ascii="Lato" w:hAnsi="Lato"/>
          <w:bCs/>
          <w:color w:val="000000" w:themeColor="text1"/>
          <w:sz w:val="22"/>
          <w:szCs w:val="22"/>
          <w:lang w:val="en-US"/>
        </w:rPr>
        <w:t>Heringer J</w:t>
      </w:r>
      <w:r w:rsidRPr="00AA22C4">
        <w:rPr>
          <w:rFonts w:ascii="Lato" w:hAnsi="Lato"/>
          <w:color w:val="000000" w:themeColor="text1"/>
          <w:sz w:val="22"/>
          <w:szCs w:val="22"/>
          <w:lang w:val="en-US"/>
        </w:rPr>
        <w:t xml:space="preserve">, </w:t>
      </w:r>
      <w:proofErr w:type="spellStart"/>
      <w:r w:rsidRPr="00AA22C4">
        <w:rPr>
          <w:rFonts w:ascii="Lato" w:hAnsi="Lato"/>
          <w:color w:val="000000" w:themeColor="text1"/>
          <w:sz w:val="22"/>
          <w:szCs w:val="22"/>
          <w:lang w:val="en-US"/>
        </w:rPr>
        <w:t>Valayannopoulos</w:t>
      </w:r>
      <w:proofErr w:type="spellEnd"/>
      <w:r w:rsidRPr="00AA22C4">
        <w:rPr>
          <w:rFonts w:ascii="Lato" w:hAnsi="Lato"/>
          <w:color w:val="000000" w:themeColor="text1"/>
          <w:sz w:val="22"/>
          <w:szCs w:val="22"/>
          <w:lang w:val="en-US"/>
        </w:rPr>
        <w:t xml:space="preserve"> V, Lund AM, </w:t>
      </w:r>
      <w:proofErr w:type="spellStart"/>
      <w:r w:rsidRPr="00AA22C4">
        <w:rPr>
          <w:rFonts w:ascii="Lato" w:hAnsi="Lato"/>
          <w:color w:val="000000" w:themeColor="text1"/>
          <w:sz w:val="22"/>
          <w:szCs w:val="22"/>
          <w:lang w:val="en-US"/>
        </w:rPr>
        <w:t>Wijburg</w:t>
      </w:r>
      <w:proofErr w:type="spellEnd"/>
      <w:r w:rsidRPr="00AA22C4">
        <w:rPr>
          <w:rFonts w:ascii="Lato" w:hAnsi="Lato"/>
          <w:color w:val="000000" w:themeColor="text1"/>
          <w:sz w:val="22"/>
          <w:szCs w:val="22"/>
          <w:lang w:val="en-US"/>
        </w:rPr>
        <w:t xml:space="preserve"> FA, Freisinger P, Barić I, Baumgartner MR, Burgard P, Burlina AB, Chapman KA, I </w:t>
      </w:r>
      <w:proofErr w:type="spellStart"/>
      <w:r w:rsidRPr="00AA22C4">
        <w:rPr>
          <w:rFonts w:ascii="Lato" w:hAnsi="Lato"/>
          <w:color w:val="000000" w:themeColor="text1"/>
          <w:sz w:val="22"/>
          <w:szCs w:val="22"/>
          <w:lang w:val="en-US"/>
        </w:rPr>
        <w:t>Saladelafont</w:t>
      </w:r>
      <w:proofErr w:type="spellEnd"/>
      <w:r w:rsidRPr="00AA22C4">
        <w:rPr>
          <w:rFonts w:ascii="Lato" w:hAnsi="Lato"/>
          <w:color w:val="000000" w:themeColor="text1"/>
          <w:sz w:val="22"/>
          <w:szCs w:val="22"/>
          <w:lang w:val="en-US"/>
        </w:rPr>
        <w:t xml:space="preserve"> EC, </w:t>
      </w:r>
      <w:proofErr w:type="spellStart"/>
      <w:r w:rsidRPr="00AA22C4">
        <w:rPr>
          <w:rFonts w:ascii="Lato" w:hAnsi="Lato"/>
          <w:color w:val="000000" w:themeColor="text1"/>
          <w:sz w:val="22"/>
          <w:szCs w:val="22"/>
          <w:lang w:val="en-US"/>
        </w:rPr>
        <w:t>Karall</w:t>
      </w:r>
      <w:proofErr w:type="spellEnd"/>
      <w:r w:rsidRPr="00AA22C4">
        <w:rPr>
          <w:rFonts w:ascii="Lato" w:hAnsi="Lato"/>
          <w:color w:val="000000" w:themeColor="text1"/>
          <w:sz w:val="22"/>
          <w:szCs w:val="22"/>
          <w:lang w:val="en-US"/>
        </w:rPr>
        <w:t xml:space="preserve"> D, Mühlhausen C, Riches V, Schiff M, </w:t>
      </w:r>
      <w:proofErr w:type="spellStart"/>
      <w:r w:rsidRPr="00AA22C4">
        <w:rPr>
          <w:rFonts w:ascii="Lato" w:hAnsi="Lato"/>
          <w:color w:val="000000" w:themeColor="text1"/>
          <w:sz w:val="22"/>
          <w:szCs w:val="22"/>
          <w:lang w:val="en-US"/>
        </w:rPr>
        <w:t>Sykut</w:t>
      </w:r>
      <w:proofErr w:type="spellEnd"/>
      <w:r w:rsidRPr="00AA22C4">
        <w:rPr>
          <w:rFonts w:ascii="Lato" w:hAnsi="Lato"/>
          <w:color w:val="000000" w:themeColor="text1"/>
          <w:sz w:val="22"/>
          <w:szCs w:val="22"/>
          <w:lang w:val="en-US"/>
        </w:rPr>
        <w:t xml:space="preserve"> - Cegielska J, Walter JH, Zeman J, Chabrol B, </w:t>
      </w:r>
      <w:proofErr w:type="spellStart"/>
      <w:r w:rsidRPr="00AA22C4">
        <w:rPr>
          <w:rFonts w:ascii="Lato" w:hAnsi="Lato"/>
          <w:color w:val="000000" w:themeColor="text1"/>
          <w:sz w:val="22"/>
          <w:szCs w:val="22"/>
          <w:lang w:val="en-US"/>
        </w:rPr>
        <w:t>Kölker</w:t>
      </w:r>
      <w:proofErr w:type="spellEnd"/>
      <w:r w:rsidRPr="00AA22C4">
        <w:rPr>
          <w:rFonts w:ascii="Lato" w:hAnsi="Lato"/>
          <w:color w:val="000000" w:themeColor="text1"/>
          <w:sz w:val="22"/>
          <w:szCs w:val="22"/>
          <w:lang w:val="en-US"/>
        </w:rPr>
        <w:t xml:space="preserve"> S; additional individual contributors of the E-IMD consortium. </w:t>
      </w:r>
      <w:hyperlink r:id="rId42" w:history="1">
        <w:r w:rsidRPr="00AA22C4">
          <w:rPr>
            <w:rStyle w:val="Hipercze"/>
            <w:rFonts w:ascii="Lato" w:hAnsi="Lato"/>
            <w:color w:val="000000" w:themeColor="text1"/>
            <w:sz w:val="22"/>
            <w:szCs w:val="22"/>
            <w:lang w:val="en-US"/>
          </w:rPr>
          <w:t>Impact of age at onset and newborn screening on outcome in organic acidurias.</w:t>
        </w:r>
      </w:hyperlink>
    </w:p>
    <w:p w14:paraId="1DFC119F"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lang w:val="en-GB"/>
        </w:rPr>
      </w:pPr>
      <w:r w:rsidRPr="00AA22C4">
        <w:rPr>
          <w:rFonts w:ascii="Lato" w:hAnsi="Lato"/>
          <w:i/>
          <w:color w:val="000000" w:themeColor="text1"/>
          <w:sz w:val="22"/>
          <w:szCs w:val="22"/>
          <w:lang w:val="en-GB"/>
        </w:rPr>
        <w:t xml:space="preserve">Lancet Diabetes Endocrinol </w:t>
      </w:r>
      <w:r w:rsidRPr="00AA22C4">
        <w:rPr>
          <w:rFonts w:ascii="Lato" w:hAnsi="Lato"/>
          <w:color w:val="000000" w:themeColor="text1"/>
          <w:sz w:val="22"/>
          <w:szCs w:val="22"/>
          <w:lang w:val="en-GB"/>
        </w:rPr>
        <w:t xml:space="preserve">2017 </w:t>
      </w:r>
      <w:proofErr w:type="spellStart"/>
      <w:r w:rsidRPr="00AA22C4">
        <w:rPr>
          <w:rFonts w:ascii="Lato" w:hAnsi="Lato"/>
          <w:color w:val="000000" w:themeColor="text1"/>
          <w:sz w:val="22"/>
          <w:szCs w:val="22"/>
          <w:lang w:val="en-GB"/>
        </w:rPr>
        <w:t>SepVan</w:t>
      </w:r>
      <w:proofErr w:type="spellEnd"/>
      <w:r w:rsidRPr="00AA22C4">
        <w:rPr>
          <w:rFonts w:ascii="Lato" w:hAnsi="Lato"/>
          <w:color w:val="000000" w:themeColor="text1"/>
          <w:sz w:val="22"/>
          <w:szCs w:val="22"/>
          <w:lang w:val="en-GB"/>
        </w:rPr>
        <w:t xml:space="preserve"> </w:t>
      </w:r>
      <w:proofErr w:type="spellStart"/>
      <w:r w:rsidRPr="00AA22C4">
        <w:rPr>
          <w:rFonts w:ascii="Lato" w:hAnsi="Lato"/>
          <w:color w:val="000000" w:themeColor="text1"/>
          <w:sz w:val="22"/>
          <w:szCs w:val="22"/>
          <w:lang w:val="en-GB"/>
        </w:rPr>
        <w:t>Spronsen</w:t>
      </w:r>
      <w:proofErr w:type="spellEnd"/>
      <w:r w:rsidRPr="00AA22C4">
        <w:rPr>
          <w:rFonts w:ascii="Lato" w:hAnsi="Lato"/>
          <w:color w:val="000000" w:themeColor="text1"/>
          <w:sz w:val="22"/>
          <w:szCs w:val="22"/>
          <w:lang w:val="en-GB"/>
        </w:rPr>
        <w:t xml:space="preserve"> FJ, van </w:t>
      </w:r>
      <w:proofErr w:type="spellStart"/>
      <w:r w:rsidRPr="00AA22C4">
        <w:rPr>
          <w:rFonts w:ascii="Lato" w:hAnsi="Lato"/>
          <w:color w:val="000000" w:themeColor="text1"/>
          <w:sz w:val="22"/>
          <w:szCs w:val="22"/>
          <w:lang w:val="en-GB"/>
        </w:rPr>
        <w:t>Wegber</w:t>
      </w:r>
      <w:proofErr w:type="spellEnd"/>
      <w:r w:rsidRPr="00AA22C4">
        <w:rPr>
          <w:rFonts w:ascii="Lato" w:hAnsi="Lato"/>
          <w:color w:val="000000" w:themeColor="text1"/>
          <w:sz w:val="22"/>
          <w:szCs w:val="22"/>
          <w:lang w:val="en-GB"/>
        </w:rPr>
        <w:t>, Ahring, Bélanger-</w:t>
      </w:r>
      <w:proofErr w:type="spellStart"/>
      <w:r w:rsidRPr="00AA22C4">
        <w:rPr>
          <w:rFonts w:ascii="Lato" w:hAnsi="Lato"/>
          <w:color w:val="000000" w:themeColor="text1"/>
          <w:sz w:val="22"/>
          <w:szCs w:val="22"/>
          <w:lang w:val="en-GB"/>
        </w:rPr>
        <w:t>Quintana</w:t>
      </w:r>
      <w:proofErr w:type="spellEnd"/>
      <w:r w:rsidRPr="00AA22C4">
        <w:rPr>
          <w:rFonts w:ascii="Lato" w:hAnsi="Lato"/>
          <w:color w:val="000000" w:themeColor="text1"/>
          <w:sz w:val="22"/>
          <w:szCs w:val="22"/>
          <w:lang w:val="en-GB"/>
        </w:rPr>
        <w:t xml:space="preserve">, Blau N, Bosch AM, Burlina A, </w:t>
      </w:r>
      <w:proofErr w:type="spellStart"/>
      <w:r w:rsidRPr="00AA22C4">
        <w:rPr>
          <w:rFonts w:ascii="Lato" w:hAnsi="Lato"/>
          <w:color w:val="000000" w:themeColor="text1"/>
          <w:sz w:val="22"/>
          <w:szCs w:val="22"/>
          <w:lang w:val="en-GB"/>
        </w:rPr>
        <w:t>Campistol</w:t>
      </w:r>
      <w:proofErr w:type="spellEnd"/>
      <w:r w:rsidRPr="00AA22C4">
        <w:rPr>
          <w:rFonts w:ascii="Lato" w:hAnsi="Lato"/>
          <w:color w:val="000000" w:themeColor="text1"/>
          <w:sz w:val="22"/>
          <w:szCs w:val="22"/>
          <w:lang w:val="en-GB"/>
        </w:rPr>
        <w:t xml:space="preserve"> J, </w:t>
      </w:r>
      <w:proofErr w:type="spellStart"/>
      <w:r w:rsidRPr="00AA22C4">
        <w:rPr>
          <w:rFonts w:ascii="Lato" w:hAnsi="Lato"/>
          <w:color w:val="000000" w:themeColor="text1"/>
          <w:sz w:val="22"/>
          <w:szCs w:val="22"/>
          <w:lang w:val="en-GB"/>
        </w:rPr>
        <w:t>Feillet</w:t>
      </w:r>
      <w:proofErr w:type="spellEnd"/>
      <w:r w:rsidRPr="00AA22C4">
        <w:rPr>
          <w:rFonts w:ascii="Lato" w:hAnsi="Lato"/>
          <w:color w:val="000000" w:themeColor="text1"/>
          <w:sz w:val="22"/>
          <w:szCs w:val="22"/>
          <w:lang w:val="en-GB"/>
        </w:rPr>
        <w:t xml:space="preserve"> F, </w:t>
      </w:r>
      <w:proofErr w:type="spellStart"/>
      <w:r w:rsidRPr="00AA22C4">
        <w:rPr>
          <w:rFonts w:ascii="Lato" w:hAnsi="Lato"/>
          <w:color w:val="000000" w:themeColor="text1"/>
          <w:sz w:val="22"/>
          <w:szCs w:val="22"/>
          <w:lang w:val="en-GB"/>
        </w:rPr>
        <w:t>Giżewska</w:t>
      </w:r>
      <w:proofErr w:type="spellEnd"/>
      <w:r w:rsidRPr="00AA22C4">
        <w:rPr>
          <w:rFonts w:ascii="Lato" w:hAnsi="Lato"/>
          <w:color w:val="000000" w:themeColor="text1"/>
          <w:sz w:val="22"/>
          <w:szCs w:val="22"/>
          <w:lang w:val="en-GB"/>
        </w:rPr>
        <w:t xml:space="preserve"> M, </w:t>
      </w:r>
      <w:proofErr w:type="spellStart"/>
      <w:r w:rsidRPr="00AA22C4">
        <w:rPr>
          <w:rFonts w:ascii="Lato" w:hAnsi="Lato"/>
          <w:color w:val="000000" w:themeColor="text1"/>
          <w:sz w:val="22"/>
          <w:szCs w:val="22"/>
          <w:lang w:val="en-GB"/>
        </w:rPr>
        <w:t>Huijbregts</w:t>
      </w:r>
      <w:proofErr w:type="spellEnd"/>
      <w:r w:rsidRPr="00AA22C4">
        <w:rPr>
          <w:rFonts w:ascii="Lato" w:hAnsi="Lato"/>
          <w:color w:val="000000" w:themeColor="text1"/>
          <w:sz w:val="22"/>
          <w:szCs w:val="22"/>
          <w:lang w:val="en-GB"/>
        </w:rPr>
        <w:t xml:space="preserve"> SC, Kearney S, Leuzzi V, Maillot F, </w:t>
      </w:r>
      <w:proofErr w:type="spellStart"/>
      <w:r w:rsidRPr="00AA22C4">
        <w:rPr>
          <w:rFonts w:ascii="Lato" w:hAnsi="Lato"/>
          <w:color w:val="000000" w:themeColor="text1"/>
          <w:sz w:val="22"/>
          <w:szCs w:val="22"/>
          <w:lang w:val="en-GB"/>
        </w:rPr>
        <w:t>Muntau</w:t>
      </w:r>
      <w:proofErr w:type="spellEnd"/>
      <w:r w:rsidRPr="00AA22C4">
        <w:rPr>
          <w:rFonts w:ascii="Lato" w:hAnsi="Lato"/>
          <w:color w:val="000000" w:themeColor="text1"/>
          <w:sz w:val="22"/>
          <w:szCs w:val="22"/>
          <w:lang w:val="en-GB"/>
        </w:rPr>
        <w:t xml:space="preserve"> AC, Trefz FK, van Rijn M, Walter JH, MacDonald A. Key European guidelines for the diagnosis and management of patients with phenylketonuria.</w:t>
      </w:r>
    </w:p>
    <w:p w14:paraId="6A3CB416" w14:textId="77777777" w:rsidR="005E347E" w:rsidRPr="00AA22C4" w:rsidRDefault="005E347E" w:rsidP="005E347E">
      <w:pPr>
        <w:pStyle w:val="Akapitzlist"/>
        <w:widowControl/>
        <w:numPr>
          <w:ilvl w:val="0"/>
          <w:numId w:val="3"/>
        </w:numPr>
        <w:shd w:val="clear" w:color="auto" w:fill="FFFFFF"/>
        <w:suppressAutoHyphens w:val="0"/>
        <w:spacing w:line="360" w:lineRule="auto"/>
        <w:jc w:val="both"/>
        <w:rPr>
          <w:rFonts w:ascii="Lato" w:eastAsia="Times New Roman" w:hAnsi="Lato"/>
          <w:color w:val="000000" w:themeColor="text1"/>
          <w:kern w:val="28"/>
          <w:sz w:val="22"/>
          <w:szCs w:val="22"/>
          <w:lang w:val="en-US" w:eastAsia="pl-PL"/>
        </w:rPr>
      </w:pPr>
      <w:hyperlink r:id="rId43" w:tooltip="Pediatric pulmonology." w:history="1">
        <w:proofErr w:type="spellStart"/>
        <w:r w:rsidRPr="00AA22C4">
          <w:rPr>
            <w:rFonts w:ascii="Lato" w:eastAsia="Times New Roman" w:hAnsi="Lato"/>
            <w:i/>
            <w:iCs/>
            <w:color w:val="000000" w:themeColor="text1"/>
            <w:sz w:val="22"/>
            <w:szCs w:val="22"/>
            <w:lang w:val="en" w:eastAsia="pl-PL"/>
          </w:rPr>
          <w:t>Pediatr</w:t>
        </w:r>
        <w:proofErr w:type="spellEnd"/>
        <w:r w:rsidRPr="00AA22C4">
          <w:rPr>
            <w:rFonts w:ascii="Lato" w:eastAsia="Times New Roman" w:hAnsi="Lato"/>
            <w:i/>
            <w:iCs/>
            <w:color w:val="000000" w:themeColor="text1"/>
            <w:sz w:val="22"/>
            <w:szCs w:val="22"/>
            <w:lang w:val="en" w:eastAsia="pl-PL"/>
          </w:rPr>
          <w:t xml:space="preserve"> </w:t>
        </w:r>
        <w:proofErr w:type="spellStart"/>
        <w:r w:rsidRPr="00AA22C4">
          <w:rPr>
            <w:rFonts w:ascii="Lato" w:eastAsia="Times New Roman" w:hAnsi="Lato"/>
            <w:i/>
            <w:iCs/>
            <w:color w:val="000000" w:themeColor="text1"/>
            <w:sz w:val="22"/>
            <w:szCs w:val="22"/>
            <w:lang w:val="en" w:eastAsia="pl-PL"/>
          </w:rPr>
          <w:t>Pulmonol</w:t>
        </w:r>
        <w:proofErr w:type="spellEnd"/>
        <w:r w:rsidRPr="00AA22C4">
          <w:rPr>
            <w:rFonts w:ascii="Lato" w:eastAsia="Times New Roman" w:hAnsi="Lato"/>
            <w:i/>
            <w:iCs/>
            <w:color w:val="000000" w:themeColor="text1"/>
            <w:sz w:val="22"/>
            <w:szCs w:val="22"/>
            <w:lang w:val="en" w:eastAsia="pl-PL"/>
          </w:rPr>
          <w:t>.</w:t>
        </w:r>
      </w:hyperlink>
      <w:r w:rsidRPr="00AA22C4">
        <w:rPr>
          <w:rFonts w:ascii="Lato" w:eastAsia="Times New Roman" w:hAnsi="Lato"/>
          <w:i/>
          <w:iCs/>
          <w:color w:val="000000" w:themeColor="text1"/>
          <w:sz w:val="22"/>
          <w:szCs w:val="22"/>
          <w:lang w:val="en" w:eastAsia="pl-PL"/>
        </w:rPr>
        <w:t xml:space="preserve"> 2019; 54(2):179-185.</w:t>
      </w:r>
      <w:r w:rsidRPr="00AA22C4">
        <w:rPr>
          <w:rFonts w:ascii="Lato" w:hAnsi="Lato"/>
          <w:color w:val="000000" w:themeColor="text1"/>
          <w:sz w:val="22"/>
          <w:szCs w:val="22"/>
          <w:lang w:val="en-US"/>
        </w:rPr>
        <w:t xml:space="preserve"> </w:t>
      </w:r>
      <w:hyperlink r:id="rId44" w:history="1">
        <w:r w:rsidRPr="00AA22C4">
          <w:rPr>
            <w:rFonts w:ascii="Lato" w:eastAsia="Times New Roman" w:hAnsi="Lato"/>
            <w:color w:val="000000" w:themeColor="text1"/>
            <w:sz w:val="22"/>
            <w:szCs w:val="22"/>
            <w:lang w:val="en" w:eastAsia="pl-PL"/>
          </w:rPr>
          <w:t>Al-Zaidy S</w:t>
        </w:r>
      </w:hyperlink>
      <w:r w:rsidRPr="00AA22C4">
        <w:rPr>
          <w:rFonts w:ascii="Lato" w:eastAsia="Times New Roman" w:hAnsi="Lato"/>
          <w:color w:val="000000" w:themeColor="text1"/>
          <w:sz w:val="22"/>
          <w:szCs w:val="22"/>
          <w:lang w:val="en" w:eastAsia="pl-PL"/>
        </w:rPr>
        <w:t xml:space="preserve">, </w:t>
      </w:r>
      <w:hyperlink r:id="rId45" w:history="1">
        <w:r w:rsidRPr="00AA22C4">
          <w:rPr>
            <w:rFonts w:ascii="Lato" w:eastAsia="Times New Roman" w:hAnsi="Lato"/>
            <w:color w:val="000000" w:themeColor="text1"/>
            <w:sz w:val="22"/>
            <w:szCs w:val="22"/>
            <w:lang w:val="en" w:eastAsia="pl-PL"/>
          </w:rPr>
          <w:t>Pickard AS</w:t>
        </w:r>
      </w:hyperlink>
      <w:r w:rsidRPr="00AA22C4">
        <w:rPr>
          <w:rFonts w:ascii="Lato" w:eastAsia="Times New Roman" w:hAnsi="Lato"/>
          <w:color w:val="000000" w:themeColor="text1"/>
          <w:sz w:val="22"/>
          <w:szCs w:val="22"/>
          <w:lang w:val="en" w:eastAsia="pl-PL"/>
        </w:rPr>
        <w:t xml:space="preserve">, </w:t>
      </w:r>
      <w:hyperlink r:id="rId46" w:history="1">
        <w:r w:rsidRPr="00AA22C4">
          <w:rPr>
            <w:rFonts w:ascii="Lato" w:eastAsia="Times New Roman" w:hAnsi="Lato"/>
            <w:color w:val="000000" w:themeColor="text1"/>
            <w:sz w:val="22"/>
            <w:szCs w:val="22"/>
            <w:lang w:val="en" w:eastAsia="pl-PL"/>
          </w:rPr>
          <w:t>Kotha K</w:t>
        </w:r>
      </w:hyperlink>
      <w:r w:rsidRPr="00AA22C4">
        <w:rPr>
          <w:rFonts w:ascii="Lato" w:eastAsia="Times New Roman" w:hAnsi="Lato"/>
          <w:color w:val="000000" w:themeColor="text1"/>
          <w:sz w:val="22"/>
          <w:szCs w:val="22"/>
          <w:lang w:val="en" w:eastAsia="pl-PL"/>
        </w:rPr>
        <w:t xml:space="preserve"> </w:t>
      </w:r>
      <w:proofErr w:type="spellStart"/>
      <w:r w:rsidRPr="00AA22C4">
        <w:rPr>
          <w:rFonts w:ascii="Lato" w:eastAsia="Times New Roman" w:hAnsi="Lato"/>
          <w:color w:val="000000" w:themeColor="text1"/>
          <w:kern w:val="28"/>
          <w:sz w:val="22"/>
          <w:szCs w:val="22"/>
          <w:lang w:val="en-US" w:eastAsia="pl-PL"/>
        </w:rPr>
        <w:t>i</w:t>
      </w:r>
      <w:proofErr w:type="spellEnd"/>
      <w:r w:rsidRPr="00AA22C4">
        <w:rPr>
          <w:rFonts w:ascii="Lato" w:eastAsia="Times New Roman" w:hAnsi="Lato"/>
          <w:color w:val="000000" w:themeColor="text1"/>
          <w:kern w:val="28"/>
          <w:sz w:val="22"/>
          <w:szCs w:val="22"/>
          <w:lang w:val="en-US" w:eastAsia="pl-PL"/>
        </w:rPr>
        <w:t xml:space="preserve"> </w:t>
      </w:r>
      <w:proofErr w:type="spellStart"/>
      <w:r w:rsidRPr="00AA22C4">
        <w:rPr>
          <w:rFonts w:ascii="Lato" w:eastAsia="Times New Roman" w:hAnsi="Lato"/>
          <w:color w:val="000000" w:themeColor="text1"/>
          <w:kern w:val="28"/>
          <w:sz w:val="22"/>
          <w:szCs w:val="22"/>
          <w:lang w:val="en-US" w:eastAsia="pl-PL"/>
        </w:rPr>
        <w:t>wsp</w:t>
      </w:r>
      <w:proofErr w:type="spellEnd"/>
      <w:r w:rsidRPr="00AA22C4">
        <w:rPr>
          <w:rFonts w:ascii="Lato" w:eastAsia="Times New Roman" w:hAnsi="Lato"/>
          <w:color w:val="000000" w:themeColor="text1"/>
          <w:kern w:val="28"/>
          <w:sz w:val="22"/>
          <w:szCs w:val="22"/>
          <w:lang w:val="en-US" w:eastAsia="pl-PL"/>
        </w:rPr>
        <w:t>:</w:t>
      </w:r>
      <w:r w:rsidRPr="00AA22C4">
        <w:rPr>
          <w:rFonts w:ascii="Lato" w:eastAsia="Times New Roman" w:hAnsi="Lato"/>
          <w:color w:val="000000" w:themeColor="text1"/>
          <w:sz w:val="22"/>
          <w:szCs w:val="22"/>
          <w:lang w:val="en" w:eastAsia="pl-PL"/>
        </w:rPr>
        <w:t xml:space="preserve"> </w:t>
      </w:r>
      <w:r w:rsidRPr="00AA22C4">
        <w:rPr>
          <w:rFonts w:ascii="Lato" w:eastAsia="Times New Roman" w:hAnsi="Lato"/>
          <w:bCs/>
          <w:color w:val="000000" w:themeColor="text1"/>
          <w:kern w:val="36"/>
          <w:sz w:val="22"/>
          <w:szCs w:val="22"/>
          <w:lang w:val="en" w:eastAsia="pl-PL"/>
        </w:rPr>
        <w:t xml:space="preserve"> Health outcomes in spinal muscular atrophy type 1 following AVXS-101 gene replacement therapy.</w:t>
      </w:r>
      <w:r w:rsidRPr="00AA22C4">
        <w:rPr>
          <w:rFonts w:ascii="Lato" w:eastAsia="Times New Roman" w:hAnsi="Lato"/>
          <w:color w:val="000000" w:themeColor="text1"/>
          <w:sz w:val="22"/>
          <w:szCs w:val="22"/>
          <w:lang w:val="en" w:eastAsia="pl-PL"/>
        </w:rPr>
        <w:t xml:space="preserve"> </w:t>
      </w:r>
    </w:p>
    <w:p w14:paraId="35D59A17" w14:textId="77777777" w:rsidR="005E347E" w:rsidRPr="00AA22C4" w:rsidRDefault="005E347E" w:rsidP="005E347E">
      <w:pPr>
        <w:pStyle w:val="Akapitzlist"/>
        <w:widowControl/>
        <w:numPr>
          <w:ilvl w:val="0"/>
          <w:numId w:val="3"/>
        </w:numPr>
        <w:shd w:val="clear" w:color="auto" w:fill="FFFFFF"/>
        <w:suppressAutoHyphens w:val="0"/>
        <w:spacing w:line="360" w:lineRule="auto"/>
        <w:jc w:val="both"/>
        <w:rPr>
          <w:rFonts w:ascii="Lato" w:eastAsia="Times New Roman" w:hAnsi="Lato"/>
          <w:color w:val="000000" w:themeColor="text1"/>
          <w:sz w:val="22"/>
          <w:szCs w:val="22"/>
          <w:lang w:val="en-US" w:eastAsia="pl-PL"/>
        </w:rPr>
      </w:pPr>
      <w:r w:rsidRPr="00AA22C4">
        <w:rPr>
          <w:rFonts w:ascii="Lato" w:eastAsia="Times New Roman" w:hAnsi="Lato"/>
          <w:i/>
          <w:iCs/>
          <w:color w:val="000000" w:themeColor="text1"/>
          <w:sz w:val="22"/>
          <w:szCs w:val="22"/>
          <w:lang w:val="en-US" w:eastAsia="pl-PL"/>
        </w:rPr>
        <w:t xml:space="preserve">Am J Phys Med </w:t>
      </w:r>
      <w:proofErr w:type="spellStart"/>
      <w:r w:rsidRPr="00AA22C4">
        <w:rPr>
          <w:rFonts w:ascii="Lato" w:eastAsia="Times New Roman" w:hAnsi="Lato"/>
          <w:i/>
          <w:iCs/>
          <w:color w:val="000000" w:themeColor="text1"/>
          <w:sz w:val="22"/>
          <w:szCs w:val="22"/>
          <w:lang w:val="en-US" w:eastAsia="pl-PL"/>
        </w:rPr>
        <w:t>Rehabil</w:t>
      </w:r>
      <w:proofErr w:type="spellEnd"/>
      <w:r w:rsidRPr="00AA22C4">
        <w:rPr>
          <w:rFonts w:ascii="Lato" w:eastAsia="Times New Roman" w:hAnsi="Lato"/>
          <w:i/>
          <w:iCs/>
          <w:color w:val="000000" w:themeColor="text1"/>
          <w:sz w:val="22"/>
          <w:szCs w:val="22"/>
          <w:lang w:val="en-US" w:eastAsia="pl-PL"/>
        </w:rPr>
        <w:t>. 2007;86(5):339-45</w:t>
      </w:r>
      <w:r w:rsidRPr="00AA22C4">
        <w:rPr>
          <w:rFonts w:ascii="Lato" w:eastAsia="Times New Roman" w:hAnsi="Lato"/>
          <w:bCs/>
          <w:color w:val="000000" w:themeColor="text1"/>
          <w:sz w:val="22"/>
          <w:szCs w:val="22"/>
          <w:lang w:val="en-US" w:eastAsia="pl-PL"/>
        </w:rPr>
        <w:t>. Bach</w:t>
      </w:r>
      <w:r w:rsidRPr="00AA22C4">
        <w:rPr>
          <w:rFonts w:ascii="Lato" w:eastAsia="Times New Roman" w:hAnsi="Lato"/>
          <w:color w:val="000000" w:themeColor="text1"/>
          <w:sz w:val="22"/>
          <w:szCs w:val="22"/>
          <w:lang w:val="en-US" w:eastAsia="pl-PL"/>
        </w:rPr>
        <w:t xml:space="preserve"> JR, </w:t>
      </w:r>
      <w:proofErr w:type="spellStart"/>
      <w:r w:rsidRPr="00AA22C4">
        <w:rPr>
          <w:rFonts w:ascii="Lato" w:eastAsia="Times New Roman" w:hAnsi="Lato"/>
          <w:color w:val="000000" w:themeColor="text1"/>
          <w:sz w:val="22"/>
          <w:szCs w:val="22"/>
          <w:lang w:val="en-US" w:eastAsia="pl-PL"/>
        </w:rPr>
        <w:t>Saltstein</w:t>
      </w:r>
      <w:proofErr w:type="spellEnd"/>
      <w:r w:rsidRPr="00AA22C4">
        <w:rPr>
          <w:rFonts w:ascii="Lato" w:eastAsia="Times New Roman" w:hAnsi="Lato"/>
          <w:color w:val="000000" w:themeColor="text1"/>
          <w:sz w:val="22"/>
          <w:szCs w:val="22"/>
          <w:lang w:val="en-US" w:eastAsia="pl-PL"/>
        </w:rPr>
        <w:t xml:space="preserve"> K, </w:t>
      </w:r>
      <w:proofErr w:type="spellStart"/>
      <w:r w:rsidRPr="00AA22C4">
        <w:rPr>
          <w:rFonts w:ascii="Lato" w:eastAsia="Times New Roman" w:hAnsi="Lato"/>
          <w:color w:val="000000" w:themeColor="text1"/>
          <w:sz w:val="22"/>
          <w:szCs w:val="22"/>
          <w:lang w:val="en-US" w:eastAsia="pl-PL"/>
        </w:rPr>
        <w:t>Sinquee</w:t>
      </w:r>
      <w:proofErr w:type="spellEnd"/>
      <w:r w:rsidRPr="00AA22C4">
        <w:rPr>
          <w:rFonts w:ascii="Lato" w:eastAsia="Times New Roman" w:hAnsi="Lato"/>
          <w:color w:val="000000" w:themeColor="text1"/>
          <w:sz w:val="22"/>
          <w:szCs w:val="22"/>
          <w:lang w:val="en-US" w:eastAsia="pl-PL"/>
        </w:rPr>
        <w:t xml:space="preserve"> D, Weaver B, </w:t>
      </w:r>
      <w:proofErr w:type="spellStart"/>
      <w:r w:rsidRPr="00AA22C4">
        <w:rPr>
          <w:rFonts w:ascii="Lato" w:eastAsia="Times New Roman" w:hAnsi="Lato"/>
          <w:color w:val="000000" w:themeColor="text1"/>
          <w:sz w:val="22"/>
          <w:szCs w:val="22"/>
          <w:lang w:val="en-US" w:eastAsia="pl-PL"/>
        </w:rPr>
        <w:t>Komaroff</w:t>
      </w:r>
      <w:proofErr w:type="spellEnd"/>
      <w:r w:rsidRPr="00AA22C4">
        <w:rPr>
          <w:rFonts w:ascii="Lato" w:eastAsia="Times New Roman" w:hAnsi="Lato"/>
          <w:color w:val="000000" w:themeColor="text1"/>
          <w:sz w:val="22"/>
          <w:szCs w:val="22"/>
          <w:lang w:val="en-US" w:eastAsia="pl-PL"/>
        </w:rPr>
        <w:t xml:space="preserve"> E. </w:t>
      </w:r>
      <w:hyperlink r:id="rId47" w:history="1">
        <w:r w:rsidRPr="00AA22C4">
          <w:rPr>
            <w:rFonts w:ascii="Lato" w:eastAsia="Times New Roman" w:hAnsi="Lato"/>
            <w:bCs/>
            <w:color w:val="000000" w:themeColor="text1"/>
            <w:sz w:val="22"/>
            <w:szCs w:val="22"/>
            <w:lang w:val="en-US" w:eastAsia="pl-PL"/>
          </w:rPr>
          <w:t>Long</w:t>
        </w:r>
        <w:r w:rsidRPr="00AA22C4">
          <w:rPr>
            <w:rFonts w:ascii="Lato" w:eastAsia="Times New Roman" w:hAnsi="Lato"/>
            <w:color w:val="000000" w:themeColor="text1"/>
            <w:sz w:val="22"/>
            <w:szCs w:val="22"/>
            <w:lang w:val="en-US" w:eastAsia="pl-PL"/>
          </w:rPr>
          <w:t xml:space="preserve">-term survival </w:t>
        </w:r>
        <w:proofErr w:type="gramStart"/>
        <w:r w:rsidRPr="00AA22C4">
          <w:rPr>
            <w:rFonts w:ascii="Lato" w:eastAsia="Times New Roman" w:hAnsi="Lato"/>
            <w:color w:val="000000" w:themeColor="text1"/>
            <w:sz w:val="22"/>
            <w:szCs w:val="22"/>
            <w:lang w:val="en-US" w:eastAsia="pl-PL"/>
          </w:rPr>
          <w:t>in  Werdnig</w:t>
        </w:r>
        <w:proofErr w:type="gramEnd"/>
        <w:r w:rsidRPr="00AA22C4">
          <w:rPr>
            <w:rFonts w:ascii="Lato" w:eastAsia="Times New Roman" w:hAnsi="Lato"/>
            <w:color w:val="000000" w:themeColor="text1"/>
            <w:sz w:val="22"/>
            <w:szCs w:val="22"/>
            <w:lang w:val="en-US" w:eastAsia="pl-PL"/>
          </w:rPr>
          <w:t>-Hoffmann disease.</w:t>
        </w:r>
      </w:hyperlink>
      <w:r w:rsidRPr="00AA22C4">
        <w:rPr>
          <w:rFonts w:ascii="Lato" w:eastAsia="Times New Roman" w:hAnsi="Lato"/>
          <w:color w:val="000000" w:themeColor="text1"/>
          <w:sz w:val="22"/>
          <w:szCs w:val="22"/>
          <w:lang w:val="en-US" w:eastAsia="pl-PL"/>
        </w:rPr>
        <w:t xml:space="preserve"> </w:t>
      </w:r>
    </w:p>
    <w:p w14:paraId="5E8545FC" w14:textId="77777777" w:rsidR="005E347E" w:rsidRPr="00AA22C4" w:rsidRDefault="005E347E" w:rsidP="005E347E">
      <w:pPr>
        <w:pStyle w:val="Akapitzlist"/>
        <w:widowControl/>
        <w:numPr>
          <w:ilvl w:val="0"/>
          <w:numId w:val="3"/>
        </w:numPr>
        <w:shd w:val="clear" w:color="auto" w:fill="FFFFFF"/>
        <w:suppressAutoHyphens w:val="0"/>
        <w:spacing w:line="360" w:lineRule="auto"/>
        <w:jc w:val="both"/>
        <w:rPr>
          <w:rFonts w:ascii="Lato" w:eastAsia="Times New Roman" w:hAnsi="Lato"/>
          <w:color w:val="000000" w:themeColor="text1"/>
          <w:sz w:val="22"/>
          <w:szCs w:val="22"/>
          <w:lang w:val="en" w:eastAsia="pl-PL"/>
        </w:rPr>
      </w:pPr>
      <w:hyperlink r:id="rId48" w:tooltip="Revue medicale de Liege." w:history="1">
        <w:r w:rsidRPr="00AA22C4">
          <w:rPr>
            <w:rFonts w:ascii="Lato" w:eastAsia="Times New Roman" w:hAnsi="Lato"/>
            <w:i/>
            <w:iCs/>
            <w:color w:val="000000" w:themeColor="text1"/>
            <w:sz w:val="22"/>
            <w:szCs w:val="22"/>
            <w:lang w:val="en" w:eastAsia="pl-PL"/>
          </w:rPr>
          <w:t>Rev Med Liege.</w:t>
        </w:r>
      </w:hyperlink>
      <w:r w:rsidRPr="00AA22C4">
        <w:rPr>
          <w:rFonts w:ascii="Lato" w:eastAsia="Times New Roman" w:hAnsi="Lato"/>
          <w:i/>
          <w:iCs/>
          <w:color w:val="000000" w:themeColor="text1"/>
          <w:sz w:val="22"/>
          <w:szCs w:val="22"/>
          <w:lang w:val="en" w:eastAsia="pl-PL"/>
        </w:rPr>
        <w:t xml:space="preserve"> 2019;74(9):461-464.</w:t>
      </w:r>
      <w:r w:rsidRPr="00AA22C4">
        <w:rPr>
          <w:rFonts w:ascii="Lato" w:hAnsi="Lato"/>
          <w:color w:val="000000" w:themeColor="text1"/>
          <w:sz w:val="22"/>
          <w:szCs w:val="22"/>
          <w:lang w:val="en-US"/>
        </w:rPr>
        <w:t xml:space="preserve"> </w:t>
      </w:r>
      <w:hyperlink r:id="rId49" w:history="1">
        <w:r w:rsidRPr="00AA22C4">
          <w:rPr>
            <w:rFonts w:ascii="Lato" w:eastAsia="Times New Roman" w:hAnsi="Lato"/>
            <w:color w:val="000000" w:themeColor="text1"/>
            <w:sz w:val="22"/>
            <w:szCs w:val="22"/>
            <w:lang w:val="en" w:eastAsia="pl-PL"/>
          </w:rPr>
          <w:t>Boemer F</w:t>
        </w:r>
      </w:hyperlink>
      <w:r w:rsidRPr="00AA22C4">
        <w:rPr>
          <w:rFonts w:ascii="Lato" w:eastAsia="Times New Roman" w:hAnsi="Lato"/>
          <w:color w:val="000000" w:themeColor="text1"/>
          <w:sz w:val="22"/>
          <w:szCs w:val="22"/>
          <w:lang w:val="en" w:eastAsia="pl-PL"/>
        </w:rPr>
        <w:t xml:space="preserve">, </w:t>
      </w:r>
      <w:hyperlink r:id="rId50" w:history="1">
        <w:proofErr w:type="spellStart"/>
        <w:r w:rsidRPr="00AA22C4">
          <w:rPr>
            <w:rFonts w:ascii="Lato" w:eastAsia="Times New Roman" w:hAnsi="Lato"/>
            <w:color w:val="000000" w:themeColor="text1"/>
            <w:sz w:val="22"/>
            <w:szCs w:val="22"/>
            <w:lang w:val="en" w:eastAsia="pl-PL"/>
          </w:rPr>
          <w:t>Caberg</w:t>
        </w:r>
        <w:proofErr w:type="spellEnd"/>
        <w:r w:rsidRPr="00AA22C4">
          <w:rPr>
            <w:rFonts w:ascii="Lato" w:eastAsia="Times New Roman" w:hAnsi="Lato"/>
            <w:color w:val="000000" w:themeColor="text1"/>
            <w:sz w:val="22"/>
            <w:szCs w:val="22"/>
            <w:lang w:val="en" w:eastAsia="pl-PL"/>
          </w:rPr>
          <w:t xml:space="preserve"> JH</w:t>
        </w:r>
      </w:hyperlink>
      <w:r w:rsidRPr="00AA22C4">
        <w:rPr>
          <w:rFonts w:ascii="Lato" w:eastAsia="Times New Roman" w:hAnsi="Lato"/>
          <w:color w:val="000000" w:themeColor="text1"/>
          <w:sz w:val="22"/>
          <w:szCs w:val="22"/>
          <w:lang w:val="en" w:eastAsia="pl-PL"/>
        </w:rPr>
        <w:t xml:space="preserve">, </w:t>
      </w:r>
      <w:hyperlink r:id="rId51" w:history="1">
        <w:proofErr w:type="spellStart"/>
        <w:r w:rsidRPr="00AA22C4">
          <w:rPr>
            <w:rFonts w:ascii="Lato" w:eastAsia="Times New Roman" w:hAnsi="Lato"/>
            <w:color w:val="000000" w:themeColor="text1"/>
            <w:sz w:val="22"/>
            <w:szCs w:val="22"/>
            <w:lang w:val="en" w:eastAsia="pl-PL"/>
          </w:rPr>
          <w:t>Dideberg</w:t>
        </w:r>
        <w:proofErr w:type="spellEnd"/>
        <w:r w:rsidRPr="00AA22C4">
          <w:rPr>
            <w:rFonts w:ascii="Lato" w:eastAsia="Times New Roman" w:hAnsi="Lato"/>
            <w:color w:val="000000" w:themeColor="text1"/>
            <w:sz w:val="22"/>
            <w:szCs w:val="22"/>
            <w:lang w:val="en" w:eastAsia="pl-PL"/>
          </w:rPr>
          <w:t xml:space="preserve"> V</w:t>
        </w:r>
      </w:hyperlink>
      <w:r w:rsidRPr="00AA22C4">
        <w:rPr>
          <w:rFonts w:ascii="Lato" w:eastAsia="Times New Roman" w:hAnsi="Lato"/>
          <w:color w:val="000000" w:themeColor="text1"/>
          <w:sz w:val="22"/>
          <w:szCs w:val="22"/>
          <w:lang w:val="en" w:eastAsia="pl-PL"/>
        </w:rPr>
        <w:t xml:space="preserve"> </w:t>
      </w:r>
      <w:proofErr w:type="spellStart"/>
      <w:r w:rsidRPr="00AA22C4">
        <w:rPr>
          <w:rFonts w:ascii="Lato" w:eastAsia="Times New Roman" w:hAnsi="Lato"/>
          <w:color w:val="000000" w:themeColor="text1"/>
          <w:sz w:val="22"/>
          <w:szCs w:val="22"/>
          <w:lang w:val="en" w:eastAsia="pl-PL"/>
        </w:rPr>
        <w:t>i</w:t>
      </w:r>
      <w:proofErr w:type="spellEnd"/>
      <w:r w:rsidRPr="00AA22C4">
        <w:rPr>
          <w:rFonts w:ascii="Lato" w:eastAsia="Times New Roman" w:hAnsi="Lato"/>
          <w:color w:val="000000" w:themeColor="text1"/>
          <w:sz w:val="22"/>
          <w:szCs w:val="22"/>
          <w:lang w:val="en" w:eastAsia="pl-PL"/>
        </w:rPr>
        <w:t xml:space="preserve"> </w:t>
      </w:r>
      <w:proofErr w:type="spellStart"/>
      <w:r w:rsidRPr="00AA22C4">
        <w:rPr>
          <w:rFonts w:ascii="Lato" w:eastAsia="Times New Roman" w:hAnsi="Lato"/>
          <w:color w:val="000000" w:themeColor="text1"/>
          <w:sz w:val="22"/>
          <w:szCs w:val="22"/>
          <w:lang w:val="en" w:eastAsia="pl-PL"/>
        </w:rPr>
        <w:t>wsp</w:t>
      </w:r>
      <w:proofErr w:type="spellEnd"/>
      <w:r w:rsidRPr="00AA22C4">
        <w:rPr>
          <w:rFonts w:ascii="Lato" w:eastAsia="Times New Roman" w:hAnsi="Lato"/>
          <w:color w:val="000000" w:themeColor="text1"/>
          <w:sz w:val="22"/>
          <w:szCs w:val="22"/>
          <w:lang w:val="en" w:eastAsia="pl-PL"/>
        </w:rPr>
        <w:t xml:space="preserve">. </w:t>
      </w:r>
      <w:r w:rsidRPr="00AA22C4">
        <w:rPr>
          <w:rFonts w:ascii="Lato" w:eastAsia="Times New Roman" w:hAnsi="Lato"/>
          <w:bCs/>
          <w:color w:val="000000" w:themeColor="text1"/>
          <w:kern w:val="36"/>
          <w:sz w:val="22"/>
          <w:szCs w:val="22"/>
          <w:lang w:val="en" w:eastAsia="pl-PL"/>
        </w:rPr>
        <w:t>(S)un (M)ay (A)rise on SMA: the hope of a region without spinal muscular atrophy.</w:t>
      </w:r>
      <w:r w:rsidRPr="00AA22C4">
        <w:rPr>
          <w:rFonts w:ascii="Lato" w:eastAsia="Times New Roman" w:hAnsi="Lato"/>
          <w:color w:val="000000" w:themeColor="text1"/>
          <w:sz w:val="22"/>
          <w:szCs w:val="22"/>
          <w:lang w:val="en" w:eastAsia="pl-PL"/>
        </w:rPr>
        <w:t xml:space="preserve"> </w:t>
      </w:r>
    </w:p>
    <w:p w14:paraId="39DAC863" w14:textId="77777777" w:rsidR="005E347E" w:rsidRPr="00AA22C4" w:rsidRDefault="005E347E" w:rsidP="005E347E">
      <w:pPr>
        <w:pStyle w:val="Akapitzlist"/>
        <w:widowControl/>
        <w:numPr>
          <w:ilvl w:val="0"/>
          <w:numId w:val="3"/>
        </w:numPr>
        <w:shd w:val="clear" w:color="auto" w:fill="FFFFFF"/>
        <w:suppressAutoHyphens w:val="0"/>
        <w:spacing w:line="360" w:lineRule="auto"/>
        <w:jc w:val="both"/>
        <w:rPr>
          <w:rFonts w:ascii="Lato" w:eastAsia="Times New Roman" w:hAnsi="Lato"/>
          <w:color w:val="000000" w:themeColor="text1"/>
          <w:sz w:val="22"/>
          <w:szCs w:val="22"/>
          <w:lang w:val="en-US" w:eastAsia="pl-PL"/>
        </w:rPr>
      </w:pPr>
      <w:r w:rsidRPr="00AA22C4">
        <w:rPr>
          <w:rFonts w:ascii="Lato" w:eastAsia="Times New Roman" w:hAnsi="Lato"/>
          <w:i/>
          <w:iCs/>
          <w:color w:val="000000" w:themeColor="text1"/>
          <w:sz w:val="22"/>
          <w:szCs w:val="22"/>
          <w:lang w:val="en-US" w:eastAsia="pl-PL"/>
        </w:rPr>
        <w:t xml:space="preserve">Folia </w:t>
      </w:r>
      <w:proofErr w:type="spellStart"/>
      <w:r w:rsidRPr="00AA22C4">
        <w:rPr>
          <w:rFonts w:ascii="Lato" w:eastAsia="Times New Roman" w:hAnsi="Lato"/>
          <w:i/>
          <w:iCs/>
          <w:color w:val="000000" w:themeColor="text1"/>
          <w:sz w:val="22"/>
          <w:szCs w:val="22"/>
          <w:lang w:val="en-US" w:eastAsia="pl-PL"/>
        </w:rPr>
        <w:t>Neuropathol</w:t>
      </w:r>
      <w:proofErr w:type="spellEnd"/>
      <w:r w:rsidRPr="00AA22C4">
        <w:rPr>
          <w:rFonts w:ascii="Lato" w:eastAsia="Times New Roman" w:hAnsi="Lato"/>
          <w:i/>
          <w:iCs/>
          <w:color w:val="000000" w:themeColor="text1"/>
          <w:sz w:val="22"/>
          <w:szCs w:val="22"/>
          <w:lang w:val="en-US" w:eastAsia="pl-PL"/>
        </w:rPr>
        <w:t>. 2002;40(1):19-26</w:t>
      </w:r>
      <w:r w:rsidRPr="00AA22C4">
        <w:rPr>
          <w:rFonts w:ascii="Lato" w:eastAsia="Times New Roman" w:hAnsi="Lato"/>
          <w:bCs/>
          <w:color w:val="000000" w:themeColor="text1"/>
          <w:sz w:val="22"/>
          <w:szCs w:val="22"/>
          <w:lang w:val="en-US" w:eastAsia="pl-PL"/>
        </w:rPr>
        <w:t xml:space="preserve"> Borkowska</w:t>
      </w:r>
      <w:r w:rsidRPr="00AA22C4">
        <w:rPr>
          <w:rFonts w:ascii="Lato" w:eastAsia="Times New Roman" w:hAnsi="Lato"/>
          <w:color w:val="000000" w:themeColor="text1"/>
          <w:sz w:val="22"/>
          <w:szCs w:val="22"/>
          <w:lang w:val="en-US" w:eastAsia="pl-PL"/>
        </w:rPr>
        <w:t xml:space="preserve"> J, Rudnik - </w:t>
      </w:r>
      <w:proofErr w:type="spellStart"/>
      <w:r w:rsidRPr="00AA22C4">
        <w:rPr>
          <w:rFonts w:ascii="Lato" w:eastAsia="Times New Roman" w:hAnsi="Lato"/>
          <w:color w:val="000000" w:themeColor="text1"/>
          <w:sz w:val="22"/>
          <w:szCs w:val="22"/>
          <w:lang w:val="en-US" w:eastAsia="pl-PL"/>
        </w:rPr>
        <w:t>Schoneborn</w:t>
      </w:r>
      <w:proofErr w:type="spellEnd"/>
      <w:r w:rsidRPr="00AA22C4">
        <w:rPr>
          <w:rFonts w:ascii="Lato" w:eastAsia="Times New Roman" w:hAnsi="Lato"/>
          <w:color w:val="000000" w:themeColor="text1"/>
          <w:sz w:val="22"/>
          <w:szCs w:val="22"/>
          <w:lang w:val="en-US" w:eastAsia="pl-PL"/>
        </w:rPr>
        <w:t xml:space="preserve"> S, </w:t>
      </w:r>
      <w:proofErr w:type="spellStart"/>
      <w:r w:rsidRPr="00AA22C4">
        <w:rPr>
          <w:rFonts w:ascii="Lato" w:eastAsia="Times New Roman" w:hAnsi="Lato"/>
          <w:color w:val="000000" w:themeColor="text1"/>
          <w:sz w:val="22"/>
          <w:szCs w:val="22"/>
          <w:lang w:val="en-US" w:eastAsia="pl-PL"/>
        </w:rPr>
        <w:t>Hausmanowa</w:t>
      </w:r>
      <w:proofErr w:type="spellEnd"/>
      <w:r w:rsidRPr="00AA22C4">
        <w:rPr>
          <w:rFonts w:ascii="Lato" w:eastAsia="Times New Roman" w:hAnsi="Lato"/>
          <w:color w:val="000000" w:themeColor="text1"/>
          <w:sz w:val="22"/>
          <w:szCs w:val="22"/>
          <w:lang w:val="en-US" w:eastAsia="pl-PL"/>
        </w:rPr>
        <w:t xml:space="preserve"> - </w:t>
      </w:r>
      <w:proofErr w:type="spellStart"/>
      <w:r w:rsidRPr="00AA22C4">
        <w:rPr>
          <w:rFonts w:ascii="Lato" w:eastAsia="Times New Roman" w:hAnsi="Lato"/>
          <w:color w:val="000000" w:themeColor="text1"/>
          <w:sz w:val="22"/>
          <w:szCs w:val="22"/>
          <w:lang w:val="en-US" w:eastAsia="pl-PL"/>
        </w:rPr>
        <w:t>Petrusewicz</w:t>
      </w:r>
      <w:proofErr w:type="spellEnd"/>
      <w:r w:rsidRPr="00AA22C4">
        <w:rPr>
          <w:rFonts w:ascii="Lato" w:eastAsia="Times New Roman" w:hAnsi="Lato"/>
          <w:color w:val="000000" w:themeColor="text1"/>
          <w:sz w:val="22"/>
          <w:szCs w:val="22"/>
          <w:lang w:val="en-US" w:eastAsia="pl-PL"/>
        </w:rPr>
        <w:t xml:space="preserve"> I, </w:t>
      </w:r>
      <w:proofErr w:type="spellStart"/>
      <w:r w:rsidRPr="00AA22C4">
        <w:rPr>
          <w:rFonts w:ascii="Lato" w:eastAsia="Times New Roman" w:hAnsi="Lato"/>
          <w:color w:val="000000" w:themeColor="text1"/>
          <w:sz w:val="22"/>
          <w:szCs w:val="22"/>
          <w:lang w:val="en-US" w:eastAsia="pl-PL"/>
        </w:rPr>
        <w:t>Zerres</w:t>
      </w:r>
      <w:proofErr w:type="spellEnd"/>
      <w:r w:rsidRPr="00AA22C4">
        <w:rPr>
          <w:rFonts w:ascii="Lato" w:eastAsia="Times New Roman" w:hAnsi="Lato"/>
          <w:color w:val="000000" w:themeColor="text1"/>
          <w:sz w:val="22"/>
          <w:szCs w:val="22"/>
          <w:lang w:val="en-US" w:eastAsia="pl-PL"/>
        </w:rPr>
        <w:t xml:space="preserve"> K: </w:t>
      </w:r>
      <w:hyperlink r:id="rId52" w:history="1">
        <w:r w:rsidRPr="00AA22C4">
          <w:rPr>
            <w:rFonts w:ascii="Lato" w:eastAsia="Times New Roman" w:hAnsi="Lato"/>
            <w:color w:val="000000" w:themeColor="text1"/>
            <w:sz w:val="22"/>
            <w:szCs w:val="22"/>
            <w:lang w:val="en-US" w:eastAsia="pl-PL"/>
          </w:rPr>
          <w:t>Early infantile form of spinal muscular atrophy (Werdnig-Hoffmann disease) with prolonged survival.</w:t>
        </w:r>
      </w:hyperlink>
      <w:r w:rsidRPr="00AA22C4">
        <w:rPr>
          <w:rFonts w:ascii="Lato" w:eastAsia="Times New Roman" w:hAnsi="Lato"/>
          <w:color w:val="000000" w:themeColor="text1"/>
          <w:sz w:val="22"/>
          <w:szCs w:val="22"/>
          <w:lang w:val="en-US" w:eastAsia="pl-PL"/>
        </w:rPr>
        <w:t xml:space="preserve"> </w:t>
      </w:r>
    </w:p>
    <w:p w14:paraId="194650C3" w14:textId="77777777" w:rsidR="005E347E" w:rsidRPr="00AA22C4" w:rsidRDefault="005E347E" w:rsidP="005E347E">
      <w:pPr>
        <w:pStyle w:val="Akapitzlist"/>
        <w:widowControl/>
        <w:numPr>
          <w:ilvl w:val="0"/>
          <w:numId w:val="3"/>
        </w:numPr>
        <w:suppressAutoHyphens w:val="0"/>
        <w:autoSpaceDE w:val="0"/>
        <w:autoSpaceDN w:val="0"/>
        <w:adjustRightInd w:val="0"/>
        <w:spacing w:line="360" w:lineRule="auto"/>
        <w:jc w:val="both"/>
        <w:rPr>
          <w:rFonts w:ascii="Lato" w:eastAsia="Times New Roman" w:hAnsi="Lato"/>
          <w:color w:val="000000" w:themeColor="text1"/>
          <w:sz w:val="22"/>
          <w:szCs w:val="22"/>
          <w:lang w:val="en-US" w:eastAsia="pl-PL"/>
        </w:rPr>
      </w:pPr>
      <w:r w:rsidRPr="00AA22C4">
        <w:rPr>
          <w:rFonts w:ascii="Lato" w:eastAsia="Times New Roman" w:hAnsi="Lato"/>
          <w:i/>
          <w:color w:val="000000" w:themeColor="text1"/>
          <w:sz w:val="22"/>
          <w:szCs w:val="22"/>
          <w:lang w:val="en-US" w:eastAsia="pl-PL"/>
        </w:rPr>
        <w:t xml:space="preserve">Neuromuscular Disorders </w:t>
      </w:r>
      <w:r w:rsidRPr="00AA22C4">
        <w:rPr>
          <w:rFonts w:ascii="Lato" w:eastAsia="Times New Roman" w:hAnsi="Lato"/>
          <w:i/>
          <w:color w:val="000000" w:themeColor="text1"/>
          <w:sz w:val="22"/>
          <w:szCs w:val="22"/>
          <w:lang w:val="en" w:eastAsia="pl-PL"/>
        </w:rPr>
        <w:t>2018; 28(3):208-215</w:t>
      </w:r>
      <w:r w:rsidRPr="00AA22C4">
        <w:rPr>
          <w:rFonts w:ascii="Lato" w:eastAsia="Times New Roman" w:hAnsi="Lato"/>
          <w:color w:val="000000" w:themeColor="text1"/>
          <w:sz w:val="22"/>
          <w:szCs w:val="22"/>
          <w:lang w:val="en-US" w:eastAsia="pl-PL"/>
        </w:rPr>
        <w:t xml:space="preserve">. </w:t>
      </w:r>
      <w:proofErr w:type="spellStart"/>
      <w:r w:rsidRPr="00AA22C4">
        <w:rPr>
          <w:rFonts w:ascii="Lato" w:eastAsia="Times New Roman" w:hAnsi="Lato"/>
          <w:color w:val="000000" w:themeColor="text1"/>
          <w:sz w:val="22"/>
          <w:szCs w:val="22"/>
          <w:lang w:val="en-US" w:eastAsia="pl-PL"/>
        </w:rPr>
        <w:t>Calucho</w:t>
      </w:r>
      <w:proofErr w:type="spellEnd"/>
      <w:r w:rsidRPr="00AA22C4">
        <w:rPr>
          <w:rFonts w:ascii="Lato" w:eastAsia="Times New Roman" w:hAnsi="Lato"/>
          <w:color w:val="000000" w:themeColor="text1"/>
          <w:sz w:val="22"/>
          <w:szCs w:val="22"/>
          <w:lang w:val="en-US" w:eastAsia="pl-PL"/>
        </w:rPr>
        <w:t xml:space="preserve"> M, Bernal S, </w:t>
      </w:r>
      <w:proofErr w:type="spellStart"/>
      <w:r w:rsidRPr="00AA22C4">
        <w:rPr>
          <w:rFonts w:ascii="Lato" w:eastAsia="Times New Roman" w:hAnsi="Lato"/>
          <w:color w:val="000000" w:themeColor="text1"/>
          <w:sz w:val="22"/>
          <w:szCs w:val="22"/>
          <w:lang w:val="en-US" w:eastAsia="pl-PL"/>
        </w:rPr>
        <w:t>Alías</w:t>
      </w:r>
      <w:proofErr w:type="spellEnd"/>
      <w:r w:rsidRPr="00AA22C4">
        <w:rPr>
          <w:rFonts w:ascii="Lato" w:eastAsia="Times New Roman" w:hAnsi="Lato"/>
          <w:color w:val="000000" w:themeColor="text1"/>
          <w:sz w:val="22"/>
          <w:szCs w:val="22"/>
          <w:lang w:val="en-US" w:eastAsia="pl-PL"/>
        </w:rPr>
        <w:t xml:space="preserve"> L </w:t>
      </w:r>
      <w:proofErr w:type="spellStart"/>
      <w:r w:rsidRPr="00AA22C4">
        <w:rPr>
          <w:rFonts w:ascii="Lato" w:eastAsia="Times New Roman" w:hAnsi="Lato"/>
          <w:color w:val="000000" w:themeColor="text1"/>
          <w:sz w:val="22"/>
          <w:szCs w:val="22"/>
          <w:lang w:val="en-US" w:eastAsia="pl-PL"/>
        </w:rPr>
        <w:t>i</w:t>
      </w:r>
      <w:proofErr w:type="spellEnd"/>
      <w:r w:rsidRPr="00AA22C4">
        <w:rPr>
          <w:rFonts w:ascii="Lato" w:eastAsia="Times New Roman" w:hAnsi="Lato"/>
          <w:color w:val="000000" w:themeColor="text1"/>
          <w:sz w:val="22"/>
          <w:szCs w:val="22"/>
          <w:lang w:val="en-US" w:eastAsia="pl-PL"/>
        </w:rPr>
        <w:t xml:space="preserve"> </w:t>
      </w:r>
      <w:proofErr w:type="spellStart"/>
      <w:r w:rsidRPr="00AA22C4">
        <w:rPr>
          <w:rFonts w:ascii="Lato" w:eastAsia="Times New Roman" w:hAnsi="Lato"/>
          <w:color w:val="000000" w:themeColor="text1"/>
          <w:sz w:val="22"/>
          <w:szCs w:val="22"/>
          <w:lang w:val="en-US" w:eastAsia="pl-PL"/>
        </w:rPr>
        <w:t>wsp</w:t>
      </w:r>
      <w:proofErr w:type="spellEnd"/>
      <w:r w:rsidRPr="00AA22C4">
        <w:rPr>
          <w:rFonts w:ascii="Lato" w:eastAsia="Times New Roman" w:hAnsi="Lato"/>
          <w:color w:val="000000" w:themeColor="text1"/>
          <w:sz w:val="22"/>
          <w:szCs w:val="22"/>
          <w:lang w:val="en-US" w:eastAsia="pl-PL"/>
        </w:rPr>
        <w:t xml:space="preserve">.: Correlation between SMA type and </w:t>
      </w:r>
      <w:r w:rsidRPr="00AA22C4">
        <w:rPr>
          <w:rFonts w:ascii="Lato" w:eastAsia="Times New Roman" w:hAnsi="Lato"/>
          <w:iCs/>
          <w:color w:val="000000" w:themeColor="text1"/>
          <w:sz w:val="22"/>
          <w:szCs w:val="22"/>
          <w:lang w:val="en-US" w:eastAsia="pl-PL"/>
        </w:rPr>
        <w:t xml:space="preserve">SMN2 </w:t>
      </w:r>
      <w:r w:rsidRPr="00AA22C4">
        <w:rPr>
          <w:rFonts w:ascii="Lato" w:eastAsia="Times New Roman" w:hAnsi="Lato"/>
          <w:color w:val="000000" w:themeColor="text1"/>
          <w:sz w:val="22"/>
          <w:szCs w:val="22"/>
          <w:lang w:val="en-US" w:eastAsia="pl-PL"/>
        </w:rPr>
        <w:t xml:space="preserve">copy number revisited: an analysis of 625 unrelated Spanish patients and a compilation of 2,834 reported cases. </w:t>
      </w:r>
    </w:p>
    <w:p w14:paraId="399517AA" w14:textId="77777777" w:rsidR="005E347E" w:rsidRPr="00AA22C4" w:rsidRDefault="005E347E" w:rsidP="005E347E">
      <w:pPr>
        <w:pStyle w:val="Akapitzlist"/>
        <w:numPr>
          <w:ilvl w:val="0"/>
          <w:numId w:val="3"/>
        </w:numPr>
        <w:suppressAutoHyphens w:val="0"/>
        <w:overflowPunct w:val="0"/>
        <w:autoSpaceDE w:val="0"/>
        <w:autoSpaceDN w:val="0"/>
        <w:adjustRightInd w:val="0"/>
        <w:spacing w:line="360" w:lineRule="auto"/>
        <w:jc w:val="both"/>
        <w:rPr>
          <w:rFonts w:ascii="Lato" w:eastAsia="Times New Roman" w:hAnsi="Lato"/>
          <w:color w:val="000000" w:themeColor="text1"/>
          <w:sz w:val="22"/>
          <w:szCs w:val="22"/>
          <w:lang w:val="en" w:eastAsia="pl-PL"/>
        </w:rPr>
      </w:pPr>
      <w:hyperlink r:id="rId53" w:tooltip="Expert review of neurotherapeutics." w:history="1">
        <w:r w:rsidRPr="00AA22C4">
          <w:rPr>
            <w:rFonts w:ascii="Lato" w:eastAsia="Times New Roman" w:hAnsi="Lato"/>
            <w:i/>
            <w:iCs/>
            <w:color w:val="000000" w:themeColor="text1"/>
            <w:sz w:val="22"/>
            <w:szCs w:val="22"/>
            <w:lang w:val="en" w:eastAsia="pl-PL"/>
          </w:rPr>
          <w:t xml:space="preserve">Expert Rev </w:t>
        </w:r>
        <w:proofErr w:type="spellStart"/>
        <w:r w:rsidRPr="00AA22C4">
          <w:rPr>
            <w:rFonts w:ascii="Lato" w:eastAsia="Times New Roman" w:hAnsi="Lato"/>
            <w:i/>
            <w:iCs/>
            <w:color w:val="000000" w:themeColor="text1"/>
            <w:sz w:val="22"/>
            <w:szCs w:val="22"/>
            <w:lang w:val="en" w:eastAsia="pl-PL"/>
          </w:rPr>
          <w:t>Neurother</w:t>
        </w:r>
        <w:proofErr w:type="spellEnd"/>
        <w:r w:rsidRPr="00AA22C4">
          <w:rPr>
            <w:rFonts w:ascii="Lato" w:eastAsia="Times New Roman" w:hAnsi="Lato"/>
            <w:i/>
            <w:iCs/>
            <w:color w:val="000000" w:themeColor="text1"/>
            <w:sz w:val="22"/>
            <w:szCs w:val="22"/>
            <w:lang w:val="en" w:eastAsia="pl-PL"/>
          </w:rPr>
          <w:t>.</w:t>
        </w:r>
      </w:hyperlink>
      <w:r w:rsidRPr="00AA22C4">
        <w:rPr>
          <w:rFonts w:ascii="Lato" w:eastAsia="Times New Roman" w:hAnsi="Lato"/>
          <w:i/>
          <w:iCs/>
          <w:color w:val="000000" w:themeColor="text1"/>
          <w:sz w:val="22"/>
          <w:szCs w:val="22"/>
          <w:lang w:val="en" w:eastAsia="pl-PL"/>
        </w:rPr>
        <w:t xml:space="preserve"> 2017; 17(10): 955-962</w:t>
      </w:r>
      <w:r w:rsidRPr="00AA22C4">
        <w:rPr>
          <w:rFonts w:ascii="Lato" w:hAnsi="Lato"/>
          <w:color w:val="000000" w:themeColor="text1"/>
          <w:sz w:val="22"/>
          <w:szCs w:val="22"/>
          <w:lang w:val="en-US"/>
        </w:rPr>
        <w:t xml:space="preserve">. </w:t>
      </w:r>
      <w:hyperlink r:id="rId54" w:history="1">
        <w:r w:rsidRPr="00AA22C4">
          <w:rPr>
            <w:rFonts w:ascii="Lato" w:eastAsia="Times New Roman" w:hAnsi="Lato"/>
            <w:color w:val="000000" w:themeColor="text1"/>
            <w:sz w:val="22"/>
            <w:szCs w:val="22"/>
            <w:lang w:val="en" w:eastAsia="pl-PL"/>
          </w:rPr>
          <w:t>Chiriboga CA</w:t>
        </w:r>
      </w:hyperlink>
      <w:r w:rsidRPr="00AA22C4">
        <w:rPr>
          <w:rFonts w:ascii="Lato" w:eastAsia="Times New Roman" w:hAnsi="Lato"/>
          <w:color w:val="000000" w:themeColor="text1"/>
          <w:sz w:val="22"/>
          <w:szCs w:val="22"/>
          <w:lang w:val="en" w:eastAsia="pl-PL"/>
        </w:rPr>
        <w:t xml:space="preserve">.: </w:t>
      </w:r>
      <w:proofErr w:type="spellStart"/>
      <w:r w:rsidRPr="00AA22C4">
        <w:rPr>
          <w:rFonts w:ascii="Lato" w:eastAsia="Times New Roman" w:hAnsi="Lato"/>
          <w:bCs/>
          <w:color w:val="000000" w:themeColor="text1"/>
          <w:kern w:val="36"/>
          <w:sz w:val="22"/>
          <w:szCs w:val="22"/>
          <w:lang w:val="en" w:eastAsia="pl-PL"/>
        </w:rPr>
        <w:t>Nusinersen</w:t>
      </w:r>
      <w:proofErr w:type="spellEnd"/>
      <w:r w:rsidRPr="00AA22C4">
        <w:rPr>
          <w:rFonts w:ascii="Lato" w:eastAsia="Times New Roman" w:hAnsi="Lato"/>
          <w:bCs/>
          <w:color w:val="000000" w:themeColor="text1"/>
          <w:kern w:val="36"/>
          <w:sz w:val="22"/>
          <w:szCs w:val="22"/>
          <w:lang w:val="en" w:eastAsia="pl-PL"/>
        </w:rPr>
        <w:t xml:space="preserve"> for the treatment of spinal muscular atrophy</w:t>
      </w:r>
      <w:r w:rsidRPr="00AA22C4">
        <w:rPr>
          <w:rFonts w:ascii="Lato" w:eastAsia="Times New Roman" w:hAnsi="Lato"/>
          <w:color w:val="000000" w:themeColor="text1"/>
          <w:kern w:val="28"/>
          <w:sz w:val="22"/>
          <w:szCs w:val="22"/>
          <w:lang w:val="en-US" w:eastAsia="pl-PL"/>
        </w:rPr>
        <w:t xml:space="preserve"> </w:t>
      </w:r>
    </w:p>
    <w:p w14:paraId="27B9B1E5" w14:textId="77777777" w:rsidR="005E347E" w:rsidRPr="00AA22C4" w:rsidRDefault="005E347E" w:rsidP="005E347E">
      <w:pPr>
        <w:pStyle w:val="Akapitzlist"/>
        <w:widowControl/>
        <w:numPr>
          <w:ilvl w:val="0"/>
          <w:numId w:val="3"/>
        </w:numPr>
        <w:shd w:val="clear" w:color="auto" w:fill="FFFFFF"/>
        <w:suppressAutoHyphens w:val="0"/>
        <w:spacing w:before="240" w:after="120" w:line="360" w:lineRule="auto"/>
        <w:jc w:val="both"/>
        <w:outlineLvl w:val="0"/>
        <w:rPr>
          <w:rFonts w:ascii="Lato" w:eastAsia="Times New Roman" w:hAnsi="Lato"/>
          <w:color w:val="000000" w:themeColor="text1"/>
          <w:kern w:val="24"/>
          <w:sz w:val="22"/>
          <w:szCs w:val="22"/>
          <w:lang w:val="en-US" w:eastAsia="pl-PL"/>
        </w:rPr>
      </w:pPr>
      <w:hyperlink r:id="rId55" w:tooltip="The Journal of pediatrics." w:history="1">
        <w:r w:rsidRPr="00AA22C4">
          <w:rPr>
            <w:rFonts w:ascii="Lato" w:eastAsia="Times New Roman" w:hAnsi="Lato"/>
            <w:i/>
            <w:iCs/>
            <w:color w:val="000000" w:themeColor="text1"/>
            <w:sz w:val="22"/>
            <w:szCs w:val="22"/>
            <w:lang w:val="en" w:eastAsia="pl-PL"/>
          </w:rPr>
          <w:t xml:space="preserve">J </w:t>
        </w:r>
        <w:proofErr w:type="spellStart"/>
        <w:r w:rsidRPr="00AA22C4">
          <w:rPr>
            <w:rFonts w:ascii="Lato" w:eastAsia="Times New Roman" w:hAnsi="Lato"/>
            <w:i/>
            <w:iCs/>
            <w:color w:val="000000" w:themeColor="text1"/>
            <w:sz w:val="22"/>
            <w:szCs w:val="22"/>
            <w:lang w:val="en" w:eastAsia="pl-PL"/>
          </w:rPr>
          <w:t>Pediatr</w:t>
        </w:r>
        <w:proofErr w:type="spellEnd"/>
        <w:r w:rsidRPr="00AA22C4">
          <w:rPr>
            <w:rFonts w:ascii="Lato" w:eastAsia="Times New Roman" w:hAnsi="Lato"/>
            <w:i/>
            <w:iCs/>
            <w:color w:val="000000" w:themeColor="text1"/>
            <w:sz w:val="22"/>
            <w:szCs w:val="22"/>
            <w:lang w:val="en" w:eastAsia="pl-PL"/>
          </w:rPr>
          <w:t>.</w:t>
        </w:r>
      </w:hyperlink>
      <w:r w:rsidRPr="00AA22C4">
        <w:rPr>
          <w:rFonts w:ascii="Lato" w:eastAsia="Times New Roman" w:hAnsi="Lato"/>
          <w:i/>
          <w:iCs/>
          <w:color w:val="000000" w:themeColor="text1"/>
          <w:sz w:val="22"/>
          <w:szCs w:val="22"/>
          <w:lang w:val="en" w:eastAsia="pl-PL"/>
        </w:rPr>
        <w:t xml:space="preserve"> 2017; 190: 124-129</w:t>
      </w:r>
      <w:r w:rsidRPr="00AA22C4">
        <w:rPr>
          <w:rFonts w:ascii="Lato" w:hAnsi="Lato"/>
          <w:color w:val="000000" w:themeColor="text1"/>
          <w:sz w:val="22"/>
          <w:szCs w:val="22"/>
          <w:lang w:val="en-GB"/>
        </w:rPr>
        <w:t xml:space="preserve">. </w:t>
      </w:r>
      <w:hyperlink r:id="rId56" w:history="1">
        <w:r w:rsidRPr="00AA22C4">
          <w:rPr>
            <w:rFonts w:ascii="Lato" w:eastAsia="Times New Roman" w:hAnsi="Lato"/>
            <w:color w:val="000000" w:themeColor="text1"/>
            <w:sz w:val="22"/>
            <w:szCs w:val="22"/>
            <w:lang w:val="en" w:eastAsia="pl-PL"/>
          </w:rPr>
          <w:t>Chien YH</w:t>
        </w:r>
      </w:hyperlink>
      <w:r w:rsidRPr="00AA22C4">
        <w:rPr>
          <w:rFonts w:ascii="Lato" w:eastAsia="Times New Roman" w:hAnsi="Lato"/>
          <w:color w:val="000000" w:themeColor="text1"/>
          <w:sz w:val="22"/>
          <w:szCs w:val="22"/>
          <w:lang w:val="en" w:eastAsia="pl-PL"/>
        </w:rPr>
        <w:t xml:space="preserve">, </w:t>
      </w:r>
      <w:hyperlink r:id="rId57" w:history="1">
        <w:r w:rsidRPr="00AA22C4">
          <w:rPr>
            <w:rFonts w:ascii="Lato" w:eastAsia="Times New Roman" w:hAnsi="Lato"/>
            <w:color w:val="000000" w:themeColor="text1"/>
            <w:sz w:val="22"/>
            <w:szCs w:val="22"/>
            <w:lang w:val="en" w:eastAsia="pl-PL"/>
          </w:rPr>
          <w:t>Chiang SC</w:t>
        </w:r>
      </w:hyperlink>
      <w:r w:rsidRPr="00AA22C4">
        <w:rPr>
          <w:rFonts w:ascii="Lato" w:eastAsia="Times New Roman" w:hAnsi="Lato"/>
          <w:color w:val="000000" w:themeColor="text1"/>
          <w:sz w:val="22"/>
          <w:szCs w:val="22"/>
          <w:lang w:val="en" w:eastAsia="pl-PL"/>
        </w:rPr>
        <w:t xml:space="preserve">, </w:t>
      </w:r>
      <w:hyperlink r:id="rId58" w:history="1">
        <w:r w:rsidRPr="00AA22C4">
          <w:rPr>
            <w:rFonts w:ascii="Lato" w:eastAsia="Times New Roman" w:hAnsi="Lato"/>
            <w:color w:val="000000" w:themeColor="text1"/>
            <w:sz w:val="22"/>
            <w:szCs w:val="22"/>
            <w:lang w:val="en" w:eastAsia="pl-PL"/>
          </w:rPr>
          <w:t>Weng WC</w:t>
        </w:r>
      </w:hyperlink>
      <w:r w:rsidRPr="00AA22C4">
        <w:rPr>
          <w:rFonts w:ascii="Lato" w:eastAsia="Times New Roman" w:hAnsi="Lato"/>
          <w:color w:val="000000" w:themeColor="text1"/>
          <w:sz w:val="22"/>
          <w:szCs w:val="22"/>
          <w:lang w:val="en" w:eastAsia="pl-PL"/>
        </w:rPr>
        <w:t xml:space="preserve"> </w:t>
      </w:r>
      <w:proofErr w:type="spellStart"/>
      <w:r w:rsidRPr="00AA22C4">
        <w:rPr>
          <w:rFonts w:ascii="Lato" w:eastAsia="Times New Roman" w:hAnsi="Lato"/>
          <w:color w:val="000000" w:themeColor="text1"/>
          <w:sz w:val="22"/>
          <w:szCs w:val="22"/>
          <w:lang w:val="en" w:eastAsia="pl-PL"/>
        </w:rPr>
        <w:t>i</w:t>
      </w:r>
      <w:proofErr w:type="spellEnd"/>
      <w:r w:rsidRPr="00AA22C4">
        <w:rPr>
          <w:rFonts w:ascii="Lato" w:eastAsia="Times New Roman" w:hAnsi="Lato"/>
          <w:color w:val="000000" w:themeColor="text1"/>
          <w:sz w:val="22"/>
          <w:szCs w:val="22"/>
          <w:lang w:val="en" w:eastAsia="pl-PL"/>
        </w:rPr>
        <w:t xml:space="preserve"> </w:t>
      </w:r>
      <w:proofErr w:type="spellStart"/>
      <w:r w:rsidRPr="00AA22C4">
        <w:rPr>
          <w:rFonts w:ascii="Lato" w:eastAsia="Times New Roman" w:hAnsi="Lato"/>
          <w:color w:val="000000" w:themeColor="text1"/>
          <w:sz w:val="22"/>
          <w:szCs w:val="22"/>
          <w:lang w:val="en" w:eastAsia="pl-PL"/>
        </w:rPr>
        <w:t>wsp</w:t>
      </w:r>
      <w:proofErr w:type="spellEnd"/>
      <w:r w:rsidRPr="00AA22C4">
        <w:rPr>
          <w:rFonts w:ascii="Lato" w:eastAsia="Times New Roman" w:hAnsi="Lato"/>
          <w:color w:val="000000" w:themeColor="text1"/>
          <w:sz w:val="22"/>
          <w:szCs w:val="22"/>
          <w:lang w:val="en" w:eastAsia="pl-PL"/>
        </w:rPr>
        <w:t xml:space="preserve">. </w:t>
      </w:r>
      <w:r w:rsidRPr="00AA22C4">
        <w:rPr>
          <w:rFonts w:ascii="Lato" w:eastAsia="Times New Roman" w:hAnsi="Lato"/>
          <w:bCs/>
          <w:color w:val="000000" w:themeColor="text1"/>
          <w:kern w:val="36"/>
          <w:sz w:val="22"/>
          <w:szCs w:val="22"/>
          <w:lang w:val="en" w:eastAsia="pl-PL"/>
        </w:rPr>
        <w:t xml:space="preserve">Presymptomatic Diagnosis of Spinal Muscular Atrophy Through Newborn Screening. </w:t>
      </w:r>
    </w:p>
    <w:p w14:paraId="19EA6F91" w14:textId="77777777" w:rsidR="005E347E" w:rsidRPr="00AA22C4" w:rsidRDefault="005E347E" w:rsidP="005E347E">
      <w:pPr>
        <w:pStyle w:val="Akapitzlist"/>
        <w:widowControl/>
        <w:numPr>
          <w:ilvl w:val="0"/>
          <w:numId w:val="3"/>
        </w:numPr>
        <w:shd w:val="clear" w:color="auto" w:fill="FFFFFF"/>
        <w:suppressAutoHyphens w:val="0"/>
        <w:spacing w:before="240" w:line="360" w:lineRule="auto"/>
        <w:jc w:val="both"/>
        <w:outlineLvl w:val="0"/>
        <w:rPr>
          <w:rFonts w:ascii="Lato" w:eastAsia="Times New Roman" w:hAnsi="Lato"/>
          <w:color w:val="000000" w:themeColor="text1"/>
          <w:sz w:val="22"/>
          <w:szCs w:val="22"/>
          <w:lang w:val="en" w:eastAsia="pl-PL"/>
        </w:rPr>
      </w:pPr>
      <w:r w:rsidRPr="00AA22C4">
        <w:rPr>
          <w:rFonts w:ascii="Lato" w:eastAsia="Times New Roman" w:hAnsi="Lato"/>
          <w:color w:val="000000" w:themeColor="text1"/>
          <w:kern w:val="24"/>
          <w:sz w:val="22"/>
          <w:szCs w:val="22"/>
          <w:lang w:val="en-US" w:eastAsia="pl-PL"/>
        </w:rPr>
        <w:lastRenderedPageBreak/>
        <w:t>Cure SMA. https://www.curesma.org/spring-2019-sma-newborn-screening-update.</w:t>
      </w:r>
    </w:p>
    <w:p w14:paraId="51C6CB31" w14:textId="77777777" w:rsidR="005E347E" w:rsidRPr="00AA22C4" w:rsidRDefault="005E347E" w:rsidP="005E347E">
      <w:pPr>
        <w:pStyle w:val="Akapitzlist"/>
        <w:widowControl/>
        <w:numPr>
          <w:ilvl w:val="0"/>
          <w:numId w:val="3"/>
        </w:numPr>
        <w:shd w:val="clear" w:color="auto" w:fill="FFFFFF"/>
        <w:spacing w:before="240" w:line="360" w:lineRule="auto"/>
        <w:jc w:val="both"/>
        <w:outlineLvl w:val="0"/>
        <w:rPr>
          <w:rStyle w:val="docsum-authors"/>
          <w:rFonts w:ascii="Lato" w:hAnsi="Lato"/>
          <w:color w:val="000000" w:themeColor="text1"/>
          <w:sz w:val="22"/>
          <w:szCs w:val="22"/>
          <w:lang w:val="en-US"/>
        </w:rPr>
      </w:pPr>
      <w:proofErr w:type="spellStart"/>
      <w:r w:rsidRPr="00AA22C4">
        <w:rPr>
          <w:rStyle w:val="docsum-authors"/>
          <w:rFonts w:ascii="Lato" w:hAnsi="Lato"/>
          <w:i/>
          <w:iCs/>
          <w:color w:val="000000" w:themeColor="text1"/>
          <w:sz w:val="22"/>
          <w:szCs w:val="22"/>
          <w:lang w:val="en-US"/>
        </w:rPr>
        <w:t>Neuromuscul</w:t>
      </w:r>
      <w:proofErr w:type="spellEnd"/>
      <w:r w:rsidRPr="00AA22C4">
        <w:rPr>
          <w:rStyle w:val="docsum-authors"/>
          <w:rFonts w:ascii="Lato" w:hAnsi="Lato"/>
          <w:i/>
          <w:iCs/>
          <w:color w:val="000000" w:themeColor="text1"/>
          <w:sz w:val="22"/>
          <w:szCs w:val="22"/>
          <w:lang w:val="en-US"/>
        </w:rPr>
        <w:t xml:space="preserve"> </w:t>
      </w:r>
      <w:proofErr w:type="spellStart"/>
      <w:r w:rsidRPr="00AA22C4">
        <w:rPr>
          <w:rStyle w:val="docsum-authors"/>
          <w:rFonts w:ascii="Lato" w:hAnsi="Lato"/>
          <w:i/>
          <w:iCs/>
          <w:color w:val="000000" w:themeColor="text1"/>
          <w:sz w:val="22"/>
          <w:szCs w:val="22"/>
          <w:lang w:val="en-US"/>
        </w:rPr>
        <w:t>Disord</w:t>
      </w:r>
      <w:proofErr w:type="spellEnd"/>
      <w:r w:rsidRPr="00AA22C4">
        <w:rPr>
          <w:rStyle w:val="docsum-authors"/>
          <w:rFonts w:ascii="Lato" w:hAnsi="Lato"/>
          <w:i/>
          <w:iCs/>
          <w:color w:val="000000" w:themeColor="text1"/>
          <w:sz w:val="22"/>
          <w:szCs w:val="22"/>
          <w:lang w:val="en-US"/>
        </w:rPr>
        <w:t xml:space="preserve"> 2019, 29(11):842-856. </w:t>
      </w:r>
      <w:r w:rsidRPr="00AA22C4">
        <w:rPr>
          <w:rStyle w:val="docsum-authors"/>
          <w:rFonts w:ascii="Lato" w:hAnsi="Lato"/>
          <w:color w:val="000000" w:themeColor="text1"/>
          <w:sz w:val="22"/>
          <w:szCs w:val="22"/>
          <w:lang w:val="en-US"/>
        </w:rPr>
        <w:t xml:space="preserve">De Vivo DC, Bertini E, Swoboda KJ </w:t>
      </w:r>
      <w:proofErr w:type="spellStart"/>
      <w:r w:rsidRPr="00AA22C4">
        <w:rPr>
          <w:rStyle w:val="docsum-authors"/>
          <w:rFonts w:ascii="Lato" w:hAnsi="Lato"/>
          <w:color w:val="000000" w:themeColor="text1"/>
          <w:sz w:val="22"/>
          <w:szCs w:val="22"/>
          <w:lang w:val="en-US"/>
        </w:rPr>
        <w:t>i</w:t>
      </w:r>
      <w:proofErr w:type="spellEnd"/>
      <w:r w:rsidRPr="00AA22C4">
        <w:rPr>
          <w:rStyle w:val="docsum-authors"/>
          <w:rFonts w:ascii="Lato" w:hAnsi="Lato"/>
          <w:color w:val="000000" w:themeColor="text1"/>
          <w:sz w:val="22"/>
          <w:szCs w:val="22"/>
          <w:lang w:val="en-US"/>
        </w:rPr>
        <w:t xml:space="preserve"> </w:t>
      </w:r>
      <w:proofErr w:type="spellStart"/>
      <w:r w:rsidRPr="00AA22C4">
        <w:rPr>
          <w:rStyle w:val="docsum-authors"/>
          <w:rFonts w:ascii="Lato" w:hAnsi="Lato"/>
          <w:color w:val="000000" w:themeColor="text1"/>
          <w:sz w:val="22"/>
          <w:szCs w:val="22"/>
          <w:lang w:val="en-US"/>
        </w:rPr>
        <w:t>wsp</w:t>
      </w:r>
      <w:proofErr w:type="spellEnd"/>
      <w:r w:rsidRPr="00AA22C4">
        <w:rPr>
          <w:rStyle w:val="docsum-authors"/>
          <w:rFonts w:ascii="Lato" w:hAnsi="Lato"/>
          <w:color w:val="000000" w:themeColor="text1"/>
          <w:sz w:val="22"/>
          <w:szCs w:val="22"/>
          <w:lang w:val="en-US"/>
        </w:rPr>
        <w:t xml:space="preserve">. </w:t>
      </w:r>
      <w:proofErr w:type="spellStart"/>
      <w:r w:rsidRPr="00AA22C4">
        <w:rPr>
          <w:rStyle w:val="docsum-authors"/>
          <w:rFonts w:ascii="Lato" w:hAnsi="Lato"/>
          <w:color w:val="000000" w:themeColor="text1"/>
          <w:sz w:val="22"/>
          <w:szCs w:val="22"/>
          <w:lang w:val="en-US"/>
        </w:rPr>
        <w:t>Nusinersen</w:t>
      </w:r>
      <w:proofErr w:type="spellEnd"/>
      <w:r w:rsidRPr="00AA22C4">
        <w:rPr>
          <w:rStyle w:val="docsum-authors"/>
          <w:rFonts w:ascii="Lato" w:hAnsi="Lato"/>
          <w:color w:val="000000" w:themeColor="text1"/>
          <w:sz w:val="22"/>
          <w:szCs w:val="22"/>
          <w:lang w:val="en-US"/>
        </w:rPr>
        <w:t xml:space="preserve"> initiated in infants during the presymptomatic stage of spinal muscular atrophy: Interim efficacy and safety results from the Phase 2 NURTURE study. </w:t>
      </w:r>
    </w:p>
    <w:p w14:paraId="526DF582" w14:textId="77777777" w:rsidR="005E347E" w:rsidRPr="00AA22C4" w:rsidRDefault="005E347E" w:rsidP="005E347E">
      <w:pPr>
        <w:pStyle w:val="Akapitzlist"/>
        <w:widowControl/>
        <w:numPr>
          <w:ilvl w:val="0"/>
          <w:numId w:val="3"/>
        </w:numPr>
        <w:suppressAutoHyphens w:val="0"/>
        <w:autoSpaceDE w:val="0"/>
        <w:autoSpaceDN w:val="0"/>
        <w:adjustRightInd w:val="0"/>
        <w:spacing w:line="360" w:lineRule="auto"/>
        <w:jc w:val="both"/>
        <w:rPr>
          <w:rFonts w:ascii="Lato" w:eastAsia="Times New Roman" w:hAnsi="Lato"/>
          <w:color w:val="000000" w:themeColor="text1"/>
          <w:kern w:val="28"/>
          <w:sz w:val="22"/>
          <w:szCs w:val="22"/>
          <w:lang w:val="en-US" w:eastAsia="pl-PL"/>
        </w:rPr>
      </w:pPr>
      <w:r w:rsidRPr="00AA22C4">
        <w:rPr>
          <w:rFonts w:ascii="Lato" w:hAnsi="Lato"/>
          <w:i/>
          <w:iCs/>
          <w:color w:val="000000" w:themeColor="text1"/>
          <w:sz w:val="22"/>
          <w:szCs w:val="22"/>
          <w:lang w:val="en-US"/>
        </w:rPr>
        <w:t>Ann Neurol. 2017; 81:355–368.</w:t>
      </w:r>
      <w:r w:rsidRPr="00AA22C4">
        <w:rPr>
          <w:rFonts w:ascii="Lato" w:hAnsi="Lato"/>
          <w:color w:val="000000" w:themeColor="text1"/>
          <w:sz w:val="22"/>
          <w:szCs w:val="22"/>
          <w:lang w:val="en-US"/>
        </w:rPr>
        <w:t xml:space="preserve"> Farrar MA, Park SB, Vucic S </w:t>
      </w:r>
      <w:proofErr w:type="spellStart"/>
      <w:r w:rsidRPr="00AA22C4">
        <w:rPr>
          <w:rFonts w:ascii="Lato" w:hAnsi="Lato"/>
          <w:color w:val="000000" w:themeColor="text1"/>
          <w:sz w:val="22"/>
          <w:szCs w:val="22"/>
          <w:lang w:val="en-US"/>
        </w:rPr>
        <w:t>i</w:t>
      </w:r>
      <w:proofErr w:type="spellEnd"/>
      <w:r w:rsidRPr="00AA22C4">
        <w:rPr>
          <w:rFonts w:ascii="Lato" w:hAnsi="Lato"/>
          <w:color w:val="000000" w:themeColor="text1"/>
          <w:sz w:val="22"/>
          <w:szCs w:val="22"/>
          <w:lang w:val="en-US"/>
        </w:rPr>
        <w:t xml:space="preserve"> </w:t>
      </w:r>
      <w:proofErr w:type="spellStart"/>
      <w:r w:rsidRPr="00AA22C4">
        <w:rPr>
          <w:rFonts w:ascii="Lato" w:hAnsi="Lato"/>
          <w:color w:val="000000" w:themeColor="text1"/>
          <w:sz w:val="22"/>
          <w:szCs w:val="22"/>
          <w:lang w:val="en-US"/>
        </w:rPr>
        <w:t>wsp</w:t>
      </w:r>
      <w:proofErr w:type="spellEnd"/>
      <w:r w:rsidRPr="00AA22C4">
        <w:rPr>
          <w:rFonts w:ascii="Lato" w:hAnsi="Lato"/>
          <w:color w:val="000000" w:themeColor="text1"/>
          <w:sz w:val="22"/>
          <w:szCs w:val="22"/>
          <w:lang w:val="en-US"/>
        </w:rPr>
        <w:t xml:space="preserve">.: Emerging Therapies and Challenges in Spinal Muscular Atrophy. </w:t>
      </w:r>
    </w:p>
    <w:p w14:paraId="5F706CD8" w14:textId="77777777" w:rsidR="005E347E" w:rsidRPr="00AA22C4" w:rsidRDefault="005E347E" w:rsidP="005E347E">
      <w:pPr>
        <w:pStyle w:val="Akapitzlist"/>
        <w:widowControl/>
        <w:numPr>
          <w:ilvl w:val="0"/>
          <w:numId w:val="3"/>
        </w:numPr>
        <w:shd w:val="clear" w:color="auto" w:fill="FFFFFF"/>
        <w:suppressAutoHyphens w:val="0"/>
        <w:spacing w:line="360" w:lineRule="auto"/>
        <w:jc w:val="both"/>
        <w:rPr>
          <w:rFonts w:ascii="Lato" w:eastAsia="Times New Roman" w:hAnsi="Lato"/>
          <w:color w:val="000000" w:themeColor="text1"/>
          <w:sz w:val="22"/>
          <w:szCs w:val="22"/>
          <w:lang w:val="en-US" w:eastAsia="pl-PL"/>
        </w:rPr>
      </w:pPr>
      <w:hyperlink r:id="rId59" w:tooltip="The Journal of pediatrics." w:history="1">
        <w:r w:rsidRPr="00AA22C4">
          <w:rPr>
            <w:rFonts w:ascii="Lato" w:eastAsia="Times New Roman" w:hAnsi="Lato"/>
            <w:i/>
            <w:iCs/>
            <w:color w:val="000000" w:themeColor="text1"/>
            <w:sz w:val="22"/>
            <w:szCs w:val="22"/>
            <w:lang w:val="en-US" w:eastAsia="pl-PL"/>
          </w:rPr>
          <w:t xml:space="preserve">J </w:t>
        </w:r>
        <w:proofErr w:type="spellStart"/>
        <w:r w:rsidRPr="00AA22C4">
          <w:rPr>
            <w:rFonts w:ascii="Lato" w:eastAsia="Times New Roman" w:hAnsi="Lato"/>
            <w:i/>
            <w:iCs/>
            <w:color w:val="000000" w:themeColor="text1"/>
            <w:sz w:val="22"/>
            <w:szCs w:val="22"/>
            <w:lang w:val="en-US" w:eastAsia="pl-PL"/>
          </w:rPr>
          <w:t>Pediatr</w:t>
        </w:r>
        <w:proofErr w:type="spellEnd"/>
        <w:r w:rsidRPr="00AA22C4">
          <w:rPr>
            <w:rFonts w:ascii="Lato" w:eastAsia="Times New Roman" w:hAnsi="Lato"/>
            <w:i/>
            <w:iCs/>
            <w:color w:val="000000" w:themeColor="text1"/>
            <w:sz w:val="22"/>
            <w:szCs w:val="22"/>
            <w:lang w:val="en-US" w:eastAsia="pl-PL"/>
          </w:rPr>
          <w:t>.</w:t>
        </w:r>
      </w:hyperlink>
      <w:r w:rsidRPr="00AA22C4">
        <w:rPr>
          <w:rFonts w:ascii="Lato" w:eastAsia="Times New Roman" w:hAnsi="Lato"/>
          <w:i/>
          <w:iCs/>
          <w:color w:val="000000" w:themeColor="text1"/>
          <w:sz w:val="22"/>
          <w:szCs w:val="22"/>
          <w:lang w:val="en-US" w:eastAsia="pl-PL"/>
        </w:rPr>
        <w:t xml:space="preserve"> 2013; 162(1):155 – 9. </w:t>
      </w:r>
      <w:hyperlink r:id="rId60" w:history="1">
        <w:r w:rsidRPr="00AA22C4">
          <w:rPr>
            <w:rFonts w:ascii="Lato" w:eastAsia="Times New Roman" w:hAnsi="Lato"/>
            <w:color w:val="000000" w:themeColor="text1"/>
            <w:sz w:val="22"/>
            <w:szCs w:val="22"/>
            <w:lang w:val="en-US" w:eastAsia="pl-PL"/>
          </w:rPr>
          <w:t>Farrar MA</w:t>
        </w:r>
      </w:hyperlink>
      <w:r w:rsidRPr="00AA22C4">
        <w:rPr>
          <w:rFonts w:ascii="Lato" w:eastAsia="Times New Roman" w:hAnsi="Lato"/>
          <w:color w:val="000000" w:themeColor="text1"/>
          <w:sz w:val="22"/>
          <w:szCs w:val="22"/>
          <w:lang w:val="en-US" w:eastAsia="pl-PL"/>
        </w:rPr>
        <w:t xml:space="preserve">, </w:t>
      </w:r>
      <w:hyperlink r:id="rId61" w:history="1">
        <w:r w:rsidRPr="00AA22C4">
          <w:rPr>
            <w:rFonts w:ascii="Lato" w:eastAsia="Times New Roman" w:hAnsi="Lato"/>
            <w:color w:val="000000" w:themeColor="text1"/>
            <w:sz w:val="22"/>
            <w:szCs w:val="22"/>
            <w:lang w:val="en-US" w:eastAsia="pl-PL"/>
          </w:rPr>
          <w:t>Vucic S</w:t>
        </w:r>
      </w:hyperlink>
      <w:r w:rsidRPr="00AA22C4">
        <w:rPr>
          <w:rFonts w:ascii="Lato" w:eastAsia="Times New Roman" w:hAnsi="Lato"/>
          <w:color w:val="000000" w:themeColor="text1"/>
          <w:sz w:val="22"/>
          <w:szCs w:val="22"/>
          <w:lang w:val="en-US" w:eastAsia="pl-PL"/>
        </w:rPr>
        <w:t xml:space="preserve">, </w:t>
      </w:r>
      <w:hyperlink r:id="rId62" w:history="1">
        <w:r w:rsidRPr="00AA22C4">
          <w:rPr>
            <w:rFonts w:ascii="Lato" w:eastAsia="Times New Roman" w:hAnsi="Lato"/>
            <w:color w:val="000000" w:themeColor="text1"/>
            <w:sz w:val="22"/>
            <w:szCs w:val="22"/>
            <w:lang w:val="en-US" w:eastAsia="pl-PL"/>
          </w:rPr>
          <w:t>Johnston HM</w:t>
        </w:r>
      </w:hyperlink>
      <w:r w:rsidRPr="00AA22C4">
        <w:rPr>
          <w:rFonts w:ascii="Lato" w:eastAsia="Times New Roman" w:hAnsi="Lato"/>
          <w:color w:val="000000" w:themeColor="text1"/>
          <w:sz w:val="22"/>
          <w:szCs w:val="22"/>
          <w:lang w:val="en-US" w:eastAsia="pl-PL"/>
        </w:rPr>
        <w:t xml:space="preserve"> </w:t>
      </w:r>
      <w:proofErr w:type="spellStart"/>
      <w:r w:rsidRPr="00AA22C4">
        <w:rPr>
          <w:rFonts w:ascii="Lato" w:eastAsia="Times New Roman" w:hAnsi="Lato"/>
          <w:color w:val="000000" w:themeColor="text1"/>
          <w:sz w:val="22"/>
          <w:szCs w:val="22"/>
          <w:lang w:val="en-US" w:eastAsia="pl-PL"/>
        </w:rPr>
        <w:t>i</w:t>
      </w:r>
      <w:proofErr w:type="spellEnd"/>
      <w:r w:rsidRPr="00AA22C4">
        <w:rPr>
          <w:rFonts w:ascii="Lato" w:eastAsia="Times New Roman" w:hAnsi="Lato"/>
          <w:color w:val="000000" w:themeColor="text1"/>
          <w:sz w:val="22"/>
          <w:szCs w:val="22"/>
          <w:lang w:val="en-US" w:eastAsia="pl-PL"/>
        </w:rPr>
        <w:t xml:space="preserve"> </w:t>
      </w:r>
      <w:proofErr w:type="spellStart"/>
      <w:r w:rsidRPr="00AA22C4">
        <w:rPr>
          <w:rFonts w:ascii="Lato" w:eastAsia="Times New Roman" w:hAnsi="Lato"/>
          <w:color w:val="000000" w:themeColor="text1"/>
          <w:sz w:val="22"/>
          <w:szCs w:val="22"/>
          <w:lang w:val="en-US" w:eastAsia="pl-PL"/>
        </w:rPr>
        <w:t>wsp</w:t>
      </w:r>
      <w:proofErr w:type="spellEnd"/>
      <w:r w:rsidRPr="00AA22C4">
        <w:rPr>
          <w:rFonts w:ascii="Lato" w:eastAsia="Times New Roman" w:hAnsi="Lato"/>
          <w:color w:val="000000" w:themeColor="text1"/>
          <w:sz w:val="22"/>
          <w:szCs w:val="22"/>
          <w:lang w:val="en-US" w:eastAsia="pl-PL"/>
        </w:rPr>
        <w:t>.:</w:t>
      </w:r>
      <w:r w:rsidRPr="00AA22C4">
        <w:rPr>
          <w:rFonts w:ascii="Lato" w:eastAsia="Times New Roman" w:hAnsi="Lato"/>
          <w:bCs/>
          <w:color w:val="000000" w:themeColor="text1"/>
          <w:kern w:val="36"/>
          <w:sz w:val="22"/>
          <w:szCs w:val="22"/>
          <w:lang w:val="en-US" w:eastAsia="pl-PL"/>
        </w:rPr>
        <w:t xml:space="preserve"> Pathophysiological insights derived by  natural history and motor function of spinal muscular atrophy.</w:t>
      </w:r>
      <w:r w:rsidRPr="00AA22C4">
        <w:rPr>
          <w:rFonts w:ascii="Lato" w:eastAsia="Times New Roman" w:hAnsi="Lato"/>
          <w:color w:val="000000" w:themeColor="text1"/>
          <w:sz w:val="22"/>
          <w:szCs w:val="22"/>
          <w:lang w:val="en-US" w:eastAsia="pl-PL"/>
        </w:rPr>
        <w:t xml:space="preserve"> </w:t>
      </w:r>
    </w:p>
    <w:p w14:paraId="770C7488" w14:textId="77777777" w:rsidR="005E347E" w:rsidRPr="00AA22C4" w:rsidRDefault="005E347E" w:rsidP="005E347E">
      <w:pPr>
        <w:pStyle w:val="Akapitzlist"/>
        <w:widowControl/>
        <w:numPr>
          <w:ilvl w:val="0"/>
          <w:numId w:val="3"/>
        </w:numPr>
        <w:shd w:val="clear" w:color="auto" w:fill="FFFFFF"/>
        <w:suppressAutoHyphens w:val="0"/>
        <w:spacing w:line="360" w:lineRule="auto"/>
        <w:jc w:val="both"/>
        <w:rPr>
          <w:rFonts w:ascii="Lato" w:eastAsia="Times New Roman" w:hAnsi="Lato"/>
          <w:color w:val="000000" w:themeColor="text1"/>
          <w:sz w:val="22"/>
          <w:szCs w:val="22"/>
          <w:lang w:val="en-US" w:eastAsia="pl-PL"/>
        </w:rPr>
      </w:pPr>
      <w:r w:rsidRPr="00AA22C4">
        <w:rPr>
          <w:rFonts w:ascii="Lato" w:eastAsia="Times New Roman" w:hAnsi="Lato"/>
          <w:i/>
          <w:iCs/>
          <w:color w:val="000000" w:themeColor="text1"/>
          <w:sz w:val="22"/>
          <w:szCs w:val="22"/>
          <w:lang w:val="en-US" w:eastAsia="pl-PL"/>
        </w:rPr>
        <w:t xml:space="preserve">Neurology. </w:t>
      </w:r>
      <w:r w:rsidRPr="00AA22C4">
        <w:rPr>
          <w:rFonts w:ascii="Lato" w:eastAsia="Times New Roman" w:hAnsi="Lato"/>
          <w:bCs/>
          <w:i/>
          <w:iCs/>
          <w:color w:val="000000" w:themeColor="text1"/>
          <w:sz w:val="22"/>
          <w:szCs w:val="22"/>
          <w:lang w:val="en-US" w:eastAsia="pl-PL"/>
        </w:rPr>
        <w:t>2014</w:t>
      </w:r>
      <w:r w:rsidRPr="00AA22C4">
        <w:rPr>
          <w:rFonts w:ascii="Lato" w:eastAsia="Times New Roman" w:hAnsi="Lato"/>
          <w:i/>
          <w:iCs/>
          <w:color w:val="000000" w:themeColor="text1"/>
          <w:sz w:val="22"/>
          <w:szCs w:val="22"/>
          <w:lang w:val="en-US" w:eastAsia="pl-PL"/>
        </w:rPr>
        <w:t>;83(9):810-7.</w:t>
      </w:r>
      <w:r w:rsidRPr="00AA22C4">
        <w:rPr>
          <w:rFonts w:ascii="Lato" w:eastAsia="Times New Roman" w:hAnsi="Lato"/>
          <w:bCs/>
          <w:color w:val="000000" w:themeColor="text1"/>
          <w:sz w:val="22"/>
          <w:szCs w:val="22"/>
          <w:lang w:val="en-US" w:eastAsia="pl-PL"/>
        </w:rPr>
        <w:t xml:space="preserve"> Finkel</w:t>
      </w:r>
      <w:r w:rsidRPr="00AA22C4">
        <w:rPr>
          <w:rFonts w:ascii="Lato" w:eastAsia="Times New Roman" w:hAnsi="Lato"/>
          <w:color w:val="000000" w:themeColor="text1"/>
          <w:sz w:val="22"/>
          <w:szCs w:val="22"/>
          <w:lang w:val="en-US" w:eastAsia="pl-PL"/>
        </w:rPr>
        <w:t xml:space="preserve"> RS, McDermott MP, Kaufmann P </w:t>
      </w:r>
      <w:proofErr w:type="spellStart"/>
      <w:r w:rsidRPr="00AA22C4">
        <w:rPr>
          <w:rFonts w:ascii="Lato" w:eastAsia="Times New Roman" w:hAnsi="Lato"/>
          <w:color w:val="000000" w:themeColor="text1"/>
          <w:sz w:val="22"/>
          <w:szCs w:val="22"/>
          <w:lang w:val="en-US" w:eastAsia="pl-PL"/>
        </w:rPr>
        <w:t>i</w:t>
      </w:r>
      <w:proofErr w:type="spellEnd"/>
      <w:r w:rsidRPr="00AA22C4">
        <w:rPr>
          <w:rFonts w:ascii="Lato" w:eastAsia="Times New Roman" w:hAnsi="Lato"/>
          <w:color w:val="000000" w:themeColor="text1"/>
          <w:sz w:val="22"/>
          <w:szCs w:val="22"/>
          <w:lang w:val="en-US" w:eastAsia="pl-PL"/>
        </w:rPr>
        <w:t xml:space="preserve"> </w:t>
      </w:r>
      <w:proofErr w:type="spellStart"/>
      <w:r w:rsidRPr="00AA22C4">
        <w:rPr>
          <w:rFonts w:ascii="Lato" w:eastAsia="Times New Roman" w:hAnsi="Lato"/>
          <w:color w:val="000000" w:themeColor="text1"/>
          <w:sz w:val="22"/>
          <w:szCs w:val="22"/>
          <w:lang w:val="en-US" w:eastAsia="pl-PL"/>
        </w:rPr>
        <w:t>wsp</w:t>
      </w:r>
      <w:proofErr w:type="spellEnd"/>
      <w:r w:rsidRPr="00AA22C4">
        <w:rPr>
          <w:rFonts w:ascii="Lato" w:eastAsia="Times New Roman" w:hAnsi="Lato"/>
          <w:color w:val="000000" w:themeColor="text1"/>
          <w:sz w:val="22"/>
          <w:szCs w:val="22"/>
          <w:lang w:val="en-US" w:eastAsia="pl-PL"/>
        </w:rPr>
        <w:t xml:space="preserve">.: </w:t>
      </w:r>
      <w:hyperlink r:id="rId63" w:history="1">
        <w:r w:rsidRPr="00AA22C4">
          <w:rPr>
            <w:rFonts w:ascii="Lato" w:eastAsia="Times New Roman" w:hAnsi="Lato"/>
            <w:color w:val="000000" w:themeColor="text1"/>
            <w:sz w:val="22"/>
            <w:szCs w:val="22"/>
            <w:lang w:val="en-US" w:eastAsia="pl-PL"/>
          </w:rPr>
          <w:t>Observational study of spinal muscular atrophy type I and implications for clinical trials.</w:t>
        </w:r>
      </w:hyperlink>
      <w:r w:rsidRPr="00AA22C4">
        <w:rPr>
          <w:rFonts w:ascii="Lato" w:eastAsia="Times New Roman" w:hAnsi="Lato"/>
          <w:color w:val="000000" w:themeColor="text1"/>
          <w:sz w:val="22"/>
          <w:szCs w:val="22"/>
          <w:lang w:val="en-US" w:eastAsia="pl-PL"/>
        </w:rPr>
        <w:t xml:space="preserve"> </w:t>
      </w:r>
    </w:p>
    <w:p w14:paraId="33DF6BFC" w14:textId="77777777" w:rsidR="005E347E" w:rsidRPr="00AA22C4" w:rsidRDefault="005E347E" w:rsidP="005E347E">
      <w:pPr>
        <w:pStyle w:val="Akapitzlist"/>
        <w:widowControl/>
        <w:numPr>
          <w:ilvl w:val="0"/>
          <w:numId w:val="3"/>
        </w:numPr>
        <w:shd w:val="clear" w:color="auto" w:fill="FFFFFF"/>
        <w:suppressAutoHyphens w:val="0"/>
        <w:spacing w:line="360" w:lineRule="auto"/>
        <w:jc w:val="both"/>
        <w:rPr>
          <w:rFonts w:ascii="Lato" w:eastAsia="Times New Roman" w:hAnsi="Lato"/>
          <w:color w:val="000000" w:themeColor="text1"/>
          <w:kern w:val="28"/>
          <w:sz w:val="22"/>
          <w:szCs w:val="22"/>
          <w:lang w:val="en-US" w:eastAsia="pl-PL"/>
        </w:rPr>
      </w:pPr>
      <w:hyperlink r:id="rId64" w:tooltip="The New England journal of medicine." w:history="1">
        <w:r w:rsidRPr="00AA22C4">
          <w:rPr>
            <w:rFonts w:ascii="Lato" w:eastAsia="Times New Roman" w:hAnsi="Lato"/>
            <w:color w:val="000000" w:themeColor="text1"/>
            <w:sz w:val="22"/>
            <w:szCs w:val="22"/>
            <w:lang w:val="en" w:eastAsia="pl-PL"/>
          </w:rPr>
          <w:t>N Engl J Med.</w:t>
        </w:r>
      </w:hyperlink>
      <w:r w:rsidRPr="00AA22C4">
        <w:rPr>
          <w:rFonts w:ascii="Lato" w:eastAsia="Times New Roman" w:hAnsi="Lato"/>
          <w:color w:val="000000" w:themeColor="text1"/>
          <w:sz w:val="22"/>
          <w:szCs w:val="22"/>
          <w:lang w:val="en" w:eastAsia="pl-PL"/>
        </w:rPr>
        <w:t xml:space="preserve"> 2017;377(18):1723-1732. </w:t>
      </w:r>
      <w:hyperlink r:id="rId65" w:history="1">
        <w:r w:rsidRPr="00AA22C4">
          <w:rPr>
            <w:rFonts w:ascii="Lato" w:eastAsia="Times New Roman" w:hAnsi="Lato"/>
            <w:color w:val="000000" w:themeColor="text1"/>
            <w:sz w:val="22"/>
            <w:szCs w:val="22"/>
            <w:lang w:val="en" w:eastAsia="pl-PL"/>
          </w:rPr>
          <w:t>Finkel RS</w:t>
        </w:r>
      </w:hyperlink>
      <w:r w:rsidRPr="00AA22C4">
        <w:rPr>
          <w:rFonts w:ascii="Lato" w:eastAsia="Times New Roman" w:hAnsi="Lato"/>
          <w:color w:val="000000" w:themeColor="text1"/>
          <w:sz w:val="22"/>
          <w:szCs w:val="22"/>
          <w:lang w:val="en" w:eastAsia="pl-PL"/>
        </w:rPr>
        <w:t xml:space="preserve">, </w:t>
      </w:r>
      <w:hyperlink r:id="rId66" w:history="1">
        <w:r w:rsidRPr="00AA22C4">
          <w:rPr>
            <w:rFonts w:ascii="Lato" w:eastAsia="Times New Roman" w:hAnsi="Lato"/>
            <w:color w:val="000000" w:themeColor="text1"/>
            <w:sz w:val="22"/>
            <w:szCs w:val="22"/>
            <w:lang w:val="en" w:eastAsia="pl-PL"/>
          </w:rPr>
          <w:t>Mercuri E</w:t>
        </w:r>
      </w:hyperlink>
      <w:r w:rsidRPr="00AA22C4">
        <w:rPr>
          <w:rFonts w:ascii="Lato" w:eastAsia="Times New Roman" w:hAnsi="Lato"/>
          <w:color w:val="000000" w:themeColor="text1"/>
          <w:sz w:val="22"/>
          <w:szCs w:val="22"/>
          <w:lang w:val="en" w:eastAsia="pl-PL"/>
        </w:rPr>
        <w:t xml:space="preserve">, </w:t>
      </w:r>
      <w:hyperlink r:id="rId67" w:history="1">
        <w:r w:rsidRPr="00AA22C4">
          <w:rPr>
            <w:rFonts w:ascii="Lato" w:eastAsia="Times New Roman" w:hAnsi="Lato"/>
            <w:color w:val="000000" w:themeColor="text1"/>
            <w:sz w:val="22"/>
            <w:szCs w:val="22"/>
            <w:lang w:val="en" w:eastAsia="pl-PL"/>
          </w:rPr>
          <w:t>Darras BT</w:t>
        </w:r>
      </w:hyperlink>
      <w:r w:rsidRPr="00AA22C4">
        <w:rPr>
          <w:rFonts w:ascii="Lato" w:eastAsia="Times New Roman" w:hAnsi="Lato"/>
          <w:color w:val="000000" w:themeColor="text1"/>
          <w:sz w:val="22"/>
          <w:szCs w:val="22"/>
          <w:lang w:val="en" w:eastAsia="pl-PL"/>
        </w:rPr>
        <w:t xml:space="preserve"> </w:t>
      </w:r>
      <w:proofErr w:type="spellStart"/>
      <w:r w:rsidRPr="00AA22C4">
        <w:rPr>
          <w:rFonts w:ascii="Lato" w:eastAsia="Times New Roman" w:hAnsi="Lato"/>
          <w:color w:val="000000" w:themeColor="text1"/>
          <w:kern w:val="28"/>
          <w:sz w:val="22"/>
          <w:szCs w:val="22"/>
          <w:lang w:val="en-US" w:eastAsia="pl-PL"/>
        </w:rPr>
        <w:t>i</w:t>
      </w:r>
      <w:proofErr w:type="spellEnd"/>
      <w:r w:rsidRPr="00AA22C4">
        <w:rPr>
          <w:rFonts w:ascii="Lato" w:eastAsia="Times New Roman" w:hAnsi="Lato"/>
          <w:color w:val="000000" w:themeColor="text1"/>
          <w:kern w:val="28"/>
          <w:sz w:val="22"/>
          <w:szCs w:val="22"/>
          <w:lang w:val="en-US" w:eastAsia="pl-PL"/>
        </w:rPr>
        <w:t xml:space="preserve"> </w:t>
      </w:r>
      <w:proofErr w:type="spellStart"/>
      <w:r w:rsidRPr="00AA22C4">
        <w:rPr>
          <w:rFonts w:ascii="Lato" w:eastAsia="Times New Roman" w:hAnsi="Lato"/>
          <w:color w:val="000000" w:themeColor="text1"/>
          <w:kern w:val="28"/>
          <w:sz w:val="22"/>
          <w:szCs w:val="22"/>
          <w:lang w:val="en-US" w:eastAsia="pl-PL"/>
        </w:rPr>
        <w:t>wsp</w:t>
      </w:r>
      <w:proofErr w:type="spellEnd"/>
      <w:r w:rsidRPr="00AA22C4">
        <w:rPr>
          <w:rFonts w:ascii="Lato" w:eastAsia="Times New Roman" w:hAnsi="Lato"/>
          <w:color w:val="000000" w:themeColor="text1"/>
          <w:kern w:val="28"/>
          <w:sz w:val="22"/>
          <w:szCs w:val="22"/>
          <w:lang w:val="en-US" w:eastAsia="pl-PL"/>
        </w:rPr>
        <w:t>.:</w:t>
      </w:r>
      <w:hyperlink r:id="rId68" w:history="1">
        <w:r w:rsidRPr="00AA22C4">
          <w:rPr>
            <w:rFonts w:ascii="Lato" w:eastAsia="Times New Roman" w:hAnsi="Lato"/>
            <w:color w:val="000000" w:themeColor="text1"/>
            <w:sz w:val="22"/>
            <w:szCs w:val="22"/>
            <w:lang w:val="en" w:eastAsia="pl-PL"/>
          </w:rPr>
          <w:t>ENDEAR Study Group</w:t>
        </w:r>
      </w:hyperlink>
      <w:r w:rsidRPr="00AA22C4">
        <w:rPr>
          <w:rFonts w:ascii="Lato" w:eastAsia="Times New Roman" w:hAnsi="Lato"/>
          <w:color w:val="000000" w:themeColor="text1"/>
          <w:sz w:val="22"/>
          <w:szCs w:val="22"/>
          <w:lang w:val="en" w:eastAsia="pl-PL"/>
        </w:rPr>
        <w:t>.</w:t>
      </w:r>
      <w:r w:rsidRPr="00AA22C4">
        <w:rPr>
          <w:rFonts w:ascii="Lato" w:eastAsia="Times New Roman" w:hAnsi="Lato"/>
          <w:bCs/>
          <w:color w:val="000000" w:themeColor="text1"/>
          <w:kern w:val="36"/>
          <w:sz w:val="22"/>
          <w:szCs w:val="22"/>
          <w:lang w:val="en" w:eastAsia="pl-PL"/>
        </w:rPr>
        <w:t xml:space="preserve"> </w:t>
      </w:r>
      <w:proofErr w:type="spellStart"/>
      <w:r w:rsidRPr="00AA22C4">
        <w:rPr>
          <w:rFonts w:ascii="Lato" w:eastAsia="Times New Roman" w:hAnsi="Lato"/>
          <w:bCs/>
          <w:color w:val="000000" w:themeColor="text1"/>
          <w:kern w:val="36"/>
          <w:sz w:val="22"/>
          <w:szCs w:val="22"/>
          <w:lang w:val="en" w:eastAsia="pl-PL"/>
        </w:rPr>
        <w:t>Nusinersen</w:t>
      </w:r>
      <w:proofErr w:type="spellEnd"/>
      <w:r w:rsidRPr="00AA22C4">
        <w:rPr>
          <w:rFonts w:ascii="Lato" w:eastAsia="Times New Roman" w:hAnsi="Lato"/>
          <w:bCs/>
          <w:color w:val="000000" w:themeColor="text1"/>
          <w:kern w:val="36"/>
          <w:sz w:val="22"/>
          <w:szCs w:val="22"/>
          <w:lang w:val="en" w:eastAsia="pl-PL"/>
        </w:rPr>
        <w:t xml:space="preserve"> versus Sham Control in Infantile-Onset Spinal Muscular Atrophy. </w:t>
      </w:r>
    </w:p>
    <w:p w14:paraId="1D3E6FA7" w14:textId="77777777" w:rsidR="005E347E" w:rsidRPr="00AA22C4" w:rsidRDefault="005E347E" w:rsidP="005E347E">
      <w:pPr>
        <w:pStyle w:val="Akapitzlist"/>
        <w:numPr>
          <w:ilvl w:val="0"/>
          <w:numId w:val="3"/>
        </w:numPr>
        <w:suppressAutoHyphens w:val="0"/>
        <w:overflowPunct w:val="0"/>
        <w:autoSpaceDE w:val="0"/>
        <w:autoSpaceDN w:val="0"/>
        <w:adjustRightInd w:val="0"/>
        <w:spacing w:line="360" w:lineRule="auto"/>
        <w:jc w:val="both"/>
        <w:rPr>
          <w:rFonts w:ascii="Lato" w:eastAsia="Times New Roman" w:hAnsi="Lato"/>
          <w:color w:val="000000" w:themeColor="text1"/>
          <w:kern w:val="28"/>
          <w:sz w:val="22"/>
          <w:szCs w:val="22"/>
          <w:lang w:val="en-US" w:eastAsia="pl-PL"/>
        </w:rPr>
      </w:pPr>
      <w:r w:rsidRPr="00AA22C4">
        <w:rPr>
          <w:rFonts w:ascii="Lato" w:hAnsi="Lato"/>
          <w:i/>
          <w:iCs/>
          <w:color w:val="000000" w:themeColor="text1"/>
          <w:kern w:val="28"/>
          <w:sz w:val="22"/>
          <w:szCs w:val="22"/>
          <w:lang w:val="en-US"/>
        </w:rPr>
        <w:t xml:space="preserve">J </w:t>
      </w:r>
      <w:proofErr w:type="spellStart"/>
      <w:r w:rsidRPr="00AA22C4">
        <w:rPr>
          <w:rFonts w:ascii="Lato" w:hAnsi="Lato"/>
          <w:i/>
          <w:iCs/>
          <w:color w:val="000000" w:themeColor="text1"/>
          <w:kern w:val="28"/>
          <w:sz w:val="22"/>
          <w:szCs w:val="22"/>
          <w:lang w:val="en-US"/>
        </w:rPr>
        <w:t>Pediatr</w:t>
      </w:r>
      <w:proofErr w:type="spellEnd"/>
      <w:r w:rsidRPr="00AA22C4">
        <w:rPr>
          <w:rFonts w:ascii="Lato" w:hAnsi="Lato"/>
          <w:i/>
          <w:iCs/>
          <w:color w:val="000000" w:themeColor="text1"/>
          <w:kern w:val="28"/>
          <w:sz w:val="22"/>
          <w:szCs w:val="22"/>
          <w:lang w:val="en-US"/>
        </w:rPr>
        <w:t>, 2020, 227:274-280.e2.</w:t>
      </w:r>
      <w:r w:rsidRPr="00AA22C4">
        <w:rPr>
          <w:rFonts w:ascii="Lato" w:hAnsi="Lato"/>
          <w:color w:val="000000" w:themeColor="text1"/>
          <w:kern w:val="28"/>
          <w:sz w:val="22"/>
          <w:szCs w:val="22"/>
          <w:lang w:val="en-US"/>
        </w:rPr>
        <w:t xml:space="preserve"> Jalali A, Rothwell E, Botkin JR I </w:t>
      </w:r>
      <w:proofErr w:type="spellStart"/>
      <w:r w:rsidRPr="00AA22C4">
        <w:rPr>
          <w:rFonts w:ascii="Lato" w:hAnsi="Lato"/>
          <w:color w:val="000000" w:themeColor="text1"/>
          <w:kern w:val="28"/>
          <w:sz w:val="22"/>
          <w:szCs w:val="22"/>
          <w:lang w:val="en-US"/>
        </w:rPr>
        <w:t>wsp</w:t>
      </w:r>
      <w:proofErr w:type="spellEnd"/>
      <w:r w:rsidRPr="00AA22C4">
        <w:rPr>
          <w:rFonts w:ascii="Lato" w:hAnsi="Lato"/>
          <w:color w:val="000000" w:themeColor="text1"/>
          <w:kern w:val="28"/>
          <w:sz w:val="22"/>
          <w:szCs w:val="22"/>
          <w:lang w:val="en-US"/>
        </w:rPr>
        <w:t xml:space="preserve">. Cost-Effectiveness of </w:t>
      </w:r>
      <w:proofErr w:type="spellStart"/>
      <w:r w:rsidRPr="00AA22C4">
        <w:rPr>
          <w:rFonts w:ascii="Lato" w:hAnsi="Lato"/>
          <w:color w:val="000000" w:themeColor="text1"/>
          <w:kern w:val="28"/>
          <w:sz w:val="22"/>
          <w:szCs w:val="22"/>
          <w:lang w:val="en-US"/>
        </w:rPr>
        <w:t>Nusinersen</w:t>
      </w:r>
      <w:proofErr w:type="spellEnd"/>
      <w:r w:rsidRPr="00AA22C4">
        <w:rPr>
          <w:rFonts w:ascii="Lato" w:hAnsi="Lato"/>
          <w:color w:val="000000" w:themeColor="text1"/>
          <w:kern w:val="28"/>
          <w:sz w:val="22"/>
          <w:szCs w:val="22"/>
          <w:lang w:val="en-US"/>
        </w:rPr>
        <w:t xml:space="preserve"> and Universal Newborn Screening for Spinal Muscular Atrophy.</w:t>
      </w:r>
    </w:p>
    <w:p w14:paraId="7F4E099E" w14:textId="77777777" w:rsidR="005E347E" w:rsidRPr="00AA22C4" w:rsidRDefault="005E347E" w:rsidP="005E347E">
      <w:pPr>
        <w:pStyle w:val="Akapitzlist"/>
        <w:numPr>
          <w:ilvl w:val="0"/>
          <w:numId w:val="3"/>
        </w:numPr>
        <w:suppressAutoHyphens w:val="0"/>
        <w:overflowPunct w:val="0"/>
        <w:autoSpaceDE w:val="0"/>
        <w:autoSpaceDN w:val="0"/>
        <w:adjustRightInd w:val="0"/>
        <w:spacing w:line="360" w:lineRule="auto"/>
        <w:jc w:val="both"/>
        <w:rPr>
          <w:rFonts w:ascii="Lato" w:eastAsia="Times New Roman" w:hAnsi="Lato"/>
          <w:color w:val="000000" w:themeColor="text1"/>
          <w:kern w:val="28"/>
          <w:sz w:val="22"/>
          <w:szCs w:val="22"/>
          <w:lang w:val="en-US" w:eastAsia="pl-PL"/>
        </w:rPr>
      </w:pPr>
      <w:r w:rsidRPr="00AA22C4">
        <w:rPr>
          <w:rFonts w:ascii="Lato" w:eastAsia="Times New Roman" w:hAnsi="Lato"/>
          <w:i/>
          <w:iCs/>
          <w:color w:val="000000" w:themeColor="text1"/>
          <w:kern w:val="28"/>
          <w:sz w:val="22"/>
          <w:szCs w:val="22"/>
          <w:lang w:val="en-US" w:eastAsia="pl-PL"/>
        </w:rPr>
        <w:t>Neuroepidemiology 2010; 34:152–157</w:t>
      </w:r>
      <w:r w:rsidRPr="00AA22C4">
        <w:rPr>
          <w:rFonts w:ascii="Lato" w:eastAsia="Times New Roman" w:hAnsi="Lato"/>
          <w:color w:val="000000" w:themeColor="text1"/>
          <w:kern w:val="28"/>
          <w:sz w:val="22"/>
          <w:szCs w:val="22"/>
          <w:lang w:val="en-US" w:eastAsia="pl-PL"/>
        </w:rPr>
        <w:t xml:space="preserve">. </w:t>
      </w:r>
      <w:proofErr w:type="spellStart"/>
      <w:r w:rsidRPr="00AA22C4">
        <w:rPr>
          <w:rFonts w:ascii="Lato" w:eastAsia="Times New Roman" w:hAnsi="Lato"/>
          <w:color w:val="000000" w:themeColor="text1"/>
          <w:kern w:val="28"/>
          <w:sz w:val="22"/>
          <w:szCs w:val="22"/>
          <w:lang w:val="en-US" w:eastAsia="pl-PL"/>
        </w:rPr>
        <w:t>Jedrzejowska</w:t>
      </w:r>
      <w:proofErr w:type="spellEnd"/>
      <w:r w:rsidRPr="00AA22C4">
        <w:rPr>
          <w:rFonts w:ascii="Lato" w:eastAsia="Times New Roman" w:hAnsi="Lato"/>
          <w:color w:val="000000" w:themeColor="text1"/>
          <w:kern w:val="28"/>
          <w:sz w:val="22"/>
          <w:szCs w:val="22"/>
          <w:lang w:val="en-US" w:eastAsia="pl-PL"/>
        </w:rPr>
        <w:t xml:space="preserve"> M, Milewski M, </w:t>
      </w:r>
      <w:proofErr w:type="spellStart"/>
      <w:r w:rsidRPr="00AA22C4">
        <w:rPr>
          <w:rFonts w:ascii="Lato" w:eastAsia="Times New Roman" w:hAnsi="Lato"/>
          <w:color w:val="000000" w:themeColor="text1"/>
          <w:kern w:val="28"/>
          <w:sz w:val="22"/>
          <w:szCs w:val="22"/>
          <w:lang w:val="en-US" w:eastAsia="pl-PL"/>
        </w:rPr>
        <w:t>Zimowski</w:t>
      </w:r>
      <w:proofErr w:type="spellEnd"/>
      <w:r w:rsidRPr="00AA22C4">
        <w:rPr>
          <w:rFonts w:ascii="Lato" w:eastAsia="Times New Roman" w:hAnsi="Lato"/>
          <w:color w:val="000000" w:themeColor="text1"/>
          <w:kern w:val="28"/>
          <w:sz w:val="22"/>
          <w:szCs w:val="22"/>
          <w:lang w:val="en-US" w:eastAsia="pl-PL"/>
        </w:rPr>
        <w:t xml:space="preserve"> J </w:t>
      </w:r>
      <w:proofErr w:type="spellStart"/>
      <w:r w:rsidRPr="00AA22C4">
        <w:rPr>
          <w:rFonts w:ascii="Lato" w:eastAsia="Times New Roman" w:hAnsi="Lato"/>
          <w:color w:val="000000" w:themeColor="text1"/>
          <w:kern w:val="28"/>
          <w:sz w:val="22"/>
          <w:szCs w:val="22"/>
          <w:lang w:val="en-US" w:eastAsia="pl-PL"/>
        </w:rPr>
        <w:t>i</w:t>
      </w:r>
      <w:proofErr w:type="spellEnd"/>
      <w:r w:rsidRPr="00AA22C4">
        <w:rPr>
          <w:rFonts w:ascii="Lato" w:eastAsia="Times New Roman" w:hAnsi="Lato"/>
          <w:color w:val="000000" w:themeColor="text1"/>
          <w:kern w:val="28"/>
          <w:sz w:val="22"/>
          <w:szCs w:val="22"/>
          <w:lang w:val="en-US" w:eastAsia="pl-PL"/>
        </w:rPr>
        <w:t xml:space="preserve"> </w:t>
      </w:r>
      <w:proofErr w:type="spellStart"/>
      <w:r w:rsidRPr="00AA22C4">
        <w:rPr>
          <w:rFonts w:ascii="Lato" w:eastAsia="Times New Roman" w:hAnsi="Lato"/>
          <w:color w:val="000000" w:themeColor="text1"/>
          <w:kern w:val="28"/>
          <w:sz w:val="22"/>
          <w:szCs w:val="22"/>
          <w:lang w:val="en-US" w:eastAsia="pl-PL"/>
        </w:rPr>
        <w:t>wsp</w:t>
      </w:r>
      <w:proofErr w:type="spellEnd"/>
      <w:r w:rsidRPr="00AA22C4">
        <w:rPr>
          <w:rFonts w:ascii="Lato" w:eastAsia="Times New Roman" w:hAnsi="Lato"/>
          <w:color w:val="000000" w:themeColor="text1"/>
          <w:kern w:val="28"/>
          <w:sz w:val="22"/>
          <w:szCs w:val="22"/>
          <w:lang w:val="en-US" w:eastAsia="pl-PL"/>
        </w:rPr>
        <w:t xml:space="preserve">.:  </w:t>
      </w:r>
      <w:r w:rsidRPr="00AA22C4">
        <w:rPr>
          <w:rFonts w:ascii="Lato" w:eastAsia="Times New Roman" w:hAnsi="Lato"/>
          <w:bCs/>
          <w:color w:val="000000" w:themeColor="text1"/>
          <w:kern w:val="28"/>
          <w:sz w:val="22"/>
          <w:szCs w:val="22"/>
          <w:lang w:val="en-US" w:eastAsia="pl-PL"/>
        </w:rPr>
        <w:t xml:space="preserve">Incidence of spinal muscular atrophy in Poland – more frequent than predicted? </w:t>
      </w:r>
    </w:p>
    <w:p w14:paraId="6FD3FC30" w14:textId="77777777" w:rsidR="005E347E" w:rsidRPr="00AA22C4" w:rsidRDefault="005E347E" w:rsidP="005E347E">
      <w:pPr>
        <w:pStyle w:val="Akapitzlist"/>
        <w:widowControl/>
        <w:numPr>
          <w:ilvl w:val="0"/>
          <w:numId w:val="3"/>
        </w:numPr>
        <w:shd w:val="clear" w:color="auto" w:fill="FFFFFF"/>
        <w:suppressAutoHyphens w:val="0"/>
        <w:spacing w:line="360" w:lineRule="auto"/>
        <w:jc w:val="both"/>
        <w:rPr>
          <w:rFonts w:ascii="Lato" w:eastAsia="Times New Roman" w:hAnsi="Lato"/>
          <w:color w:val="000000" w:themeColor="text1"/>
          <w:sz w:val="22"/>
          <w:szCs w:val="22"/>
          <w:lang w:val="en-US" w:eastAsia="pl-PL"/>
        </w:rPr>
      </w:pPr>
      <w:proofErr w:type="spellStart"/>
      <w:r w:rsidRPr="00AA22C4">
        <w:rPr>
          <w:rFonts w:ascii="Lato" w:eastAsia="Times New Roman" w:hAnsi="Lato"/>
          <w:i/>
          <w:iCs/>
          <w:color w:val="000000" w:themeColor="text1"/>
          <w:sz w:val="22"/>
          <w:szCs w:val="22"/>
          <w:lang w:val="en-US" w:eastAsia="pl-PL"/>
        </w:rPr>
        <w:t>Neuromuscul</w:t>
      </w:r>
      <w:proofErr w:type="spellEnd"/>
      <w:r w:rsidRPr="00AA22C4">
        <w:rPr>
          <w:rFonts w:ascii="Lato" w:eastAsia="Times New Roman" w:hAnsi="Lato"/>
          <w:i/>
          <w:iCs/>
          <w:color w:val="000000" w:themeColor="text1"/>
          <w:sz w:val="22"/>
          <w:szCs w:val="22"/>
          <w:lang w:val="en-US" w:eastAsia="pl-PL"/>
        </w:rPr>
        <w:t xml:space="preserve"> </w:t>
      </w:r>
      <w:proofErr w:type="spellStart"/>
      <w:r w:rsidRPr="00AA22C4">
        <w:rPr>
          <w:rFonts w:ascii="Lato" w:eastAsia="Times New Roman" w:hAnsi="Lato"/>
          <w:i/>
          <w:iCs/>
          <w:color w:val="000000" w:themeColor="text1"/>
          <w:sz w:val="22"/>
          <w:szCs w:val="22"/>
          <w:lang w:val="en-US" w:eastAsia="pl-PL"/>
        </w:rPr>
        <w:t>Disord</w:t>
      </w:r>
      <w:proofErr w:type="spellEnd"/>
      <w:r w:rsidRPr="00AA22C4">
        <w:rPr>
          <w:rFonts w:ascii="Lato" w:eastAsia="Times New Roman" w:hAnsi="Lato"/>
          <w:i/>
          <w:iCs/>
          <w:color w:val="000000" w:themeColor="text1"/>
          <w:sz w:val="22"/>
          <w:szCs w:val="22"/>
          <w:lang w:val="en-US" w:eastAsia="pl-PL"/>
        </w:rPr>
        <w:t>. 2014;24(7):617-23</w:t>
      </w:r>
      <w:r w:rsidRPr="00AA22C4">
        <w:rPr>
          <w:rFonts w:ascii="Lato" w:eastAsia="Times New Roman" w:hAnsi="Lato"/>
          <w:color w:val="000000" w:themeColor="text1"/>
          <w:sz w:val="22"/>
          <w:szCs w:val="22"/>
          <w:lang w:val="en-US" w:eastAsia="pl-PL"/>
        </w:rPr>
        <w:t xml:space="preserve">. </w:t>
      </w:r>
      <w:proofErr w:type="spellStart"/>
      <w:r w:rsidRPr="00AA22C4">
        <w:rPr>
          <w:rFonts w:ascii="Lato" w:eastAsia="Times New Roman" w:hAnsi="Lato"/>
          <w:color w:val="000000" w:themeColor="text1"/>
          <w:sz w:val="22"/>
          <w:szCs w:val="22"/>
          <w:lang w:val="en-US" w:eastAsia="pl-PL"/>
        </w:rPr>
        <w:t>Jędrzejowska</w:t>
      </w:r>
      <w:proofErr w:type="spellEnd"/>
      <w:r w:rsidRPr="00AA22C4">
        <w:rPr>
          <w:rFonts w:ascii="Lato" w:eastAsia="Times New Roman" w:hAnsi="Lato"/>
          <w:color w:val="000000" w:themeColor="text1"/>
          <w:sz w:val="22"/>
          <w:szCs w:val="22"/>
          <w:lang w:val="en-US" w:eastAsia="pl-PL"/>
        </w:rPr>
        <w:t xml:space="preserve"> M, </w:t>
      </w:r>
      <w:proofErr w:type="spellStart"/>
      <w:r w:rsidRPr="00AA22C4">
        <w:rPr>
          <w:rFonts w:ascii="Lato" w:eastAsia="Times New Roman" w:hAnsi="Lato"/>
          <w:color w:val="000000" w:themeColor="text1"/>
          <w:sz w:val="22"/>
          <w:szCs w:val="22"/>
          <w:lang w:val="en-US" w:eastAsia="pl-PL"/>
        </w:rPr>
        <w:t>Gos</w:t>
      </w:r>
      <w:proofErr w:type="spellEnd"/>
      <w:r w:rsidRPr="00AA22C4">
        <w:rPr>
          <w:rFonts w:ascii="Lato" w:eastAsia="Times New Roman" w:hAnsi="Lato"/>
          <w:color w:val="000000" w:themeColor="text1"/>
          <w:sz w:val="22"/>
          <w:szCs w:val="22"/>
          <w:lang w:val="en-US" w:eastAsia="pl-PL"/>
        </w:rPr>
        <w:t xml:space="preserve"> M, </w:t>
      </w:r>
      <w:proofErr w:type="spellStart"/>
      <w:r w:rsidRPr="00AA22C4">
        <w:rPr>
          <w:rFonts w:ascii="Lato" w:eastAsia="Times New Roman" w:hAnsi="Lato"/>
          <w:color w:val="000000" w:themeColor="text1"/>
          <w:sz w:val="22"/>
          <w:szCs w:val="22"/>
          <w:lang w:val="en-US" w:eastAsia="pl-PL"/>
        </w:rPr>
        <w:t>Zimowski</w:t>
      </w:r>
      <w:proofErr w:type="spellEnd"/>
      <w:r w:rsidRPr="00AA22C4">
        <w:rPr>
          <w:rFonts w:ascii="Lato" w:eastAsia="Times New Roman" w:hAnsi="Lato"/>
          <w:color w:val="000000" w:themeColor="text1"/>
          <w:sz w:val="22"/>
          <w:szCs w:val="22"/>
          <w:lang w:val="en-US" w:eastAsia="pl-PL"/>
        </w:rPr>
        <w:t xml:space="preserve"> JG, </w:t>
      </w:r>
      <w:proofErr w:type="spellStart"/>
      <w:r w:rsidRPr="00AA22C4">
        <w:rPr>
          <w:rFonts w:ascii="Lato" w:eastAsia="Times New Roman" w:hAnsi="Lato"/>
          <w:color w:val="000000" w:themeColor="text1"/>
          <w:sz w:val="22"/>
          <w:szCs w:val="22"/>
          <w:lang w:val="en-US" w:eastAsia="pl-PL"/>
        </w:rPr>
        <w:t>Kostera-Pruszczyk</w:t>
      </w:r>
      <w:proofErr w:type="spellEnd"/>
      <w:r w:rsidRPr="00AA22C4">
        <w:rPr>
          <w:rFonts w:ascii="Lato" w:eastAsia="Times New Roman" w:hAnsi="Lato"/>
          <w:color w:val="000000" w:themeColor="text1"/>
          <w:sz w:val="22"/>
          <w:szCs w:val="22"/>
          <w:lang w:val="en-US" w:eastAsia="pl-PL"/>
        </w:rPr>
        <w:t xml:space="preserve"> A </w:t>
      </w:r>
      <w:proofErr w:type="spellStart"/>
      <w:r w:rsidRPr="00AA22C4">
        <w:rPr>
          <w:rFonts w:ascii="Lato" w:eastAsia="Times New Roman" w:hAnsi="Lato"/>
          <w:color w:val="000000" w:themeColor="text1"/>
          <w:sz w:val="22"/>
          <w:szCs w:val="22"/>
          <w:lang w:val="en-US" w:eastAsia="pl-PL"/>
        </w:rPr>
        <w:t>i</w:t>
      </w:r>
      <w:proofErr w:type="spellEnd"/>
      <w:r w:rsidRPr="00AA22C4">
        <w:rPr>
          <w:rFonts w:ascii="Lato" w:eastAsia="Times New Roman" w:hAnsi="Lato"/>
          <w:color w:val="000000" w:themeColor="text1"/>
          <w:sz w:val="22"/>
          <w:szCs w:val="22"/>
          <w:lang w:val="en-US" w:eastAsia="pl-PL"/>
        </w:rPr>
        <w:t xml:space="preserve"> </w:t>
      </w:r>
      <w:proofErr w:type="spellStart"/>
      <w:r w:rsidRPr="00AA22C4">
        <w:rPr>
          <w:rFonts w:ascii="Lato" w:eastAsia="Times New Roman" w:hAnsi="Lato"/>
          <w:color w:val="000000" w:themeColor="text1"/>
          <w:sz w:val="22"/>
          <w:szCs w:val="22"/>
          <w:lang w:val="en-US" w:eastAsia="pl-PL"/>
        </w:rPr>
        <w:t>wsp</w:t>
      </w:r>
      <w:proofErr w:type="spellEnd"/>
      <w:r w:rsidRPr="00AA22C4">
        <w:rPr>
          <w:rFonts w:ascii="Lato" w:eastAsia="Times New Roman" w:hAnsi="Lato"/>
          <w:color w:val="000000" w:themeColor="text1"/>
          <w:sz w:val="22"/>
          <w:szCs w:val="22"/>
          <w:lang w:val="en-US" w:eastAsia="pl-PL"/>
        </w:rPr>
        <w:t xml:space="preserve">.: </w:t>
      </w:r>
      <w:hyperlink r:id="rId69" w:history="1">
        <w:r w:rsidRPr="00AA22C4">
          <w:rPr>
            <w:rFonts w:ascii="Lato" w:eastAsia="Times New Roman" w:hAnsi="Lato"/>
            <w:color w:val="000000" w:themeColor="text1"/>
            <w:sz w:val="22"/>
            <w:szCs w:val="22"/>
            <w:lang w:val="en-US" w:eastAsia="pl-PL"/>
          </w:rPr>
          <w:t xml:space="preserve">Novel </w:t>
        </w:r>
        <w:r w:rsidRPr="00AA22C4">
          <w:rPr>
            <w:rFonts w:ascii="Lato" w:eastAsia="Times New Roman" w:hAnsi="Lato"/>
            <w:bCs/>
            <w:color w:val="000000" w:themeColor="text1"/>
            <w:sz w:val="22"/>
            <w:szCs w:val="22"/>
            <w:lang w:val="en-US" w:eastAsia="pl-PL"/>
          </w:rPr>
          <w:t>point</w:t>
        </w:r>
        <w:r w:rsidRPr="00AA22C4">
          <w:rPr>
            <w:rFonts w:ascii="Lato" w:eastAsia="Times New Roman" w:hAnsi="Lato"/>
            <w:color w:val="000000" w:themeColor="text1"/>
            <w:sz w:val="22"/>
            <w:szCs w:val="22"/>
            <w:lang w:val="en-US" w:eastAsia="pl-PL"/>
          </w:rPr>
          <w:t xml:space="preserve"> mutations in survival motor neuron 1 gene expand the spectrum of phenotypes observed in spinal muscular atrophy patients.</w:t>
        </w:r>
      </w:hyperlink>
      <w:r w:rsidRPr="00AA22C4">
        <w:rPr>
          <w:rFonts w:ascii="Lato" w:eastAsia="Times New Roman" w:hAnsi="Lato"/>
          <w:color w:val="000000" w:themeColor="text1"/>
          <w:sz w:val="22"/>
          <w:szCs w:val="22"/>
          <w:lang w:val="en-US" w:eastAsia="pl-PL"/>
        </w:rPr>
        <w:t xml:space="preserve"> </w:t>
      </w:r>
    </w:p>
    <w:p w14:paraId="327EBF24" w14:textId="77777777" w:rsidR="005E347E" w:rsidRPr="00AA22C4" w:rsidRDefault="005E347E" w:rsidP="005E347E">
      <w:pPr>
        <w:pStyle w:val="Akapitzlist"/>
        <w:numPr>
          <w:ilvl w:val="0"/>
          <w:numId w:val="3"/>
        </w:numPr>
        <w:suppressAutoHyphens w:val="0"/>
        <w:overflowPunct w:val="0"/>
        <w:adjustRightInd w:val="0"/>
        <w:spacing w:line="360" w:lineRule="auto"/>
        <w:jc w:val="both"/>
        <w:rPr>
          <w:rFonts w:ascii="Lato" w:eastAsia="Times New Roman" w:hAnsi="Lato"/>
          <w:color w:val="000000" w:themeColor="text1"/>
          <w:kern w:val="28"/>
          <w:sz w:val="22"/>
          <w:szCs w:val="22"/>
          <w:lang w:val="en-US" w:eastAsia="pl-PL"/>
        </w:rPr>
      </w:pPr>
      <w:r w:rsidRPr="00AA22C4">
        <w:rPr>
          <w:rFonts w:ascii="Lato" w:eastAsia="Times New Roman" w:hAnsi="Lato"/>
          <w:i/>
          <w:iCs/>
          <w:color w:val="000000" w:themeColor="text1"/>
          <w:kern w:val="28"/>
          <w:sz w:val="22"/>
          <w:szCs w:val="22"/>
          <w:lang w:val="en-US" w:eastAsia="pl-PL"/>
        </w:rPr>
        <w:t xml:space="preserve">Acta </w:t>
      </w:r>
      <w:proofErr w:type="spellStart"/>
      <w:r w:rsidRPr="00AA22C4">
        <w:rPr>
          <w:rFonts w:ascii="Lato" w:eastAsia="Times New Roman" w:hAnsi="Lato"/>
          <w:i/>
          <w:iCs/>
          <w:color w:val="000000" w:themeColor="text1"/>
          <w:kern w:val="28"/>
          <w:sz w:val="22"/>
          <w:szCs w:val="22"/>
          <w:lang w:val="en-US" w:eastAsia="pl-PL"/>
        </w:rPr>
        <w:t>Biochim</w:t>
      </w:r>
      <w:proofErr w:type="spellEnd"/>
      <w:r w:rsidRPr="00AA22C4">
        <w:rPr>
          <w:rFonts w:ascii="Lato" w:eastAsia="Times New Roman" w:hAnsi="Lato"/>
          <w:i/>
          <w:iCs/>
          <w:color w:val="000000" w:themeColor="text1"/>
          <w:kern w:val="28"/>
          <w:sz w:val="22"/>
          <w:szCs w:val="22"/>
          <w:lang w:val="en-US" w:eastAsia="pl-PL"/>
        </w:rPr>
        <w:t xml:space="preserve"> Pol 2009; 56:103-108</w:t>
      </w:r>
      <w:r w:rsidRPr="00AA22C4">
        <w:rPr>
          <w:rFonts w:ascii="Lato" w:eastAsia="Times New Roman" w:hAnsi="Lato"/>
          <w:color w:val="000000" w:themeColor="text1"/>
          <w:kern w:val="28"/>
          <w:sz w:val="22"/>
          <w:szCs w:val="22"/>
          <w:lang w:val="en-US" w:eastAsia="pl-PL"/>
        </w:rPr>
        <w:t xml:space="preserve">. </w:t>
      </w:r>
      <w:proofErr w:type="spellStart"/>
      <w:r w:rsidRPr="00AA22C4">
        <w:rPr>
          <w:rFonts w:ascii="Lato" w:eastAsia="Times New Roman" w:hAnsi="Lato"/>
          <w:color w:val="000000" w:themeColor="text1"/>
          <w:kern w:val="28"/>
          <w:sz w:val="22"/>
          <w:szCs w:val="22"/>
          <w:lang w:val="en-US" w:eastAsia="pl-PL"/>
        </w:rPr>
        <w:t>Jędrzejowska</w:t>
      </w:r>
      <w:proofErr w:type="spellEnd"/>
      <w:r w:rsidRPr="00AA22C4">
        <w:rPr>
          <w:rFonts w:ascii="Lato" w:eastAsia="Times New Roman" w:hAnsi="Lato"/>
          <w:color w:val="000000" w:themeColor="text1"/>
          <w:kern w:val="28"/>
          <w:sz w:val="22"/>
          <w:szCs w:val="22"/>
          <w:lang w:val="en-US" w:eastAsia="pl-PL"/>
        </w:rPr>
        <w:t xml:space="preserve"> M, Milewski M, </w:t>
      </w:r>
      <w:proofErr w:type="spellStart"/>
      <w:r w:rsidRPr="00AA22C4">
        <w:rPr>
          <w:rFonts w:ascii="Lato" w:eastAsia="Times New Roman" w:hAnsi="Lato"/>
          <w:color w:val="000000" w:themeColor="text1"/>
          <w:kern w:val="28"/>
          <w:sz w:val="22"/>
          <w:szCs w:val="22"/>
          <w:lang w:val="en-US" w:eastAsia="pl-PL"/>
        </w:rPr>
        <w:t>Zimowski</w:t>
      </w:r>
      <w:proofErr w:type="spellEnd"/>
      <w:r w:rsidRPr="00AA22C4">
        <w:rPr>
          <w:rFonts w:ascii="Lato" w:eastAsia="Times New Roman" w:hAnsi="Lato"/>
          <w:color w:val="000000" w:themeColor="text1"/>
          <w:kern w:val="28"/>
          <w:sz w:val="22"/>
          <w:szCs w:val="22"/>
          <w:lang w:val="en-US" w:eastAsia="pl-PL"/>
        </w:rPr>
        <w:t xml:space="preserve"> J </w:t>
      </w:r>
      <w:proofErr w:type="spellStart"/>
      <w:r w:rsidRPr="00AA22C4">
        <w:rPr>
          <w:rFonts w:ascii="Lato" w:eastAsia="Times New Roman" w:hAnsi="Lato"/>
          <w:color w:val="000000" w:themeColor="text1"/>
          <w:kern w:val="28"/>
          <w:sz w:val="22"/>
          <w:szCs w:val="22"/>
          <w:lang w:val="en-US" w:eastAsia="pl-PL"/>
        </w:rPr>
        <w:t>i</w:t>
      </w:r>
      <w:proofErr w:type="spellEnd"/>
      <w:r w:rsidRPr="00AA22C4">
        <w:rPr>
          <w:rFonts w:ascii="Lato" w:eastAsia="Times New Roman" w:hAnsi="Lato"/>
          <w:color w:val="000000" w:themeColor="text1"/>
          <w:kern w:val="28"/>
          <w:sz w:val="22"/>
          <w:szCs w:val="22"/>
          <w:lang w:val="en-US" w:eastAsia="pl-PL"/>
        </w:rPr>
        <w:t xml:space="preserve"> </w:t>
      </w:r>
      <w:proofErr w:type="spellStart"/>
      <w:r w:rsidRPr="00AA22C4">
        <w:rPr>
          <w:rFonts w:ascii="Lato" w:eastAsia="Times New Roman" w:hAnsi="Lato"/>
          <w:color w:val="000000" w:themeColor="text1"/>
          <w:kern w:val="28"/>
          <w:sz w:val="22"/>
          <w:szCs w:val="22"/>
          <w:lang w:val="en-US" w:eastAsia="pl-PL"/>
        </w:rPr>
        <w:t>wsp</w:t>
      </w:r>
      <w:proofErr w:type="spellEnd"/>
      <w:r w:rsidRPr="00AA22C4">
        <w:rPr>
          <w:rFonts w:ascii="Lato" w:eastAsia="Times New Roman" w:hAnsi="Lato"/>
          <w:color w:val="000000" w:themeColor="text1"/>
          <w:kern w:val="28"/>
          <w:sz w:val="22"/>
          <w:szCs w:val="22"/>
          <w:lang w:val="en-US" w:eastAsia="pl-PL"/>
        </w:rPr>
        <w:t xml:space="preserve">.: </w:t>
      </w:r>
      <w:hyperlink r:id="rId70" w:history="1">
        <w:r w:rsidRPr="00AA22C4">
          <w:rPr>
            <w:rFonts w:ascii="Lato" w:eastAsia="Times New Roman" w:hAnsi="Lato"/>
            <w:color w:val="000000" w:themeColor="text1"/>
            <w:kern w:val="28"/>
            <w:sz w:val="22"/>
            <w:szCs w:val="22"/>
            <w:lang w:val="en-US" w:eastAsia="pl-PL"/>
          </w:rPr>
          <w:t>Phenotype modifiers of spinal muscular atrophy: the number of SMN2 gene copies, deletion in the NAIP gene and probably gender influence the course of the disease.</w:t>
        </w:r>
      </w:hyperlink>
      <w:r w:rsidRPr="00AA22C4">
        <w:rPr>
          <w:rFonts w:ascii="Lato" w:eastAsia="Times New Roman" w:hAnsi="Lato"/>
          <w:color w:val="000000" w:themeColor="text1"/>
          <w:kern w:val="28"/>
          <w:sz w:val="22"/>
          <w:szCs w:val="22"/>
          <w:lang w:val="en-US" w:eastAsia="pl-PL"/>
        </w:rPr>
        <w:t xml:space="preserve"> </w:t>
      </w:r>
    </w:p>
    <w:p w14:paraId="43778BBD" w14:textId="77777777" w:rsidR="005E347E" w:rsidRPr="00AA22C4" w:rsidRDefault="005E347E" w:rsidP="005E347E">
      <w:pPr>
        <w:pStyle w:val="Akapitzlist"/>
        <w:widowControl/>
        <w:numPr>
          <w:ilvl w:val="0"/>
          <w:numId w:val="3"/>
        </w:numPr>
        <w:shd w:val="clear" w:color="auto" w:fill="FFFFFF"/>
        <w:suppressAutoHyphens w:val="0"/>
        <w:spacing w:line="360" w:lineRule="auto"/>
        <w:jc w:val="both"/>
        <w:rPr>
          <w:rFonts w:ascii="Lato" w:eastAsia="Times New Roman" w:hAnsi="Lato"/>
          <w:color w:val="000000" w:themeColor="text1"/>
          <w:sz w:val="22"/>
          <w:szCs w:val="22"/>
          <w:lang w:val="en" w:eastAsia="pl-PL"/>
        </w:rPr>
      </w:pPr>
      <w:r w:rsidRPr="00AA22C4">
        <w:rPr>
          <w:rFonts w:ascii="Lato" w:eastAsia="Times New Roman" w:hAnsi="Lato"/>
          <w:i/>
          <w:iCs/>
          <w:color w:val="000000" w:themeColor="text1"/>
          <w:sz w:val="22"/>
          <w:szCs w:val="22"/>
          <w:lang w:val="en" w:eastAsia="pl-PL"/>
        </w:rPr>
        <w:t xml:space="preserve">Genet Med. 2019. </w:t>
      </w:r>
      <w:proofErr w:type="spellStart"/>
      <w:r w:rsidRPr="00AA22C4">
        <w:rPr>
          <w:rFonts w:ascii="Lato" w:eastAsia="Times New Roman" w:hAnsi="Lato"/>
          <w:i/>
          <w:iCs/>
          <w:color w:val="000000" w:themeColor="text1"/>
          <w:sz w:val="22"/>
          <w:szCs w:val="22"/>
          <w:lang w:val="en" w:eastAsia="pl-PL"/>
        </w:rPr>
        <w:t>doi</w:t>
      </w:r>
      <w:proofErr w:type="spellEnd"/>
      <w:r w:rsidRPr="00AA22C4">
        <w:rPr>
          <w:rFonts w:ascii="Lato" w:eastAsia="Times New Roman" w:hAnsi="Lato"/>
          <w:i/>
          <w:iCs/>
          <w:color w:val="000000" w:themeColor="text1"/>
          <w:sz w:val="22"/>
          <w:szCs w:val="22"/>
          <w:lang w:val="en" w:eastAsia="pl-PL"/>
        </w:rPr>
        <w:t>: 10.1038/s41436-019-0673-0.</w:t>
      </w:r>
      <w:r w:rsidRPr="00AA22C4">
        <w:rPr>
          <w:rFonts w:ascii="Lato" w:eastAsia="Times New Roman" w:hAnsi="Lato"/>
          <w:bCs/>
          <w:color w:val="000000" w:themeColor="text1"/>
          <w:sz w:val="22"/>
          <w:szCs w:val="22"/>
          <w:lang w:val="en" w:eastAsia="pl-PL"/>
        </w:rPr>
        <w:t xml:space="preserve"> Kariyawasam</w:t>
      </w:r>
      <w:r w:rsidRPr="00AA22C4">
        <w:rPr>
          <w:rFonts w:ascii="Lato" w:eastAsia="Times New Roman" w:hAnsi="Lato"/>
          <w:color w:val="000000" w:themeColor="text1"/>
          <w:sz w:val="22"/>
          <w:szCs w:val="22"/>
          <w:lang w:val="en" w:eastAsia="pl-PL"/>
        </w:rPr>
        <w:t xml:space="preserve"> DST, Russell JS, Wiley V </w:t>
      </w:r>
      <w:proofErr w:type="spellStart"/>
      <w:r w:rsidRPr="00AA22C4">
        <w:rPr>
          <w:rFonts w:ascii="Lato" w:eastAsia="Times New Roman" w:hAnsi="Lato"/>
          <w:color w:val="000000" w:themeColor="text1"/>
          <w:sz w:val="22"/>
          <w:szCs w:val="22"/>
          <w:lang w:val="en" w:eastAsia="pl-PL"/>
        </w:rPr>
        <w:t>i</w:t>
      </w:r>
      <w:proofErr w:type="spellEnd"/>
      <w:r w:rsidRPr="00AA22C4">
        <w:rPr>
          <w:rFonts w:ascii="Lato" w:eastAsia="Times New Roman" w:hAnsi="Lato"/>
          <w:color w:val="000000" w:themeColor="text1"/>
          <w:sz w:val="22"/>
          <w:szCs w:val="22"/>
          <w:lang w:val="en" w:eastAsia="pl-PL"/>
        </w:rPr>
        <w:t xml:space="preserve"> </w:t>
      </w:r>
      <w:proofErr w:type="spellStart"/>
      <w:r w:rsidRPr="00AA22C4">
        <w:rPr>
          <w:rFonts w:ascii="Lato" w:eastAsia="Times New Roman" w:hAnsi="Lato"/>
          <w:color w:val="000000" w:themeColor="text1"/>
          <w:sz w:val="22"/>
          <w:szCs w:val="22"/>
          <w:lang w:val="en" w:eastAsia="pl-PL"/>
        </w:rPr>
        <w:t>wsp</w:t>
      </w:r>
      <w:proofErr w:type="spellEnd"/>
      <w:r w:rsidRPr="00AA22C4">
        <w:rPr>
          <w:rFonts w:ascii="Lato" w:eastAsia="Times New Roman" w:hAnsi="Lato"/>
          <w:color w:val="000000" w:themeColor="text1"/>
          <w:sz w:val="22"/>
          <w:szCs w:val="22"/>
          <w:lang w:val="en" w:eastAsia="pl-PL"/>
        </w:rPr>
        <w:t xml:space="preserve">.: </w:t>
      </w:r>
      <w:hyperlink r:id="rId71" w:history="1">
        <w:r w:rsidRPr="00AA22C4">
          <w:rPr>
            <w:rFonts w:ascii="Lato" w:eastAsia="Times New Roman" w:hAnsi="Lato"/>
            <w:color w:val="000000" w:themeColor="text1"/>
            <w:sz w:val="22"/>
            <w:szCs w:val="22"/>
            <w:lang w:val="en" w:eastAsia="pl-PL"/>
          </w:rPr>
          <w:t>The implementation of newborn screening for spinal muscular atrophy: the Australian experience.</w:t>
        </w:r>
      </w:hyperlink>
      <w:r w:rsidRPr="00AA22C4">
        <w:rPr>
          <w:rFonts w:ascii="Lato" w:eastAsia="Times New Roman" w:hAnsi="Lato"/>
          <w:color w:val="000000" w:themeColor="text1"/>
          <w:sz w:val="22"/>
          <w:szCs w:val="22"/>
          <w:lang w:val="en" w:eastAsia="pl-PL"/>
        </w:rPr>
        <w:t xml:space="preserve"> </w:t>
      </w:r>
    </w:p>
    <w:p w14:paraId="5C38AC52" w14:textId="77777777" w:rsidR="005E347E" w:rsidRPr="00AA22C4" w:rsidRDefault="005E347E" w:rsidP="005E347E">
      <w:pPr>
        <w:pStyle w:val="Akapitzlist"/>
        <w:widowControl/>
        <w:numPr>
          <w:ilvl w:val="0"/>
          <w:numId w:val="3"/>
        </w:numPr>
        <w:suppressAutoHyphens w:val="0"/>
        <w:spacing w:after="160" w:line="360" w:lineRule="auto"/>
        <w:jc w:val="both"/>
        <w:rPr>
          <w:rFonts w:ascii="Lato" w:hAnsi="Lato"/>
          <w:color w:val="000000" w:themeColor="text1"/>
          <w:spacing w:val="-10"/>
          <w:kern w:val="22"/>
          <w:sz w:val="22"/>
          <w:szCs w:val="22"/>
          <w:lang w:val="en-US"/>
        </w:rPr>
      </w:pPr>
      <w:proofErr w:type="spellStart"/>
      <w:r w:rsidRPr="00AA22C4">
        <w:rPr>
          <w:rFonts w:ascii="Lato" w:hAnsi="Lato"/>
          <w:i/>
          <w:iCs/>
          <w:color w:val="000000" w:themeColor="text1"/>
          <w:spacing w:val="-10"/>
          <w:kern w:val="22"/>
          <w:sz w:val="22"/>
          <w:szCs w:val="22"/>
          <w:lang w:val="en-US"/>
        </w:rPr>
        <w:t>Orphanet</w:t>
      </w:r>
      <w:proofErr w:type="spellEnd"/>
      <w:r w:rsidRPr="00AA22C4">
        <w:rPr>
          <w:rFonts w:ascii="Lato" w:hAnsi="Lato"/>
          <w:i/>
          <w:iCs/>
          <w:color w:val="000000" w:themeColor="text1"/>
          <w:spacing w:val="-10"/>
          <w:kern w:val="22"/>
          <w:sz w:val="22"/>
          <w:szCs w:val="22"/>
          <w:lang w:val="en-US"/>
        </w:rPr>
        <w:t xml:space="preserve"> J Rare Dis 2016; 11:58. doi:10.1186/s13023-016-0424-0.</w:t>
      </w:r>
      <w:r w:rsidRPr="00AA22C4">
        <w:rPr>
          <w:rFonts w:ascii="Lato" w:hAnsi="Lato"/>
          <w:color w:val="000000" w:themeColor="text1"/>
          <w:spacing w:val="-10"/>
          <w:kern w:val="22"/>
          <w:sz w:val="22"/>
          <w:szCs w:val="22"/>
          <w:lang w:val="en-US"/>
        </w:rPr>
        <w:t xml:space="preserve"> Klug C, Schreiber-Katz O, Thiele S, Schorling E, </w:t>
      </w:r>
      <w:proofErr w:type="spellStart"/>
      <w:r w:rsidRPr="00AA22C4">
        <w:rPr>
          <w:rFonts w:ascii="Lato" w:hAnsi="Lato"/>
          <w:color w:val="000000" w:themeColor="text1"/>
          <w:spacing w:val="-10"/>
          <w:kern w:val="22"/>
          <w:sz w:val="22"/>
          <w:szCs w:val="22"/>
          <w:lang w:val="en-US"/>
        </w:rPr>
        <w:t>Zowe</w:t>
      </w:r>
      <w:proofErr w:type="spellEnd"/>
      <w:r w:rsidRPr="00AA22C4">
        <w:rPr>
          <w:rFonts w:ascii="Lato" w:hAnsi="Lato"/>
          <w:color w:val="000000" w:themeColor="text1"/>
          <w:spacing w:val="-10"/>
          <w:kern w:val="22"/>
          <w:sz w:val="22"/>
          <w:szCs w:val="22"/>
          <w:lang w:val="en-US"/>
        </w:rPr>
        <w:t xml:space="preserve"> J, Reilich P, et al. Disease burden of spinal muscular atrophy in Germany. </w:t>
      </w:r>
    </w:p>
    <w:p w14:paraId="0537BDC1" w14:textId="77777777" w:rsidR="005E347E" w:rsidRPr="00AA22C4" w:rsidRDefault="005E347E" w:rsidP="005E347E">
      <w:pPr>
        <w:pStyle w:val="Akapitzlist"/>
        <w:widowControl/>
        <w:numPr>
          <w:ilvl w:val="0"/>
          <w:numId w:val="3"/>
        </w:numPr>
        <w:shd w:val="clear" w:color="auto" w:fill="FFFFFF"/>
        <w:suppressAutoHyphens w:val="0"/>
        <w:spacing w:line="360" w:lineRule="auto"/>
        <w:jc w:val="both"/>
        <w:rPr>
          <w:rFonts w:ascii="Lato" w:eastAsia="Times New Roman" w:hAnsi="Lato"/>
          <w:color w:val="000000" w:themeColor="text1"/>
          <w:sz w:val="22"/>
          <w:szCs w:val="22"/>
          <w:lang w:val="en-US" w:eastAsia="pl-PL"/>
        </w:rPr>
      </w:pPr>
      <w:r w:rsidRPr="00AA22C4">
        <w:rPr>
          <w:rFonts w:ascii="Lato" w:eastAsia="Times New Roman" w:hAnsi="Lato"/>
          <w:i/>
          <w:iCs/>
          <w:color w:val="000000" w:themeColor="text1"/>
          <w:sz w:val="22"/>
          <w:szCs w:val="22"/>
          <w:lang w:val="en-US" w:eastAsia="pl-PL"/>
        </w:rPr>
        <w:t>Genet Med. 2018;20(6): 608-613.</w:t>
      </w:r>
      <w:r w:rsidRPr="00AA22C4">
        <w:rPr>
          <w:rFonts w:ascii="Lato" w:eastAsia="Times New Roman" w:hAnsi="Lato"/>
          <w:color w:val="000000" w:themeColor="text1"/>
          <w:sz w:val="22"/>
          <w:szCs w:val="22"/>
          <w:lang w:val="en-US" w:eastAsia="pl-PL"/>
        </w:rPr>
        <w:t xml:space="preserve"> </w:t>
      </w:r>
      <w:r w:rsidRPr="00AA22C4">
        <w:rPr>
          <w:rFonts w:ascii="Lato" w:eastAsia="Times New Roman" w:hAnsi="Lato"/>
          <w:color w:val="000000" w:themeColor="text1"/>
          <w:sz w:val="22"/>
          <w:szCs w:val="22"/>
          <w:lang w:val="en" w:eastAsia="pl-PL"/>
        </w:rPr>
        <w:t xml:space="preserve">Kraszewski JN, Kay DM, Stevens CF </w:t>
      </w:r>
      <w:proofErr w:type="spellStart"/>
      <w:r w:rsidRPr="00AA22C4">
        <w:rPr>
          <w:rFonts w:ascii="Lato" w:eastAsia="Times New Roman" w:hAnsi="Lato"/>
          <w:color w:val="000000" w:themeColor="text1"/>
          <w:sz w:val="22"/>
          <w:szCs w:val="22"/>
          <w:lang w:val="en-US" w:eastAsia="pl-PL"/>
        </w:rPr>
        <w:t>i</w:t>
      </w:r>
      <w:proofErr w:type="spellEnd"/>
      <w:r w:rsidRPr="00AA22C4">
        <w:rPr>
          <w:rFonts w:ascii="Lato" w:eastAsia="Times New Roman" w:hAnsi="Lato"/>
          <w:color w:val="000000" w:themeColor="text1"/>
          <w:sz w:val="22"/>
          <w:szCs w:val="22"/>
          <w:lang w:val="en-US" w:eastAsia="pl-PL"/>
        </w:rPr>
        <w:t xml:space="preserve"> </w:t>
      </w:r>
      <w:proofErr w:type="spellStart"/>
      <w:r w:rsidRPr="00AA22C4">
        <w:rPr>
          <w:rFonts w:ascii="Lato" w:eastAsia="Times New Roman" w:hAnsi="Lato"/>
          <w:color w:val="000000" w:themeColor="text1"/>
          <w:sz w:val="22"/>
          <w:szCs w:val="22"/>
          <w:lang w:val="en-US" w:eastAsia="pl-PL"/>
        </w:rPr>
        <w:t>wsp</w:t>
      </w:r>
      <w:proofErr w:type="spellEnd"/>
      <w:r w:rsidRPr="00AA22C4">
        <w:rPr>
          <w:rFonts w:ascii="Lato" w:eastAsia="Times New Roman" w:hAnsi="Lato"/>
          <w:color w:val="000000" w:themeColor="text1"/>
          <w:sz w:val="22"/>
          <w:szCs w:val="22"/>
          <w:lang w:val="en-US" w:eastAsia="pl-PL"/>
        </w:rPr>
        <w:t xml:space="preserve">.: </w:t>
      </w:r>
      <w:hyperlink r:id="rId72" w:history="1">
        <w:r w:rsidRPr="00AA22C4">
          <w:rPr>
            <w:rFonts w:ascii="Lato" w:eastAsia="Times New Roman" w:hAnsi="Lato"/>
            <w:color w:val="000000" w:themeColor="text1"/>
            <w:sz w:val="22"/>
            <w:szCs w:val="22"/>
            <w:lang w:val="en" w:eastAsia="pl-PL"/>
          </w:rPr>
          <w:t xml:space="preserve">Pilot study of population-based newborn screening for </w:t>
        </w:r>
        <w:r w:rsidRPr="00AA22C4">
          <w:rPr>
            <w:rFonts w:ascii="Lato" w:eastAsia="Times New Roman" w:hAnsi="Lato"/>
            <w:bCs/>
            <w:color w:val="000000" w:themeColor="text1"/>
            <w:sz w:val="22"/>
            <w:szCs w:val="22"/>
            <w:lang w:val="en" w:eastAsia="pl-PL"/>
          </w:rPr>
          <w:t>spinal muscular atrophy</w:t>
        </w:r>
        <w:r w:rsidRPr="00AA22C4">
          <w:rPr>
            <w:rFonts w:ascii="Lato" w:eastAsia="Times New Roman" w:hAnsi="Lato"/>
            <w:color w:val="000000" w:themeColor="text1"/>
            <w:sz w:val="22"/>
            <w:szCs w:val="22"/>
            <w:lang w:val="en" w:eastAsia="pl-PL"/>
          </w:rPr>
          <w:t xml:space="preserve"> in New York state.</w:t>
        </w:r>
      </w:hyperlink>
      <w:r w:rsidRPr="00AA22C4">
        <w:rPr>
          <w:rFonts w:ascii="Lato" w:eastAsia="Times New Roman" w:hAnsi="Lato"/>
          <w:color w:val="000000" w:themeColor="text1"/>
          <w:sz w:val="22"/>
          <w:szCs w:val="22"/>
          <w:lang w:val="en" w:eastAsia="pl-PL"/>
        </w:rPr>
        <w:t xml:space="preserve"> </w:t>
      </w:r>
    </w:p>
    <w:p w14:paraId="4677412C" w14:textId="77777777" w:rsidR="005E347E" w:rsidRPr="00AA22C4" w:rsidRDefault="005E347E" w:rsidP="005E347E">
      <w:pPr>
        <w:pStyle w:val="Akapitzlist"/>
        <w:numPr>
          <w:ilvl w:val="0"/>
          <w:numId w:val="3"/>
        </w:numPr>
        <w:suppressAutoHyphens w:val="0"/>
        <w:overflowPunct w:val="0"/>
        <w:autoSpaceDE w:val="0"/>
        <w:autoSpaceDN w:val="0"/>
        <w:adjustRightInd w:val="0"/>
        <w:spacing w:line="360" w:lineRule="auto"/>
        <w:jc w:val="both"/>
        <w:rPr>
          <w:rFonts w:ascii="Lato" w:eastAsia="Times New Roman" w:hAnsi="Lato"/>
          <w:color w:val="000000" w:themeColor="text1"/>
          <w:kern w:val="28"/>
          <w:sz w:val="22"/>
          <w:szCs w:val="22"/>
          <w:lang w:val="en-US" w:eastAsia="pl-PL"/>
        </w:rPr>
      </w:pPr>
      <w:r w:rsidRPr="00AA22C4">
        <w:rPr>
          <w:rFonts w:ascii="Lato" w:eastAsia="Times New Roman" w:hAnsi="Lato"/>
          <w:iCs/>
          <w:color w:val="000000" w:themeColor="text1"/>
          <w:kern w:val="28"/>
          <w:sz w:val="22"/>
          <w:szCs w:val="22"/>
          <w:lang w:val="en-US" w:eastAsia="pl-PL"/>
        </w:rPr>
        <w:t>Oskoui M, Darras BT, De Vivo</w:t>
      </w:r>
      <w:r w:rsidRPr="00AA22C4">
        <w:rPr>
          <w:rFonts w:ascii="Lato" w:eastAsia="Times New Roman" w:hAnsi="Lato"/>
          <w:color w:val="000000" w:themeColor="text1"/>
          <w:kern w:val="28"/>
          <w:sz w:val="22"/>
          <w:szCs w:val="22"/>
          <w:lang w:val="en-US" w:eastAsia="pl-PL"/>
        </w:rPr>
        <w:t xml:space="preserve"> </w:t>
      </w:r>
      <w:r w:rsidRPr="00AA22C4">
        <w:rPr>
          <w:rFonts w:ascii="Lato" w:eastAsia="Times New Roman" w:hAnsi="Lato"/>
          <w:iCs/>
          <w:color w:val="000000" w:themeColor="text1"/>
          <w:kern w:val="28"/>
          <w:sz w:val="22"/>
          <w:szCs w:val="22"/>
          <w:lang w:val="en-US" w:eastAsia="pl-PL"/>
        </w:rPr>
        <w:t xml:space="preserve">DC: </w:t>
      </w:r>
      <w:r w:rsidRPr="00AA22C4">
        <w:rPr>
          <w:rFonts w:ascii="Lato" w:eastAsia="Times New Roman" w:hAnsi="Lato"/>
          <w:color w:val="000000" w:themeColor="text1"/>
          <w:kern w:val="28"/>
          <w:sz w:val="22"/>
          <w:szCs w:val="22"/>
          <w:lang w:val="en-US" w:eastAsia="pl-PL"/>
        </w:rPr>
        <w:t xml:space="preserve">Spinal Muscular Atrophy: 125 Years Later and on the Verge of a Cure in Spinal Muscular Atrophy. W: Disease Mechanism and Therapy (Red. Sumner Ch. </w:t>
      </w:r>
      <w:proofErr w:type="spellStart"/>
      <w:r w:rsidRPr="00AA22C4">
        <w:rPr>
          <w:rFonts w:ascii="Lato" w:eastAsia="Times New Roman" w:hAnsi="Lato"/>
          <w:color w:val="000000" w:themeColor="text1"/>
          <w:kern w:val="28"/>
          <w:sz w:val="22"/>
          <w:szCs w:val="22"/>
          <w:lang w:val="en-US" w:eastAsia="pl-PL"/>
        </w:rPr>
        <w:t>Paushkin</w:t>
      </w:r>
      <w:proofErr w:type="spellEnd"/>
      <w:r w:rsidRPr="00AA22C4">
        <w:rPr>
          <w:rFonts w:ascii="Lato" w:eastAsia="Times New Roman" w:hAnsi="Lato"/>
          <w:color w:val="000000" w:themeColor="text1"/>
          <w:kern w:val="28"/>
          <w:sz w:val="22"/>
          <w:szCs w:val="22"/>
          <w:lang w:val="en-US" w:eastAsia="pl-PL"/>
        </w:rPr>
        <w:t xml:space="preserve"> S., Chien-Ping Ko). Elsevier 2018.</w:t>
      </w:r>
    </w:p>
    <w:p w14:paraId="680C0754" w14:textId="77777777" w:rsidR="005E347E" w:rsidRPr="00AA22C4" w:rsidRDefault="005E347E" w:rsidP="005E347E">
      <w:pPr>
        <w:pStyle w:val="Akapitzlist"/>
        <w:numPr>
          <w:ilvl w:val="0"/>
          <w:numId w:val="3"/>
        </w:numPr>
        <w:shd w:val="clear" w:color="auto" w:fill="FFFFFF"/>
        <w:suppressAutoHyphens w:val="0"/>
        <w:overflowPunct w:val="0"/>
        <w:adjustRightInd w:val="0"/>
        <w:spacing w:before="240" w:after="120" w:line="360" w:lineRule="auto"/>
        <w:jc w:val="both"/>
        <w:outlineLvl w:val="0"/>
        <w:rPr>
          <w:rFonts w:ascii="Lato" w:eastAsia="Times New Roman" w:hAnsi="Lato"/>
          <w:color w:val="000000" w:themeColor="text1"/>
          <w:kern w:val="28"/>
          <w:sz w:val="22"/>
          <w:szCs w:val="22"/>
          <w:lang w:val="en-US" w:eastAsia="pl-PL"/>
        </w:rPr>
      </w:pPr>
      <w:hyperlink r:id="rId73" w:tooltip="European journal of human genetics : EJHG." w:history="1">
        <w:proofErr w:type="spellStart"/>
        <w:r w:rsidRPr="00AA22C4">
          <w:rPr>
            <w:rFonts w:ascii="Lato" w:eastAsia="Times New Roman" w:hAnsi="Lato"/>
            <w:i/>
            <w:iCs/>
            <w:color w:val="000000" w:themeColor="text1"/>
            <w:kern w:val="28"/>
            <w:sz w:val="22"/>
            <w:szCs w:val="22"/>
            <w:lang w:val="en-US" w:eastAsia="pl-PL"/>
          </w:rPr>
          <w:t>Eur</w:t>
        </w:r>
        <w:proofErr w:type="spellEnd"/>
        <w:r w:rsidRPr="00AA22C4">
          <w:rPr>
            <w:rFonts w:ascii="Lato" w:eastAsia="Times New Roman" w:hAnsi="Lato"/>
            <w:i/>
            <w:iCs/>
            <w:color w:val="000000" w:themeColor="text1"/>
            <w:kern w:val="28"/>
            <w:sz w:val="22"/>
            <w:szCs w:val="22"/>
            <w:lang w:val="en-US" w:eastAsia="pl-PL"/>
          </w:rPr>
          <w:t xml:space="preserve"> J Hum Genet.</w:t>
        </w:r>
      </w:hyperlink>
      <w:r w:rsidRPr="00AA22C4">
        <w:rPr>
          <w:rFonts w:ascii="Lato" w:eastAsia="Times New Roman" w:hAnsi="Lato"/>
          <w:i/>
          <w:iCs/>
          <w:color w:val="000000" w:themeColor="text1"/>
          <w:kern w:val="28"/>
          <w:sz w:val="22"/>
          <w:szCs w:val="22"/>
          <w:lang w:val="en-US" w:eastAsia="pl-PL"/>
        </w:rPr>
        <w:t xml:space="preserve"> 2012; 20(1):27-32</w:t>
      </w:r>
      <w:r w:rsidRPr="00AA22C4">
        <w:rPr>
          <w:rFonts w:ascii="Lato" w:hAnsi="Lato"/>
          <w:color w:val="000000" w:themeColor="text1"/>
          <w:sz w:val="22"/>
          <w:szCs w:val="22"/>
          <w:lang w:val="en-US"/>
        </w:rPr>
        <w:t xml:space="preserve">. </w:t>
      </w:r>
      <w:hyperlink r:id="rId74" w:history="1">
        <w:r w:rsidRPr="00AA22C4">
          <w:rPr>
            <w:rFonts w:ascii="Lato" w:eastAsia="Times New Roman" w:hAnsi="Lato"/>
            <w:color w:val="000000" w:themeColor="text1"/>
            <w:kern w:val="28"/>
            <w:sz w:val="22"/>
            <w:szCs w:val="22"/>
            <w:lang w:val="en-US" w:eastAsia="pl-PL"/>
          </w:rPr>
          <w:t>Sugarman EA</w:t>
        </w:r>
      </w:hyperlink>
      <w:r w:rsidRPr="00AA22C4">
        <w:rPr>
          <w:rFonts w:ascii="Lato" w:eastAsia="Times New Roman" w:hAnsi="Lato"/>
          <w:color w:val="000000" w:themeColor="text1"/>
          <w:kern w:val="28"/>
          <w:sz w:val="22"/>
          <w:szCs w:val="22"/>
          <w:lang w:val="en-US" w:eastAsia="pl-PL"/>
        </w:rPr>
        <w:t xml:space="preserve">, </w:t>
      </w:r>
      <w:hyperlink r:id="rId75" w:history="1">
        <w:r w:rsidRPr="00AA22C4">
          <w:rPr>
            <w:rFonts w:ascii="Lato" w:eastAsia="Times New Roman" w:hAnsi="Lato"/>
            <w:color w:val="000000" w:themeColor="text1"/>
            <w:kern w:val="28"/>
            <w:sz w:val="22"/>
            <w:szCs w:val="22"/>
            <w:lang w:val="en-US" w:eastAsia="pl-PL"/>
          </w:rPr>
          <w:t>Nagan N</w:t>
        </w:r>
      </w:hyperlink>
      <w:r w:rsidRPr="00AA22C4">
        <w:rPr>
          <w:rFonts w:ascii="Lato" w:eastAsia="Times New Roman" w:hAnsi="Lato"/>
          <w:color w:val="000000" w:themeColor="text1"/>
          <w:kern w:val="28"/>
          <w:sz w:val="22"/>
          <w:szCs w:val="22"/>
          <w:lang w:val="en-US" w:eastAsia="pl-PL"/>
        </w:rPr>
        <w:t xml:space="preserve">, </w:t>
      </w:r>
      <w:hyperlink r:id="rId76" w:history="1">
        <w:r w:rsidRPr="00AA22C4">
          <w:rPr>
            <w:rFonts w:ascii="Lato" w:eastAsia="Times New Roman" w:hAnsi="Lato"/>
            <w:color w:val="000000" w:themeColor="text1"/>
            <w:kern w:val="28"/>
            <w:sz w:val="22"/>
            <w:szCs w:val="22"/>
            <w:lang w:val="en-US" w:eastAsia="pl-PL"/>
          </w:rPr>
          <w:t>Zhu H</w:t>
        </w:r>
      </w:hyperlink>
      <w:r w:rsidRPr="00AA22C4">
        <w:rPr>
          <w:rFonts w:ascii="Lato" w:eastAsia="Times New Roman" w:hAnsi="Lato"/>
          <w:color w:val="000000" w:themeColor="text1"/>
          <w:kern w:val="28"/>
          <w:sz w:val="22"/>
          <w:szCs w:val="22"/>
          <w:lang w:val="en-US" w:eastAsia="pl-PL"/>
        </w:rPr>
        <w:t xml:space="preserve">, </w:t>
      </w:r>
      <w:hyperlink r:id="rId77" w:history="1">
        <w:proofErr w:type="spellStart"/>
        <w:r w:rsidRPr="00AA22C4">
          <w:rPr>
            <w:rFonts w:ascii="Lato" w:eastAsia="Times New Roman" w:hAnsi="Lato"/>
            <w:color w:val="000000" w:themeColor="text1"/>
            <w:kern w:val="28"/>
            <w:sz w:val="22"/>
            <w:szCs w:val="22"/>
            <w:lang w:val="en-US" w:eastAsia="pl-PL"/>
          </w:rPr>
          <w:t>Akmaev</w:t>
        </w:r>
        <w:proofErr w:type="spellEnd"/>
        <w:r w:rsidRPr="00AA22C4">
          <w:rPr>
            <w:rFonts w:ascii="Lato" w:eastAsia="Times New Roman" w:hAnsi="Lato"/>
            <w:color w:val="000000" w:themeColor="text1"/>
            <w:kern w:val="28"/>
            <w:sz w:val="22"/>
            <w:szCs w:val="22"/>
            <w:lang w:val="en-US" w:eastAsia="pl-PL"/>
          </w:rPr>
          <w:t xml:space="preserve"> VR</w:t>
        </w:r>
      </w:hyperlink>
      <w:r w:rsidRPr="00AA22C4">
        <w:rPr>
          <w:rFonts w:ascii="Lato" w:eastAsia="Times New Roman" w:hAnsi="Lato"/>
          <w:color w:val="000000" w:themeColor="text1"/>
          <w:kern w:val="28"/>
          <w:sz w:val="22"/>
          <w:szCs w:val="22"/>
          <w:lang w:val="en-US" w:eastAsia="pl-PL"/>
        </w:rPr>
        <w:t xml:space="preserve"> </w:t>
      </w:r>
      <w:proofErr w:type="spellStart"/>
      <w:r w:rsidRPr="00AA22C4">
        <w:rPr>
          <w:rFonts w:ascii="Lato" w:eastAsia="Times New Roman" w:hAnsi="Lato"/>
          <w:color w:val="000000" w:themeColor="text1"/>
          <w:kern w:val="28"/>
          <w:sz w:val="22"/>
          <w:szCs w:val="22"/>
          <w:lang w:val="en-US" w:eastAsia="pl-PL"/>
        </w:rPr>
        <w:t>i</w:t>
      </w:r>
      <w:proofErr w:type="spellEnd"/>
      <w:r w:rsidRPr="00AA22C4">
        <w:rPr>
          <w:rFonts w:ascii="Lato" w:eastAsia="Times New Roman" w:hAnsi="Lato"/>
          <w:color w:val="000000" w:themeColor="text1"/>
          <w:kern w:val="28"/>
          <w:sz w:val="22"/>
          <w:szCs w:val="22"/>
          <w:lang w:val="en-US" w:eastAsia="pl-PL"/>
        </w:rPr>
        <w:t xml:space="preserve"> </w:t>
      </w:r>
      <w:proofErr w:type="spellStart"/>
      <w:r w:rsidRPr="00AA22C4">
        <w:rPr>
          <w:rFonts w:ascii="Lato" w:eastAsia="Times New Roman" w:hAnsi="Lato"/>
          <w:color w:val="000000" w:themeColor="text1"/>
          <w:kern w:val="28"/>
          <w:sz w:val="22"/>
          <w:szCs w:val="22"/>
          <w:lang w:val="en-US" w:eastAsia="pl-PL"/>
        </w:rPr>
        <w:t>wsp</w:t>
      </w:r>
      <w:proofErr w:type="spellEnd"/>
      <w:r w:rsidRPr="00AA22C4">
        <w:rPr>
          <w:rFonts w:ascii="Lato" w:eastAsia="Times New Roman" w:hAnsi="Lato"/>
          <w:color w:val="000000" w:themeColor="text1"/>
          <w:kern w:val="28"/>
          <w:sz w:val="22"/>
          <w:szCs w:val="22"/>
          <w:lang w:val="en-US" w:eastAsia="pl-PL"/>
        </w:rPr>
        <w:t xml:space="preserve">.: </w:t>
      </w:r>
      <w:r w:rsidRPr="00AA22C4">
        <w:rPr>
          <w:rFonts w:ascii="Lato" w:eastAsia="Times New Roman" w:hAnsi="Lato"/>
          <w:bCs/>
          <w:color w:val="000000" w:themeColor="text1"/>
          <w:kern w:val="36"/>
          <w:sz w:val="22"/>
          <w:szCs w:val="22"/>
          <w:lang w:val="en-US" w:eastAsia="pl-PL"/>
        </w:rPr>
        <w:lastRenderedPageBreak/>
        <w:t xml:space="preserve">Pan-ethnic carrier screening and prenatal diagnosis for spinal muscular atrophy: clinical laboratory analysis of  &gt;72,400  specimens. </w:t>
      </w:r>
    </w:p>
    <w:p w14:paraId="30821342" w14:textId="77777777" w:rsidR="005E347E" w:rsidRPr="00AA22C4" w:rsidRDefault="005E347E" w:rsidP="005E347E">
      <w:pPr>
        <w:pStyle w:val="Akapitzlist"/>
        <w:numPr>
          <w:ilvl w:val="0"/>
          <w:numId w:val="3"/>
        </w:numPr>
        <w:suppressAutoHyphens w:val="0"/>
        <w:overflowPunct w:val="0"/>
        <w:autoSpaceDE w:val="0"/>
        <w:autoSpaceDN w:val="0"/>
        <w:adjustRightInd w:val="0"/>
        <w:spacing w:line="360" w:lineRule="auto"/>
        <w:jc w:val="both"/>
        <w:rPr>
          <w:rFonts w:ascii="Lato" w:eastAsia="Times New Roman" w:hAnsi="Lato"/>
          <w:color w:val="000000" w:themeColor="text1"/>
          <w:kern w:val="28"/>
          <w:sz w:val="22"/>
          <w:szCs w:val="22"/>
          <w:lang w:val="en" w:eastAsia="pl-PL"/>
        </w:rPr>
      </w:pPr>
      <w:r w:rsidRPr="00AA22C4">
        <w:rPr>
          <w:rFonts w:ascii="Lato" w:eastAsia="Calibri" w:hAnsi="Lato"/>
          <w:i/>
          <w:iCs/>
          <w:color w:val="000000" w:themeColor="text1"/>
          <w:kern w:val="28"/>
          <w:sz w:val="22"/>
          <w:szCs w:val="22"/>
          <w:lang w:val="en-US" w:eastAsia="pl-PL"/>
        </w:rPr>
        <w:t>J Neurol. 2</w:t>
      </w:r>
      <w:r w:rsidRPr="00AA22C4">
        <w:rPr>
          <w:rFonts w:ascii="Lato" w:eastAsia="Times New Roman" w:hAnsi="Lato"/>
          <w:i/>
          <w:iCs/>
          <w:color w:val="000000" w:themeColor="text1"/>
          <w:kern w:val="28"/>
          <w:sz w:val="22"/>
          <w:szCs w:val="22"/>
          <w:lang w:val="en" w:eastAsia="pl-PL"/>
        </w:rPr>
        <w:t>017, 264(7),1465-73.</w:t>
      </w:r>
      <w:r w:rsidRPr="00AA22C4">
        <w:rPr>
          <w:rFonts w:ascii="Lato" w:eastAsia="Times New Roman" w:hAnsi="Lato"/>
          <w:color w:val="000000" w:themeColor="text1"/>
          <w:kern w:val="28"/>
          <w:sz w:val="22"/>
          <w:szCs w:val="22"/>
          <w:lang w:val="en" w:eastAsia="pl-PL"/>
        </w:rPr>
        <w:t xml:space="preserve"> </w:t>
      </w:r>
      <w:proofErr w:type="spellStart"/>
      <w:r w:rsidRPr="00AA22C4">
        <w:rPr>
          <w:rFonts w:ascii="Lato" w:eastAsia="Calibri" w:hAnsi="Lato"/>
          <w:color w:val="000000" w:themeColor="text1"/>
          <w:kern w:val="28"/>
          <w:sz w:val="22"/>
          <w:szCs w:val="22"/>
          <w:lang w:val="en-US" w:eastAsia="pl-PL"/>
        </w:rPr>
        <w:t>Verhaart</w:t>
      </w:r>
      <w:proofErr w:type="spellEnd"/>
      <w:r w:rsidRPr="00AA22C4">
        <w:rPr>
          <w:rFonts w:ascii="Lato" w:eastAsia="Calibri" w:hAnsi="Lato"/>
          <w:color w:val="000000" w:themeColor="text1"/>
          <w:kern w:val="28"/>
          <w:sz w:val="22"/>
          <w:szCs w:val="22"/>
          <w:lang w:val="en-US" w:eastAsia="pl-PL"/>
        </w:rPr>
        <w:t xml:space="preserve"> IE, Robertson A, Leary R </w:t>
      </w:r>
      <w:proofErr w:type="spellStart"/>
      <w:r w:rsidRPr="00AA22C4">
        <w:rPr>
          <w:rFonts w:ascii="Lato" w:eastAsia="Times New Roman" w:hAnsi="Lato"/>
          <w:color w:val="000000" w:themeColor="text1"/>
          <w:kern w:val="28"/>
          <w:sz w:val="22"/>
          <w:szCs w:val="22"/>
          <w:lang w:val="en-US" w:eastAsia="pl-PL"/>
        </w:rPr>
        <w:t>i</w:t>
      </w:r>
      <w:proofErr w:type="spellEnd"/>
      <w:r w:rsidRPr="00AA22C4">
        <w:rPr>
          <w:rFonts w:ascii="Lato" w:eastAsia="Times New Roman" w:hAnsi="Lato"/>
          <w:color w:val="000000" w:themeColor="text1"/>
          <w:kern w:val="28"/>
          <w:sz w:val="22"/>
          <w:szCs w:val="22"/>
          <w:lang w:val="en-US" w:eastAsia="pl-PL"/>
        </w:rPr>
        <w:t xml:space="preserve"> </w:t>
      </w:r>
      <w:proofErr w:type="spellStart"/>
      <w:r w:rsidRPr="00AA22C4">
        <w:rPr>
          <w:rFonts w:ascii="Lato" w:eastAsia="Times New Roman" w:hAnsi="Lato"/>
          <w:color w:val="000000" w:themeColor="text1"/>
          <w:kern w:val="28"/>
          <w:sz w:val="22"/>
          <w:szCs w:val="22"/>
          <w:lang w:val="en-US" w:eastAsia="pl-PL"/>
        </w:rPr>
        <w:t>wsp</w:t>
      </w:r>
      <w:proofErr w:type="spellEnd"/>
      <w:r w:rsidRPr="00AA22C4">
        <w:rPr>
          <w:rFonts w:ascii="Lato" w:eastAsia="Times New Roman" w:hAnsi="Lato"/>
          <w:color w:val="000000" w:themeColor="text1"/>
          <w:kern w:val="28"/>
          <w:sz w:val="22"/>
          <w:szCs w:val="22"/>
          <w:lang w:val="en-US" w:eastAsia="pl-PL"/>
        </w:rPr>
        <w:t>.</w:t>
      </w:r>
      <w:r w:rsidRPr="00AA22C4">
        <w:rPr>
          <w:rFonts w:ascii="Lato" w:eastAsia="Calibri" w:hAnsi="Lato"/>
          <w:color w:val="000000" w:themeColor="text1"/>
          <w:kern w:val="28"/>
          <w:sz w:val="22"/>
          <w:szCs w:val="22"/>
          <w:lang w:val="en-US" w:eastAsia="pl-PL"/>
        </w:rPr>
        <w:t xml:space="preserve">: A multi-source approach to determine SMA incidence and research ready population. </w:t>
      </w:r>
    </w:p>
    <w:p w14:paraId="09299A7B" w14:textId="77777777" w:rsidR="005E347E" w:rsidRPr="00AA22C4" w:rsidRDefault="005E347E" w:rsidP="005E347E">
      <w:pPr>
        <w:pStyle w:val="Akapitzlist"/>
        <w:numPr>
          <w:ilvl w:val="0"/>
          <w:numId w:val="3"/>
        </w:numPr>
        <w:shd w:val="clear" w:color="auto" w:fill="FFFFFF"/>
        <w:suppressAutoHyphens w:val="0"/>
        <w:overflowPunct w:val="0"/>
        <w:adjustRightInd w:val="0"/>
        <w:spacing w:before="240" w:after="120" w:line="360" w:lineRule="auto"/>
        <w:jc w:val="both"/>
        <w:outlineLvl w:val="0"/>
        <w:rPr>
          <w:rFonts w:ascii="Lato" w:eastAsia="Times New Roman" w:hAnsi="Lato"/>
          <w:color w:val="000000" w:themeColor="text1"/>
          <w:kern w:val="28"/>
          <w:sz w:val="22"/>
          <w:szCs w:val="22"/>
          <w:lang w:val="en-US" w:eastAsia="pl-PL"/>
        </w:rPr>
      </w:pPr>
      <w:hyperlink r:id="rId78" w:tooltip="Journal of neuromuscular diseases." w:history="1">
        <w:r w:rsidRPr="00AA22C4">
          <w:rPr>
            <w:rFonts w:ascii="Lato" w:eastAsia="Times New Roman" w:hAnsi="Lato"/>
            <w:i/>
            <w:iCs/>
            <w:color w:val="000000" w:themeColor="text1"/>
            <w:kern w:val="28"/>
            <w:sz w:val="22"/>
            <w:szCs w:val="22"/>
            <w:lang w:val="en" w:eastAsia="pl-PL"/>
          </w:rPr>
          <w:t xml:space="preserve">J. </w:t>
        </w:r>
        <w:proofErr w:type="spellStart"/>
        <w:r w:rsidRPr="00AA22C4">
          <w:rPr>
            <w:rFonts w:ascii="Lato" w:eastAsia="Times New Roman" w:hAnsi="Lato"/>
            <w:i/>
            <w:iCs/>
            <w:color w:val="000000" w:themeColor="text1"/>
            <w:kern w:val="28"/>
            <w:sz w:val="22"/>
            <w:szCs w:val="22"/>
            <w:lang w:val="en" w:eastAsia="pl-PL"/>
          </w:rPr>
          <w:t>Neuromuscul</w:t>
        </w:r>
        <w:proofErr w:type="spellEnd"/>
        <w:r w:rsidRPr="00AA22C4">
          <w:rPr>
            <w:rFonts w:ascii="Lato" w:eastAsia="Times New Roman" w:hAnsi="Lato"/>
            <w:i/>
            <w:iCs/>
            <w:color w:val="000000" w:themeColor="text1"/>
            <w:kern w:val="28"/>
            <w:sz w:val="22"/>
            <w:szCs w:val="22"/>
            <w:lang w:val="en" w:eastAsia="pl-PL"/>
          </w:rPr>
          <w:t>. Dis.</w:t>
        </w:r>
      </w:hyperlink>
      <w:r w:rsidRPr="00AA22C4">
        <w:rPr>
          <w:rFonts w:ascii="Lato" w:eastAsia="Times New Roman" w:hAnsi="Lato"/>
          <w:i/>
          <w:iCs/>
          <w:color w:val="000000" w:themeColor="text1"/>
          <w:kern w:val="28"/>
          <w:sz w:val="22"/>
          <w:szCs w:val="22"/>
          <w:lang w:val="en" w:eastAsia="pl-PL"/>
        </w:rPr>
        <w:t xml:space="preserve"> 2019, 6(4), 503-515. </w:t>
      </w:r>
      <w:hyperlink r:id="rId79" w:history="1">
        <w:r w:rsidRPr="00AA22C4">
          <w:rPr>
            <w:rFonts w:ascii="Lato" w:eastAsia="Times New Roman" w:hAnsi="Lato"/>
            <w:color w:val="000000" w:themeColor="text1"/>
            <w:kern w:val="28"/>
            <w:sz w:val="22"/>
            <w:szCs w:val="22"/>
            <w:lang w:val="en" w:eastAsia="pl-PL"/>
          </w:rPr>
          <w:t>Vill K</w:t>
        </w:r>
      </w:hyperlink>
      <w:r w:rsidRPr="00AA22C4">
        <w:rPr>
          <w:rFonts w:ascii="Lato" w:eastAsia="Times New Roman" w:hAnsi="Lato"/>
          <w:color w:val="000000" w:themeColor="text1"/>
          <w:kern w:val="28"/>
          <w:sz w:val="22"/>
          <w:szCs w:val="22"/>
          <w:lang w:val="en" w:eastAsia="pl-PL"/>
        </w:rPr>
        <w:t xml:space="preserve">, </w:t>
      </w:r>
      <w:hyperlink r:id="rId80" w:history="1">
        <w:r w:rsidRPr="00AA22C4">
          <w:rPr>
            <w:rFonts w:ascii="Lato" w:eastAsia="Times New Roman" w:hAnsi="Lato"/>
            <w:color w:val="000000" w:themeColor="text1"/>
            <w:kern w:val="28"/>
            <w:sz w:val="22"/>
            <w:szCs w:val="22"/>
            <w:lang w:val="en" w:eastAsia="pl-PL"/>
          </w:rPr>
          <w:t>Kölbel H</w:t>
        </w:r>
      </w:hyperlink>
      <w:r w:rsidRPr="00AA22C4">
        <w:rPr>
          <w:rFonts w:ascii="Lato" w:eastAsia="Times New Roman" w:hAnsi="Lato"/>
          <w:color w:val="000000" w:themeColor="text1"/>
          <w:kern w:val="28"/>
          <w:sz w:val="22"/>
          <w:szCs w:val="22"/>
          <w:lang w:val="en" w:eastAsia="pl-PL"/>
        </w:rPr>
        <w:t xml:space="preserve">, </w:t>
      </w:r>
      <w:hyperlink r:id="rId81" w:history="1">
        <w:r w:rsidRPr="00AA22C4">
          <w:rPr>
            <w:rFonts w:ascii="Lato" w:eastAsia="Times New Roman" w:hAnsi="Lato"/>
            <w:color w:val="000000" w:themeColor="text1"/>
            <w:kern w:val="28"/>
            <w:sz w:val="22"/>
            <w:szCs w:val="22"/>
            <w:lang w:val="en" w:eastAsia="pl-PL"/>
          </w:rPr>
          <w:t>Schwartz O</w:t>
        </w:r>
      </w:hyperlink>
      <w:r w:rsidRPr="00AA22C4">
        <w:rPr>
          <w:rFonts w:ascii="Lato" w:eastAsia="Times New Roman" w:hAnsi="Lato"/>
          <w:color w:val="000000" w:themeColor="text1"/>
          <w:kern w:val="28"/>
          <w:sz w:val="22"/>
          <w:szCs w:val="22"/>
          <w:lang w:val="en" w:eastAsia="pl-PL"/>
        </w:rPr>
        <w:t xml:space="preserve"> </w:t>
      </w:r>
      <w:proofErr w:type="spellStart"/>
      <w:r w:rsidRPr="00AA22C4">
        <w:rPr>
          <w:rFonts w:ascii="Lato" w:eastAsia="Times New Roman" w:hAnsi="Lato"/>
          <w:color w:val="000000" w:themeColor="text1"/>
          <w:kern w:val="28"/>
          <w:sz w:val="22"/>
          <w:szCs w:val="22"/>
          <w:lang w:val="en" w:eastAsia="pl-PL"/>
        </w:rPr>
        <w:t>i</w:t>
      </w:r>
      <w:proofErr w:type="spellEnd"/>
      <w:r w:rsidRPr="00AA22C4">
        <w:rPr>
          <w:rFonts w:ascii="Lato" w:eastAsia="Times New Roman" w:hAnsi="Lato"/>
          <w:color w:val="000000" w:themeColor="text1"/>
          <w:kern w:val="28"/>
          <w:sz w:val="22"/>
          <w:szCs w:val="22"/>
          <w:lang w:val="en" w:eastAsia="pl-PL"/>
        </w:rPr>
        <w:t xml:space="preserve"> </w:t>
      </w:r>
      <w:proofErr w:type="spellStart"/>
      <w:r w:rsidRPr="00AA22C4">
        <w:rPr>
          <w:rFonts w:ascii="Lato" w:eastAsia="Times New Roman" w:hAnsi="Lato"/>
          <w:color w:val="000000" w:themeColor="text1"/>
          <w:kern w:val="28"/>
          <w:sz w:val="22"/>
          <w:szCs w:val="22"/>
          <w:lang w:val="en" w:eastAsia="pl-PL"/>
        </w:rPr>
        <w:t>wsp</w:t>
      </w:r>
      <w:proofErr w:type="spellEnd"/>
      <w:r w:rsidRPr="00AA22C4">
        <w:rPr>
          <w:rFonts w:ascii="Lato" w:eastAsia="Times New Roman" w:hAnsi="Lato"/>
          <w:color w:val="000000" w:themeColor="text1"/>
          <w:kern w:val="28"/>
          <w:sz w:val="22"/>
          <w:szCs w:val="22"/>
          <w:lang w:val="en" w:eastAsia="pl-PL"/>
        </w:rPr>
        <w:t xml:space="preserve">.: </w:t>
      </w:r>
      <w:r w:rsidRPr="00AA22C4">
        <w:rPr>
          <w:rFonts w:ascii="Lato" w:eastAsia="Times New Roman" w:hAnsi="Lato"/>
          <w:bCs/>
          <w:color w:val="000000" w:themeColor="text1"/>
          <w:kern w:val="36"/>
          <w:sz w:val="22"/>
          <w:szCs w:val="22"/>
          <w:lang w:val="en" w:eastAsia="pl-PL"/>
        </w:rPr>
        <w:t xml:space="preserve">One Year of Newborn Screening for SMA - Results of a German Pilot Project. </w:t>
      </w:r>
    </w:p>
    <w:p w14:paraId="1C180972" w14:textId="77777777" w:rsidR="005E347E" w:rsidRPr="00AA22C4" w:rsidRDefault="005E347E" w:rsidP="005E347E">
      <w:pPr>
        <w:pStyle w:val="Akapitzlist"/>
        <w:numPr>
          <w:ilvl w:val="0"/>
          <w:numId w:val="3"/>
        </w:numPr>
        <w:suppressAutoHyphens w:val="0"/>
        <w:overflowPunct w:val="0"/>
        <w:autoSpaceDE w:val="0"/>
        <w:autoSpaceDN w:val="0"/>
        <w:adjustRightInd w:val="0"/>
        <w:spacing w:line="360" w:lineRule="auto"/>
        <w:jc w:val="both"/>
        <w:rPr>
          <w:rFonts w:ascii="Lato" w:eastAsia="Times New Roman" w:hAnsi="Lato"/>
          <w:color w:val="000000" w:themeColor="text1"/>
          <w:kern w:val="28"/>
          <w:sz w:val="22"/>
          <w:szCs w:val="22"/>
          <w:lang w:val="en" w:eastAsia="pl-PL"/>
        </w:rPr>
      </w:pPr>
      <w:hyperlink r:id="rId82" w:tooltip="Current treatment options in neurology." w:history="1">
        <w:r w:rsidRPr="00AA22C4">
          <w:rPr>
            <w:rFonts w:ascii="Lato" w:eastAsia="Times New Roman" w:hAnsi="Lato"/>
            <w:i/>
            <w:iCs/>
            <w:color w:val="000000" w:themeColor="text1"/>
            <w:kern w:val="28"/>
            <w:sz w:val="22"/>
            <w:szCs w:val="22"/>
            <w:lang w:val="en" w:eastAsia="pl-PL"/>
          </w:rPr>
          <w:t>Curr Treat Options Neurol.</w:t>
        </w:r>
      </w:hyperlink>
      <w:r w:rsidRPr="00AA22C4">
        <w:rPr>
          <w:rFonts w:ascii="Lato" w:eastAsia="Times New Roman" w:hAnsi="Lato"/>
          <w:i/>
          <w:iCs/>
          <w:color w:val="000000" w:themeColor="text1"/>
          <w:kern w:val="28"/>
          <w:sz w:val="22"/>
          <w:szCs w:val="22"/>
          <w:lang w:val="en" w:eastAsia="pl-PL"/>
        </w:rPr>
        <w:t xml:space="preserve"> 2019; 21(6):25. </w:t>
      </w:r>
      <w:hyperlink r:id="rId83" w:history="1">
        <w:r w:rsidRPr="00AA22C4">
          <w:rPr>
            <w:rFonts w:ascii="Lato" w:eastAsia="Times New Roman" w:hAnsi="Lato"/>
            <w:color w:val="000000" w:themeColor="text1"/>
            <w:kern w:val="28"/>
            <w:sz w:val="22"/>
            <w:szCs w:val="22"/>
            <w:lang w:val="en" w:eastAsia="pl-PL"/>
          </w:rPr>
          <w:t>Waldrop MA</w:t>
        </w:r>
      </w:hyperlink>
      <w:r w:rsidRPr="00AA22C4">
        <w:rPr>
          <w:rFonts w:ascii="Lato" w:eastAsia="Times New Roman" w:hAnsi="Lato"/>
          <w:color w:val="000000" w:themeColor="text1"/>
          <w:kern w:val="28"/>
          <w:sz w:val="22"/>
          <w:szCs w:val="22"/>
          <w:lang w:val="en" w:eastAsia="pl-PL"/>
        </w:rPr>
        <w:t xml:space="preserve">, </w:t>
      </w:r>
      <w:hyperlink r:id="rId84" w:history="1">
        <w:r w:rsidRPr="00AA22C4">
          <w:rPr>
            <w:rFonts w:ascii="Lato" w:eastAsia="Times New Roman" w:hAnsi="Lato"/>
            <w:color w:val="000000" w:themeColor="text1"/>
            <w:kern w:val="28"/>
            <w:sz w:val="22"/>
            <w:szCs w:val="22"/>
            <w:lang w:val="en" w:eastAsia="pl-PL"/>
          </w:rPr>
          <w:t>Kolb SJ</w:t>
        </w:r>
      </w:hyperlink>
      <w:r w:rsidRPr="00AA22C4">
        <w:rPr>
          <w:rFonts w:ascii="Lato" w:eastAsia="Times New Roman" w:hAnsi="Lato"/>
          <w:color w:val="000000" w:themeColor="text1"/>
          <w:kern w:val="28"/>
          <w:sz w:val="22"/>
          <w:szCs w:val="22"/>
          <w:lang w:val="en" w:eastAsia="pl-PL"/>
        </w:rPr>
        <w:t xml:space="preserve">.: Current Treatment Options in Neurology-SMA Therapeutics. </w:t>
      </w:r>
    </w:p>
    <w:p w14:paraId="612F2D0F" w14:textId="77777777" w:rsidR="005E347E" w:rsidRPr="00AA22C4" w:rsidRDefault="005E347E" w:rsidP="005E347E">
      <w:pPr>
        <w:pStyle w:val="Akapitzlist"/>
        <w:widowControl/>
        <w:numPr>
          <w:ilvl w:val="0"/>
          <w:numId w:val="3"/>
        </w:numPr>
        <w:suppressAutoHyphens w:val="0"/>
        <w:spacing w:after="240" w:line="360" w:lineRule="auto"/>
        <w:ind w:right="-1"/>
        <w:jc w:val="both"/>
        <w:rPr>
          <w:rFonts w:ascii="Lato" w:hAnsi="Lato"/>
          <w:color w:val="000000" w:themeColor="text1"/>
          <w:spacing w:val="-8"/>
          <w:kern w:val="22"/>
          <w:sz w:val="22"/>
          <w:szCs w:val="22"/>
          <w:lang w:val="en-GB"/>
        </w:rPr>
      </w:pPr>
      <w:r w:rsidRPr="00AA22C4">
        <w:rPr>
          <w:rStyle w:val="reference-text"/>
          <w:rFonts w:ascii="Lato" w:hAnsi="Lato"/>
          <w:color w:val="000000" w:themeColor="text1"/>
          <w:spacing w:val="-8"/>
          <w:kern w:val="22"/>
          <w:sz w:val="22"/>
          <w:szCs w:val="22"/>
          <w:lang w:val="en-GB"/>
        </w:rPr>
        <w:t xml:space="preserve">Wilson, JM, Junger, G. </w:t>
      </w:r>
      <w:r w:rsidRPr="00AA22C4">
        <w:rPr>
          <w:rStyle w:val="reference-text"/>
          <w:rFonts w:ascii="Lato" w:hAnsi="Lato"/>
          <w:iCs/>
          <w:color w:val="000000" w:themeColor="text1"/>
          <w:spacing w:val="-8"/>
          <w:kern w:val="22"/>
          <w:sz w:val="22"/>
          <w:szCs w:val="22"/>
          <w:lang w:val="en-GB"/>
        </w:rPr>
        <w:t>Principles and Practice of Screening for Disease</w:t>
      </w:r>
      <w:r w:rsidRPr="00AA22C4">
        <w:rPr>
          <w:rStyle w:val="reference-text"/>
          <w:rFonts w:ascii="Lato" w:hAnsi="Lato"/>
          <w:color w:val="000000" w:themeColor="text1"/>
          <w:spacing w:val="-8"/>
          <w:kern w:val="22"/>
          <w:sz w:val="22"/>
          <w:szCs w:val="22"/>
          <w:lang w:val="en-GB"/>
        </w:rPr>
        <w:t>, Genewa, WHO, 1968</w:t>
      </w:r>
    </w:p>
    <w:p w14:paraId="69E07FB3" w14:textId="77777777" w:rsidR="005E347E" w:rsidRPr="00AA22C4" w:rsidRDefault="005E347E" w:rsidP="005E347E">
      <w:pPr>
        <w:pStyle w:val="Akapitzlist"/>
        <w:numPr>
          <w:ilvl w:val="0"/>
          <w:numId w:val="3"/>
        </w:numPr>
        <w:suppressAutoHyphens w:val="0"/>
        <w:overflowPunct w:val="0"/>
        <w:adjustRightInd w:val="0"/>
        <w:spacing w:line="360" w:lineRule="auto"/>
        <w:jc w:val="both"/>
        <w:rPr>
          <w:rFonts w:ascii="Lato" w:eastAsia="Times New Roman" w:hAnsi="Lato"/>
          <w:color w:val="000000" w:themeColor="text1"/>
          <w:kern w:val="28"/>
          <w:sz w:val="22"/>
          <w:szCs w:val="22"/>
          <w:lang w:val="en-US" w:eastAsia="pl-PL"/>
        </w:rPr>
      </w:pPr>
      <w:r w:rsidRPr="00AA22C4">
        <w:rPr>
          <w:rFonts w:ascii="Lato" w:eastAsia="Times New Roman" w:hAnsi="Lato"/>
          <w:i/>
          <w:iCs/>
          <w:color w:val="000000" w:themeColor="text1"/>
          <w:kern w:val="28"/>
          <w:sz w:val="22"/>
          <w:szCs w:val="22"/>
          <w:lang w:val="en-US" w:eastAsia="pl-PL"/>
        </w:rPr>
        <w:t>J Neurol Sci. 1997; 146(1): 67-72</w:t>
      </w:r>
      <w:r w:rsidRPr="00AA22C4">
        <w:rPr>
          <w:rFonts w:ascii="Lato" w:eastAsia="Times New Roman" w:hAnsi="Lato"/>
          <w:color w:val="000000" w:themeColor="text1"/>
          <w:kern w:val="28"/>
          <w:sz w:val="22"/>
          <w:szCs w:val="22"/>
          <w:lang w:val="en-US" w:eastAsia="pl-PL"/>
        </w:rPr>
        <w:t xml:space="preserve">. </w:t>
      </w:r>
      <w:proofErr w:type="spellStart"/>
      <w:r w:rsidRPr="00AA22C4">
        <w:rPr>
          <w:rFonts w:ascii="Lato" w:eastAsia="Times New Roman" w:hAnsi="Lato"/>
          <w:color w:val="000000" w:themeColor="text1"/>
          <w:kern w:val="28"/>
          <w:sz w:val="22"/>
          <w:szCs w:val="22"/>
          <w:lang w:val="en-US" w:eastAsia="pl-PL"/>
        </w:rPr>
        <w:t>Zerres</w:t>
      </w:r>
      <w:proofErr w:type="spellEnd"/>
      <w:r w:rsidRPr="00AA22C4">
        <w:rPr>
          <w:rFonts w:ascii="Lato" w:eastAsia="Times New Roman" w:hAnsi="Lato"/>
          <w:color w:val="000000" w:themeColor="text1"/>
          <w:kern w:val="28"/>
          <w:sz w:val="22"/>
          <w:szCs w:val="22"/>
          <w:lang w:val="en-US" w:eastAsia="pl-PL"/>
        </w:rPr>
        <w:t xml:space="preserve"> K, Rudnik-</w:t>
      </w:r>
      <w:proofErr w:type="spellStart"/>
      <w:r w:rsidRPr="00AA22C4">
        <w:rPr>
          <w:rFonts w:ascii="Lato" w:eastAsia="Times New Roman" w:hAnsi="Lato"/>
          <w:color w:val="000000" w:themeColor="text1"/>
          <w:kern w:val="28"/>
          <w:sz w:val="22"/>
          <w:szCs w:val="22"/>
          <w:lang w:val="en-US" w:eastAsia="pl-PL"/>
        </w:rPr>
        <w:t>Schöneborn</w:t>
      </w:r>
      <w:proofErr w:type="spellEnd"/>
      <w:r w:rsidRPr="00AA22C4">
        <w:rPr>
          <w:rFonts w:ascii="Lato" w:eastAsia="Times New Roman" w:hAnsi="Lato"/>
          <w:color w:val="000000" w:themeColor="text1"/>
          <w:kern w:val="28"/>
          <w:sz w:val="22"/>
          <w:szCs w:val="22"/>
          <w:lang w:val="en-US" w:eastAsia="pl-PL"/>
        </w:rPr>
        <w:t xml:space="preserve"> S, Forrest E </w:t>
      </w:r>
      <w:proofErr w:type="spellStart"/>
      <w:r w:rsidRPr="00AA22C4">
        <w:rPr>
          <w:rFonts w:ascii="Lato" w:eastAsia="Times New Roman" w:hAnsi="Lato"/>
          <w:color w:val="000000" w:themeColor="text1"/>
          <w:kern w:val="28"/>
          <w:sz w:val="22"/>
          <w:szCs w:val="22"/>
          <w:lang w:val="en-US" w:eastAsia="pl-PL"/>
        </w:rPr>
        <w:t>i</w:t>
      </w:r>
      <w:proofErr w:type="spellEnd"/>
      <w:r w:rsidRPr="00AA22C4">
        <w:rPr>
          <w:rFonts w:ascii="Lato" w:eastAsia="Times New Roman" w:hAnsi="Lato"/>
          <w:color w:val="000000" w:themeColor="text1"/>
          <w:kern w:val="28"/>
          <w:sz w:val="22"/>
          <w:szCs w:val="22"/>
          <w:lang w:val="en-US" w:eastAsia="pl-PL"/>
        </w:rPr>
        <w:t xml:space="preserve"> </w:t>
      </w:r>
      <w:proofErr w:type="spellStart"/>
      <w:r w:rsidRPr="00AA22C4">
        <w:rPr>
          <w:rFonts w:ascii="Lato" w:eastAsia="Times New Roman" w:hAnsi="Lato"/>
          <w:color w:val="000000" w:themeColor="text1"/>
          <w:kern w:val="28"/>
          <w:sz w:val="22"/>
          <w:szCs w:val="22"/>
          <w:lang w:val="en-US" w:eastAsia="pl-PL"/>
        </w:rPr>
        <w:t>wsp</w:t>
      </w:r>
      <w:proofErr w:type="spellEnd"/>
      <w:proofErr w:type="gramStart"/>
      <w:r w:rsidRPr="00AA22C4">
        <w:rPr>
          <w:rFonts w:ascii="Lato" w:eastAsia="Times New Roman" w:hAnsi="Lato"/>
          <w:color w:val="000000" w:themeColor="text1"/>
          <w:kern w:val="28"/>
          <w:sz w:val="22"/>
          <w:szCs w:val="22"/>
          <w:lang w:val="en-US" w:eastAsia="pl-PL"/>
        </w:rPr>
        <w:t>. :</w:t>
      </w:r>
      <w:proofErr w:type="gramEnd"/>
      <w:r w:rsidRPr="00AA22C4">
        <w:rPr>
          <w:rFonts w:ascii="Lato" w:eastAsia="Times New Roman" w:hAnsi="Lato"/>
          <w:color w:val="000000" w:themeColor="text1"/>
          <w:kern w:val="28"/>
          <w:sz w:val="22"/>
          <w:szCs w:val="22"/>
          <w:lang w:val="en-US" w:eastAsia="pl-PL"/>
        </w:rPr>
        <w:t xml:space="preserve"> A collaborative study on the natural history of childhood and juvenile onset proximal spinal muscular atrophy (type II and III): 569 patients. </w:t>
      </w:r>
    </w:p>
    <w:p w14:paraId="648FDB67" w14:textId="77777777" w:rsidR="005E347E" w:rsidRPr="00AA22C4" w:rsidRDefault="005E347E" w:rsidP="005E347E">
      <w:pPr>
        <w:pStyle w:val="Akapitzlist"/>
        <w:widowControl/>
        <w:numPr>
          <w:ilvl w:val="0"/>
          <w:numId w:val="3"/>
        </w:numPr>
        <w:shd w:val="clear" w:color="auto" w:fill="FFFFFF"/>
        <w:suppressAutoHyphens w:val="0"/>
        <w:spacing w:line="360" w:lineRule="auto"/>
        <w:jc w:val="both"/>
        <w:rPr>
          <w:rFonts w:ascii="Lato" w:eastAsia="Times New Roman" w:hAnsi="Lato"/>
          <w:color w:val="000000" w:themeColor="text1"/>
          <w:sz w:val="22"/>
          <w:szCs w:val="22"/>
          <w:lang w:val="en-US" w:eastAsia="pl-PL"/>
        </w:rPr>
      </w:pPr>
      <w:r w:rsidRPr="00AA22C4">
        <w:rPr>
          <w:rFonts w:ascii="Lato" w:eastAsia="Times New Roman" w:hAnsi="Lato"/>
          <w:color w:val="000000" w:themeColor="text1"/>
          <w:sz w:val="22"/>
          <w:szCs w:val="22"/>
          <w:lang w:val="en-US" w:eastAsia="pl-PL"/>
        </w:rPr>
        <w:t>https://clinicaltrials.gov/ct2/show/NCT03554343</w:t>
      </w:r>
    </w:p>
    <w:p w14:paraId="7DE0F567" w14:textId="77777777" w:rsidR="005E347E" w:rsidRPr="00AA22C4" w:rsidRDefault="005E347E" w:rsidP="005E347E">
      <w:pPr>
        <w:pStyle w:val="Akapitzlist"/>
        <w:widowControl/>
        <w:numPr>
          <w:ilvl w:val="0"/>
          <w:numId w:val="3"/>
        </w:numPr>
        <w:shd w:val="clear" w:color="auto" w:fill="FFFFFF"/>
        <w:suppressAutoHyphens w:val="0"/>
        <w:spacing w:line="360" w:lineRule="auto"/>
        <w:jc w:val="both"/>
        <w:rPr>
          <w:rFonts w:ascii="Lato" w:eastAsia="Times New Roman" w:hAnsi="Lato"/>
          <w:color w:val="000000" w:themeColor="text1"/>
          <w:sz w:val="22"/>
          <w:szCs w:val="22"/>
          <w:lang w:val="en-US" w:eastAsia="pl-PL"/>
        </w:rPr>
      </w:pPr>
      <w:hyperlink r:id="rId85" w:history="1">
        <w:r w:rsidRPr="00AA22C4">
          <w:rPr>
            <w:rStyle w:val="Hipercze"/>
            <w:rFonts w:ascii="Lato" w:eastAsia="Times New Roman" w:hAnsi="Lato"/>
            <w:color w:val="000000" w:themeColor="text1"/>
            <w:sz w:val="22"/>
            <w:szCs w:val="22"/>
            <w:lang w:val="en-US" w:eastAsia="pl-PL"/>
          </w:rPr>
          <w:t>https://www.healthcouncil.nl/documents/advisory-reports/2019/07/23/neonatal-screening-for-spinal-muscular-atrophy</w:t>
        </w:r>
      </w:hyperlink>
    </w:p>
    <w:p w14:paraId="3A335B57"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rPr>
      </w:pPr>
      <w:r w:rsidRPr="00AA22C4">
        <w:rPr>
          <w:rFonts w:ascii="Lato" w:hAnsi="Lato"/>
          <w:i/>
          <w:color w:val="000000" w:themeColor="text1"/>
          <w:sz w:val="22"/>
          <w:szCs w:val="22"/>
        </w:rPr>
        <w:t xml:space="preserve">Główny Urząd Statystyczny, Trwanie życia w Polsce </w:t>
      </w:r>
      <w:hyperlink r:id="rId86" w:history="1">
        <w:r w:rsidRPr="00AA22C4">
          <w:rPr>
            <w:rStyle w:val="Hipercze"/>
            <w:rFonts w:ascii="Lato" w:hAnsi="Lato"/>
            <w:i/>
            <w:color w:val="000000" w:themeColor="text1"/>
            <w:sz w:val="22"/>
            <w:szCs w:val="22"/>
          </w:rPr>
          <w:t>http://demografia.stat.gov.pl/bazademografia/TrwanieZycia.aspx</w:t>
        </w:r>
      </w:hyperlink>
      <w:r w:rsidRPr="00AA22C4">
        <w:rPr>
          <w:rFonts w:ascii="Lato" w:hAnsi="Lato"/>
          <w:i/>
          <w:color w:val="000000" w:themeColor="text1"/>
          <w:sz w:val="22"/>
          <w:szCs w:val="22"/>
        </w:rPr>
        <w:t xml:space="preserve"> dostęp online z dnia 02.08.</w:t>
      </w:r>
      <w:proofErr w:type="gramStart"/>
      <w:r w:rsidRPr="00AA22C4">
        <w:rPr>
          <w:rFonts w:ascii="Lato" w:hAnsi="Lato"/>
          <w:i/>
          <w:color w:val="000000" w:themeColor="text1"/>
          <w:sz w:val="22"/>
          <w:szCs w:val="22"/>
        </w:rPr>
        <w:t>2018r.</w:t>
      </w:r>
      <w:proofErr w:type="gramEnd"/>
      <w:r w:rsidRPr="00AA22C4">
        <w:rPr>
          <w:rFonts w:ascii="Lato" w:hAnsi="Lato"/>
          <w:i/>
          <w:color w:val="000000" w:themeColor="text1"/>
          <w:sz w:val="22"/>
          <w:szCs w:val="22"/>
        </w:rPr>
        <w:t xml:space="preserve"> </w:t>
      </w:r>
    </w:p>
    <w:p w14:paraId="5F43FA3C"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rPr>
      </w:pPr>
      <w:r w:rsidRPr="00AA22C4">
        <w:rPr>
          <w:rFonts w:ascii="Lato" w:hAnsi="Lato"/>
          <w:i/>
          <w:color w:val="000000" w:themeColor="text1"/>
          <w:sz w:val="22"/>
          <w:szCs w:val="22"/>
        </w:rPr>
        <w:t xml:space="preserve">Nauki o finansach 3(28) 2016 Wydatki gmin z tytułu dopłat do pobytu mieszkańców w zbiorowych gospodarstwach domowych a zmiany demograficzne, </w:t>
      </w:r>
      <w:r w:rsidRPr="00AA22C4">
        <w:rPr>
          <w:rFonts w:ascii="Lato" w:hAnsi="Lato"/>
          <w:color w:val="000000" w:themeColor="text1"/>
          <w:sz w:val="22"/>
          <w:szCs w:val="22"/>
        </w:rPr>
        <w:t>A. Bobrowska, M.  </w:t>
      </w:r>
      <w:proofErr w:type="spellStart"/>
      <w:r w:rsidRPr="00AA22C4">
        <w:rPr>
          <w:rFonts w:ascii="Lato" w:hAnsi="Lato"/>
          <w:color w:val="000000" w:themeColor="text1"/>
          <w:sz w:val="22"/>
          <w:szCs w:val="22"/>
        </w:rPr>
        <w:t>Maciejasz</w:t>
      </w:r>
      <w:proofErr w:type="spellEnd"/>
      <w:r w:rsidRPr="00AA22C4">
        <w:rPr>
          <w:rFonts w:ascii="Lato" w:hAnsi="Lato"/>
          <w:color w:val="000000" w:themeColor="text1"/>
          <w:sz w:val="22"/>
          <w:szCs w:val="22"/>
        </w:rPr>
        <w:t>-Świątkiewicz.</w:t>
      </w:r>
    </w:p>
    <w:p w14:paraId="4DE3C3A3" w14:textId="77777777" w:rsidR="005E347E" w:rsidRPr="00AA22C4" w:rsidRDefault="005E347E" w:rsidP="005E347E">
      <w:pPr>
        <w:pStyle w:val="Tekstprzypisudolnego"/>
        <w:numPr>
          <w:ilvl w:val="0"/>
          <w:numId w:val="3"/>
        </w:numPr>
        <w:spacing w:before="120" w:after="120"/>
        <w:contextualSpacing/>
        <w:jc w:val="both"/>
        <w:rPr>
          <w:rFonts w:ascii="Lato" w:hAnsi="Lato"/>
          <w:color w:val="000000" w:themeColor="text1"/>
          <w:sz w:val="22"/>
          <w:szCs w:val="22"/>
        </w:rPr>
      </w:pPr>
      <w:r w:rsidRPr="00AA22C4">
        <w:rPr>
          <w:rFonts w:ascii="Lato" w:hAnsi="Lato"/>
          <w:color w:val="000000" w:themeColor="text1"/>
          <w:sz w:val="22"/>
          <w:szCs w:val="22"/>
        </w:rPr>
        <w:t xml:space="preserve">Ministerstwo Rodziny, Pracy i Polityki Społecznej, Świadczenie pielęgnacyjne </w:t>
      </w:r>
      <w:hyperlink r:id="rId87" w:history="1">
        <w:r w:rsidRPr="00AA22C4">
          <w:rPr>
            <w:rStyle w:val="Hipercze"/>
            <w:rFonts w:ascii="Lato" w:hAnsi="Lato"/>
            <w:color w:val="000000" w:themeColor="text1"/>
            <w:sz w:val="22"/>
            <w:szCs w:val="22"/>
          </w:rPr>
          <w:t>https://www.mpips.gov.pl/wsparcie-dla-rodzin-z-dziecmi/swiadczenia-rodzinne/rodzaje-i-wysokosc-swiadczen-rodzinnych-kryteria-uzyskania-/test-swiadczenia-pielegnacyjne/swiadczenie-pielegnacyjne/</w:t>
        </w:r>
      </w:hyperlink>
      <w:r w:rsidRPr="00AA22C4">
        <w:rPr>
          <w:rFonts w:ascii="Lato" w:hAnsi="Lato"/>
          <w:color w:val="000000" w:themeColor="text1"/>
          <w:sz w:val="22"/>
          <w:szCs w:val="22"/>
        </w:rPr>
        <w:t xml:space="preserve"> dostęp online z dnia 02.08.2018r. </w:t>
      </w:r>
    </w:p>
    <w:p w14:paraId="35D51703" w14:textId="77777777" w:rsidR="005E347E" w:rsidRPr="00AA22C4" w:rsidRDefault="005E347E" w:rsidP="005E347E">
      <w:pPr>
        <w:pStyle w:val="Tekstprzypisudolnego"/>
        <w:keepNext/>
        <w:widowControl/>
        <w:numPr>
          <w:ilvl w:val="0"/>
          <w:numId w:val="3"/>
        </w:numPr>
        <w:spacing w:before="120" w:after="120"/>
        <w:contextualSpacing/>
        <w:jc w:val="both"/>
        <w:rPr>
          <w:rFonts w:ascii="Lato" w:hAnsi="Lato"/>
          <w:color w:val="000000" w:themeColor="text1"/>
          <w:sz w:val="22"/>
          <w:szCs w:val="22"/>
        </w:rPr>
      </w:pPr>
      <w:r w:rsidRPr="00AA22C4">
        <w:rPr>
          <w:rFonts w:ascii="Lato" w:hAnsi="Lato"/>
          <w:i/>
          <w:color w:val="000000" w:themeColor="text1"/>
          <w:sz w:val="22"/>
          <w:szCs w:val="22"/>
        </w:rPr>
        <w:lastRenderedPageBreak/>
        <w:t xml:space="preserve">Narodowy Bank Polski - </w:t>
      </w:r>
      <w:r w:rsidRPr="00AA22C4">
        <w:rPr>
          <w:rFonts w:ascii="Lato" w:hAnsi="Lato"/>
          <w:color w:val="000000" w:themeColor="text1"/>
          <w:sz w:val="22"/>
          <w:szCs w:val="22"/>
        </w:rPr>
        <w:t xml:space="preserve">Polityka pieniężna - Projekcje inflacji i PKB – lipiec 2018 </w:t>
      </w:r>
      <w:hyperlink r:id="rId88" w:history="1">
        <w:r w:rsidRPr="00AA22C4">
          <w:rPr>
            <w:rStyle w:val="Hipercze"/>
            <w:rFonts w:ascii="Lato" w:hAnsi="Lato"/>
            <w:color w:val="000000" w:themeColor="text1"/>
            <w:sz w:val="22"/>
            <w:szCs w:val="22"/>
          </w:rPr>
          <w:t>http://www.nbp.pl/home.aspx?f=/polityka_pieniezna/dokumenty/projekcja_inflacji.html</w:t>
        </w:r>
      </w:hyperlink>
      <w:r w:rsidRPr="00AA22C4">
        <w:rPr>
          <w:rFonts w:ascii="Lato" w:hAnsi="Lato"/>
          <w:color w:val="000000" w:themeColor="text1"/>
          <w:sz w:val="22"/>
          <w:szCs w:val="22"/>
        </w:rPr>
        <w:t xml:space="preserve"> dostęp online z dnia 27.07.</w:t>
      </w:r>
      <w:proofErr w:type="gramStart"/>
      <w:r w:rsidRPr="00AA22C4">
        <w:rPr>
          <w:rFonts w:ascii="Lato" w:hAnsi="Lato"/>
          <w:color w:val="000000" w:themeColor="text1"/>
          <w:sz w:val="22"/>
          <w:szCs w:val="22"/>
        </w:rPr>
        <w:t>2018r.</w:t>
      </w:r>
      <w:proofErr w:type="gramEnd"/>
    </w:p>
    <w:p w14:paraId="4AE09CEA" w14:textId="667A81B8" w:rsidR="005E347E" w:rsidRPr="00AA22C4" w:rsidRDefault="005E347E" w:rsidP="005E347E">
      <w:pPr>
        <w:pStyle w:val="Tekstprzypisudolnego"/>
        <w:keepNext/>
        <w:widowControl/>
        <w:numPr>
          <w:ilvl w:val="0"/>
          <w:numId w:val="3"/>
        </w:numPr>
        <w:spacing w:before="120" w:after="120"/>
        <w:contextualSpacing/>
        <w:jc w:val="both"/>
        <w:rPr>
          <w:rFonts w:ascii="Lato" w:hAnsi="Lato"/>
          <w:color w:val="000000" w:themeColor="text1"/>
          <w:sz w:val="22"/>
          <w:szCs w:val="22"/>
        </w:rPr>
      </w:pPr>
      <w:r w:rsidRPr="00AA22C4">
        <w:rPr>
          <w:rFonts w:ascii="Lato" w:hAnsi="Lato"/>
          <w:i/>
          <w:color w:val="000000" w:themeColor="text1"/>
          <w:sz w:val="22"/>
          <w:szCs w:val="22"/>
        </w:rPr>
        <w:t xml:space="preserve">Narodowy Bank Polski - </w:t>
      </w:r>
      <w:r w:rsidRPr="00AA22C4">
        <w:rPr>
          <w:rFonts w:ascii="Lato" w:hAnsi="Lato"/>
          <w:color w:val="000000" w:themeColor="text1"/>
          <w:sz w:val="22"/>
          <w:szCs w:val="22"/>
        </w:rPr>
        <w:t>Polityka pieniężna - Projekcje inflacji i PKB – listopad 202</w:t>
      </w:r>
      <w:r w:rsidR="001454A3" w:rsidRPr="00AA22C4">
        <w:rPr>
          <w:rFonts w:ascii="Lato" w:hAnsi="Lato"/>
          <w:color w:val="000000" w:themeColor="text1"/>
          <w:sz w:val="22"/>
          <w:szCs w:val="22"/>
        </w:rPr>
        <w:t>4</w:t>
      </w:r>
      <w:r w:rsidRPr="00AA22C4">
        <w:rPr>
          <w:rFonts w:ascii="Lato" w:hAnsi="Lato"/>
          <w:color w:val="000000" w:themeColor="text1"/>
          <w:sz w:val="22"/>
          <w:szCs w:val="22"/>
        </w:rPr>
        <w:t xml:space="preserve"> </w:t>
      </w:r>
      <w:hyperlink r:id="rId89" w:history="1">
        <w:r w:rsidR="001454A3" w:rsidRPr="00AA22C4">
          <w:rPr>
            <w:rStyle w:val="Hipercze"/>
            <w:rFonts w:ascii="Lato" w:hAnsi="Lato"/>
            <w:color w:val="000000" w:themeColor="text1"/>
            <w:sz w:val="22"/>
            <w:szCs w:val="22"/>
          </w:rPr>
          <w:t>https://nbp.pl/projekcja-inflacji-i-pkb-listopad-2024/</w:t>
        </w:r>
      </w:hyperlink>
      <w:r w:rsidRPr="00AA22C4">
        <w:rPr>
          <w:rFonts w:ascii="Lato" w:hAnsi="Lato"/>
          <w:color w:val="000000" w:themeColor="text1"/>
          <w:sz w:val="22"/>
          <w:szCs w:val="22"/>
        </w:rPr>
        <w:t xml:space="preserve"> dostęp online z dnia </w:t>
      </w:r>
      <w:r w:rsidR="001454A3" w:rsidRPr="00AA22C4">
        <w:rPr>
          <w:rFonts w:ascii="Lato" w:hAnsi="Lato"/>
          <w:color w:val="000000" w:themeColor="text1"/>
          <w:sz w:val="22"/>
          <w:szCs w:val="22"/>
        </w:rPr>
        <w:t>20</w:t>
      </w:r>
      <w:r w:rsidRPr="00AA22C4">
        <w:rPr>
          <w:rFonts w:ascii="Lato" w:hAnsi="Lato"/>
          <w:color w:val="000000" w:themeColor="text1"/>
          <w:sz w:val="22"/>
          <w:szCs w:val="22"/>
        </w:rPr>
        <w:t>.</w:t>
      </w:r>
      <w:r w:rsidR="001454A3" w:rsidRPr="00AA22C4">
        <w:rPr>
          <w:rFonts w:ascii="Lato" w:hAnsi="Lato"/>
          <w:color w:val="000000" w:themeColor="text1"/>
          <w:sz w:val="22"/>
          <w:szCs w:val="22"/>
        </w:rPr>
        <w:t>12</w:t>
      </w:r>
      <w:r w:rsidRPr="00AA22C4">
        <w:rPr>
          <w:rFonts w:ascii="Lato" w:hAnsi="Lato"/>
          <w:color w:val="000000" w:themeColor="text1"/>
          <w:sz w:val="22"/>
          <w:szCs w:val="22"/>
        </w:rPr>
        <w:t>.202</w:t>
      </w:r>
      <w:r w:rsidR="001454A3" w:rsidRPr="00AA22C4">
        <w:rPr>
          <w:rFonts w:ascii="Lato" w:hAnsi="Lato"/>
          <w:color w:val="000000" w:themeColor="text1"/>
          <w:sz w:val="22"/>
          <w:szCs w:val="22"/>
        </w:rPr>
        <w:t>4</w:t>
      </w:r>
      <w:r w:rsidRPr="00AA22C4">
        <w:rPr>
          <w:rFonts w:ascii="Lato" w:hAnsi="Lato"/>
          <w:color w:val="000000" w:themeColor="text1"/>
          <w:sz w:val="22"/>
          <w:szCs w:val="22"/>
        </w:rPr>
        <w:t xml:space="preserve"> r.</w:t>
      </w:r>
    </w:p>
    <w:p w14:paraId="25F09A25" w14:textId="77777777" w:rsidR="005E347E" w:rsidRPr="00AA22C4" w:rsidRDefault="005E347E" w:rsidP="005E347E">
      <w:pPr>
        <w:pStyle w:val="Tekstprzypisudolnego"/>
        <w:keepNext/>
        <w:widowControl/>
        <w:numPr>
          <w:ilvl w:val="0"/>
          <w:numId w:val="3"/>
        </w:numPr>
        <w:spacing w:before="120" w:after="120"/>
        <w:ind w:left="714" w:hanging="357"/>
        <w:jc w:val="both"/>
        <w:rPr>
          <w:rFonts w:ascii="Lato" w:hAnsi="Lato"/>
          <w:color w:val="000000" w:themeColor="text1"/>
          <w:sz w:val="22"/>
          <w:szCs w:val="22"/>
        </w:rPr>
      </w:pPr>
      <w:r w:rsidRPr="00AA22C4">
        <w:rPr>
          <w:rFonts w:ascii="Lato" w:hAnsi="Lato"/>
          <w:i/>
          <w:color w:val="000000" w:themeColor="text1"/>
          <w:sz w:val="22"/>
          <w:szCs w:val="22"/>
        </w:rPr>
        <w:t>Główny Urząd Statystyczny</w:t>
      </w:r>
      <w:r w:rsidRPr="00AA22C4">
        <w:rPr>
          <w:rFonts w:ascii="Lato" w:hAnsi="Lato"/>
          <w:color w:val="000000" w:themeColor="text1"/>
          <w:sz w:val="22"/>
          <w:szCs w:val="22"/>
        </w:rPr>
        <w:t xml:space="preserve">, Rocznik Demograficzny 2023, </w:t>
      </w:r>
      <w:hyperlink r:id="rId90" w:history="1">
        <w:r w:rsidRPr="00AA22C4">
          <w:rPr>
            <w:rStyle w:val="Hipercze"/>
            <w:rFonts w:ascii="Lato" w:hAnsi="Lato"/>
            <w:color w:val="000000" w:themeColor="text1"/>
            <w:sz w:val="22"/>
            <w:szCs w:val="22"/>
          </w:rPr>
          <w:t>https://stat.gov.pl/obszary-tematyczne/roczniki-statystyczne/roczniki-statystyczne/rocznik-demograficzny-2023,3,17.html</w:t>
        </w:r>
      </w:hyperlink>
      <w:r w:rsidRPr="00AA22C4">
        <w:rPr>
          <w:rFonts w:ascii="Lato" w:hAnsi="Lato"/>
          <w:color w:val="000000" w:themeColor="text1"/>
          <w:sz w:val="22"/>
          <w:szCs w:val="22"/>
        </w:rPr>
        <w:t xml:space="preserve"> – dostęp z dnia 16.02.2024 r.</w:t>
      </w:r>
    </w:p>
    <w:p w14:paraId="1A564ED1" w14:textId="77777777" w:rsidR="005E347E" w:rsidRPr="00AA22C4" w:rsidRDefault="005E347E" w:rsidP="005E347E">
      <w:pPr>
        <w:widowControl/>
        <w:numPr>
          <w:ilvl w:val="0"/>
          <w:numId w:val="3"/>
        </w:numPr>
        <w:spacing w:before="120" w:after="120"/>
        <w:ind w:left="714" w:hanging="357"/>
        <w:jc w:val="both"/>
        <w:outlineLvl w:val="2"/>
        <w:rPr>
          <w:rFonts w:ascii="Lato" w:hAnsi="Lato" w:cs="Calibri"/>
          <w:color w:val="000000" w:themeColor="text1"/>
          <w:sz w:val="22"/>
          <w:szCs w:val="22"/>
          <w:lang w:val="en-GB"/>
        </w:rPr>
      </w:pPr>
      <w:proofErr w:type="spellStart"/>
      <w:r w:rsidRPr="00AA22C4">
        <w:rPr>
          <w:rFonts w:ascii="Lato" w:hAnsi="Lato"/>
          <w:color w:val="000000" w:themeColor="text1"/>
          <w:sz w:val="22"/>
          <w:szCs w:val="22"/>
          <w:lang w:val="en-GB"/>
        </w:rPr>
        <w:t>Succoio</w:t>
      </w:r>
      <w:proofErr w:type="spellEnd"/>
      <w:r w:rsidRPr="00AA22C4">
        <w:rPr>
          <w:rFonts w:ascii="Lato" w:hAnsi="Lato"/>
          <w:color w:val="000000" w:themeColor="text1"/>
          <w:sz w:val="22"/>
          <w:szCs w:val="22"/>
          <w:lang w:val="en-GB"/>
        </w:rPr>
        <w:t xml:space="preserve"> M, et al. Galactosemia: Biochemistry, Molecular Genetics, Newborn Screening, and Treatment. Biomolecules. </w:t>
      </w:r>
      <w:proofErr w:type="gramStart"/>
      <w:r w:rsidRPr="00AA22C4">
        <w:rPr>
          <w:rFonts w:ascii="Lato" w:hAnsi="Lato"/>
          <w:color w:val="000000" w:themeColor="text1"/>
          <w:sz w:val="22"/>
          <w:szCs w:val="22"/>
          <w:lang w:val="en-GB"/>
        </w:rPr>
        <w:t>2022,;</w:t>
      </w:r>
      <w:proofErr w:type="gramEnd"/>
      <w:r w:rsidRPr="00AA22C4">
        <w:rPr>
          <w:rFonts w:ascii="Lato" w:hAnsi="Lato"/>
          <w:color w:val="000000" w:themeColor="text1"/>
          <w:sz w:val="22"/>
          <w:szCs w:val="22"/>
          <w:lang w:val="en-GB"/>
        </w:rPr>
        <w:t xml:space="preserve">12(7):968. </w:t>
      </w:r>
      <w:proofErr w:type="spellStart"/>
      <w:r w:rsidRPr="00AA22C4">
        <w:rPr>
          <w:rFonts w:ascii="Lato" w:hAnsi="Lato"/>
          <w:color w:val="000000" w:themeColor="text1"/>
          <w:sz w:val="22"/>
          <w:szCs w:val="22"/>
          <w:lang w:val="en-GB"/>
        </w:rPr>
        <w:t>doi</w:t>
      </w:r>
      <w:proofErr w:type="spellEnd"/>
      <w:r w:rsidRPr="00AA22C4">
        <w:rPr>
          <w:rFonts w:ascii="Lato" w:hAnsi="Lato"/>
          <w:color w:val="000000" w:themeColor="text1"/>
          <w:sz w:val="22"/>
          <w:szCs w:val="22"/>
          <w:lang w:val="en-GB"/>
        </w:rPr>
        <w:t>: 10.3390/biom12070968.</w:t>
      </w:r>
    </w:p>
    <w:p w14:paraId="7C1A6570" w14:textId="77777777" w:rsidR="005E347E" w:rsidRPr="00AA22C4" w:rsidRDefault="005E347E" w:rsidP="005E347E">
      <w:pPr>
        <w:widowControl/>
        <w:numPr>
          <w:ilvl w:val="0"/>
          <w:numId w:val="3"/>
        </w:numPr>
        <w:spacing w:before="120" w:after="120"/>
        <w:ind w:left="714" w:hanging="357"/>
        <w:jc w:val="both"/>
        <w:outlineLvl w:val="2"/>
        <w:rPr>
          <w:rFonts w:ascii="Lato" w:hAnsi="Lato" w:cs="Calibri"/>
          <w:color w:val="000000" w:themeColor="text1"/>
          <w:sz w:val="22"/>
          <w:szCs w:val="22"/>
          <w:lang w:val="en-GB"/>
        </w:rPr>
      </w:pPr>
      <w:r w:rsidRPr="00AA22C4">
        <w:rPr>
          <w:rFonts w:ascii="Lato" w:hAnsi="Lato"/>
          <w:color w:val="000000" w:themeColor="text1"/>
          <w:sz w:val="22"/>
          <w:szCs w:val="22"/>
          <w:lang w:val="en-GB"/>
        </w:rPr>
        <w:t xml:space="preserve">Badiu </w:t>
      </w:r>
      <w:proofErr w:type="spellStart"/>
      <w:r w:rsidRPr="00AA22C4">
        <w:rPr>
          <w:rFonts w:ascii="Lato" w:hAnsi="Lato"/>
          <w:color w:val="000000" w:themeColor="text1"/>
          <w:sz w:val="22"/>
          <w:szCs w:val="22"/>
          <w:lang w:val="en-GB"/>
        </w:rPr>
        <w:t>Ti</w:t>
      </w:r>
      <w:r w:rsidRPr="00AA22C4">
        <w:rPr>
          <w:rFonts w:ascii="Calibri" w:hAnsi="Calibri" w:cs="Calibri"/>
          <w:color w:val="000000" w:themeColor="text1"/>
          <w:sz w:val="22"/>
          <w:szCs w:val="22"/>
          <w:lang w:val="en-GB"/>
        </w:rPr>
        <w:t>ș</w:t>
      </w:r>
      <w:r w:rsidRPr="00AA22C4">
        <w:rPr>
          <w:rFonts w:ascii="Lato" w:hAnsi="Lato"/>
          <w:color w:val="000000" w:themeColor="text1"/>
          <w:sz w:val="22"/>
          <w:szCs w:val="22"/>
          <w:lang w:val="en-GB"/>
        </w:rPr>
        <w:t>a</w:t>
      </w:r>
      <w:proofErr w:type="spellEnd"/>
      <w:r w:rsidRPr="00AA22C4">
        <w:rPr>
          <w:rFonts w:ascii="Lato" w:hAnsi="Lato"/>
          <w:color w:val="000000" w:themeColor="text1"/>
          <w:sz w:val="22"/>
          <w:szCs w:val="22"/>
          <w:lang w:val="en-GB"/>
        </w:rPr>
        <w:t xml:space="preserve"> I, Achim AC, Cozma-Petru</w:t>
      </w:r>
      <w:r w:rsidRPr="00AA22C4">
        <w:rPr>
          <w:rFonts w:ascii="Calibri" w:hAnsi="Calibri" w:cs="Calibri"/>
          <w:color w:val="000000" w:themeColor="text1"/>
          <w:sz w:val="22"/>
          <w:szCs w:val="22"/>
          <w:lang w:val="en-GB"/>
        </w:rPr>
        <w:t>ț</w:t>
      </w:r>
      <w:r w:rsidRPr="00AA22C4">
        <w:rPr>
          <w:rFonts w:ascii="Lato" w:hAnsi="Lato"/>
          <w:color w:val="000000" w:themeColor="text1"/>
          <w:sz w:val="22"/>
          <w:szCs w:val="22"/>
          <w:lang w:val="en-GB"/>
        </w:rPr>
        <w:t xml:space="preserve"> A. The Importance of Neonatal Screening for Galactosemia. </w:t>
      </w:r>
      <w:proofErr w:type="spellStart"/>
      <w:r w:rsidRPr="00AA22C4">
        <w:rPr>
          <w:rFonts w:ascii="Lato" w:hAnsi="Lato"/>
          <w:color w:val="000000" w:themeColor="text1"/>
          <w:sz w:val="22"/>
          <w:szCs w:val="22"/>
        </w:rPr>
        <w:t>Nutrients</w:t>
      </w:r>
      <w:proofErr w:type="spellEnd"/>
      <w:r w:rsidRPr="00AA22C4">
        <w:rPr>
          <w:rFonts w:ascii="Lato" w:hAnsi="Lato"/>
          <w:color w:val="000000" w:themeColor="text1"/>
          <w:sz w:val="22"/>
          <w:szCs w:val="22"/>
        </w:rPr>
        <w:t>. 2022, 15(1):10. doi: 10.3390/nu15010010.</w:t>
      </w:r>
    </w:p>
    <w:p w14:paraId="1BB27EC3" w14:textId="77777777" w:rsidR="005E347E" w:rsidRPr="00AA22C4" w:rsidRDefault="005E347E" w:rsidP="005E347E">
      <w:pPr>
        <w:widowControl/>
        <w:numPr>
          <w:ilvl w:val="0"/>
          <w:numId w:val="3"/>
        </w:numPr>
        <w:spacing w:before="120" w:after="120"/>
        <w:ind w:left="714" w:hanging="357"/>
        <w:jc w:val="both"/>
        <w:outlineLvl w:val="2"/>
        <w:rPr>
          <w:rFonts w:ascii="Lato" w:hAnsi="Lato" w:cs="Calibri"/>
          <w:color w:val="000000" w:themeColor="text1"/>
          <w:sz w:val="22"/>
          <w:szCs w:val="22"/>
          <w:lang w:val="en-GB"/>
        </w:rPr>
      </w:pPr>
      <w:r w:rsidRPr="00AA22C4">
        <w:rPr>
          <w:rFonts w:ascii="Lato" w:hAnsi="Lato"/>
          <w:color w:val="000000" w:themeColor="text1"/>
          <w:sz w:val="22"/>
          <w:szCs w:val="22"/>
          <w:lang w:val="en-GB"/>
        </w:rPr>
        <w:t xml:space="preserve">Daas S, et al. Addition of galactose-1-phosphate measurement enhances newborn screening for classical galactosemia. J Inherit </w:t>
      </w:r>
      <w:proofErr w:type="spellStart"/>
      <w:r w:rsidRPr="00AA22C4">
        <w:rPr>
          <w:rFonts w:ascii="Lato" w:hAnsi="Lato"/>
          <w:color w:val="000000" w:themeColor="text1"/>
          <w:sz w:val="22"/>
          <w:szCs w:val="22"/>
          <w:lang w:val="en-GB"/>
        </w:rPr>
        <w:t>Metab</w:t>
      </w:r>
      <w:proofErr w:type="spellEnd"/>
      <w:r w:rsidRPr="00AA22C4">
        <w:rPr>
          <w:rFonts w:ascii="Lato" w:hAnsi="Lato"/>
          <w:color w:val="000000" w:themeColor="text1"/>
          <w:sz w:val="22"/>
          <w:szCs w:val="22"/>
          <w:lang w:val="en-GB"/>
        </w:rPr>
        <w:t xml:space="preserve"> Dis. 2023, 46(2):232-242. </w:t>
      </w:r>
      <w:proofErr w:type="spellStart"/>
      <w:r w:rsidRPr="00AA22C4">
        <w:rPr>
          <w:rFonts w:ascii="Lato" w:hAnsi="Lato"/>
          <w:color w:val="000000" w:themeColor="text1"/>
          <w:sz w:val="22"/>
          <w:szCs w:val="22"/>
          <w:lang w:val="en-GB"/>
        </w:rPr>
        <w:t>doi</w:t>
      </w:r>
      <w:proofErr w:type="spellEnd"/>
      <w:r w:rsidRPr="00AA22C4">
        <w:rPr>
          <w:rFonts w:ascii="Lato" w:hAnsi="Lato"/>
          <w:color w:val="000000" w:themeColor="text1"/>
          <w:sz w:val="22"/>
          <w:szCs w:val="22"/>
          <w:lang w:val="en-GB"/>
        </w:rPr>
        <w:t xml:space="preserve">: 10.1002/jimd.12580. </w:t>
      </w:r>
    </w:p>
    <w:p w14:paraId="29B5C918" w14:textId="77777777" w:rsidR="005E347E" w:rsidRPr="00AA22C4" w:rsidRDefault="005E347E" w:rsidP="005E347E">
      <w:pPr>
        <w:widowControl/>
        <w:numPr>
          <w:ilvl w:val="0"/>
          <w:numId w:val="3"/>
        </w:numPr>
        <w:spacing w:before="120" w:after="120"/>
        <w:ind w:left="714" w:hanging="357"/>
        <w:jc w:val="both"/>
        <w:outlineLvl w:val="2"/>
        <w:rPr>
          <w:rFonts w:ascii="Lato" w:hAnsi="Lato" w:cs="Calibri"/>
          <w:color w:val="000000" w:themeColor="text1"/>
          <w:sz w:val="22"/>
          <w:szCs w:val="22"/>
          <w:lang w:val="en-GB"/>
        </w:rPr>
      </w:pPr>
      <w:proofErr w:type="spellStart"/>
      <w:r w:rsidRPr="00AA22C4">
        <w:rPr>
          <w:rFonts w:ascii="Lato" w:hAnsi="Lato" w:cs="Calibri"/>
          <w:color w:val="000000" w:themeColor="text1"/>
          <w:sz w:val="22"/>
          <w:szCs w:val="22"/>
          <w:lang w:val="en-US"/>
        </w:rPr>
        <w:t>Gragnaniello</w:t>
      </w:r>
      <w:proofErr w:type="spellEnd"/>
      <w:r w:rsidRPr="00AA22C4">
        <w:rPr>
          <w:rFonts w:ascii="Lato" w:hAnsi="Lato" w:cs="Calibri"/>
          <w:color w:val="000000" w:themeColor="text1"/>
          <w:sz w:val="22"/>
          <w:szCs w:val="22"/>
          <w:lang w:val="en-US"/>
        </w:rPr>
        <w:t xml:space="preserve"> V, et al. </w:t>
      </w:r>
      <w:r w:rsidRPr="00AA22C4">
        <w:rPr>
          <w:rFonts w:ascii="Lato" w:hAnsi="Lato" w:cs="Calibri"/>
          <w:color w:val="000000" w:themeColor="text1"/>
          <w:sz w:val="22"/>
          <w:szCs w:val="22"/>
          <w:lang w:val="en-GB"/>
        </w:rPr>
        <w:t xml:space="preserve">Newborn screening for Pompe disease in Italy: Long-term results and future challenges. Mol Genet </w:t>
      </w:r>
      <w:proofErr w:type="spellStart"/>
      <w:r w:rsidRPr="00AA22C4">
        <w:rPr>
          <w:rFonts w:ascii="Lato" w:hAnsi="Lato" w:cs="Calibri"/>
          <w:color w:val="000000" w:themeColor="text1"/>
          <w:sz w:val="22"/>
          <w:szCs w:val="22"/>
          <w:lang w:val="en-GB"/>
        </w:rPr>
        <w:t>Metab</w:t>
      </w:r>
      <w:proofErr w:type="spellEnd"/>
      <w:r w:rsidRPr="00AA22C4">
        <w:rPr>
          <w:rFonts w:ascii="Lato" w:hAnsi="Lato" w:cs="Calibri"/>
          <w:color w:val="000000" w:themeColor="text1"/>
          <w:sz w:val="22"/>
          <w:szCs w:val="22"/>
          <w:lang w:val="en-GB"/>
        </w:rPr>
        <w:t xml:space="preserve"> Rep. 2022, 22;33:100929. </w:t>
      </w:r>
      <w:proofErr w:type="spellStart"/>
      <w:r w:rsidRPr="00AA22C4">
        <w:rPr>
          <w:rFonts w:ascii="Lato" w:hAnsi="Lato" w:cs="Calibri"/>
          <w:color w:val="000000" w:themeColor="text1"/>
          <w:sz w:val="22"/>
          <w:szCs w:val="22"/>
          <w:lang w:val="en-GB"/>
        </w:rPr>
        <w:t>doi</w:t>
      </w:r>
      <w:proofErr w:type="spellEnd"/>
      <w:r w:rsidRPr="00AA22C4">
        <w:rPr>
          <w:rFonts w:ascii="Lato" w:hAnsi="Lato" w:cs="Calibri"/>
          <w:color w:val="000000" w:themeColor="text1"/>
          <w:sz w:val="22"/>
          <w:szCs w:val="22"/>
          <w:lang w:val="en-GB"/>
        </w:rPr>
        <w:t>: 10.1016/j.ymgmr.2022.100929.</w:t>
      </w:r>
    </w:p>
    <w:p w14:paraId="3DF077C8" w14:textId="77777777" w:rsidR="005E347E" w:rsidRPr="00AA22C4" w:rsidRDefault="005E347E" w:rsidP="005E347E">
      <w:pPr>
        <w:widowControl/>
        <w:numPr>
          <w:ilvl w:val="0"/>
          <w:numId w:val="3"/>
        </w:numPr>
        <w:spacing w:before="120" w:after="120"/>
        <w:ind w:left="714" w:hanging="357"/>
        <w:jc w:val="both"/>
        <w:outlineLvl w:val="2"/>
        <w:rPr>
          <w:rFonts w:ascii="Lato" w:hAnsi="Lato" w:cs="Calibri"/>
          <w:color w:val="000000" w:themeColor="text1"/>
          <w:sz w:val="22"/>
          <w:szCs w:val="22"/>
          <w:lang w:val="en-GB"/>
        </w:rPr>
      </w:pPr>
      <w:proofErr w:type="spellStart"/>
      <w:r w:rsidRPr="00AA22C4">
        <w:rPr>
          <w:rFonts w:ascii="Lato" w:hAnsi="Lato"/>
          <w:color w:val="000000" w:themeColor="text1"/>
          <w:sz w:val="22"/>
          <w:szCs w:val="22"/>
          <w:lang w:val="en-GB"/>
        </w:rPr>
        <w:t>Ficicioglu</w:t>
      </w:r>
      <w:proofErr w:type="spellEnd"/>
      <w:r w:rsidRPr="00AA22C4">
        <w:rPr>
          <w:rFonts w:ascii="Lato" w:hAnsi="Lato"/>
          <w:color w:val="000000" w:themeColor="text1"/>
          <w:sz w:val="22"/>
          <w:szCs w:val="22"/>
          <w:lang w:val="en-GB"/>
        </w:rPr>
        <w:t xml:space="preserve"> C, et al. Newborn Screening for Pompe Disease: Pennsylvania Experience. Int J Neonatal Screen. 2020, 6(4):89. </w:t>
      </w:r>
      <w:proofErr w:type="spellStart"/>
      <w:r w:rsidRPr="00AA22C4">
        <w:rPr>
          <w:rFonts w:ascii="Lato" w:hAnsi="Lato"/>
          <w:color w:val="000000" w:themeColor="text1"/>
          <w:sz w:val="22"/>
          <w:szCs w:val="22"/>
          <w:lang w:val="en-GB"/>
        </w:rPr>
        <w:t>doi</w:t>
      </w:r>
      <w:proofErr w:type="spellEnd"/>
      <w:r w:rsidRPr="00AA22C4">
        <w:rPr>
          <w:rFonts w:ascii="Lato" w:hAnsi="Lato"/>
          <w:color w:val="000000" w:themeColor="text1"/>
          <w:sz w:val="22"/>
          <w:szCs w:val="22"/>
          <w:lang w:val="en-GB"/>
        </w:rPr>
        <w:t>: 10.3390/ijns6040089</w:t>
      </w:r>
    </w:p>
    <w:p w14:paraId="4D301A3C" w14:textId="77777777" w:rsidR="005E347E" w:rsidRPr="00AA22C4" w:rsidRDefault="005E347E" w:rsidP="005E347E">
      <w:pPr>
        <w:widowControl/>
        <w:numPr>
          <w:ilvl w:val="0"/>
          <w:numId w:val="3"/>
        </w:numPr>
        <w:spacing w:before="120" w:after="120"/>
        <w:ind w:left="714" w:hanging="357"/>
        <w:jc w:val="both"/>
        <w:outlineLvl w:val="2"/>
        <w:rPr>
          <w:rFonts w:ascii="Lato" w:hAnsi="Lato" w:cs="Calibri"/>
          <w:color w:val="000000" w:themeColor="text1"/>
          <w:sz w:val="22"/>
          <w:szCs w:val="22"/>
          <w:lang w:val="en-GB"/>
        </w:rPr>
      </w:pPr>
      <w:r w:rsidRPr="00AA22C4">
        <w:rPr>
          <w:rFonts w:ascii="Lato" w:hAnsi="Lato" w:cs="Calibri"/>
          <w:color w:val="000000" w:themeColor="text1"/>
          <w:sz w:val="22"/>
          <w:szCs w:val="22"/>
          <w:lang w:val="en-GB"/>
        </w:rPr>
        <w:t xml:space="preserve">Klug TL et al. </w:t>
      </w:r>
      <w:r w:rsidRPr="00AA22C4">
        <w:rPr>
          <w:rFonts w:ascii="Lato" w:hAnsi="Lato" w:cs="Calibri"/>
          <w:color w:val="000000" w:themeColor="text1"/>
          <w:sz w:val="22"/>
          <w:szCs w:val="22"/>
          <w:lang w:val="en-US"/>
        </w:rPr>
        <w:t xml:space="preserve">Lessons Learned from Pompe Disease Newborn Screening and Follow-up. </w:t>
      </w:r>
      <w:proofErr w:type="spellStart"/>
      <w:r w:rsidRPr="00AA22C4">
        <w:rPr>
          <w:rFonts w:ascii="Lato" w:hAnsi="Lato" w:cs="Calibri"/>
          <w:color w:val="000000" w:themeColor="text1"/>
          <w:sz w:val="22"/>
          <w:szCs w:val="22"/>
        </w:rPr>
        <w:t>Int</w:t>
      </w:r>
      <w:proofErr w:type="spellEnd"/>
      <w:r w:rsidRPr="00AA22C4">
        <w:rPr>
          <w:rFonts w:ascii="Lato" w:hAnsi="Lato" w:cs="Calibri"/>
          <w:color w:val="000000" w:themeColor="text1"/>
          <w:sz w:val="22"/>
          <w:szCs w:val="22"/>
        </w:rPr>
        <w:t xml:space="preserve"> J </w:t>
      </w:r>
      <w:proofErr w:type="spellStart"/>
      <w:r w:rsidRPr="00AA22C4">
        <w:rPr>
          <w:rFonts w:ascii="Lato" w:hAnsi="Lato" w:cs="Calibri"/>
          <w:color w:val="000000" w:themeColor="text1"/>
          <w:sz w:val="22"/>
          <w:szCs w:val="22"/>
        </w:rPr>
        <w:t>Neonatal</w:t>
      </w:r>
      <w:proofErr w:type="spellEnd"/>
      <w:r w:rsidRPr="00AA22C4">
        <w:rPr>
          <w:rFonts w:ascii="Lato" w:hAnsi="Lato" w:cs="Calibri"/>
          <w:color w:val="000000" w:themeColor="text1"/>
          <w:sz w:val="22"/>
          <w:szCs w:val="22"/>
        </w:rPr>
        <w:t xml:space="preserve"> </w:t>
      </w:r>
      <w:proofErr w:type="spellStart"/>
      <w:r w:rsidRPr="00AA22C4">
        <w:rPr>
          <w:rFonts w:ascii="Lato" w:hAnsi="Lato" w:cs="Calibri"/>
          <w:color w:val="000000" w:themeColor="text1"/>
          <w:sz w:val="22"/>
          <w:szCs w:val="22"/>
        </w:rPr>
        <w:t>Screen</w:t>
      </w:r>
      <w:proofErr w:type="spellEnd"/>
      <w:r w:rsidRPr="00AA22C4">
        <w:rPr>
          <w:rFonts w:ascii="Lato" w:hAnsi="Lato" w:cs="Calibri"/>
          <w:color w:val="000000" w:themeColor="text1"/>
          <w:sz w:val="22"/>
          <w:szCs w:val="22"/>
        </w:rPr>
        <w:t>. 2020, 6(1):11. doi: 10.3390/ijns6010011.</w:t>
      </w:r>
    </w:p>
    <w:p w14:paraId="496B3CD3" w14:textId="77777777" w:rsidR="005E347E" w:rsidRPr="00AA22C4" w:rsidRDefault="005E347E" w:rsidP="005E347E">
      <w:pPr>
        <w:pStyle w:val="Akapitzlist"/>
        <w:numPr>
          <w:ilvl w:val="0"/>
          <w:numId w:val="3"/>
        </w:numPr>
        <w:spacing w:before="120" w:after="120" w:line="360" w:lineRule="auto"/>
        <w:ind w:left="714" w:hanging="357"/>
        <w:contextualSpacing w:val="0"/>
        <w:jc w:val="both"/>
        <w:rPr>
          <w:rStyle w:val="Hipercze"/>
          <w:rFonts w:ascii="Lato" w:eastAsia="Malgun Gothic" w:hAnsi="Lato" w:cs="Calibri"/>
          <w:color w:val="000000" w:themeColor="text1"/>
          <w:sz w:val="22"/>
          <w:szCs w:val="22"/>
          <w:lang w:val="en-US" w:eastAsia="ko-KR"/>
        </w:rPr>
      </w:pPr>
      <w:proofErr w:type="spellStart"/>
      <w:r w:rsidRPr="00AA22C4">
        <w:rPr>
          <w:rFonts w:ascii="Lato" w:eastAsia="Malgun Gothic" w:hAnsi="Lato" w:cs="Calibri"/>
          <w:color w:val="000000" w:themeColor="text1"/>
          <w:sz w:val="22"/>
          <w:szCs w:val="22"/>
          <w:lang w:val="en-GB" w:eastAsia="ko-KR"/>
        </w:rPr>
        <w:t>Białowąs</w:t>
      </w:r>
      <w:proofErr w:type="spellEnd"/>
      <w:r w:rsidRPr="00AA22C4">
        <w:rPr>
          <w:rFonts w:ascii="Lato" w:eastAsia="Malgun Gothic" w:hAnsi="Lato" w:cs="Calibri"/>
          <w:color w:val="000000" w:themeColor="text1"/>
          <w:sz w:val="22"/>
          <w:szCs w:val="22"/>
          <w:lang w:val="en-GB" w:eastAsia="ko-KR"/>
        </w:rPr>
        <w:t xml:space="preserve"> E, et al.</w:t>
      </w:r>
      <w:r w:rsidRPr="00AA22C4">
        <w:rPr>
          <w:rFonts w:ascii="Lato" w:eastAsia="Malgun Gothic" w:hAnsi="Lato" w:cs="Calibri"/>
          <w:color w:val="000000" w:themeColor="text1"/>
          <w:sz w:val="22"/>
          <w:szCs w:val="22"/>
          <w:lang w:val="en-US" w:eastAsia="ko-KR"/>
        </w:rPr>
        <w:t xml:space="preserve"> Pompe </w:t>
      </w:r>
      <w:proofErr w:type="gramStart"/>
      <w:r w:rsidRPr="00AA22C4">
        <w:rPr>
          <w:rFonts w:ascii="Lato" w:eastAsia="Malgun Gothic" w:hAnsi="Lato" w:cs="Calibri"/>
          <w:color w:val="000000" w:themeColor="text1"/>
          <w:sz w:val="22"/>
          <w:szCs w:val="22"/>
          <w:lang w:val="en-US" w:eastAsia="ko-KR"/>
        </w:rPr>
        <w:t>disease</w:t>
      </w:r>
      <w:proofErr w:type="gramEnd"/>
      <w:r w:rsidRPr="00AA22C4">
        <w:rPr>
          <w:rFonts w:ascii="Lato" w:eastAsia="Malgun Gothic" w:hAnsi="Lato" w:cs="Calibri"/>
          <w:color w:val="000000" w:themeColor="text1"/>
          <w:sz w:val="22"/>
          <w:szCs w:val="22"/>
          <w:lang w:val="en-US" w:eastAsia="ko-KR"/>
        </w:rPr>
        <w:t>-What do we currently know about the disease? J Edu Health Sport. 2023, 13(4):73-</w:t>
      </w:r>
      <w:proofErr w:type="gramStart"/>
      <w:r w:rsidRPr="00AA22C4">
        <w:rPr>
          <w:rFonts w:ascii="Lato" w:eastAsia="Malgun Gothic" w:hAnsi="Lato" w:cs="Calibri"/>
          <w:color w:val="000000" w:themeColor="text1"/>
          <w:sz w:val="22"/>
          <w:szCs w:val="22"/>
          <w:lang w:val="en-US" w:eastAsia="ko-KR"/>
        </w:rPr>
        <w:t>82.eISSN</w:t>
      </w:r>
      <w:proofErr w:type="gramEnd"/>
      <w:r w:rsidRPr="00AA22C4">
        <w:rPr>
          <w:rFonts w:ascii="Lato" w:eastAsia="Malgun Gothic" w:hAnsi="Lato" w:cs="Calibri"/>
          <w:color w:val="000000" w:themeColor="text1"/>
          <w:sz w:val="22"/>
          <w:szCs w:val="22"/>
          <w:lang w:val="en-US" w:eastAsia="ko-KR"/>
        </w:rPr>
        <w:t xml:space="preserve">2391-8306.  </w:t>
      </w:r>
      <w:hyperlink r:id="rId91" w:history="1">
        <w:proofErr w:type="spellStart"/>
        <w:r w:rsidRPr="00AA22C4">
          <w:rPr>
            <w:rFonts w:ascii="Lato" w:hAnsi="Lato" w:cs="Calibri"/>
            <w:color w:val="000000" w:themeColor="text1"/>
            <w:sz w:val="22"/>
            <w:szCs w:val="22"/>
            <w:lang w:val="en-GB"/>
          </w:rPr>
          <w:t>doi</w:t>
        </w:r>
        <w:proofErr w:type="spellEnd"/>
        <w:r w:rsidRPr="00AA22C4">
          <w:rPr>
            <w:rFonts w:ascii="Lato" w:hAnsi="Lato" w:cs="Calibri"/>
            <w:color w:val="000000" w:themeColor="text1"/>
            <w:sz w:val="22"/>
            <w:szCs w:val="22"/>
            <w:lang w:val="en-GB"/>
          </w:rPr>
          <w:t>:</w:t>
        </w:r>
        <w:r w:rsidRPr="00AA22C4">
          <w:rPr>
            <w:rStyle w:val="Hipercze"/>
            <w:rFonts w:ascii="Lato" w:eastAsia="Malgun Gothic" w:hAnsi="Lato" w:cs="Calibri"/>
            <w:color w:val="000000" w:themeColor="text1"/>
            <w:sz w:val="22"/>
            <w:szCs w:val="22"/>
            <w:lang w:val="en-US" w:eastAsia="ko-KR"/>
          </w:rPr>
          <w:t>10.12775/JEHS.2023.13.04.007</w:t>
        </w:r>
      </w:hyperlink>
    </w:p>
    <w:p w14:paraId="32093A01" w14:textId="77777777" w:rsidR="005E347E" w:rsidRPr="00AA22C4" w:rsidRDefault="005E347E" w:rsidP="005E347E">
      <w:pPr>
        <w:widowControl/>
        <w:numPr>
          <w:ilvl w:val="0"/>
          <w:numId w:val="3"/>
        </w:numPr>
        <w:spacing w:before="120" w:after="120"/>
        <w:ind w:left="714" w:hanging="357"/>
        <w:jc w:val="both"/>
        <w:outlineLvl w:val="2"/>
        <w:rPr>
          <w:rFonts w:ascii="Lato" w:hAnsi="Lato" w:cs="Calibri"/>
          <w:color w:val="000000" w:themeColor="text1"/>
          <w:sz w:val="22"/>
          <w:szCs w:val="22"/>
          <w:lang w:val="en-GB"/>
        </w:rPr>
      </w:pPr>
      <w:proofErr w:type="spellStart"/>
      <w:r w:rsidRPr="00AA22C4">
        <w:rPr>
          <w:rFonts w:ascii="Lato" w:hAnsi="Lato"/>
          <w:color w:val="000000" w:themeColor="text1"/>
          <w:sz w:val="22"/>
          <w:szCs w:val="22"/>
          <w:lang w:val="en-GB"/>
        </w:rPr>
        <w:t>Gragnaniello</w:t>
      </w:r>
      <w:proofErr w:type="spellEnd"/>
      <w:r w:rsidRPr="00AA22C4">
        <w:rPr>
          <w:rFonts w:ascii="Lato" w:hAnsi="Lato"/>
          <w:color w:val="000000" w:themeColor="text1"/>
          <w:sz w:val="22"/>
          <w:szCs w:val="22"/>
          <w:lang w:val="en-GB"/>
        </w:rPr>
        <w:t xml:space="preserve"> V, et al. Light and Shadows in Newborn Screening for Lysosomal Storage Disorders: Eight Years of Experience in Northeast Italy. Int J Neonatal Screen. 2023, 25;10(1):3. </w:t>
      </w:r>
      <w:proofErr w:type="spellStart"/>
      <w:r w:rsidRPr="00AA22C4">
        <w:rPr>
          <w:rFonts w:ascii="Lato" w:hAnsi="Lato"/>
          <w:color w:val="000000" w:themeColor="text1"/>
          <w:sz w:val="22"/>
          <w:szCs w:val="22"/>
          <w:lang w:val="en-GB"/>
        </w:rPr>
        <w:t>doi</w:t>
      </w:r>
      <w:proofErr w:type="spellEnd"/>
      <w:r w:rsidRPr="00AA22C4">
        <w:rPr>
          <w:rFonts w:ascii="Lato" w:hAnsi="Lato"/>
          <w:color w:val="000000" w:themeColor="text1"/>
          <w:sz w:val="22"/>
          <w:szCs w:val="22"/>
          <w:lang w:val="en-GB"/>
        </w:rPr>
        <w:t>: 10.3390/ijns10010003.</w:t>
      </w:r>
    </w:p>
    <w:p w14:paraId="2702F98E" w14:textId="77777777" w:rsidR="005E347E" w:rsidRPr="00AA22C4" w:rsidRDefault="005E347E" w:rsidP="005E347E">
      <w:pPr>
        <w:widowControl/>
        <w:numPr>
          <w:ilvl w:val="0"/>
          <w:numId w:val="3"/>
        </w:numPr>
        <w:spacing w:before="120" w:after="120"/>
        <w:ind w:left="714" w:hanging="357"/>
        <w:jc w:val="both"/>
        <w:outlineLvl w:val="2"/>
        <w:rPr>
          <w:rFonts w:ascii="Lato" w:hAnsi="Lato" w:cs="Calibri"/>
          <w:color w:val="000000" w:themeColor="text1"/>
          <w:sz w:val="22"/>
          <w:szCs w:val="22"/>
          <w:lang w:val="en-GB"/>
        </w:rPr>
      </w:pPr>
      <w:r w:rsidRPr="00AA22C4">
        <w:rPr>
          <w:rFonts w:ascii="Lato" w:hAnsi="Lato"/>
          <w:color w:val="000000" w:themeColor="text1"/>
          <w:sz w:val="22"/>
          <w:szCs w:val="22"/>
          <w:lang w:val="en-GB"/>
        </w:rPr>
        <w:t xml:space="preserve">Rossi C, et al. </w:t>
      </w:r>
      <w:proofErr w:type="spellStart"/>
      <w:r w:rsidRPr="00AA22C4">
        <w:rPr>
          <w:rFonts w:ascii="Lato" w:hAnsi="Lato"/>
          <w:color w:val="000000" w:themeColor="text1"/>
          <w:sz w:val="22"/>
          <w:szCs w:val="22"/>
          <w:lang w:val="en-GB"/>
        </w:rPr>
        <w:t>Noninvasive</w:t>
      </w:r>
      <w:proofErr w:type="spellEnd"/>
      <w:r w:rsidRPr="00AA22C4">
        <w:rPr>
          <w:rFonts w:ascii="Lato" w:hAnsi="Lato"/>
          <w:color w:val="000000" w:themeColor="text1"/>
          <w:sz w:val="22"/>
          <w:szCs w:val="22"/>
          <w:lang w:val="en-GB"/>
        </w:rPr>
        <w:t xml:space="preserve"> DBS-Based Approaches to Assist Clinical Diagnosis and Treatment Monitoring of Gaucher Disease. </w:t>
      </w:r>
      <w:proofErr w:type="spellStart"/>
      <w:r w:rsidRPr="00AA22C4">
        <w:rPr>
          <w:rFonts w:ascii="Lato" w:hAnsi="Lato"/>
          <w:color w:val="000000" w:themeColor="text1"/>
          <w:sz w:val="22"/>
          <w:szCs w:val="22"/>
        </w:rPr>
        <w:t>Biomedicines</w:t>
      </w:r>
      <w:proofErr w:type="spellEnd"/>
      <w:r w:rsidRPr="00AA22C4">
        <w:rPr>
          <w:rFonts w:ascii="Lato" w:hAnsi="Lato"/>
          <w:color w:val="000000" w:themeColor="text1"/>
          <w:sz w:val="22"/>
          <w:szCs w:val="22"/>
        </w:rPr>
        <w:t xml:space="preserve">. 2023, 29;11(10):2672. doi: 10.3390/biomedicines11102672. </w:t>
      </w:r>
    </w:p>
    <w:p w14:paraId="382C711D" w14:textId="77777777" w:rsidR="005E347E" w:rsidRPr="00AA22C4" w:rsidRDefault="005E347E" w:rsidP="005E347E">
      <w:pPr>
        <w:pStyle w:val="Akapitzlist"/>
        <w:numPr>
          <w:ilvl w:val="0"/>
          <w:numId w:val="3"/>
        </w:numPr>
        <w:spacing w:before="120" w:after="120" w:line="360" w:lineRule="auto"/>
        <w:ind w:left="714" w:hanging="357"/>
        <w:contextualSpacing w:val="0"/>
        <w:jc w:val="both"/>
        <w:rPr>
          <w:rFonts w:ascii="Lato" w:eastAsia="Malgun Gothic" w:hAnsi="Lato" w:cs="Calibri"/>
          <w:color w:val="000000" w:themeColor="text1"/>
          <w:sz w:val="22"/>
          <w:szCs w:val="22"/>
          <w:lang w:val="en-US" w:eastAsia="ko-KR"/>
        </w:rPr>
      </w:pPr>
      <w:r w:rsidRPr="00AA22C4">
        <w:rPr>
          <w:rFonts w:ascii="Lato" w:hAnsi="Lato"/>
          <w:color w:val="000000" w:themeColor="text1"/>
          <w:sz w:val="22"/>
          <w:szCs w:val="22"/>
          <w:lang w:val="en-GB"/>
        </w:rPr>
        <w:t xml:space="preserve">Özdemir GN, Gündüz E. Gaucher Disease for </w:t>
      </w:r>
      <w:proofErr w:type="spellStart"/>
      <w:r w:rsidRPr="00AA22C4">
        <w:rPr>
          <w:rFonts w:ascii="Lato" w:hAnsi="Lato"/>
          <w:color w:val="000000" w:themeColor="text1"/>
          <w:sz w:val="22"/>
          <w:szCs w:val="22"/>
          <w:lang w:val="en-GB"/>
        </w:rPr>
        <w:t>Hematologists</w:t>
      </w:r>
      <w:proofErr w:type="spellEnd"/>
      <w:r w:rsidRPr="00AA22C4">
        <w:rPr>
          <w:rFonts w:ascii="Lato" w:hAnsi="Lato"/>
          <w:color w:val="000000" w:themeColor="text1"/>
          <w:sz w:val="22"/>
          <w:szCs w:val="22"/>
          <w:lang w:val="en-GB"/>
        </w:rPr>
        <w:t xml:space="preserve">. Turk J </w:t>
      </w:r>
      <w:proofErr w:type="spellStart"/>
      <w:r w:rsidRPr="00AA22C4">
        <w:rPr>
          <w:rFonts w:ascii="Lato" w:hAnsi="Lato"/>
          <w:color w:val="000000" w:themeColor="text1"/>
          <w:sz w:val="22"/>
          <w:szCs w:val="22"/>
          <w:lang w:val="en-GB"/>
        </w:rPr>
        <w:t>Haematol</w:t>
      </w:r>
      <w:proofErr w:type="spellEnd"/>
      <w:r w:rsidRPr="00AA22C4">
        <w:rPr>
          <w:rFonts w:ascii="Lato" w:hAnsi="Lato"/>
          <w:color w:val="000000" w:themeColor="text1"/>
          <w:sz w:val="22"/>
          <w:szCs w:val="22"/>
          <w:lang w:val="en-GB"/>
        </w:rPr>
        <w:t xml:space="preserve">. 2022, 1;39(2):136-139. </w:t>
      </w:r>
      <w:proofErr w:type="spellStart"/>
      <w:r w:rsidRPr="00AA22C4">
        <w:rPr>
          <w:rFonts w:ascii="Lato" w:hAnsi="Lato"/>
          <w:color w:val="000000" w:themeColor="text1"/>
          <w:sz w:val="22"/>
          <w:szCs w:val="22"/>
          <w:lang w:val="en-GB"/>
        </w:rPr>
        <w:t>doi</w:t>
      </w:r>
      <w:proofErr w:type="spellEnd"/>
      <w:r w:rsidRPr="00AA22C4">
        <w:rPr>
          <w:rFonts w:ascii="Lato" w:hAnsi="Lato"/>
          <w:color w:val="000000" w:themeColor="text1"/>
          <w:sz w:val="22"/>
          <w:szCs w:val="22"/>
          <w:lang w:val="en-GB"/>
        </w:rPr>
        <w:t>: 10.4274/tjh.galenos.2021.2021.0683.</w:t>
      </w:r>
    </w:p>
    <w:p w14:paraId="1BFC25AD" w14:textId="77777777" w:rsidR="005E347E" w:rsidRPr="00AA22C4" w:rsidRDefault="005E347E" w:rsidP="005E347E">
      <w:pPr>
        <w:pStyle w:val="Akapitzlist"/>
        <w:numPr>
          <w:ilvl w:val="0"/>
          <w:numId w:val="3"/>
        </w:numPr>
        <w:spacing w:before="120" w:after="120" w:line="360" w:lineRule="auto"/>
        <w:ind w:left="714" w:hanging="357"/>
        <w:contextualSpacing w:val="0"/>
        <w:jc w:val="both"/>
        <w:rPr>
          <w:rFonts w:ascii="Lato" w:eastAsia="Malgun Gothic" w:hAnsi="Lato" w:cs="Calibri"/>
          <w:color w:val="000000" w:themeColor="text1"/>
          <w:sz w:val="22"/>
          <w:szCs w:val="22"/>
          <w:lang w:val="en-US" w:eastAsia="ko-KR"/>
        </w:rPr>
      </w:pPr>
      <w:r w:rsidRPr="00AA22C4">
        <w:rPr>
          <w:rFonts w:ascii="Lato" w:hAnsi="Lato"/>
          <w:color w:val="000000" w:themeColor="text1"/>
          <w:sz w:val="22"/>
          <w:szCs w:val="22"/>
          <w:lang w:val="en-GB"/>
        </w:rPr>
        <w:lastRenderedPageBreak/>
        <w:t xml:space="preserve">Sawada T, et al. Newborn screening for Gaucher disease in Japan. Mol Genet </w:t>
      </w:r>
      <w:proofErr w:type="spellStart"/>
      <w:r w:rsidRPr="00AA22C4">
        <w:rPr>
          <w:rFonts w:ascii="Lato" w:hAnsi="Lato"/>
          <w:color w:val="000000" w:themeColor="text1"/>
          <w:sz w:val="22"/>
          <w:szCs w:val="22"/>
          <w:lang w:val="en-GB"/>
        </w:rPr>
        <w:t>Metab</w:t>
      </w:r>
      <w:proofErr w:type="spellEnd"/>
      <w:r w:rsidRPr="00AA22C4">
        <w:rPr>
          <w:rFonts w:ascii="Lato" w:hAnsi="Lato"/>
          <w:color w:val="000000" w:themeColor="text1"/>
          <w:sz w:val="22"/>
          <w:szCs w:val="22"/>
          <w:lang w:val="en-GB"/>
        </w:rPr>
        <w:t xml:space="preserve"> Rep. 2022 Feb </w:t>
      </w:r>
      <w:proofErr w:type="gramStart"/>
      <w:r w:rsidRPr="00AA22C4">
        <w:rPr>
          <w:rFonts w:ascii="Lato" w:hAnsi="Lato"/>
          <w:color w:val="000000" w:themeColor="text1"/>
          <w:sz w:val="22"/>
          <w:szCs w:val="22"/>
          <w:lang w:val="en-GB"/>
        </w:rPr>
        <w:t>18;31:100850</w:t>
      </w:r>
      <w:proofErr w:type="gramEnd"/>
      <w:r w:rsidRPr="00AA22C4">
        <w:rPr>
          <w:rFonts w:ascii="Lato" w:hAnsi="Lato"/>
          <w:color w:val="000000" w:themeColor="text1"/>
          <w:sz w:val="22"/>
          <w:szCs w:val="22"/>
          <w:lang w:val="en-GB"/>
        </w:rPr>
        <w:t xml:space="preserve">. </w:t>
      </w:r>
      <w:proofErr w:type="spellStart"/>
      <w:r w:rsidRPr="00AA22C4">
        <w:rPr>
          <w:rFonts w:ascii="Lato" w:hAnsi="Lato"/>
          <w:color w:val="000000" w:themeColor="text1"/>
          <w:sz w:val="22"/>
          <w:szCs w:val="22"/>
          <w:lang w:val="en-GB"/>
        </w:rPr>
        <w:t>doi</w:t>
      </w:r>
      <w:proofErr w:type="spellEnd"/>
      <w:r w:rsidRPr="00AA22C4">
        <w:rPr>
          <w:rFonts w:ascii="Lato" w:hAnsi="Lato"/>
          <w:color w:val="000000" w:themeColor="text1"/>
          <w:sz w:val="22"/>
          <w:szCs w:val="22"/>
          <w:lang w:val="en-GB"/>
        </w:rPr>
        <w:t>: 10.1016/j.ymgmr.2022.100850. PMID: 35242582; PMCID: PMC8866142.</w:t>
      </w:r>
    </w:p>
    <w:p w14:paraId="333E23E8" w14:textId="77777777" w:rsidR="005E347E" w:rsidRPr="00AA22C4" w:rsidRDefault="005E347E" w:rsidP="005E347E">
      <w:pPr>
        <w:pStyle w:val="Akapitzlist"/>
        <w:numPr>
          <w:ilvl w:val="0"/>
          <w:numId w:val="3"/>
        </w:numPr>
        <w:spacing w:before="120" w:after="120" w:line="360" w:lineRule="auto"/>
        <w:ind w:left="714" w:hanging="357"/>
        <w:contextualSpacing w:val="0"/>
        <w:jc w:val="both"/>
        <w:rPr>
          <w:rFonts w:ascii="Lato" w:eastAsia="Malgun Gothic" w:hAnsi="Lato" w:cs="Calibri"/>
          <w:color w:val="000000" w:themeColor="text1"/>
          <w:sz w:val="22"/>
          <w:szCs w:val="22"/>
          <w:lang w:val="en-US" w:eastAsia="ko-KR"/>
        </w:rPr>
      </w:pPr>
      <w:r w:rsidRPr="00AA22C4">
        <w:rPr>
          <w:rFonts w:ascii="Lato" w:hAnsi="Lato"/>
          <w:color w:val="000000" w:themeColor="text1"/>
          <w:sz w:val="22"/>
          <w:szCs w:val="22"/>
          <w:lang w:val="en-GB"/>
        </w:rPr>
        <w:t xml:space="preserve">Monda E, et al. Impact of </w:t>
      </w:r>
      <w:r w:rsidRPr="00AA22C4">
        <w:rPr>
          <w:rFonts w:ascii="Lato" w:hAnsi="Lato"/>
          <w:i/>
          <w:iCs/>
          <w:color w:val="000000" w:themeColor="text1"/>
          <w:sz w:val="22"/>
          <w:szCs w:val="22"/>
          <w:lang w:val="en-GB"/>
        </w:rPr>
        <w:t>GLA</w:t>
      </w:r>
      <w:r w:rsidRPr="00AA22C4">
        <w:rPr>
          <w:rFonts w:ascii="Lato" w:hAnsi="Lato"/>
          <w:color w:val="000000" w:themeColor="text1"/>
          <w:sz w:val="22"/>
          <w:szCs w:val="22"/>
          <w:lang w:val="en-GB"/>
        </w:rPr>
        <w:t xml:space="preserve"> Variant Classification on the Estimated Prevalence of Fabry Disease: A Systematic Review and Meta-Analysis of Screening Studies. </w:t>
      </w:r>
      <w:proofErr w:type="spellStart"/>
      <w:r w:rsidRPr="00AA22C4">
        <w:rPr>
          <w:rFonts w:ascii="Lato" w:hAnsi="Lato"/>
          <w:color w:val="000000" w:themeColor="text1"/>
          <w:sz w:val="22"/>
          <w:szCs w:val="22"/>
        </w:rPr>
        <w:t>Circ</w:t>
      </w:r>
      <w:proofErr w:type="spellEnd"/>
      <w:r w:rsidRPr="00AA22C4">
        <w:rPr>
          <w:rFonts w:ascii="Lato" w:hAnsi="Lato"/>
          <w:color w:val="000000" w:themeColor="text1"/>
          <w:sz w:val="22"/>
          <w:szCs w:val="22"/>
        </w:rPr>
        <w:t xml:space="preserve"> Genom </w:t>
      </w:r>
      <w:proofErr w:type="spellStart"/>
      <w:r w:rsidRPr="00AA22C4">
        <w:rPr>
          <w:rFonts w:ascii="Lato" w:hAnsi="Lato"/>
          <w:color w:val="000000" w:themeColor="text1"/>
          <w:sz w:val="22"/>
          <w:szCs w:val="22"/>
        </w:rPr>
        <w:t>Precis</w:t>
      </w:r>
      <w:proofErr w:type="spellEnd"/>
      <w:r w:rsidRPr="00AA22C4">
        <w:rPr>
          <w:rFonts w:ascii="Lato" w:hAnsi="Lato"/>
          <w:color w:val="000000" w:themeColor="text1"/>
          <w:sz w:val="22"/>
          <w:szCs w:val="22"/>
        </w:rPr>
        <w:t xml:space="preserve"> Med. 2023, 16(6</w:t>
      </w:r>
      <w:proofErr w:type="gramStart"/>
      <w:r w:rsidRPr="00AA22C4">
        <w:rPr>
          <w:rFonts w:ascii="Lato" w:hAnsi="Lato"/>
          <w:color w:val="000000" w:themeColor="text1"/>
          <w:sz w:val="22"/>
          <w:szCs w:val="22"/>
        </w:rPr>
        <w:t>):e</w:t>
      </w:r>
      <w:proofErr w:type="gramEnd"/>
      <w:r w:rsidRPr="00AA22C4">
        <w:rPr>
          <w:rFonts w:ascii="Lato" w:hAnsi="Lato"/>
          <w:color w:val="000000" w:themeColor="text1"/>
          <w:sz w:val="22"/>
          <w:szCs w:val="22"/>
        </w:rPr>
        <w:t>004252. doi: 10.1161/</w:t>
      </w:r>
    </w:p>
    <w:p w14:paraId="71F44EC0" w14:textId="77777777" w:rsidR="005E347E" w:rsidRPr="00AA22C4" w:rsidRDefault="005E347E" w:rsidP="005E347E">
      <w:pPr>
        <w:pStyle w:val="Akapitzlist"/>
        <w:numPr>
          <w:ilvl w:val="0"/>
          <w:numId w:val="3"/>
        </w:numPr>
        <w:spacing w:before="120" w:after="120" w:line="360" w:lineRule="auto"/>
        <w:ind w:left="714" w:hanging="357"/>
        <w:contextualSpacing w:val="0"/>
        <w:jc w:val="both"/>
        <w:rPr>
          <w:rFonts w:ascii="Lato" w:eastAsia="Malgun Gothic" w:hAnsi="Lato" w:cs="Calibri"/>
          <w:color w:val="000000" w:themeColor="text1"/>
          <w:sz w:val="22"/>
          <w:szCs w:val="22"/>
          <w:lang w:val="en-US" w:eastAsia="ko-KR"/>
        </w:rPr>
      </w:pPr>
      <w:r w:rsidRPr="00AA22C4">
        <w:rPr>
          <w:rFonts w:ascii="Lato" w:hAnsi="Lato"/>
          <w:color w:val="000000" w:themeColor="text1"/>
          <w:sz w:val="22"/>
          <w:szCs w:val="22"/>
          <w:lang w:val="en-US"/>
        </w:rPr>
        <w:t xml:space="preserve">Maruyama H, et al. Effectiveness of plasma lyso-Gb3 as a biomarker for selecting high-risk patients with Fabry disease from multispecialty clinics for genetic analysis. </w:t>
      </w:r>
      <w:r w:rsidRPr="00AA22C4">
        <w:rPr>
          <w:rFonts w:ascii="Lato" w:hAnsi="Lato"/>
          <w:color w:val="000000" w:themeColor="text1"/>
          <w:sz w:val="22"/>
          <w:szCs w:val="22"/>
          <w:lang w:val="en-GB"/>
        </w:rPr>
        <w:t xml:space="preserve">Genet Med. 2019, 21(1):44-52. </w:t>
      </w:r>
      <w:proofErr w:type="spellStart"/>
      <w:r w:rsidRPr="00AA22C4">
        <w:rPr>
          <w:rFonts w:ascii="Lato" w:hAnsi="Lato"/>
          <w:color w:val="000000" w:themeColor="text1"/>
          <w:sz w:val="22"/>
          <w:szCs w:val="22"/>
          <w:lang w:val="en-GB"/>
        </w:rPr>
        <w:t>doi</w:t>
      </w:r>
      <w:proofErr w:type="spellEnd"/>
      <w:r w:rsidRPr="00AA22C4">
        <w:rPr>
          <w:rFonts w:ascii="Lato" w:hAnsi="Lato"/>
          <w:color w:val="000000" w:themeColor="text1"/>
          <w:sz w:val="22"/>
          <w:szCs w:val="22"/>
          <w:lang w:val="en-GB"/>
        </w:rPr>
        <w:t xml:space="preserve">: 10.1038/gim.2018.31. </w:t>
      </w:r>
    </w:p>
    <w:p w14:paraId="447E02ED" w14:textId="77777777" w:rsidR="005E347E" w:rsidRPr="00AA22C4" w:rsidRDefault="005E347E" w:rsidP="005E347E">
      <w:pPr>
        <w:widowControl/>
        <w:numPr>
          <w:ilvl w:val="0"/>
          <w:numId w:val="3"/>
        </w:numPr>
        <w:spacing w:before="120" w:after="120"/>
        <w:ind w:left="714" w:hanging="357"/>
        <w:jc w:val="both"/>
        <w:outlineLvl w:val="2"/>
        <w:rPr>
          <w:rFonts w:ascii="Lato" w:hAnsi="Lato" w:cs="Calibri"/>
          <w:color w:val="000000" w:themeColor="text1"/>
          <w:sz w:val="22"/>
          <w:szCs w:val="22"/>
          <w:lang w:val="en-GB"/>
        </w:rPr>
      </w:pPr>
      <w:r w:rsidRPr="00AA22C4">
        <w:rPr>
          <w:rFonts w:ascii="Lato" w:hAnsi="Lato"/>
          <w:color w:val="000000" w:themeColor="text1"/>
          <w:sz w:val="22"/>
          <w:szCs w:val="22"/>
          <w:lang w:val="en-GB"/>
        </w:rPr>
        <w:t xml:space="preserve">Herbst ZM, et al. Newborn screening for the full set of mucopolysaccharidoses in dried blood spots based on first-tier enzymatic assay followed by second-tier analysis of glycosaminoglycans. Mol Genet </w:t>
      </w:r>
      <w:proofErr w:type="spellStart"/>
      <w:r w:rsidRPr="00AA22C4">
        <w:rPr>
          <w:rFonts w:ascii="Lato" w:hAnsi="Lato"/>
          <w:color w:val="000000" w:themeColor="text1"/>
          <w:sz w:val="22"/>
          <w:szCs w:val="22"/>
          <w:lang w:val="en-GB"/>
        </w:rPr>
        <w:t>Metab</w:t>
      </w:r>
      <w:proofErr w:type="spellEnd"/>
      <w:r w:rsidRPr="00AA22C4">
        <w:rPr>
          <w:rFonts w:ascii="Lato" w:hAnsi="Lato"/>
          <w:color w:val="000000" w:themeColor="text1"/>
          <w:sz w:val="22"/>
          <w:szCs w:val="22"/>
          <w:lang w:val="en-GB"/>
        </w:rPr>
        <w:t xml:space="preserve">. 2023, 140(3):107698. </w:t>
      </w:r>
      <w:proofErr w:type="spellStart"/>
      <w:r w:rsidRPr="00AA22C4">
        <w:rPr>
          <w:rFonts w:ascii="Lato" w:hAnsi="Lato"/>
          <w:color w:val="000000" w:themeColor="text1"/>
          <w:sz w:val="22"/>
          <w:szCs w:val="22"/>
          <w:lang w:val="en-GB"/>
        </w:rPr>
        <w:t>doi</w:t>
      </w:r>
      <w:proofErr w:type="spellEnd"/>
      <w:r w:rsidRPr="00AA22C4">
        <w:rPr>
          <w:rFonts w:ascii="Lato" w:hAnsi="Lato"/>
          <w:color w:val="000000" w:themeColor="text1"/>
          <w:sz w:val="22"/>
          <w:szCs w:val="22"/>
          <w:lang w:val="en-GB"/>
        </w:rPr>
        <w:t>: 10.1016/j.ymgme.2023.107698.</w:t>
      </w:r>
    </w:p>
    <w:p w14:paraId="31431C95" w14:textId="77777777" w:rsidR="005E347E" w:rsidRPr="00AA22C4" w:rsidRDefault="005E347E" w:rsidP="005E347E">
      <w:pPr>
        <w:widowControl/>
        <w:numPr>
          <w:ilvl w:val="0"/>
          <w:numId w:val="3"/>
        </w:numPr>
        <w:spacing w:before="120" w:after="120"/>
        <w:ind w:left="714" w:hanging="357"/>
        <w:jc w:val="both"/>
        <w:outlineLvl w:val="2"/>
        <w:rPr>
          <w:rFonts w:ascii="Lato" w:hAnsi="Lato" w:cs="Calibri"/>
          <w:color w:val="000000" w:themeColor="text1"/>
          <w:sz w:val="22"/>
          <w:szCs w:val="22"/>
          <w:lang w:val="en-GB"/>
        </w:rPr>
      </w:pPr>
      <w:proofErr w:type="spellStart"/>
      <w:r w:rsidRPr="00AA22C4">
        <w:rPr>
          <w:rFonts w:ascii="Lato" w:hAnsi="Lato"/>
          <w:color w:val="000000" w:themeColor="text1"/>
          <w:sz w:val="22"/>
          <w:szCs w:val="22"/>
          <w:lang w:val="en-US"/>
        </w:rPr>
        <w:t>Kubaski</w:t>
      </w:r>
      <w:proofErr w:type="spellEnd"/>
      <w:r w:rsidRPr="00AA22C4">
        <w:rPr>
          <w:rFonts w:ascii="Lato" w:hAnsi="Lato"/>
          <w:color w:val="000000" w:themeColor="text1"/>
          <w:sz w:val="22"/>
          <w:szCs w:val="22"/>
          <w:lang w:val="en-US"/>
        </w:rPr>
        <w:t xml:space="preserve"> F, et al. Mucopolysaccharidosis Type I. Diagnostics (Basel). </w:t>
      </w:r>
      <w:r w:rsidRPr="00AA22C4">
        <w:rPr>
          <w:rFonts w:ascii="Lato" w:hAnsi="Lato"/>
          <w:color w:val="000000" w:themeColor="text1"/>
          <w:sz w:val="22"/>
          <w:szCs w:val="22"/>
        </w:rPr>
        <w:t>2020 Mar 16;10(3):161. doi: 10.3390/diagnostics10030161. PMID: 32188113; PMCID: PMC7151028.</w:t>
      </w:r>
    </w:p>
    <w:p w14:paraId="76AC5BD7" w14:textId="77777777" w:rsidR="005E347E" w:rsidRPr="00AA22C4" w:rsidRDefault="005E347E" w:rsidP="005E347E">
      <w:pPr>
        <w:widowControl/>
        <w:numPr>
          <w:ilvl w:val="0"/>
          <w:numId w:val="3"/>
        </w:numPr>
        <w:spacing w:before="120" w:after="120"/>
        <w:ind w:left="714" w:hanging="357"/>
        <w:jc w:val="both"/>
        <w:outlineLvl w:val="2"/>
        <w:rPr>
          <w:rFonts w:ascii="Lato" w:hAnsi="Lato" w:cs="Calibri"/>
          <w:color w:val="000000" w:themeColor="text1"/>
          <w:sz w:val="22"/>
          <w:szCs w:val="22"/>
          <w:lang w:val="en-GB"/>
        </w:rPr>
      </w:pPr>
      <w:r w:rsidRPr="00AA22C4">
        <w:rPr>
          <w:rFonts w:ascii="Lato" w:hAnsi="Lato"/>
          <w:color w:val="000000" w:themeColor="text1"/>
          <w:sz w:val="22"/>
          <w:szCs w:val="22"/>
          <w:lang w:val="en-GB"/>
        </w:rPr>
        <w:t xml:space="preserve">Arunkumar N, et al. Newborn screening of mucopolysaccharidoses: past, present, and future. </w:t>
      </w:r>
      <w:r w:rsidRPr="00AA22C4">
        <w:rPr>
          <w:rFonts w:ascii="Lato" w:hAnsi="Lato"/>
          <w:color w:val="000000" w:themeColor="text1"/>
          <w:sz w:val="22"/>
          <w:szCs w:val="22"/>
        </w:rPr>
        <w:t>J Hum Genet. 2020, 65(7):557-567. doi: 10.1038/s10038-020-0744-8.</w:t>
      </w:r>
    </w:p>
    <w:p w14:paraId="4D4C2D88" w14:textId="77777777" w:rsidR="005E347E" w:rsidRPr="00AA22C4" w:rsidRDefault="005E347E" w:rsidP="005E347E">
      <w:pPr>
        <w:numPr>
          <w:ilvl w:val="0"/>
          <w:numId w:val="3"/>
        </w:numPr>
        <w:spacing w:before="120" w:after="120"/>
        <w:ind w:left="714" w:hanging="357"/>
        <w:jc w:val="both"/>
        <w:outlineLvl w:val="2"/>
        <w:rPr>
          <w:rFonts w:ascii="Lato" w:hAnsi="Lato"/>
          <w:color w:val="000000" w:themeColor="text1"/>
          <w:sz w:val="22"/>
          <w:szCs w:val="22"/>
        </w:rPr>
      </w:pPr>
      <w:proofErr w:type="spellStart"/>
      <w:r w:rsidRPr="00AA22C4">
        <w:rPr>
          <w:rFonts w:ascii="Lato" w:hAnsi="Lato"/>
          <w:color w:val="000000" w:themeColor="text1"/>
          <w:sz w:val="22"/>
          <w:szCs w:val="22"/>
          <w:lang w:val="en-US"/>
        </w:rPr>
        <w:t>Gaviglio</w:t>
      </w:r>
      <w:proofErr w:type="spellEnd"/>
      <w:r w:rsidRPr="00AA22C4">
        <w:rPr>
          <w:rFonts w:ascii="Lato" w:hAnsi="Lato"/>
          <w:color w:val="000000" w:themeColor="text1"/>
          <w:sz w:val="22"/>
          <w:szCs w:val="22"/>
          <w:lang w:val="en-US"/>
        </w:rPr>
        <w:t xml:space="preserve"> A, </w:t>
      </w:r>
      <w:proofErr w:type="spellStart"/>
      <w:r w:rsidRPr="00AA22C4">
        <w:rPr>
          <w:rFonts w:ascii="Lato" w:hAnsi="Lato"/>
          <w:color w:val="000000" w:themeColor="text1"/>
          <w:sz w:val="22"/>
          <w:szCs w:val="22"/>
          <w:lang w:val="en-US"/>
        </w:rPr>
        <w:t>Lasarev</w:t>
      </w:r>
      <w:proofErr w:type="spellEnd"/>
      <w:r w:rsidRPr="00AA22C4">
        <w:rPr>
          <w:rFonts w:ascii="Lato" w:hAnsi="Lato"/>
          <w:color w:val="000000" w:themeColor="text1"/>
          <w:sz w:val="22"/>
          <w:szCs w:val="22"/>
          <w:lang w:val="en-US"/>
        </w:rPr>
        <w:t xml:space="preserve"> M, Sheller R, Singh S, Baker M. Newborn Screening for Severe Combined Immunodeficiency: Lessons Learned from Screening and Follow-Up of the Preterm Newborn Population. </w:t>
      </w:r>
      <w:r w:rsidRPr="00AA22C4">
        <w:rPr>
          <w:rFonts w:ascii="Lato" w:hAnsi="Lato"/>
          <w:i/>
          <w:iCs/>
          <w:color w:val="000000" w:themeColor="text1"/>
          <w:sz w:val="22"/>
          <w:szCs w:val="22"/>
          <w:lang w:val="en-US"/>
        </w:rPr>
        <w:t>International Journal of Neonatal Screening</w:t>
      </w:r>
      <w:r w:rsidRPr="00AA22C4">
        <w:rPr>
          <w:rFonts w:ascii="Lato" w:hAnsi="Lato"/>
          <w:color w:val="000000" w:themeColor="text1"/>
          <w:sz w:val="22"/>
          <w:szCs w:val="22"/>
          <w:lang w:val="en-US"/>
        </w:rPr>
        <w:t xml:space="preserve">. 2023; 9(4):68. </w:t>
      </w:r>
      <w:hyperlink r:id="rId92" w:history="1">
        <w:r w:rsidRPr="00AA22C4">
          <w:rPr>
            <w:rStyle w:val="Hipercze"/>
            <w:rFonts w:ascii="Lato" w:hAnsi="Lato"/>
            <w:color w:val="000000" w:themeColor="text1"/>
            <w:sz w:val="22"/>
            <w:szCs w:val="22"/>
          </w:rPr>
          <w:t>https://doi.org/10.3390/ijns9040068</w:t>
        </w:r>
      </w:hyperlink>
    </w:p>
    <w:p w14:paraId="7E7B9FEE" w14:textId="77777777" w:rsidR="005E347E" w:rsidRPr="00AA22C4" w:rsidRDefault="005E347E" w:rsidP="005E347E">
      <w:pPr>
        <w:numPr>
          <w:ilvl w:val="0"/>
          <w:numId w:val="3"/>
        </w:numPr>
        <w:spacing w:before="120" w:after="120"/>
        <w:ind w:left="714" w:hanging="357"/>
        <w:jc w:val="both"/>
        <w:outlineLvl w:val="2"/>
        <w:rPr>
          <w:rFonts w:ascii="Lato" w:hAnsi="Lato" w:cs="Calibri"/>
          <w:color w:val="000000" w:themeColor="text1"/>
          <w:sz w:val="22"/>
          <w:szCs w:val="22"/>
          <w:lang w:val="en-US"/>
        </w:rPr>
      </w:pPr>
      <w:proofErr w:type="spellStart"/>
      <w:r w:rsidRPr="00AA22C4">
        <w:rPr>
          <w:rFonts w:ascii="Lato" w:hAnsi="Lato" w:cs="Calibri"/>
          <w:color w:val="000000" w:themeColor="text1"/>
          <w:sz w:val="22"/>
          <w:szCs w:val="22"/>
          <w:lang w:val="en-US"/>
        </w:rPr>
        <w:t>Wadbudhe</w:t>
      </w:r>
      <w:proofErr w:type="spellEnd"/>
      <w:r w:rsidRPr="00AA22C4">
        <w:rPr>
          <w:rFonts w:ascii="Lato" w:hAnsi="Lato" w:cs="Calibri"/>
          <w:color w:val="000000" w:themeColor="text1"/>
          <w:sz w:val="22"/>
          <w:szCs w:val="22"/>
          <w:lang w:val="en-US"/>
        </w:rPr>
        <w:t xml:space="preserve"> AM, Meshram RJ, </w:t>
      </w:r>
      <w:proofErr w:type="spellStart"/>
      <w:r w:rsidRPr="00AA22C4">
        <w:rPr>
          <w:rFonts w:ascii="Lato" w:hAnsi="Lato" w:cs="Calibri"/>
          <w:color w:val="000000" w:themeColor="text1"/>
          <w:sz w:val="22"/>
          <w:szCs w:val="22"/>
          <w:lang w:val="en-US"/>
        </w:rPr>
        <w:t>Tidke</w:t>
      </w:r>
      <w:proofErr w:type="spellEnd"/>
      <w:r w:rsidRPr="00AA22C4">
        <w:rPr>
          <w:rFonts w:ascii="Lato" w:hAnsi="Lato" w:cs="Calibri"/>
          <w:color w:val="000000" w:themeColor="text1"/>
          <w:sz w:val="22"/>
          <w:szCs w:val="22"/>
          <w:lang w:val="en-US"/>
        </w:rPr>
        <w:t xml:space="preserve"> SC (October 26, 2023) Severe Combined Immunodeficiency (SCID) and Its New Treatment Modalities. </w:t>
      </w:r>
      <w:proofErr w:type="spellStart"/>
      <w:r w:rsidRPr="00AA22C4">
        <w:rPr>
          <w:rFonts w:ascii="Lato" w:hAnsi="Lato" w:cs="Calibri"/>
          <w:color w:val="000000" w:themeColor="text1"/>
          <w:sz w:val="22"/>
          <w:szCs w:val="22"/>
          <w:lang w:val="en-US"/>
        </w:rPr>
        <w:t>Cureus</w:t>
      </w:r>
      <w:proofErr w:type="spellEnd"/>
      <w:r w:rsidRPr="00AA22C4">
        <w:rPr>
          <w:rFonts w:ascii="Lato" w:hAnsi="Lato" w:cs="Calibri"/>
          <w:color w:val="000000" w:themeColor="text1"/>
          <w:sz w:val="22"/>
          <w:szCs w:val="22"/>
          <w:lang w:val="en-US"/>
        </w:rPr>
        <w:t xml:space="preserve"> 15(10): e47759. DOI 10.7759/cureus.47759</w:t>
      </w:r>
    </w:p>
    <w:p w14:paraId="67B37262" w14:textId="77777777" w:rsidR="005E347E" w:rsidRPr="00AA22C4" w:rsidRDefault="005E347E" w:rsidP="005E347E">
      <w:pPr>
        <w:numPr>
          <w:ilvl w:val="0"/>
          <w:numId w:val="3"/>
        </w:numPr>
        <w:spacing w:before="120" w:after="120"/>
        <w:ind w:left="714" w:hanging="357"/>
        <w:jc w:val="both"/>
        <w:outlineLvl w:val="2"/>
        <w:rPr>
          <w:rFonts w:ascii="Lato" w:hAnsi="Lato" w:cs="Calibri"/>
          <w:color w:val="000000" w:themeColor="text1"/>
          <w:sz w:val="22"/>
          <w:szCs w:val="22"/>
          <w:lang w:val="en-US"/>
        </w:rPr>
      </w:pPr>
      <w:proofErr w:type="spellStart"/>
      <w:r w:rsidRPr="00AA22C4">
        <w:rPr>
          <w:rFonts w:ascii="Lato" w:hAnsi="Lato" w:cs="Calibri"/>
          <w:color w:val="000000" w:themeColor="text1"/>
          <w:sz w:val="22"/>
          <w:szCs w:val="22"/>
          <w:lang w:val="en-US"/>
        </w:rPr>
        <w:t>Bousfiha</w:t>
      </w:r>
      <w:proofErr w:type="spellEnd"/>
      <w:r w:rsidRPr="00AA22C4">
        <w:rPr>
          <w:rFonts w:ascii="Lato" w:hAnsi="Lato" w:cs="Calibri"/>
          <w:color w:val="000000" w:themeColor="text1"/>
          <w:sz w:val="22"/>
          <w:szCs w:val="22"/>
          <w:lang w:val="en-US"/>
        </w:rPr>
        <w:t xml:space="preserve">, A., </w:t>
      </w:r>
      <w:proofErr w:type="spellStart"/>
      <w:r w:rsidRPr="00AA22C4">
        <w:rPr>
          <w:rFonts w:ascii="Lato" w:hAnsi="Lato" w:cs="Calibri"/>
          <w:color w:val="000000" w:themeColor="text1"/>
          <w:sz w:val="22"/>
          <w:szCs w:val="22"/>
          <w:lang w:val="en-US"/>
        </w:rPr>
        <w:t>Moundir</w:t>
      </w:r>
      <w:proofErr w:type="spellEnd"/>
      <w:r w:rsidRPr="00AA22C4">
        <w:rPr>
          <w:rFonts w:ascii="Lato" w:hAnsi="Lato" w:cs="Calibri"/>
          <w:color w:val="000000" w:themeColor="text1"/>
          <w:sz w:val="22"/>
          <w:szCs w:val="22"/>
          <w:lang w:val="en-US"/>
        </w:rPr>
        <w:t xml:space="preserve">, A., Tangye, S.G. </w:t>
      </w:r>
      <w:r w:rsidRPr="00AA22C4">
        <w:rPr>
          <w:rFonts w:ascii="Lato" w:hAnsi="Lato" w:cs="Calibri"/>
          <w:i/>
          <w:iCs/>
          <w:color w:val="000000" w:themeColor="text1"/>
          <w:sz w:val="22"/>
          <w:szCs w:val="22"/>
          <w:lang w:val="en-US"/>
        </w:rPr>
        <w:t>et al.</w:t>
      </w:r>
      <w:r w:rsidRPr="00AA22C4">
        <w:rPr>
          <w:rFonts w:ascii="Lato" w:hAnsi="Lato" w:cs="Calibri"/>
          <w:color w:val="000000" w:themeColor="text1"/>
          <w:sz w:val="22"/>
          <w:szCs w:val="22"/>
          <w:lang w:val="en-US"/>
        </w:rPr>
        <w:t xml:space="preserve"> The 2022 Update of IUIS Phenotypical Classification for Human Inborn Errors of Immunity. </w:t>
      </w:r>
      <w:r w:rsidRPr="00AA22C4">
        <w:rPr>
          <w:rFonts w:ascii="Lato" w:hAnsi="Lato" w:cs="Calibri"/>
          <w:i/>
          <w:iCs/>
          <w:color w:val="000000" w:themeColor="text1"/>
          <w:sz w:val="22"/>
          <w:szCs w:val="22"/>
        </w:rPr>
        <w:t xml:space="preserve">J </w:t>
      </w:r>
      <w:proofErr w:type="spellStart"/>
      <w:r w:rsidRPr="00AA22C4">
        <w:rPr>
          <w:rFonts w:ascii="Lato" w:hAnsi="Lato" w:cs="Calibri"/>
          <w:i/>
          <w:iCs/>
          <w:color w:val="000000" w:themeColor="text1"/>
          <w:sz w:val="22"/>
          <w:szCs w:val="22"/>
        </w:rPr>
        <w:t>Clin</w:t>
      </w:r>
      <w:proofErr w:type="spellEnd"/>
      <w:r w:rsidRPr="00AA22C4">
        <w:rPr>
          <w:rFonts w:ascii="Lato" w:hAnsi="Lato" w:cs="Calibri"/>
          <w:i/>
          <w:iCs/>
          <w:color w:val="000000" w:themeColor="text1"/>
          <w:sz w:val="22"/>
          <w:szCs w:val="22"/>
        </w:rPr>
        <w:t xml:space="preserve"> </w:t>
      </w:r>
      <w:proofErr w:type="spellStart"/>
      <w:r w:rsidRPr="00AA22C4">
        <w:rPr>
          <w:rFonts w:ascii="Lato" w:hAnsi="Lato" w:cs="Calibri"/>
          <w:i/>
          <w:iCs/>
          <w:color w:val="000000" w:themeColor="text1"/>
          <w:sz w:val="22"/>
          <w:szCs w:val="22"/>
        </w:rPr>
        <w:t>Immunol</w:t>
      </w:r>
      <w:proofErr w:type="spellEnd"/>
      <w:r w:rsidRPr="00AA22C4">
        <w:rPr>
          <w:rFonts w:ascii="Lato" w:hAnsi="Lato" w:cs="Calibri"/>
          <w:color w:val="000000" w:themeColor="text1"/>
          <w:sz w:val="22"/>
          <w:szCs w:val="22"/>
        </w:rPr>
        <w:t xml:space="preserve"> 42, 1508–1520 (2022). </w:t>
      </w:r>
      <w:hyperlink r:id="rId93" w:history="1">
        <w:r w:rsidRPr="00AA22C4">
          <w:rPr>
            <w:rStyle w:val="Hipercze"/>
            <w:rFonts w:ascii="Lato" w:hAnsi="Lato" w:cs="Calibri"/>
            <w:color w:val="000000" w:themeColor="text1"/>
            <w:sz w:val="22"/>
            <w:szCs w:val="22"/>
          </w:rPr>
          <w:t>https://doi.org/10.1007/s10875-022-01352-z</w:t>
        </w:r>
      </w:hyperlink>
    </w:p>
    <w:p w14:paraId="6A37FC6E" w14:textId="77777777" w:rsidR="005E347E" w:rsidRPr="00AA22C4" w:rsidRDefault="005E347E" w:rsidP="005E347E">
      <w:pPr>
        <w:numPr>
          <w:ilvl w:val="0"/>
          <w:numId w:val="3"/>
        </w:numPr>
        <w:spacing w:before="120" w:after="120"/>
        <w:ind w:left="714" w:hanging="357"/>
        <w:jc w:val="both"/>
        <w:outlineLvl w:val="2"/>
        <w:rPr>
          <w:rFonts w:ascii="Lato" w:hAnsi="Lato" w:cs="Calibri"/>
          <w:color w:val="000000" w:themeColor="text1"/>
          <w:sz w:val="22"/>
          <w:szCs w:val="22"/>
          <w:lang w:val="en-US"/>
        </w:rPr>
      </w:pPr>
      <w:r w:rsidRPr="00AA22C4">
        <w:rPr>
          <w:rFonts w:ascii="Lato" w:hAnsi="Lato" w:cs="Calibri"/>
          <w:color w:val="000000" w:themeColor="text1"/>
          <w:sz w:val="22"/>
          <w:szCs w:val="22"/>
          <w:lang w:val="en-US"/>
        </w:rPr>
        <w:t xml:space="preserve">Howley E, </w:t>
      </w:r>
      <w:proofErr w:type="spellStart"/>
      <w:r w:rsidRPr="00AA22C4">
        <w:rPr>
          <w:rFonts w:ascii="Lato" w:hAnsi="Lato" w:cs="Calibri"/>
          <w:color w:val="000000" w:themeColor="text1"/>
          <w:sz w:val="22"/>
          <w:szCs w:val="22"/>
          <w:lang w:val="en-US"/>
        </w:rPr>
        <w:t>Golwala</w:t>
      </w:r>
      <w:proofErr w:type="spellEnd"/>
      <w:r w:rsidRPr="00AA22C4">
        <w:rPr>
          <w:rFonts w:ascii="Lato" w:hAnsi="Lato" w:cs="Calibri"/>
          <w:color w:val="000000" w:themeColor="text1"/>
          <w:sz w:val="22"/>
          <w:szCs w:val="22"/>
          <w:lang w:val="en-US"/>
        </w:rPr>
        <w:t xml:space="preserve"> Z, Buckland M, Barzaghi F, Ghosh S, Hackett S, Hague R, Hauck F, Holzer U, </w:t>
      </w:r>
      <w:proofErr w:type="spellStart"/>
      <w:r w:rsidRPr="00AA22C4">
        <w:rPr>
          <w:rFonts w:ascii="Lato" w:hAnsi="Lato" w:cs="Calibri"/>
          <w:color w:val="000000" w:themeColor="text1"/>
          <w:sz w:val="22"/>
          <w:szCs w:val="22"/>
          <w:lang w:val="en-US"/>
        </w:rPr>
        <w:t>Klocperk</w:t>
      </w:r>
      <w:proofErr w:type="spellEnd"/>
      <w:r w:rsidRPr="00AA22C4">
        <w:rPr>
          <w:rFonts w:ascii="Lato" w:hAnsi="Lato" w:cs="Calibri"/>
          <w:color w:val="000000" w:themeColor="text1"/>
          <w:sz w:val="22"/>
          <w:szCs w:val="22"/>
          <w:lang w:val="en-US"/>
        </w:rPr>
        <w:t xml:space="preserve"> A, </w:t>
      </w:r>
      <w:proofErr w:type="spellStart"/>
      <w:r w:rsidRPr="00AA22C4">
        <w:rPr>
          <w:rFonts w:ascii="Lato" w:hAnsi="Lato" w:cs="Calibri"/>
          <w:color w:val="000000" w:themeColor="text1"/>
          <w:sz w:val="22"/>
          <w:szCs w:val="22"/>
          <w:lang w:val="en-US"/>
        </w:rPr>
        <w:t>Koskenvuo</w:t>
      </w:r>
      <w:proofErr w:type="spellEnd"/>
      <w:r w:rsidRPr="00AA22C4">
        <w:rPr>
          <w:rFonts w:ascii="Lato" w:hAnsi="Lato" w:cs="Calibri"/>
          <w:color w:val="000000" w:themeColor="text1"/>
          <w:sz w:val="22"/>
          <w:szCs w:val="22"/>
          <w:lang w:val="en-US"/>
        </w:rPr>
        <w:t xml:space="preserve"> M, Marcus N, </w:t>
      </w:r>
      <w:proofErr w:type="spellStart"/>
      <w:r w:rsidRPr="00AA22C4">
        <w:rPr>
          <w:rFonts w:ascii="Lato" w:hAnsi="Lato" w:cs="Calibri"/>
          <w:color w:val="000000" w:themeColor="text1"/>
          <w:sz w:val="22"/>
          <w:szCs w:val="22"/>
          <w:lang w:val="en-US"/>
        </w:rPr>
        <w:t>Marzollo</w:t>
      </w:r>
      <w:proofErr w:type="spellEnd"/>
      <w:r w:rsidRPr="00AA22C4">
        <w:rPr>
          <w:rFonts w:ascii="Lato" w:hAnsi="Lato" w:cs="Calibri"/>
          <w:color w:val="000000" w:themeColor="text1"/>
          <w:sz w:val="22"/>
          <w:szCs w:val="22"/>
          <w:lang w:val="en-US"/>
        </w:rPr>
        <w:t xml:space="preserve"> A, Pac M, Sinclair J, Speckmann C, </w:t>
      </w:r>
      <w:proofErr w:type="spellStart"/>
      <w:r w:rsidRPr="00AA22C4">
        <w:rPr>
          <w:rFonts w:ascii="Lato" w:hAnsi="Lato" w:cs="Calibri"/>
          <w:color w:val="000000" w:themeColor="text1"/>
          <w:sz w:val="22"/>
          <w:szCs w:val="22"/>
          <w:lang w:val="en-US"/>
        </w:rPr>
        <w:t>Soomann</w:t>
      </w:r>
      <w:proofErr w:type="spellEnd"/>
      <w:r w:rsidRPr="00AA22C4">
        <w:rPr>
          <w:rFonts w:ascii="Lato" w:hAnsi="Lato" w:cs="Calibri"/>
          <w:color w:val="000000" w:themeColor="text1"/>
          <w:sz w:val="22"/>
          <w:szCs w:val="22"/>
          <w:lang w:val="en-US"/>
        </w:rPr>
        <w:t xml:space="preserve"> M, Speirs L, Suresh S, Taque S, van </w:t>
      </w:r>
      <w:proofErr w:type="spellStart"/>
      <w:r w:rsidRPr="00AA22C4">
        <w:rPr>
          <w:rFonts w:ascii="Lato" w:hAnsi="Lato" w:cs="Calibri"/>
          <w:color w:val="000000" w:themeColor="text1"/>
          <w:sz w:val="22"/>
          <w:szCs w:val="22"/>
          <w:lang w:val="en-US"/>
        </w:rPr>
        <w:t>Montfrans</w:t>
      </w:r>
      <w:proofErr w:type="spellEnd"/>
      <w:r w:rsidRPr="00AA22C4">
        <w:rPr>
          <w:rFonts w:ascii="Lato" w:hAnsi="Lato" w:cs="Calibri"/>
          <w:color w:val="000000" w:themeColor="text1"/>
          <w:sz w:val="22"/>
          <w:szCs w:val="22"/>
          <w:lang w:val="en-US"/>
        </w:rPr>
        <w:t xml:space="preserve"> J, von </w:t>
      </w:r>
      <w:proofErr w:type="spellStart"/>
      <w:r w:rsidRPr="00AA22C4">
        <w:rPr>
          <w:rFonts w:ascii="Lato" w:hAnsi="Lato" w:cs="Calibri"/>
          <w:color w:val="000000" w:themeColor="text1"/>
          <w:sz w:val="22"/>
          <w:szCs w:val="22"/>
          <w:lang w:val="en-US"/>
        </w:rPr>
        <w:t>Bernuth</w:t>
      </w:r>
      <w:proofErr w:type="spellEnd"/>
      <w:r w:rsidRPr="00AA22C4">
        <w:rPr>
          <w:rFonts w:ascii="Lato" w:hAnsi="Lato" w:cs="Calibri"/>
          <w:color w:val="000000" w:themeColor="text1"/>
          <w:sz w:val="22"/>
          <w:szCs w:val="22"/>
          <w:lang w:val="en-US"/>
        </w:rPr>
        <w:t xml:space="preserve"> H, Wainstein BK, Worth A, Davies EG, Kreins AY. Impact of newborn screening for SCID on </w:t>
      </w:r>
      <w:r w:rsidRPr="00AA22C4">
        <w:rPr>
          <w:rFonts w:ascii="Lato" w:hAnsi="Lato" w:cs="Calibri"/>
          <w:color w:val="000000" w:themeColor="text1"/>
          <w:sz w:val="22"/>
          <w:szCs w:val="22"/>
          <w:lang w:val="en-US"/>
        </w:rPr>
        <w:lastRenderedPageBreak/>
        <w:t xml:space="preserve">the management of congenital </w:t>
      </w:r>
      <w:proofErr w:type="spellStart"/>
      <w:r w:rsidRPr="00AA22C4">
        <w:rPr>
          <w:rFonts w:ascii="Lato" w:hAnsi="Lato" w:cs="Calibri"/>
          <w:color w:val="000000" w:themeColor="text1"/>
          <w:sz w:val="22"/>
          <w:szCs w:val="22"/>
          <w:lang w:val="en-US"/>
        </w:rPr>
        <w:t>athymia</w:t>
      </w:r>
      <w:proofErr w:type="spellEnd"/>
      <w:r w:rsidRPr="00AA22C4">
        <w:rPr>
          <w:rFonts w:ascii="Lato" w:hAnsi="Lato" w:cs="Calibri"/>
          <w:color w:val="000000" w:themeColor="text1"/>
          <w:sz w:val="22"/>
          <w:szCs w:val="22"/>
          <w:lang w:val="en-US"/>
        </w:rPr>
        <w:t xml:space="preserve">. J Allergy Clin Immunol. 2024 Jan;153(1):330-334. </w:t>
      </w:r>
      <w:proofErr w:type="spellStart"/>
      <w:r w:rsidRPr="00AA22C4">
        <w:rPr>
          <w:rFonts w:ascii="Lato" w:hAnsi="Lato" w:cs="Calibri"/>
          <w:color w:val="000000" w:themeColor="text1"/>
          <w:sz w:val="22"/>
          <w:szCs w:val="22"/>
          <w:lang w:val="en-US"/>
        </w:rPr>
        <w:t>doi</w:t>
      </w:r>
      <w:proofErr w:type="spellEnd"/>
      <w:r w:rsidRPr="00AA22C4">
        <w:rPr>
          <w:rFonts w:ascii="Lato" w:hAnsi="Lato" w:cs="Calibri"/>
          <w:color w:val="000000" w:themeColor="text1"/>
          <w:sz w:val="22"/>
          <w:szCs w:val="22"/>
          <w:lang w:val="en-US"/>
        </w:rPr>
        <w:t>: 10.1016/j.jaci.2023.08.031.</w:t>
      </w:r>
    </w:p>
    <w:p w14:paraId="00DBF835" w14:textId="77777777" w:rsidR="005E347E" w:rsidRPr="00AA22C4" w:rsidRDefault="005E347E" w:rsidP="005E347E">
      <w:pPr>
        <w:numPr>
          <w:ilvl w:val="0"/>
          <w:numId w:val="3"/>
        </w:numPr>
        <w:spacing w:before="120" w:after="120"/>
        <w:ind w:left="714" w:hanging="357"/>
        <w:jc w:val="both"/>
        <w:outlineLvl w:val="2"/>
        <w:rPr>
          <w:rFonts w:ascii="Lato" w:hAnsi="Lato" w:cs="Calibri"/>
          <w:color w:val="000000" w:themeColor="text1"/>
          <w:sz w:val="22"/>
          <w:szCs w:val="22"/>
          <w:lang w:val="en-US"/>
        </w:rPr>
      </w:pPr>
      <w:r w:rsidRPr="00AA22C4">
        <w:rPr>
          <w:rFonts w:ascii="Lato" w:hAnsi="Lato" w:cs="Calibri"/>
          <w:color w:val="000000" w:themeColor="text1"/>
          <w:sz w:val="22"/>
          <w:szCs w:val="22"/>
          <w:lang w:val="en-GB"/>
        </w:rPr>
        <w:t>c</w:t>
      </w:r>
      <w:r w:rsidRPr="00AA22C4">
        <w:rPr>
          <w:rFonts w:ascii="Lato" w:hAnsi="Lato"/>
          <w:color w:val="000000" w:themeColor="text1"/>
          <w:lang w:val="en-US"/>
        </w:rPr>
        <w:t xml:space="preserve"> </w:t>
      </w:r>
      <w:r w:rsidRPr="00AA22C4">
        <w:rPr>
          <w:rFonts w:ascii="Lato" w:hAnsi="Lato" w:cs="Calibri"/>
          <w:color w:val="000000" w:themeColor="text1"/>
          <w:sz w:val="22"/>
          <w:szCs w:val="22"/>
          <w:lang w:val="en-US"/>
        </w:rPr>
        <w:t xml:space="preserve">Heimall J, Logan BR, Cowan MJ, Notarangelo LD, Griffith LM, Puck JM, Kohn DB, Pulsipher MA, Parikh S, Martinez C et al. Immune reconstitution and survival of 100 SCID patients post–hematopoietic cell transplant: A PIDTC natural history study. </w:t>
      </w:r>
      <w:r w:rsidRPr="00AA22C4">
        <w:rPr>
          <w:rFonts w:ascii="Lato" w:hAnsi="Lato" w:cs="Calibri"/>
          <w:color w:val="000000" w:themeColor="text1"/>
          <w:sz w:val="22"/>
          <w:szCs w:val="22"/>
        </w:rPr>
        <w:t>Blood 2017, 130, 2718–2727.</w:t>
      </w:r>
    </w:p>
    <w:p w14:paraId="11CDC07B" w14:textId="77777777" w:rsidR="005E347E" w:rsidRPr="00AA22C4" w:rsidRDefault="005E347E" w:rsidP="005E347E">
      <w:pPr>
        <w:widowControl/>
        <w:numPr>
          <w:ilvl w:val="0"/>
          <w:numId w:val="3"/>
        </w:numPr>
        <w:spacing w:before="120" w:after="120"/>
        <w:ind w:left="714" w:hanging="357"/>
        <w:jc w:val="both"/>
        <w:outlineLvl w:val="2"/>
        <w:rPr>
          <w:rFonts w:ascii="Lato" w:hAnsi="Lato" w:cs="Calibri"/>
          <w:color w:val="000000" w:themeColor="text1"/>
          <w:sz w:val="22"/>
          <w:szCs w:val="22"/>
          <w:lang w:val="en-US"/>
        </w:rPr>
      </w:pPr>
      <w:r w:rsidRPr="00AA22C4">
        <w:rPr>
          <w:rFonts w:ascii="Lato" w:hAnsi="Lato" w:cs="Calibri"/>
          <w:color w:val="000000" w:themeColor="text1"/>
          <w:sz w:val="22"/>
          <w:szCs w:val="22"/>
          <w:lang w:val="en-US"/>
        </w:rPr>
        <w:t xml:space="preserve">Al Ghamdi A, </w:t>
      </w:r>
      <w:proofErr w:type="spellStart"/>
      <w:r w:rsidRPr="00AA22C4">
        <w:rPr>
          <w:rFonts w:ascii="Lato" w:hAnsi="Lato" w:cs="Calibri"/>
          <w:color w:val="000000" w:themeColor="text1"/>
          <w:sz w:val="22"/>
          <w:szCs w:val="22"/>
          <w:lang w:val="en-US"/>
        </w:rPr>
        <w:t>Pachul</w:t>
      </w:r>
      <w:proofErr w:type="spellEnd"/>
      <w:r w:rsidRPr="00AA22C4">
        <w:rPr>
          <w:rFonts w:ascii="Lato" w:hAnsi="Lato" w:cs="Calibri"/>
          <w:color w:val="000000" w:themeColor="text1"/>
          <w:sz w:val="22"/>
          <w:szCs w:val="22"/>
          <w:lang w:val="en-US"/>
        </w:rPr>
        <w:t xml:space="preserve"> JW, Al </w:t>
      </w:r>
      <w:proofErr w:type="spellStart"/>
      <w:r w:rsidRPr="00AA22C4">
        <w:rPr>
          <w:rFonts w:ascii="Lato" w:hAnsi="Lato" w:cs="Calibri"/>
          <w:color w:val="000000" w:themeColor="text1"/>
          <w:sz w:val="22"/>
          <w:szCs w:val="22"/>
          <w:lang w:val="en-US"/>
        </w:rPr>
        <w:t>Shaqaq</w:t>
      </w:r>
      <w:proofErr w:type="spellEnd"/>
      <w:r w:rsidRPr="00AA22C4">
        <w:rPr>
          <w:rFonts w:ascii="Lato" w:hAnsi="Lato" w:cs="Calibri"/>
          <w:color w:val="000000" w:themeColor="text1"/>
          <w:sz w:val="22"/>
          <w:szCs w:val="22"/>
          <w:lang w:val="en-US"/>
        </w:rPr>
        <w:t xml:space="preserve"> A, Fraser M, Watts-Dickens A, Yang N, Vong L, Kim VHD, Siu VM, Pham-Huy A, et al. A Unique Comprehensive Model to Screen Newborns for Severe Combined Immunodeficiency—An Ontario Single-Centre Experience Spanning 2013–2023. </w:t>
      </w:r>
      <w:proofErr w:type="spellStart"/>
      <w:r w:rsidRPr="00AA22C4">
        <w:rPr>
          <w:rFonts w:ascii="Lato" w:hAnsi="Lato" w:cs="Calibri"/>
          <w:i/>
          <w:iCs/>
          <w:color w:val="000000" w:themeColor="text1"/>
          <w:sz w:val="22"/>
          <w:szCs w:val="22"/>
        </w:rPr>
        <w:t>Genes</w:t>
      </w:r>
      <w:proofErr w:type="spellEnd"/>
      <w:r w:rsidRPr="00AA22C4">
        <w:rPr>
          <w:rFonts w:ascii="Lato" w:hAnsi="Lato" w:cs="Calibri"/>
          <w:color w:val="000000" w:themeColor="text1"/>
          <w:sz w:val="22"/>
          <w:szCs w:val="22"/>
        </w:rPr>
        <w:t xml:space="preserve">. 2024; 15(7):920. </w:t>
      </w:r>
      <w:hyperlink r:id="rId94" w:history="1">
        <w:r w:rsidRPr="00AA22C4">
          <w:rPr>
            <w:rStyle w:val="Hipercze"/>
            <w:rFonts w:ascii="Lato" w:hAnsi="Lato" w:cs="Calibri"/>
            <w:color w:val="000000" w:themeColor="text1"/>
            <w:sz w:val="22"/>
            <w:szCs w:val="22"/>
          </w:rPr>
          <w:t>https://doi.org/10.3390/genes15070920</w:t>
        </w:r>
      </w:hyperlink>
    </w:p>
    <w:p w14:paraId="1D5DDD25" w14:textId="77777777" w:rsidR="005E347E" w:rsidRPr="00AA22C4" w:rsidRDefault="005E347E" w:rsidP="005E347E">
      <w:pPr>
        <w:widowControl/>
        <w:numPr>
          <w:ilvl w:val="0"/>
          <w:numId w:val="3"/>
        </w:numPr>
        <w:spacing w:before="120" w:after="120"/>
        <w:jc w:val="both"/>
        <w:outlineLvl w:val="2"/>
        <w:rPr>
          <w:rFonts w:ascii="Lato" w:hAnsi="Lato" w:cs="Calibri"/>
          <w:color w:val="000000" w:themeColor="text1"/>
          <w:sz w:val="22"/>
          <w:szCs w:val="22"/>
          <w:lang w:val="en-GB"/>
        </w:rPr>
      </w:pPr>
      <w:r w:rsidRPr="00AA22C4">
        <w:rPr>
          <w:rFonts w:ascii="Lato" w:hAnsi="Lato" w:cs="Calibri"/>
          <w:color w:val="000000" w:themeColor="text1"/>
          <w:sz w:val="22"/>
          <w:szCs w:val="22"/>
          <w:lang w:val="en-GB"/>
        </w:rPr>
        <w:t>Heather N, de Hora M, Brothers S, Grainger P, Knoll D, Webster D. Introducing Newborn Screening for Severe Combined Immunodeficiency—The New Zealand Experience. International Journal of Neonatal Screening. 2022; 8(2):33. https://doi.org/10.3390/ijns8020033</w:t>
      </w:r>
    </w:p>
    <w:p w14:paraId="34F984BC" w14:textId="77777777" w:rsidR="005E347E" w:rsidRPr="00AA22C4" w:rsidRDefault="005E347E" w:rsidP="005E347E">
      <w:pPr>
        <w:widowControl/>
        <w:numPr>
          <w:ilvl w:val="0"/>
          <w:numId w:val="3"/>
        </w:numPr>
        <w:spacing w:before="120" w:after="120"/>
        <w:jc w:val="both"/>
        <w:outlineLvl w:val="2"/>
        <w:rPr>
          <w:rFonts w:ascii="Lato" w:hAnsi="Lato" w:cs="Calibri"/>
          <w:color w:val="000000" w:themeColor="text1"/>
          <w:sz w:val="22"/>
          <w:szCs w:val="22"/>
          <w:lang w:val="en-GB"/>
        </w:rPr>
      </w:pPr>
      <w:r w:rsidRPr="00AA22C4">
        <w:rPr>
          <w:rFonts w:ascii="Lato" w:hAnsi="Lato" w:cs="Calibri"/>
          <w:color w:val="000000" w:themeColor="text1"/>
          <w:sz w:val="22"/>
          <w:szCs w:val="22"/>
          <w:lang w:val="en-GB"/>
        </w:rPr>
        <w:t xml:space="preserve">Speckmann C, </w:t>
      </w:r>
      <w:proofErr w:type="spellStart"/>
      <w:r w:rsidRPr="00AA22C4">
        <w:rPr>
          <w:rFonts w:ascii="Lato" w:hAnsi="Lato" w:cs="Calibri"/>
          <w:color w:val="000000" w:themeColor="text1"/>
          <w:sz w:val="22"/>
          <w:szCs w:val="22"/>
          <w:lang w:val="en-GB"/>
        </w:rPr>
        <w:t>Nennstiel</w:t>
      </w:r>
      <w:proofErr w:type="spellEnd"/>
      <w:r w:rsidRPr="00AA22C4">
        <w:rPr>
          <w:rFonts w:ascii="Lato" w:hAnsi="Lato" w:cs="Calibri"/>
          <w:color w:val="000000" w:themeColor="text1"/>
          <w:sz w:val="22"/>
          <w:szCs w:val="22"/>
          <w:lang w:val="en-GB"/>
        </w:rPr>
        <w:t xml:space="preserve"> U, Hönig M, Albert MH, Ghosh S, Schuetz C, Brockow I, </w:t>
      </w:r>
      <w:proofErr w:type="spellStart"/>
      <w:r w:rsidRPr="00AA22C4">
        <w:rPr>
          <w:rFonts w:ascii="Lato" w:hAnsi="Lato" w:cs="Calibri"/>
          <w:color w:val="000000" w:themeColor="text1"/>
          <w:sz w:val="22"/>
          <w:szCs w:val="22"/>
          <w:lang w:val="en-GB"/>
        </w:rPr>
        <w:t>Hörster</w:t>
      </w:r>
      <w:proofErr w:type="spellEnd"/>
      <w:r w:rsidRPr="00AA22C4">
        <w:rPr>
          <w:rFonts w:ascii="Lato" w:hAnsi="Lato" w:cs="Calibri"/>
          <w:color w:val="000000" w:themeColor="text1"/>
          <w:sz w:val="22"/>
          <w:szCs w:val="22"/>
          <w:lang w:val="en-GB"/>
        </w:rPr>
        <w:t xml:space="preserve"> F, Niehues T, Ehl S, Wahn V, Borte S, Lehmberg K, Baumann U, Beier R, Krüger R, Bakhtiar S, Kuehl JS, Klemann C, Kontny U, Holzer U, Meinhardt A, </w:t>
      </w:r>
      <w:proofErr w:type="spellStart"/>
      <w:r w:rsidRPr="00AA22C4">
        <w:rPr>
          <w:rFonts w:ascii="Lato" w:hAnsi="Lato" w:cs="Calibri"/>
          <w:color w:val="000000" w:themeColor="text1"/>
          <w:sz w:val="22"/>
          <w:szCs w:val="22"/>
          <w:lang w:val="en-GB"/>
        </w:rPr>
        <w:t>Morbach</w:t>
      </w:r>
      <w:proofErr w:type="spellEnd"/>
      <w:r w:rsidRPr="00AA22C4">
        <w:rPr>
          <w:rFonts w:ascii="Lato" w:hAnsi="Lato" w:cs="Calibri"/>
          <w:color w:val="000000" w:themeColor="text1"/>
          <w:sz w:val="22"/>
          <w:szCs w:val="22"/>
          <w:lang w:val="en-GB"/>
        </w:rPr>
        <w:t xml:space="preserve"> H, Naumann-Bartsch N, </w:t>
      </w:r>
      <w:proofErr w:type="spellStart"/>
      <w:r w:rsidRPr="00AA22C4">
        <w:rPr>
          <w:rFonts w:ascii="Lato" w:hAnsi="Lato" w:cs="Calibri"/>
          <w:color w:val="000000" w:themeColor="text1"/>
          <w:sz w:val="22"/>
          <w:szCs w:val="22"/>
          <w:lang w:val="en-GB"/>
        </w:rPr>
        <w:t>Rothoeft</w:t>
      </w:r>
      <w:proofErr w:type="spellEnd"/>
      <w:r w:rsidRPr="00AA22C4">
        <w:rPr>
          <w:rFonts w:ascii="Lato" w:hAnsi="Lato" w:cs="Calibri"/>
          <w:color w:val="000000" w:themeColor="text1"/>
          <w:sz w:val="22"/>
          <w:szCs w:val="22"/>
          <w:lang w:val="en-GB"/>
        </w:rPr>
        <w:t xml:space="preserve"> T, Kreins AY, Davies EG, Schneider DT, </w:t>
      </w:r>
      <w:proofErr w:type="spellStart"/>
      <w:r w:rsidRPr="00AA22C4">
        <w:rPr>
          <w:rFonts w:ascii="Lato" w:hAnsi="Lato" w:cs="Calibri"/>
          <w:color w:val="000000" w:themeColor="text1"/>
          <w:sz w:val="22"/>
          <w:szCs w:val="22"/>
          <w:lang w:val="en-GB"/>
        </w:rPr>
        <w:t>Bernuth</w:t>
      </w:r>
      <w:proofErr w:type="spellEnd"/>
      <w:r w:rsidRPr="00AA22C4">
        <w:rPr>
          <w:rFonts w:ascii="Lato" w:hAnsi="Lato" w:cs="Calibri"/>
          <w:color w:val="000000" w:themeColor="text1"/>
          <w:sz w:val="22"/>
          <w:szCs w:val="22"/>
          <w:lang w:val="en-GB"/>
        </w:rPr>
        <w:t xml:space="preserve"> HV, Klingebiel T, Hoffmann GF, Schulz A, Hauck F. Prospective Newborn Screening for SCID in Germany: A First Analysis by the </w:t>
      </w:r>
      <w:proofErr w:type="spellStart"/>
      <w:r w:rsidRPr="00AA22C4">
        <w:rPr>
          <w:rFonts w:ascii="Lato" w:hAnsi="Lato" w:cs="Calibri"/>
          <w:color w:val="000000" w:themeColor="text1"/>
          <w:sz w:val="22"/>
          <w:szCs w:val="22"/>
          <w:lang w:val="en-GB"/>
        </w:rPr>
        <w:t>Pediatric</w:t>
      </w:r>
      <w:proofErr w:type="spellEnd"/>
      <w:r w:rsidRPr="00AA22C4">
        <w:rPr>
          <w:rFonts w:ascii="Lato" w:hAnsi="Lato" w:cs="Calibri"/>
          <w:color w:val="000000" w:themeColor="text1"/>
          <w:sz w:val="22"/>
          <w:szCs w:val="22"/>
          <w:lang w:val="en-GB"/>
        </w:rPr>
        <w:t xml:space="preserve"> Immunology Working Group (API). J Clin Immunol. 2023 Jul;43(5):965-978. </w:t>
      </w:r>
      <w:proofErr w:type="spellStart"/>
      <w:r w:rsidRPr="00AA22C4">
        <w:rPr>
          <w:rFonts w:ascii="Lato" w:hAnsi="Lato" w:cs="Calibri"/>
          <w:color w:val="000000" w:themeColor="text1"/>
          <w:sz w:val="22"/>
          <w:szCs w:val="22"/>
          <w:lang w:val="en-GB"/>
        </w:rPr>
        <w:t>doi</w:t>
      </w:r>
      <w:proofErr w:type="spellEnd"/>
      <w:r w:rsidRPr="00AA22C4">
        <w:rPr>
          <w:rFonts w:ascii="Lato" w:hAnsi="Lato" w:cs="Calibri"/>
          <w:color w:val="000000" w:themeColor="text1"/>
          <w:sz w:val="22"/>
          <w:szCs w:val="22"/>
          <w:lang w:val="en-GB"/>
        </w:rPr>
        <w:t>: 10.1007/s10875-023-01450-6.</w:t>
      </w:r>
    </w:p>
    <w:p w14:paraId="6365E98A" w14:textId="77777777" w:rsidR="005E347E" w:rsidRPr="00AA22C4" w:rsidRDefault="005E347E" w:rsidP="005E347E">
      <w:pPr>
        <w:widowControl/>
        <w:numPr>
          <w:ilvl w:val="0"/>
          <w:numId w:val="3"/>
        </w:numPr>
        <w:spacing w:before="120" w:after="120"/>
        <w:ind w:left="714" w:hanging="357"/>
        <w:jc w:val="both"/>
        <w:outlineLvl w:val="2"/>
        <w:rPr>
          <w:rFonts w:ascii="Lato" w:hAnsi="Lato" w:cs="Calibri"/>
          <w:color w:val="000000" w:themeColor="text1"/>
          <w:sz w:val="22"/>
          <w:szCs w:val="22"/>
          <w:lang w:val="en-GB"/>
        </w:rPr>
      </w:pPr>
      <w:proofErr w:type="spellStart"/>
      <w:r w:rsidRPr="00AA22C4">
        <w:rPr>
          <w:rFonts w:ascii="Lato" w:hAnsi="Lato" w:cs="Calibri"/>
          <w:color w:val="000000" w:themeColor="text1"/>
          <w:sz w:val="22"/>
          <w:szCs w:val="22"/>
          <w:lang w:val="en-GB"/>
        </w:rPr>
        <w:t>Marakhonov</w:t>
      </w:r>
      <w:proofErr w:type="spellEnd"/>
      <w:r w:rsidRPr="00AA22C4">
        <w:rPr>
          <w:rFonts w:ascii="Lato" w:hAnsi="Lato" w:cs="Calibri"/>
          <w:color w:val="000000" w:themeColor="text1"/>
          <w:sz w:val="22"/>
          <w:szCs w:val="22"/>
          <w:lang w:val="en-GB"/>
        </w:rPr>
        <w:t xml:space="preserve"> AV, Efimova IY, Mukhina AA, Zinchenko RA, </w:t>
      </w:r>
      <w:proofErr w:type="spellStart"/>
      <w:r w:rsidRPr="00AA22C4">
        <w:rPr>
          <w:rFonts w:ascii="Lato" w:hAnsi="Lato" w:cs="Calibri"/>
          <w:color w:val="000000" w:themeColor="text1"/>
          <w:sz w:val="22"/>
          <w:szCs w:val="22"/>
          <w:lang w:val="en-GB"/>
        </w:rPr>
        <w:t>Balinova</w:t>
      </w:r>
      <w:proofErr w:type="spellEnd"/>
      <w:r w:rsidRPr="00AA22C4">
        <w:rPr>
          <w:rFonts w:ascii="Lato" w:hAnsi="Lato" w:cs="Calibri"/>
          <w:color w:val="000000" w:themeColor="text1"/>
          <w:sz w:val="22"/>
          <w:szCs w:val="22"/>
          <w:lang w:val="en-GB"/>
        </w:rPr>
        <w:t xml:space="preserve"> NV, Rodina Y, Pershin D, Ryzhkova OP, Orlova AA, </w:t>
      </w:r>
      <w:proofErr w:type="spellStart"/>
      <w:r w:rsidRPr="00AA22C4">
        <w:rPr>
          <w:rFonts w:ascii="Lato" w:hAnsi="Lato" w:cs="Calibri"/>
          <w:color w:val="000000" w:themeColor="text1"/>
          <w:sz w:val="22"/>
          <w:szCs w:val="22"/>
          <w:lang w:val="en-GB"/>
        </w:rPr>
        <w:t>Zabnenkova</w:t>
      </w:r>
      <w:proofErr w:type="spellEnd"/>
      <w:r w:rsidRPr="00AA22C4">
        <w:rPr>
          <w:rFonts w:ascii="Lato" w:hAnsi="Lato" w:cs="Calibri"/>
          <w:color w:val="000000" w:themeColor="text1"/>
          <w:sz w:val="22"/>
          <w:szCs w:val="22"/>
          <w:lang w:val="en-GB"/>
        </w:rPr>
        <w:t xml:space="preserve"> VV, </w:t>
      </w:r>
      <w:proofErr w:type="spellStart"/>
      <w:r w:rsidRPr="00AA22C4">
        <w:rPr>
          <w:rFonts w:ascii="Lato" w:hAnsi="Lato" w:cs="Calibri"/>
          <w:color w:val="000000" w:themeColor="text1"/>
          <w:sz w:val="22"/>
          <w:szCs w:val="22"/>
          <w:lang w:val="en-GB"/>
        </w:rPr>
        <w:t>Cherevatova</w:t>
      </w:r>
      <w:proofErr w:type="spellEnd"/>
      <w:r w:rsidRPr="00AA22C4">
        <w:rPr>
          <w:rFonts w:ascii="Lato" w:hAnsi="Lato" w:cs="Calibri"/>
          <w:color w:val="000000" w:themeColor="text1"/>
          <w:sz w:val="22"/>
          <w:szCs w:val="22"/>
          <w:lang w:val="en-GB"/>
        </w:rPr>
        <w:t xml:space="preserve"> TB, </w:t>
      </w:r>
      <w:proofErr w:type="spellStart"/>
      <w:r w:rsidRPr="00AA22C4">
        <w:rPr>
          <w:rFonts w:ascii="Lato" w:hAnsi="Lato" w:cs="Calibri"/>
          <w:color w:val="000000" w:themeColor="text1"/>
          <w:sz w:val="22"/>
          <w:szCs w:val="22"/>
          <w:lang w:val="en-GB"/>
        </w:rPr>
        <w:t>Beskorovainaya</w:t>
      </w:r>
      <w:proofErr w:type="spellEnd"/>
      <w:r w:rsidRPr="00AA22C4">
        <w:rPr>
          <w:rFonts w:ascii="Lato" w:hAnsi="Lato" w:cs="Calibri"/>
          <w:color w:val="000000" w:themeColor="text1"/>
          <w:sz w:val="22"/>
          <w:szCs w:val="22"/>
          <w:lang w:val="en-GB"/>
        </w:rPr>
        <w:t xml:space="preserve"> TS, </w:t>
      </w:r>
      <w:proofErr w:type="spellStart"/>
      <w:r w:rsidRPr="00AA22C4">
        <w:rPr>
          <w:rFonts w:ascii="Lato" w:hAnsi="Lato" w:cs="Calibri"/>
          <w:color w:val="000000" w:themeColor="text1"/>
          <w:sz w:val="22"/>
          <w:szCs w:val="22"/>
          <w:lang w:val="en-GB"/>
        </w:rPr>
        <w:t>Shchagina</w:t>
      </w:r>
      <w:proofErr w:type="spellEnd"/>
      <w:r w:rsidRPr="00AA22C4">
        <w:rPr>
          <w:rFonts w:ascii="Lato" w:hAnsi="Lato" w:cs="Calibri"/>
          <w:color w:val="000000" w:themeColor="text1"/>
          <w:sz w:val="22"/>
          <w:szCs w:val="22"/>
          <w:lang w:val="en-GB"/>
        </w:rPr>
        <w:t xml:space="preserve"> OA, Polyakov AV, Markova ZG, </w:t>
      </w:r>
      <w:proofErr w:type="spellStart"/>
      <w:r w:rsidRPr="00AA22C4">
        <w:rPr>
          <w:rFonts w:ascii="Lato" w:hAnsi="Lato" w:cs="Calibri"/>
          <w:color w:val="000000" w:themeColor="text1"/>
          <w:sz w:val="22"/>
          <w:szCs w:val="22"/>
          <w:lang w:val="en-GB"/>
        </w:rPr>
        <w:t>Minzhenkova</w:t>
      </w:r>
      <w:proofErr w:type="spellEnd"/>
      <w:r w:rsidRPr="00AA22C4">
        <w:rPr>
          <w:rFonts w:ascii="Lato" w:hAnsi="Lato" w:cs="Calibri"/>
          <w:color w:val="000000" w:themeColor="text1"/>
          <w:sz w:val="22"/>
          <w:szCs w:val="22"/>
          <w:lang w:val="en-GB"/>
        </w:rPr>
        <w:t xml:space="preserve"> ME, Shilova NV, Larin SS, </w:t>
      </w:r>
      <w:proofErr w:type="spellStart"/>
      <w:r w:rsidRPr="00AA22C4">
        <w:rPr>
          <w:rFonts w:ascii="Lato" w:hAnsi="Lato" w:cs="Calibri"/>
          <w:color w:val="000000" w:themeColor="text1"/>
          <w:sz w:val="22"/>
          <w:szCs w:val="22"/>
          <w:lang w:val="en-GB"/>
        </w:rPr>
        <w:t>Khadzhieva</w:t>
      </w:r>
      <w:proofErr w:type="spellEnd"/>
      <w:r w:rsidRPr="00AA22C4">
        <w:rPr>
          <w:rFonts w:ascii="Lato" w:hAnsi="Lato" w:cs="Calibri"/>
          <w:color w:val="000000" w:themeColor="text1"/>
          <w:sz w:val="22"/>
          <w:szCs w:val="22"/>
          <w:lang w:val="en-GB"/>
        </w:rPr>
        <w:t xml:space="preserve"> MB, </w:t>
      </w:r>
      <w:proofErr w:type="spellStart"/>
      <w:r w:rsidRPr="00AA22C4">
        <w:rPr>
          <w:rFonts w:ascii="Lato" w:hAnsi="Lato" w:cs="Calibri"/>
          <w:color w:val="000000" w:themeColor="text1"/>
          <w:sz w:val="22"/>
          <w:szCs w:val="22"/>
          <w:lang w:val="en-GB"/>
        </w:rPr>
        <w:t>Dudina</w:t>
      </w:r>
      <w:proofErr w:type="spellEnd"/>
      <w:r w:rsidRPr="00AA22C4">
        <w:rPr>
          <w:rFonts w:ascii="Lato" w:hAnsi="Lato" w:cs="Calibri"/>
          <w:color w:val="000000" w:themeColor="text1"/>
          <w:sz w:val="22"/>
          <w:szCs w:val="22"/>
          <w:lang w:val="en-GB"/>
        </w:rPr>
        <w:t xml:space="preserve"> ES, Kalinina EV, </w:t>
      </w:r>
      <w:proofErr w:type="spellStart"/>
      <w:r w:rsidRPr="00AA22C4">
        <w:rPr>
          <w:rFonts w:ascii="Lato" w:hAnsi="Lato" w:cs="Calibri"/>
          <w:color w:val="000000" w:themeColor="text1"/>
          <w:sz w:val="22"/>
          <w:szCs w:val="22"/>
          <w:lang w:val="en-GB"/>
        </w:rPr>
        <w:t>Mudaeva</w:t>
      </w:r>
      <w:proofErr w:type="spellEnd"/>
      <w:r w:rsidRPr="00AA22C4">
        <w:rPr>
          <w:rFonts w:ascii="Lato" w:hAnsi="Lato" w:cs="Calibri"/>
          <w:color w:val="000000" w:themeColor="text1"/>
          <w:sz w:val="22"/>
          <w:szCs w:val="22"/>
          <w:lang w:val="en-GB"/>
        </w:rPr>
        <w:t xml:space="preserve"> DA, </w:t>
      </w:r>
      <w:proofErr w:type="spellStart"/>
      <w:r w:rsidRPr="00AA22C4">
        <w:rPr>
          <w:rFonts w:ascii="Lato" w:hAnsi="Lato" w:cs="Calibri"/>
          <w:color w:val="000000" w:themeColor="text1"/>
          <w:sz w:val="22"/>
          <w:szCs w:val="22"/>
          <w:lang w:val="en-GB"/>
        </w:rPr>
        <w:t>Saydaeva</w:t>
      </w:r>
      <w:proofErr w:type="spellEnd"/>
      <w:r w:rsidRPr="00AA22C4">
        <w:rPr>
          <w:rFonts w:ascii="Lato" w:hAnsi="Lato" w:cs="Calibri"/>
          <w:color w:val="000000" w:themeColor="text1"/>
          <w:sz w:val="22"/>
          <w:szCs w:val="22"/>
          <w:lang w:val="en-GB"/>
        </w:rPr>
        <w:t xml:space="preserve"> DH, Matulevich SA, </w:t>
      </w:r>
      <w:proofErr w:type="spellStart"/>
      <w:r w:rsidRPr="00AA22C4">
        <w:rPr>
          <w:rFonts w:ascii="Lato" w:hAnsi="Lato" w:cs="Calibri"/>
          <w:color w:val="000000" w:themeColor="text1"/>
          <w:sz w:val="22"/>
          <w:szCs w:val="22"/>
          <w:lang w:val="en-GB"/>
        </w:rPr>
        <w:t>Belyashova</w:t>
      </w:r>
      <w:proofErr w:type="spellEnd"/>
      <w:r w:rsidRPr="00AA22C4">
        <w:rPr>
          <w:rFonts w:ascii="Lato" w:hAnsi="Lato" w:cs="Calibri"/>
          <w:color w:val="000000" w:themeColor="text1"/>
          <w:sz w:val="22"/>
          <w:szCs w:val="22"/>
          <w:lang w:val="en-GB"/>
        </w:rPr>
        <w:t xml:space="preserve"> EY, </w:t>
      </w:r>
      <w:proofErr w:type="spellStart"/>
      <w:r w:rsidRPr="00AA22C4">
        <w:rPr>
          <w:rFonts w:ascii="Lato" w:hAnsi="Lato" w:cs="Calibri"/>
          <w:color w:val="000000" w:themeColor="text1"/>
          <w:sz w:val="22"/>
          <w:szCs w:val="22"/>
          <w:lang w:val="en-GB"/>
        </w:rPr>
        <w:t>Yakubovskiy</w:t>
      </w:r>
      <w:proofErr w:type="spellEnd"/>
      <w:r w:rsidRPr="00AA22C4">
        <w:rPr>
          <w:rFonts w:ascii="Lato" w:hAnsi="Lato" w:cs="Calibri"/>
          <w:color w:val="000000" w:themeColor="text1"/>
          <w:sz w:val="22"/>
          <w:szCs w:val="22"/>
          <w:lang w:val="en-GB"/>
        </w:rPr>
        <w:t xml:space="preserve"> GI, </w:t>
      </w:r>
      <w:proofErr w:type="spellStart"/>
      <w:r w:rsidRPr="00AA22C4">
        <w:rPr>
          <w:rFonts w:ascii="Lato" w:hAnsi="Lato" w:cs="Calibri"/>
          <w:color w:val="000000" w:themeColor="text1"/>
          <w:sz w:val="22"/>
          <w:szCs w:val="22"/>
          <w:lang w:val="en-GB"/>
        </w:rPr>
        <w:t>Tebieva</w:t>
      </w:r>
      <w:proofErr w:type="spellEnd"/>
      <w:r w:rsidRPr="00AA22C4">
        <w:rPr>
          <w:rFonts w:ascii="Lato" w:hAnsi="Lato" w:cs="Calibri"/>
          <w:color w:val="000000" w:themeColor="text1"/>
          <w:sz w:val="22"/>
          <w:szCs w:val="22"/>
          <w:lang w:val="en-GB"/>
        </w:rPr>
        <w:t xml:space="preserve"> IS, </w:t>
      </w:r>
      <w:proofErr w:type="spellStart"/>
      <w:r w:rsidRPr="00AA22C4">
        <w:rPr>
          <w:rFonts w:ascii="Lato" w:hAnsi="Lato" w:cs="Calibri"/>
          <w:color w:val="000000" w:themeColor="text1"/>
          <w:sz w:val="22"/>
          <w:szCs w:val="22"/>
          <w:lang w:val="en-GB"/>
        </w:rPr>
        <w:t>Gabisova</w:t>
      </w:r>
      <w:proofErr w:type="spellEnd"/>
      <w:r w:rsidRPr="00AA22C4">
        <w:rPr>
          <w:rFonts w:ascii="Lato" w:hAnsi="Lato" w:cs="Calibri"/>
          <w:color w:val="000000" w:themeColor="text1"/>
          <w:sz w:val="22"/>
          <w:szCs w:val="22"/>
          <w:lang w:val="en-GB"/>
        </w:rPr>
        <w:t xml:space="preserve"> YV, </w:t>
      </w:r>
      <w:proofErr w:type="spellStart"/>
      <w:r w:rsidRPr="00AA22C4">
        <w:rPr>
          <w:rFonts w:ascii="Lato" w:hAnsi="Lato" w:cs="Calibri"/>
          <w:color w:val="000000" w:themeColor="text1"/>
          <w:sz w:val="22"/>
          <w:szCs w:val="22"/>
          <w:lang w:val="en-GB"/>
        </w:rPr>
        <w:t>Irinina</w:t>
      </w:r>
      <w:proofErr w:type="spellEnd"/>
      <w:r w:rsidRPr="00AA22C4">
        <w:rPr>
          <w:rFonts w:ascii="Lato" w:hAnsi="Lato" w:cs="Calibri"/>
          <w:color w:val="000000" w:themeColor="text1"/>
          <w:sz w:val="22"/>
          <w:szCs w:val="22"/>
          <w:lang w:val="en-GB"/>
        </w:rPr>
        <w:t xml:space="preserve"> NA, </w:t>
      </w:r>
      <w:proofErr w:type="spellStart"/>
      <w:r w:rsidRPr="00AA22C4">
        <w:rPr>
          <w:rFonts w:ascii="Lato" w:hAnsi="Lato" w:cs="Calibri"/>
          <w:color w:val="000000" w:themeColor="text1"/>
          <w:sz w:val="22"/>
          <w:szCs w:val="22"/>
          <w:lang w:val="en-GB"/>
        </w:rPr>
        <w:t>Nurgalieva</w:t>
      </w:r>
      <w:proofErr w:type="spellEnd"/>
      <w:r w:rsidRPr="00AA22C4">
        <w:rPr>
          <w:rFonts w:ascii="Lato" w:hAnsi="Lato" w:cs="Calibri"/>
          <w:color w:val="000000" w:themeColor="text1"/>
          <w:sz w:val="22"/>
          <w:szCs w:val="22"/>
          <w:lang w:val="en-GB"/>
        </w:rPr>
        <w:t xml:space="preserve"> LR, </w:t>
      </w:r>
      <w:proofErr w:type="spellStart"/>
      <w:r w:rsidRPr="00AA22C4">
        <w:rPr>
          <w:rFonts w:ascii="Lato" w:hAnsi="Lato" w:cs="Calibri"/>
          <w:color w:val="000000" w:themeColor="text1"/>
          <w:sz w:val="22"/>
          <w:szCs w:val="22"/>
          <w:lang w:val="en-GB"/>
        </w:rPr>
        <w:t>Saifullina</w:t>
      </w:r>
      <w:proofErr w:type="spellEnd"/>
      <w:r w:rsidRPr="00AA22C4">
        <w:rPr>
          <w:rFonts w:ascii="Lato" w:hAnsi="Lato" w:cs="Calibri"/>
          <w:color w:val="000000" w:themeColor="text1"/>
          <w:sz w:val="22"/>
          <w:szCs w:val="22"/>
          <w:lang w:val="en-GB"/>
        </w:rPr>
        <w:t xml:space="preserve"> EV, Belyaeva TI, Romanova OS, Voronin SV, Shcherbina A, </w:t>
      </w:r>
      <w:proofErr w:type="spellStart"/>
      <w:r w:rsidRPr="00AA22C4">
        <w:rPr>
          <w:rFonts w:ascii="Lato" w:hAnsi="Lato" w:cs="Calibri"/>
          <w:color w:val="000000" w:themeColor="text1"/>
          <w:sz w:val="22"/>
          <w:szCs w:val="22"/>
          <w:lang w:val="en-GB"/>
        </w:rPr>
        <w:t>Kutsev</w:t>
      </w:r>
      <w:proofErr w:type="spellEnd"/>
      <w:r w:rsidRPr="00AA22C4">
        <w:rPr>
          <w:rFonts w:ascii="Lato" w:hAnsi="Lato" w:cs="Calibri"/>
          <w:color w:val="000000" w:themeColor="text1"/>
          <w:sz w:val="22"/>
          <w:szCs w:val="22"/>
          <w:lang w:val="en-GB"/>
        </w:rPr>
        <w:t xml:space="preserve"> SI. Newborn Screening for Severe T and B Cell Lymphopenia Using TREC/KREC Detection: A Large-Scale Pilot Study of 202,908 Newborns. J Clin Immunol, 2024, 44(4):93. </w:t>
      </w:r>
      <w:proofErr w:type="spellStart"/>
      <w:r w:rsidRPr="00AA22C4">
        <w:rPr>
          <w:rFonts w:ascii="Lato" w:hAnsi="Lato" w:cs="Calibri"/>
          <w:color w:val="000000" w:themeColor="text1"/>
          <w:sz w:val="22"/>
          <w:szCs w:val="22"/>
          <w:lang w:val="en-GB"/>
        </w:rPr>
        <w:t>doi</w:t>
      </w:r>
      <w:proofErr w:type="spellEnd"/>
      <w:r w:rsidRPr="00AA22C4">
        <w:rPr>
          <w:rFonts w:ascii="Lato" w:hAnsi="Lato" w:cs="Calibri"/>
          <w:color w:val="000000" w:themeColor="text1"/>
          <w:sz w:val="22"/>
          <w:szCs w:val="22"/>
          <w:lang w:val="en-GB"/>
        </w:rPr>
        <w:t>: 10.1007/s10875-024-01691-z</w:t>
      </w:r>
    </w:p>
    <w:p w14:paraId="57BD2F08" w14:textId="77777777" w:rsidR="005E347E" w:rsidRPr="00AA22C4" w:rsidRDefault="005E347E" w:rsidP="005E347E">
      <w:pPr>
        <w:widowControl/>
        <w:spacing w:before="120" w:after="120"/>
        <w:ind w:left="357"/>
        <w:jc w:val="both"/>
        <w:outlineLvl w:val="2"/>
        <w:rPr>
          <w:rFonts w:ascii="Lato" w:hAnsi="Lato" w:cs="Calibri"/>
          <w:color w:val="000000" w:themeColor="text1"/>
          <w:sz w:val="22"/>
          <w:szCs w:val="22"/>
          <w:lang w:val="en-GB"/>
        </w:rPr>
      </w:pPr>
    </w:p>
    <w:p w14:paraId="0FC22A9D" w14:textId="77777777" w:rsidR="005E347E" w:rsidRPr="00AA22C4" w:rsidRDefault="005E347E" w:rsidP="005E347E">
      <w:pPr>
        <w:pStyle w:val="Tekstprzypisudolnego"/>
        <w:keepNext/>
        <w:widowControl/>
        <w:spacing w:before="120" w:after="120"/>
        <w:ind w:left="720"/>
        <w:contextualSpacing/>
        <w:jc w:val="both"/>
        <w:rPr>
          <w:rFonts w:ascii="Lato" w:hAnsi="Lato"/>
          <w:color w:val="000000" w:themeColor="text1"/>
          <w:sz w:val="24"/>
          <w:szCs w:val="24"/>
        </w:rPr>
      </w:pPr>
    </w:p>
    <w:p w14:paraId="671276FC" w14:textId="2DD91705" w:rsidR="005E347E" w:rsidRPr="00AA22C4" w:rsidRDefault="005E347E" w:rsidP="006A15A2">
      <w:pPr>
        <w:pStyle w:val="Tekstprzypisudolnego"/>
        <w:keepNext/>
        <w:widowControl/>
        <w:spacing w:before="120" w:after="120"/>
        <w:contextualSpacing/>
        <w:outlineLvl w:val="0"/>
        <w:rPr>
          <w:rFonts w:ascii="Lato" w:hAnsi="Lato"/>
          <w:b/>
          <w:color w:val="000000" w:themeColor="text1"/>
          <w:sz w:val="24"/>
          <w:szCs w:val="24"/>
        </w:rPr>
      </w:pPr>
      <w:r w:rsidRPr="00AA22C4">
        <w:rPr>
          <w:rFonts w:ascii="Lato" w:hAnsi="Lato"/>
          <w:b/>
          <w:color w:val="000000" w:themeColor="text1"/>
          <w:sz w:val="24"/>
          <w:szCs w:val="24"/>
        </w:rPr>
        <w:br w:type="page"/>
      </w:r>
      <w:bookmarkStart w:id="72" w:name="_Toc514072300"/>
      <w:r w:rsidRPr="00AA22C4">
        <w:rPr>
          <w:rFonts w:ascii="Lato" w:hAnsi="Lato"/>
          <w:b/>
          <w:color w:val="000000" w:themeColor="text1"/>
          <w:sz w:val="24"/>
          <w:szCs w:val="24"/>
        </w:rPr>
        <w:lastRenderedPageBreak/>
        <w:t>Załączniki</w:t>
      </w:r>
      <w:bookmarkEnd w:id="72"/>
      <w:r w:rsidRPr="00AA22C4">
        <w:rPr>
          <w:rFonts w:ascii="Lato" w:hAnsi="Lato"/>
          <w:b/>
          <w:color w:val="000000" w:themeColor="text1"/>
          <w:sz w:val="24"/>
          <w:szCs w:val="24"/>
        </w:rPr>
        <w:t xml:space="preserve"> do Rządowego programu badań przesiewowych noworodków na lata 2019 - 2026</w:t>
      </w:r>
    </w:p>
    <w:p w14:paraId="73C3BC30" w14:textId="77777777" w:rsidR="006A15A2" w:rsidRDefault="006A15A2" w:rsidP="005E347E">
      <w:pPr>
        <w:pStyle w:val="Tekstprzypisudolnego"/>
        <w:keepNext/>
        <w:widowControl/>
        <w:spacing w:before="120" w:after="120"/>
        <w:ind w:left="6480" w:firstLine="720"/>
        <w:contextualSpacing/>
        <w:jc w:val="both"/>
        <w:rPr>
          <w:rFonts w:ascii="Lato" w:hAnsi="Lato"/>
          <w:color w:val="000000" w:themeColor="text1"/>
          <w:sz w:val="22"/>
          <w:szCs w:val="22"/>
        </w:rPr>
      </w:pPr>
    </w:p>
    <w:p w14:paraId="4A6B7FBB" w14:textId="29E2903A" w:rsidR="005E347E" w:rsidRPr="00AA22C4" w:rsidRDefault="005E347E" w:rsidP="005E347E">
      <w:pPr>
        <w:pStyle w:val="Tekstprzypisudolnego"/>
        <w:keepNext/>
        <w:widowControl/>
        <w:spacing w:before="120" w:after="120"/>
        <w:ind w:left="6480" w:firstLine="720"/>
        <w:contextualSpacing/>
        <w:jc w:val="both"/>
        <w:rPr>
          <w:rFonts w:ascii="Lato" w:hAnsi="Lato"/>
          <w:b/>
          <w:color w:val="000000" w:themeColor="text1"/>
          <w:sz w:val="22"/>
          <w:szCs w:val="22"/>
        </w:rPr>
      </w:pPr>
      <w:r w:rsidRPr="00AA22C4">
        <w:rPr>
          <w:rFonts w:ascii="Lato" w:hAnsi="Lato"/>
          <w:color w:val="000000" w:themeColor="text1"/>
          <w:sz w:val="22"/>
          <w:szCs w:val="22"/>
        </w:rPr>
        <w:t>Załącznik nr 1</w:t>
      </w:r>
      <w:r w:rsidRPr="00AA22C4">
        <w:rPr>
          <w:rFonts w:ascii="Lato" w:hAnsi="Lato"/>
          <w:b/>
          <w:color w:val="000000" w:themeColor="text1"/>
          <w:sz w:val="22"/>
          <w:szCs w:val="22"/>
        </w:rPr>
        <w:t xml:space="preserve"> </w:t>
      </w:r>
    </w:p>
    <w:p w14:paraId="19100F23" w14:textId="77777777" w:rsidR="005E347E" w:rsidRPr="00AA22C4" w:rsidRDefault="005E347E" w:rsidP="005E347E">
      <w:pPr>
        <w:pStyle w:val="Tekstprzypisudolnego"/>
        <w:keepNext/>
        <w:widowControl/>
        <w:spacing w:before="120" w:after="120"/>
        <w:ind w:left="3600" w:firstLine="720"/>
        <w:contextualSpacing/>
        <w:rPr>
          <w:rFonts w:ascii="Lato" w:hAnsi="Lato"/>
          <w:i/>
          <w:color w:val="000000" w:themeColor="text1"/>
          <w:sz w:val="22"/>
          <w:szCs w:val="22"/>
          <w:u w:val="single"/>
        </w:rPr>
      </w:pPr>
      <w:r w:rsidRPr="00AA22C4">
        <w:rPr>
          <w:rFonts w:ascii="Lato" w:hAnsi="Lato"/>
          <w:i/>
          <w:color w:val="000000" w:themeColor="text1"/>
          <w:sz w:val="22"/>
          <w:szCs w:val="22"/>
          <w:u w:val="single"/>
        </w:rPr>
        <w:t>WZÓR</w:t>
      </w:r>
    </w:p>
    <w:p w14:paraId="18218244" w14:textId="77777777" w:rsidR="005E347E" w:rsidRPr="00AA22C4" w:rsidRDefault="005E347E" w:rsidP="005E347E">
      <w:pPr>
        <w:widowControl/>
        <w:spacing w:after="160" w:line="256" w:lineRule="auto"/>
        <w:jc w:val="center"/>
        <w:rPr>
          <w:rFonts w:ascii="Lato" w:hAnsi="Lato"/>
          <w:b/>
          <w:color w:val="000000" w:themeColor="text1"/>
          <w:lang w:eastAsia="en-US"/>
        </w:rPr>
      </w:pPr>
      <w:r w:rsidRPr="00AA22C4">
        <w:rPr>
          <w:rFonts w:ascii="Lato" w:hAnsi="Lato"/>
          <w:b/>
          <w:color w:val="000000" w:themeColor="text1"/>
          <w:lang w:eastAsia="en-US"/>
        </w:rPr>
        <w:t>OŚWIADCZENIE ZGODY NA WYKONANIE BADANIA PRZESIEWOWEGO U DZIECKA</w:t>
      </w:r>
    </w:p>
    <w:p w14:paraId="588F284B" w14:textId="77777777" w:rsidR="005E347E" w:rsidRPr="00AA22C4" w:rsidRDefault="005E347E" w:rsidP="005E347E">
      <w:pPr>
        <w:widowControl/>
        <w:spacing w:after="160" w:line="256" w:lineRule="auto"/>
        <w:rPr>
          <w:rFonts w:ascii="Lato" w:hAnsi="Lato"/>
          <w:b/>
          <w:color w:val="000000" w:themeColor="text1"/>
          <w:lang w:eastAsia="en-US"/>
        </w:rPr>
      </w:pPr>
    </w:p>
    <w:p w14:paraId="0709AAED" w14:textId="77777777" w:rsidR="005E347E" w:rsidRPr="006A15A2" w:rsidRDefault="005E347E" w:rsidP="005E347E">
      <w:pPr>
        <w:widowControl/>
        <w:spacing w:after="160" w:line="256" w:lineRule="auto"/>
        <w:jc w:val="both"/>
        <w:rPr>
          <w:rFonts w:ascii="Lato" w:hAnsi="Lato"/>
          <w:b/>
          <w:color w:val="000000" w:themeColor="text1"/>
          <w:sz w:val="22"/>
          <w:szCs w:val="22"/>
          <w:lang w:eastAsia="en-US"/>
        </w:rPr>
      </w:pPr>
      <w:r w:rsidRPr="006A15A2">
        <w:rPr>
          <w:rFonts w:ascii="Lato" w:hAnsi="Lato"/>
          <w:b/>
          <w:color w:val="000000" w:themeColor="text1"/>
          <w:sz w:val="22"/>
          <w:szCs w:val="22"/>
          <w:lang w:eastAsia="en-US"/>
        </w:rPr>
        <w:t>Wyrażam zgodę na wykonanie badania przesiewowego, wykonywanego w ramach programu polityki zdrowotnej Ministra Zdrowia, u mojego dziecka:</w:t>
      </w:r>
    </w:p>
    <w:p w14:paraId="18EF0C3C" w14:textId="77777777" w:rsidR="005E347E" w:rsidRPr="006A15A2" w:rsidRDefault="005E347E" w:rsidP="005E347E">
      <w:pPr>
        <w:widowControl/>
        <w:spacing w:after="160" w:line="256" w:lineRule="auto"/>
        <w:jc w:val="both"/>
        <w:rPr>
          <w:rFonts w:ascii="Lato" w:hAnsi="Lato"/>
          <w:b/>
          <w:color w:val="000000" w:themeColor="text1"/>
          <w:sz w:val="16"/>
          <w:szCs w:val="16"/>
          <w:lang w:eastAsia="en-US"/>
        </w:rPr>
      </w:pPr>
    </w:p>
    <w:p w14:paraId="25B50DE0" w14:textId="77777777" w:rsidR="005E347E" w:rsidRPr="00AA22C4" w:rsidRDefault="005E347E" w:rsidP="005E347E">
      <w:pPr>
        <w:widowControl/>
        <w:spacing w:before="160"/>
        <w:jc w:val="both"/>
        <w:rPr>
          <w:rFonts w:ascii="Lato" w:hAnsi="Lato"/>
          <w:color w:val="000000" w:themeColor="text1"/>
          <w:lang w:eastAsia="en-US"/>
        </w:rPr>
      </w:pPr>
      <w:r w:rsidRPr="00AA22C4">
        <w:rPr>
          <w:rFonts w:ascii="Lato" w:hAnsi="Lato"/>
          <w:color w:val="000000" w:themeColor="text1"/>
          <w:sz w:val="22"/>
          <w:szCs w:val="22"/>
          <w:lang w:eastAsia="en-US"/>
        </w:rPr>
        <w:t xml:space="preserve">............................................................................................................................................................... </w:t>
      </w:r>
    </w:p>
    <w:p w14:paraId="2DE20711" w14:textId="77777777" w:rsidR="005E347E" w:rsidRPr="00AA22C4" w:rsidRDefault="005E347E" w:rsidP="005E347E">
      <w:pPr>
        <w:widowControl/>
        <w:spacing w:after="240"/>
        <w:jc w:val="center"/>
        <w:rPr>
          <w:rFonts w:ascii="Lato" w:hAnsi="Lato"/>
          <w:i/>
          <w:color w:val="000000" w:themeColor="text1"/>
          <w:sz w:val="18"/>
          <w:szCs w:val="18"/>
          <w:lang w:eastAsia="en-US"/>
        </w:rPr>
      </w:pPr>
      <w:r w:rsidRPr="00AA22C4">
        <w:rPr>
          <w:rFonts w:ascii="Lato" w:hAnsi="Lato"/>
          <w:i/>
          <w:color w:val="000000" w:themeColor="text1"/>
          <w:sz w:val="18"/>
          <w:szCs w:val="18"/>
          <w:lang w:eastAsia="en-US"/>
        </w:rPr>
        <w:t>(imię i nazwisko rodzica dziecka lub opiekuna prawnego, płeć dziecka, data urodzenia)</w:t>
      </w:r>
    </w:p>
    <w:p w14:paraId="5335F5F6" w14:textId="77777777" w:rsidR="005E347E" w:rsidRPr="006B7116" w:rsidRDefault="005E347E" w:rsidP="005E347E">
      <w:pPr>
        <w:widowControl/>
        <w:spacing w:before="160" w:after="240"/>
        <w:jc w:val="both"/>
        <w:rPr>
          <w:rFonts w:ascii="Lato" w:hAnsi="Lato"/>
          <w:color w:val="000000" w:themeColor="text1"/>
          <w:sz w:val="22"/>
          <w:szCs w:val="22"/>
          <w:lang w:eastAsia="en-US"/>
        </w:rPr>
      </w:pPr>
      <w:r w:rsidRPr="006B7116">
        <w:rPr>
          <w:rFonts w:ascii="Lato" w:hAnsi="Lato"/>
          <w:i/>
          <w:color w:val="000000" w:themeColor="text1"/>
          <w:sz w:val="22"/>
          <w:szCs w:val="22"/>
          <w:lang w:eastAsia="en-US"/>
        </w:rPr>
        <w:t xml:space="preserve">w </w:t>
      </w:r>
      <w:proofErr w:type="gramStart"/>
      <w:r w:rsidRPr="006B7116">
        <w:rPr>
          <w:rFonts w:ascii="Lato" w:hAnsi="Lato"/>
          <w:i/>
          <w:color w:val="000000" w:themeColor="text1"/>
          <w:sz w:val="22"/>
          <w:szCs w:val="22"/>
          <w:lang w:eastAsia="en-US"/>
        </w:rPr>
        <w:t xml:space="preserve">szpitalu  </w:t>
      </w:r>
      <w:r w:rsidRPr="006B7116">
        <w:rPr>
          <w:rFonts w:ascii="Lato" w:hAnsi="Lato"/>
          <w:color w:val="000000" w:themeColor="text1"/>
          <w:sz w:val="22"/>
          <w:szCs w:val="22"/>
          <w:lang w:eastAsia="en-US"/>
        </w:rPr>
        <w:t>...........................................................................................................................................</w:t>
      </w:r>
      <w:proofErr w:type="gramEnd"/>
    </w:p>
    <w:p w14:paraId="5829AF97" w14:textId="77777777" w:rsidR="005E347E" w:rsidRPr="00AA22C4" w:rsidRDefault="005E347E" w:rsidP="005E347E">
      <w:pPr>
        <w:widowControl/>
        <w:spacing w:before="160" w:after="240"/>
        <w:rPr>
          <w:rFonts w:ascii="Lato" w:hAnsi="Lato"/>
          <w:i/>
          <w:color w:val="000000" w:themeColor="text1"/>
          <w:lang w:eastAsia="en-US"/>
        </w:rPr>
      </w:pPr>
      <w:r w:rsidRPr="006B7116">
        <w:rPr>
          <w:rFonts w:ascii="Lato" w:hAnsi="Lato"/>
          <w:i/>
          <w:color w:val="000000" w:themeColor="text1"/>
          <w:sz w:val="22"/>
          <w:szCs w:val="22"/>
          <w:lang w:eastAsia="en-US"/>
        </w:rPr>
        <w:t xml:space="preserve"> PESEL rodzica dziecka albo opiekuna prawnego</w:t>
      </w:r>
      <w:r w:rsidRPr="00AA22C4">
        <w:rPr>
          <w:rFonts w:ascii="Lato" w:hAnsi="Lato"/>
          <w:i/>
          <w:color w:val="000000" w:themeColor="text1"/>
          <w:lang w:eastAsia="en-US"/>
        </w:rPr>
        <w:t xml:space="preserve"> </w:t>
      </w:r>
      <w:r w:rsidRPr="00AA22C4">
        <w:rPr>
          <w:rFonts w:ascii="Lato" w:hAnsi="Lato"/>
          <w:color w:val="000000" w:themeColor="text1"/>
          <w:sz w:val="22"/>
          <w:szCs w:val="22"/>
          <w:lang w:eastAsia="en-US"/>
        </w:rPr>
        <w:t>......................................................................................................................</w:t>
      </w:r>
    </w:p>
    <w:p w14:paraId="524209CC" w14:textId="77777777" w:rsidR="005E347E" w:rsidRPr="006A15A2" w:rsidRDefault="005E347E" w:rsidP="005E347E">
      <w:pPr>
        <w:widowControl/>
        <w:spacing w:after="160" w:line="256" w:lineRule="auto"/>
        <w:jc w:val="both"/>
        <w:rPr>
          <w:rFonts w:ascii="Lato" w:hAnsi="Lato"/>
          <w:b/>
          <w:color w:val="000000" w:themeColor="text1"/>
          <w:sz w:val="22"/>
          <w:szCs w:val="22"/>
          <w:lang w:eastAsia="en-US"/>
        </w:rPr>
      </w:pPr>
      <w:r w:rsidRPr="006A15A2">
        <w:rPr>
          <w:rFonts w:ascii="Lato" w:hAnsi="Lato"/>
          <w:b/>
          <w:color w:val="000000" w:themeColor="text1"/>
          <w:sz w:val="22"/>
          <w:szCs w:val="22"/>
          <w:lang w:eastAsia="en-US"/>
        </w:rPr>
        <w:t>Jednocześnie oświadczam, że zostałam/</w:t>
      </w:r>
      <w:proofErr w:type="spellStart"/>
      <w:r w:rsidRPr="006A15A2">
        <w:rPr>
          <w:rFonts w:ascii="Lato" w:hAnsi="Lato"/>
          <w:b/>
          <w:color w:val="000000" w:themeColor="text1"/>
          <w:sz w:val="22"/>
          <w:szCs w:val="22"/>
          <w:lang w:eastAsia="en-US"/>
        </w:rPr>
        <w:t>łem</w:t>
      </w:r>
      <w:proofErr w:type="spellEnd"/>
      <w:r w:rsidRPr="006A15A2">
        <w:rPr>
          <w:rFonts w:ascii="Lato" w:hAnsi="Lato"/>
          <w:b/>
          <w:color w:val="000000" w:themeColor="text1"/>
          <w:sz w:val="22"/>
          <w:szCs w:val="22"/>
          <w:lang w:eastAsia="en-US"/>
        </w:rPr>
        <w:t xml:space="preserve"> poinformowana/y o celu badań przesiewowych noworodków oraz ewentualnych skutkach zdrowotnych odmowy wykonania tych badań u dziecka. </w:t>
      </w:r>
    </w:p>
    <w:p w14:paraId="4A7EBE0F" w14:textId="77777777" w:rsidR="005E347E" w:rsidRPr="006A15A2" w:rsidRDefault="005E347E" w:rsidP="005E347E">
      <w:pPr>
        <w:widowControl/>
        <w:spacing w:after="160" w:line="256" w:lineRule="auto"/>
        <w:rPr>
          <w:rFonts w:ascii="Lato" w:hAnsi="Lato"/>
          <w:color w:val="000000" w:themeColor="text1"/>
          <w:sz w:val="14"/>
          <w:szCs w:val="14"/>
          <w:lang w:eastAsia="en-US"/>
        </w:rPr>
      </w:pPr>
    </w:p>
    <w:p w14:paraId="7B4E3550" w14:textId="77777777" w:rsidR="005E347E" w:rsidRPr="006A15A2" w:rsidRDefault="005E347E" w:rsidP="008547B7">
      <w:pPr>
        <w:widowControl/>
        <w:rPr>
          <w:rFonts w:ascii="Lato" w:hAnsi="Lato"/>
          <w:b/>
          <w:color w:val="000000" w:themeColor="text1"/>
          <w:sz w:val="22"/>
          <w:szCs w:val="22"/>
          <w:lang w:eastAsia="en-US"/>
        </w:rPr>
      </w:pPr>
      <w:r w:rsidRPr="006A15A2">
        <w:rPr>
          <w:rFonts w:ascii="Lato" w:hAnsi="Lato"/>
          <w:b/>
          <w:color w:val="000000" w:themeColor="text1"/>
          <w:sz w:val="22"/>
          <w:szCs w:val="22"/>
          <w:lang w:eastAsia="en-US"/>
        </w:rPr>
        <w:t>Przyczyna odmowy wykonania badań przesiewowych:</w:t>
      </w:r>
    </w:p>
    <w:p w14:paraId="02604589" w14:textId="65F1E92B" w:rsidR="005E347E" w:rsidRPr="00AA22C4" w:rsidRDefault="005E347E" w:rsidP="008547B7">
      <w:pPr>
        <w:widowControl/>
        <w:rPr>
          <w:rFonts w:ascii="Lato" w:hAnsi="Lato"/>
          <w:color w:val="000000" w:themeColor="text1"/>
          <w:lang w:eastAsia="en-US"/>
        </w:rPr>
      </w:pPr>
      <w:r w:rsidRPr="00AA22C4">
        <w:rPr>
          <w:rFonts w:ascii="Lato" w:hAnsi="Lato"/>
          <w:color w:val="000000" w:themeColor="text1"/>
          <w:sz w:val="22"/>
          <w:szCs w:val="22"/>
          <w:lang w:eastAsia="en-US"/>
        </w:rPr>
        <w:t>..............................................................................................................................................................</w:t>
      </w:r>
      <w:r w:rsidR="008547B7">
        <w:rPr>
          <w:rFonts w:ascii="Lato" w:hAnsi="Lato"/>
          <w:color w:val="000000" w:themeColor="text1"/>
          <w:sz w:val="22"/>
          <w:szCs w:val="22"/>
          <w:lang w:eastAsia="en-US"/>
        </w:rPr>
        <w:t>............................</w:t>
      </w:r>
    </w:p>
    <w:p w14:paraId="42585BD5" w14:textId="77777777" w:rsidR="005E347E" w:rsidRPr="00AA22C4" w:rsidRDefault="005E347E" w:rsidP="008547B7">
      <w:pPr>
        <w:widowControl/>
        <w:spacing w:before="240" w:line="256" w:lineRule="auto"/>
        <w:rPr>
          <w:rFonts w:ascii="Lato" w:hAnsi="Lato"/>
          <w:color w:val="000000" w:themeColor="text1"/>
          <w:sz w:val="22"/>
          <w:szCs w:val="22"/>
          <w:lang w:eastAsia="en-US"/>
        </w:rPr>
      </w:pPr>
      <w:r w:rsidRPr="00AA22C4">
        <w:rPr>
          <w:rFonts w:ascii="Lato" w:hAnsi="Lato"/>
          <w:color w:val="000000" w:themeColor="text1"/>
          <w:sz w:val="22"/>
          <w:szCs w:val="22"/>
          <w:lang w:eastAsia="en-US"/>
        </w:rPr>
        <w:t xml:space="preserve">Imię i nazwisko rodzica lub opiekuna prawnego, numer PESEL   .......................................................... </w:t>
      </w:r>
    </w:p>
    <w:p w14:paraId="52C7C3A9" w14:textId="30A7DC83" w:rsidR="005E347E" w:rsidRPr="00AA22C4" w:rsidRDefault="005E347E" w:rsidP="008547B7">
      <w:pPr>
        <w:widowControl/>
        <w:spacing w:before="240" w:line="256" w:lineRule="auto"/>
        <w:rPr>
          <w:rFonts w:ascii="Lato" w:hAnsi="Lato"/>
          <w:color w:val="000000" w:themeColor="text1"/>
          <w:sz w:val="22"/>
          <w:szCs w:val="22"/>
          <w:lang w:eastAsia="en-US"/>
        </w:rPr>
      </w:pPr>
      <w:r w:rsidRPr="00AA22C4">
        <w:rPr>
          <w:rFonts w:ascii="Lato" w:hAnsi="Lato"/>
          <w:color w:val="000000" w:themeColor="text1"/>
          <w:sz w:val="22"/>
          <w:szCs w:val="22"/>
          <w:lang w:eastAsia="en-US"/>
        </w:rPr>
        <w:t>..............................................................................................................................................................</w:t>
      </w:r>
      <w:r w:rsidR="008547B7">
        <w:rPr>
          <w:rFonts w:ascii="Lato" w:hAnsi="Lato"/>
          <w:color w:val="000000" w:themeColor="text1"/>
          <w:sz w:val="22"/>
          <w:szCs w:val="22"/>
          <w:lang w:eastAsia="en-US"/>
        </w:rPr>
        <w:t>..............................</w:t>
      </w:r>
    </w:p>
    <w:p w14:paraId="54AA0D99" w14:textId="0F8FC21F" w:rsidR="005E347E" w:rsidRPr="00AA22C4" w:rsidRDefault="005E347E" w:rsidP="008547B7">
      <w:pPr>
        <w:widowControl/>
        <w:spacing w:before="240" w:line="256" w:lineRule="auto"/>
        <w:rPr>
          <w:rFonts w:ascii="Lato" w:hAnsi="Lato"/>
          <w:color w:val="000000" w:themeColor="text1"/>
          <w:sz w:val="22"/>
          <w:szCs w:val="22"/>
          <w:lang w:eastAsia="en-US"/>
        </w:rPr>
      </w:pPr>
      <w:r w:rsidRPr="00AA22C4">
        <w:rPr>
          <w:rFonts w:ascii="Lato" w:hAnsi="Lato"/>
          <w:color w:val="000000" w:themeColor="text1"/>
          <w:sz w:val="22"/>
          <w:szCs w:val="22"/>
          <w:lang w:eastAsia="en-US"/>
        </w:rPr>
        <w:t>Adres zamieszkania/zameldowania   ..................................................................................................</w:t>
      </w:r>
      <w:r w:rsidR="008547B7">
        <w:rPr>
          <w:rFonts w:ascii="Lato" w:hAnsi="Lato"/>
          <w:color w:val="000000" w:themeColor="text1"/>
          <w:sz w:val="22"/>
          <w:szCs w:val="22"/>
          <w:lang w:eastAsia="en-US"/>
        </w:rPr>
        <w:t>.............</w:t>
      </w:r>
    </w:p>
    <w:p w14:paraId="1AD8934E" w14:textId="2DBF1877" w:rsidR="005E347E" w:rsidRPr="00AA22C4" w:rsidRDefault="005E347E" w:rsidP="008547B7">
      <w:pPr>
        <w:widowControl/>
        <w:spacing w:before="240" w:line="256" w:lineRule="auto"/>
        <w:rPr>
          <w:rFonts w:ascii="Lato" w:hAnsi="Lato"/>
          <w:color w:val="000000" w:themeColor="text1"/>
          <w:sz w:val="22"/>
          <w:szCs w:val="22"/>
          <w:lang w:eastAsia="en-US"/>
        </w:rPr>
      </w:pPr>
      <w:r w:rsidRPr="00AA22C4">
        <w:rPr>
          <w:rFonts w:ascii="Lato" w:hAnsi="Lato"/>
          <w:color w:val="000000" w:themeColor="text1"/>
          <w:sz w:val="22"/>
          <w:szCs w:val="22"/>
          <w:lang w:eastAsia="en-US"/>
        </w:rPr>
        <w:t>.............................................................................................................................................................</w:t>
      </w:r>
      <w:r w:rsidR="008547B7">
        <w:rPr>
          <w:rFonts w:ascii="Lato" w:hAnsi="Lato"/>
          <w:color w:val="000000" w:themeColor="text1"/>
          <w:sz w:val="22"/>
          <w:szCs w:val="22"/>
          <w:lang w:eastAsia="en-US"/>
        </w:rPr>
        <w:t>............................</w:t>
      </w:r>
    </w:p>
    <w:p w14:paraId="0197E052" w14:textId="77777777" w:rsidR="005E347E" w:rsidRPr="00AA22C4" w:rsidRDefault="005E347E" w:rsidP="008547B7">
      <w:pPr>
        <w:widowControl/>
        <w:spacing w:before="240"/>
        <w:rPr>
          <w:rFonts w:ascii="Lato" w:hAnsi="Lato"/>
          <w:color w:val="000000" w:themeColor="text1"/>
          <w:sz w:val="22"/>
          <w:szCs w:val="22"/>
          <w:lang w:eastAsia="en-US"/>
        </w:rPr>
      </w:pPr>
      <w:r w:rsidRPr="00AA22C4">
        <w:rPr>
          <w:rFonts w:ascii="Lato" w:hAnsi="Lato"/>
          <w:color w:val="000000" w:themeColor="text1"/>
          <w:sz w:val="22"/>
          <w:szCs w:val="22"/>
          <w:lang w:eastAsia="en-US"/>
        </w:rPr>
        <w:t xml:space="preserve">Podpis rodzica lub opiekuna prawnego: </w:t>
      </w:r>
      <w:r w:rsidRPr="00AA22C4">
        <w:rPr>
          <w:rFonts w:ascii="Lato" w:hAnsi="Lato"/>
          <w:color w:val="000000" w:themeColor="text1"/>
          <w:sz w:val="22"/>
          <w:szCs w:val="22"/>
          <w:lang w:eastAsia="en-US"/>
        </w:rPr>
        <w:tab/>
        <w:t xml:space="preserve">.................................................................................       </w:t>
      </w:r>
    </w:p>
    <w:p w14:paraId="3A855A1E" w14:textId="77777777" w:rsidR="005E347E" w:rsidRPr="00AA22C4" w:rsidRDefault="005E347E" w:rsidP="008547B7">
      <w:pPr>
        <w:widowControl/>
        <w:spacing w:before="240"/>
        <w:rPr>
          <w:rFonts w:ascii="Lato" w:hAnsi="Lato"/>
          <w:color w:val="000000" w:themeColor="text1"/>
          <w:sz w:val="22"/>
          <w:szCs w:val="22"/>
          <w:lang w:eastAsia="en-US"/>
        </w:rPr>
      </w:pPr>
      <w:r w:rsidRPr="00AA22C4">
        <w:rPr>
          <w:rFonts w:ascii="Lato" w:hAnsi="Lato"/>
          <w:color w:val="000000" w:themeColor="text1"/>
          <w:sz w:val="22"/>
          <w:szCs w:val="22"/>
          <w:lang w:eastAsia="en-US"/>
        </w:rPr>
        <w:t>Data:</w:t>
      </w:r>
      <w:r w:rsidRPr="00AA22C4">
        <w:rPr>
          <w:rFonts w:ascii="Lato" w:hAnsi="Lato"/>
          <w:color w:val="000000" w:themeColor="text1"/>
          <w:sz w:val="22"/>
          <w:szCs w:val="22"/>
          <w:lang w:eastAsia="en-US"/>
        </w:rPr>
        <w:tab/>
      </w:r>
      <w:r w:rsidRPr="00AA22C4">
        <w:rPr>
          <w:rFonts w:ascii="Lato" w:hAnsi="Lato"/>
          <w:color w:val="000000" w:themeColor="text1"/>
          <w:sz w:val="22"/>
          <w:szCs w:val="22"/>
          <w:lang w:eastAsia="en-US"/>
        </w:rPr>
        <w:tab/>
      </w:r>
      <w:r w:rsidRPr="00AA22C4">
        <w:rPr>
          <w:rFonts w:ascii="Lato" w:hAnsi="Lato"/>
          <w:color w:val="000000" w:themeColor="text1"/>
          <w:sz w:val="22"/>
          <w:szCs w:val="22"/>
          <w:lang w:eastAsia="en-US"/>
        </w:rPr>
        <w:tab/>
      </w:r>
      <w:r w:rsidRPr="00AA22C4">
        <w:rPr>
          <w:rFonts w:ascii="Lato" w:hAnsi="Lato"/>
          <w:color w:val="000000" w:themeColor="text1"/>
          <w:sz w:val="22"/>
          <w:szCs w:val="22"/>
          <w:lang w:eastAsia="en-US"/>
        </w:rPr>
        <w:tab/>
      </w:r>
      <w:r w:rsidRPr="00AA22C4">
        <w:rPr>
          <w:rFonts w:ascii="Lato" w:hAnsi="Lato"/>
          <w:color w:val="000000" w:themeColor="text1"/>
          <w:sz w:val="22"/>
          <w:szCs w:val="22"/>
          <w:lang w:eastAsia="en-US"/>
        </w:rPr>
        <w:tab/>
      </w:r>
      <w:r w:rsidRPr="00AA22C4">
        <w:rPr>
          <w:rFonts w:ascii="Lato" w:hAnsi="Lato"/>
          <w:color w:val="000000" w:themeColor="text1"/>
          <w:sz w:val="22"/>
          <w:szCs w:val="22"/>
          <w:lang w:eastAsia="en-US"/>
        </w:rPr>
        <w:tab/>
        <w:t>.................................................................................</w:t>
      </w:r>
    </w:p>
    <w:p w14:paraId="28DF10CF" w14:textId="77777777" w:rsidR="005E347E" w:rsidRPr="00AA22C4" w:rsidRDefault="005E347E" w:rsidP="008547B7">
      <w:pPr>
        <w:widowControl/>
        <w:spacing w:before="240"/>
        <w:rPr>
          <w:rFonts w:ascii="Lato" w:hAnsi="Lato"/>
          <w:color w:val="000000" w:themeColor="text1"/>
          <w:sz w:val="22"/>
          <w:szCs w:val="22"/>
          <w:lang w:eastAsia="en-US"/>
        </w:rPr>
      </w:pPr>
      <w:r w:rsidRPr="00AA22C4">
        <w:rPr>
          <w:rFonts w:ascii="Lato" w:hAnsi="Lato"/>
          <w:color w:val="000000" w:themeColor="text1"/>
          <w:sz w:val="22"/>
          <w:szCs w:val="22"/>
          <w:lang w:eastAsia="en-US"/>
        </w:rPr>
        <w:t>Pieczątka i podpis lekarza:</w:t>
      </w:r>
      <w:r w:rsidRPr="00AA22C4">
        <w:rPr>
          <w:rFonts w:ascii="Lato" w:hAnsi="Lato"/>
          <w:color w:val="000000" w:themeColor="text1"/>
          <w:sz w:val="22"/>
          <w:szCs w:val="22"/>
          <w:lang w:eastAsia="en-US"/>
        </w:rPr>
        <w:tab/>
      </w:r>
      <w:r w:rsidRPr="00AA22C4">
        <w:rPr>
          <w:rFonts w:ascii="Lato" w:hAnsi="Lato"/>
          <w:color w:val="000000" w:themeColor="text1"/>
          <w:sz w:val="22"/>
          <w:szCs w:val="22"/>
          <w:lang w:eastAsia="en-US"/>
        </w:rPr>
        <w:tab/>
      </w:r>
      <w:r w:rsidRPr="00AA22C4">
        <w:rPr>
          <w:rFonts w:ascii="Lato" w:hAnsi="Lato"/>
          <w:color w:val="000000" w:themeColor="text1"/>
          <w:sz w:val="22"/>
          <w:szCs w:val="22"/>
          <w:lang w:eastAsia="en-US"/>
        </w:rPr>
        <w:tab/>
        <w:t>..................................................................................</w:t>
      </w:r>
    </w:p>
    <w:p w14:paraId="1094A753" w14:textId="77777777" w:rsidR="005E347E" w:rsidRPr="00AA22C4" w:rsidRDefault="005E347E" w:rsidP="005E347E">
      <w:pPr>
        <w:pStyle w:val="Tekstprzypisudolnego"/>
        <w:spacing w:before="120" w:after="120"/>
        <w:ind w:left="7200"/>
        <w:contextualSpacing/>
        <w:jc w:val="both"/>
        <w:rPr>
          <w:rFonts w:ascii="Lato" w:hAnsi="Lato"/>
          <w:color w:val="000000" w:themeColor="text1"/>
          <w:sz w:val="22"/>
          <w:szCs w:val="22"/>
        </w:rPr>
      </w:pPr>
      <w:r w:rsidRPr="00AA22C4">
        <w:rPr>
          <w:rFonts w:ascii="Lato" w:hAnsi="Lato"/>
          <w:color w:val="000000" w:themeColor="text1"/>
          <w:sz w:val="22"/>
          <w:szCs w:val="22"/>
          <w:highlight w:val="yellow"/>
        </w:rPr>
        <w:br w:type="page"/>
      </w:r>
      <w:r w:rsidRPr="00AA22C4">
        <w:rPr>
          <w:rFonts w:ascii="Lato" w:hAnsi="Lato"/>
          <w:color w:val="000000" w:themeColor="text1"/>
          <w:sz w:val="22"/>
          <w:szCs w:val="22"/>
        </w:rPr>
        <w:lastRenderedPageBreak/>
        <w:t>Załącznik nr 2</w:t>
      </w:r>
    </w:p>
    <w:p w14:paraId="31E3D1A0" w14:textId="77777777" w:rsidR="005E347E" w:rsidRPr="00AA22C4" w:rsidRDefault="005E347E" w:rsidP="005E347E">
      <w:pPr>
        <w:pStyle w:val="Tekstprzypisudolnego"/>
        <w:keepNext/>
        <w:widowControl/>
        <w:spacing w:before="120" w:after="120"/>
        <w:ind w:left="3600" w:firstLine="720"/>
        <w:contextualSpacing/>
        <w:rPr>
          <w:rFonts w:ascii="Lato" w:hAnsi="Lato"/>
          <w:i/>
          <w:color w:val="000000" w:themeColor="text1"/>
          <w:sz w:val="22"/>
          <w:szCs w:val="22"/>
          <w:u w:val="single"/>
        </w:rPr>
      </w:pPr>
      <w:r w:rsidRPr="00AA22C4">
        <w:rPr>
          <w:rFonts w:ascii="Lato" w:hAnsi="Lato"/>
          <w:i/>
          <w:color w:val="000000" w:themeColor="text1"/>
          <w:sz w:val="22"/>
          <w:szCs w:val="22"/>
          <w:u w:val="single"/>
        </w:rPr>
        <w:t>WZÓR</w:t>
      </w:r>
    </w:p>
    <w:p w14:paraId="0BEDC2FE" w14:textId="77777777" w:rsidR="005E347E" w:rsidRPr="00AA22C4" w:rsidRDefault="005E347E" w:rsidP="005E347E">
      <w:pPr>
        <w:pStyle w:val="Tekstprzypisudolnego"/>
        <w:spacing w:before="120" w:after="120"/>
        <w:ind w:left="7200"/>
        <w:contextualSpacing/>
        <w:jc w:val="both"/>
        <w:rPr>
          <w:rFonts w:ascii="Lato" w:hAnsi="Lato"/>
          <w:color w:val="000000" w:themeColor="text1"/>
          <w:sz w:val="22"/>
          <w:szCs w:val="22"/>
        </w:rPr>
      </w:pPr>
    </w:p>
    <w:p w14:paraId="3B5E31E9" w14:textId="77777777" w:rsidR="005E347E" w:rsidRPr="00AA22C4" w:rsidRDefault="005E347E" w:rsidP="005E347E">
      <w:pPr>
        <w:pStyle w:val="Tekstprzypisudolnego"/>
        <w:spacing w:before="120" w:after="120"/>
        <w:contextualSpacing/>
        <w:jc w:val="center"/>
        <w:rPr>
          <w:rFonts w:ascii="Lato" w:hAnsi="Lato"/>
          <w:b/>
          <w:color w:val="000000" w:themeColor="text1"/>
          <w:sz w:val="22"/>
          <w:szCs w:val="22"/>
        </w:rPr>
      </w:pPr>
      <w:r w:rsidRPr="00AA22C4">
        <w:rPr>
          <w:rFonts w:ascii="Lato" w:hAnsi="Lato"/>
          <w:b/>
          <w:color w:val="000000" w:themeColor="text1"/>
          <w:sz w:val="22"/>
          <w:szCs w:val="22"/>
        </w:rPr>
        <w:t>KARTA DO DOKUMENTACJI PACJENTA (FAOD)</w:t>
      </w:r>
    </w:p>
    <w:p w14:paraId="27AD94DB" w14:textId="77777777" w:rsidR="005E347E" w:rsidRPr="00AA22C4" w:rsidRDefault="005E347E" w:rsidP="005E347E">
      <w:pPr>
        <w:pStyle w:val="Tekstprzypisudolnego"/>
        <w:spacing w:before="120" w:after="120"/>
        <w:contextualSpacing/>
        <w:jc w:val="center"/>
        <w:rPr>
          <w:rFonts w:ascii="Lato" w:hAnsi="Lato"/>
          <w:color w:val="000000" w:themeColor="text1"/>
          <w:sz w:val="22"/>
          <w:szCs w:val="22"/>
        </w:rPr>
      </w:pPr>
      <w:r w:rsidRPr="00AA22C4">
        <w:rPr>
          <w:rFonts w:ascii="Lato" w:hAnsi="Lato"/>
          <w:color w:val="000000" w:themeColor="text1"/>
          <w:sz w:val="22"/>
          <w:szCs w:val="22"/>
        </w:rPr>
        <w:t>(wypełnia Zakład Badań Przesiewowych)</w:t>
      </w:r>
    </w:p>
    <w:p w14:paraId="49346DE6"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p>
    <w:p w14:paraId="7B68F04F"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Pacjent: ………………………………………………………………………………………… ur. ……………………………………….</w:t>
      </w:r>
    </w:p>
    <w:p w14:paraId="03D80C27"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PESEL RODZICA LUB OPIEKUNA PRAWNEGO: ……………………………………………</w:t>
      </w:r>
    </w:p>
    <w:p w14:paraId="1256D49D"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Podejrzewana choroba: ……………………………………………………………………………………………………………</w:t>
      </w:r>
    </w:p>
    <w:p w14:paraId="28275777"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(w załączeniu nieprawidłowy wynik badania przesiewowego noworodków)</w:t>
      </w:r>
    </w:p>
    <w:p w14:paraId="08532E33" w14:textId="77777777" w:rsidR="005E347E" w:rsidRPr="00AA22C4" w:rsidRDefault="005E347E" w:rsidP="005E347E">
      <w:pPr>
        <w:pStyle w:val="Tekstprzypisudolnego"/>
        <w:numPr>
          <w:ilvl w:val="0"/>
          <w:numId w:val="11"/>
        </w:numPr>
        <w:spacing w:before="120" w:after="120"/>
        <w:contextualSpacing/>
        <w:rPr>
          <w:rFonts w:ascii="Lato" w:hAnsi="Lato"/>
          <w:b/>
          <w:color w:val="000000" w:themeColor="text1"/>
          <w:sz w:val="22"/>
          <w:szCs w:val="22"/>
          <w:u w:val="single"/>
        </w:rPr>
      </w:pPr>
      <w:r w:rsidRPr="00AA22C4">
        <w:rPr>
          <w:rFonts w:ascii="Lato" w:hAnsi="Lato"/>
          <w:b/>
          <w:color w:val="000000" w:themeColor="text1"/>
          <w:sz w:val="22"/>
          <w:szCs w:val="22"/>
          <w:u w:val="single"/>
        </w:rPr>
        <w:t>ZALECANA DIAGNOSTYKA SPECJALISTYCZNA OFEROWANA PRZEZ ZAKŁAD BADAŃ PRZESIEWOWYCH:</w:t>
      </w:r>
    </w:p>
    <w:p w14:paraId="7A201651" w14:textId="466BE55F"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(badania finansowane ze środków Rządowego programu badań przesiewowych noworodków na lata 2019-2026)</w:t>
      </w:r>
    </w:p>
    <w:p w14:paraId="3C051FAE" w14:textId="77777777" w:rsidR="005E347E" w:rsidRPr="00AA22C4" w:rsidRDefault="005E347E" w:rsidP="005E347E">
      <w:pPr>
        <w:pStyle w:val="Tekstprzypisudolnego"/>
        <w:spacing w:before="120" w:after="120"/>
        <w:contextualSpacing/>
        <w:rPr>
          <w:rFonts w:ascii="Lato" w:hAnsi="Lato"/>
          <w:color w:val="000000" w:themeColor="text1"/>
          <w:sz w:val="22"/>
          <w:szCs w:val="22"/>
          <w:u w:val="single"/>
        </w:rPr>
      </w:pPr>
      <w:r w:rsidRPr="00AA22C4">
        <w:rPr>
          <w:rFonts w:ascii="Lato" w:hAnsi="Lato"/>
          <w:color w:val="000000" w:themeColor="text1"/>
          <w:sz w:val="22"/>
          <w:szCs w:val="22"/>
        </w:rPr>
        <w:t>1.</w:t>
      </w:r>
      <w:r w:rsidRPr="00AA22C4">
        <w:rPr>
          <w:rFonts w:ascii="Lato" w:hAnsi="Lato"/>
          <w:color w:val="000000" w:themeColor="text1"/>
          <w:sz w:val="22"/>
          <w:szCs w:val="22"/>
          <w:u w:val="single"/>
        </w:rPr>
        <w:t>Jak najszybciej:</w:t>
      </w:r>
    </w:p>
    <w:p w14:paraId="2B9D3299"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 xml:space="preserve">….. –powtórne badanie met MS/MS (bibuła z suchymi kroplami krwi) </w:t>
      </w:r>
    </w:p>
    <w:p w14:paraId="48AAEFFF"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 – badanie moczu metoda GCMS (porcja moczu min. 20 ml.)</w:t>
      </w:r>
    </w:p>
    <w:p w14:paraId="60C5F05D"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u w:val="single"/>
        </w:rPr>
        <w:t>wypełnienie i przesłanie karty monitorowania</w:t>
      </w:r>
      <w:r w:rsidRPr="00AA22C4">
        <w:rPr>
          <w:rFonts w:ascii="Lato" w:hAnsi="Lato"/>
          <w:color w:val="000000" w:themeColor="text1"/>
          <w:sz w:val="22"/>
          <w:szCs w:val="22"/>
        </w:rPr>
        <w:t xml:space="preserve"> – „PIERWSZA WIZYTA”.</w:t>
      </w:r>
    </w:p>
    <w:p w14:paraId="24A2FAC0"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p>
    <w:p w14:paraId="1B7A5EDC" w14:textId="77777777" w:rsidR="005E347E" w:rsidRPr="00AA22C4" w:rsidRDefault="005E347E" w:rsidP="005E347E">
      <w:pPr>
        <w:pStyle w:val="Tekstprzypisudolnego"/>
        <w:spacing w:before="120" w:after="120"/>
        <w:contextualSpacing/>
        <w:rPr>
          <w:rFonts w:ascii="Lato" w:hAnsi="Lato"/>
          <w:color w:val="000000" w:themeColor="text1"/>
          <w:sz w:val="22"/>
          <w:szCs w:val="22"/>
          <w:u w:val="single"/>
        </w:rPr>
      </w:pPr>
      <w:r w:rsidRPr="00AA22C4">
        <w:rPr>
          <w:rFonts w:ascii="Lato" w:hAnsi="Lato"/>
          <w:color w:val="000000" w:themeColor="text1"/>
          <w:sz w:val="22"/>
          <w:szCs w:val="22"/>
        </w:rPr>
        <w:t xml:space="preserve">2. </w:t>
      </w:r>
      <w:r w:rsidRPr="00AA22C4">
        <w:rPr>
          <w:rFonts w:ascii="Lato" w:hAnsi="Lato"/>
          <w:color w:val="000000" w:themeColor="text1"/>
          <w:sz w:val="22"/>
          <w:szCs w:val="22"/>
          <w:u w:val="single"/>
        </w:rPr>
        <w:t>W przypadku utrzymania podejrzenia:</w:t>
      </w:r>
    </w:p>
    <w:p w14:paraId="4095DFDC"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 – badanie enzymatyczne (po indywidualnym uzgodnieniu z pracownią)</w:t>
      </w:r>
    </w:p>
    <w:p w14:paraId="50B9CEC4"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 – badanie molekularne</w:t>
      </w:r>
    </w:p>
    <w:p w14:paraId="033E18DD"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Na każdym etapie diagnostyki możliwy/zalecany kontakt z konsultantem Zakładu Badań Przesiewowych.</w:t>
      </w:r>
    </w:p>
    <w:p w14:paraId="004C79BB" w14:textId="77777777" w:rsidR="005E347E" w:rsidRPr="00AA22C4" w:rsidRDefault="005E347E" w:rsidP="005E347E">
      <w:pPr>
        <w:pStyle w:val="Tekstprzypisudolnego"/>
        <w:numPr>
          <w:ilvl w:val="0"/>
          <w:numId w:val="11"/>
        </w:numPr>
        <w:spacing w:before="120" w:after="120"/>
        <w:contextualSpacing/>
        <w:rPr>
          <w:rFonts w:ascii="Lato" w:hAnsi="Lato"/>
          <w:color w:val="000000" w:themeColor="text1"/>
          <w:sz w:val="22"/>
          <w:szCs w:val="22"/>
        </w:rPr>
      </w:pPr>
      <w:r w:rsidRPr="00AA22C4">
        <w:rPr>
          <w:rFonts w:ascii="Lato" w:hAnsi="Lato"/>
          <w:b/>
          <w:color w:val="000000" w:themeColor="text1"/>
          <w:sz w:val="22"/>
          <w:szCs w:val="22"/>
          <w:u w:val="single"/>
        </w:rPr>
        <w:t xml:space="preserve">MONITOROWANIE: </w:t>
      </w:r>
      <w:r w:rsidRPr="00AA22C4">
        <w:rPr>
          <w:rFonts w:ascii="Lato" w:hAnsi="Lato"/>
          <w:color w:val="000000" w:themeColor="text1"/>
          <w:sz w:val="22"/>
          <w:szCs w:val="22"/>
        </w:rPr>
        <w:t>(badania finansowane ze środków Programu Badań Przesiewowych Noworodków w Rzeczpospolitej Polskiej na lata 2019-2026)</w:t>
      </w:r>
    </w:p>
    <w:p w14:paraId="10E6AB31"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u w:val="single"/>
        </w:rPr>
        <w:t>Dziecko w stanie stabilnym</w:t>
      </w:r>
      <w:r w:rsidRPr="00AA22C4">
        <w:rPr>
          <w:rFonts w:ascii="Lato" w:hAnsi="Lato"/>
          <w:color w:val="000000" w:themeColor="text1"/>
          <w:sz w:val="22"/>
          <w:szCs w:val="22"/>
        </w:rPr>
        <w:t>:</w:t>
      </w:r>
    </w:p>
    <w:p w14:paraId="7C42405F" w14:textId="77777777" w:rsidR="005E347E" w:rsidRPr="00AA22C4" w:rsidRDefault="005E347E" w:rsidP="005E347E">
      <w:pPr>
        <w:pStyle w:val="Tekstprzypisudolnego"/>
        <w:numPr>
          <w:ilvl w:val="0"/>
          <w:numId w:val="72"/>
        </w:numPr>
        <w:spacing w:before="120" w:after="120"/>
        <w:contextualSpacing/>
        <w:rPr>
          <w:rFonts w:ascii="Lato" w:hAnsi="Lato"/>
          <w:b/>
          <w:color w:val="000000" w:themeColor="text1"/>
          <w:sz w:val="22"/>
          <w:szCs w:val="22"/>
        </w:rPr>
      </w:pPr>
      <w:r w:rsidRPr="00AA22C4">
        <w:rPr>
          <w:rFonts w:ascii="Lato" w:hAnsi="Lato"/>
          <w:color w:val="000000" w:themeColor="text1"/>
          <w:sz w:val="22"/>
          <w:szCs w:val="22"/>
        </w:rPr>
        <w:t xml:space="preserve">badanie </w:t>
      </w:r>
      <w:r w:rsidRPr="00AA22C4">
        <w:rPr>
          <w:rFonts w:ascii="Lato" w:hAnsi="Lato"/>
          <w:b/>
          <w:color w:val="000000" w:themeColor="text1"/>
          <w:sz w:val="22"/>
          <w:szCs w:val="22"/>
        </w:rPr>
        <w:t>met MS/MS</w:t>
      </w:r>
      <w:r w:rsidRPr="00AA22C4">
        <w:rPr>
          <w:rFonts w:ascii="Lato" w:hAnsi="Lato"/>
          <w:color w:val="000000" w:themeColor="text1"/>
          <w:sz w:val="22"/>
          <w:szCs w:val="22"/>
        </w:rPr>
        <w:t xml:space="preserve"> (bibuła z suchymi kroplami krwi): </w:t>
      </w:r>
      <w:r w:rsidRPr="00AA22C4">
        <w:rPr>
          <w:rFonts w:ascii="Lato" w:hAnsi="Lato"/>
          <w:b/>
          <w:color w:val="000000" w:themeColor="text1"/>
          <w:sz w:val="22"/>
          <w:szCs w:val="22"/>
        </w:rPr>
        <w:t>1x/3 miesiące</w:t>
      </w:r>
    </w:p>
    <w:p w14:paraId="14AC7AB2"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u w:val="single"/>
        </w:rPr>
        <w:t>Dziecko w wieku niemowlęcym lub w okresie dekompensacji metabolicznej</w:t>
      </w:r>
      <w:r w:rsidRPr="00AA22C4">
        <w:rPr>
          <w:rFonts w:ascii="Lato" w:hAnsi="Lato"/>
          <w:color w:val="000000" w:themeColor="text1"/>
          <w:sz w:val="22"/>
          <w:szCs w:val="22"/>
        </w:rPr>
        <w:t>:</w:t>
      </w:r>
    </w:p>
    <w:p w14:paraId="37EBADA5" w14:textId="77777777" w:rsidR="005E347E" w:rsidRPr="00AA22C4" w:rsidRDefault="005E347E" w:rsidP="005E347E">
      <w:pPr>
        <w:pStyle w:val="Tekstprzypisudolnego"/>
        <w:numPr>
          <w:ilvl w:val="0"/>
          <w:numId w:val="73"/>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 xml:space="preserve">badanie </w:t>
      </w:r>
      <w:r w:rsidRPr="00AA22C4">
        <w:rPr>
          <w:rFonts w:ascii="Lato" w:hAnsi="Lato"/>
          <w:b/>
          <w:color w:val="000000" w:themeColor="text1"/>
          <w:sz w:val="22"/>
          <w:szCs w:val="22"/>
        </w:rPr>
        <w:t>met MS/MS</w:t>
      </w:r>
      <w:r w:rsidRPr="00AA22C4">
        <w:rPr>
          <w:rFonts w:ascii="Lato" w:hAnsi="Lato"/>
          <w:color w:val="000000" w:themeColor="text1"/>
          <w:sz w:val="22"/>
          <w:szCs w:val="22"/>
        </w:rPr>
        <w:t xml:space="preserve"> (bibuła z suchymi kroplami krwi): </w:t>
      </w:r>
      <w:r w:rsidRPr="00AA22C4">
        <w:rPr>
          <w:rFonts w:ascii="Lato" w:hAnsi="Lato"/>
          <w:b/>
          <w:color w:val="000000" w:themeColor="text1"/>
          <w:sz w:val="22"/>
          <w:szCs w:val="22"/>
        </w:rPr>
        <w:t>1-2x w miesiącu</w:t>
      </w:r>
    </w:p>
    <w:p w14:paraId="67716882" w14:textId="77777777" w:rsidR="005E347E" w:rsidRPr="00AA22C4" w:rsidRDefault="005E347E" w:rsidP="005E347E">
      <w:pPr>
        <w:pStyle w:val="Tekstprzypisudolnego"/>
        <w:numPr>
          <w:ilvl w:val="0"/>
          <w:numId w:val="73"/>
        </w:numPr>
        <w:spacing w:before="120" w:after="120"/>
        <w:contextualSpacing/>
        <w:rPr>
          <w:rFonts w:ascii="Lato" w:hAnsi="Lato"/>
          <w:color w:val="000000" w:themeColor="text1"/>
          <w:sz w:val="22"/>
          <w:szCs w:val="22"/>
        </w:rPr>
      </w:pPr>
      <w:r w:rsidRPr="00AA22C4">
        <w:rPr>
          <w:rFonts w:ascii="Lato" w:hAnsi="Lato"/>
          <w:color w:val="000000" w:themeColor="text1"/>
          <w:sz w:val="22"/>
          <w:szCs w:val="22"/>
        </w:rPr>
        <w:t xml:space="preserve">badanie </w:t>
      </w:r>
      <w:r w:rsidRPr="00AA22C4">
        <w:rPr>
          <w:rFonts w:ascii="Lato" w:hAnsi="Lato"/>
          <w:b/>
          <w:color w:val="000000" w:themeColor="text1"/>
          <w:sz w:val="22"/>
          <w:szCs w:val="22"/>
        </w:rPr>
        <w:t>met GCMS</w:t>
      </w:r>
      <w:r w:rsidRPr="00AA22C4">
        <w:rPr>
          <w:rFonts w:ascii="Lato" w:hAnsi="Lato"/>
          <w:color w:val="000000" w:themeColor="text1"/>
          <w:sz w:val="22"/>
          <w:szCs w:val="22"/>
        </w:rPr>
        <w:t xml:space="preserve"> (mocz): </w:t>
      </w:r>
      <w:r w:rsidRPr="00AA22C4">
        <w:rPr>
          <w:rFonts w:ascii="Lato" w:hAnsi="Lato"/>
          <w:b/>
          <w:color w:val="000000" w:themeColor="text1"/>
          <w:sz w:val="22"/>
          <w:szCs w:val="22"/>
        </w:rPr>
        <w:t>1-2x w miesiącu</w:t>
      </w:r>
    </w:p>
    <w:p w14:paraId="04C32DB4"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b/>
          <w:color w:val="000000" w:themeColor="text1"/>
          <w:sz w:val="22"/>
          <w:szCs w:val="22"/>
          <w:u w:val="single"/>
        </w:rPr>
        <w:t>WSZYSCY PACJENCI:</w:t>
      </w:r>
      <w:r w:rsidRPr="00AA22C4">
        <w:rPr>
          <w:rFonts w:ascii="Lato" w:hAnsi="Lato"/>
          <w:color w:val="000000" w:themeColor="text1"/>
          <w:sz w:val="22"/>
          <w:szCs w:val="22"/>
          <w:u w:val="single"/>
        </w:rPr>
        <w:t xml:space="preserve"> wypełnienie i przesłanie karty monitorowania</w:t>
      </w:r>
      <w:r w:rsidRPr="00AA22C4">
        <w:rPr>
          <w:rFonts w:ascii="Lato" w:hAnsi="Lato"/>
          <w:color w:val="000000" w:themeColor="text1"/>
          <w:sz w:val="22"/>
          <w:szCs w:val="22"/>
        </w:rPr>
        <w:t xml:space="preserve"> – „WIZYTA DZIECKA W WIEKU 1 r. ż.”. </w:t>
      </w:r>
    </w:p>
    <w:p w14:paraId="4EBD0A23" w14:textId="77777777" w:rsidR="005E347E" w:rsidRPr="00AA22C4" w:rsidRDefault="005E347E" w:rsidP="005E347E">
      <w:pPr>
        <w:pStyle w:val="Tekstprzypisudolnego"/>
        <w:spacing w:before="120" w:after="120"/>
        <w:ind w:left="7200"/>
        <w:contextualSpacing/>
        <w:rPr>
          <w:rFonts w:ascii="Lato" w:hAnsi="Lato"/>
          <w:color w:val="000000" w:themeColor="text1"/>
          <w:sz w:val="22"/>
          <w:szCs w:val="22"/>
        </w:rPr>
      </w:pPr>
      <w:r w:rsidRPr="00AA22C4">
        <w:rPr>
          <w:rFonts w:ascii="Lato" w:hAnsi="Lato"/>
          <w:color w:val="000000" w:themeColor="text1"/>
          <w:sz w:val="22"/>
          <w:szCs w:val="22"/>
        </w:rPr>
        <w:br w:type="page"/>
      </w:r>
      <w:r w:rsidRPr="00AA22C4">
        <w:rPr>
          <w:rFonts w:ascii="Lato" w:hAnsi="Lato"/>
          <w:color w:val="000000" w:themeColor="text1"/>
          <w:sz w:val="22"/>
          <w:szCs w:val="22"/>
        </w:rPr>
        <w:lastRenderedPageBreak/>
        <w:t>Załącznik nr 3</w:t>
      </w:r>
    </w:p>
    <w:p w14:paraId="453ABFF3" w14:textId="77777777" w:rsidR="005E347E" w:rsidRPr="00AA22C4" w:rsidRDefault="005E347E" w:rsidP="005E347E">
      <w:pPr>
        <w:pStyle w:val="Tekstprzypisudolnego"/>
        <w:keepNext/>
        <w:widowControl/>
        <w:spacing w:before="120" w:after="120"/>
        <w:ind w:left="3600" w:firstLine="720"/>
        <w:contextualSpacing/>
        <w:rPr>
          <w:rFonts w:ascii="Lato" w:hAnsi="Lato"/>
          <w:i/>
          <w:color w:val="000000" w:themeColor="text1"/>
          <w:sz w:val="22"/>
          <w:szCs w:val="22"/>
          <w:u w:val="single"/>
        </w:rPr>
      </w:pPr>
      <w:r w:rsidRPr="00AA22C4">
        <w:rPr>
          <w:rFonts w:ascii="Lato" w:hAnsi="Lato"/>
          <w:i/>
          <w:color w:val="000000" w:themeColor="text1"/>
          <w:sz w:val="22"/>
          <w:szCs w:val="22"/>
          <w:u w:val="single"/>
        </w:rPr>
        <w:t>WZÓR</w:t>
      </w:r>
    </w:p>
    <w:p w14:paraId="79E2A1F1" w14:textId="77777777" w:rsidR="005E347E" w:rsidRPr="00AA22C4" w:rsidRDefault="005E347E" w:rsidP="005E347E">
      <w:pPr>
        <w:pStyle w:val="Tekstprzypisudolnego"/>
        <w:spacing w:before="120" w:after="120"/>
        <w:ind w:left="7200"/>
        <w:contextualSpacing/>
        <w:rPr>
          <w:rFonts w:ascii="Lato" w:hAnsi="Lato"/>
          <w:color w:val="000000" w:themeColor="text1"/>
          <w:sz w:val="22"/>
          <w:szCs w:val="22"/>
        </w:rPr>
      </w:pPr>
    </w:p>
    <w:p w14:paraId="066BA47F" w14:textId="77777777" w:rsidR="005E347E" w:rsidRPr="00AA22C4" w:rsidRDefault="005E347E" w:rsidP="005E347E">
      <w:pPr>
        <w:pStyle w:val="Tekstprzypisudolnego"/>
        <w:spacing w:before="120" w:after="120"/>
        <w:contextualSpacing/>
        <w:jc w:val="center"/>
        <w:rPr>
          <w:rFonts w:ascii="Lato" w:hAnsi="Lato"/>
          <w:b/>
          <w:color w:val="000000" w:themeColor="text1"/>
          <w:sz w:val="22"/>
          <w:szCs w:val="22"/>
        </w:rPr>
      </w:pPr>
      <w:r w:rsidRPr="00AA22C4">
        <w:rPr>
          <w:rFonts w:ascii="Lato" w:hAnsi="Lato"/>
          <w:b/>
          <w:color w:val="000000" w:themeColor="text1"/>
          <w:sz w:val="22"/>
          <w:szCs w:val="22"/>
        </w:rPr>
        <w:t>KARTA DLA ZAKŁADU BADAŃ PRZESIEWOWYCH</w:t>
      </w:r>
    </w:p>
    <w:p w14:paraId="6A925F0C" w14:textId="77777777" w:rsidR="005E347E" w:rsidRPr="00AA22C4" w:rsidRDefault="005E347E" w:rsidP="005E347E">
      <w:pPr>
        <w:pStyle w:val="Tekstprzypisudolnego"/>
        <w:spacing w:before="120" w:after="120"/>
        <w:contextualSpacing/>
        <w:jc w:val="center"/>
        <w:rPr>
          <w:rFonts w:ascii="Lato" w:hAnsi="Lato"/>
          <w:b/>
          <w:color w:val="000000" w:themeColor="text1"/>
          <w:sz w:val="22"/>
          <w:szCs w:val="22"/>
        </w:rPr>
      </w:pPr>
      <w:r w:rsidRPr="00AA22C4">
        <w:rPr>
          <w:rFonts w:ascii="Lato" w:hAnsi="Lato"/>
          <w:b/>
          <w:color w:val="000000" w:themeColor="text1"/>
          <w:sz w:val="22"/>
          <w:szCs w:val="22"/>
        </w:rPr>
        <w:t>WIZYTA DZIECKA W WIEKU 1 r. ż. (FAOD)</w:t>
      </w:r>
    </w:p>
    <w:p w14:paraId="0C553112" w14:textId="77777777" w:rsidR="005E347E" w:rsidRPr="00AA22C4" w:rsidRDefault="005E347E" w:rsidP="005E347E">
      <w:pPr>
        <w:pStyle w:val="Tekstprzypisudolnego"/>
        <w:spacing w:before="120" w:after="120"/>
        <w:contextualSpacing/>
        <w:jc w:val="center"/>
        <w:rPr>
          <w:rFonts w:ascii="Lato" w:hAnsi="Lato"/>
          <w:color w:val="000000" w:themeColor="text1"/>
          <w:sz w:val="22"/>
          <w:szCs w:val="22"/>
        </w:rPr>
      </w:pPr>
      <w:r w:rsidRPr="00AA22C4">
        <w:rPr>
          <w:rFonts w:ascii="Lato" w:hAnsi="Lato"/>
          <w:color w:val="000000" w:themeColor="text1"/>
          <w:sz w:val="22"/>
          <w:szCs w:val="22"/>
        </w:rPr>
        <w:t>(wysłać do Zakładu Badań Przesiewowych, 01 - 211 Warszawa ul. Kasprzaka 17a)</w:t>
      </w:r>
    </w:p>
    <w:p w14:paraId="3B482D9F"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p>
    <w:p w14:paraId="5B0AFB6F"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Pacjent: ……………………………………………………………………………………………… ur. ……………………………….</w:t>
      </w:r>
    </w:p>
    <w:p w14:paraId="4F5CC6E3"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 xml:space="preserve">PESEL RODZICA LUB OPIEKUNA PRAWNEGO: ……………………………………………             </w:t>
      </w:r>
      <w:r w:rsidRPr="00AA22C4">
        <w:rPr>
          <w:rFonts w:ascii="Lato" w:hAnsi="Lato"/>
          <w:b/>
          <w:color w:val="000000" w:themeColor="text1"/>
          <w:sz w:val="22"/>
          <w:szCs w:val="22"/>
        </w:rPr>
        <w:t>DATA WIZYTY:</w:t>
      </w:r>
      <w:r w:rsidRPr="00AA22C4">
        <w:rPr>
          <w:rFonts w:ascii="Lato" w:hAnsi="Lato"/>
          <w:color w:val="000000" w:themeColor="text1"/>
          <w:sz w:val="22"/>
          <w:szCs w:val="22"/>
        </w:rPr>
        <w:t xml:space="preserve">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w:t>
      </w:r>
    </w:p>
    <w:p w14:paraId="3546CC14"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Podejrzewana choroba: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w:t>
      </w:r>
    </w:p>
    <w:p w14:paraId="780FFE65"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Rozpoznanie potwierdzone: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w:t>
      </w:r>
    </w:p>
    <w:p w14:paraId="189F4E72"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p>
    <w:p w14:paraId="329138AB"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b/>
          <w:color w:val="000000" w:themeColor="text1"/>
          <w:sz w:val="22"/>
          <w:szCs w:val="22"/>
          <w:u w:val="single"/>
        </w:rPr>
        <w:t xml:space="preserve">BADANIA POTWIERDZAJĄCE ROZPOZNANIE </w:t>
      </w:r>
      <w:r w:rsidRPr="00AA22C4">
        <w:rPr>
          <w:rFonts w:ascii="Lato" w:hAnsi="Lato"/>
          <w:color w:val="000000" w:themeColor="text1"/>
          <w:sz w:val="22"/>
          <w:szCs w:val="22"/>
        </w:rPr>
        <w:t>(wypełnić o ile były wykonywane poza Zakładem Badań Przesiewowych):</w:t>
      </w:r>
    </w:p>
    <w:p w14:paraId="0837B604"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Badania biochemiczne ……………………………………………………………………………………………………………</w:t>
      </w:r>
    </w:p>
    <w:p w14:paraId="5C4E6C47"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Badania enzymatyczne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w:t>
      </w:r>
    </w:p>
    <w:p w14:paraId="479CBBCE"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Badania molekularne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w:t>
      </w:r>
    </w:p>
    <w:p w14:paraId="62DDA9C5"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p>
    <w:p w14:paraId="6CC6E5E5" w14:textId="77777777" w:rsidR="005E347E" w:rsidRPr="00AA22C4" w:rsidRDefault="005E347E" w:rsidP="005E347E">
      <w:pPr>
        <w:pStyle w:val="Tekstprzypisudolnego"/>
        <w:spacing w:before="120" w:after="120" w:line="276" w:lineRule="auto"/>
        <w:contextualSpacing/>
        <w:rPr>
          <w:rFonts w:ascii="Lato" w:hAnsi="Lato"/>
          <w:b/>
          <w:color w:val="000000" w:themeColor="text1"/>
          <w:sz w:val="22"/>
          <w:szCs w:val="22"/>
          <w:u w:val="single"/>
        </w:rPr>
      </w:pPr>
      <w:r w:rsidRPr="00AA22C4">
        <w:rPr>
          <w:rFonts w:ascii="Lato" w:hAnsi="Lato"/>
          <w:b/>
          <w:color w:val="000000" w:themeColor="text1"/>
          <w:sz w:val="22"/>
          <w:szCs w:val="22"/>
          <w:u w:val="single"/>
        </w:rPr>
        <w:t>DANE Z OSTATNIEGO ROKU:</w:t>
      </w:r>
    </w:p>
    <w:p w14:paraId="256E81A5"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Czy wystąpiły objawy kliniczne choroby: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 Od kiedy: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w:t>
      </w:r>
    </w:p>
    <w:p w14:paraId="1B706FBC"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Jakie: ……………………………………………………………………………………………………………</w:t>
      </w:r>
    </w:p>
    <w:p w14:paraId="437B3C24"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Czy były dekompensacje metaboliczne wymagające hospitalizacji</w:t>
      </w:r>
      <w:proofErr w:type="gramStart"/>
      <w:r w:rsidRPr="00AA22C4">
        <w:rPr>
          <w:rFonts w:ascii="Lato" w:hAnsi="Lato"/>
          <w:color w:val="000000" w:themeColor="text1"/>
          <w:sz w:val="22"/>
          <w:szCs w:val="22"/>
        </w:rPr>
        <w:t xml:space="preserve"> ….</w:t>
      </w:r>
      <w:proofErr w:type="gramEnd"/>
      <w:r w:rsidRPr="00AA22C4">
        <w:rPr>
          <w:rFonts w:ascii="Lato" w:hAnsi="Lato"/>
          <w:color w:val="000000" w:themeColor="text1"/>
          <w:sz w:val="22"/>
          <w:szCs w:val="22"/>
        </w:rPr>
        <w:t>.………………….. Ile razy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w:t>
      </w:r>
    </w:p>
    <w:p w14:paraId="69BEF76F"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Leczenie stosowane aktualnie:</w:t>
      </w:r>
    </w:p>
    <w:p w14:paraId="5E274CAB"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Dietetyczne (jakie?) ……………………..……………………………………………………………………………………</w:t>
      </w:r>
    </w:p>
    <w:p w14:paraId="24B512D1"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Farmakoterapia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w:t>
      </w:r>
    </w:p>
    <w:p w14:paraId="519F9578"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Inna opieka specjalistyczna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w:t>
      </w:r>
    </w:p>
    <w:p w14:paraId="7236099D"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Inne informacje: ……………………………………………………………………………………………………………</w:t>
      </w:r>
    </w:p>
    <w:p w14:paraId="1E1BB0E4"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w:t>
      </w:r>
    </w:p>
    <w:p w14:paraId="275DE130"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Pacjent zmarł ……… Kiedy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 ………………………………………………………………..</w:t>
      </w:r>
    </w:p>
    <w:p w14:paraId="5794B76B"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Z jakiej przyczyny …………………………………………………………………………………………………….</w:t>
      </w:r>
    </w:p>
    <w:p w14:paraId="7F4D5A8F"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p>
    <w:p w14:paraId="55982638" w14:textId="77777777" w:rsidR="005E347E" w:rsidRPr="00AA22C4" w:rsidRDefault="005E347E" w:rsidP="005E347E">
      <w:pPr>
        <w:pStyle w:val="Tekstprzypisudolnego"/>
        <w:spacing w:before="120" w:after="120" w:line="276" w:lineRule="auto"/>
        <w:contextualSpacing/>
        <w:rPr>
          <w:rFonts w:ascii="Lato" w:hAnsi="Lato"/>
          <w:b/>
          <w:color w:val="000000" w:themeColor="text1"/>
          <w:sz w:val="22"/>
          <w:szCs w:val="22"/>
          <w:u w:val="single"/>
        </w:rPr>
      </w:pPr>
      <w:r w:rsidRPr="00AA22C4">
        <w:rPr>
          <w:rFonts w:ascii="Lato" w:hAnsi="Lato"/>
          <w:b/>
          <w:color w:val="000000" w:themeColor="text1"/>
          <w:sz w:val="22"/>
          <w:szCs w:val="22"/>
          <w:u w:val="single"/>
        </w:rPr>
        <w:t>OŚRODEK MEDYCYNY METABOLICZNEJ OPIEKUJĄCY SIĘ PACJENTEM:</w:t>
      </w:r>
    </w:p>
    <w:p w14:paraId="48FF1F5D"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w:t>
      </w:r>
    </w:p>
    <w:p w14:paraId="7E6317A3"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w:t>
      </w:r>
    </w:p>
    <w:p w14:paraId="3A8EB4C9"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Data: ………………………………</w:t>
      </w:r>
      <w:r w:rsidRPr="00AA22C4">
        <w:rPr>
          <w:rFonts w:ascii="Lato" w:hAnsi="Lato"/>
          <w:color w:val="000000" w:themeColor="text1"/>
          <w:sz w:val="22"/>
          <w:szCs w:val="22"/>
        </w:rPr>
        <w:tab/>
      </w:r>
      <w:r w:rsidRPr="00AA22C4">
        <w:rPr>
          <w:rFonts w:ascii="Lato" w:hAnsi="Lato"/>
          <w:color w:val="000000" w:themeColor="text1"/>
          <w:sz w:val="22"/>
          <w:szCs w:val="22"/>
        </w:rPr>
        <w:tab/>
        <w:t>Podpis lekarza: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w:t>
      </w:r>
    </w:p>
    <w:p w14:paraId="0FBA6481" w14:textId="77777777" w:rsidR="005E347E" w:rsidRPr="00AA22C4" w:rsidRDefault="005E347E" w:rsidP="005E347E">
      <w:pPr>
        <w:pStyle w:val="Tekstprzypisudolnego"/>
        <w:spacing w:before="120" w:after="120"/>
        <w:ind w:left="7200"/>
        <w:contextualSpacing/>
        <w:rPr>
          <w:rFonts w:ascii="Lato" w:hAnsi="Lato"/>
          <w:color w:val="000000" w:themeColor="text1"/>
          <w:sz w:val="22"/>
          <w:szCs w:val="22"/>
        </w:rPr>
      </w:pPr>
      <w:r w:rsidRPr="00AA22C4">
        <w:rPr>
          <w:rFonts w:ascii="Lato" w:hAnsi="Lato"/>
          <w:color w:val="000000" w:themeColor="text1"/>
          <w:sz w:val="22"/>
          <w:szCs w:val="22"/>
        </w:rPr>
        <w:br w:type="page"/>
      </w:r>
      <w:r w:rsidRPr="00AA22C4">
        <w:rPr>
          <w:rFonts w:ascii="Lato" w:hAnsi="Lato"/>
          <w:color w:val="000000" w:themeColor="text1"/>
          <w:sz w:val="22"/>
          <w:szCs w:val="22"/>
        </w:rPr>
        <w:lastRenderedPageBreak/>
        <w:t>Załącznik nr 4</w:t>
      </w:r>
    </w:p>
    <w:p w14:paraId="7CAE6866" w14:textId="77777777" w:rsidR="005E347E" w:rsidRPr="00AA22C4" w:rsidRDefault="005E347E" w:rsidP="005E347E">
      <w:pPr>
        <w:pStyle w:val="Tekstprzypisudolnego"/>
        <w:keepNext/>
        <w:widowControl/>
        <w:spacing w:before="120" w:after="120"/>
        <w:ind w:left="3600" w:firstLine="720"/>
        <w:contextualSpacing/>
        <w:rPr>
          <w:rFonts w:ascii="Lato" w:hAnsi="Lato"/>
          <w:i/>
          <w:color w:val="000000" w:themeColor="text1"/>
          <w:sz w:val="22"/>
          <w:szCs w:val="22"/>
          <w:u w:val="single"/>
        </w:rPr>
      </w:pPr>
      <w:r w:rsidRPr="00AA22C4">
        <w:rPr>
          <w:rFonts w:ascii="Lato" w:hAnsi="Lato"/>
          <w:i/>
          <w:color w:val="000000" w:themeColor="text1"/>
          <w:sz w:val="22"/>
          <w:szCs w:val="22"/>
          <w:u w:val="single"/>
        </w:rPr>
        <w:t>WZÓR</w:t>
      </w:r>
    </w:p>
    <w:p w14:paraId="49E81275" w14:textId="77777777" w:rsidR="005E347E" w:rsidRPr="00AA22C4" w:rsidRDefault="005E347E" w:rsidP="005E347E">
      <w:pPr>
        <w:pStyle w:val="Tekstprzypisudolnego"/>
        <w:spacing w:before="120" w:after="120"/>
        <w:contextualSpacing/>
        <w:jc w:val="center"/>
        <w:rPr>
          <w:rFonts w:ascii="Lato" w:hAnsi="Lato"/>
          <w:color w:val="000000" w:themeColor="text1"/>
          <w:sz w:val="22"/>
          <w:szCs w:val="22"/>
        </w:rPr>
      </w:pPr>
      <w:r w:rsidRPr="00AA22C4">
        <w:rPr>
          <w:rFonts w:ascii="Lato" w:hAnsi="Lato"/>
          <w:b/>
          <w:color w:val="000000" w:themeColor="text1"/>
          <w:sz w:val="22"/>
          <w:szCs w:val="22"/>
        </w:rPr>
        <w:t>KARTA DO DOKUMENTACJI PACJENTA (AA)</w:t>
      </w:r>
    </w:p>
    <w:p w14:paraId="6718E0A7" w14:textId="77777777" w:rsidR="005E347E" w:rsidRPr="00AA22C4" w:rsidRDefault="005E347E" w:rsidP="005E347E">
      <w:pPr>
        <w:pStyle w:val="Tekstprzypisudolnego"/>
        <w:spacing w:before="120" w:after="120"/>
        <w:contextualSpacing/>
        <w:jc w:val="center"/>
        <w:rPr>
          <w:rFonts w:ascii="Lato" w:hAnsi="Lato"/>
          <w:color w:val="000000" w:themeColor="text1"/>
          <w:sz w:val="22"/>
          <w:szCs w:val="22"/>
        </w:rPr>
      </w:pPr>
      <w:r w:rsidRPr="00AA22C4">
        <w:rPr>
          <w:rFonts w:ascii="Lato" w:hAnsi="Lato"/>
          <w:color w:val="000000" w:themeColor="text1"/>
          <w:sz w:val="22"/>
          <w:szCs w:val="22"/>
        </w:rPr>
        <w:t>(Wypełnia Zakład Badań Przesiewowych)</w:t>
      </w:r>
    </w:p>
    <w:p w14:paraId="406F51D1"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Pacjent: ………………………………………………………………………………………… ur. ……………………………………….</w:t>
      </w:r>
    </w:p>
    <w:p w14:paraId="09A28F07"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PESEL RODZICA LUB OPIEKUNA PRAWNEGO: ……………………………………………</w:t>
      </w:r>
    </w:p>
    <w:p w14:paraId="3C55B9B0"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Podejrzewana choroba: ……………………………………………………………………………………………………………</w:t>
      </w:r>
    </w:p>
    <w:p w14:paraId="3FC16CFB"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(w załączeniu nieprawidłowy wynik badania przesiewowego noworodków)</w:t>
      </w:r>
    </w:p>
    <w:p w14:paraId="7A7E9D11" w14:textId="77777777" w:rsidR="005E347E" w:rsidRPr="00AA22C4" w:rsidRDefault="005E347E" w:rsidP="005E347E">
      <w:pPr>
        <w:pStyle w:val="Tekstprzypisudolnego"/>
        <w:numPr>
          <w:ilvl w:val="0"/>
          <w:numId w:val="12"/>
        </w:numPr>
        <w:spacing w:before="120" w:after="120"/>
        <w:contextualSpacing/>
        <w:rPr>
          <w:rFonts w:ascii="Lato" w:hAnsi="Lato"/>
          <w:b/>
          <w:color w:val="000000" w:themeColor="text1"/>
          <w:sz w:val="22"/>
          <w:szCs w:val="22"/>
          <w:u w:val="single"/>
        </w:rPr>
      </w:pPr>
      <w:r w:rsidRPr="00AA22C4">
        <w:rPr>
          <w:rFonts w:ascii="Lato" w:hAnsi="Lato"/>
          <w:b/>
          <w:color w:val="000000" w:themeColor="text1"/>
          <w:sz w:val="22"/>
          <w:szCs w:val="22"/>
          <w:u w:val="single"/>
        </w:rPr>
        <w:t>ZALECANA DIAGNOSTYKA SPECJALISTYCZNA OFEROWANA PRZEZ ZAKŁAD BADAŃ PRZESIEWOWYCH:</w:t>
      </w:r>
    </w:p>
    <w:p w14:paraId="665C84BE"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(badania finansowane ze środków Programu Badań Przesiewowych Noworodków w Rzeczpospolitej Polskiej na lata 2019-2026)</w:t>
      </w:r>
    </w:p>
    <w:p w14:paraId="065D58B3" w14:textId="77777777" w:rsidR="005E347E" w:rsidRPr="00AA22C4" w:rsidRDefault="005E347E" w:rsidP="005E347E">
      <w:pPr>
        <w:pStyle w:val="Tekstprzypisudolnego"/>
        <w:spacing w:before="120" w:after="120"/>
        <w:contextualSpacing/>
        <w:rPr>
          <w:rFonts w:ascii="Lato" w:hAnsi="Lato"/>
          <w:color w:val="000000" w:themeColor="text1"/>
          <w:sz w:val="22"/>
          <w:szCs w:val="22"/>
          <w:u w:val="single"/>
        </w:rPr>
      </w:pPr>
      <w:r w:rsidRPr="00AA22C4">
        <w:rPr>
          <w:rFonts w:ascii="Lato" w:hAnsi="Lato"/>
          <w:color w:val="000000" w:themeColor="text1"/>
          <w:sz w:val="22"/>
          <w:szCs w:val="22"/>
        </w:rPr>
        <w:t>1.</w:t>
      </w:r>
      <w:r w:rsidRPr="00AA22C4">
        <w:rPr>
          <w:rFonts w:ascii="Lato" w:hAnsi="Lato"/>
          <w:color w:val="000000" w:themeColor="text1"/>
          <w:sz w:val="22"/>
          <w:szCs w:val="22"/>
          <w:u w:val="single"/>
        </w:rPr>
        <w:t>Jak najszybciej:</w:t>
      </w:r>
    </w:p>
    <w:p w14:paraId="46207F2D"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 xml:space="preserve">….. - powtórne badanie met MS/MS (bibuła z suchymi kroplami krwi) </w:t>
      </w:r>
    </w:p>
    <w:p w14:paraId="67BBCB5E"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 – badanie moczu metoda GCMS (porcja moczu min. 20 ml.)</w:t>
      </w:r>
    </w:p>
    <w:p w14:paraId="2A75D62D"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 xml:space="preserve">….. – badanie aminokwasów w osoczu/surowicy (osocze/surowica uzyskane z 1,5 ml. krwi) </w:t>
      </w:r>
    </w:p>
    <w:p w14:paraId="05A64DF3"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u w:val="single"/>
        </w:rPr>
        <w:t>wypełnienie i przesłanie karty monitorowania</w:t>
      </w:r>
      <w:r w:rsidRPr="00AA22C4">
        <w:rPr>
          <w:rFonts w:ascii="Lato" w:hAnsi="Lato"/>
          <w:color w:val="000000" w:themeColor="text1"/>
          <w:sz w:val="22"/>
          <w:szCs w:val="22"/>
        </w:rPr>
        <w:t xml:space="preserve"> – „PIERWSZA WIZYTA”.</w:t>
      </w:r>
    </w:p>
    <w:p w14:paraId="58090F56" w14:textId="77777777" w:rsidR="005E347E" w:rsidRPr="00AA22C4" w:rsidRDefault="005E347E" w:rsidP="005E347E">
      <w:pPr>
        <w:pStyle w:val="Tekstprzypisudolnego"/>
        <w:spacing w:before="120" w:after="120"/>
        <w:contextualSpacing/>
        <w:rPr>
          <w:rFonts w:ascii="Lato" w:hAnsi="Lato"/>
          <w:color w:val="000000" w:themeColor="text1"/>
          <w:sz w:val="22"/>
          <w:szCs w:val="22"/>
          <w:u w:val="single"/>
        </w:rPr>
      </w:pPr>
      <w:r w:rsidRPr="00AA22C4">
        <w:rPr>
          <w:rFonts w:ascii="Lato" w:hAnsi="Lato"/>
          <w:color w:val="000000" w:themeColor="text1"/>
          <w:sz w:val="22"/>
          <w:szCs w:val="22"/>
        </w:rPr>
        <w:t xml:space="preserve">2. </w:t>
      </w:r>
      <w:r w:rsidRPr="00AA22C4">
        <w:rPr>
          <w:rFonts w:ascii="Lato" w:hAnsi="Lato"/>
          <w:color w:val="000000" w:themeColor="text1"/>
          <w:sz w:val="22"/>
          <w:szCs w:val="22"/>
          <w:u w:val="single"/>
        </w:rPr>
        <w:t>W przypadku utrzymania podejrzenia:</w:t>
      </w:r>
    </w:p>
    <w:p w14:paraId="6E9E2896"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 – badanie enzymatyczne (po indywidualnym uzgodnieniu z pracownią)</w:t>
      </w:r>
    </w:p>
    <w:p w14:paraId="4487F43C"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 – badanie molekularne</w:t>
      </w:r>
    </w:p>
    <w:p w14:paraId="2EB17172"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Na każdym etapie diagnostyki możliwy oraz zalecany jest kontakt z konsultantem Zakładu Badań Przesiewowych.</w:t>
      </w:r>
    </w:p>
    <w:p w14:paraId="6859FF79" w14:textId="77777777" w:rsidR="005E347E" w:rsidRPr="00AA22C4" w:rsidRDefault="005E347E" w:rsidP="005E347E">
      <w:pPr>
        <w:pStyle w:val="Tekstprzypisudolnego"/>
        <w:numPr>
          <w:ilvl w:val="0"/>
          <w:numId w:val="12"/>
        </w:numPr>
        <w:spacing w:before="120" w:after="120"/>
        <w:contextualSpacing/>
        <w:rPr>
          <w:rFonts w:ascii="Lato" w:hAnsi="Lato"/>
          <w:color w:val="000000" w:themeColor="text1"/>
          <w:sz w:val="22"/>
          <w:szCs w:val="22"/>
        </w:rPr>
      </w:pPr>
      <w:r w:rsidRPr="00AA22C4">
        <w:rPr>
          <w:rFonts w:ascii="Lato" w:hAnsi="Lato"/>
          <w:b/>
          <w:color w:val="000000" w:themeColor="text1"/>
          <w:sz w:val="22"/>
          <w:szCs w:val="22"/>
          <w:u w:val="single"/>
        </w:rPr>
        <w:t>MONITOROWANIE:</w:t>
      </w:r>
      <w:r w:rsidRPr="00AA22C4">
        <w:rPr>
          <w:rFonts w:ascii="Lato" w:hAnsi="Lato"/>
          <w:color w:val="000000" w:themeColor="text1"/>
          <w:sz w:val="22"/>
          <w:szCs w:val="22"/>
        </w:rPr>
        <w:t xml:space="preserve"> (badania finansowane ze środków Programu Badań Przesiewowych Noworodków w Rzeczpospolitej Polskiej na lata 2019-2026)</w:t>
      </w:r>
    </w:p>
    <w:p w14:paraId="5FAAB5B9"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u w:val="single"/>
        </w:rPr>
        <w:t>Dziecko w stanie stabilnym</w:t>
      </w:r>
      <w:r w:rsidRPr="00AA22C4">
        <w:rPr>
          <w:rFonts w:ascii="Lato" w:hAnsi="Lato"/>
          <w:color w:val="000000" w:themeColor="text1"/>
          <w:sz w:val="22"/>
          <w:szCs w:val="22"/>
        </w:rPr>
        <w:t>:</w:t>
      </w:r>
    </w:p>
    <w:p w14:paraId="330A6235" w14:textId="77777777" w:rsidR="005E347E" w:rsidRPr="00AA22C4" w:rsidRDefault="005E347E" w:rsidP="005E347E">
      <w:pPr>
        <w:pStyle w:val="Tekstprzypisudolnego"/>
        <w:spacing w:before="120" w:after="120"/>
        <w:contextualSpacing/>
        <w:rPr>
          <w:rFonts w:ascii="Lato" w:hAnsi="Lato"/>
          <w:b/>
          <w:color w:val="000000" w:themeColor="text1"/>
          <w:sz w:val="22"/>
          <w:szCs w:val="22"/>
        </w:rPr>
      </w:pPr>
      <w:r w:rsidRPr="00AA22C4">
        <w:rPr>
          <w:rFonts w:ascii="Lato" w:hAnsi="Lato"/>
          <w:color w:val="000000" w:themeColor="text1"/>
          <w:sz w:val="22"/>
          <w:szCs w:val="22"/>
        </w:rPr>
        <w:t xml:space="preserve">–  badanie </w:t>
      </w:r>
      <w:r w:rsidRPr="00AA22C4">
        <w:rPr>
          <w:rFonts w:ascii="Lato" w:hAnsi="Lato"/>
          <w:b/>
          <w:color w:val="000000" w:themeColor="text1"/>
          <w:sz w:val="22"/>
          <w:szCs w:val="22"/>
        </w:rPr>
        <w:t>met MS/MS</w:t>
      </w:r>
      <w:r w:rsidRPr="00AA22C4">
        <w:rPr>
          <w:rFonts w:ascii="Lato" w:hAnsi="Lato"/>
          <w:color w:val="000000" w:themeColor="text1"/>
          <w:sz w:val="22"/>
          <w:szCs w:val="22"/>
        </w:rPr>
        <w:t xml:space="preserve"> (bibuła z suchymi kroplami krwi</w:t>
      </w:r>
      <w:proofErr w:type="gramStart"/>
      <w:r w:rsidRPr="00AA22C4">
        <w:rPr>
          <w:rFonts w:ascii="Lato" w:hAnsi="Lato"/>
          <w:color w:val="000000" w:themeColor="text1"/>
          <w:sz w:val="22"/>
          <w:szCs w:val="22"/>
        </w:rPr>
        <w:t xml:space="preserve">):   </w:t>
      </w:r>
      <w:proofErr w:type="gramEnd"/>
      <w:r w:rsidRPr="00AA22C4">
        <w:rPr>
          <w:rFonts w:ascii="Lato" w:hAnsi="Lato"/>
          <w:color w:val="000000" w:themeColor="text1"/>
          <w:sz w:val="22"/>
          <w:szCs w:val="22"/>
        </w:rPr>
        <w:t xml:space="preserve"> </w:t>
      </w:r>
      <w:r w:rsidRPr="00AA22C4">
        <w:rPr>
          <w:rFonts w:ascii="Lato" w:hAnsi="Lato"/>
          <w:b/>
          <w:color w:val="000000" w:themeColor="text1"/>
          <w:sz w:val="22"/>
          <w:szCs w:val="22"/>
        </w:rPr>
        <w:t>1x/3 miesiące</w:t>
      </w:r>
    </w:p>
    <w:p w14:paraId="30666997"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 xml:space="preserve">–  </w:t>
      </w:r>
      <w:proofErr w:type="spellStart"/>
      <w:r w:rsidRPr="00AA22C4">
        <w:rPr>
          <w:rFonts w:ascii="Lato" w:hAnsi="Lato"/>
          <w:b/>
          <w:color w:val="000000" w:themeColor="text1"/>
          <w:sz w:val="22"/>
          <w:szCs w:val="22"/>
        </w:rPr>
        <w:t>Aminoacidogram</w:t>
      </w:r>
      <w:proofErr w:type="spellEnd"/>
      <w:r w:rsidRPr="00AA22C4">
        <w:rPr>
          <w:rFonts w:ascii="Lato" w:hAnsi="Lato"/>
          <w:color w:val="000000" w:themeColor="text1"/>
          <w:sz w:val="22"/>
          <w:szCs w:val="22"/>
        </w:rPr>
        <w:t xml:space="preserve"> (osocze/surowica</w:t>
      </w:r>
      <w:proofErr w:type="gramStart"/>
      <w:r w:rsidRPr="00AA22C4">
        <w:rPr>
          <w:rFonts w:ascii="Lato" w:hAnsi="Lato"/>
          <w:color w:val="000000" w:themeColor="text1"/>
          <w:sz w:val="22"/>
          <w:szCs w:val="22"/>
        </w:rPr>
        <w:t xml:space="preserve">):   </w:t>
      </w:r>
      <w:proofErr w:type="gramEnd"/>
      <w:r w:rsidRPr="00AA22C4">
        <w:rPr>
          <w:rFonts w:ascii="Lato" w:hAnsi="Lato"/>
          <w:color w:val="000000" w:themeColor="text1"/>
          <w:sz w:val="22"/>
          <w:szCs w:val="22"/>
        </w:rPr>
        <w:tab/>
      </w:r>
      <w:r w:rsidRPr="00AA22C4">
        <w:rPr>
          <w:rFonts w:ascii="Lato" w:hAnsi="Lato"/>
          <w:color w:val="000000" w:themeColor="text1"/>
          <w:sz w:val="22"/>
          <w:szCs w:val="22"/>
        </w:rPr>
        <w:tab/>
        <w:t xml:space="preserve">    </w:t>
      </w:r>
      <w:r w:rsidRPr="00AA22C4">
        <w:rPr>
          <w:rFonts w:ascii="Lato" w:hAnsi="Lato"/>
          <w:b/>
          <w:color w:val="000000" w:themeColor="text1"/>
          <w:sz w:val="22"/>
          <w:szCs w:val="22"/>
        </w:rPr>
        <w:t>1x/3 miesiące</w:t>
      </w:r>
    </w:p>
    <w:p w14:paraId="63ED93A1" w14:textId="77777777" w:rsidR="005E347E" w:rsidRPr="00AA22C4" w:rsidRDefault="005E347E" w:rsidP="005E347E">
      <w:pPr>
        <w:pStyle w:val="Tekstprzypisudolnego"/>
        <w:spacing w:before="120" w:after="120"/>
        <w:contextualSpacing/>
        <w:rPr>
          <w:rFonts w:ascii="Lato" w:hAnsi="Lato"/>
          <w:b/>
          <w:color w:val="000000" w:themeColor="text1"/>
          <w:sz w:val="22"/>
          <w:szCs w:val="22"/>
        </w:rPr>
      </w:pPr>
      <w:r w:rsidRPr="00AA22C4">
        <w:rPr>
          <w:rFonts w:ascii="Lato" w:hAnsi="Lato"/>
          <w:color w:val="000000" w:themeColor="text1"/>
          <w:sz w:val="22"/>
          <w:szCs w:val="22"/>
        </w:rPr>
        <w:t xml:space="preserve">–  badanie </w:t>
      </w:r>
      <w:r w:rsidRPr="00AA22C4">
        <w:rPr>
          <w:rFonts w:ascii="Lato" w:hAnsi="Lato"/>
          <w:b/>
          <w:color w:val="000000" w:themeColor="text1"/>
          <w:sz w:val="22"/>
          <w:szCs w:val="22"/>
        </w:rPr>
        <w:t>met GCMS</w:t>
      </w:r>
      <w:r w:rsidRPr="00AA22C4">
        <w:rPr>
          <w:rFonts w:ascii="Lato" w:hAnsi="Lato"/>
          <w:color w:val="000000" w:themeColor="text1"/>
          <w:sz w:val="22"/>
          <w:szCs w:val="22"/>
        </w:rPr>
        <w:t xml:space="preserve"> (mocz):</w:t>
      </w:r>
      <w:r w:rsidRPr="00AA22C4">
        <w:rPr>
          <w:rFonts w:ascii="Lato" w:hAnsi="Lato"/>
          <w:color w:val="000000" w:themeColor="text1"/>
          <w:sz w:val="22"/>
          <w:szCs w:val="22"/>
        </w:rPr>
        <w:tab/>
      </w:r>
      <w:r w:rsidRPr="00AA22C4">
        <w:rPr>
          <w:rFonts w:ascii="Lato" w:hAnsi="Lato"/>
          <w:color w:val="000000" w:themeColor="text1"/>
          <w:sz w:val="22"/>
          <w:szCs w:val="22"/>
        </w:rPr>
        <w:tab/>
      </w:r>
      <w:r w:rsidRPr="00AA22C4">
        <w:rPr>
          <w:rFonts w:ascii="Lato" w:hAnsi="Lato"/>
          <w:color w:val="000000" w:themeColor="text1"/>
          <w:sz w:val="22"/>
          <w:szCs w:val="22"/>
        </w:rPr>
        <w:tab/>
      </w:r>
      <w:r w:rsidRPr="00AA22C4">
        <w:rPr>
          <w:rFonts w:ascii="Lato" w:hAnsi="Lato"/>
          <w:color w:val="000000" w:themeColor="text1"/>
          <w:sz w:val="22"/>
          <w:szCs w:val="22"/>
        </w:rPr>
        <w:tab/>
        <w:t xml:space="preserve">    </w:t>
      </w:r>
      <w:r w:rsidRPr="00AA22C4">
        <w:rPr>
          <w:rFonts w:ascii="Lato" w:hAnsi="Lato"/>
          <w:b/>
          <w:color w:val="000000" w:themeColor="text1"/>
          <w:sz w:val="22"/>
          <w:szCs w:val="22"/>
        </w:rPr>
        <w:t>1 x/6 miesięcy</w:t>
      </w:r>
    </w:p>
    <w:p w14:paraId="2C457629"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u w:val="single"/>
        </w:rPr>
        <w:t>Dziecko w wieku niemowlęcym lub w okresie dekompensacji metabolicznej</w:t>
      </w:r>
      <w:r w:rsidRPr="00AA22C4">
        <w:rPr>
          <w:rFonts w:ascii="Lato" w:hAnsi="Lato"/>
          <w:color w:val="000000" w:themeColor="text1"/>
          <w:sz w:val="22"/>
          <w:szCs w:val="22"/>
        </w:rPr>
        <w:t>:</w:t>
      </w:r>
    </w:p>
    <w:p w14:paraId="7FD2C13B"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 xml:space="preserve">–  badanie </w:t>
      </w:r>
      <w:r w:rsidRPr="00AA22C4">
        <w:rPr>
          <w:rFonts w:ascii="Lato" w:hAnsi="Lato"/>
          <w:b/>
          <w:color w:val="000000" w:themeColor="text1"/>
          <w:sz w:val="22"/>
          <w:szCs w:val="22"/>
        </w:rPr>
        <w:t>met MS/MS</w:t>
      </w:r>
      <w:r w:rsidRPr="00AA22C4">
        <w:rPr>
          <w:rFonts w:ascii="Lato" w:hAnsi="Lato"/>
          <w:color w:val="000000" w:themeColor="text1"/>
          <w:sz w:val="22"/>
          <w:szCs w:val="22"/>
        </w:rPr>
        <w:t xml:space="preserve"> (bibuła z suchymi kroplami krwi</w:t>
      </w:r>
      <w:proofErr w:type="gramStart"/>
      <w:r w:rsidRPr="00AA22C4">
        <w:rPr>
          <w:rFonts w:ascii="Lato" w:hAnsi="Lato"/>
          <w:color w:val="000000" w:themeColor="text1"/>
          <w:sz w:val="22"/>
          <w:szCs w:val="22"/>
        </w:rPr>
        <w:t xml:space="preserve">):   </w:t>
      </w:r>
      <w:proofErr w:type="gramEnd"/>
      <w:r w:rsidRPr="00AA22C4">
        <w:rPr>
          <w:rFonts w:ascii="Lato" w:hAnsi="Lato"/>
          <w:color w:val="000000" w:themeColor="text1"/>
          <w:sz w:val="22"/>
          <w:szCs w:val="22"/>
        </w:rPr>
        <w:t xml:space="preserve"> </w:t>
      </w:r>
      <w:r w:rsidRPr="00AA22C4">
        <w:rPr>
          <w:rFonts w:ascii="Lato" w:hAnsi="Lato"/>
          <w:b/>
          <w:color w:val="000000" w:themeColor="text1"/>
          <w:sz w:val="22"/>
          <w:szCs w:val="22"/>
        </w:rPr>
        <w:t>1-2x w miesiącu</w:t>
      </w:r>
    </w:p>
    <w:p w14:paraId="534BF96E" w14:textId="77777777" w:rsidR="005E347E" w:rsidRPr="00AA22C4" w:rsidRDefault="005E347E" w:rsidP="005E347E">
      <w:pPr>
        <w:pStyle w:val="Tekstprzypisudolnego"/>
        <w:spacing w:before="120" w:after="120"/>
        <w:contextualSpacing/>
        <w:rPr>
          <w:rFonts w:ascii="Lato" w:hAnsi="Lato"/>
          <w:b/>
          <w:color w:val="000000" w:themeColor="text1"/>
          <w:sz w:val="22"/>
          <w:szCs w:val="22"/>
        </w:rPr>
      </w:pPr>
      <w:r w:rsidRPr="00AA22C4">
        <w:rPr>
          <w:rFonts w:ascii="Lato" w:hAnsi="Lato"/>
          <w:color w:val="000000" w:themeColor="text1"/>
          <w:sz w:val="22"/>
          <w:szCs w:val="22"/>
        </w:rPr>
        <w:t xml:space="preserve">–  badanie </w:t>
      </w:r>
      <w:r w:rsidRPr="00AA22C4">
        <w:rPr>
          <w:rFonts w:ascii="Lato" w:hAnsi="Lato"/>
          <w:b/>
          <w:color w:val="000000" w:themeColor="text1"/>
          <w:sz w:val="22"/>
          <w:szCs w:val="22"/>
        </w:rPr>
        <w:t>met GCMS</w:t>
      </w:r>
      <w:r w:rsidRPr="00AA22C4">
        <w:rPr>
          <w:rFonts w:ascii="Lato" w:hAnsi="Lato"/>
          <w:color w:val="000000" w:themeColor="text1"/>
          <w:sz w:val="22"/>
          <w:szCs w:val="22"/>
        </w:rPr>
        <w:t xml:space="preserve"> (mocz): </w:t>
      </w:r>
      <w:r w:rsidRPr="00AA22C4">
        <w:rPr>
          <w:rFonts w:ascii="Lato" w:hAnsi="Lato"/>
          <w:color w:val="000000" w:themeColor="text1"/>
          <w:sz w:val="22"/>
          <w:szCs w:val="22"/>
        </w:rPr>
        <w:tab/>
      </w:r>
      <w:r w:rsidRPr="00AA22C4">
        <w:rPr>
          <w:rFonts w:ascii="Lato" w:hAnsi="Lato"/>
          <w:color w:val="000000" w:themeColor="text1"/>
          <w:sz w:val="22"/>
          <w:szCs w:val="22"/>
        </w:rPr>
        <w:tab/>
      </w:r>
      <w:r w:rsidRPr="00AA22C4">
        <w:rPr>
          <w:rFonts w:ascii="Lato" w:hAnsi="Lato"/>
          <w:color w:val="000000" w:themeColor="text1"/>
          <w:sz w:val="22"/>
          <w:szCs w:val="22"/>
        </w:rPr>
        <w:tab/>
      </w:r>
      <w:r w:rsidRPr="00AA22C4">
        <w:rPr>
          <w:rFonts w:ascii="Lato" w:hAnsi="Lato"/>
          <w:color w:val="000000" w:themeColor="text1"/>
          <w:sz w:val="22"/>
          <w:szCs w:val="22"/>
        </w:rPr>
        <w:tab/>
      </w:r>
      <w:r w:rsidRPr="00AA22C4">
        <w:rPr>
          <w:rFonts w:ascii="Lato" w:hAnsi="Lato"/>
          <w:b/>
          <w:color w:val="000000" w:themeColor="text1"/>
          <w:sz w:val="22"/>
          <w:szCs w:val="22"/>
        </w:rPr>
        <w:t>1-2x w miesiącu</w:t>
      </w:r>
    </w:p>
    <w:p w14:paraId="24ACDAB0" w14:textId="77777777" w:rsidR="005E347E" w:rsidRPr="00AA22C4" w:rsidRDefault="005E347E" w:rsidP="005E347E">
      <w:pPr>
        <w:pStyle w:val="Tekstprzypisudolnego"/>
        <w:spacing w:before="120" w:after="120"/>
        <w:contextualSpacing/>
        <w:rPr>
          <w:rFonts w:ascii="Lato" w:hAnsi="Lato"/>
          <w:b/>
          <w:color w:val="000000" w:themeColor="text1"/>
          <w:sz w:val="22"/>
          <w:szCs w:val="22"/>
        </w:rPr>
      </w:pPr>
      <w:r w:rsidRPr="00AA22C4">
        <w:rPr>
          <w:rFonts w:ascii="Lato" w:hAnsi="Lato"/>
          <w:color w:val="000000" w:themeColor="text1"/>
          <w:sz w:val="22"/>
          <w:szCs w:val="22"/>
        </w:rPr>
        <w:t xml:space="preserve">–  </w:t>
      </w:r>
      <w:proofErr w:type="spellStart"/>
      <w:r w:rsidRPr="00AA22C4">
        <w:rPr>
          <w:rFonts w:ascii="Lato" w:hAnsi="Lato"/>
          <w:b/>
          <w:color w:val="000000" w:themeColor="text1"/>
          <w:sz w:val="22"/>
          <w:szCs w:val="22"/>
        </w:rPr>
        <w:t>aminoacidogram</w:t>
      </w:r>
      <w:proofErr w:type="spellEnd"/>
      <w:r w:rsidRPr="00AA22C4">
        <w:rPr>
          <w:rFonts w:ascii="Lato" w:hAnsi="Lato"/>
          <w:color w:val="000000" w:themeColor="text1"/>
          <w:sz w:val="22"/>
          <w:szCs w:val="22"/>
        </w:rPr>
        <w:t xml:space="preserve"> (osocze/surowica):</w:t>
      </w:r>
      <w:r w:rsidRPr="00AA22C4">
        <w:rPr>
          <w:rFonts w:ascii="Lato" w:hAnsi="Lato"/>
          <w:color w:val="000000" w:themeColor="text1"/>
          <w:sz w:val="22"/>
          <w:szCs w:val="22"/>
        </w:rPr>
        <w:tab/>
      </w:r>
      <w:r w:rsidRPr="00AA22C4">
        <w:rPr>
          <w:rFonts w:ascii="Lato" w:hAnsi="Lato"/>
          <w:color w:val="000000" w:themeColor="text1"/>
          <w:sz w:val="22"/>
          <w:szCs w:val="22"/>
        </w:rPr>
        <w:tab/>
      </w:r>
      <w:r w:rsidRPr="00AA22C4">
        <w:rPr>
          <w:rFonts w:ascii="Lato" w:hAnsi="Lato"/>
          <w:color w:val="000000" w:themeColor="text1"/>
          <w:sz w:val="22"/>
          <w:szCs w:val="22"/>
        </w:rPr>
        <w:tab/>
      </w:r>
      <w:r w:rsidRPr="00AA22C4">
        <w:rPr>
          <w:rFonts w:ascii="Lato" w:hAnsi="Lato"/>
          <w:b/>
          <w:color w:val="000000" w:themeColor="text1"/>
          <w:sz w:val="22"/>
          <w:szCs w:val="22"/>
        </w:rPr>
        <w:t>1-2x w miesiącu</w:t>
      </w:r>
    </w:p>
    <w:p w14:paraId="164E50BB"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b/>
          <w:color w:val="000000" w:themeColor="text1"/>
          <w:sz w:val="22"/>
          <w:szCs w:val="22"/>
          <w:u w:val="single"/>
        </w:rPr>
        <w:t>WSZYSCY PACJENCI:</w:t>
      </w:r>
      <w:r w:rsidRPr="00AA22C4">
        <w:rPr>
          <w:rFonts w:ascii="Lato" w:hAnsi="Lato"/>
          <w:color w:val="000000" w:themeColor="text1"/>
          <w:sz w:val="22"/>
          <w:szCs w:val="22"/>
          <w:u w:val="single"/>
        </w:rPr>
        <w:t xml:space="preserve"> wypełnienie i przesłanie karty monitorowania</w:t>
      </w:r>
      <w:r w:rsidRPr="00AA22C4">
        <w:rPr>
          <w:rFonts w:ascii="Lato" w:hAnsi="Lato"/>
          <w:color w:val="000000" w:themeColor="text1"/>
          <w:sz w:val="22"/>
          <w:szCs w:val="22"/>
        </w:rPr>
        <w:t xml:space="preserve"> – „WIZYTA DZIECKA W WIEKU 1 r.ż.”.</w:t>
      </w:r>
      <w:r w:rsidRPr="00AA22C4">
        <w:rPr>
          <w:rFonts w:ascii="Lato" w:hAnsi="Lato"/>
          <w:color w:val="000000" w:themeColor="text1"/>
          <w:sz w:val="22"/>
          <w:szCs w:val="22"/>
        </w:rPr>
        <w:br w:type="page"/>
      </w:r>
    </w:p>
    <w:p w14:paraId="557BD1A7"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lastRenderedPageBreak/>
        <w:tab/>
      </w:r>
      <w:r w:rsidRPr="00AA22C4">
        <w:rPr>
          <w:rFonts w:ascii="Lato" w:hAnsi="Lato"/>
          <w:color w:val="000000" w:themeColor="text1"/>
          <w:sz w:val="22"/>
          <w:szCs w:val="22"/>
        </w:rPr>
        <w:tab/>
      </w:r>
      <w:r w:rsidRPr="00AA22C4">
        <w:rPr>
          <w:rFonts w:ascii="Lato" w:hAnsi="Lato"/>
          <w:color w:val="000000" w:themeColor="text1"/>
          <w:sz w:val="22"/>
          <w:szCs w:val="22"/>
        </w:rPr>
        <w:tab/>
      </w:r>
      <w:r w:rsidRPr="00AA22C4">
        <w:rPr>
          <w:rFonts w:ascii="Lato" w:hAnsi="Lato"/>
          <w:color w:val="000000" w:themeColor="text1"/>
          <w:sz w:val="22"/>
          <w:szCs w:val="22"/>
        </w:rPr>
        <w:tab/>
      </w:r>
      <w:r w:rsidRPr="00AA22C4">
        <w:rPr>
          <w:rFonts w:ascii="Lato" w:hAnsi="Lato"/>
          <w:color w:val="000000" w:themeColor="text1"/>
          <w:sz w:val="22"/>
          <w:szCs w:val="22"/>
        </w:rPr>
        <w:tab/>
      </w:r>
      <w:r w:rsidRPr="00AA22C4">
        <w:rPr>
          <w:rFonts w:ascii="Lato" w:hAnsi="Lato"/>
          <w:color w:val="000000" w:themeColor="text1"/>
          <w:sz w:val="22"/>
          <w:szCs w:val="22"/>
        </w:rPr>
        <w:tab/>
      </w:r>
      <w:r w:rsidRPr="00AA22C4">
        <w:rPr>
          <w:rFonts w:ascii="Lato" w:hAnsi="Lato"/>
          <w:color w:val="000000" w:themeColor="text1"/>
          <w:sz w:val="22"/>
          <w:szCs w:val="22"/>
        </w:rPr>
        <w:tab/>
      </w:r>
      <w:r w:rsidRPr="00AA22C4">
        <w:rPr>
          <w:rFonts w:ascii="Lato" w:hAnsi="Lato"/>
          <w:color w:val="000000" w:themeColor="text1"/>
          <w:sz w:val="22"/>
          <w:szCs w:val="22"/>
        </w:rPr>
        <w:tab/>
      </w:r>
      <w:r w:rsidRPr="00AA22C4">
        <w:rPr>
          <w:rFonts w:ascii="Lato" w:hAnsi="Lato"/>
          <w:color w:val="000000" w:themeColor="text1"/>
          <w:sz w:val="22"/>
          <w:szCs w:val="22"/>
        </w:rPr>
        <w:tab/>
      </w:r>
      <w:r w:rsidRPr="00AA22C4">
        <w:rPr>
          <w:rFonts w:ascii="Lato" w:hAnsi="Lato"/>
          <w:color w:val="000000" w:themeColor="text1"/>
          <w:sz w:val="22"/>
          <w:szCs w:val="22"/>
        </w:rPr>
        <w:tab/>
        <w:t>Załącznik nr 5</w:t>
      </w:r>
    </w:p>
    <w:p w14:paraId="0A26C498" w14:textId="77777777" w:rsidR="005E347E" w:rsidRPr="00AA22C4" w:rsidRDefault="005E347E" w:rsidP="005E347E">
      <w:pPr>
        <w:pStyle w:val="Tekstprzypisudolnego"/>
        <w:keepNext/>
        <w:widowControl/>
        <w:spacing w:before="120" w:after="120"/>
        <w:ind w:left="3600" w:firstLine="720"/>
        <w:contextualSpacing/>
        <w:rPr>
          <w:rFonts w:ascii="Lato" w:hAnsi="Lato"/>
          <w:i/>
          <w:color w:val="000000" w:themeColor="text1"/>
          <w:sz w:val="22"/>
          <w:szCs w:val="22"/>
          <w:u w:val="single"/>
        </w:rPr>
      </w:pPr>
      <w:r w:rsidRPr="00AA22C4">
        <w:rPr>
          <w:rFonts w:ascii="Lato" w:hAnsi="Lato"/>
          <w:i/>
          <w:color w:val="000000" w:themeColor="text1"/>
          <w:sz w:val="22"/>
          <w:szCs w:val="22"/>
          <w:u w:val="single"/>
        </w:rPr>
        <w:t>WZÓR</w:t>
      </w:r>
    </w:p>
    <w:p w14:paraId="0C50B54B"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p>
    <w:p w14:paraId="0F47A8F5" w14:textId="77777777" w:rsidR="005E347E" w:rsidRPr="00AA22C4" w:rsidRDefault="005E347E" w:rsidP="005E347E">
      <w:pPr>
        <w:pStyle w:val="Tekstprzypisudolnego"/>
        <w:spacing w:before="120" w:after="120"/>
        <w:contextualSpacing/>
        <w:jc w:val="center"/>
        <w:rPr>
          <w:rFonts w:ascii="Lato" w:hAnsi="Lato"/>
          <w:b/>
          <w:color w:val="000000" w:themeColor="text1"/>
          <w:sz w:val="22"/>
          <w:szCs w:val="22"/>
        </w:rPr>
      </w:pPr>
      <w:r w:rsidRPr="00AA22C4">
        <w:rPr>
          <w:rFonts w:ascii="Lato" w:hAnsi="Lato"/>
          <w:b/>
          <w:color w:val="000000" w:themeColor="text1"/>
          <w:sz w:val="22"/>
          <w:szCs w:val="22"/>
        </w:rPr>
        <w:t>KARTA DLA ZAKŁADU BADAŃ PRZESIEWOWYCH – PIERWSZA WIZYTA (AA)</w:t>
      </w:r>
    </w:p>
    <w:p w14:paraId="4B298702"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(wysłać do Zakładu Badań Przesiewowych, 01 - 211 Warszawa ul. Kasprzaka 17a)</w:t>
      </w:r>
    </w:p>
    <w:p w14:paraId="132D46EC"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p>
    <w:p w14:paraId="4B06947D"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Pacjent: ……………………………………………………………………………………………… ur. ……………………………….</w:t>
      </w:r>
    </w:p>
    <w:p w14:paraId="567B678F"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 xml:space="preserve">PESEL RODZICA LUB OPIEKUNA PRAWNEGO: ……………………………………………             </w:t>
      </w:r>
      <w:r w:rsidRPr="00AA22C4">
        <w:rPr>
          <w:rFonts w:ascii="Lato" w:hAnsi="Lato"/>
          <w:b/>
          <w:color w:val="000000" w:themeColor="text1"/>
          <w:sz w:val="22"/>
          <w:szCs w:val="22"/>
        </w:rPr>
        <w:t>DATA WIZYTY:</w:t>
      </w:r>
      <w:r w:rsidRPr="00AA22C4">
        <w:rPr>
          <w:rFonts w:ascii="Lato" w:hAnsi="Lato"/>
          <w:color w:val="000000" w:themeColor="text1"/>
          <w:sz w:val="22"/>
          <w:szCs w:val="22"/>
        </w:rPr>
        <w:t xml:space="preserve">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w:t>
      </w:r>
    </w:p>
    <w:p w14:paraId="5740C538"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Podejrzewana choroba: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w:t>
      </w:r>
    </w:p>
    <w:p w14:paraId="6ADAE13D" w14:textId="77777777" w:rsidR="005E347E" w:rsidRPr="00AA22C4" w:rsidRDefault="005E347E" w:rsidP="005E347E">
      <w:pPr>
        <w:pStyle w:val="Tekstprzypisudolnego"/>
        <w:spacing w:before="120" w:after="120"/>
        <w:contextualSpacing/>
        <w:rPr>
          <w:rFonts w:ascii="Lato" w:hAnsi="Lato"/>
          <w:color w:val="000000" w:themeColor="text1"/>
          <w:sz w:val="8"/>
          <w:szCs w:val="8"/>
        </w:rPr>
      </w:pPr>
    </w:p>
    <w:p w14:paraId="69FFD094" w14:textId="77777777" w:rsidR="005E347E" w:rsidRPr="00AA22C4" w:rsidRDefault="005E347E" w:rsidP="005E347E">
      <w:pPr>
        <w:pStyle w:val="Tekstprzypisudolnego"/>
        <w:spacing w:before="120" w:after="120"/>
        <w:contextualSpacing/>
        <w:rPr>
          <w:rFonts w:ascii="Lato" w:hAnsi="Lato"/>
          <w:b/>
          <w:color w:val="000000" w:themeColor="text1"/>
          <w:sz w:val="22"/>
          <w:szCs w:val="22"/>
          <w:u w:val="single"/>
        </w:rPr>
      </w:pPr>
      <w:r w:rsidRPr="00AA22C4">
        <w:rPr>
          <w:rFonts w:ascii="Lato" w:hAnsi="Lato"/>
          <w:b/>
          <w:color w:val="000000" w:themeColor="text1"/>
          <w:sz w:val="22"/>
          <w:szCs w:val="22"/>
          <w:u w:val="single"/>
        </w:rPr>
        <w:t>WYWIAD:</w:t>
      </w:r>
    </w:p>
    <w:p w14:paraId="15F19B81"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Rodzinny: ……………………………………………………………………………………………………………</w:t>
      </w:r>
    </w:p>
    <w:p w14:paraId="70E76041"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Prenatalny: ……………………………………………………………………………………………………………</w:t>
      </w:r>
    </w:p>
    <w:p w14:paraId="776486E2"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Okołoporodowy: poród o czasie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 Przedwczesny…………………………………………………………………………………</w:t>
      </w:r>
    </w:p>
    <w:p w14:paraId="6697943F"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Z jakiego powodu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w:t>
      </w:r>
    </w:p>
    <w:p w14:paraId="601F105F"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Noworodkowy: dziecko bezobjawowe …………………                 Wystąpienie objawów: w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 dobie życia.</w:t>
      </w:r>
    </w:p>
    <w:p w14:paraId="22C40466"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Jakie objawy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w:t>
      </w:r>
    </w:p>
    <w:p w14:paraId="54E98882"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Inne problemy: ……………………………………………………………………………………………………………</w:t>
      </w:r>
    </w:p>
    <w:p w14:paraId="1E26B9B2"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Stosowane leczenie: ……………………………………………………………………………………………………………</w:t>
      </w:r>
    </w:p>
    <w:p w14:paraId="4EAEACAB" w14:textId="77777777" w:rsidR="005E347E" w:rsidRPr="00AA22C4" w:rsidRDefault="005E347E" w:rsidP="005E347E">
      <w:pPr>
        <w:pStyle w:val="Tekstprzypisudolnego"/>
        <w:spacing w:before="120" w:after="120"/>
        <w:contextualSpacing/>
        <w:rPr>
          <w:rFonts w:ascii="Lato" w:hAnsi="Lato"/>
          <w:color w:val="000000" w:themeColor="text1"/>
          <w:sz w:val="10"/>
          <w:szCs w:val="10"/>
        </w:rPr>
      </w:pPr>
    </w:p>
    <w:p w14:paraId="1E22EF25" w14:textId="77777777" w:rsidR="005E347E" w:rsidRPr="00AA22C4" w:rsidRDefault="005E347E" w:rsidP="005E347E">
      <w:pPr>
        <w:pStyle w:val="Tekstprzypisudolnego"/>
        <w:spacing w:before="120" w:after="120"/>
        <w:contextualSpacing/>
        <w:rPr>
          <w:rFonts w:ascii="Lato" w:hAnsi="Lato"/>
          <w:b/>
          <w:color w:val="000000" w:themeColor="text1"/>
          <w:sz w:val="22"/>
          <w:szCs w:val="22"/>
          <w:u w:val="single"/>
        </w:rPr>
      </w:pPr>
      <w:r w:rsidRPr="00AA22C4">
        <w:rPr>
          <w:rFonts w:ascii="Lato" w:hAnsi="Lato"/>
          <w:b/>
          <w:color w:val="000000" w:themeColor="text1"/>
          <w:sz w:val="22"/>
          <w:szCs w:val="22"/>
          <w:u w:val="single"/>
        </w:rPr>
        <w:t>DIAGNOSTYKA:</w:t>
      </w:r>
    </w:p>
    <w:p w14:paraId="3D3D1BCF"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Nieprawidłowe wyniki badań podstawowych: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w:t>
      </w:r>
    </w:p>
    <w:p w14:paraId="6C60A4F8" w14:textId="77777777" w:rsidR="005E347E" w:rsidRPr="00AA22C4" w:rsidRDefault="005E347E" w:rsidP="005E347E">
      <w:pPr>
        <w:pStyle w:val="Tekstprzypisudolnego"/>
        <w:spacing w:before="120" w:after="120"/>
        <w:contextualSpacing/>
        <w:rPr>
          <w:rFonts w:ascii="Lato" w:hAnsi="Lato"/>
          <w:b/>
          <w:color w:val="000000" w:themeColor="text1"/>
          <w:sz w:val="22"/>
          <w:szCs w:val="22"/>
          <w:u w:val="single"/>
        </w:rPr>
      </w:pPr>
      <w:r w:rsidRPr="00AA22C4">
        <w:rPr>
          <w:rFonts w:ascii="Lato" w:hAnsi="Lato"/>
          <w:b/>
          <w:color w:val="000000" w:themeColor="text1"/>
          <w:sz w:val="22"/>
          <w:szCs w:val="22"/>
          <w:u w:val="single"/>
        </w:rPr>
        <w:t>MATERIAŁ ZAŁĄCZONY DO KARTY:</w:t>
      </w:r>
    </w:p>
    <w:p w14:paraId="52A5B6F4"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 – suche krople krwi na bibule</w:t>
      </w:r>
    </w:p>
    <w:p w14:paraId="3A688808"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 xml:space="preserve">…… – mocz </w:t>
      </w:r>
    </w:p>
    <w:p w14:paraId="57376921"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 – osocze/surowica</w:t>
      </w:r>
    </w:p>
    <w:p w14:paraId="03C9091C"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 – krew pobrana na EDTA (do badań molekularnych)</w:t>
      </w:r>
    </w:p>
    <w:p w14:paraId="526F1CC9"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p>
    <w:p w14:paraId="0BB02BE8"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p>
    <w:p w14:paraId="00911171"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Data: ………………………………</w:t>
      </w:r>
      <w:r w:rsidRPr="00AA22C4">
        <w:rPr>
          <w:rFonts w:ascii="Lato" w:hAnsi="Lato"/>
          <w:color w:val="000000" w:themeColor="text1"/>
          <w:sz w:val="22"/>
          <w:szCs w:val="22"/>
        </w:rPr>
        <w:tab/>
      </w:r>
      <w:r w:rsidRPr="00AA22C4">
        <w:rPr>
          <w:rFonts w:ascii="Lato" w:hAnsi="Lato"/>
          <w:color w:val="000000" w:themeColor="text1"/>
          <w:sz w:val="22"/>
          <w:szCs w:val="22"/>
        </w:rPr>
        <w:tab/>
        <w:t>Podpis lekarza: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w:t>
      </w:r>
    </w:p>
    <w:p w14:paraId="5856CB54" w14:textId="77777777" w:rsidR="005E347E" w:rsidRPr="00AA22C4" w:rsidRDefault="005E347E" w:rsidP="005E347E">
      <w:pPr>
        <w:pStyle w:val="Tekstprzypisudolnego"/>
        <w:spacing w:before="120" w:after="120"/>
        <w:ind w:left="7200"/>
        <w:contextualSpacing/>
        <w:rPr>
          <w:rFonts w:ascii="Lato" w:hAnsi="Lato"/>
          <w:color w:val="000000" w:themeColor="text1"/>
          <w:sz w:val="22"/>
          <w:szCs w:val="22"/>
        </w:rPr>
      </w:pPr>
      <w:r w:rsidRPr="00AA22C4">
        <w:rPr>
          <w:rFonts w:ascii="Lato" w:hAnsi="Lato"/>
          <w:color w:val="000000" w:themeColor="text1"/>
          <w:sz w:val="22"/>
          <w:szCs w:val="22"/>
        </w:rPr>
        <w:lastRenderedPageBreak/>
        <w:t>Załącznik nr 6</w:t>
      </w:r>
    </w:p>
    <w:p w14:paraId="14C346F6" w14:textId="77777777" w:rsidR="005E347E" w:rsidRPr="00AA22C4" w:rsidRDefault="005E347E" w:rsidP="005E347E">
      <w:pPr>
        <w:pStyle w:val="Tekstprzypisudolnego"/>
        <w:keepNext/>
        <w:widowControl/>
        <w:spacing w:before="120" w:after="120"/>
        <w:ind w:left="3600" w:firstLine="720"/>
        <w:contextualSpacing/>
        <w:rPr>
          <w:rFonts w:ascii="Lato" w:hAnsi="Lato"/>
          <w:i/>
          <w:color w:val="000000" w:themeColor="text1"/>
          <w:sz w:val="22"/>
          <w:szCs w:val="22"/>
          <w:u w:val="single"/>
        </w:rPr>
      </w:pPr>
      <w:r w:rsidRPr="00AA22C4">
        <w:rPr>
          <w:rFonts w:ascii="Lato" w:hAnsi="Lato"/>
          <w:i/>
          <w:color w:val="000000" w:themeColor="text1"/>
          <w:sz w:val="22"/>
          <w:szCs w:val="22"/>
          <w:u w:val="single"/>
        </w:rPr>
        <w:t>WZÓR</w:t>
      </w:r>
    </w:p>
    <w:p w14:paraId="22860A75" w14:textId="77777777" w:rsidR="005E347E" w:rsidRPr="00AA22C4" w:rsidRDefault="005E347E" w:rsidP="005E347E">
      <w:pPr>
        <w:pStyle w:val="Tekstprzypisudolnego"/>
        <w:spacing w:before="120" w:after="120"/>
        <w:ind w:left="7200"/>
        <w:contextualSpacing/>
        <w:rPr>
          <w:rFonts w:ascii="Lato" w:hAnsi="Lato"/>
          <w:color w:val="000000" w:themeColor="text1"/>
          <w:sz w:val="22"/>
          <w:szCs w:val="22"/>
        </w:rPr>
      </w:pPr>
    </w:p>
    <w:p w14:paraId="0B4C0219" w14:textId="77777777" w:rsidR="005E347E" w:rsidRPr="00AA22C4" w:rsidRDefault="005E347E" w:rsidP="005E347E">
      <w:pPr>
        <w:pStyle w:val="Tekstprzypisudolnego"/>
        <w:spacing w:before="120" w:after="120" w:line="276" w:lineRule="auto"/>
        <w:contextualSpacing/>
        <w:jc w:val="center"/>
        <w:rPr>
          <w:rFonts w:ascii="Lato" w:hAnsi="Lato"/>
          <w:b/>
          <w:color w:val="000000" w:themeColor="text1"/>
          <w:sz w:val="22"/>
          <w:szCs w:val="22"/>
        </w:rPr>
      </w:pPr>
      <w:r w:rsidRPr="00AA22C4">
        <w:rPr>
          <w:rFonts w:ascii="Lato" w:hAnsi="Lato"/>
          <w:b/>
          <w:color w:val="000000" w:themeColor="text1"/>
          <w:sz w:val="22"/>
          <w:szCs w:val="22"/>
        </w:rPr>
        <w:t xml:space="preserve">KARTA DLA ZAKŁADU BADAŃ PRZESIEWOWYCH – WIZYTA DZIECKA W WIEKU </w:t>
      </w:r>
      <w:proofErr w:type="gramStart"/>
      <w:r w:rsidRPr="00AA22C4">
        <w:rPr>
          <w:rFonts w:ascii="Lato" w:hAnsi="Lato"/>
          <w:b/>
          <w:color w:val="000000" w:themeColor="text1"/>
          <w:sz w:val="22"/>
          <w:szCs w:val="22"/>
        </w:rPr>
        <w:t>1  r.</w:t>
      </w:r>
      <w:proofErr w:type="gramEnd"/>
      <w:r w:rsidRPr="00AA22C4">
        <w:rPr>
          <w:rFonts w:ascii="Lato" w:hAnsi="Lato"/>
          <w:b/>
          <w:color w:val="000000" w:themeColor="text1"/>
          <w:sz w:val="22"/>
          <w:szCs w:val="22"/>
        </w:rPr>
        <w:t xml:space="preserve">  ż. (AA)</w:t>
      </w:r>
    </w:p>
    <w:p w14:paraId="7DF93984" w14:textId="77777777" w:rsidR="005E347E" w:rsidRPr="00AA22C4" w:rsidRDefault="005E347E" w:rsidP="005E347E">
      <w:pPr>
        <w:pStyle w:val="Tekstprzypisudolnego"/>
        <w:spacing w:before="120" w:after="120" w:line="276" w:lineRule="auto"/>
        <w:contextualSpacing/>
        <w:jc w:val="center"/>
        <w:rPr>
          <w:rFonts w:ascii="Lato" w:hAnsi="Lato"/>
          <w:color w:val="000000" w:themeColor="text1"/>
          <w:sz w:val="22"/>
          <w:szCs w:val="22"/>
        </w:rPr>
      </w:pPr>
      <w:r w:rsidRPr="00AA22C4">
        <w:rPr>
          <w:rFonts w:ascii="Lato" w:hAnsi="Lato"/>
          <w:color w:val="000000" w:themeColor="text1"/>
          <w:sz w:val="22"/>
          <w:szCs w:val="22"/>
        </w:rPr>
        <w:t>(wysłać do Zakładu Badań Przesiewowych, 01-211 Warszawa ul. Kasprzaka 17a)</w:t>
      </w:r>
    </w:p>
    <w:p w14:paraId="5D20853F"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p>
    <w:p w14:paraId="43A4AB50"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Pacjent: ……………………………………………………………………………………………… ur. ……………………………….</w:t>
      </w:r>
    </w:p>
    <w:p w14:paraId="1F4CE558"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 xml:space="preserve">PESEL RODZICA LUB OPIEKUNA PRAWNEGO: ……………………………………………          </w:t>
      </w:r>
    </w:p>
    <w:p w14:paraId="64072D2B"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b/>
          <w:color w:val="000000" w:themeColor="text1"/>
          <w:sz w:val="22"/>
          <w:szCs w:val="22"/>
        </w:rPr>
        <w:t>DATA WIZYTY:</w:t>
      </w:r>
      <w:r w:rsidRPr="00AA22C4">
        <w:rPr>
          <w:rFonts w:ascii="Lato" w:hAnsi="Lato"/>
          <w:color w:val="000000" w:themeColor="text1"/>
          <w:sz w:val="22"/>
          <w:szCs w:val="22"/>
        </w:rPr>
        <w:t xml:space="preserve">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w:t>
      </w:r>
    </w:p>
    <w:p w14:paraId="025CC06A"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Podejrzewana choroba: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w:t>
      </w:r>
    </w:p>
    <w:p w14:paraId="3B4E444D"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Rozpoznanie potwierdzone: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w:t>
      </w:r>
    </w:p>
    <w:p w14:paraId="449F14BE"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p>
    <w:p w14:paraId="25EB948B"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b/>
          <w:color w:val="000000" w:themeColor="text1"/>
          <w:sz w:val="22"/>
          <w:szCs w:val="22"/>
          <w:u w:val="single"/>
        </w:rPr>
        <w:t xml:space="preserve">BADANIA POTWIERDZAJĄCE ROZPOZNANIE </w:t>
      </w:r>
      <w:r w:rsidRPr="00AA22C4">
        <w:rPr>
          <w:rFonts w:ascii="Lato" w:hAnsi="Lato"/>
          <w:color w:val="000000" w:themeColor="text1"/>
          <w:sz w:val="22"/>
          <w:szCs w:val="22"/>
        </w:rPr>
        <w:t>(wypełnić o ile były wykonywane poza Zakładem Badań Przesiewowych):</w:t>
      </w:r>
    </w:p>
    <w:p w14:paraId="59AE51F7"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Badania biochemiczne ……………………………………………………………………………………………………………</w:t>
      </w:r>
    </w:p>
    <w:p w14:paraId="0F8B56C9"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Badania enzymatyczne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w:t>
      </w:r>
    </w:p>
    <w:p w14:paraId="6F8D1FA1"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Badania molekularne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w:t>
      </w:r>
    </w:p>
    <w:p w14:paraId="14034FB0"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p>
    <w:p w14:paraId="5E14D180" w14:textId="77777777" w:rsidR="005E347E" w:rsidRPr="00AA22C4" w:rsidRDefault="005E347E" w:rsidP="005E347E">
      <w:pPr>
        <w:pStyle w:val="Tekstprzypisudolnego"/>
        <w:spacing w:before="120" w:after="120" w:line="276" w:lineRule="auto"/>
        <w:contextualSpacing/>
        <w:rPr>
          <w:rFonts w:ascii="Lato" w:hAnsi="Lato"/>
          <w:b/>
          <w:color w:val="000000" w:themeColor="text1"/>
          <w:sz w:val="22"/>
          <w:szCs w:val="22"/>
          <w:u w:val="single"/>
        </w:rPr>
      </w:pPr>
      <w:r w:rsidRPr="00AA22C4">
        <w:rPr>
          <w:rFonts w:ascii="Lato" w:hAnsi="Lato"/>
          <w:b/>
          <w:color w:val="000000" w:themeColor="text1"/>
          <w:sz w:val="22"/>
          <w:szCs w:val="22"/>
          <w:u w:val="single"/>
        </w:rPr>
        <w:t>DANE Z OSTATNIEGO ROKU:</w:t>
      </w:r>
    </w:p>
    <w:p w14:paraId="5FB60F0A"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Czy wystąpiły objawy kliniczne choroby: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 Od kiedy: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w:t>
      </w:r>
    </w:p>
    <w:p w14:paraId="666BCFEB"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Jakie: ……………………………………………………………………………………………………………………………………………………</w:t>
      </w:r>
    </w:p>
    <w:p w14:paraId="511449AE"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Czy były dekompensacje metaboliczne wymagające hospitalizacji</w:t>
      </w:r>
      <w:proofErr w:type="gramStart"/>
      <w:r w:rsidRPr="00AA22C4">
        <w:rPr>
          <w:rFonts w:ascii="Lato" w:hAnsi="Lato"/>
          <w:color w:val="000000" w:themeColor="text1"/>
          <w:sz w:val="22"/>
          <w:szCs w:val="22"/>
        </w:rPr>
        <w:t xml:space="preserve"> ….</w:t>
      </w:r>
      <w:proofErr w:type="gramEnd"/>
      <w:r w:rsidRPr="00AA22C4">
        <w:rPr>
          <w:rFonts w:ascii="Lato" w:hAnsi="Lato"/>
          <w:color w:val="000000" w:themeColor="text1"/>
          <w:sz w:val="22"/>
          <w:szCs w:val="22"/>
        </w:rPr>
        <w:t>.…………………..</w:t>
      </w:r>
    </w:p>
    <w:p w14:paraId="125B73DA"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 xml:space="preserve"> Ile razy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w:t>
      </w:r>
    </w:p>
    <w:p w14:paraId="59782B4A"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p>
    <w:p w14:paraId="72219F74"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Leczenie stosowane aktualnie:</w:t>
      </w:r>
    </w:p>
    <w:p w14:paraId="0EEF22B9"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Dietetyczne (jakie?) ……………………..……………………………………………………………………………………</w:t>
      </w:r>
    </w:p>
    <w:p w14:paraId="0713D72C"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Farmakoterapia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w:t>
      </w:r>
    </w:p>
    <w:p w14:paraId="1F325CCC"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Inna opieka specjalistyczna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w:t>
      </w:r>
    </w:p>
    <w:p w14:paraId="6A1EBF38"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Inne informacje: ……………………………………………………………………………………………………………</w:t>
      </w:r>
    </w:p>
    <w:p w14:paraId="389AC1A1"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Pacjent zmarł ……… Kiedy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 Z jakiej przyczyny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w:t>
      </w:r>
    </w:p>
    <w:p w14:paraId="240301C0" w14:textId="77777777" w:rsidR="005E347E" w:rsidRPr="00AA22C4" w:rsidRDefault="005E347E" w:rsidP="005E347E">
      <w:pPr>
        <w:pStyle w:val="Tekstprzypisudolnego"/>
        <w:spacing w:before="120" w:after="120" w:line="276" w:lineRule="auto"/>
        <w:contextualSpacing/>
        <w:rPr>
          <w:rFonts w:ascii="Lato" w:hAnsi="Lato"/>
          <w:b/>
          <w:color w:val="000000" w:themeColor="text1"/>
          <w:sz w:val="22"/>
          <w:szCs w:val="22"/>
          <w:u w:val="single"/>
        </w:rPr>
      </w:pPr>
    </w:p>
    <w:p w14:paraId="2266E86F" w14:textId="77777777" w:rsidR="005E347E" w:rsidRPr="00AA22C4" w:rsidRDefault="005E347E" w:rsidP="005E347E">
      <w:pPr>
        <w:pStyle w:val="Tekstprzypisudolnego"/>
        <w:spacing w:before="120" w:after="120" w:line="276" w:lineRule="auto"/>
        <w:contextualSpacing/>
        <w:rPr>
          <w:rFonts w:ascii="Lato" w:hAnsi="Lato"/>
          <w:b/>
          <w:color w:val="000000" w:themeColor="text1"/>
          <w:sz w:val="22"/>
          <w:szCs w:val="22"/>
          <w:u w:val="single"/>
        </w:rPr>
      </w:pPr>
      <w:r w:rsidRPr="00AA22C4">
        <w:rPr>
          <w:rFonts w:ascii="Lato" w:hAnsi="Lato"/>
          <w:b/>
          <w:color w:val="000000" w:themeColor="text1"/>
          <w:sz w:val="22"/>
          <w:szCs w:val="22"/>
          <w:u w:val="single"/>
        </w:rPr>
        <w:t>OŚRODEK MEDYCYNY METABOLICZNEJ OPIEKUJĄCY SIĘ PACJENTEM:</w:t>
      </w:r>
    </w:p>
    <w:p w14:paraId="60EFC150"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w:t>
      </w:r>
    </w:p>
    <w:p w14:paraId="68D815D8"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p>
    <w:p w14:paraId="44CADC01" w14:textId="77777777" w:rsidR="005E347E" w:rsidRPr="00AA22C4" w:rsidRDefault="005E347E" w:rsidP="005E347E">
      <w:pPr>
        <w:pStyle w:val="Tekstprzypisudolnego"/>
        <w:spacing w:before="120" w:after="120" w:line="276" w:lineRule="auto"/>
        <w:contextualSpacing/>
        <w:rPr>
          <w:rFonts w:ascii="Lato" w:hAnsi="Lato"/>
          <w:color w:val="000000" w:themeColor="text1"/>
          <w:sz w:val="22"/>
          <w:szCs w:val="22"/>
        </w:rPr>
      </w:pPr>
      <w:r w:rsidRPr="00AA22C4">
        <w:rPr>
          <w:rFonts w:ascii="Lato" w:hAnsi="Lato"/>
          <w:color w:val="000000" w:themeColor="text1"/>
          <w:sz w:val="22"/>
          <w:szCs w:val="22"/>
        </w:rPr>
        <w:t>Data: ………………………………</w:t>
      </w:r>
      <w:r w:rsidRPr="00AA22C4">
        <w:rPr>
          <w:rFonts w:ascii="Lato" w:hAnsi="Lato"/>
          <w:color w:val="000000" w:themeColor="text1"/>
          <w:sz w:val="22"/>
          <w:szCs w:val="22"/>
        </w:rPr>
        <w:tab/>
      </w:r>
      <w:r w:rsidRPr="00AA22C4">
        <w:rPr>
          <w:rFonts w:ascii="Lato" w:hAnsi="Lato"/>
          <w:color w:val="000000" w:themeColor="text1"/>
          <w:sz w:val="22"/>
          <w:szCs w:val="22"/>
        </w:rPr>
        <w:tab/>
        <w:t>Podpis lekarza: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w:t>
      </w:r>
    </w:p>
    <w:p w14:paraId="3566F8B7" w14:textId="77777777" w:rsidR="005E347E" w:rsidRPr="00AA22C4" w:rsidRDefault="005E347E" w:rsidP="005E347E">
      <w:pPr>
        <w:pStyle w:val="Tekstprzypisudolnego"/>
        <w:spacing w:before="120" w:after="120"/>
        <w:ind w:left="6480" w:firstLine="720"/>
        <w:contextualSpacing/>
        <w:rPr>
          <w:rFonts w:ascii="Lato" w:hAnsi="Lato"/>
          <w:color w:val="000000" w:themeColor="text1"/>
          <w:sz w:val="22"/>
          <w:szCs w:val="22"/>
        </w:rPr>
      </w:pPr>
      <w:r w:rsidRPr="00AA22C4">
        <w:rPr>
          <w:rFonts w:ascii="Lato" w:hAnsi="Lato"/>
          <w:color w:val="000000" w:themeColor="text1"/>
          <w:sz w:val="22"/>
          <w:szCs w:val="22"/>
        </w:rPr>
        <w:br w:type="page"/>
      </w:r>
      <w:r w:rsidRPr="00AA22C4">
        <w:rPr>
          <w:rFonts w:ascii="Lato" w:hAnsi="Lato"/>
          <w:color w:val="000000" w:themeColor="text1"/>
          <w:sz w:val="22"/>
          <w:szCs w:val="22"/>
        </w:rPr>
        <w:lastRenderedPageBreak/>
        <w:t>Załącznik nr 7</w:t>
      </w:r>
    </w:p>
    <w:p w14:paraId="4A6062F7" w14:textId="77777777" w:rsidR="005E347E" w:rsidRPr="00AA22C4" w:rsidRDefault="005E347E" w:rsidP="005E347E">
      <w:pPr>
        <w:pStyle w:val="Tekstprzypisudolnego"/>
        <w:keepNext/>
        <w:widowControl/>
        <w:spacing w:before="120" w:after="120"/>
        <w:ind w:left="3600" w:firstLine="720"/>
        <w:contextualSpacing/>
        <w:rPr>
          <w:rFonts w:ascii="Lato" w:hAnsi="Lato"/>
          <w:i/>
          <w:color w:val="000000" w:themeColor="text1"/>
          <w:sz w:val="22"/>
          <w:szCs w:val="22"/>
          <w:u w:val="single"/>
        </w:rPr>
      </w:pPr>
      <w:r w:rsidRPr="00AA22C4">
        <w:rPr>
          <w:rFonts w:ascii="Lato" w:hAnsi="Lato"/>
          <w:i/>
          <w:color w:val="000000" w:themeColor="text1"/>
          <w:sz w:val="22"/>
          <w:szCs w:val="22"/>
          <w:u w:val="single"/>
        </w:rPr>
        <w:t>WZÓR</w:t>
      </w:r>
    </w:p>
    <w:p w14:paraId="6EC17971" w14:textId="77777777" w:rsidR="005E347E" w:rsidRPr="00AA22C4" w:rsidRDefault="005E347E" w:rsidP="005E347E">
      <w:pPr>
        <w:pStyle w:val="Tekstprzypisudolnego"/>
        <w:spacing w:before="120" w:after="120"/>
        <w:ind w:left="6480" w:firstLine="720"/>
        <w:contextualSpacing/>
        <w:rPr>
          <w:rFonts w:ascii="Lato" w:hAnsi="Lato"/>
          <w:color w:val="000000" w:themeColor="text1"/>
          <w:sz w:val="22"/>
          <w:szCs w:val="22"/>
        </w:rPr>
      </w:pPr>
    </w:p>
    <w:p w14:paraId="0F5CCA7B" w14:textId="77777777" w:rsidR="005E347E" w:rsidRPr="00AA22C4" w:rsidRDefault="005E347E" w:rsidP="005E347E">
      <w:pPr>
        <w:pStyle w:val="Tekstprzypisudolnego"/>
        <w:spacing w:before="120" w:after="120"/>
        <w:contextualSpacing/>
        <w:jc w:val="center"/>
        <w:rPr>
          <w:rFonts w:ascii="Lato" w:hAnsi="Lato"/>
          <w:b/>
          <w:color w:val="000000" w:themeColor="text1"/>
          <w:sz w:val="22"/>
          <w:szCs w:val="22"/>
        </w:rPr>
      </w:pPr>
      <w:r w:rsidRPr="00AA22C4">
        <w:rPr>
          <w:rFonts w:ascii="Lato" w:hAnsi="Lato"/>
          <w:b/>
          <w:color w:val="000000" w:themeColor="text1"/>
          <w:sz w:val="22"/>
          <w:szCs w:val="22"/>
        </w:rPr>
        <w:t>KARTA DLA ZAKŁADU BADAŃ PRZESIEWOWYCH – PIERWSZA WIZYTA (FAOD)</w:t>
      </w:r>
    </w:p>
    <w:p w14:paraId="75D08FD8" w14:textId="77777777" w:rsidR="005E347E" w:rsidRPr="00AA22C4" w:rsidRDefault="005E347E" w:rsidP="005E347E">
      <w:pPr>
        <w:pStyle w:val="Tekstprzypisudolnego"/>
        <w:spacing w:before="120" w:after="120"/>
        <w:contextualSpacing/>
        <w:jc w:val="center"/>
        <w:rPr>
          <w:rFonts w:ascii="Lato" w:hAnsi="Lato"/>
          <w:color w:val="000000" w:themeColor="text1"/>
          <w:sz w:val="22"/>
          <w:szCs w:val="22"/>
        </w:rPr>
      </w:pPr>
      <w:r w:rsidRPr="00AA22C4">
        <w:rPr>
          <w:rFonts w:ascii="Lato" w:hAnsi="Lato"/>
          <w:color w:val="000000" w:themeColor="text1"/>
          <w:sz w:val="22"/>
          <w:szCs w:val="22"/>
        </w:rPr>
        <w:t>(wysłać do Zakładu Badań Przesiewowych, 01 - 211 Warszawa ul. Kasprzaka 17a)</w:t>
      </w:r>
    </w:p>
    <w:p w14:paraId="5D2B5664"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p>
    <w:p w14:paraId="629E1D28"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Pacjent: ……………………………………………………………………………………………… ur. ……………………………….</w:t>
      </w:r>
    </w:p>
    <w:p w14:paraId="66D177C6"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PESEL RODZICA LUB OPIEKUNA PRAWNEGO: ……………………………………………</w:t>
      </w:r>
      <w:proofErr w:type="gramStart"/>
      <w:r w:rsidRPr="00AA22C4">
        <w:rPr>
          <w:rFonts w:ascii="Lato" w:hAnsi="Lato"/>
          <w:color w:val="000000" w:themeColor="text1"/>
          <w:sz w:val="22"/>
          <w:szCs w:val="22"/>
        </w:rPr>
        <w:t>…….</w:t>
      </w:r>
      <w:proofErr w:type="gramEnd"/>
      <w:r w:rsidRPr="00AA22C4">
        <w:rPr>
          <w:rFonts w:ascii="Lato" w:hAnsi="Lato"/>
          <w:b/>
          <w:color w:val="000000" w:themeColor="text1"/>
          <w:sz w:val="22"/>
          <w:szCs w:val="22"/>
        </w:rPr>
        <w:t>DATA WIZYTY:</w:t>
      </w:r>
      <w:r w:rsidRPr="00AA22C4">
        <w:rPr>
          <w:rFonts w:ascii="Lato" w:hAnsi="Lato"/>
          <w:color w:val="000000" w:themeColor="text1"/>
          <w:sz w:val="22"/>
          <w:szCs w:val="22"/>
        </w:rPr>
        <w:t xml:space="preserve"> ……………………………………………..</w:t>
      </w:r>
    </w:p>
    <w:p w14:paraId="0CECC485"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Podejrzewana choroba: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w:t>
      </w:r>
    </w:p>
    <w:p w14:paraId="723BD0C5" w14:textId="77777777" w:rsidR="005E347E" w:rsidRPr="00AA22C4" w:rsidRDefault="005E347E" w:rsidP="005E347E">
      <w:pPr>
        <w:pStyle w:val="Tekstprzypisudolnego"/>
        <w:spacing w:before="120" w:after="120"/>
        <w:contextualSpacing/>
        <w:rPr>
          <w:rFonts w:ascii="Lato" w:hAnsi="Lato"/>
          <w:color w:val="000000" w:themeColor="text1"/>
          <w:sz w:val="10"/>
          <w:szCs w:val="10"/>
        </w:rPr>
      </w:pPr>
    </w:p>
    <w:p w14:paraId="7BC50714" w14:textId="77777777" w:rsidR="005E347E" w:rsidRPr="00AA22C4" w:rsidRDefault="005E347E" w:rsidP="005E347E">
      <w:pPr>
        <w:pStyle w:val="Tekstprzypisudolnego"/>
        <w:spacing w:before="120" w:after="120"/>
        <w:contextualSpacing/>
        <w:rPr>
          <w:rFonts w:ascii="Lato" w:hAnsi="Lato"/>
          <w:b/>
          <w:color w:val="000000" w:themeColor="text1"/>
          <w:sz w:val="22"/>
          <w:szCs w:val="22"/>
          <w:u w:val="single"/>
        </w:rPr>
      </w:pPr>
      <w:r w:rsidRPr="00AA22C4">
        <w:rPr>
          <w:rFonts w:ascii="Lato" w:hAnsi="Lato"/>
          <w:b/>
          <w:color w:val="000000" w:themeColor="text1"/>
          <w:sz w:val="22"/>
          <w:szCs w:val="22"/>
          <w:u w:val="single"/>
        </w:rPr>
        <w:t>WYWIAD:</w:t>
      </w:r>
    </w:p>
    <w:p w14:paraId="50AD91A9"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Rodzinny: ……………………………………………………………………………………………………………</w:t>
      </w:r>
    </w:p>
    <w:p w14:paraId="2DB9E2ED"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Prenatalny: ……………………………………………………………………………………………………………</w:t>
      </w:r>
    </w:p>
    <w:p w14:paraId="4F437277"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Okołoporodowy: poród o czasie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 Przedwczesny…………………………………………………………………………………</w:t>
      </w:r>
    </w:p>
    <w:p w14:paraId="698B2D4C"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Z jakiego powodu ……………………………………………………………………………………………………………</w:t>
      </w:r>
    </w:p>
    <w:p w14:paraId="1B55B64C"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Noworodkowy: dziecko bezobjawowe …………………</w:t>
      </w:r>
    </w:p>
    <w:p w14:paraId="423F347C"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Wystąpienie objawów: w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 dobie życia.</w:t>
      </w:r>
    </w:p>
    <w:p w14:paraId="0DCD5FB4"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Jakie objawy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w:t>
      </w:r>
    </w:p>
    <w:p w14:paraId="1ADD2A06"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Inne problemy: ……………………………………………………………………………………………………………</w:t>
      </w:r>
    </w:p>
    <w:p w14:paraId="31A1F369"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Stosowane leczenie: ……………………………………………………………………………………………………………</w:t>
      </w:r>
    </w:p>
    <w:p w14:paraId="2D03C4B5" w14:textId="77777777" w:rsidR="005E347E" w:rsidRPr="00AA22C4" w:rsidRDefault="005E347E" w:rsidP="005E347E">
      <w:pPr>
        <w:pStyle w:val="Tekstprzypisudolnego"/>
        <w:spacing w:before="120" w:after="120"/>
        <w:contextualSpacing/>
        <w:rPr>
          <w:rFonts w:ascii="Lato" w:hAnsi="Lato"/>
          <w:color w:val="000000" w:themeColor="text1"/>
          <w:sz w:val="16"/>
          <w:szCs w:val="16"/>
        </w:rPr>
      </w:pPr>
    </w:p>
    <w:p w14:paraId="049E2B20" w14:textId="77777777" w:rsidR="005E347E" w:rsidRPr="00AA22C4" w:rsidRDefault="005E347E" w:rsidP="005E347E">
      <w:pPr>
        <w:pStyle w:val="Tekstprzypisudolnego"/>
        <w:spacing w:before="120" w:after="120"/>
        <w:contextualSpacing/>
        <w:rPr>
          <w:rFonts w:ascii="Lato" w:hAnsi="Lato"/>
          <w:b/>
          <w:color w:val="000000" w:themeColor="text1"/>
          <w:sz w:val="22"/>
          <w:szCs w:val="22"/>
          <w:u w:val="single"/>
        </w:rPr>
      </w:pPr>
      <w:r w:rsidRPr="00AA22C4">
        <w:rPr>
          <w:rFonts w:ascii="Lato" w:hAnsi="Lato"/>
          <w:b/>
          <w:color w:val="000000" w:themeColor="text1"/>
          <w:sz w:val="22"/>
          <w:szCs w:val="22"/>
          <w:u w:val="single"/>
        </w:rPr>
        <w:t>DIAGNOSTYKA:</w:t>
      </w:r>
    </w:p>
    <w:p w14:paraId="42E91629"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Nieprawidłowe wyniki badań podstawowych: ……………………………………………………………………………………………………………</w:t>
      </w:r>
    </w:p>
    <w:p w14:paraId="0303EAD4"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w:t>
      </w:r>
    </w:p>
    <w:p w14:paraId="485488E1"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w:t>
      </w:r>
    </w:p>
    <w:p w14:paraId="6E13EC9D" w14:textId="77777777" w:rsidR="005E347E" w:rsidRPr="00AA22C4" w:rsidRDefault="005E347E" w:rsidP="005E347E">
      <w:pPr>
        <w:pStyle w:val="Tekstprzypisudolnego"/>
        <w:spacing w:before="120" w:after="120"/>
        <w:contextualSpacing/>
        <w:rPr>
          <w:rFonts w:ascii="Lato" w:hAnsi="Lato"/>
          <w:b/>
          <w:color w:val="000000" w:themeColor="text1"/>
          <w:sz w:val="22"/>
          <w:szCs w:val="22"/>
          <w:u w:val="single"/>
        </w:rPr>
      </w:pPr>
      <w:r w:rsidRPr="00AA22C4">
        <w:rPr>
          <w:rFonts w:ascii="Lato" w:hAnsi="Lato"/>
          <w:b/>
          <w:color w:val="000000" w:themeColor="text1"/>
          <w:sz w:val="22"/>
          <w:szCs w:val="22"/>
          <w:u w:val="single"/>
        </w:rPr>
        <w:t>MATERIAŁ ZAŁĄCZONY DO KARTY:</w:t>
      </w:r>
    </w:p>
    <w:p w14:paraId="0D6941D1"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 – suche krople krwi na bibule</w:t>
      </w:r>
    </w:p>
    <w:p w14:paraId="1A0EAF4B"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 xml:space="preserve">…… – mocz </w:t>
      </w:r>
    </w:p>
    <w:p w14:paraId="406784D9"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 – krew pobrana na EDTA (do badań molekularnych)</w:t>
      </w:r>
    </w:p>
    <w:p w14:paraId="5E603FF0"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p>
    <w:p w14:paraId="2D81C27D"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p>
    <w:p w14:paraId="660F0941" w14:textId="77777777" w:rsidR="005E347E" w:rsidRPr="00AA22C4" w:rsidRDefault="005E347E" w:rsidP="005E347E">
      <w:pPr>
        <w:pStyle w:val="Tekstprzypisudolnego"/>
        <w:spacing w:before="120" w:after="120"/>
        <w:contextualSpacing/>
        <w:rPr>
          <w:rFonts w:ascii="Lato" w:hAnsi="Lato"/>
          <w:color w:val="000000" w:themeColor="text1"/>
          <w:sz w:val="22"/>
          <w:szCs w:val="22"/>
        </w:rPr>
      </w:pPr>
      <w:r w:rsidRPr="00AA22C4">
        <w:rPr>
          <w:rFonts w:ascii="Lato" w:hAnsi="Lato"/>
          <w:color w:val="000000" w:themeColor="text1"/>
          <w:sz w:val="22"/>
          <w:szCs w:val="22"/>
        </w:rPr>
        <w:t>Data: ………………………………</w:t>
      </w:r>
      <w:r w:rsidRPr="00AA22C4">
        <w:rPr>
          <w:rFonts w:ascii="Lato" w:hAnsi="Lato"/>
          <w:color w:val="000000" w:themeColor="text1"/>
          <w:sz w:val="22"/>
          <w:szCs w:val="22"/>
        </w:rPr>
        <w:tab/>
      </w:r>
      <w:r w:rsidRPr="00AA22C4">
        <w:rPr>
          <w:rFonts w:ascii="Lato" w:hAnsi="Lato"/>
          <w:color w:val="000000" w:themeColor="text1"/>
          <w:sz w:val="22"/>
          <w:szCs w:val="22"/>
        </w:rPr>
        <w:tab/>
        <w:t>Podpis lekarza: ……………………</w:t>
      </w:r>
      <w:proofErr w:type="gramStart"/>
      <w:r w:rsidRPr="00AA22C4">
        <w:rPr>
          <w:rFonts w:ascii="Lato" w:hAnsi="Lato"/>
          <w:color w:val="000000" w:themeColor="text1"/>
          <w:sz w:val="22"/>
          <w:szCs w:val="22"/>
        </w:rPr>
        <w:t>…….</w:t>
      </w:r>
      <w:proofErr w:type="gramEnd"/>
      <w:r w:rsidRPr="00AA22C4">
        <w:rPr>
          <w:rFonts w:ascii="Lato" w:hAnsi="Lato"/>
          <w:color w:val="000000" w:themeColor="text1"/>
          <w:sz w:val="22"/>
          <w:szCs w:val="22"/>
        </w:rPr>
        <w:t>.</w:t>
      </w:r>
    </w:p>
    <w:p w14:paraId="69E2E644" w14:textId="77777777" w:rsidR="005E347E" w:rsidRPr="00AA22C4" w:rsidRDefault="005E347E" w:rsidP="005E347E">
      <w:pPr>
        <w:pStyle w:val="WW-Tekstpodstawowywcity3"/>
        <w:ind w:left="7275" w:firstLine="0"/>
        <w:rPr>
          <w:rFonts w:ascii="Lato" w:hAnsi="Lato"/>
          <w:color w:val="000000" w:themeColor="text1"/>
        </w:rPr>
      </w:pPr>
      <w:r w:rsidRPr="00AA22C4">
        <w:rPr>
          <w:rFonts w:ascii="Lato" w:hAnsi="Lato"/>
          <w:b/>
          <w:color w:val="000000" w:themeColor="text1"/>
        </w:rPr>
        <w:br w:type="page"/>
      </w:r>
      <w:r w:rsidRPr="00AA22C4">
        <w:rPr>
          <w:rFonts w:ascii="Lato" w:hAnsi="Lato"/>
          <w:color w:val="000000" w:themeColor="text1"/>
          <w:sz w:val="22"/>
          <w:szCs w:val="18"/>
        </w:rPr>
        <w:lastRenderedPageBreak/>
        <w:t>Załącznik nr 8</w:t>
      </w:r>
    </w:p>
    <w:p w14:paraId="40A8AEDF" w14:textId="77777777" w:rsidR="005E347E" w:rsidRPr="00AA22C4" w:rsidRDefault="005E347E" w:rsidP="005E347E">
      <w:pPr>
        <w:pStyle w:val="WW-Tekstpodstawowywcity3"/>
        <w:jc w:val="center"/>
        <w:rPr>
          <w:rFonts w:ascii="Lato" w:hAnsi="Lato"/>
          <w:bCs/>
          <w:i/>
          <w:color w:val="000000" w:themeColor="text1"/>
          <w:sz w:val="22"/>
          <w:u w:val="single"/>
        </w:rPr>
      </w:pPr>
      <w:r w:rsidRPr="00AA22C4">
        <w:rPr>
          <w:rFonts w:ascii="Lato" w:hAnsi="Lato"/>
          <w:bCs/>
          <w:i/>
          <w:color w:val="000000" w:themeColor="text1"/>
          <w:sz w:val="22"/>
          <w:u w:val="single"/>
        </w:rPr>
        <w:t>WZÓR</w:t>
      </w:r>
    </w:p>
    <w:p w14:paraId="224977A2" w14:textId="77777777" w:rsidR="005E347E" w:rsidRPr="00AA22C4" w:rsidRDefault="005E347E" w:rsidP="005E347E">
      <w:pPr>
        <w:pStyle w:val="WW-Tekstpodstawowywcity3"/>
        <w:ind w:left="5835" w:firstLine="645"/>
        <w:jc w:val="center"/>
        <w:rPr>
          <w:rFonts w:ascii="Lato" w:hAnsi="Lato"/>
          <w:i/>
          <w:color w:val="000000" w:themeColor="text1"/>
          <w:sz w:val="20"/>
        </w:rPr>
      </w:pPr>
    </w:p>
    <w:p w14:paraId="777F346D" w14:textId="77777777" w:rsidR="005E347E" w:rsidRPr="00AA22C4" w:rsidRDefault="005E347E" w:rsidP="005E347E">
      <w:pPr>
        <w:pStyle w:val="WW-Tekstpodstawowywcity3"/>
        <w:jc w:val="center"/>
        <w:rPr>
          <w:rFonts w:ascii="Lato" w:hAnsi="Lato"/>
          <w:b/>
          <w:color w:val="000000" w:themeColor="text1"/>
          <w:szCs w:val="22"/>
        </w:rPr>
      </w:pPr>
      <w:r w:rsidRPr="00AA22C4">
        <w:rPr>
          <w:rFonts w:ascii="Lato" w:hAnsi="Lato"/>
          <w:b/>
          <w:color w:val="000000" w:themeColor="text1"/>
          <w:szCs w:val="22"/>
        </w:rPr>
        <w:t>List w sprawie braku zgody na wykonania badania przesiewowego</w:t>
      </w:r>
    </w:p>
    <w:p w14:paraId="660B2ABD" w14:textId="77777777" w:rsidR="005E347E" w:rsidRPr="00AA22C4" w:rsidRDefault="005E347E" w:rsidP="005E347E">
      <w:pPr>
        <w:pStyle w:val="WW-Tekstpodstawowywcity3"/>
        <w:ind w:left="5835" w:firstLine="645"/>
        <w:jc w:val="center"/>
        <w:rPr>
          <w:rFonts w:ascii="Lato" w:hAnsi="Lato"/>
          <w:i/>
          <w:color w:val="000000" w:themeColor="text1"/>
          <w:sz w:val="20"/>
        </w:rPr>
      </w:pPr>
    </w:p>
    <w:p w14:paraId="5573794A" w14:textId="77777777" w:rsidR="005E347E" w:rsidRPr="00AA22C4" w:rsidRDefault="005E347E" w:rsidP="005E347E">
      <w:pPr>
        <w:pStyle w:val="WW-Tekstpodstawowywcity3"/>
        <w:ind w:left="5835" w:firstLine="645"/>
        <w:jc w:val="center"/>
        <w:rPr>
          <w:rFonts w:ascii="Lato" w:hAnsi="Lato"/>
          <w:i/>
          <w:color w:val="000000" w:themeColor="text1"/>
          <w:sz w:val="20"/>
        </w:rPr>
      </w:pPr>
    </w:p>
    <w:p w14:paraId="4A00E38C" w14:textId="77777777" w:rsidR="005E347E" w:rsidRPr="00AA22C4" w:rsidRDefault="005E347E" w:rsidP="005E347E">
      <w:pPr>
        <w:pStyle w:val="WW-Tekstpodstawowywcity3"/>
        <w:ind w:left="5835" w:firstLine="645"/>
        <w:jc w:val="center"/>
        <w:rPr>
          <w:rFonts w:ascii="Lato" w:hAnsi="Lato"/>
          <w:i/>
          <w:color w:val="000000" w:themeColor="text1"/>
          <w:sz w:val="20"/>
        </w:rPr>
      </w:pPr>
      <w:r w:rsidRPr="00AA22C4">
        <w:rPr>
          <w:rFonts w:ascii="Lato" w:hAnsi="Lato"/>
          <w:i/>
          <w:color w:val="000000" w:themeColor="text1"/>
          <w:sz w:val="20"/>
        </w:rPr>
        <w:t>miejscowość, data</w:t>
      </w:r>
    </w:p>
    <w:p w14:paraId="1F265FA2" w14:textId="77777777" w:rsidR="005E347E" w:rsidRPr="00AA22C4" w:rsidRDefault="005E347E" w:rsidP="005E347E">
      <w:pPr>
        <w:widowControl/>
        <w:suppressAutoHyphens/>
        <w:spacing w:line="240" w:lineRule="auto"/>
        <w:ind w:left="5100"/>
        <w:jc w:val="both"/>
        <w:rPr>
          <w:rFonts w:ascii="Lato" w:hAnsi="Lato"/>
          <w:color w:val="000000" w:themeColor="text1"/>
          <w:lang w:eastAsia="zh-CN"/>
        </w:rPr>
      </w:pPr>
    </w:p>
    <w:p w14:paraId="1E2F814D" w14:textId="77777777" w:rsidR="005E347E" w:rsidRPr="00AA22C4" w:rsidRDefault="005E347E" w:rsidP="005E347E">
      <w:pPr>
        <w:widowControl/>
        <w:suppressAutoHyphens/>
        <w:spacing w:line="240" w:lineRule="auto"/>
        <w:ind w:left="5953"/>
        <w:jc w:val="both"/>
        <w:rPr>
          <w:rFonts w:ascii="Lato" w:hAnsi="Lato"/>
          <w:color w:val="000000" w:themeColor="text1"/>
          <w:lang w:eastAsia="zh-CN"/>
        </w:rPr>
      </w:pPr>
    </w:p>
    <w:p w14:paraId="1F802A56" w14:textId="77777777" w:rsidR="005E347E" w:rsidRPr="00AA22C4" w:rsidRDefault="005E347E" w:rsidP="005E347E">
      <w:pPr>
        <w:widowControl/>
        <w:suppressAutoHyphens/>
        <w:spacing w:line="240" w:lineRule="auto"/>
        <w:ind w:left="5953"/>
        <w:jc w:val="both"/>
        <w:rPr>
          <w:rFonts w:ascii="Lato" w:hAnsi="Lato"/>
          <w:color w:val="000000" w:themeColor="text1"/>
          <w:lang w:eastAsia="zh-CN"/>
        </w:rPr>
      </w:pPr>
    </w:p>
    <w:p w14:paraId="12E4E409" w14:textId="77777777" w:rsidR="005E347E" w:rsidRPr="00AA22C4" w:rsidRDefault="005E347E" w:rsidP="005E347E">
      <w:pPr>
        <w:widowControl/>
        <w:suppressAutoHyphens/>
        <w:spacing w:line="240" w:lineRule="auto"/>
        <w:ind w:left="5387"/>
        <w:jc w:val="both"/>
        <w:rPr>
          <w:rFonts w:ascii="Lato" w:hAnsi="Lato"/>
          <w:color w:val="000000" w:themeColor="text1"/>
          <w:szCs w:val="20"/>
          <w:lang w:eastAsia="zh-CN"/>
        </w:rPr>
      </w:pPr>
      <w:r w:rsidRPr="00AA22C4">
        <w:rPr>
          <w:rFonts w:ascii="Lato" w:hAnsi="Lato"/>
          <w:color w:val="000000" w:themeColor="text1"/>
          <w:lang w:eastAsia="zh-CN"/>
        </w:rPr>
        <w:t>Pan/i</w:t>
      </w:r>
    </w:p>
    <w:p w14:paraId="720CE8FC" w14:textId="77777777" w:rsidR="005E347E" w:rsidRPr="00AA22C4" w:rsidRDefault="005E347E" w:rsidP="005E347E">
      <w:pPr>
        <w:widowControl/>
        <w:suppressAutoHyphens/>
        <w:spacing w:line="240" w:lineRule="auto"/>
        <w:ind w:left="5387"/>
        <w:jc w:val="both"/>
        <w:rPr>
          <w:rFonts w:ascii="Lato" w:hAnsi="Lato"/>
          <w:i/>
          <w:color w:val="000000" w:themeColor="text1"/>
          <w:sz w:val="20"/>
          <w:szCs w:val="20"/>
          <w:lang w:eastAsia="zh-CN"/>
        </w:rPr>
      </w:pPr>
      <w:r w:rsidRPr="00AA22C4">
        <w:rPr>
          <w:rFonts w:ascii="Lato" w:hAnsi="Lato"/>
          <w:i/>
          <w:color w:val="000000" w:themeColor="text1"/>
          <w:sz w:val="20"/>
          <w:szCs w:val="20"/>
          <w:lang w:eastAsia="zh-CN"/>
        </w:rPr>
        <w:t>imię i nazwisko rodzica dziecka albo opiekuna prawnego</w:t>
      </w:r>
    </w:p>
    <w:p w14:paraId="745302D4" w14:textId="77777777" w:rsidR="005E347E" w:rsidRPr="00AA22C4" w:rsidRDefault="005E347E" w:rsidP="005E347E">
      <w:pPr>
        <w:widowControl/>
        <w:suppressAutoHyphens/>
        <w:spacing w:line="240" w:lineRule="auto"/>
        <w:ind w:left="5387"/>
        <w:jc w:val="both"/>
        <w:rPr>
          <w:rFonts w:ascii="Lato" w:hAnsi="Lato"/>
          <w:i/>
          <w:color w:val="000000" w:themeColor="text1"/>
          <w:sz w:val="20"/>
          <w:szCs w:val="20"/>
          <w:lang w:eastAsia="zh-CN"/>
        </w:rPr>
      </w:pPr>
      <w:r w:rsidRPr="00AA22C4">
        <w:rPr>
          <w:rFonts w:ascii="Lato" w:hAnsi="Lato"/>
          <w:i/>
          <w:color w:val="000000" w:themeColor="text1"/>
          <w:sz w:val="20"/>
          <w:szCs w:val="20"/>
          <w:lang w:eastAsia="zh-CN"/>
        </w:rPr>
        <w:t>adres do kontaktu</w:t>
      </w:r>
    </w:p>
    <w:p w14:paraId="2FA085D0" w14:textId="77777777" w:rsidR="005E347E" w:rsidRPr="00AA22C4" w:rsidRDefault="005E347E" w:rsidP="005E347E">
      <w:pPr>
        <w:widowControl/>
        <w:suppressAutoHyphens/>
        <w:spacing w:line="240" w:lineRule="auto"/>
        <w:ind w:firstLine="709"/>
        <w:rPr>
          <w:rFonts w:ascii="Lato" w:hAnsi="Lato"/>
          <w:color w:val="000000" w:themeColor="text1"/>
          <w:lang w:eastAsia="zh-CN"/>
        </w:rPr>
      </w:pPr>
    </w:p>
    <w:p w14:paraId="3C3A4DB6" w14:textId="77777777" w:rsidR="005E347E" w:rsidRPr="00AA22C4" w:rsidRDefault="005E347E" w:rsidP="005E347E">
      <w:pPr>
        <w:widowControl/>
        <w:suppressAutoHyphens/>
        <w:spacing w:line="240" w:lineRule="auto"/>
        <w:ind w:left="795" w:firstLine="600"/>
        <w:jc w:val="both"/>
        <w:rPr>
          <w:rFonts w:ascii="Lato" w:hAnsi="Lato"/>
          <w:color w:val="000000" w:themeColor="text1"/>
          <w:u w:val="single"/>
          <w:lang w:eastAsia="zh-CN"/>
        </w:rPr>
      </w:pPr>
    </w:p>
    <w:p w14:paraId="23C40E18" w14:textId="77777777" w:rsidR="005E347E" w:rsidRPr="00AA22C4" w:rsidRDefault="005E347E" w:rsidP="005E347E">
      <w:pPr>
        <w:widowControl/>
        <w:suppressAutoHyphens/>
        <w:spacing w:line="240" w:lineRule="auto"/>
        <w:ind w:left="795" w:firstLine="600"/>
        <w:jc w:val="both"/>
        <w:rPr>
          <w:rFonts w:ascii="Lato" w:hAnsi="Lato"/>
          <w:color w:val="000000" w:themeColor="text1"/>
          <w:u w:val="single"/>
          <w:lang w:eastAsia="zh-CN"/>
        </w:rPr>
      </w:pPr>
    </w:p>
    <w:p w14:paraId="335D736E" w14:textId="77777777" w:rsidR="005E347E" w:rsidRPr="00AA22C4" w:rsidRDefault="005E347E" w:rsidP="005E347E">
      <w:pPr>
        <w:widowControl/>
        <w:suppressAutoHyphens/>
        <w:spacing w:line="240" w:lineRule="auto"/>
        <w:ind w:left="795" w:firstLine="15"/>
        <w:jc w:val="both"/>
        <w:rPr>
          <w:rFonts w:ascii="Lato" w:hAnsi="Lato"/>
          <w:i/>
          <w:iCs/>
          <w:color w:val="000000" w:themeColor="text1"/>
          <w:u w:val="single"/>
          <w:lang w:eastAsia="zh-CN"/>
        </w:rPr>
      </w:pPr>
      <w:r w:rsidRPr="00AA22C4">
        <w:rPr>
          <w:rFonts w:ascii="Lato" w:hAnsi="Lato"/>
          <w:i/>
          <w:iCs/>
          <w:color w:val="000000" w:themeColor="text1"/>
          <w:u w:val="single"/>
          <w:lang w:eastAsia="zh-CN"/>
        </w:rPr>
        <w:t>Dot.: dziecka ……………………………………………</w:t>
      </w:r>
    </w:p>
    <w:p w14:paraId="23220C18" w14:textId="77777777" w:rsidR="005E347E" w:rsidRPr="00AA22C4" w:rsidRDefault="005E347E" w:rsidP="005E347E">
      <w:pPr>
        <w:widowControl/>
        <w:suppressAutoHyphens/>
        <w:spacing w:line="240" w:lineRule="auto"/>
        <w:ind w:left="795"/>
        <w:jc w:val="both"/>
        <w:rPr>
          <w:rFonts w:ascii="Lato" w:hAnsi="Lato"/>
          <w:iCs/>
          <w:color w:val="000000" w:themeColor="text1"/>
          <w:lang w:eastAsia="zh-CN"/>
        </w:rPr>
      </w:pPr>
    </w:p>
    <w:p w14:paraId="6C36B2FB" w14:textId="77777777" w:rsidR="005E347E" w:rsidRPr="008547B7" w:rsidRDefault="005E347E" w:rsidP="005E347E">
      <w:pPr>
        <w:widowControl/>
        <w:suppressAutoHyphens/>
        <w:spacing w:line="240" w:lineRule="auto"/>
        <w:ind w:left="795"/>
        <w:jc w:val="both"/>
        <w:rPr>
          <w:rFonts w:ascii="Lato" w:hAnsi="Lato"/>
          <w:color w:val="000000" w:themeColor="text1"/>
          <w:sz w:val="22"/>
          <w:szCs w:val="18"/>
          <w:lang w:eastAsia="zh-CN"/>
        </w:rPr>
      </w:pPr>
      <w:r w:rsidRPr="008547B7">
        <w:rPr>
          <w:rFonts w:ascii="Lato" w:hAnsi="Lato"/>
          <w:color w:val="000000" w:themeColor="text1"/>
          <w:sz w:val="22"/>
          <w:szCs w:val="22"/>
          <w:lang w:eastAsia="zh-CN"/>
        </w:rPr>
        <w:t>Szanowna(y) Pani(e),</w:t>
      </w:r>
    </w:p>
    <w:p w14:paraId="097D4537" w14:textId="77777777" w:rsidR="005E347E" w:rsidRPr="008547B7" w:rsidRDefault="005E347E" w:rsidP="005E347E">
      <w:pPr>
        <w:widowControl/>
        <w:suppressAutoHyphens/>
        <w:spacing w:line="240" w:lineRule="auto"/>
        <w:ind w:left="795" w:firstLine="600"/>
        <w:jc w:val="both"/>
        <w:rPr>
          <w:rFonts w:ascii="Lato" w:hAnsi="Lato"/>
          <w:color w:val="000000" w:themeColor="text1"/>
          <w:sz w:val="22"/>
          <w:szCs w:val="22"/>
          <w:lang w:eastAsia="zh-CN"/>
        </w:rPr>
      </w:pPr>
    </w:p>
    <w:p w14:paraId="25D5168A" w14:textId="5DC7EF36" w:rsidR="005E347E" w:rsidRPr="008547B7" w:rsidRDefault="005E347E" w:rsidP="005E347E">
      <w:pPr>
        <w:widowControl/>
        <w:suppressAutoHyphens/>
        <w:spacing w:before="120" w:after="120" w:line="240" w:lineRule="auto"/>
        <w:ind w:left="795" w:firstLine="600"/>
        <w:jc w:val="both"/>
        <w:rPr>
          <w:rFonts w:ascii="Lato" w:hAnsi="Lato"/>
          <w:color w:val="000000" w:themeColor="text1"/>
          <w:sz w:val="22"/>
          <w:szCs w:val="18"/>
          <w:lang w:eastAsia="zh-CN"/>
        </w:rPr>
      </w:pPr>
      <w:r w:rsidRPr="008547B7">
        <w:rPr>
          <w:rFonts w:ascii="Lato" w:hAnsi="Lato"/>
          <w:color w:val="000000" w:themeColor="text1"/>
          <w:sz w:val="22"/>
          <w:szCs w:val="22"/>
          <w:lang w:eastAsia="zh-CN"/>
        </w:rPr>
        <w:t xml:space="preserve">Otrzymaliśmy informację z </w:t>
      </w:r>
      <w:r w:rsidRPr="008547B7">
        <w:rPr>
          <w:rFonts w:ascii="Lato" w:hAnsi="Lato"/>
          <w:i/>
          <w:color w:val="000000" w:themeColor="text1"/>
          <w:sz w:val="18"/>
          <w:szCs w:val="18"/>
          <w:lang w:eastAsia="zh-CN"/>
        </w:rPr>
        <w:t>nazwa i adres szpitala</w:t>
      </w:r>
      <w:r w:rsidRPr="008547B7">
        <w:rPr>
          <w:rFonts w:ascii="Lato" w:hAnsi="Lato"/>
          <w:color w:val="000000" w:themeColor="text1"/>
          <w:sz w:val="18"/>
          <w:szCs w:val="18"/>
          <w:lang w:eastAsia="zh-CN"/>
        </w:rPr>
        <w:t xml:space="preserve">, </w:t>
      </w:r>
      <w:r w:rsidRPr="008547B7">
        <w:rPr>
          <w:rFonts w:ascii="Lato" w:hAnsi="Lato"/>
          <w:color w:val="000000" w:themeColor="text1"/>
          <w:sz w:val="22"/>
          <w:szCs w:val="22"/>
          <w:lang w:eastAsia="zh-CN"/>
        </w:rPr>
        <w:t xml:space="preserve">iż nie wyraził(a) Pan(i) zgody </w:t>
      </w:r>
      <w:r w:rsidRPr="008547B7">
        <w:rPr>
          <w:rFonts w:ascii="Lato" w:hAnsi="Lato"/>
          <w:color w:val="000000" w:themeColor="text1"/>
          <w:sz w:val="22"/>
          <w:szCs w:val="22"/>
          <w:lang w:eastAsia="zh-CN"/>
        </w:rPr>
        <w:br/>
        <w:t>na wykonanie badań przesiewowych u Pana(i) dziecka urodzonego</w:t>
      </w:r>
      <w:r w:rsidR="008547B7">
        <w:rPr>
          <w:rFonts w:ascii="Lato" w:hAnsi="Lato"/>
          <w:color w:val="000000" w:themeColor="text1"/>
          <w:sz w:val="22"/>
          <w:szCs w:val="22"/>
          <w:lang w:eastAsia="zh-CN"/>
        </w:rPr>
        <w:t xml:space="preserve"> </w:t>
      </w:r>
      <w:r w:rsidRPr="008547B7">
        <w:rPr>
          <w:rFonts w:ascii="Lato" w:hAnsi="Lato"/>
          <w:i/>
          <w:color w:val="000000" w:themeColor="text1"/>
          <w:sz w:val="18"/>
          <w:szCs w:val="18"/>
          <w:lang w:eastAsia="zh-CN"/>
        </w:rPr>
        <w:t>data urodzenia dziecka</w:t>
      </w:r>
      <w:r w:rsidRPr="008547B7">
        <w:rPr>
          <w:rFonts w:ascii="Lato" w:hAnsi="Lato"/>
          <w:color w:val="000000" w:themeColor="text1"/>
          <w:sz w:val="18"/>
          <w:szCs w:val="18"/>
          <w:lang w:eastAsia="zh-CN"/>
        </w:rPr>
        <w:t>.</w:t>
      </w:r>
      <w:r w:rsidRPr="008547B7">
        <w:rPr>
          <w:rFonts w:ascii="Lato" w:hAnsi="Lato"/>
          <w:color w:val="000000" w:themeColor="text1"/>
          <w:sz w:val="22"/>
          <w:szCs w:val="22"/>
          <w:lang w:eastAsia="zh-CN"/>
        </w:rPr>
        <w:t xml:space="preserve"> Zwracamy się z prośbą o ponowne rozważenie tej decyzji. </w:t>
      </w:r>
    </w:p>
    <w:p w14:paraId="7ACE7183" w14:textId="5E3FA485" w:rsidR="005E347E" w:rsidRPr="008547B7" w:rsidRDefault="005E347E" w:rsidP="005E347E">
      <w:pPr>
        <w:widowControl/>
        <w:suppressAutoHyphens/>
        <w:spacing w:before="120" w:after="120" w:line="240" w:lineRule="auto"/>
        <w:ind w:left="794" w:firstLine="601"/>
        <w:jc w:val="both"/>
        <w:rPr>
          <w:rFonts w:ascii="Lato" w:hAnsi="Lato"/>
          <w:color w:val="000000" w:themeColor="text1"/>
          <w:sz w:val="22"/>
          <w:szCs w:val="18"/>
          <w:lang w:eastAsia="zh-CN"/>
        </w:rPr>
      </w:pPr>
      <w:r w:rsidRPr="008547B7">
        <w:rPr>
          <w:rFonts w:ascii="Lato" w:hAnsi="Lato"/>
          <w:color w:val="000000" w:themeColor="text1"/>
          <w:sz w:val="22"/>
          <w:szCs w:val="22"/>
          <w:lang w:eastAsia="zh-CN"/>
        </w:rPr>
        <w:t>Badania przesiewowe noworodków w Rzecz</w:t>
      </w:r>
      <w:r w:rsidR="007A48CA" w:rsidRPr="008547B7">
        <w:rPr>
          <w:rFonts w:ascii="Lato" w:hAnsi="Lato"/>
          <w:color w:val="000000" w:themeColor="text1"/>
          <w:sz w:val="22"/>
          <w:szCs w:val="22"/>
          <w:lang w:eastAsia="zh-CN"/>
        </w:rPr>
        <w:t>y</w:t>
      </w:r>
      <w:r w:rsidRPr="008547B7">
        <w:rPr>
          <w:rFonts w:ascii="Lato" w:hAnsi="Lato"/>
          <w:color w:val="000000" w:themeColor="text1"/>
          <w:sz w:val="22"/>
          <w:szCs w:val="22"/>
          <w:lang w:eastAsia="zh-CN"/>
        </w:rPr>
        <w:t>pospolitej Polskiej są wykonywane dla wszystkich noworodków urodzonych w Polsce w ramach programu polityki zdrowotnej Ministra Zdrowia. Badania te są bezpłatne i mają na celu wykrycie takich chorób jak: fenyloketonuria, wrodzona niedoczynność tarczycy, mukowiscydoza, wrodzone wady metabolizmu, wrodzony przerost nadnerczy i deficyt biotynidazy. Choroby te mogą prowadzić do zaburzeń rozwoju, trwałej choroby, ciężkiego upośledzenia umysłowego, a nawet śmierci, czemu można zapobiegać przez rozpoczęcie leczenia w pierwszych miesiącach życia. Objawy tych chorób mogą być początkowo słabo widoczne, dlatego konieczna jest analiza krwi dziecka. Badania przesiewowe nie stanowią żadnego zagrożenia dla dziecka. Szczegółowe informacje o badaniach przesiewowych w Polsce, w tym o chorobach, w kierunku których wykonywane są badania, można znaleźć na stronie http://przesiew.imid.med.pl oraz w załączonej ulotce.</w:t>
      </w:r>
    </w:p>
    <w:p w14:paraId="5CE5B66F" w14:textId="77777777" w:rsidR="005E347E" w:rsidRPr="008547B7" w:rsidRDefault="005E347E" w:rsidP="005E347E">
      <w:pPr>
        <w:widowControl/>
        <w:suppressAutoHyphens/>
        <w:spacing w:before="120" w:after="120" w:line="240" w:lineRule="auto"/>
        <w:ind w:left="794" w:firstLine="601"/>
        <w:jc w:val="both"/>
        <w:rPr>
          <w:rFonts w:ascii="Lato" w:hAnsi="Lato"/>
          <w:color w:val="000000" w:themeColor="text1"/>
          <w:sz w:val="22"/>
          <w:szCs w:val="18"/>
          <w:lang w:eastAsia="zh-CN"/>
        </w:rPr>
      </w:pPr>
      <w:r w:rsidRPr="008547B7">
        <w:rPr>
          <w:rFonts w:ascii="Lato" w:hAnsi="Lato"/>
          <w:color w:val="000000" w:themeColor="text1"/>
          <w:sz w:val="22"/>
          <w:szCs w:val="22"/>
          <w:lang w:eastAsia="zh-CN"/>
        </w:rPr>
        <w:t>Próbki krwi dziecka przesłane na badania wykorzystywane są wyłącznie do wykonania badań przesiewowych noworodków. Badania są oparte o testy biochemiczne. Badania genetyczne są wykonywane jedynie w przypadku konieczności wykonania poszerzonej diagnostyki w kierunku jednej z chorób objętych badaniem przesiewowym. Zgodę na badania genetyczne wyraża rodzic lub opiekunowie prawni podpisując się na odwrocie bibuły, na którą jest pobrana krew od ich dziecka. W przypadku niewyrażenia zgody na badania genetyczne nie należy podpisywać „zgody” na odwrocie bibuły lub dopisać adnotację: „nie wyrażam zgody na badania genetyczne”. W takim przypadku dziecko będzie miało wykonane badania przesiewowe w kierunku wszystkich badanych chorób, z wykluczeniem ewentualnych dodatkowych badań genetycznych.</w:t>
      </w:r>
    </w:p>
    <w:p w14:paraId="7394A64C" w14:textId="7B31E5B0" w:rsidR="005E347E" w:rsidRPr="008547B7" w:rsidRDefault="005E347E" w:rsidP="005E347E">
      <w:pPr>
        <w:widowControl/>
        <w:suppressAutoHyphens/>
        <w:spacing w:before="120" w:after="120" w:line="240" w:lineRule="auto"/>
        <w:ind w:left="794" w:firstLine="601"/>
        <w:jc w:val="both"/>
        <w:rPr>
          <w:rFonts w:ascii="Lato" w:hAnsi="Lato"/>
          <w:color w:val="000000" w:themeColor="text1"/>
          <w:sz w:val="22"/>
          <w:szCs w:val="22"/>
          <w:lang w:eastAsia="zh-CN"/>
        </w:rPr>
      </w:pPr>
      <w:r w:rsidRPr="008547B7">
        <w:rPr>
          <w:rFonts w:ascii="Lato" w:hAnsi="Lato"/>
          <w:color w:val="000000" w:themeColor="text1"/>
          <w:sz w:val="22"/>
          <w:szCs w:val="22"/>
          <w:lang w:eastAsia="zh-CN"/>
        </w:rPr>
        <w:t xml:space="preserve">Po wykonaniu badań, próbki krwi są przechowywane przez okres 5 lat w celu ewentualnego powtórzenia badań przesiewowych w przypadkach wątpliwości lekarzy </w:t>
      </w:r>
      <w:r w:rsidRPr="008547B7">
        <w:rPr>
          <w:rFonts w:ascii="Lato" w:hAnsi="Lato"/>
          <w:color w:val="000000" w:themeColor="text1"/>
          <w:sz w:val="22"/>
          <w:szCs w:val="22"/>
          <w:lang w:eastAsia="zh-CN"/>
        </w:rPr>
        <w:lastRenderedPageBreak/>
        <w:t xml:space="preserve">lub na uzasadniony wniosek rodzica lub opiekuna prawnego. Po tym okresie próbki krwi są utylizowane według procedury obowiązującej dla materiału biologicznego zgodnej z przepisami ustawy z dnia 14 grudnia 2012 r. o odpadach (Dz. U. z 2023 r. poz. 1587, z późn. zm.) oraz ustawy z dnia 27 kwietnia 2001 r. </w:t>
      </w:r>
      <w:r w:rsidRPr="008547B7">
        <w:rPr>
          <w:rFonts w:ascii="Lato" w:hAnsi="Lato"/>
          <w:color w:val="000000" w:themeColor="text1"/>
          <w:sz w:val="20"/>
          <w:szCs w:val="20"/>
        </w:rPr>
        <w:t>–</w:t>
      </w:r>
      <w:r w:rsidRPr="008547B7">
        <w:rPr>
          <w:rFonts w:ascii="Lato" w:hAnsi="Lato"/>
          <w:color w:val="000000" w:themeColor="text1"/>
          <w:sz w:val="22"/>
          <w:szCs w:val="22"/>
          <w:lang w:eastAsia="zh-CN"/>
        </w:rPr>
        <w:t xml:space="preserve"> Prawo ochrony środowiska (Dz. U. z 202</w:t>
      </w:r>
      <w:r w:rsidR="00DD4F75" w:rsidRPr="008547B7">
        <w:rPr>
          <w:rFonts w:ascii="Lato" w:hAnsi="Lato"/>
          <w:color w:val="000000" w:themeColor="text1"/>
          <w:sz w:val="22"/>
          <w:szCs w:val="22"/>
          <w:lang w:eastAsia="zh-CN"/>
        </w:rPr>
        <w:t>4</w:t>
      </w:r>
      <w:r w:rsidRPr="008547B7">
        <w:rPr>
          <w:rFonts w:ascii="Lato" w:hAnsi="Lato"/>
          <w:color w:val="000000" w:themeColor="text1"/>
          <w:sz w:val="22"/>
          <w:szCs w:val="22"/>
          <w:lang w:eastAsia="zh-CN"/>
        </w:rPr>
        <w:t xml:space="preserve"> r. poz. </w:t>
      </w:r>
      <w:r w:rsidR="00DD4F75" w:rsidRPr="008547B7">
        <w:rPr>
          <w:rFonts w:ascii="Lato" w:hAnsi="Lato"/>
          <w:color w:val="000000" w:themeColor="text1"/>
          <w:sz w:val="22"/>
          <w:szCs w:val="22"/>
          <w:lang w:eastAsia="zh-CN"/>
        </w:rPr>
        <w:t>54</w:t>
      </w:r>
      <w:r w:rsidRPr="008547B7">
        <w:rPr>
          <w:rFonts w:ascii="Lato" w:hAnsi="Lato"/>
          <w:color w:val="000000" w:themeColor="text1"/>
          <w:sz w:val="22"/>
          <w:szCs w:val="22"/>
          <w:lang w:eastAsia="zh-CN"/>
        </w:rPr>
        <w:t>, z późn. zm.).</w:t>
      </w:r>
    </w:p>
    <w:p w14:paraId="28BCB9FB" w14:textId="77777777" w:rsidR="005E347E" w:rsidRPr="008547B7" w:rsidRDefault="005E347E" w:rsidP="005E347E">
      <w:pPr>
        <w:widowControl/>
        <w:suppressAutoHyphens/>
        <w:spacing w:line="240" w:lineRule="auto"/>
        <w:ind w:left="794" w:firstLine="601"/>
        <w:jc w:val="both"/>
        <w:rPr>
          <w:rFonts w:ascii="Lato" w:hAnsi="Lato"/>
          <w:color w:val="000000" w:themeColor="text1"/>
          <w:sz w:val="22"/>
          <w:szCs w:val="22"/>
          <w:lang w:eastAsia="zh-CN"/>
        </w:rPr>
      </w:pPr>
      <w:r w:rsidRPr="008547B7">
        <w:rPr>
          <w:rFonts w:ascii="Lato" w:hAnsi="Lato"/>
          <w:color w:val="000000" w:themeColor="text1"/>
          <w:sz w:val="22"/>
          <w:szCs w:val="22"/>
          <w:lang w:eastAsia="zh-CN"/>
        </w:rPr>
        <w:t xml:space="preserve">Jeśli zgadza się Pan(i) na wykonanie badań, w celu pobrania krwi należy zgłosić się do Zespołu Podstawowej Opieki Zdrowotnej, aby pobrać krew od dzieci na bibułkę przesłaną w tym liście o numerze   </w:t>
      </w:r>
      <w:r w:rsidRPr="008547B7">
        <w:rPr>
          <w:rFonts w:ascii="Lato" w:hAnsi="Lato"/>
          <w:i/>
          <w:color w:val="000000" w:themeColor="text1"/>
          <w:sz w:val="18"/>
          <w:szCs w:val="18"/>
          <w:lang w:eastAsia="zh-CN"/>
        </w:rPr>
        <w:t>numer bibuły</w:t>
      </w:r>
      <w:r w:rsidRPr="008547B7">
        <w:rPr>
          <w:rFonts w:ascii="Lato" w:hAnsi="Lato"/>
          <w:color w:val="000000" w:themeColor="text1"/>
          <w:sz w:val="22"/>
          <w:szCs w:val="22"/>
          <w:lang w:eastAsia="zh-CN"/>
        </w:rPr>
        <w:t xml:space="preserve">.   Bibułę z pobraną i wysuszoną krwią prosimy odesłać do laboratorium na adres:  </w:t>
      </w:r>
    </w:p>
    <w:p w14:paraId="6B379C23" w14:textId="77777777" w:rsidR="005E347E" w:rsidRPr="008547B7" w:rsidRDefault="005E347E" w:rsidP="005E347E">
      <w:pPr>
        <w:widowControl/>
        <w:suppressAutoHyphens/>
        <w:spacing w:line="240" w:lineRule="auto"/>
        <w:ind w:left="794" w:firstLine="601"/>
        <w:jc w:val="both"/>
        <w:rPr>
          <w:rFonts w:ascii="Lato" w:hAnsi="Lato"/>
          <w:color w:val="000000" w:themeColor="text1"/>
          <w:sz w:val="22"/>
          <w:szCs w:val="18"/>
          <w:lang w:eastAsia="zh-CN"/>
        </w:rPr>
      </w:pPr>
    </w:p>
    <w:p w14:paraId="4F6DCF45" w14:textId="77777777" w:rsidR="005E347E" w:rsidRPr="008547B7" w:rsidRDefault="005E347E" w:rsidP="005E347E">
      <w:pPr>
        <w:widowControl/>
        <w:suppressAutoHyphens/>
        <w:spacing w:line="240" w:lineRule="auto"/>
        <w:ind w:left="794" w:firstLine="601"/>
        <w:jc w:val="both"/>
        <w:rPr>
          <w:rFonts w:ascii="Lato" w:hAnsi="Lato"/>
          <w:color w:val="000000" w:themeColor="text1"/>
          <w:sz w:val="22"/>
          <w:szCs w:val="22"/>
          <w:lang w:eastAsia="zh-CN"/>
        </w:rPr>
      </w:pPr>
    </w:p>
    <w:p w14:paraId="42B55AEA" w14:textId="77777777" w:rsidR="005E347E" w:rsidRPr="008547B7" w:rsidRDefault="005E347E" w:rsidP="005E347E">
      <w:pPr>
        <w:widowControl/>
        <w:suppressAutoHyphens/>
        <w:spacing w:line="240" w:lineRule="auto"/>
        <w:ind w:left="794" w:firstLine="601"/>
        <w:jc w:val="both"/>
        <w:rPr>
          <w:rFonts w:ascii="Lato" w:hAnsi="Lato"/>
          <w:i/>
          <w:color w:val="000000" w:themeColor="text1"/>
          <w:sz w:val="18"/>
          <w:szCs w:val="18"/>
          <w:lang w:eastAsia="zh-CN"/>
        </w:rPr>
      </w:pPr>
      <w:r w:rsidRPr="008547B7">
        <w:rPr>
          <w:rFonts w:ascii="Lato" w:hAnsi="Lato"/>
          <w:color w:val="000000" w:themeColor="text1"/>
          <w:sz w:val="22"/>
          <w:szCs w:val="22"/>
          <w:lang w:eastAsia="zh-CN"/>
        </w:rPr>
        <w:tab/>
      </w:r>
      <w:r w:rsidRPr="008547B7">
        <w:rPr>
          <w:rFonts w:ascii="Lato" w:hAnsi="Lato"/>
          <w:color w:val="000000" w:themeColor="text1"/>
          <w:sz w:val="22"/>
          <w:szCs w:val="22"/>
          <w:lang w:eastAsia="zh-CN"/>
        </w:rPr>
        <w:tab/>
      </w:r>
      <w:r w:rsidRPr="008547B7">
        <w:rPr>
          <w:rFonts w:ascii="Lato" w:hAnsi="Lato"/>
          <w:i/>
          <w:color w:val="000000" w:themeColor="text1"/>
          <w:sz w:val="18"/>
          <w:szCs w:val="18"/>
          <w:lang w:eastAsia="zh-CN"/>
        </w:rPr>
        <w:t>Nazwa i adres właściwego laboratorium przesiewowego</w:t>
      </w:r>
    </w:p>
    <w:p w14:paraId="426D9C79" w14:textId="77777777" w:rsidR="005E347E" w:rsidRPr="008547B7" w:rsidRDefault="005E347E" w:rsidP="005E347E">
      <w:pPr>
        <w:widowControl/>
        <w:suppressAutoHyphens/>
        <w:spacing w:line="240" w:lineRule="auto"/>
        <w:ind w:left="794" w:firstLine="601"/>
        <w:jc w:val="both"/>
        <w:rPr>
          <w:rFonts w:ascii="Lato" w:hAnsi="Lato"/>
          <w:color w:val="000000" w:themeColor="text1"/>
          <w:sz w:val="22"/>
          <w:szCs w:val="18"/>
          <w:lang w:eastAsia="zh-CN"/>
        </w:rPr>
      </w:pPr>
      <w:r w:rsidRPr="008547B7">
        <w:rPr>
          <w:rFonts w:ascii="Lato" w:hAnsi="Lato"/>
          <w:color w:val="000000" w:themeColor="text1"/>
          <w:sz w:val="22"/>
          <w:szCs w:val="22"/>
          <w:lang w:eastAsia="zh-CN"/>
        </w:rPr>
        <w:tab/>
      </w:r>
      <w:r w:rsidRPr="008547B7">
        <w:rPr>
          <w:rFonts w:ascii="Lato" w:hAnsi="Lato"/>
          <w:color w:val="000000" w:themeColor="text1"/>
          <w:sz w:val="22"/>
          <w:szCs w:val="22"/>
          <w:lang w:eastAsia="zh-CN"/>
        </w:rPr>
        <w:tab/>
      </w:r>
    </w:p>
    <w:p w14:paraId="0218A328" w14:textId="77777777" w:rsidR="005E347E" w:rsidRPr="008547B7" w:rsidRDefault="005E347E" w:rsidP="005E347E">
      <w:pPr>
        <w:widowControl/>
        <w:suppressAutoHyphens/>
        <w:spacing w:line="240" w:lineRule="auto"/>
        <w:ind w:left="794" w:firstLine="601"/>
        <w:jc w:val="both"/>
        <w:rPr>
          <w:rFonts w:ascii="Lato" w:hAnsi="Lato"/>
          <w:color w:val="000000" w:themeColor="text1"/>
          <w:sz w:val="22"/>
          <w:szCs w:val="22"/>
          <w:lang w:eastAsia="zh-CN"/>
        </w:rPr>
      </w:pPr>
    </w:p>
    <w:p w14:paraId="0637D6CE" w14:textId="77777777" w:rsidR="005E347E" w:rsidRPr="008547B7" w:rsidRDefault="005E347E" w:rsidP="005E347E">
      <w:pPr>
        <w:widowControl/>
        <w:suppressAutoHyphens/>
        <w:spacing w:before="57" w:line="240" w:lineRule="auto"/>
        <w:ind w:left="795" w:firstLine="600"/>
        <w:jc w:val="both"/>
        <w:rPr>
          <w:rFonts w:ascii="Lato" w:hAnsi="Lato"/>
          <w:color w:val="000000" w:themeColor="text1"/>
          <w:sz w:val="22"/>
          <w:szCs w:val="22"/>
          <w:lang w:eastAsia="zh-CN"/>
        </w:rPr>
      </w:pPr>
    </w:p>
    <w:p w14:paraId="273842D4" w14:textId="77777777" w:rsidR="005E347E" w:rsidRPr="008547B7" w:rsidRDefault="005E347E" w:rsidP="005E347E">
      <w:pPr>
        <w:widowControl/>
        <w:suppressAutoHyphens/>
        <w:spacing w:before="57" w:line="240" w:lineRule="auto"/>
        <w:ind w:left="795" w:firstLine="600"/>
        <w:jc w:val="both"/>
        <w:rPr>
          <w:rFonts w:ascii="Lato" w:hAnsi="Lato"/>
          <w:color w:val="000000" w:themeColor="text1"/>
          <w:sz w:val="22"/>
          <w:szCs w:val="18"/>
          <w:lang w:eastAsia="zh-CN"/>
        </w:rPr>
      </w:pPr>
    </w:p>
    <w:p w14:paraId="34688D02" w14:textId="77777777" w:rsidR="005E347E" w:rsidRPr="008547B7" w:rsidRDefault="005E347E" w:rsidP="005E347E">
      <w:pPr>
        <w:widowControl/>
        <w:suppressAutoHyphens/>
        <w:spacing w:before="57" w:line="240" w:lineRule="auto"/>
        <w:ind w:left="5672"/>
        <w:rPr>
          <w:rFonts w:ascii="Lato" w:hAnsi="Lato"/>
          <w:color w:val="000000" w:themeColor="text1"/>
          <w:sz w:val="22"/>
          <w:szCs w:val="22"/>
          <w:lang w:eastAsia="zh-CN"/>
        </w:rPr>
      </w:pPr>
      <w:r w:rsidRPr="008547B7">
        <w:rPr>
          <w:rFonts w:ascii="Lato" w:hAnsi="Lato"/>
          <w:color w:val="000000" w:themeColor="text1"/>
          <w:sz w:val="22"/>
          <w:szCs w:val="22"/>
          <w:lang w:eastAsia="zh-CN"/>
        </w:rPr>
        <w:t>Z poważaniem</w:t>
      </w:r>
    </w:p>
    <w:p w14:paraId="29F653B1" w14:textId="77777777" w:rsidR="005E347E" w:rsidRPr="00AA22C4" w:rsidRDefault="005E347E" w:rsidP="005E347E">
      <w:pPr>
        <w:widowControl/>
        <w:suppressAutoHyphens/>
        <w:spacing w:before="57" w:line="240" w:lineRule="auto"/>
        <w:ind w:left="5672"/>
        <w:rPr>
          <w:rFonts w:ascii="Lato" w:hAnsi="Lato"/>
          <w:color w:val="000000" w:themeColor="text1"/>
          <w:lang w:eastAsia="zh-CN"/>
        </w:rPr>
      </w:pPr>
    </w:p>
    <w:p w14:paraId="69F573D8" w14:textId="77777777" w:rsidR="005E347E" w:rsidRPr="00AA22C4" w:rsidRDefault="005E347E" w:rsidP="005E347E">
      <w:pPr>
        <w:widowControl/>
        <w:suppressAutoHyphens/>
        <w:spacing w:before="57" w:line="240" w:lineRule="auto"/>
        <w:ind w:left="5672"/>
        <w:rPr>
          <w:rFonts w:ascii="Lato" w:hAnsi="Lato"/>
          <w:color w:val="000000" w:themeColor="text1"/>
          <w:lang w:eastAsia="zh-CN"/>
        </w:rPr>
      </w:pPr>
    </w:p>
    <w:p w14:paraId="086A130E" w14:textId="77777777" w:rsidR="005E347E" w:rsidRPr="00AA22C4" w:rsidRDefault="005E347E" w:rsidP="005E347E">
      <w:pPr>
        <w:widowControl/>
        <w:suppressAutoHyphens/>
        <w:spacing w:before="57" w:line="240" w:lineRule="auto"/>
        <w:ind w:left="5672"/>
        <w:rPr>
          <w:rFonts w:ascii="Lato" w:hAnsi="Lato"/>
          <w:color w:val="000000" w:themeColor="text1"/>
          <w:lang w:eastAsia="zh-CN"/>
        </w:rPr>
      </w:pPr>
    </w:p>
    <w:p w14:paraId="6869B954" w14:textId="77777777" w:rsidR="005E347E" w:rsidRPr="00AA22C4" w:rsidRDefault="005E347E" w:rsidP="005E347E">
      <w:pPr>
        <w:widowControl/>
        <w:suppressAutoHyphens/>
        <w:spacing w:before="57" w:line="240" w:lineRule="auto"/>
        <w:ind w:left="5672"/>
        <w:rPr>
          <w:rFonts w:ascii="Lato" w:hAnsi="Lato"/>
          <w:color w:val="000000" w:themeColor="text1"/>
          <w:lang w:eastAsia="zh-CN"/>
        </w:rPr>
      </w:pPr>
    </w:p>
    <w:p w14:paraId="3AF7C307" w14:textId="77777777" w:rsidR="005E347E" w:rsidRPr="00AA22C4" w:rsidRDefault="005E347E" w:rsidP="005E347E">
      <w:pPr>
        <w:widowControl/>
        <w:suppressAutoHyphens/>
        <w:spacing w:before="57" w:line="240" w:lineRule="auto"/>
        <w:ind w:left="5672"/>
        <w:rPr>
          <w:rFonts w:ascii="Lato" w:hAnsi="Lato"/>
          <w:color w:val="000000" w:themeColor="text1"/>
          <w:lang w:eastAsia="zh-CN"/>
        </w:rPr>
      </w:pPr>
    </w:p>
    <w:p w14:paraId="4E01B284" w14:textId="77777777" w:rsidR="005E347E" w:rsidRPr="00AA22C4" w:rsidRDefault="005E347E" w:rsidP="005E347E">
      <w:pPr>
        <w:widowControl/>
        <w:suppressAutoHyphens/>
        <w:spacing w:before="57" w:line="240" w:lineRule="auto"/>
        <w:ind w:left="5672"/>
        <w:rPr>
          <w:rFonts w:ascii="Lato" w:hAnsi="Lato"/>
          <w:color w:val="000000" w:themeColor="text1"/>
          <w:lang w:eastAsia="zh-CN"/>
        </w:rPr>
      </w:pPr>
    </w:p>
    <w:p w14:paraId="322A5D07" w14:textId="77777777" w:rsidR="005E347E" w:rsidRPr="00AA22C4" w:rsidRDefault="005E347E" w:rsidP="005E347E">
      <w:pPr>
        <w:widowControl/>
        <w:suppressAutoHyphens/>
        <w:spacing w:before="57" w:line="240" w:lineRule="auto"/>
        <w:ind w:left="5672"/>
        <w:rPr>
          <w:rFonts w:ascii="Lato" w:hAnsi="Lato"/>
          <w:color w:val="000000" w:themeColor="text1"/>
          <w:lang w:eastAsia="zh-CN"/>
        </w:rPr>
      </w:pPr>
    </w:p>
    <w:p w14:paraId="1E3F9EAD" w14:textId="77777777" w:rsidR="005E347E" w:rsidRPr="00AA22C4" w:rsidRDefault="005E347E" w:rsidP="005E347E">
      <w:pPr>
        <w:widowControl/>
        <w:suppressAutoHyphens/>
        <w:spacing w:before="57" w:line="240" w:lineRule="auto"/>
        <w:ind w:left="5672"/>
        <w:rPr>
          <w:rFonts w:ascii="Lato" w:hAnsi="Lato"/>
          <w:color w:val="000000" w:themeColor="text1"/>
          <w:lang w:eastAsia="zh-CN"/>
        </w:rPr>
      </w:pPr>
    </w:p>
    <w:p w14:paraId="09B7111E" w14:textId="77777777" w:rsidR="005E347E" w:rsidRPr="00AA22C4" w:rsidRDefault="005E347E" w:rsidP="005E347E">
      <w:pPr>
        <w:widowControl/>
        <w:suppressAutoHyphens/>
        <w:spacing w:before="57" w:line="240" w:lineRule="auto"/>
        <w:ind w:left="5672"/>
        <w:rPr>
          <w:rFonts w:ascii="Lato" w:hAnsi="Lato"/>
          <w:color w:val="000000" w:themeColor="text1"/>
          <w:lang w:eastAsia="zh-CN"/>
        </w:rPr>
      </w:pPr>
    </w:p>
    <w:p w14:paraId="4F185D33" w14:textId="77777777" w:rsidR="005E347E" w:rsidRPr="00AA22C4" w:rsidRDefault="005E347E" w:rsidP="005E347E">
      <w:pPr>
        <w:widowControl/>
        <w:suppressAutoHyphens/>
        <w:spacing w:before="57" w:line="240" w:lineRule="auto"/>
        <w:ind w:left="5672"/>
        <w:rPr>
          <w:rFonts w:ascii="Lato" w:hAnsi="Lato"/>
          <w:color w:val="000000" w:themeColor="text1"/>
          <w:lang w:eastAsia="zh-CN"/>
        </w:rPr>
      </w:pPr>
    </w:p>
    <w:p w14:paraId="74BC5B4B" w14:textId="77777777" w:rsidR="005E347E" w:rsidRPr="00AA22C4" w:rsidRDefault="005E347E" w:rsidP="005E347E">
      <w:pPr>
        <w:widowControl/>
        <w:suppressAutoHyphens/>
        <w:spacing w:before="57" w:line="240" w:lineRule="auto"/>
        <w:ind w:left="5672"/>
        <w:rPr>
          <w:rFonts w:ascii="Lato" w:hAnsi="Lato"/>
          <w:color w:val="000000" w:themeColor="text1"/>
          <w:lang w:eastAsia="zh-CN"/>
        </w:rPr>
      </w:pPr>
    </w:p>
    <w:p w14:paraId="7907506B" w14:textId="77777777" w:rsidR="005E347E" w:rsidRPr="00AA22C4" w:rsidRDefault="005E347E" w:rsidP="005E347E">
      <w:pPr>
        <w:widowControl/>
        <w:suppressAutoHyphens/>
        <w:spacing w:before="57" w:line="240" w:lineRule="auto"/>
        <w:ind w:left="5672"/>
        <w:rPr>
          <w:rFonts w:ascii="Lato" w:hAnsi="Lato"/>
          <w:color w:val="000000" w:themeColor="text1"/>
          <w:lang w:eastAsia="zh-CN"/>
        </w:rPr>
      </w:pPr>
    </w:p>
    <w:p w14:paraId="28A50299" w14:textId="77777777" w:rsidR="005E347E" w:rsidRPr="00AA22C4" w:rsidRDefault="005E347E" w:rsidP="005E347E">
      <w:pPr>
        <w:widowControl/>
        <w:suppressAutoHyphens/>
        <w:spacing w:before="57" w:line="240" w:lineRule="auto"/>
        <w:ind w:left="5672"/>
        <w:rPr>
          <w:rFonts w:ascii="Lato" w:hAnsi="Lato"/>
          <w:color w:val="000000" w:themeColor="text1"/>
          <w:lang w:eastAsia="zh-CN"/>
        </w:rPr>
      </w:pPr>
    </w:p>
    <w:p w14:paraId="5D616672" w14:textId="77777777" w:rsidR="005E347E" w:rsidRPr="00AA22C4" w:rsidRDefault="005E347E" w:rsidP="005E347E">
      <w:pPr>
        <w:widowControl/>
        <w:suppressAutoHyphens/>
        <w:spacing w:before="57" w:line="240" w:lineRule="auto"/>
        <w:ind w:left="5672"/>
        <w:rPr>
          <w:rFonts w:ascii="Lato" w:hAnsi="Lato"/>
          <w:color w:val="000000" w:themeColor="text1"/>
          <w:lang w:eastAsia="zh-CN"/>
        </w:rPr>
      </w:pPr>
    </w:p>
    <w:p w14:paraId="7CA40C76" w14:textId="77777777" w:rsidR="005E347E" w:rsidRPr="00AA22C4" w:rsidRDefault="005E347E" w:rsidP="005E347E">
      <w:pPr>
        <w:widowControl/>
        <w:suppressAutoHyphens/>
        <w:spacing w:before="57" w:line="240" w:lineRule="auto"/>
        <w:ind w:left="5672"/>
        <w:rPr>
          <w:rFonts w:ascii="Lato" w:hAnsi="Lato"/>
          <w:color w:val="000000" w:themeColor="text1"/>
          <w:lang w:eastAsia="zh-CN"/>
        </w:rPr>
      </w:pPr>
    </w:p>
    <w:p w14:paraId="3C7EFE08" w14:textId="77777777" w:rsidR="005E347E" w:rsidRPr="00AA22C4" w:rsidRDefault="005E347E" w:rsidP="005E347E">
      <w:pPr>
        <w:widowControl/>
        <w:suppressAutoHyphens/>
        <w:spacing w:before="57" w:line="240" w:lineRule="auto"/>
        <w:ind w:left="5672"/>
        <w:rPr>
          <w:rFonts w:ascii="Lato" w:hAnsi="Lato"/>
          <w:color w:val="000000" w:themeColor="text1"/>
          <w:lang w:eastAsia="zh-CN"/>
        </w:rPr>
      </w:pPr>
    </w:p>
    <w:p w14:paraId="6EE459C9" w14:textId="77777777" w:rsidR="005E347E" w:rsidRPr="00AA22C4" w:rsidRDefault="005E347E" w:rsidP="005E347E">
      <w:pPr>
        <w:widowControl/>
        <w:suppressAutoHyphens/>
        <w:spacing w:before="57" w:line="240" w:lineRule="auto"/>
        <w:ind w:left="5672"/>
        <w:rPr>
          <w:rFonts w:ascii="Lato" w:hAnsi="Lato"/>
          <w:color w:val="000000" w:themeColor="text1"/>
          <w:lang w:eastAsia="zh-CN"/>
        </w:rPr>
      </w:pPr>
    </w:p>
    <w:p w14:paraId="49556EE7" w14:textId="77777777" w:rsidR="005E347E" w:rsidRDefault="005E347E" w:rsidP="005E347E">
      <w:pPr>
        <w:widowControl/>
        <w:suppressAutoHyphens/>
        <w:spacing w:before="57" w:line="240" w:lineRule="auto"/>
        <w:ind w:left="5672"/>
        <w:rPr>
          <w:rFonts w:ascii="Lato" w:hAnsi="Lato"/>
          <w:color w:val="000000" w:themeColor="text1"/>
          <w:lang w:eastAsia="zh-CN"/>
        </w:rPr>
      </w:pPr>
    </w:p>
    <w:p w14:paraId="1D96FB0A" w14:textId="77777777" w:rsidR="008547B7" w:rsidRDefault="008547B7" w:rsidP="005E347E">
      <w:pPr>
        <w:widowControl/>
        <w:suppressAutoHyphens/>
        <w:spacing w:before="57" w:line="240" w:lineRule="auto"/>
        <w:ind w:left="5672"/>
        <w:rPr>
          <w:rFonts w:ascii="Lato" w:hAnsi="Lato"/>
          <w:color w:val="000000" w:themeColor="text1"/>
          <w:lang w:eastAsia="zh-CN"/>
        </w:rPr>
      </w:pPr>
    </w:p>
    <w:p w14:paraId="0329D7E6" w14:textId="77777777" w:rsidR="008547B7" w:rsidRDefault="008547B7" w:rsidP="005E347E">
      <w:pPr>
        <w:widowControl/>
        <w:suppressAutoHyphens/>
        <w:spacing w:before="57" w:line="240" w:lineRule="auto"/>
        <w:ind w:left="5672"/>
        <w:rPr>
          <w:rFonts w:ascii="Lato" w:hAnsi="Lato"/>
          <w:color w:val="000000" w:themeColor="text1"/>
          <w:lang w:eastAsia="zh-CN"/>
        </w:rPr>
      </w:pPr>
    </w:p>
    <w:p w14:paraId="446C6F7A" w14:textId="77777777" w:rsidR="008547B7" w:rsidRDefault="008547B7" w:rsidP="005E347E">
      <w:pPr>
        <w:widowControl/>
        <w:suppressAutoHyphens/>
        <w:spacing w:before="57" w:line="240" w:lineRule="auto"/>
        <w:ind w:left="5672"/>
        <w:rPr>
          <w:rFonts w:ascii="Lato" w:hAnsi="Lato"/>
          <w:color w:val="000000" w:themeColor="text1"/>
          <w:lang w:eastAsia="zh-CN"/>
        </w:rPr>
      </w:pPr>
    </w:p>
    <w:p w14:paraId="2C95B6CB" w14:textId="77777777" w:rsidR="008547B7" w:rsidRPr="00AA22C4" w:rsidRDefault="008547B7" w:rsidP="005E347E">
      <w:pPr>
        <w:widowControl/>
        <w:suppressAutoHyphens/>
        <w:spacing w:before="57" w:line="240" w:lineRule="auto"/>
        <w:ind w:left="5672"/>
        <w:rPr>
          <w:rFonts w:ascii="Lato" w:hAnsi="Lato"/>
          <w:color w:val="000000" w:themeColor="text1"/>
          <w:lang w:eastAsia="zh-CN"/>
        </w:rPr>
      </w:pPr>
    </w:p>
    <w:p w14:paraId="6D8C698F" w14:textId="77777777" w:rsidR="005E347E" w:rsidRPr="00AA22C4" w:rsidRDefault="005E347E" w:rsidP="005E347E">
      <w:pPr>
        <w:widowControl/>
        <w:suppressAutoHyphens/>
        <w:spacing w:before="57" w:line="240" w:lineRule="auto"/>
        <w:ind w:left="5672"/>
        <w:rPr>
          <w:rFonts w:ascii="Lato" w:hAnsi="Lato"/>
          <w:color w:val="000000" w:themeColor="text1"/>
          <w:lang w:eastAsia="zh-CN"/>
        </w:rPr>
      </w:pPr>
    </w:p>
    <w:p w14:paraId="3EBA8464" w14:textId="77777777" w:rsidR="005E347E" w:rsidRPr="00AA22C4" w:rsidRDefault="005E347E" w:rsidP="005E347E">
      <w:pPr>
        <w:widowControl/>
        <w:suppressAutoHyphens/>
        <w:spacing w:before="57" w:line="240" w:lineRule="auto"/>
        <w:ind w:left="5672"/>
        <w:rPr>
          <w:rFonts w:ascii="Lato" w:hAnsi="Lato"/>
          <w:color w:val="000000" w:themeColor="text1"/>
          <w:lang w:eastAsia="zh-CN"/>
        </w:rPr>
      </w:pPr>
    </w:p>
    <w:p w14:paraId="1475CA78" w14:textId="77777777" w:rsidR="005E347E" w:rsidRPr="00AA22C4" w:rsidRDefault="005E347E" w:rsidP="005E347E">
      <w:pPr>
        <w:jc w:val="center"/>
        <w:rPr>
          <w:rFonts w:ascii="Lato" w:hAnsi="Lato"/>
          <w:color w:val="000000" w:themeColor="text1"/>
          <w:lang w:eastAsia="zh-CN"/>
        </w:rPr>
      </w:pPr>
    </w:p>
    <w:p w14:paraId="05E524C8" w14:textId="77777777" w:rsidR="005E347E" w:rsidRPr="00AA22C4" w:rsidRDefault="005E347E" w:rsidP="005E347E">
      <w:pPr>
        <w:jc w:val="center"/>
        <w:rPr>
          <w:rFonts w:ascii="Lato" w:hAnsi="Lato"/>
          <w:color w:val="000000" w:themeColor="text1"/>
          <w:lang w:eastAsia="zh-CN"/>
        </w:rPr>
      </w:pPr>
    </w:p>
    <w:p w14:paraId="42C0AF33" w14:textId="77777777" w:rsidR="005E347E" w:rsidRPr="00AA22C4" w:rsidRDefault="005E347E" w:rsidP="005E347E">
      <w:pPr>
        <w:jc w:val="right"/>
        <w:rPr>
          <w:rFonts w:ascii="Lato" w:hAnsi="Lato"/>
          <w:color w:val="000000" w:themeColor="text1"/>
          <w:sz w:val="22"/>
          <w:szCs w:val="22"/>
          <w:lang w:eastAsia="zh-CN"/>
        </w:rPr>
      </w:pPr>
      <w:r w:rsidRPr="00AA22C4">
        <w:rPr>
          <w:rFonts w:ascii="Lato" w:hAnsi="Lato"/>
          <w:color w:val="000000" w:themeColor="text1"/>
          <w:sz w:val="22"/>
          <w:szCs w:val="22"/>
        </w:rPr>
        <w:lastRenderedPageBreak/>
        <w:t>Załącznik nr 9</w:t>
      </w:r>
    </w:p>
    <w:p w14:paraId="750E0740" w14:textId="77777777" w:rsidR="005E347E" w:rsidRPr="00AA22C4" w:rsidRDefault="005E347E" w:rsidP="005E347E">
      <w:pPr>
        <w:jc w:val="center"/>
        <w:rPr>
          <w:rFonts w:ascii="Lato" w:eastAsia="Calibri" w:hAnsi="Lato"/>
          <w:iCs/>
          <w:color w:val="000000" w:themeColor="text1"/>
          <w:sz w:val="22"/>
          <w:szCs w:val="22"/>
          <w:u w:val="single"/>
          <w:lang w:eastAsia="en-US"/>
        </w:rPr>
      </w:pPr>
      <w:r w:rsidRPr="00AA22C4">
        <w:rPr>
          <w:rFonts w:ascii="Lato" w:hAnsi="Lato"/>
          <w:color w:val="000000" w:themeColor="text1"/>
          <w:lang w:eastAsia="zh-CN"/>
        </w:rPr>
        <w:br/>
      </w:r>
      <w:r w:rsidRPr="00AA22C4">
        <w:rPr>
          <w:rFonts w:ascii="Lato" w:eastAsia="Calibri" w:hAnsi="Lato"/>
          <w:iCs/>
          <w:color w:val="000000" w:themeColor="text1"/>
          <w:sz w:val="22"/>
          <w:szCs w:val="22"/>
          <w:u w:val="single"/>
          <w:lang w:eastAsia="en-US"/>
        </w:rPr>
        <w:t>WZÓR</w:t>
      </w:r>
    </w:p>
    <w:p w14:paraId="36390648" w14:textId="77777777" w:rsidR="005E347E" w:rsidRPr="00AA22C4" w:rsidRDefault="005E347E" w:rsidP="005E347E">
      <w:pPr>
        <w:jc w:val="center"/>
        <w:rPr>
          <w:rFonts w:ascii="Lato" w:eastAsia="Calibri" w:hAnsi="Lato"/>
          <w:b/>
          <w:bCs/>
          <w:iCs/>
          <w:color w:val="000000" w:themeColor="text1"/>
          <w:sz w:val="22"/>
          <w:szCs w:val="22"/>
          <w:lang w:eastAsia="en-US"/>
        </w:rPr>
      </w:pPr>
      <w:r w:rsidRPr="00AA22C4">
        <w:rPr>
          <w:rFonts w:ascii="Lato" w:eastAsia="Calibri" w:hAnsi="Lato"/>
          <w:b/>
          <w:bCs/>
          <w:iCs/>
          <w:color w:val="000000" w:themeColor="text1"/>
          <w:sz w:val="22"/>
          <w:szCs w:val="22"/>
          <w:lang w:eastAsia="en-US"/>
        </w:rPr>
        <w:t xml:space="preserve">   Pismo do rodziców w przypadku konieczności powtórzenia badania z powodu niejednoznacznych wyników – „druga bibuła”</w:t>
      </w:r>
    </w:p>
    <w:p w14:paraId="44B2BE84" w14:textId="77777777" w:rsidR="005E347E" w:rsidRPr="00AA22C4" w:rsidRDefault="005E347E" w:rsidP="005E347E">
      <w:pPr>
        <w:widowControl/>
        <w:spacing w:after="160" w:line="259" w:lineRule="auto"/>
        <w:jc w:val="right"/>
        <w:rPr>
          <w:rFonts w:ascii="Lato" w:eastAsia="Calibri" w:hAnsi="Lato"/>
          <w:i/>
          <w:iCs/>
          <w:color w:val="000000" w:themeColor="text1"/>
          <w:sz w:val="22"/>
          <w:szCs w:val="22"/>
          <w:lang w:eastAsia="en-US"/>
        </w:rPr>
      </w:pPr>
      <w:r w:rsidRPr="00AA22C4">
        <w:rPr>
          <w:rFonts w:ascii="Lato" w:eastAsia="Calibri" w:hAnsi="Lato"/>
          <w:i/>
          <w:iCs/>
          <w:color w:val="000000" w:themeColor="text1"/>
          <w:sz w:val="22"/>
          <w:szCs w:val="22"/>
          <w:lang w:eastAsia="en-US"/>
        </w:rPr>
        <w:t>miejsce, data</w:t>
      </w:r>
    </w:p>
    <w:p w14:paraId="184396F0" w14:textId="77777777" w:rsidR="005E347E" w:rsidRPr="00AA22C4" w:rsidRDefault="005E347E" w:rsidP="005E347E">
      <w:pPr>
        <w:widowControl/>
        <w:spacing w:after="160" w:line="259" w:lineRule="auto"/>
        <w:ind w:left="4536"/>
        <w:rPr>
          <w:rFonts w:ascii="Lato" w:eastAsia="Calibri" w:hAnsi="Lato"/>
          <w:bCs/>
          <w:i/>
          <w:iCs/>
          <w:color w:val="000000" w:themeColor="text1"/>
          <w:sz w:val="22"/>
          <w:szCs w:val="22"/>
          <w:lang w:eastAsia="en-US"/>
        </w:rPr>
      </w:pPr>
      <w:r w:rsidRPr="00AA22C4">
        <w:rPr>
          <w:rFonts w:ascii="Lato" w:eastAsia="Calibri" w:hAnsi="Lato"/>
          <w:bCs/>
          <w:i/>
          <w:iCs/>
          <w:color w:val="000000" w:themeColor="text1"/>
          <w:sz w:val="22"/>
          <w:szCs w:val="22"/>
          <w:lang w:eastAsia="en-US"/>
        </w:rPr>
        <w:t>Imię i nazwisko oraz adres rodzica albo opiekuna prawnego dziecka</w:t>
      </w:r>
    </w:p>
    <w:p w14:paraId="74022583" w14:textId="77777777" w:rsidR="005E347E" w:rsidRPr="00AA22C4" w:rsidRDefault="005E347E" w:rsidP="005E347E">
      <w:pPr>
        <w:widowControl/>
        <w:rPr>
          <w:rFonts w:ascii="Lato" w:eastAsia="Calibri" w:hAnsi="Lato"/>
          <w:color w:val="000000" w:themeColor="text1"/>
          <w:sz w:val="22"/>
          <w:szCs w:val="22"/>
          <w:lang w:eastAsia="en-US"/>
        </w:rPr>
      </w:pPr>
      <w:r w:rsidRPr="00AA22C4">
        <w:rPr>
          <w:rFonts w:ascii="Lato" w:eastAsia="Calibri" w:hAnsi="Lato"/>
          <w:color w:val="000000" w:themeColor="text1"/>
          <w:sz w:val="22"/>
          <w:szCs w:val="22"/>
          <w:lang w:eastAsia="en-US"/>
        </w:rPr>
        <w:t>Szanowny(a) Pan(i),</w:t>
      </w:r>
    </w:p>
    <w:p w14:paraId="116618DD" w14:textId="77777777" w:rsidR="005E347E" w:rsidRPr="00AA22C4" w:rsidRDefault="005E347E" w:rsidP="005E347E">
      <w:pPr>
        <w:widowControl/>
        <w:rPr>
          <w:rFonts w:ascii="Lato" w:eastAsia="Calibri" w:hAnsi="Lato"/>
          <w:color w:val="000000" w:themeColor="text1"/>
          <w:sz w:val="22"/>
          <w:szCs w:val="22"/>
          <w:lang w:eastAsia="en-US"/>
        </w:rPr>
      </w:pPr>
    </w:p>
    <w:p w14:paraId="14D49CF2" w14:textId="73D05371" w:rsidR="005E347E" w:rsidRPr="00AA22C4" w:rsidRDefault="005E347E" w:rsidP="005E347E">
      <w:pPr>
        <w:widowControl/>
        <w:jc w:val="both"/>
        <w:rPr>
          <w:rFonts w:ascii="Lato" w:eastAsia="Calibri" w:hAnsi="Lato"/>
          <w:color w:val="000000" w:themeColor="text1"/>
          <w:sz w:val="22"/>
          <w:szCs w:val="22"/>
          <w:lang w:eastAsia="en-US"/>
        </w:rPr>
      </w:pPr>
      <w:r w:rsidRPr="00AA22C4">
        <w:rPr>
          <w:rFonts w:ascii="Lato" w:eastAsia="Calibri" w:hAnsi="Lato"/>
          <w:color w:val="000000" w:themeColor="text1"/>
          <w:sz w:val="22"/>
          <w:szCs w:val="22"/>
          <w:lang w:eastAsia="en-US"/>
        </w:rPr>
        <w:t>W ramach realizacji Programu badań przesiewowych noworodków, zwracamy się z prośbą o powtórne pobranie krwi od Pana(i) dziecka na załączoną bibułę:</w:t>
      </w:r>
    </w:p>
    <w:p w14:paraId="3B95AE68" w14:textId="77777777" w:rsidR="005E347E" w:rsidRPr="00AA22C4" w:rsidRDefault="005E347E" w:rsidP="005E347E">
      <w:pPr>
        <w:widowControl/>
        <w:jc w:val="both"/>
        <w:rPr>
          <w:rFonts w:ascii="Lato" w:eastAsia="Calibri" w:hAnsi="Lato"/>
          <w:color w:val="000000" w:themeColor="text1"/>
          <w:sz w:val="22"/>
          <w:szCs w:val="22"/>
          <w:lang w:eastAsia="en-US"/>
        </w:rPr>
      </w:pPr>
    </w:p>
    <w:p w14:paraId="785091FC" w14:textId="77777777" w:rsidR="005E347E" w:rsidRPr="00AA22C4" w:rsidRDefault="005E347E" w:rsidP="005E347E">
      <w:pPr>
        <w:widowControl/>
        <w:jc w:val="both"/>
        <w:rPr>
          <w:rFonts w:ascii="Lato" w:eastAsia="Calibri" w:hAnsi="Lato"/>
          <w:color w:val="000000" w:themeColor="text1"/>
          <w:sz w:val="22"/>
          <w:szCs w:val="22"/>
          <w:lang w:eastAsia="en-US"/>
        </w:rPr>
      </w:pPr>
      <w:r w:rsidRPr="00AA22C4">
        <w:rPr>
          <w:rFonts w:ascii="Lato" w:eastAsia="Calibri" w:hAnsi="Lato"/>
          <w:color w:val="000000" w:themeColor="text1"/>
          <w:sz w:val="22"/>
          <w:szCs w:val="22"/>
          <w:lang w:eastAsia="en-US"/>
        </w:rPr>
        <w:t xml:space="preserve">Płeć dziecka: </w:t>
      </w:r>
    </w:p>
    <w:p w14:paraId="45FD7851" w14:textId="77777777" w:rsidR="005E347E" w:rsidRPr="00AA22C4" w:rsidRDefault="005E347E" w:rsidP="005E347E">
      <w:pPr>
        <w:widowControl/>
        <w:jc w:val="both"/>
        <w:rPr>
          <w:rFonts w:ascii="Lato" w:eastAsia="Calibri" w:hAnsi="Lato"/>
          <w:color w:val="000000" w:themeColor="text1"/>
          <w:sz w:val="22"/>
          <w:szCs w:val="22"/>
          <w:lang w:eastAsia="en-US"/>
        </w:rPr>
      </w:pPr>
      <w:r w:rsidRPr="00AA22C4">
        <w:rPr>
          <w:rFonts w:ascii="Lato" w:eastAsia="Calibri" w:hAnsi="Lato"/>
          <w:color w:val="000000" w:themeColor="text1"/>
          <w:sz w:val="22"/>
          <w:szCs w:val="22"/>
          <w:lang w:eastAsia="en-US"/>
        </w:rPr>
        <w:t xml:space="preserve">Data urodzenia dziecka: </w:t>
      </w:r>
    </w:p>
    <w:p w14:paraId="27FD9A5D" w14:textId="77777777" w:rsidR="005E347E" w:rsidRPr="00AA22C4" w:rsidRDefault="005E347E" w:rsidP="005E347E">
      <w:pPr>
        <w:widowControl/>
        <w:jc w:val="both"/>
        <w:rPr>
          <w:rFonts w:ascii="Lato" w:eastAsia="Calibri" w:hAnsi="Lato"/>
          <w:color w:val="000000" w:themeColor="text1"/>
          <w:sz w:val="22"/>
          <w:szCs w:val="22"/>
          <w:lang w:eastAsia="en-US"/>
        </w:rPr>
      </w:pPr>
      <w:r w:rsidRPr="00AA22C4">
        <w:rPr>
          <w:rFonts w:ascii="Lato" w:eastAsia="Calibri" w:hAnsi="Lato"/>
          <w:color w:val="000000" w:themeColor="text1"/>
          <w:sz w:val="22"/>
          <w:szCs w:val="22"/>
          <w:lang w:eastAsia="en-US"/>
        </w:rPr>
        <w:t xml:space="preserve">Urodzone w szpitalu: </w:t>
      </w:r>
    </w:p>
    <w:p w14:paraId="47179A95" w14:textId="77777777" w:rsidR="005E347E" w:rsidRPr="00AA22C4" w:rsidRDefault="005E347E" w:rsidP="005E347E">
      <w:pPr>
        <w:widowControl/>
        <w:jc w:val="both"/>
        <w:rPr>
          <w:rFonts w:ascii="Lato" w:eastAsia="Calibri" w:hAnsi="Lato"/>
          <w:color w:val="000000" w:themeColor="text1"/>
          <w:sz w:val="22"/>
          <w:szCs w:val="22"/>
          <w:lang w:eastAsia="en-US"/>
        </w:rPr>
      </w:pPr>
      <w:r w:rsidRPr="00AA22C4">
        <w:rPr>
          <w:rFonts w:ascii="Lato" w:eastAsia="Calibri" w:hAnsi="Lato"/>
          <w:color w:val="000000" w:themeColor="text1"/>
          <w:sz w:val="22"/>
          <w:szCs w:val="22"/>
          <w:lang w:eastAsia="en-US"/>
        </w:rPr>
        <w:t>Kod pierwszej bibuły nadanej w szpitalu:</w:t>
      </w:r>
    </w:p>
    <w:p w14:paraId="6F9213D4" w14:textId="77777777" w:rsidR="005E347E" w:rsidRPr="00AA22C4" w:rsidRDefault="005E347E" w:rsidP="005E347E">
      <w:pPr>
        <w:widowControl/>
        <w:jc w:val="both"/>
        <w:rPr>
          <w:rFonts w:ascii="Lato" w:eastAsia="Calibri" w:hAnsi="Lato"/>
          <w:color w:val="000000" w:themeColor="text1"/>
          <w:sz w:val="22"/>
          <w:szCs w:val="22"/>
          <w:lang w:eastAsia="en-US"/>
        </w:rPr>
      </w:pPr>
    </w:p>
    <w:p w14:paraId="520F93B7" w14:textId="77777777" w:rsidR="005E347E" w:rsidRPr="00AA22C4" w:rsidRDefault="005E347E" w:rsidP="005E347E">
      <w:pPr>
        <w:widowControl/>
        <w:jc w:val="both"/>
        <w:rPr>
          <w:rFonts w:ascii="Lato" w:eastAsia="Calibri" w:hAnsi="Lato"/>
          <w:color w:val="000000" w:themeColor="text1"/>
          <w:sz w:val="22"/>
          <w:szCs w:val="22"/>
          <w:lang w:eastAsia="en-US"/>
        </w:rPr>
      </w:pPr>
      <w:r w:rsidRPr="00AA22C4">
        <w:rPr>
          <w:rFonts w:ascii="Lato" w:eastAsia="Calibri" w:hAnsi="Lato"/>
          <w:color w:val="000000" w:themeColor="text1"/>
          <w:sz w:val="22"/>
          <w:szCs w:val="22"/>
          <w:lang w:eastAsia="en-US"/>
        </w:rPr>
        <w:t xml:space="preserve">Ze względu na niejednoznaczny wynik badania przesiewowego, otrzymany we wstępnej analizie krwi Pana(i) dziecka w naszym laboratorium, konieczne jest powtórzenia badania z nowej próbki krwi. Badania przesiewowe noworodków mają na celu wczesne wykrywanie chorób wrodzonych i są wykonywane dla wszystkich noworodków urodzonych w Polsce. Choroby objęte badaniami przesiewowymi charakteryzują się brakiem objawów klinicznych w pierwszych tygodniach, a nawet miesiącach życia. Przedobjawowe wykrycie tych chorób umożliwia szybsze rozpoczęcie specjalistycznego leczenia, które zapobiega rozwojowi choroby lub istotnie łagodzi jej przebieg.  W grupie chorób badanych są choroby zarówno o początkowo łagodnym przebiegu, jak i o poważnym zagrożeniu prawidłowego rozwoju. Lista chorób objętych badaniami jest podana na stronie: </w:t>
      </w:r>
      <w:hyperlink r:id="rId95" w:history="1">
        <w:r w:rsidRPr="00AA22C4">
          <w:rPr>
            <w:rFonts w:ascii="Lato" w:eastAsia="Calibri" w:hAnsi="Lato"/>
            <w:color w:val="000000" w:themeColor="text1"/>
            <w:sz w:val="22"/>
            <w:szCs w:val="22"/>
            <w:u w:val="single"/>
            <w:lang w:eastAsia="en-US"/>
          </w:rPr>
          <w:t>http://przesiew.imid.med.pl</w:t>
        </w:r>
      </w:hyperlink>
    </w:p>
    <w:p w14:paraId="3AA2BC4E" w14:textId="77777777" w:rsidR="005E347E" w:rsidRPr="00AA22C4" w:rsidRDefault="005E347E" w:rsidP="005E347E">
      <w:pPr>
        <w:widowControl/>
        <w:jc w:val="both"/>
        <w:rPr>
          <w:rFonts w:ascii="Lato" w:eastAsia="Calibri" w:hAnsi="Lato"/>
          <w:color w:val="000000" w:themeColor="text1"/>
          <w:sz w:val="22"/>
          <w:szCs w:val="22"/>
          <w:lang w:eastAsia="en-US"/>
        </w:rPr>
      </w:pPr>
      <w:r w:rsidRPr="00AA22C4">
        <w:rPr>
          <w:rFonts w:ascii="Lato" w:eastAsia="Calibri" w:hAnsi="Lato"/>
          <w:color w:val="000000" w:themeColor="text1"/>
          <w:sz w:val="22"/>
          <w:szCs w:val="22"/>
          <w:lang w:eastAsia="en-US"/>
        </w:rPr>
        <w:t xml:space="preserve">Dlatego prosimy o zgłoszenie się do Pielęgniarki środowiskowej/Pielęgniarki przychodni POZ aby pobrała krew od dziecka na załączoną bibułę nr </w:t>
      </w:r>
      <w:r w:rsidRPr="00AA22C4">
        <w:rPr>
          <w:rFonts w:ascii="Lato" w:eastAsia="Calibri" w:hAnsi="Lato"/>
          <w:i/>
          <w:color w:val="000000" w:themeColor="text1"/>
          <w:sz w:val="22"/>
          <w:szCs w:val="22"/>
          <w:lang w:eastAsia="en-US"/>
        </w:rPr>
        <w:t>(nr kodu bibuły).</w:t>
      </w:r>
      <w:r w:rsidRPr="00AA22C4">
        <w:rPr>
          <w:rFonts w:ascii="Lato" w:eastAsia="Calibri" w:hAnsi="Lato"/>
          <w:color w:val="000000" w:themeColor="text1"/>
          <w:sz w:val="22"/>
          <w:szCs w:val="22"/>
          <w:lang w:eastAsia="en-US"/>
        </w:rPr>
        <w:t xml:space="preserve"> Po pobraniu krew należy wysuszyć w temperaturze pokojowej przez 2-3 godziny, a następnie umieścić w papierowej kopercie (bez folii) i odesłać na adres:</w:t>
      </w:r>
    </w:p>
    <w:p w14:paraId="101EDA99" w14:textId="77777777" w:rsidR="005E347E" w:rsidRPr="00AA22C4" w:rsidRDefault="005E347E" w:rsidP="005E347E">
      <w:pPr>
        <w:widowControl/>
        <w:rPr>
          <w:rFonts w:ascii="Lato" w:eastAsia="Calibri" w:hAnsi="Lato"/>
          <w:color w:val="000000" w:themeColor="text1"/>
          <w:sz w:val="22"/>
          <w:szCs w:val="22"/>
          <w:lang w:eastAsia="en-US"/>
        </w:rPr>
      </w:pPr>
    </w:p>
    <w:p w14:paraId="0AB4E665" w14:textId="77777777" w:rsidR="005E347E" w:rsidRPr="00AA22C4" w:rsidRDefault="005E347E" w:rsidP="005E347E">
      <w:pPr>
        <w:widowControl/>
        <w:rPr>
          <w:rFonts w:ascii="Lato" w:eastAsia="Calibri" w:hAnsi="Lato"/>
          <w:bCs/>
          <w:i/>
          <w:iCs/>
          <w:color w:val="000000" w:themeColor="text1"/>
          <w:sz w:val="22"/>
          <w:szCs w:val="22"/>
          <w:lang w:eastAsia="en-US"/>
        </w:rPr>
      </w:pPr>
      <w:r w:rsidRPr="00AA22C4">
        <w:rPr>
          <w:rFonts w:ascii="Lato" w:eastAsia="Calibri" w:hAnsi="Lato"/>
          <w:bCs/>
          <w:i/>
          <w:iCs/>
          <w:color w:val="000000" w:themeColor="text1"/>
          <w:sz w:val="22"/>
          <w:szCs w:val="22"/>
          <w:lang w:eastAsia="en-US"/>
        </w:rPr>
        <w:t>Adres właściwego laboratorium przesiewowego</w:t>
      </w:r>
    </w:p>
    <w:p w14:paraId="58F756C1" w14:textId="77777777" w:rsidR="005E347E" w:rsidRPr="00AA22C4" w:rsidRDefault="005E347E" w:rsidP="005E347E">
      <w:pPr>
        <w:widowControl/>
        <w:rPr>
          <w:rFonts w:ascii="Lato" w:eastAsia="Calibri" w:hAnsi="Lato"/>
          <w:color w:val="000000" w:themeColor="text1"/>
          <w:sz w:val="22"/>
          <w:szCs w:val="22"/>
          <w:lang w:eastAsia="en-US"/>
        </w:rPr>
      </w:pPr>
    </w:p>
    <w:p w14:paraId="23C80E72" w14:textId="77777777" w:rsidR="005E347E" w:rsidRPr="00AA22C4" w:rsidRDefault="005E347E" w:rsidP="005E347E">
      <w:pPr>
        <w:widowControl/>
        <w:rPr>
          <w:rFonts w:ascii="Lato" w:eastAsia="Calibri" w:hAnsi="Lato"/>
          <w:color w:val="000000" w:themeColor="text1"/>
          <w:sz w:val="22"/>
          <w:szCs w:val="22"/>
          <w:lang w:eastAsia="en-US"/>
        </w:rPr>
      </w:pPr>
      <w:r w:rsidRPr="00AA22C4">
        <w:rPr>
          <w:rFonts w:ascii="Lato" w:eastAsia="Calibri" w:hAnsi="Lato"/>
          <w:color w:val="000000" w:themeColor="text1"/>
          <w:sz w:val="22"/>
          <w:szCs w:val="22"/>
          <w:lang w:eastAsia="en-US"/>
        </w:rPr>
        <w:lastRenderedPageBreak/>
        <w:t>W przypadku jakichkolwiek wątpliwości, prosimy o kontakt z laboratorium pod numerem telefonu:</w:t>
      </w:r>
      <w:r w:rsidRPr="00AA22C4">
        <w:rPr>
          <w:rFonts w:ascii="Lato" w:eastAsia="Calibri" w:hAnsi="Lato"/>
          <w:i/>
          <w:iCs/>
          <w:color w:val="000000" w:themeColor="text1"/>
          <w:sz w:val="22"/>
          <w:szCs w:val="22"/>
          <w:lang w:eastAsia="en-US"/>
        </w:rPr>
        <w:t xml:space="preserve"> numery</w:t>
      </w:r>
      <w:r w:rsidRPr="00AA22C4">
        <w:rPr>
          <w:rFonts w:ascii="Lato" w:eastAsia="Calibri" w:hAnsi="Lato"/>
          <w:bCs/>
          <w:i/>
          <w:iCs/>
          <w:color w:val="000000" w:themeColor="text1"/>
          <w:sz w:val="22"/>
          <w:szCs w:val="22"/>
          <w:lang w:eastAsia="en-US"/>
        </w:rPr>
        <w:t xml:space="preserve"> telefonów kontaktowych</w:t>
      </w:r>
      <w:r w:rsidRPr="00AA22C4">
        <w:rPr>
          <w:rFonts w:ascii="Lato" w:eastAsia="Calibri" w:hAnsi="Lato"/>
          <w:b/>
          <w:color w:val="000000" w:themeColor="text1"/>
          <w:sz w:val="22"/>
          <w:szCs w:val="22"/>
          <w:lang w:eastAsia="en-US"/>
        </w:rPr>
        <w:t>.</w:t>
      </w:r>
    </w:p>
    <w:p w14:paraId="4CDEE735" w14:textId="77777777" w:rsidR="005E347E" w:rsidRPr="00AA22C4" w:rsidRDefault="005E347E" w:rsidP="005E347E">
      <w:pPr>
        <w:widowControl/>
        <w:rPr>
          <w:rFonts w:ascii="Lato" w:eastAsia="Calibri" w:hAnsi="Lato"/>
          <w:color w:val="000000" w:themeColor="text1"/>
          <w:sz w:val="22"/>
          <w:szCs w:val="22"/>
          <w:lang w:eastAsia="en-US"/>
        </w:rPr>
      </w:pPr>
    </w:p>
    <w:p w14:paraId="1E58B426" w14:textId="77777777" w:rsidR="005E347E" w:rsidRPr="00AA22C4" w:rsidRDefault="005E347E" w:rsidP="005E347E">
      <w:pPr>
        <w:widowControl/>
        <w:rPr>
          <w:rFonts w:ascii="Lato" w:eastAsia="Calibri" w:hAnsi="Lato"/>
          <w:color w:val="000000" w:themeColor="text1"/>
          <w:sz w:val="22"/>
          <w:szCs w:val="22"/>
          <w:lang w:eastAsia="en-US"/>
        </w:rPr>
      </w:pPr>
      <w:r w:rsidRPr="00AA22C4">
        <w:rPr>
          <w:rFonts w:ascii="Lato" w:eastAsia="Calibri" w:hAnsi="Lato"/>
          <w:color w:val="000000" w:themeColor="text1"/>
          <w:sz w:val="22"/>
          <w:szCs w:val="22"/>
          <w:lang w:eastAsia="en-US"/>
        </w:rPr>
        <w:t>O wyniku badania zostanie Pani poinformowana listownie, najdalej w ciągu 21 dni.</w:t>
      </w:r>
    </w:p>
    <w:p w14:paraId="4C03CBC1" w14:textId="77777777" w:rsidR="005E347E" w:rsidRPr="00AA22C4" w:rsidRDefault="005E347E" w:rsidP="005E347E">
      <w:pPr>
        <w:widowControl/>
        <w:rPr>
          <w:rFonts w:ascii="Lato" w:eastAsia="Calibri" w:hAnsi="Lato"/>
          <w:color w:val="000000" w:themeColor="text1"/>
          <w:sz w:val="22"/>
          <w:szCs w:val="22"/>
          <w:lang w:eastAsia="en-US"/>
        </w:rPr>
      </w:pPr>
      <w:r w:rsidRPr="00AA22C4">
        <w:rPr>
          <w:rFonts w:ascii="Lato" w:eastAsia="Calibri" w:hAnsi="Lato"/>
          <w:color w:val="000000" w:themeColor="text1"/>
          <w:sz w:val="22"/>
          <w:szCs w:val="22"/>
          <w:lang w:eastAsia="en-US"/>
        </w:rPr>
        <w:t>------------------------------------------------------------------------------------------------------------------------</w:t>
      </w:r>
    </w:p>
    <w:p w14:paraId="48AC7C8F" w14:textId="77777777" w:rsidR="005E347E" w:rsidRPr="00AA22C4" w:rsidRDefault="005E347E" w:rsidP="005E347E">
      <w:pPr>
        <w:widowControl/>
        <w:rPr>
          <w:rFonts w:ascii="Lato" w:eastAsia="Calibri" w:hAnsi="Lato"/>
          <w:i/>
          <w:iCs/>
          <w:color w:val="000000" w:themeColor="text1"/>
          <w:sz w:val="22"/>
          <w:szCs w:val="22"/>
          <w:lang w:eastAsia="en-US"/>
        </w:rPr>
      </w:pPr>
      <w:r w:rsidRPr="00AA22C4">
        <w:rPr>
          <w:rFonts w:ascii="Lato" w:eastAsia="Calibri" w:hAnsi="Lato"/>
          <w:i/>
          <w:iCs/>
          <w:color w:val="000000" w:themeColor="text1"/>
          <w:sz w:val="22"/>
          <w:szCs w:val="22"/>
          <w:lang w:eastAsia="en-US"/>
        </w:rPr>
        <w:t xml:space="preserve"> Bibuła nr:</w:t>
      </w:r>
      <w:r w:rsidRPr="00AA22C4">
        <w:rPr>
          <w:rFonts w:ascii="Lato" w:eastAsia="Calibri" w:hAnsi="Lato"/>
          <w:i/>
          <w:iCs/>
          <w:color w:val="000000" w:themeColor="text1"/>
          <w:sz w:val="22"/>
          <w:szCs w:val="22"/>
          <w:lang w:eastAsia="en-US"/>
        </w:rPr>
        <w:tab/>
      </w:r>
      <w:r w:rsidRPr="00AA22C4">
        <w:rPr>
          <w:rFonts w:ascii="Lato" w:eastAsia="Calibri" w:hAnsi="Lato"/>
          <w:i/>
          <w:iCs/>
          <w:color w:val="000000" w:themeColor="text1"/>
          <w:sz w:val="22"/>
          <w:szCs w:val="22"/>
          <w:lang w:eastAsia="en-US"/>
        </w:rPr>
        <w:tab/>
      </w:r>
      <w:r w:rsidRPr="00AA22C4">
        <w:rPr>
          <w:rFonts w:ascii="Lato" w:eastAsia="Calibri" w:hAnsi="Lato"/>
          <w:i/>
          <w:iCs/>
          <w:color w:val="000000" w:themeColor="text1"/>
          <w:sz w:val="22"/>
          <w:szCs w:val="22"/>
          <w:lang w:eastAsia="en-US"/>
        </w:rPr>
        <w:tab/>
      </w:r>
      <w:r w:rsidRPr="00AA22C4">
        <w:rPr>
          <w:rFonts w:ascii="Lato" w:eastAsia="Calibri" w:hAnsi="Lato"/>
          <w:i/>
          <w:iCs/>
          <w:color w:val="000000" w:themeColor="text1"/>
          <w:sz w:val="22"/>
          <w:szCs w:val="22"/>
          <w:lang w:eastAsia="en-US"/>
        </w:rPr>
        <w:tab/>
      </w:r>
      <w:r w:rsidRPr="00AA22C4">
        <w:rPr>
          <w:rFonts w:ascii="Lato" w:eastAsia="Calibri" w:hAnsi="Lato"/>
          <w:i/>
          <w:iCs/>
          <w:color w:val="000000" w:themeColor="text1"/>
          <w:sz w:val="22"/>
          <w:szCs w:val="22"/>
          <w:lang w:eastAsia="en-US"/>
        </w:rPr>
        <w:tab/>
      </w:r>
      <w:r w:rsidRPr="00AA22C4">
        <w:rPr>
          <w:rFonts w:ascii="Lato" w:eastAsia="Calibri" w:hAnsi="Lato"/>
          <w:i/>
          <w:iCs/>
          <w:color w:val="000000" w:themeColor="text1"/>
          <w:sz w:val="22"/>
          <w:szCs w:val="22"/>
          <w:lang w:eastAsia="en-US"/>
        </w:rPr>
        <w:tab/>
      </w:r>
      <w:r w:rsidRPr="00AA22C4">
        <w:rPr>
          <w:rFonts w:ascii="Lato" w:eastAsia="Calibri" w:hAnsi="Lato"/>
          <w:i/>
          <w:iCs/>
          <w:color w:val="000000" w:themeColor="text1"/>
          <w:sz w:val="22"/>
          <w:szCs w:val="22"/>
          <w:lang w:eastAsia="en-US"/>
        </w:rPr>
        <w:tab/>
      </w:r>
      <w:r w:rsidRPr="00AA22C4">
        <w:rPr>
          <w:rFonts w:ascii="Lato" w:eastAsia="Calibri" w:hAnsi="Lato"/>
          <w:i/>
          <w:iCs/>
          <w:color w:val="000000" w:themeColor="text1"/>
          <w:sz w:val="22"/>
          <w:szCs w:val="22"/>
          <w:lang w:eastAsia="en-US"/>
        </w:rPr>
        <w:tab/>
      </w:r>
      <w:r w:rsidRPr="00AA22C4">
        <w:rPr>
          <w:rFonts w:ascii="Lato" w:eastAsia="Calibri" w:hAnsi="Lato"/>
          <w:i/>
          <w:iCs/>
          <w:color w:val="000000" w:themeColor="text1"/>
          <w:sz w:val="22"/>
          <w:szCs w:val="22"/>
          <w:lang w:eastAsia="en-US"/>
        </w:rPr>
        <w:tab/>
        <w:t>Miejsce, data</w:t>
      </w:r>
    </w:p>
    <w:p w14:paraId="1C3364CD" w14:textId="77777777" w:rsidR="005E347E" w:rsidRPr="00AA22C4" w:rsidRDefault="005E347E" w:rsidP="005E347E">
      <w:pPr>
        <w:widowControl/>
        <w:ind w:left="7080" w:firstLine="708"/>
        <w:jc w:val="center"/>
        <w:rPr>
          <w:rFonts w:ascii="Lato" w:eastAsia="Calibri" w:hAnsi="Lato"/>
          <w:i/>
          <w:iCs/>
          <w:color w:val="000000" w:themeColor="text1"/>
          <w:sz w:val="22"/>
          <w:szCs w:val="22"/>
          <w:lang w:eastAsia="en-US"/>
        </w:rPr>
      </w:pPr>
      <w:r w:rsidRPr="00AA22C4">
        <w:rPr>
          <w:rFonts w:ascii="Lato" w:eastAsia="Calibri" w:hAnsi="Lato"/>
          <w:i/>
          <w:iCs/>
          <w:color w:val="000000" w:themeColor="text1"/>
          <w:sz w:val="22"/>
          <w:szCs w:val="22"/>
          <w:lang w:eastAsia="en-US"/>
        </w:rPr>
        <w:t xml:space="preserve">       </w:t>
      </w:r>
    </w:p>
    <w:p w14:paraId="7AAEC0B2" w14:textId="77777777" w:rsidR="005E347E" w:rsidRPr="00AA22C4" w:rsidRDefault="005E347E" w:rsidP="005E347E">
      <w:pPr>
        <w:widowControl/>
        <w:ind w:left="851"/>
        <w:rPr>
          <w:rFonts w:ascii="Lato" w:eastAsia="Calibri" w:hAnsi="Lato"/>
          <w:color w:val="000000" w:themeColor="text1"/>
          <w:sz w:val="22"/>
          <w:szCs w:val="22"/>
          <w:lang w:eastAsia="en-US"/>
        </w:rPr>
      </w:pPr>
      <w:r w:rsidRPr="00AA22C4">
        <w:rPr>
          <w:rFonts w:ascii="Lato" w:eastAsia="Calibri" w:hAnsi="Lato"/>
          <w:color w:val="000000" w:themeColor="text1"/>
          <w:sz w:val="22"/>
          <w:szCs w:val="22"/>
          <w:lang w:eastAsia="en-US"/>
        </w:rPr>
        <w:t>Do:</w:t>
      </w:r>
    </w:p>
    <w:p w14:paraId="1D235DA9" w14:textId="77777777" w:rsidR="005E347E" w:rsidRPr="00AA22C4" w:rsidRDefault="005E347E" w:rsidP="005E347E">
      <w:pPr>
        <w:widowControl/>
        <w:ind w:left="851"/>
        <w:rPr>
          <w:rFonts w:ascii="Lato" w:eastAsia="Calibri" w:hAnsi="Lato"/>
          <w:color w:val="000000" w:themeColor="text1"/>
          <w:sz w:val="22"/>
          <w:szCs w:val="22"/>
          <w:lang w:eastAsia="en-US"/>
        </w:rPr>
      </w:pPr>
      <w:r w:rsidRPr="00AA22C4">
        <w:rPr>
          <w:rFonts w:ascii="Lato" w:eastAsia="Calibri" w:hAnsi="Lato"/>
          <w:color w:val="000000" w:themeColor="text1"/>
          <w:sz w:val="22"/>
          <w:szCs w:val="22"/>
          <w:lang w:eastAsia="en-US"/>
        </w:rPr>
        <w:t>Pielęgniarki środowiskowej/Pielęgniarki przychodni POZ</w:t>
      </w:r>
    </w:p>
    <w:p w14:paraId="70CCCC92" w14:textId="77777777" w:rsidR="005E347E" w:rsidRPr="00AA22C4" w:rsidRDefault="005E347E" w:rsidP="005E347E">
      <w:pPr>
        <w:widowControl/>
        <w:ind w:left="2268"/>
        <w:rPr>
          <w:rFonts w:ascii="Lato" w:eastAsia="Calibri" w:hAnsi="Lato"/>
          <w:color w:val="000000" w:themeColor="text1"/>
          <w:sz w:val="22"/>
          <w:szCs w:val="22"/>
          <w:lang w:eastAsia="en-US"/>
        </w:rPr>
      </w:pPr>
    </w:p>
    <w:p w14:paraId="7BD0F55F" w14:textId="77777777" w:rsidR="005E347E" w:rsidRPr="00AA22C4" w:rsidRDefault="005E347E" w:rsidP="005E347E">
      <w:pPr>
        <w:widowControl/>
        <w:ind w:left="2268"/>
        <w:rPr>
          <w:rFonts w:ascii="Lato" w:eastAsia="Calibri" w:hAnsi="Lato"/>
          <w:color w:val="000000" w:themeColor="text1"/>
          <w:sz w:val="22"/>
          <w:szCs w:val="22"/>
          <w:lang w:eastAsia="en-US"/>
        </w:rPr>
      </w:pPr>
    </w:p>
    <w:p w14:paraId="1A6232ED" w14:textId="77777777" w:rsidR="005E347E" w:rsidRPr="00AA22C4" w:rsidRDefault="005E347E" w:rsidP="005E347E">
      <w:pPr>
        <w:widowControl/>
        <w:rPr>
          <w:rFonts w:ascii="Lato" w:eastAsia="Calibri" w:hAnsi="Lato"/>
          <w:color w:val="000000" w:themeColor="text1"/>
          <w:sz w:val="22"/>
          <w:szCs w:val="22"/>
          <w:lang w:eastAsia="en-US"/>
        </w:rPr>
      </w:pPr>
      <w:r w:rsidRPr="00AA22C4">
        <w:rPr>
          <w:rFonts w:ascii="Lato" w:eastAsia="Calibri" w:hAnsi="Lato"/>
          <w:color w:val="000000" w:themeColor="text1"/>
          <w:sz w:val="22"/>
          <w:szCs w:val="22"/>
          <w:lang w:eastAsia="en-US"/>
        </w:rPr>
        <w:t>Prosimy o pobranie na załączoną bibułę krwi włośniczkowej z palca lub pięty od dziecka:</w:t>
      </w:r>
    </w:p>
    <w:p w14:paraId="444879DA" w14:textId="77777777" w:rsidR="005E347E" w:rsidRPr="00AA22C4" w:rsidRDefault="005E347E" w:rsidP="005E347E">
      <w:pPr>
        <w:widowControl/>
        <w:rPr>
          <w:rFonts w:ascii="Lato" w:eastAsia="Calibri" w:hAnsi="Lato"/>
          <w:color w:val="000000" w:themeColor="text1"/>
          <w:sz w:val="22"/>
          <w:szCs w:val="22"/>
          <w:lang w:eastAsia="en-US"/>
        </w:rPr>
      </w:pPr>
      <w:r w:rsidRPr="00AA22C4">
        <w:rPr>
          <w:rFonts w:ascii="Lato" w:eastAsia="Calibri" w:hAnsi="Lato"/>
          <w:color w:val="000000" w:themeColor="text1"/>
          <w:sz w:val="22"/>
          <w:szCs w:val="22"/>
          <w:lang w:eastAsia="en-US"/>
        </w:rPr>
        <w:t xml:space="preserve">Dane rodzica: </w:t>
      </w:r>
    </w:p>
    <w:p w14:paraId="2B776C2D" w14:textId="77777777" w:rsidR="005E347E" w:rsidRPr="00AA22C4" w:rsidRDefault="005E347E" w:rsidP="005E347E">
      <w:pPr>
        <w:widowControl/>
        <w:rPr>
          <w:rFonts w:ascii="Lato" w:eastAsia="Calibri" w:hAnsi="Lato"/>
          <w:color w:val="000000" w:themeColor="text1"/>
          <w:sz w:val="22"/>
          <w:szCs w:val="22"/>
          <w:lang w:eastAsia="en-US"/>
        </w:rPr>
      </w:pPr>
      <w:r w:rsidRPr="00AA22C4">
        <w:rPr>
          <w:rFonts w:ascii="Lato" w:eastAsia="Calibri" w:hAnsi="Lato"/>
          <w:color w:val="000000" w:themeColor="text1"/>
          <w:sz w:val="22"/>
          <w:szCs w:val="22"/>
          <w:lang w:eastAsia="en-US"/>
        </w:rPr>
        <w:t xml:space="preserve">Płeć dziecka: </w:t>
      </w:r>
    </w:p>
    <w:p w14:paraId="1F7DB4DE" w14:textId="77777777" w:rsidR="005E347E" w:rsidRPr="00AA22C4" w:rsidRDefault="005E347E" w:rsidP="005E347E">
      <w:pPr>
        <w:widowControl/>
        <w:rPr>
          <w:rFonts w:ascii="Lato" w:eastAsia="Calibri" w:hAnsi="Lato"/>
          <w:color w:val="000000" w:themeColor="text1"/>
          <w:sz w:val="22"/>
          <w:szCs w:val="22"/>
          <w:lang w:eastAsia="en-US"/>
        </w:rPr>
      </w:pPr>
      <w:r w:rsidRPr="00AA22C4">
        <w:rPr>
          <w:rFonts w:ascii="Lato" w:eastAsia="Calibri" w:hAnsi="Lato"/>
          <w:color w:val="000000" w:themeColor="text1"/>
          <w:sz w:val="22"/>
          <w:szCs w:val="22"/>
          <w:lang w:eastAsia="en-US"/>
        </w:rPr>
        <w:t>Data urodzenia dziecka:</w:t>
      </w:r>
    </w:p>
    <w:p w14:paraId="34907D2B" w14:textId="77777777" w:rsidR="005E347E" w:rsidRPr="00AA22C4" w:rsidRDefault="005E347E" w:rsidP="005E347E">
      <w:pPr>
        <w:widowControl/>
        <w:rPr>
          <w:rFonts w:ascii="Lato" w:eastAsia="Calibri" w:hAnsi="Lato"/>
          <w:color w:val="000000" w:themeColor="text1"/>
          <w:sz w:val="22"/>
          <w:szCs w:val="22"/>
          <w:lang w:eastAsia="en-US"/>
        </w:rPr>
      </w:pPr>
      <w:r w:rsidRPr="00AA22C4">
        <w:rPr>
          <w:rFonts w:ascii="Lato" w:eastAsia="Calibri" w:hAnsi="Lato"/>
          <w:color w:val="000000" w:themeColor="text1"/>
          <w:sz w:val="22"/>
          <w:szCs w:val="22"/>
          <w:lang w:eastAsia="en-US"/>
        </w:rPr>
        <w:t>Adres:</w:t>
      </w:r>
    </w:p>
    <w:p w14:paraId="261EB044" w14:textId="77777777" w:rsidR="005E347E" w:rsidRPr="00AA22C4" w:rsidRDefault="005E347E" w:rsidP="005E347E">
      <w:pPr>
        <w:widowControl/>
        <w:rPr>
          <w:rFonts w:ascii="Lato" w:eastAsia="Calibri" w:hAnsi="Lato"/>
          <w:color w:val="000000" w:themeColor="text1"/>
          <w:sz w:val="22"/>
          <w:szCs w:val="22"/>
          <w:lang w:eastAsia="en-US"/>
        </w:rPr>
      </w:pPr>
      <w:r w:rsidRPr="00AA22C4">
        <w:rPr>
          <w:rFonts w:ascii="Lato" w:eastAsia="Calibri" w:hAnsi="Lato"/>
          <w:color w:val="000000" w:themeColor="text1"/>
          <w:sz w:val="22"/>
          <w:szCs w:val="22"/>
          <w:lang w:eastAsia="en-US"/>
        </w:rPr>
        <w:t xml:space="preserve"> </w:t>
      </w:r>
    </w:p>
    <w:p w14:paraId="025CEBC9" w14:textId="77777777" w:rsidR="005E347E" w:rsidRPr="00AA22C4" w:rsidRDefault="005E347E" w:rsidP="005E347E">
      <w:pPr>
        <w:widowControl/>
        <w:rPr>
          <w:rFonts w:ascii="Lato" w:eastAsia="Calibri" w:hAnsi="Lato"/>
          <w:color w:val="000000" w:themeColor="text1"/>
          <w:sz w:val="22"/>
          <w:szCs w:val="22"/>
          <w:lang w:eastAsia="en-US"/>
        </w:rPr>
      </w:pPr>
      <w:r w:rsidRPr="00AA22C4">
        <w:rPr>
          <w:rFonts w:ascii="Lato" w:eastAsia="Calibri" w:hAnsi="Lato"/>
          <w:color w:val="000000" w:themeColor="text1"/>
          <w:sz w:val="22"/>
          <w:szCs w:val="22"/>
          <w:lang w:eastAsia="en-US"/>
        </w:rPr>
        <w:t>Załączoną nalepkę z numerem bibuły prosimy wkleić do Książeczki Zdrowia Dziecka (pod numerem pierwszej bibuły). Prosimy koniecznie dopisać na bibułę datę ostatniej transfuzji krwi jeśli była wykonywana.</w:t>
      </w:r>
    </w:p>
    <w:p w14:paraId="41CE31A5" w14:textId="77777777" w:rsidR="005E347E" w:rsidRPr="00AA22C4" w:rsidRDefault="005E347E" w:rsidP="005E347E">
      <w:pPr>
        <w:widowControl/>
        <w:jc w:val="both"/>
        <w:rPr>
          <w:rFonts w:ascii="Lato" w:eastAsia="Calibri" w:hAnsi="Lato"/>
          <w:color w:val="000000" w:themeColor="text1"/>
          <w:sz w:val="22"/>
          <w:szCs w:val="22"/>
          <w:lang w:eastAsia="en-US"/>
        </w:rPr>
      </w:pPr>
      <w:r w:rsidRPr="00AA22C4">
        <w:rPr>
          <w:rFonts w:ascii="Lato" w:eastAsia="Calibri" w:hAnsi="Lato"/>
          <w:color w:val="000000" w:themeColor="text1"/>
          <w:sz w:val="22"/>
          <w:szCs w:val="22"/>
          <w:lang w:eastAsia="en-US"/>
        </w:rPr>
        <w:t xml:space="preserve">Należy całkowicie wypełnić krwią dziecka co najmniej 4 krążki, tak aby krew przesączyła się przez bibułę i nieznacznie przekroczyła granicę krążka po obu stronach bibuły. </w:t>
      </w:r>
      <w:r w:rsidRPr="00AA22C4">
        <w:rPr>
          <w:rFonts w:ascii="Lato" w:eastAsia="Calibri" w:hAnsi="Lato"/>
          <w:b/>
          <w:color w:val="000000" w:themeColor="text1"/>
          <w:sz w:val="22"/>
          <w:szCs w:val="22"/>
          <w:lang w:eastAsia="en-US"/>
        </w:rPr>
        <w:t xml:space="preserve">Bibułę należy przykładać tylko z jednej strony! </w:t>
      </w:r>
      <w:r w:rsidRPr="00AA22C4">
        <w:rPr>
          <w:rFonts w:ascii="Lato" w:eastAsia="Calibri" w:hAnsi="Lato"/>
          <w:b/>
          <w:bCs/>
          <w:color w:val="000000" w:themeColor="text1"/>
          <w:sz w:val="22"/>
          <w:szCs w:val="22"/>
          <w:lang w:eastAsia="en-US"/>
        </w:rPr>
        <w:t>Niedopuszczalne jest nasączanie bibuły najpierw z jednej, a potem z drugiej strony.</w:t>
      </w:r>
      <w:r w:rsidRPr="00AA22C4">
        <w:rPr>
          <w:rFonts w:ascii="Lato" w:eastAsia="Calibri" w:hAnsi="Lato"/>
          <w:b/>
          <w:color w:val="000000" w:themeColor="text1"/>
          <w:sz w:val="22"/>
          <w:szCs w:val="22"/>
          <w:lang w:eastAsia="en-US"/>
        </w:rPr>
        <w:t xml:space="preserve"> </w:t>
      </w:r>
      <w:r w:rsidRPr="00AA22C4">
        <w:rPr>
          <w:rFonts w:ascii="Lato" w:eastAsia="Calibri" w:hAnsi="Lato"/>
          <w:color w:val="000000" w:themeColor="text1"/>
          <w:sz w:val="22"/>
          <w:szCs w:val="22"/>
          <w:lang w:eastAsia="en-US"/>
        </w:rPr>
        <w:t>Bibułę z pobraną krwią należy przekazać rodzicowi/opiekunowi prawnemu dziecka w celu wysłania pod wskazany powyżej adres.</w:t>
      </w:r>
    </w:p>
    <w:p w14:paraId="1E53668E" w14:textId="77777777" w:rsidR="005E347E" w:rsidRPr="00AA22C4" w:rsidRDefault="005E347E" w:rsidP="005E347E">
      <w:pPr>
        <w:pStyle w:val="Tekstprzypisudolnego"/>
        <w:keepNext/>
        <w:widowControl/>
        <w:spacing w:before="120" w:after="120"/>
        <w:contextualSpacing/>
        <w:rPr>
          <w:rFonts w:ascii="Lato" w:hAnsi="Lato"/>
          <w:b/>
          <w:color w:val="000000" w:themeColor="text1"/>
          <w:sz w:val="24"/>
        </w:rPr>
      </w:pPr>
    </w:p>
    <w:p w14:paraId="00921761" w14:textId="77777777" w:rsidR="005E347E" w:rsidRPr="00AA22C4" w:rsidRDefault="005E347E" w:rsidP="005E347E">
      <w:pPr>
        <w:widowControl/>
        <w:spacing w:line="240" w:lineRule="auto"/>
        <w:rPr>
          <w:rFonts w:ascii="Lato" w:hAnsi="Lato"/>
          <w:b/>
          <w:color w:val="000000" w:themeColor="text1"/>
          <w:szCs w:val="20"/>
        </w:rPr>
      </w:pPr>
      <w:r w:rsidRPr="00AA22C4">
        <w:rPr>
          <w:rFonts w:ascii="Lato" w:hAnsi="Lato"/>
          <w:b/>
          <w:color w:val="000000" w:themeColor="text1"/>
        </w:rPr>
        <w:br w:type="page"/>
      </w:r>
    </w:p>
    <w:p w14:paraId="7F9783C8" w14:textId="77777777" w:rsidR="005E347E" w:rsidRPr="00AA22C4" w:rsidRDefault="005E347E" w:rsidP="005E347E">
      <w:pPr>
        <w:jc w:val="right"/>
        <w:rPr>
          <w:rFonts w:ascii="Lato" w:hAnsi="Lato"/>
          <w:color w:val="000000" w:themeColor="text1"/>
          <w:sz w:val="20"/>
          <w:szCs w:val="20"/>
        </w:rPr>
      </w:pPr>
      <w:r w:rsidRPr="00AA22C4">
        <w:rPr>
          <w:rFonts w:ascii="Lato" w:hAnsi="Lato"/>
          <w:color w:val="000000" w:themeColor="text1"/>
          <w:sz w:val="22"/>
          <w:szCs w:val="22"/>
        </w:rPr>
        <w:lastRenderedPageBreak/>
        <w:t>Załącznik nr 10</w:t>
      </w:r>
    </w:p>
    <w:p w14:paraId="72A77B8D" w14:textId="77777777" w:rsidR="005E347E" w:rsidRPr="00AA22C4" w:rsidRDefault="005E347E" w:rsidP="005E347E">
      <w:pPr>
        <w:jc w:val="center"/>
        <w:rPr>
          <w:rFonts w:ascii="Lato" w:hAnsi="Lato"/>
          <w:color w:val="000000" w:themeColor="text1"/>
          <w:sz w:val="22"/>
          <w:szCs w:val="22"/>
          <w:u w:val="single"/>
        </w:rPr>
      </w:pPr>
      <w:r w:rsidRPr="00AA22C4">
        <w:rPr>
          <w:rFonts w:ascii="Lato" w:hAnsi="Lato"/>
          <w:color w:val="000000" w:themeColor="text1"/>
          <w:sz w:val="22"/>
          <w:szCs w:val="22"/>
          <w:u w:val="single"/>
        </w:rPr>
        <w:t>WZÓR</w:t>
      </w:r>
    </w:p>
    <w:p w14:paraId="1E3BCB2F" w14:textId="77777777" w:rsidR="005E347E" w:rsidRPr="00AA22C4" w:rsidRDefault="005E347E" w:rsidP="005E347E">
      <w:pPr>
        <w:jc w:val="center"/>
        <w:rPr>
          <w:rFonts w:ascii="Lato" w:hAnsi="Lato"/>
          <w:b/>
          <w:bCs/>
          <w:color w:val="000000" w:themeColor="text1"/>
          <w:sz w:val="22"/>
          <w:szCs w:val="22"/>
        </w:rPr>
      </w:pPr>
      <w:r w:rsidRPr="00AA22C4">
        <w:rPr>
          <w:rFonts w:ascii="Lato" w:hAnsi="Lato"/>
          <w:b/>
          <w:bCs/>
          <w:color w:val="000000" w:themeColor="text1"/>
          <w:sz w:val="22"/>
          <w:szCs w:val="22"/>
        </w:rPr>
        <w:t>Pismo w sprawie wykrycia jednej mutacji w kierunku mukowiscydozy</w:t>
      </w:r>
    </w:p>
    <w:p w14:paraId="76EE8065" w14:textId="77777777" w:rsidR="005E347E" w:rsidRPr="00AA22C4" w:rsidRDefault="005E347E" w:rsidP="005E347E">
      <w:pPr>
        <w:rPr>
          <w:rFonts w:ascii="Lato" w:hAnsi="Lato"/>
          <w:color w:val="000000" w:themeColor="text1"/>
          <w:sz w:val="22"/>
          <w:szCs w:val="22"/>
        </w:rPr>
      </w:pPr>
    </w:p>
    <w:p w14:paraId="36C096FB" w14:textId="77777777" w:rsidR="005E347E" w:rsidRPr="00AA22C4" w:rsidRDefault="005E347E" w:rsidP="005E347E">
      <w:pPr>
        <w:rPr>
          <w:rFonts w:ascii="Lato" w:hAnsi="Lato"/>
          <w:color w:val="000000" w:themeColor="text1"/>
          <w:sz w:val="22"/>
          <w:szCs w:val="22"/>
        </w:rPr>
      </w:pPr>
    </w:p>
    <w:p w14:paraId="156CF16E" w14:textId="77777777" w:rsidR="005E347E" w:rsidRPr="00AA22C4" w:rsidRDefault="005E347E" w:rsidP="005E347E">
      <w:pPr>
        <w:rPr>
          <w:rFonts w:ascii="Lato" w:hAnsi="Lato"/>
          <w:color w:val="000000" w:themeColor="text1"/>
          <w:sz w:val="22"/>
          <w:szCs w:val="22"/>
          <w:lang w:bidi="pl-PL"/>
        </w:rPr>
      </w:pPr>
      <w:r w:rsidRPr="00AA22C4">
        <w:rPr>
          <w:rFonts w:ascii="Lato" w:hAnsi="Lato"/>
          <w:color w:val="000000" w:themeColor="text1"/>
          <w:sz w:val="22"/>
          <w:szCs w:val="22"/>
          <w:lang w:bidi="pl-PL"/>
        </w:rPr>
        <w:t>Dotyczy dziecka:</w:t>
      </w:r>
      <w:r w:rsidRPr="00AA22C4">
        <w:rPr>
          <w:rFonts w:ascii="Lato" w:hAnsi="Lato"/>
          <w:color w:val="000000" w:themeColor="text1"/>
          <w:sz w:val="22"/>
          <w:szCs w:val="22"/>
          <w:lang w:bidi="pl-PL"/>
        </w:rPr>
        <w:tab/>
      </w:r>
      <w:r w:rsidRPr="00AA22C4">
        <w:rPr>
          <w:rFonts w:ascii="Lato" w:hAnsi="Lato"/>
          <w:color w:val="000000" w:themeColor="text1"/>
          <w:sz w:val="22"/>
          <w:szCs w:val="22"/>
          <w:lang w:bidi="pl-PL"/>
        </w:rPr>
        <w:tab/>
      </w:r>
      <w:r w:rsidRPr="00AA22C4">
        <w:rPr>
          <w:rFonts w:ascii="Lato" w:hAnsi="Lato"/>
          <w:color w:val="000000" w:themeColor="text1"/>
          <w:sz w:val="22"/>
          <w:szCs w:val="22"/>
          <w:lang w:bidi="pl-PL"/>
        </w:rPr>
        <w:tab/>
      </w:r>
      <w:r w:rsidRPr="00AA22C4">
        <w:rPr>
          <w:rFonts w:ascii="Lato" w:hAnsi="Lato"/>
          <w:color w:val="000000" w:themeColor="text1"/>
          <w:sz w:val="22"/>
          <w:szCs w:val="22"/>
          <w:lang w:bidi="pl-PL"/>
        </w:rPr>
        <w:tab/>
      </w:r>
      <w:r w:rsidRPr="00AA22C4">
        <w:rPr>
          <w:rFonts w:ascii="Lato" w:hAnsi="Lato"/>
          <w:color w:val="000000" w:themeColor="text1"/>
          <w:sz w:val="22"/>
          <w:szCs w:val="22"/>
          <w:lang w:bidi="pl-PL"/>
        </w:rPr>
        <w:tab/>
      </w:r>
      <w:r w:rsidRPr="00AA22C4">
        <w:rPr>
          <w:rFonts w:ascii="Lato" w:hAnsi="Lato"/>
          <w:color w:val="000000" w:themeColor="text1"/>
          <w:sz w:val="22"/>
          <w:szCs w:val="22"/>
          <w:lang w:bidi="pl-PL"/>
        </w:rPr>
        <w:tab/>
      </w:r>
      <w:r w:rsidRPr="00AA22C4">
        <w:rPr>
          <w:rFonts w:ascii="Lato" w:hAnsi="Lato"/>
          <w:color w:val="000000" w:themeColor="text1"/>
          <w:sz w:val="22"/>
          <w:szCs w:val="22"/>
          <w:lang w:bidi="pl-PL"/>
        </w:rPr>
        <w:tab/>
      </w:r>
      <w:r w:rsidRPr="00AA22C4">
        <w:rPr>
          <w:rFonts w:ascii="Lato" w:hAnsi="Lato"/>
          <w:color w:val="000000" w:themeColor="text1"/>
          <w:sz w:val="22"/>
          <w:szCs w:val="22"/>
          <w:lang w:bidi="pl-PL"/>
        </w:rPr>
        <w:tab/>
      </w:r>
      <w:proofErr w:type="gramStart"/>
      <w:r w:rsidRPr="00AA22C4">
        <w:rPr>
          <w:rFonts w:ascii="Lato" w:hAnsi="Lato"/>
          <w:color w:val="000000" w:themeColor="text1"/>
          <w:sz w:val="22"/>
          <w:szCs w:val="22"/>
          <w:lang w:bidi="pl-PL"/>
        </w:rPr>
        <w:t>Data:…</w:t>
      </w:r>
      <w:proofErr w:type="gramEnd"/>
      <w:r w:rsidRPr="00AA22C4">
        <w:rPr>
          <w:rFonts w:ascii="Lato" w:hAnsi="Lato"/>
          <w:color w:val="000000" w:themeColor="text1"/>
          <w:sz w:val="22"/>
          <w:szCs w:val="22"/>
          <w:lang w:bidi="pl-PL"/>
        </w:rPr>
        <w:t>…..</w:t>
      </w:r>
    </w:p>
    <w:p w14:paraId="0F76BF10" w14:textId="6A2AB1DC" w:rsidR="005E347E" w:rsidRPr="00AA22C4" w:rsidRDefault="005E347E" w:rsidP="005E347E">
      <w:pPr>
        <w:numPr>
          <w:ilvl w:val="0"/>
          <w:numId w:val="109"/>
        </w:numPr>
        <w:spacing w:line="240" w:lineRule="auto"/>
        <w:rPr>
          <w:rFonts w:ascii="Lato" w:hAnsi="Lato"/>
          <w:color w:val="000000" w:themeColor="text1"/>
          <w:sz w:val="22"/>
          <w:szCs w:val="22"/>
          <w:lang w:bidi="pl-PL"/>
        </w:rPr>
      </w:pPr>
      <w:r w:rsidRPr="00AA22C4">
        <w:rPr>
          <w:rFonts w:ascii="Lato" w:hAnsi="Lato"/>
          <w:color w:val="000000" w:themeColor="text1"/>
          <w:sz w:val="22"/>
          <w:szCs w:val="22"/>
          <w:lang w:bidi="pl-PL"/>
        </w:rPr>
        <w:t xml:space="preserve">Kod bibuły ze </w:t>
      </w:r>
      <w:proofErr w:type="gramStart"/>
      <w:r w:rsidRPr="00AA22C4">
        <w:rPr>
          <w:rFonts w:ascii="Lato" w:hAnsi="Lato"/>
          <w:color w:val="000000" w:themeColor="text1"/>
          <w:sz w:val="22"/>
          <w:szCs w:val="22"/>
          <w:lang w:bidi="pl-PL"/>
        </w:rPr>
        <w:t>szpitala:…</w:t>
      </w:r>
      <w:proofErr w:type="gramEnd"/>
      <w:r w:rsidRPr="00AA22C4">
        <w:rPr>
          <w:rFonts w:ascii="Lato" w:hAnsi="Lato"/>
          <w:color w:val="000000" w:themeColor="text1"/>
          <w:sz w:val="22"/>
          <w:szCs w:val="22"/>
          <w:lang w:bidi="pl-PL"/>
        </w:rPr>
        <w:t>…………………………..……………………</w:t>
      </w:r>
      <w:r w:rsidR="00275276" w:rsidRPr="00AA22C4">
        <w:rPr>
          <w:rFonts w:ascii="Lato" w:hAnsi="Lato"/>
          <w:color w:val="000000" w:themeColor="text1"/>
          <w:sz w:val="22"/>
          <w:szCs w:val="22"/>
          <w:lang w:bidi="pl-PL"/>
        </w:rPr>
        <w:t>……………………………………………..</w:t>
      </w:r>
    </w:p>
    <w:p w14:paraId="598C81D5" w14:textId="44457A83" w:rsidR="005E347E" w:rsidRPr="00AA22C4" w:rsidRDefault="005E347E" w:rsidP="005E347E">
      <w:pPr>
        <w:numPr>
          <w:ilvl w:val="0"/>
          <w:numId w:val="109"/>
        </w:numPr>
        <w:spacing w:line="240" w:lineRule="auto"/>
        <w:rPr>
          <w:rFonts w:ascii="Lato" w:hAnsi="Lato"/>
          <w:color w:val="000000" w:themeColor="text1"/>
          <w:sz w:val="22"/>
          <w:szCs w:val="22"/>
          <w:lang w:bidi="pl-PL"/>
        </w:rPr>
      </w:pPr>
      <w:r w:rsidRPr="00AA22C4">
        <w:rPr>
          <w:rFonts w:ascii="Lato" w:hAnsi="Lato"/>
          <w:color w:val="000000" w:themeColor="text1"/>
          <w:sz w:val="22"/>
          <w:szCs w:val="22"/>
          <w:lang w:bidi="pl-PL"/>
        </w:rPr>
        <w:t>Imię</w:t>
      </w:r>
      <w:r w:rsidR="00142006" w:rsidRPr="00AA22C4">
        <w:rPr>
          <w:rFonts w:ascii="Lato" w:hAnsi="Lato"/>
          <w:color w:val="000000" w:themeColor="text1"/>
          <w:sz w:val="22"/>
          <w:szCs w:val="22"/>
          <w:lang w:bidi="pl-PL"/>
        </w:rPr>
        <w:t xml:space="preserve"> (imiona)</w:t>
      </w:r>
      <w:r w:rsidRPr="00AA22C4">
        <w:rPr>
          <w:rFonts w:ascii="Lato" w:hAnsi="Lato"/>
          <w:color w:val="000000" w:themeColor="text1"/>
          <w:sz w:val="22"/>
          <w:szCs w:val="22"/>
          <w:lang w:bidi="pl-PL"/>
        </w:rPr>
        <w:t xml:space="preserve"> i nazwisko matki </w:t>
      </w:r>
      <w:proofErr w:type="gramStart"/>
      <w:r w:rsidRPr="00AA22C4">
        <w:rPr>
          <w:rFonts w:ascii="Lato" w:hAnsi="Lato"/>
          <w:color w:val="000000" w:themeColor="text1"/>
          <w:sz w:val="22"/>
          <w:szCs w:val="22"/>
          <w:lang w:bidi="pl-PL"/>
        </w:rPr>
        <w:t>dziecka:…</w:t>
      </w:r>
      <w:proofErr w:type="gramEnd"/>
      <w:r w:rsidRPr="00AA22C4">
        <w:rPr>
          <w:rFonts w:ascii="Lato" w:hAnsi="Lato"/>
          <w:color w:val="000000" w:themeColor="text1"/>
          <w:sz w:val="22"/>
          <w:szCs w:val="22"/>
          <w:lang w:bidi="pl-PL"/>
        </w:rPr>
        <w:t>………………………………………</w:t>
      </w:r>
      <w:r w:rsidR="00275276" w:rsidRPr="00AA22C4">
        <w:rPr>
          <w:rFonts w:ascii="Lato" w:hAnsi="Lato"/>
          <w:color w:val="000000" w:themeColor="text1"/>
          <w:sz w:val="22"/>
          <w:szCs w:val="22"/>
          <w:lang w:bidi="pl-PL"/>
        </w:rPr>
        <w:t>…………………………….</w:t>
      </w:r>
    </w:p>
    <w:p w14:paraId="7E5DAAFB" w14:textId="3879CAE2" w:rsidR="005E347E" w:rsidRPr="00AA22C4" w:rsidRDefault="005E347E" w:rsidP="005E347E">
      <w:pPr>
        <w:numPr>
          <w:ilvl w:val="0"/>
          <w:numId w:val="109"/>
        </w:numPr>
        <w:spacing w:line="240" w:lineRule="auto"/>
        <w:rPr>
          <w:rFonts w:ascii="Lato" w:hAnsi="Lato"/>
          <w:color w:val="000000" w:themeColor="text1"/>
          <w:sz w:val="22"/>
          <w:szCs w:val="22"/>
          <w:lang w:bidi="pl-PL"/>
        </w:rPr>
      </w:pPr>
      <w:r w:rsidRPr="00AA22C4">
        <w:rPr>
          <w:rFonts w:ascii="Lato" w:hAnsi="Lato"/>
          <w:color w:val="000000" w:themeColor="text1"/>
          <w:sz w:val="22"/>
          <w:szCs w:val="22"/>
          <w:lang w:bidi="pl-PL"/>
        </w:rPr>
        <w:t>PESEL matki dziecka: …………………………………………………</w:t>
      </w:r>
      <w:r w:rsidR="00275276" w:rsidRPr="00AA22C4">
        <w:rPr>
          <w:rFonts w:ascii="Lato" w:hAnsi="Lato"/>
          <w:color w:val="000000" w:themeColor="text1"/>
          <w:sz w:val="22"/>
          <w:szCs w:val="22"/>
          <w:lang w:bidi="pl-PL"/>
        </w:rPr>
        <w:t>……………………………………………….</w:t>
      </w:r>
    </w:p>
    <w:p w14:paraId="6A7560E2" w14:textId="68F9B965" w:rsidR="005E347E" w:rsidRPr="00AA22C4" w:rsidRDefault="005E347E" w:rsidP="005E347E">
      <w:pPr>
        <w:numPr>
          <w:ilvl w:val="0"/>
          <w:numId w:val="109"/>
        </w:numPr>
        <w:spacing w:line="240" w:lineRule="auto"/>
        <w:rPr>
          <w:rFonts w:ascii="Lato" w:hAnsi="Lato"/>
          <w:color w:val="000000" w:themeColor="text1"/>
          <w:sz w:val="22"/>
          <w:szCs w:val="22"/>
          <w:lang w:bidi="pl-PL"/>
        </w:rPr>
      </w:pPr>
      <w:r w:rsidRPr="00AA22C4">
        <w:rPr>
          <w:rFonts w:ascii="Lato" w:hAnsi="Lato"/>
          <w:color w:val="000000" w:themeColor="text1"/>
          <w:sz w:val="22"/>
          <w:szCs w:val="22"/>
          <w:lang w:bidi="pl-PL"/>
        </w:rPr>
        <w:t>Płeć dziecka: ……………………………………………………………</w:t>
      </w:r>
      <w:r w:rsidR="00275276" w:rsidRPr="00AA22C4">
        <w:rPr>
          <w:rFonts w:ascii="Lato" w:hAnsi="Lato"/>
          <w:color w:val="000000" w:themeColor="text1"/>
          <w:sz w:val="22"/>
          <w:szCs w:val="22"/>
          <w:lang w:bidi="pl-PL"/>
        </w:rPr>
        <w:t>……………………………………………</w:t>
      </w:r>
      <w:proofErr w:type="gramStart"/>
      <w:r w:rsidR="00275276" w:rsidRPr="00AA22C4">
        <w:rPr>
          <w:rFonts w:ascii="Lato" w:hAnsi="Lato"/>
          <w:color w:val="000000" w:themeColor="text1"/>
          <w:sz w:val="22"/>
          <w:szCs w:val="22"/>
          <w:lang w:bidi="pl-PL"/>
        </w:rPr>
        <w:t>…….</w:t>
      </w:r>
      <w:proofErr w:type="gramEnd"/>
      <w:r w:rsidR="00275276" w:rsidRPr="00AA22C4">
        <w:rPr>
          <w:rFonts w:ascii="Lato" w:hAnsi="Lato"/>
          <w:color w:val="000000" w:themeColor="text1"/>
          <w:sz w:val="22"/>
          <w:szCs w:val="22"/>
          <w:lang w:bidi="pl-PL"/>
        </w:rPr>
        <w:t>.</w:t>
      </w:r>
    </w:p>
    <w:p w14:paraId="3412A820" w14:textId="2EAA9F0A" w:rsidR="005E347E" w:rsidRPr="00AA22C4" w:rsidRDefault="005E347E" w:rsidP="005E347E">
      <w:pPr>
        <w:numPr>
          <w:ilvl w:val="0"/>
          <w:numId w:val="109"/>
        </w:numPr>
        <w:spacing w:line="240" w:lineRule="auto"/>
        <w:rPr>
          <w:rFonts w:ascii="Lato" w:hAnsi="Lato"/>
          <w:color w:val="000000" w:themeColor="text1"/>
          <w:sz w:val="22"/>
          <w:szCs w:val="22"/>
          <w:lang w:bidi="pl-PL"/>
        </w:rPr>
      </w:pPr>
      <w:r w:rsidRPr="00AA22C4">
        <w:rPr>
          <w:rFonts w:ascii="Lato" w:hAnsi="Lato"/>
          <w:color w:val="000000" w:themeColor="text1"/>
          <w:sz w:val="22"/>
          <w:szCs w:val="22"/>
          <w:lang w:bidi="pl-PL"/>
        </w:rPr>
        <w:t>Data urodzenia: …………………………………………………………</w:t>
      </w:r>
      <w:r w:rsidR="00275276" w:rsidRPr="00AA22C4">
        <w:rPr>
          <w:rFonts w:ascii="Lato" w:hAnsi="Lato"/>
          <w:color w:val="000000" w:themeColor="text1"/>
          <w:sz w:val="22"/>
          <w:szCs w:val="22"/>
          <w:lang w:bidi="pl-PL"/>
        </w:rPr>
        <w:t>………………………………………………...</w:t>
      </w:r>
    </w:p>
    <w:p w14:paraId="4AC8AE4A" w14:textId="33690B08" w:rsidR="005E347E" w:rsidRPr="00AA22C4" w:rsidRDefault="005E347E" w:rsidP="005E347E">
      <w:pPr>
        <w:numPr>
          <w:ilvl w:val="0"/>
          <w:numId w:val="109"/>
        </w:numPr>
        <w:spacing w:line="240" w:lineRule="auto"/>
        <w:rPr>
          <w:rFonts w:ascii="Lato" w:hAnsi="Lato"/>
          <w:color w:val="000000" w:themeColor="text1"/>
          <w:sz w:val="22"/>
          <w:szCs w:val="22"/>
          <w:lang w:bidi="pl-PL"/>
        </w:rPr>
      </w:pPr>
      <w:r w:rsidRPr="00AA22C4">
        <w:rPr>
          <w:rFonts w:ascii="Lato" w:hAnsi="Lato"/>
          <w:color w:val="000000" w:themeColor="text1"/>
          <w:sz w:val="22"/>
          <w:szCs w:val="22"/>
          <w:lang w:bidi="pl-PL"/>
        </w:rPr>
        <w:t>Urodzone w szpitalu: …………………………………………………</w:t>
      </w:r>
      <w:r w:rsidR="00275276" w:rsidRPr="00AA22C4">
        <w:rPr>
          <w:rFonts w:ascii="Lato" w:hAnsi="Lato"/>
          <w:color w:val="000000" w:themeColor="text1"/>
          <w:sz w:val="22"/>
          <w:szCs w:val="22"/>
          <w:lang w:bidi="pl-PL"/>
        </w:rPr>
        <w:t>……………………………………………….</w:t>
      </w:r>
    </w:p>
    <w:p w14:paraId="0FD31E7C" w14:textId="77777777" w:rsidR="005E347E" w:rsidRPr="00AA22C4" w:rsidRDefault="005E347E" w:rsidP="005E347E">
      <w:pPr>
        <w:spacing w:line="240" w:lineRule="auto"/>
        <w:rPr>
          <w:rFonts w:ascii="Lato" w:hAnsi="Lato"/>
          <w:color w:val="000000" w:themeColor="text1"/>
          <w:sz w:val="22"/>
          <w:szCs w:val="22"/>
          <w:lang w:bidi="pl-PL"/>
        </w:rPr>
      </w:pPr>
    </w:p>
    <w:p w14:paraId="3145271B" w14:textId="77777777" w:rsidR="005E347E" w:rsidRPr="00AA22C4" w:rsidRDefault="005E347E" w:rsidP="005E347E">
      <w:pPr>
        <w:spacing w:line="240" w:lineRule="auto"/>
        <w:rPr>
          <w:rFonts w:ascii="Lato" w:hAnsi="Lato"/>
          <w:color w:val="000000" w:themeColor="text1"/>
          <w:sz w:val="22"/>
          <w:szCs w:val="22"/>
          <w:lang w:bidi="pl-PL"/>
        </w:rPr>
      </w:pPr>
    </w:p>
    <w:p w14:paraId="44FA0928" w14:textId="77777777" w:rsidR="005E347E" w:rsidRPr="00AA22C4" w:rsidRDefault="005E347E" w:rsidP="005E347E">
      <w:pPr>
        <w:widowControl/>
        <w:rPr>
          <w:rFonts w:ascii="Lato" w:eastAsia="Calibri" w:hAnsi="Lato"/>
          <w:color w:val="000000" w:themeColor="text1"/>
          <w:sz w:val="22"/>
          <w:szCs w:val="22"/>
          <w:lang w:eastAsia="en-US"/>
        </w:rPr>
      </w:pPr>
    </w:p>
    <w:p w14:paraId="473E0EE9" w14:textId="77777777" w:rsidR="005E347E" w:rsidRPr="00AA22C4" w:rsidRDefault="005E347E" w:rsidP="005E347E">
      <w:pPr>
        <w:widowControl/>
        <w:rPr>
          <w:rFonts w:ascii="Lato" w:eastAsia="Calibri" w:hAnsi="Lato"/>
          <w:color w:val="000000" w:themeColor="text1"/>
          <w:sz w:val="22"/>
          <w:szCs w:val="22"/>
          <w:lang w:eastAsia="en-US"/>
        </w:rPr>
      </w:pPr>
      <w:r w:rsidRPr="00AA22C4">
        <w:rPr>
          <w:rFonts w:ascii="Lato" w:eastAsia="Calibri" w:hAnsi="Lato"/>
          <w:color w:val="000000" w:themeColor="text1"/>
          <w:sz w:val="22"/>
          <w:szCs w:val="22"/>
          <w:lang w:eastAsia="en-US"/>
        </w:rPr>
        <w:t>Szanowny(a) Pan(i),</w:t>
      </w:r>
    </w:p>
    <w:p w14:paraId="32CED025" w14:textId="77777777" w:rsidR="005E347E" w:rsidRPr="00AA22C4" w:rsidRDefault="005E347E" w:rsidP="005E347E">
      <w:pPr>
        <w:spacing w:line="240" w:lineRule="auto"/>
        <w:rPr>
          <w:rFonts w:ascii="Lato" w:hAnsi="Lato"/>
          <w:color w:val="000000" w:themeColor="text1"/>
          <w:sz w:val="22"/>
          <w:szCs w:val="22"/>
          <w:lang w:bidi="pl-PL"/>
        </w:rPr>
      </w:pPr>
    </w:p>
    <w:p w14:paraId="4313EA91" w14:textId="1B14194C" w:rsidR="005E347E" w:rsidRPr="00AA22C4" w:rsidRDefault="005E347E" w:rsidP="005E347E">
      <w:pPr>
        <w:spacing w:line="240" w:lineRule="auto"/>
        <w:jc w:val="both"/>
        <w:rPr>
          <w:rFonts w:ascii="Lato" w:hAnsi="Lato"/>
          <w:color w:val="000000" w:themeColor="text1"/>
          <w:sz w:val="22"/>
          <w:szCs w:val="22"/>
          <w:lang w:bidi="pl-PL"/>
        </w:rPr>
      </w:pPr>
      <w:r w:rsidRPr="00AA22C4">
        <w:rPr>
          <w:rFonts w:ascii="Lato" w:hAnsi="Lato"/>
          <w:color w:val="000000" w:themeColor="text1"/>
          <w:sz w:val="22"/>
          <w:szCs w:val="22"/>
          <w:lang w:bidi="pl-PL"/>
        </w:rPr>
        <w:t>W badaniach przesiewowych Pani/Pana dziecka stwierdzono podwyższone stężenie immunoreaktywnej trypsyny (IRT) wskazujące na ryzyko wystąpienia mukowiscydozy. Zgodnie z procedurą wykonany został drugi etap badania – badanie molekularne (genetyczne) genu CFTR, Badanie to wykazało obecność u dziecka jednej mutacji w genie CFTR</w:t>
      </w:r>
      <w:r w:rsidR="00D86A4B" w:rsidRPr="00AA22C4">
        <w:rPr>
          <w:rFonts w:ascii="Lato" w:hAnsi="Lato"/>
          <w:color w:val="000000" w:themeColor="text1"/>
          <w:sz w:val="22"/>
          <w:szCs w:val="22"/>
          <w:lang w:bidi="pl-PL"/>
        </w:rPr>
        <w:t>.</w:t>
      </w:r>
      <w:r w:rsidRPr="00AA22C4">
        <w:rPr>
          <w:rFonts w:ascii="Lato" w:hAnsi="Lato"/>
          <w:color w:val="000000" w:themeColor="text1"/>
          <w:sz w:val="22"/>
          <w:szCs w:val="22"/>
          <w:lang w:bidi="pl-PL"/>
        </w:rPr>
        <w:t xml:space="preserve"> </w:t>
      </w:r>
    </w:p>
    <w:p w14:paraId="6E1A8F52" w14:textId="5FD8FDF5" w:rsidR="005E347E" w:rsidRPr="00AA22C4" w:rsidRDefault="005E347E" w:rsidP="005E347E">
      <w:pPr>
        <w:spacing w:line="240" w:lineRule="auto"/>
        <w:jc w:val="both"/>
        <w:rPr>
          <w:rFonts w:ascii="Lato" w:hAnsi="Lato"/>
          <w:b/>
          <w:color w:val="000000" w:themeColor="text1"/>
          <w:sz w:val="22"/>
          <w:szCs w:val="22"/>
          <w:lang w:bidi="pl-PL"/>
        </w:rPr>
      </w:pPr>
      <w:r w:rsidRPr="00AA22C4">
        <w:rPr>
          <w:rFonts w:ascii="Lato" w:hAnsi="Lato"/>
          <w:color w:val="000000" w:themeColor="text1"/>
          <w:sz w:val="22"/>
          <w:szCs w:val="22"/>
          <w:lang w:bidi="pl-PL"/>
        </w:rPr>
        <w:t xml:space="preserve">Ponieważ mukowiscydoza jest chorobą dziedziczoną autosomalnie recesywnie, do potwierdzenia choroby </w:t>
      </w:r>
      <w:r w:rsidR="00D86A4B" w:rsidRPr="00AA22C4">
        <w:rPr>
          <w:rFonts w:ascii="Lato" w:hAnsi="Lato"/>
          <w:color w:val="000000" w:themeColor="text1"/>
          <w:sz w:val="22"/>
          <w:szCs w:val="22"/>
          <w:lang w:bidi="pl-PL"/>
        </w:rPr>
        <w:t xml:space="preserve">jest </w:t>
      </w:r>
      <w:r w:rsidRPr="00AA22C4">
        <w:rPr>
          <w:rFonts w:ascii="Lato" w:hAnsi="Lato"/>
          <w:color w:val="000000" w:themeColor="text1"/>
          <w:sz w:val="22"/>
          <w:szCs w:val="22"/>
          <w:lang w:bidi="pl-PL"/>
        </w:rPr>
        <w:t xml:space="preserve">konieczna obecność dwóch mutacji patogennych na obu allelach genu CFTR. </w:t>
      </w:r>
      <w:r w:rsidRPr="00AA22C4">
        <w:rPr>
          <w:rFonts w:ascii="Lato" w:hAnsi="Lato"/>
          <w:b/>
          <w:color w:val="000000" w:themeColor="text1"/>
          <w:sz w:val="22"/>
          <w:szCs w:val="22"/>
          <w:lang w:bidi="pl-PL"/>
        </w:rPr>
        <w:t>Obecność jednej mutacji nie stanowi podstawy do rozpoznania mukowiscydozy i nie kwalifikuje dziecka do badań klinicznych i dalszej diagnostyki w Poradni Mukowiscydozy.</w:t>
      </w:r>
    </w:p>
    <w:p w14:paraId="0BF9240B" w14:textId="77777777" w:rsidR="005E347E" w:rsidRPr="00AA22C4" w:rsidRDefault="005E347E" w:rsidP="005E347E">
      <w:pPr>
        <w:spacing w:line="240" w:lineRule="auto"/>
        <w:jc w:val="both"/>
        <w:rPr>
          <w:rFonts w:ascii="Lato" w:hAnsi="Lato"/>
          <w:color w:val="000000" w:themeColor="text1"/>
          <w:sz w:val="22"/>
          <w:szCs w:val="22"/>
          <w:lang w:bidi="pl-PL"/>
        </w:rPr>
      </w:pPr>
      <w:r w:rsidRPr="00AA22C4">
        <w:rPr>
          <w:rFonts w:ascii="Lato" w:hAnsi="Lato"/>
          <w:color w:val="000000" w:themeColor="text1"/>
          <w:sz w:val="22"/>
          <w:szCs w:val="22"/>
          <w:lang w:bidi="pl-PL"/>
        </w:rPr>
        <w:t xml:space="preserve">Wskazana jest natomiast konsultacja w Poradni Genetycznej dla dziecka i obojga rodziców celem badania pochodzenia stwierdzonej u dziecka mutacji oraz oceny ryzyka genetycznego. </w:t>
      </w:r>
    </w:p>
    <w:p w14:paraId="6FE87928" w14:textId="77777777" w:rsidR="005E347E" w:rsidRPr="00AA22C4" w:rsidRDefault="005E347E" w:rsidP="005E347E">
      <w:pPr>
        <w:spacing w:line="240" w:lineRule="auto"/>
        <w:jc w:val="both"/>
        <w:rPr>
          <w:rFonts w:ascii="Lato" w:hAnsi="Lato"/>
          <w:color w:val="000000" w:themeColor="text1"/>
          <w:sz w:val="22"/>
          <w:szCs w:val="22"/>
          <w:lang w:bidi="pl-PL"/>
        </w:rPr>
      </w:pPr>
      <w:r w:rsidRPr="00AA22C4">
        <w:rPr>
          <w:rFonts w:ascii="Lato" w:hAnsi="Lato"/>
          <w:color w:val="000000" w:themeColor="text1"/>
          <w:sz w:val="22"/>
          <w:szCs w:val="22"/>
          <w:lang w:bidi="pl-PL"/>
        </w:rPr>
        <w:t>W załączeniu przesyłamy wynik badania genetycznego w kierunku mukowiscydozy.</w:t>
      </w:r>
    </w:p>
    <w:p w14:paraId="447CF874" w14:textId="30BDB9F4" w:rsidR="005E347E" w:rsidRPr="00AA22C4" w:rsidRDefault="005E347E" w:rsidP="005E347E">
      <w:pPr>
        <w:spacing w:line="240" w:lineRule="auto"/>
        <w:jc w:val="both"/>
        <w:rPr>
          <w:rFonts w:ascii="Lato" w:hAnsi="Lato"/>
          <w:color w:val="000000" w:themeColor="text1"/>
          <w:sz w:val="22"/>
          <w:szCs w:val="22"/>
          <w:lang w:bidi="pl-PL"/>
        </w:rPr>
      </w:pPr>
      <w:r w:rsidRPr="00AA22C4">
        <w:rPr>
          <w:rFonts w:ascii="Lato" w:hAnsi="Lato"/>
          <w:color w:val="000000" w:themeColor="text1"/>
          <w:sz w:val="22"/>
          <w:szCs w:val="22"/>
          <w:lang w:bidi="pl-PL"/>
        </w:rPr>
        <w:t xml:space="preserve">Badania przesiewowe zostały wykonane w ramach </w:t>
      </w:r>
      <w:r w:rsidR="008547B7">
        <w:rPr>
          <w:rFonts w:ascii="Lato" w:hAnsi="Lato"/>
          <w:color w:val="000000" w:themeColor="text1"/>
          <w:sz w:val="22"/>
          <w:szCs w:val="22"/>
          <w:lang w:bidi="pl-PL"/>
        </w:rPr>
        <w:t>p</w:t>
      </w:r>
      <w:r w:rsidRPr="00AA22C4">
        <w:rPr>
          <w:rFonts w:ascii="Lato" w:hAnsi="Lato"/>
          <w:color w:val="000000" w:themeColor="text1"/>
          <w:sz w:val="22"/>
          <w:szCs w:val="22"/>
          <w:lang w:bidi="pl-PL"/>
        </w:rPr>
        <w:t xml:space="preserve">rogramu polityki zdrowotnej Ministra Zdrowia pn. </w:t>
      </w:r>
      <w:r w:rsidRPr="008547B7">
        <w:rPr>
          <w:rFonts w:ascii="Lato" w:hAnsi="Lato"/>
          <w:i/>
          <w:iCs/>
          <w:color w:val="000000" w:themeColor="text1"/>
          <w:sz w:val="22"/>
          <w:szCs w:val="22"/>
          <w:lang w:bidi="pl-PL"/>
        </w:rPr>
        <w:t xml:space="preserve">Rządowy program badań przesiewowych noworodków </w:t>
      </w:r>
      <w:r w:rsidR="008547B7" w:rsidRPr="008547B7">
        <w:rPr>
          <w:rFonts w:ascii="Lato" w:hAnsi="Lato"/>
          <w:i/>
          <w:iCs/>
          <w:color w:val="000000" w:themeColor="text1"/>
          <w:sz w:val="22"/>
          <w:szCs w:val="22"/>
          <w:lang w:bidi="pl-PL"/>
        </w:rPr>
        <w:t>na lata 2019-2026</w:t>
      </w:r>
      <w:r w:rsidRPr="008547B7">
        <w:rPr>
          <w:rFonts w:ascii="Lato" w:hAnsi="Lato"/>
          <w:i/>
          <w:iCs/>
          <w:color w:val="000000" w:themeColor="text1"/>
          <w:sz w:val="22"/>
          <w:szCs w:val="22"/>
          <w:lang w:bidi="pl-PL"/>
        </w:rPr>
        <w:t>.</w:t>
      </w:r>
      <w:r w:rsidR="00D86A4B" w:rsidRPr="00AA22C4">
        <w:rPr>
          <w:rFonts w:ascii="Lato" w:hAnsi="Lato"/>
          <w:color w:val="000000" w:themeColor="text1"/>
          <w:sz w:val="22"/>
          <w:szCs w:val="22"/>
          <w:lang w:bidi="pl-PL"/>
        </w:rPr>
        <w:t xml:space="preserve"> </w:t>
      </w:r>
    </w:p>
    <w:p w14:paraId="09545CFA" w14:textId="77777777" w:rsidR="005E347E" w:rsidRPr="00AA22C4" w:rsidRDefault="005E347E" w:rsidP="005E347E">
      <w:pPr>
        <w:rPr>
          <w:rFonts w:ascii="Lato" w:hAnsi="Lato"/>
          <w:color w:val="000000" w:themeColor="text1"/>
          <w:sz w:val="22"/>
          <w:szCs w:val="22"/>
          <w:lang w:bidi="pl-PL"/>
        </w:rPr>
      </w:pPr>
    </w:p>
    <w:p w14:paraId="047F8657" w14:textId="77777777" w:rsidR="005E347E" w:rsidRPr="00AA22C4" w:rsidRDefault="005E347E" w:rsidP="005E347E">
      <w:pPr>
        <w:rPr>
          <w:rFonts w:ascii="Lato" w:hAnsi="Lato"/>
          <w:color w:val="000000" w:themeColor="text1"/>
          <w:sz w:val="22"/>
          <w:szCs w:val="22"/>
          <w:lang w:bidi="pl-PL"/>
        </w:rPr>
      </w:pPr>
    </w:p>
    <w:p w14:paraId="2B516ED4" w14:textId="77777777" w:rsidR="005E347E" w:rsidRPr="00AA22C4" w:rsidRDefault="005E347E" w:rsidP="005E347E">
      <w:pPr>
        <w:ind w:left="4678"/>
        <w:rPr>
          <w:rFonts w:ascii="Lato" w:hAnsi="Lato"/>
          <w:color w:val="000000" w:themeColor="text1"/>
          <w:sz w:val="22"/>
          <w:szCs w:val="22"/>
          <w:lang w:bidi="pl-PL"/>
        </w:rPr>
      </w:pPr>
      <w:r w:rsidRPr="00AA22C4">
        <w:rPr>
          <w:rFonts w:ascii="Lato" w:hAnsi="Lato"/>
          <w:color w:val="000000" w:themeColor="text1"/>
          <w:sz w:val="22"/>
          <w:szCs w:val="22"/>
          <w:lang w:bidi="pl-PL"/>
        </w:rPr>
        <w:t>Z wyrazami szacunku,</w:t>
      </w:r>
    </w:p>
    <w:p w14:paraId="6E158FD5" w14:textId="77777777" w:rsidR="005E347E" w:rsidRPr="00AA22C4" w:rsidRDefault="005E347E" w:rsidP="005E347E">
      <w:pPr>
        <w:pStyle w:val="Tekstprzypisudolnego"/>
        <w:keepNext/>
        <w:widowControl/>
        <w:spacing w:before="120" w:after="120"/>
        <w:contextualSpacing/>
        <w:rPr>
          <w:rFonts w:ascii="Lato" w:hAnsi="Lato"/>
          <w:b/>
          <w:color w:val="000000" w:themeColor="text1"/>
          <w:sz w:val="24"/>
        </w:rPr>
      </w:pPr>
    </w:p>
    <w:bookmarkEnd w:id="0"/>
    <w:p w14:paraId="4C3BCFE5" w14:textId="77777777" w:rsidR="005E347E" w:rsidRPr="00AA22C4" w:rsidRDefault="005E347E" w:rsidP="005E347E">
      <w:pPr>
        <w:rPr>
          <w:rFonts w:ascii="Lato" w:hAnsi="Lato"/>
          <w:color w:val="000000" w:themeColor="text1"/>
        </w:rPr>
      </w:pPr>
    </w:p>
    <w:p w14:paraId="2DA3653A" w14:textId="77777777" w:rsidR="00724053" w:rsidRPr="00AA22C4" w:rsidRDefault="00724053" w:rsidP="005E347E">
      <w:pPr>
        <w:rPr>
          <w:rFonts w:ascii="Lato" w:hAnsi="Lato"/>
          <w:color w:val="000000" w:themeColor="text1"/>
        </w:rPr>
      </w:pPr>
    </w:p>
    <w:sectPr w:rsidR="00724053" w:rsidRPr="00AA22C4" w:rsidSect="00561213">
      <w:headerReference w:type="default" r:id="rId96"/>
      <w:footerReference w:type="default" r:id="rId97"/>
      <w:headerReference w:type="first" r:id="rId98"/>
      <w:footnotePr>
        <w:numRestart w:val="eachSect"/>
      </w:footnotePr>
      <w:pgSz w:w="11906" w:h="16838"/>
      <w:pgMar w:top="1276" w:right="1434" w:bottom="851" w:left="1418" w:header="708" w:footer="560" w:gutter="0"/>
      <w:pgNumType w:start="1"/>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CFC3B" w14:textId="77777777" w:rsidR="005364AE" w:rsidRDefault="005364AE">
      <w:pPr>
        <w:spacing w:line="240" w:lineRule="auto"/>
      </w:pPr>
      <w:r>
        <w:separator/>
      </w:r>
    </w:p>
  </w:endnote>
  <w:endnote w:type="continuationSeparator" w:id="0">
    <w:p w14:paraId="0CD7B573" w14:textId="77777777" w:rsidR="005364AE" w:rsidRDefault="005364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ato">
    <w:panose1 w:val="020F0502020204030203"/>
    <w:charset w:val="00"/>
    <w:family w:val="swiss"/>
    <w:pitch w:val="variable"/>
    <w:sig w:usb0="800000AF" w:usb1="5000ECFF" w:usb2="00000021" w:usb3="00000000" w:csb0="0000019F" w:csb1="00000000"/>
  </w:font>
  <w:font w:name="Times">
    <w:panose1 w:val="02020603050405020304"/>
    <w:charset w:val="00"/>
    <w:family w:val="roman"/>
    <w:pitch w:val="variable"/>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lgun Gothic">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D3C9F" w14:textId="77777777" w:rsidR="007611BB" w:rsidRPr="00C96D8C" w:rsidRDefault="007611BB">
    <w:pPr>
      <w:pStyle w:val="Stopka"/>
      <w:jc w:val="right"/>
      <w:rPr>
        <w:rFonts w:ascii="Lato" w:hAnsi="Lato"/>
        <w:sz w:val="22"/>
        <w:szCs w:val="22"/>
      </w:rPr>
    </w:pPr>
    <w:r w:rsidRPr="00C96D8C">
      <w:rPr>
        <w:rFonts w:ascii="Lato" w:hAnsi="Lato"/>
        <w:sz w:val="22"/>
        <w:szCs w:val="22"/>
      </w:rPr>
      <w:t xml:space="preserve">Strona </w:t>
    </w:r>
    <w:r w:rsidRPr="00C96D8C">
      <w:rPr>
        <w:rFonts w:ascii="Lato" w:hAnsi="Lato"/>
        <w:b/>
        <w:bCs/>
        <w:sz w:val="22"/>
        <w:szCs w:val="22"/>
      </w:rPr>
      <w:fldChar w:fldCharType="begin"/>
    </w:r>
    <w:r w:rsidRPr="00C96D8C">
      <w:rPr>
        <w:rFonts w:ascii="Lato" w:hAnsi="Lato"/>
        <w:b/>
        <w:bCs/>
        <w:sz w:val="22"/>
        <w:szCs w:val="22"/>
      </w:rPr>
      <w:instrText>PAGE</w:instrText>
    </w:r>
    <w:r w:rsidRPr="00C96D8C">
      <w:rPr>
        <w:rFonts w:ascii="Lato" w:hAnsi="Lato"/>
        <w:b/>
        <w:bCs/>
        <w:sz w:val="22"/>
        <w:szCs w:val="22"/>
      </w:rPr>
      <w:fldChar w:fldCharType="separate"/>
    </w:r>
    <w:r w:rsidR="00527589">
      <w:rPr>
        <w:rFonts w:ascii="Lato" w:hAnsi="Lato"/>
        <w:b/>
        <w:bCs/>
        <w:noProof/>
        <w:sz w:val="22"/>
        <w:szCs w:val="22"/>
      </w:rPr>
      <w:t>32</w:t>
    </w:r>
    <w:r w:rsidRPr="00C96D8C">
      <w:rPr>
        <w:rFonts w:ascii="Lato" w:hAnsi="Lato"/>
        <w:b/>
        <w:bCs/>
        <w:sz w:val="22"/>
        <w:szCs w:val="22"/>
      </w:rPr>
      <w:fldChar w:fldCharType="end"/>
    </w:r>
    <w:r w:rsidRPr="00C96D8C">
      <w:rPr>
        <w:rFonts w:ascii="Lato" w:hAnsi="Lato"/>
        <w:sz w:val="22"/>
        <w:szCs w:val="22"/>
      </w:rPr>
      <w:t xml:space="preserve"> z </w:t>
    </w:r>
    <w:r w:rsidRPr="00C96D8C">
      <w:rPr>
        <w:rFonts w:ascii="Lato" w:hAnsi="Lato"/>
        <w:b/>
        <w:bCs/>
        <w:sz w:val="22"/>
        <w:szCs w:val="22"/>
      </w:rPr>
      <w:fldChar w:fldCharType="begin"/>
    </w:r>
    <w:r w:rsidRPr="00C96D8C">
      <w:rPr>
        <w:rFonts w:ascii="Lato" w:hAnsi="Lato"/>
        <w:b/>
        <w:bCs/>
        <w:sz w:val="22"/>
        <w:szCs w:val="22"/>
      </w:rPr>
      <w:instrText>NUMPAGES</w:instrText>
    </w:r>
    <w:r w:rsidRPr="00C96D8C">
      <w:rPr>
        <w:rFonts w:ascii="Lato" w:hAnsi="Lato"/>
        <w:b/>
        <w:bCs/>
        <w:sz w:val="22"/>
        <w:szCs w:val="22"/>
      </w:rPr>
      <w:fldChar w:fldCharType="separate"/>
    </w:r>
    <w:r w:rsidR="00527589">
      <w:rPr>
        <w:rFonts w:ascii="Lato" w:hAnsi="Lato"/>
        <w:b/>
        <w:bCs/>
        <w:noProof/>
        <w:sz w:val="22"/>
        <w:szCs w:val="22"/>
      </w:rPr>
      <w:t>32</w:t>
    </w:r>
    <w:r w:rsidRPr="00C96D8C">
      <w:rPr>
        <w:rFonts w:ascii="Lato" w:hAnsi="Lato"/>
        <w:b/>
        <w:bCs/>
        <w:sz w:val="22"/>
        <w:szCs w:val="22"/>
      </w:rPr>
      <w:fldChar w:fldCharType="end"/>
    </w:r>
  </w:p>
  <w:p w14:paraId="516B9613" w14:textId="77777777" w:rsidR="007611BB" w:rsidRDefault="007611B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C49B2" w14:textId="77777777" w:rsidR="005364AE" w:rsidRDefault="005364AE">
      <w:pPr>
        <w:spacing w:line="240" w:lineRule="auto"/>
      </w:pPr>
      <w:r>
        <w:separator/>
      </w:r>
    </w:p>
  </w:footnote>
  <w:footnote w:type="continuationSeparator" w:id="0">
    <w:p w14:paraId="58124EEB" w14:textId="77777777" w:rsidR="005364AE" w:rsidRDefault="005364AE">
      <w:pPr>
        <w:spacing w:line="240" w:lineRule="auto"/>
      </w:pPr>
      <w:r>
        <w:continuationSeparator/>
      </w:r>
    </w:p>
  </w:footnote>
  <w:footnote w:id="1">
    <w:p w14:paraId="639FF105" w14:textId="2968D074" w:rsidR="007611BB" w:rsidRPr="00361814" w:rsidRDefault="007611BB" w:rsidP="005E347E">
      <w:pPr>
        <w:widowControl/>
        <w:spacing w:line="240" w:lineRule="auto"/>
        <w:rPr>
          <w:rFonts w:ascii="Lato" w:hAnsi="Lato"/>
          <w:color w:val="auto"/>
          <w:sz w:val="20"/>
          <w:szCs w:val="20"/>
        </w:rPr>
      </w:pPr>
      <w:r w:rsidRPr="00361814">
        <w:rPr>
          <w:rStyle w:val="Odwoanieprzypisudolnego"/>
          <w:rFonts w:ascii="Lato" w:hAnsi="Lato"/>
          <w:sz w:val="18"/>
          <w:szCs w:val="18"/>
        </w:rPr>
        <w:footnoteRef/>
      </w:r>
      <w:r w:rsidRPr="00361814">
        <w:rPr>
          <w:rFonts w:ascii="Lato" w:hAnsi="Lato"/>
          <w:sz w:val="18"/>
          <w:szCs w:val="18"/>
        </w:rPr>
        <w:t xml:space="preserve"> W 2019 </w:t>
      </w:r>
      <w:r>
        <w:rPr>
          <w:rFonts w:ascii="Lato" w:hAnsi="Lato"/>
          <w:sz w:val="18"/>
          <w:szCs w:val="18"/>
        </w:rPr>
        <w:t xml:space="preserve">r. </w:t>
      </w:r>
      <w:r w:rsidRPr="00361814">
        <w:rPr>
          <w:rFonts w:ascii="Lato" w:hAnsi="Lato"/>
          <w:sz w:val="18"/>
          <w:szCs w:val="18"/>
        </w:rPr>
        <w:t>plan finansowy programu po zmianach wynosił 32 013 626,00 zł, a wykonanie 32 003 882,00 zł</w:t>
      </w:r>
      <w:r>
        <w:rPr>
          <w:rFonts w:ascii="Lato" w:hAnsi="Lato"/>
          <w:sz w:val="18"/>
          <w:szCs w:val="18"/>
        </w:rPr>
        <w:t>.</w:t>
      </w:r>
    </w:p>
  </w:footnote>
  <w:footnote w:id="2">
    <w:p w14:paraId="09EE42FB" w14:textId="3511CA8F" w:rsidR="007611BB" w:rsidRPr="00361814" w:rsidRDefault="007611BB" w:rsidP="005E347E">
      <w:pPr>
        <w:widowControl/>
        <w:spacing w:line="240" w:lineRule="auto"/>
        <w:rPr>
          <w:rFonts w:ascii="Lato" w:hAnsi="Lato"/>
          <w:color w:val="auto"/>
          <w:sz w:val="18"/>
          <w:szCs w:val="18"/>
        </w:rPr>
      </w:pPr>
      <w:r w:rsidRPr="00361814">
        <w:rPr>
          <w:rStyle w:val="Odwoanieprzypisudolnego"/>
          <w:rFonts w:ascii="Lato" w:hAnsi="Lato"/>
          <w:sz w:val="18"/>
          <w:szCs w:val="18"/>
        </w:rPr>
        <w:footnoteRef/>
      </w:r>
      <w:r w:rsidRPr="00361814">
        <w:rPr>
          <w:rFonts w:ascii="Lato" w:hAnsi="Lato"/>
          <w:sz w:val="18"/>
          <w:szCs w:val="18"/>
        </w:rPr>
        <w:t xml:space="preserve"> W 2020 </w:t>
      </w:r>
      <w:r>
        <w:rPr>
          <w:rFonts w:ascii="Lato" w:hAnsi="Lato"/>
          <w:sz w:val="18"/>
          <w:szCs w:val="18"/>
        </w:rPr>
        <w:t xml:space="preserve">r. </w:t>
      </w:r>
      <w:r w:rsidRPr="00361814">
        <w:rPr>
          <w:rFonts w:ascii="Lato" w:hAnsi="Lato"/>
          <w:sz w:val="18"/>
          <w:szCs w:val="18"/>
        </w:rPr>
        <w:t>plan finansowy programu po zmianach wynosił 33 592 458,00 zł, a wykonanie: 33 395 400,77 zł</w:t>
      </w:r>
      <w:r>
        <w:rPr>
          <w:rFonts w:ascii="Lato" w:hAnsi="Lato"/>
          <w:sz w:val="18"/>
          <w:szCs w:val="18"/>
        </w:rPr>
        <w:t>.</w:t>
      </w:r>
    </w:p>
    <w:p w14:paraId="148C5BD2" w14:textId="77777777" w:rsidR="007611BB" w:rsidRPr="00C369E7" w:rsidRDefault="007611BB" w:rsidP="005E347E">
      <w:pPr>
        <w:widowControl/>
        <w:spacing w:line="240" w:lineRule="auto"/>
        <w:rPr>
          <w:color w:val="auto"/>
          <w:sz w:val="18"/>
          <w:szCs w:val="18"/>
        </w:rPr>
      </w:pPr>
    </w:p>
    <w:p w14:paraId="67AB4973" w14:textId="77777777" w:rsidR="007611BB" w:rsidRDefault="007611BB" w:rsidP="005E347E">
      <w:pPr>
        <w:pStyle w:val="Tekstprzypisudolnego"/>
      </w:pPr>
    </w:p>
  </w:footnote>
  <w:footnote w:id="3">
    <w:p w14:paraId="312DA987" w14:textId="06949051" w:rsidR="007611BB" w:rsidRPr="00361814" w:rsidRDefault="007611BB" w:rsidP="005E347E">
      <w:pPr>
        <w:pStyle w:val="Tekstprzypisudolnego"/>
        <w:spacing w:line="240" w:lineRule="auto"/>
        <w:rPr>
          <w:rFonts w:ascii="Lato" w:hAnsi="Lato"/>
        </w:rPr>
      </w:pPr>
      <w:r w:rsidRPr="00361814">
        <w:rPr>
          <w:rStyle w:val="Odwoanieprzypisudolnego"/>
          <w:rFonts w:ascii="Lato" w:hAnsi="Lato"/>
          <w:sz w:val="18"/>
          <w:szCs w:val="18"/>
        </w:rPr>
        <w:footnoteRef/>
      </w:r>
      <w:r w:rsidRPr="00361814">
        <w:rPr>
          <w:rFonts w:ascii="Lato" w:hAnsi="Lato"/>
          <w:sz w:val="18"/>
          <w:szCs w:val="18"/>
        </w:rPr>
        <w:t xml:space="preserve"> W 2021 </w:t>
      </w:r>
      <w:r>
        <w:rPr>
          <w:rFonts w:ascii="Lato" w:hAnsi="Lato"/>
          <w:sz w:val="18"/>
          <w:szCs w:val="18"/>
        </w:rPr>
        <w:t xml:space="preserve">r. </w:t>
      </w:r>
      <w:r w:rsidRPr="00361814">
        <w:rPr>
          <w:rFonts w:ascii="Lato" w:hAnsi="Lato"/>
          <w:sz w:val="18"/>
          <w:szCs w:val="18"/>
        </w:rPr>
        <w:t>plan finansowy po zmianie wyniósł 39 625 330,00 zł, a wykonanie: 39 594 766,65 zł (w tym plan wydatków niewygasających z końcem 2021 w wysokości 4 160 000,00 zł).</w:t>
      </w:r>
    </w:p>
  </w:footnote>
  <w:footnote w:id="4">
    <w:p w14:paraId="3FCD7756" w14:textId="6C195BA6" w:rsidR="007611BB" w:rsidRPr="000C3C04" w:rsidRDefault="007611BB" w:rsidP="005E347E">
      <w:pPr>
        <w:pStyle w:val="Tekstprzypisudolnego"/>
        <w:rPr>
          <w:sz w:val="17"/>
          <w:szCs w:val="17"/>
        </w:rPr>
      </w:pPr>
      <w:r w:rsidRPr="0015358E">
        <w:rPr>
          <w:rStyle w:val="Odwoanieprzypisudolnego"/>
          <w:sz w:val="17"/>
          <w:szCs w:val="17"/>
        </w:rPr>
        <w:footnoteRef/>
      </w:r>
      <w:r w:rsidRPr="0015358E">
        <w:rPr>
          <w:sz w:val="17"/>
          <w:szCs w:val="17"/>
        </w:rPr>
        <w:t xml:space="preserve"> </w:t>
      </w:r>
      <w:r w:rsidRPr="0015358E">
        <w:rPr>
          <w:rFonts w:ascii="Lato" w:hAnsi="Lato"/>
          <w:spacing w:val="-4"/>
          <w:sz w:val="18"/>
          <w:szCs w:val="18"/>
        </w:rPr>
        <w:t xml:space="preserve">W 2022 </w:t>
      </w:r>
      <w:r>
        <w:rPr>
          <w:rFonts w:ascii="Lato" w:hAnsi="Lato"/>
          <w:spacing w:val="-4"/>
          <w:sz w:val="18"/>
          <w:szCs w:val="18"/>
        </w:rPr>
        <w:t xml:space="preserve">r. </w:t>
      </w:r>
      <w:r w:rsidRPr="0015358E">
        <w:rPr>
          <w:rFonts w:ascii="Lato" w:hAnsi="Lato"/>
          <w:spacing w:val="-4"/>
          <w:sz w:val="18"/>
          <w:szCs w:val="18"/>
        </w:rPr>
        <w:t>plan po zmianach stanowił 42 900 000 zł, a wykonanie: 39 576 917,76 zł (po uwzględnieniu zwrotów)</w:t>
      </w:r>
      <w:r>
        <w:rPr>
          <w:rFonts w:ascii="Lato" w:hAnsi="Lato"/>
          <w:spacing w:val="-4"/>
          <w:sz w:val="18"/>
          <w:szCs w:val="18"/>
        </w:rPr>
        <w:t>.</w:t>
      </w:r>
    </w:p>
  </w:footnote>
  <w:footnote w:id="5">
    <w:p w14:paraId="4867E92C" w14:textId="23DDD79B" w:rsidR="007611BB" w:rsidRDefault="007611BB" w:rsidP="005E347E">
      <w:pPr>
        <w:pStyle w:val="Tekstprzypisudolnego"/>
        <w:spacing w:line="240" w:lineRule="auto"/>
        <w:jc w:val="both"/>
        <w:rPr>
          <w:rFonts w:ascii="Lato" w:hAnsi="Lato"/>
          <w:sz w:val="18"/>
          <w:szCs w:val="18"/>
        </w:rPr>
      </w:pPr>
      <w:r w:rsidRPr="00361814">
        <w:rPr>
          <w:rStyle w:val="Odwoanieprzypisudolnego"/>
          <w:rFonts w:ascii="Lato" w:hAnsi="Lato"/>
          <w:sz w:val="18"/>
          <w:szCs w:val="18"/>
        </w:rPr>
        <w:footnoteRef/>
      </w:r>
      <w:r w:rsidRPr="00361814">
        <w:rPr>
          <w:rFonts w:ascii="Lato" w:hAnsi="Lato"/>
          <w:sz w:val="18"/>
          <w:szCs w:val="18"/>
        </w:rPr>
        <w:t xml:space="preserve"> W 2022 </w:t>
      </w:r>
      <w:r>
        <w:rPr>
          <w:rFonts w:ascii="Lato" w:hAnsi="Lato"/>
          <w:sz w:val="18"/>
          <w:szCs w:val="18"/>
        </w:rPr>
        <w:t xml:space="preserve">r. </w:t>
      </w:r>
      <w:r w:rsidRPr="00361814">
        <w:rPr>
          <w:rFonts w:ascii="Lato" w:hAnsi="Lato"/>
          <w:sz w:val="18"/>
          <w:szCs w:val="18"/>
        </w:rPr>
        <w:t>badania b</w:t>
      </w:r>
      <w:r>
        <w:rPr>
          <w:rFonts w:ascii="Lato" w:hAnsi="Lato"/>
          <w:sz w:val="18"/>
          <w:szCs w:val="18"/>
        </w:rPr>
        <w:t>yły</w:t>
      </w:r>
      <w:r w:rsidRPr="00361814">
        <w:rPr>
          <w:rFonts w:ascii="Lato" w:hAnsi="Lato"/>
          <w:sz w:val="18"/>
          <w:szCs w:val="18"/>
        </w:rPr>
        <w:t xml:space="preserve"> prowadzone na terenie całej Polski zgodnie z określonym w programie harmonogramem.</w:t>
      </w:r>
    </w:p>
    <w:p w14:paraId="55690909" w14:textId="77777777" w:rsidR="007611BB" w:rsidRPr="00361814" w:rsidRDefault="007611BB" w:rsidP="005E347E">
      <w:pPr>
        <w:pStyle w:val="Tekstprzypisudolnego"/>
        <w:spacing w:line="240" w:lineRule="auto"/>
        <w:jc w:val="both"/>
        <w:rPr>
          <w:rFonts w:ascii="Lato" w:hAnsi="Lato"/>
        </w:rPr>
      </w:pPr>
    </w:p>
  </w:footnote>
  <w:footnote w:id="6">
    <w:p w14:paraId="398C861F" w14:textId="77777777" w:rsidR="007611BB" w:rsidRPr="00D055EB" w:rsidRDefault="007611BB" w:rsidP="005E347E">
      <w:pPr>
        <w:pStyle w:val="Tekstprzypisudolnego"/>
        <w:rPr>
          <w:rFonts w:ascii="Lato" w:hAnsi="Lato"/>
          <w:sz w:val="16"/>
          <w:szCs w:val="16"/>
        </w:rPr>
      </w:pPr>
      <w:r w:rsidRPr="00D055EB">
        <w:rPr>
          <w:rStyle w:val="Odwoanieprzypisudolnego"/>
          <w:rFonts w:ascii="Lato" w:hAnsi="Lato"/>
          <w:sz w:val="18"/>
          <w:szCs w:val="18"/>
        </w:rPr>
        <w:footnoteRef/>
      </w:r>
      <w:r w:rsidRPr="00D055EB">
        <w:rPr>
          <w:rFonts w:ascii="Lato" w:hAnsi="Lato"/>
          <w:sz w:val="18"/>
          <w:szCs w:val="18"/>
        </w:rPr>
        <w:t xml:space="preserve"> </w:t>
      </w:r>
      <w:r w:rsidRPr="00546A44">
        <w:rPr>
          <w:rFonts w:ascii="Lato" w:hAnsi="Lato"/>
          <w:sz w:val="18"/>
          <w:szCs w:val="18"/>
        </w:rPr>
        <w:t>Tabela poglądowa dla kosztów badań w kierunku SMA, koszt tych badań został uwzględniony w koszcie całkowitym badań przesiewowych w 2022 r.</w:t>
      </w:r>
    </w:p>
  </w:footnote>
  <w:footnote w:id="7">
    <w:p w14:paraId="5F0223A9" w14:textId="0C74C09E" w:rsidR="007611BB" w:rsidRPr="00570B27" w:rsidRDefault="007611BB" w:rsidP="005E347E">
      <w:pPr>
        <w:pStyle w:val="Tekstprzypisudolnego"/>
      </w:pPr>
      <w:r w:rsidRPr="00181F00">
        <w:rPr>
          <w:rStyle w:val="Odwoanieprzypisudolnego"/>
          <w:rFonts w:ascii="Lato" w:hAnsi="Lato"/>
          <w:color w:val="auto"/>
          <w:sz w:val="18"/>
          <w:szCs w:val="18"/>
        </w:rPr>
        <w:footnoteRef/>
      </w:r>
      <w:r w:rsidRPr="00181F00">
        <w:rPr>
          <w:rFonts w:ascii="Lato" w:hAnsi="Lato"/>
          <w:color w:val="auto"/>
          <w:sz w:val="18"/>
          <w:szCs w:val="18"/>
        </w:rPr>
        <w:t xml:space="preserve"> W</w:t>
      </w:r>
      <w:r w:rsidRPr="00181F00">
        <w:rPr>
          <w:rFonts w:ascii="Lato" w:hAnsi="Lato"/>
          <w:color w:val="auto"/>
          <w:spacing w:val="-4"/>
          <w:sz w:val="18"/>
          <w:szCs w:val="18"/>
        </w:rPr>
        <w:t xml:space="preserve"> </w:t>
      </w:r>
      <w:r w:rsidR="00181F00" w:rsidRPr="00181F00">
        <w:rPr>
          <w:rFonts w:ascii="Lato" w:hAnsi="Lato"/>
          <w:color w:val="auto"/>
          <w:spacing w:val="-4"/>
          <w:sz w:val="18"/>
          <w:szCs w:val="18"/>
        </w:rPr>
        <w:t>2023 r.</w:t>
      </w:r>
      <w:r w:rsidRPr="00181F00">
        <w:rPr>
          <w:rFonts w:ascii="Lato" w:hAnsi="Lato"/>
          <w:color w:val="auto"/>
          <w:spacing w:val="-4"/>
          <w:sz w:val="18"/>
          <w:szCs w:val="18"/>
        </w:rPr>
        <w:t xml:space="preserve"> plan po zmianach stanowił 43 522 600 zł, a wykonanie </w:t>
      </w:r>
      <w:r w:rsidRPr="00181F00">
        <w:rPr>
          <w:rFonts w:ascii="Lato" w:hAnsi="Lato"/>
          <w:color w:val="auto"/>
          <w:sz w:val="18"/>
          <w:szCs w:val="18"/>
        </w:rPr>
        <w:t>42 760 903,04 zł</w:t>
      </w:r>
      <w:r w:rsidRPr="00181F00">
        <w:rPr>
          <w:rFonts w:ascii="Lato" w:hAnsi="Lato"/>
          <w:color w:val="auto"/>
          <w:spacing w:val="-4"/>
          <w:sz w:val="18"/>
          <w:szCs w:val="18"/>
        </w:rPr>
        <w:t xml:space="preserve"> (po uwzględnieniu zwrotów).</w:t>
      </w:r>
    </w:p>
  </w:footnote>
  <w:footnote w:id="8">
    <w:p w14:paraId="701EE069" w14:textId="52B5C71F" w:rsidR="007611BB" w:rsidRPr="00C0081B" w:rsidRDefault="007611BB" w:rsidP="005E347E">
      <w:pPr>
        <w:pStyle w:val="Tekstprzypisudolnego"/>
        <w:rPr>
          <w:rFonts w:ascii="Lato" w:hAnsi="Lato"/>
          <w:sz w:val="18"/>
          <w:szCs w:val="18"/>
        </w:rPr>
      </w:pPr>
      <w:r w:rsidRPr="00181F00">
        <w:rPr>
          <w:rStyle w:val="Odwoanieprzypisudolnego"/>
          <w:rFonts w:ascii="Lato" w:hAnsi="Lato"/>
          <w:color w:val="auto"/>
          <w:sz w:val="18"/>
          <w:szCs w:val="18"/>
        </w:rPr>
        <w:footnoteRef/>
      </w:r>
      <w:r w:rsidRPr="00181F00">
        <w:rPr>
          <w:rFonts w:ascii="Lato" w:hAnsi="Lato"/>
          <w:color w:val="auto"/>
          <w:sz w:val="18"/>
          <w:szCs w:val="18"/>
        </w:rPr>
        <w:t xml:space="preserve"> W 2024 r. plan po zmianach stanowił 40 005 729,26 zł, a wykonanie 39 979 490,36</w:t>
      </w:r>
      <w:r w:rsidRPr="00181F00">
        <w:rPr>
          <w:rFonts w:ascii="Lato" w:hAnsi="Lato"/>
          <w:color w:val="auto"/>
          <w:spacing w:val="-4"/>
          <w:sz w:val="18"/>
          <w:szCs w:val="18"/>
        </w:rPr>
        <w:t xml:space="preserve"> zł (po uwzględnieniu zwrotów).</w:t>
      </w:r>
    </w:p>
  </w:footnote>
  <w:footnote w:id="9">
    <w:p w14:paraId="2952F3A3" w14:textId="380C6711" w:rsidR="007611BB" w:rsidRPr="006B7116" w:rsidRDefault="007611BB" w:rsidP="005E347E">
      <w:pPr>
        <w:pStyle w:val="Tekstprzypisudolnego"/>
        <w:rPr>
          <w:rFonts w:ascii="Lato" w:hAnsi="Lato"/>
          <w:color w:val="auto"/>
          <w:sz w:val="18"/>
          <w:szCs w:val="18"/>
        </w:rPr>
      </w:pPr>
      <w:r w:rsidRPr="006B7116">
        <w:rPr>
          <w:rStyle w:val="Odwoanieprzypisudolnego"/>
          <w:rFonts w:ascii="Lato" w:hAnsi="Lato"/>
          <w:color w:val="auto"/>
          <w:sz w:val="18"/>
          <w:szCs w:val="18"/>
        </w:rPr>
        <w:footnoteRef/>
      </w:r>
      <w:r w:rsidRPr="006B7116">
        <w:rPr>
          <w:rFonts w:ascii="Lato" w:hAnsi="Lato"/>
          <w:color w:val="auto"/>
          <w:sz w:val="16"/>
          <w:szCs w:val="16"/>
        </w:rPr>
        <w:t xml:space="preserve"> </w:t>
      </w:r>
      <w:r w:rsidRPr="006B7116">
        <w:rPr>
          <w:rFonts w:ascii="Lato" w:hAnsi="Lato"/>
          <w:color w:val="auto"/>
          <w:sz w:val="18"/>
          <w:szCs w:val="18"/>
        </w:rPr>
        <w:t>Po rozszerzeniu Programu o wszystkie wskazane w pilotażu choroby.</w:t>
      </w:r>
    </w:p>
    <w:p w14:paraId="6E597660" w14:textId="05EBF752" w:rsidR="007611BB" w:rsidRPr="006B7116" w:rsidRDefault="007611BB" w:rsidP="0013416F">
      <w:pPr>
        <w:tabs>
          <w:tab w:val="left" w:pos="5004"/>
        </w:tabs>
        <w:rPr>
          <w:color w:val="auto"/>
          <w:sz w:val="22"/>
          <w:szCs w:val="22"/>
        </w:rPr>
      </w:pPr>
      <w:r w:rsidRPr="006B7116">
        <w:rPr>
          <w:rFonts w:ascii="Lato" w:hAnsi="Lato"/>
          <w:color w:val="auto"/>
        </w:rPr>
        <w:t>*</w:t>
      </w:r>
      <w:r w:rsidRPr="006B7116">
        <w:rPr>
          <w:rFonts w:ascii="Lato" w:hAnsi="Lato"/>
          <w:color w:val="auto"/>
          <w:sz w:val="18"/>
          <w:szCs w:val="18"/>
        </w:rPr>
        <w:t>Obejmuje szacunkowy koszt badań genetycznych w etapie diagnostyki różnicowej i potwierdzenia.</w:t>
      </w:r>
    </w:p>
    <w:p w14:paraId="791F299F" w14:textId="77777777" w:rsidR="007611BB" w:rsidRPr="001E30F7" w:rsidRDefault="007611BB" w:rsidP="005E347E">
      <w:pPr>
        <w:pStyle w:val="Tekstprzypisudolnego"/>
        <w:rPr>
          <w:rFonts w:ascii="Lato" w:hAnsi="Lato"/>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5F44" w14:textId="77777777" w:rsidR="007611BB" w:rsidRPr="0015358E" w:rsidRDefault="007611BB" w:rsidP="006B4774">
    <w:pPr>
      <w:pStyle w:val="Nagwek"/>
      <w:spacing w:line="240" w:lineRule="auto"/>
      <w:jc w:val="center"/>
      <w:rPr>
        <w:rFonts w:ascii="Lato" w:hAnsi="Lato" w:cs="Arial"/>
        <w:color w:val="2F5496"/>
        <w:sz w:val="18"/>
        <w:szCs w:val="18"/>
      </w:rPr>
    </w:pPr>
    <w:r w:rsidRPr="0015358E">
      <w:rPr>
        <w:rFonts w:ascii="Lato" w:hAnsi="Lato" w:cs="Arial"/>
        <w:b/>
        <w:color w:val="2F5496"/>
        <w:sz w:val="18"/>
        <w:szCs w:val="18"/>
      </w:rPr>
      <w:t>Program polityki zdrowotnej Ministra Zdrowia</w:t>
    </w:r>
    <w:r w:rsidRPr="0015358E">
      <w:rPr>
        <w:rFonts w:ascii="Lato" w:hAnsi="Lato" w:cs="Arial"/>
        <w:color w:val="2F5496"/>
        <w:sz w:val="18"/>
        <w:szCs w:val="18"/>
      </w:rPr>
      <w:t xml:space="preserve"> </w:t>
    </w:r>
  </w:p>
  <w:p w14:paraId="45569B54" w14:textId="6C7F20E1" w:rsidR="007611BB" w:rsidRPr="008547B7" w:rsidRDefault="008547B7" w:rsidP="006A15A2">
    <w:pPr>
      <w:pStyle w:val="Nagwek"/>
      <w:spacing w:line="240" w:lineRule="auto"/>
      <w:jc w:val="center"/>
      <w:rPr>
        <w:rFonts w:ascii="Lato" w:hAnsi="Lato" w:cs="Arial"/>
        <w:i/>
        <w:iCs/>
        <w:color w:val="2F5496"/>
        <w:sz w:val="18"/>
        <w:szCs w:val="18"/>
      </w:rPr>
    </w:pPr>
    <w:r>
      <w:rPr>
        <w:rFonts w:ascii="Lato" w:hAnsi="Lato" w:cs="Arial"/>
        <w:i/>
        <w:iCs/>
        <w:color w:val="2F5496"/>
        <w:sz w:val="18"/>
        <w:szCs w:val="18"/>
      </w:rPr>
      <w:t xml:space="preserve">pn. </w:t>
    </w:r>
    <w:r w:rsidR="007611BB" w:rsidRPr="008547B7">
      <w:rPr>
        <w:rFonts w:ascii="Lato" w:hAnsi="Lato" w:cs="Arial"/>
        <w:i/>
        <w:iCs/>
        <w:color w:val="2F5496"/>
        <w:sz w:val="18"/>
        <w:szCs w:val="18"/>
      </w:rPr>
      <w:t>Rządowy program badań przesiewowych noworodków na lata 2019-2026</w:t>
    </w:r>
  </w:p>
  <w:p w14:paraId="2691C760" w14:textId="77777777" w:rsidR="007611BB" w:rsidRDefault="007611B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8E73E" w14:textId="77777777" w:rsidR="007611BB" w:rsidRDefault="007611BB">
    <w:pPr>
      <w:spacing w:line="26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bullet"/>
      <w:suff w:val="nothing"/>
      <w:lvlText w:val=""/>
      <w:lvlJc w:val="left"/>
      <w:pPr>
        <w:tabs>
          <w:tab w:val="num" w:pos="0"/>
        </w:tabs>
      </w:pPr>
      <w:rPr>
        <w:rFonts w:ascii="Symbol" w:hAnsi="Symbol"/>
      </w:rPr>
    </w:lvl>
    <w:lvl w:ilvl="1">
      <w:start w:val="1"/>
      <w:numFmt w:val="bullet"/>
      <w:suff w:val="nothing"/>
      <w:lvlText w:val="◦"/>
      <w:lvlJc w:val="left"/>
      <w:pPr>
        <w:tabs>
          <w:tab w:val="num" w:pos="0"/>
        </w:tabs>
      </w:pPr>
      <w:rPr>
        <w:rFonts w:ascii="OpenSymbol" w:hAnsi="OpenSymbol"/>
      </w:rPr>
    </w:lvl>
    <w:lvl w:ilvl="2">
      <w:start w:val="1"/>
      <w:numFmt w:val="bullet"/>
      <w:suff w:val="nothing"/>
      <w:lvlText w:val="▪"/>
      <w:lvlJc w:val="left"/>
      <w:pPr>
        <w:tabs>
          <w:tab w:val="num" w:pos="0"/>
        </w:tabs>
      </w:pPr>
      <w:rPr>
        <w:rFonts w:ascii="OpenSymbol" w:hAnsi="Open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OpenSymbol" w:hAnsi="OpenSymbol"/>
      </w:rPr>
    </w:lvl>
    <w:lvl w:ilvl="5">
      <w:start w:val="1"/>
      <w:numFmt w:val="bullet"/>
      <w:suff w:val="nothing"/>
      <w:lvlText w:val="▪"/>
      <w:lvlJc w:val="left"/>
      <w:pPr>
        <w:tabs>
          <w:tab w:val="num" w:pos="0"/>
        </w:tabs>
      </w:pPr>
      <w:rPr>
        <w:rFonts w:ascii="OpenSymbol" w:hAnsi="Open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OpenSymbol" w:hAnsi="OpenSymbol"/>
      </w:rPr>
    </w:lvl>
    <w:lvl w:ilvl="8">
      <w:start w:val="1"/>
      <w:numFmt w:val="bullet"/>
      <w:suff w:val="nothing"/>
      <w:lvlText w:val="▪"/>
      <w:lvlJc w:val="left"/>
      <w:pPr>
        <w:tabs>
          <w:tab w:val="num" w:pos="0"/>
        </w:tabs>
      </w:pPr>
      <w:rPr>
        <w:rFonts w:ascii="OpenSymbol" w:hAnsi="OpenSymbol"/>
      </w:rPr>
    </w:lvl>
  </w:abstractNum>
  <w:abstractNum w:abstractNumId="1" w15:restartNumberingAfterBreak="0">
    <w:nsid w:val="00000003"/>
    <w:multiLevelType w:val="singleLevel"/>
    <w:tmpl w:val="04150017"/>
    <w:lvl w:ilvl="0">
      <w:start w:val="1"/>
      <w:numFmt w:val="lowerLetter"/>
      <w:lvlText w:val="%1)"/>
      <w:lvlJc w:val="left"/>
      <w:pPr>
        <w:ind w:left="720" w:hanging="360"/>
      </w:pPr>
    </w:lvl>
  </w:abstractNum>
  <w:abstractNum w:abstractNumId="2" w15:restartNumberingAfterBreak="0">
    <w:nsid w:val="00000004"/>
    <w:multiLevelType w:val="singleLevel"/>
    <w:tmpl w:val="00000004"/>
    <w:name w:val="WW8Num3"/>
    <w:lvl w:ilvl="0">
      <w:start w:val="1"/>
      <w:numFmt w:val="bullet"/>
      <w:suff w:val="nothing"/>
      <w:lvlText w:val=""/>
      <w:lvlJc w:val="left"/>
      <w:pPr>
        <w:tabs>
          <w:tab w:val="num" w:pos="1704"/>
        </w:tabs>
      </w:pPr>
      <w:rPr>
        <w:rFonts w:ascii="Symbol" w:hAnsi="Symbol"/>
      </w:rPr>
    </w:lvl>
  </w:abstractNum>
  <w:abstractNum w:abstractNumId="3" w15:restartNumberingAfterBreak="0">
    <w:nsid w:val="00000005"/>
    <w:multiLevelType w:val="singleLevel"/>
    <w:tmpl w:val="00000005"/>
    <w:name w:val="WW8Num4"/>
    <w:lvl w:ilvl="0">
      <w:start w:val="1"/>
      <w:numFmt w:val="bullet"/>
      <w:suff w:val="nothing"/>
      <w:lvlText w:val=""/>
      <w:lvlJc w:val="left"/>
      <w:pPr>
        <w:tabs>
          <w:tab w:val="num" w:pos="0"/>
        </w:tabs>
      </w:pPr>
      <w:rPr>
        <w:rFonts w:ascii="Symbol" w:hAnsi="Symbol"/>
      </w:rPr>
    </w:lvl>
  </w:abstractNum>
  <w:abstractNum w:abstractNumId="4" w15:restartNumberingAfterBreak="0">
    <w:nsid w:val="00000006"/>
    <w:multiLevelType w:val="multilevel"/>
    <w:tmpl w:val="00000006"/>
    <w:name w:val="WW8Num5"/>
    <w:lvl w:ilvl="0">
      <w:start w:val="1"/>
      <w:numFmt w:val="bullet"/>
      <w:suff w:val="nothing"/>
      <w:lvlText w:val=""/>
      <w:lvlJc w:val="left"/>
      <w:pPr>
        <w:tabs>
          <w:tab w:val="num" w:pos="0"/>
        </w:tabs>
      </w:pPr>
      <w:rPr>
        <w:rFonts w:ascii="Symbol" w:hAnsi="Symbol"/>
      </w:rPr>
    </w:lvl>
    <w:lvl w:ilvl="1">
      <w:start w:val="1"/>
      <w:numFmt w:val="bullet"/>
      <w:suff w:val="nothing"/>
      <w:lvlText w:val="◦"/>
      <w:lvlJc w:val="left"/>
      <w:pPr>
        <w:tabs>
          <w:tab w:val="num" w:pos="0"/>
        </w:tabs>
      </w:pPr>
      <w:rPr>
        <w:rFonts w:ascii="OpenSymbol" w:hAnsi="OpenSymbol"/>
      </w:rPr>
    </w:lvl>
    <w:lvl w:ilvl="2">
      <w:start w:val="1"/>
      <w:numFmt w:val="bullet"/>
      <w:suff w:val="nothing"/>
      <w:lvlText w:val="▪"/>
      <w:lvlJc w:val="left"/>
      <w:pPr>
        <w:tabs>
          <w:tab w:val="num" w:pos="0"/>
        </w:tabs>
      </w:pPr>
      <w:rPr>
        <w:rFonts w:ascii="OpenSymbol" w:hAnsi="Open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OpenSymbol" w:hAnsi="OpenSymbol"/>
      </w:rPr>
    </w:lvl>
    <w:lvl w:ilvl="5">
      <w:start w:val="1"/>
      <w:numFmt w:val="bullet"/>
      <w:suff w:val="nothing"/>
      <w:lvlText w:val="▪"/>
      <w:lvlJc w:val="left"/>
      <w:pPr>
        <w:tabs>
          <w:tab w:val="num" w:pos="0"/>
        </w:tabs>
      </w:pPr>
      <w:rPr>
        <w:rFonts w:ascii="OpenSymbol" w:hAnsi="Open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OpenSymbol" w:hAnsi="OpenSymbol"/>
      </w:rPr>
    </w:lvl>
    <w:lvl w:ilvl="8">
      <w:start w:val="1"/>
      <w:numFmt w:val="bullet"/>
      <w:suff w:val="nothing"/>
      <w:lvlText w:val="▪"/>
      <w:lvlJc w:val="left"/>
      <w:pPr>
        <w:tabs>
          <w:tab w:val="num" w:pos="0"/>
        </w:tabs>
      </w:pPr>
      <w:rPr>
        <w:rFonts w:ascii="OpenSymbol" w:hAnsi="OpenSymbol"/>
      </w:rPr>
    </w:lvl>
  </w:abstractNum>
  <w:abstractNum w:abstractNumId="5" w15:restartNumberingAfterBreak="0">
    <w:nsid w:val="00000009"/>
    <w:multiLevelType w:val="multilevel"/>
    <w:tmpl w:val="00000009"/>
    <w:name w:val="WW8Num8"/>
    <w:lvl w:ilvl="0">
      <w:start w:val="1"/>
      <w:numFmt w:val="decimal"/>
      <w:suff w:val="nothing"/>
      <w:lvlText w:val="%1)"/>
      <w:lvlJc w:val="left"/>
      <w:pPr>
        <w:tabs>
          <w:tab w:val="num" w:pos="0"/>
        </w:tabs>
      </w:pPr>
      <w:rPr>
        <w:rFonts w:cs="Times New Roman"/>
      </w:rPr>
    </w:lvl>
    <w:lvl w:ilvl="1">
      <w:start w:val="1"/>
      <w:numFmt w:val="decimal"/>
      <w:suff w:val="nothing"/>
      <w:lvlText w:val="%2."/>
      <w:lvlJc w:val="left"/>
      <w:pPr>
        <w:tabs>
          <w:tab w:val="num" w:pos="0"/>
        </w:tabs>
      </w:pPr>
      <w:rPr>
        <w:rFonts w:cs="Times New Roman"/>
      </w:rPr>
    </w:lvl>
    <w:lvl w:ilvl="2">
      <w:start w:val="1"/>
      <w:numFmt w:val="decimal"/>
      <w:suff w:val="nothing"/>
      <w:lvlText w:val="%3."/>
      <w:lvlJc w:val="left"/>
      <w:pPr>
        <w:tabs>
          <w:tab w:val="num" w:pos="0"/>
        </w:tabs>
      </w:pPr>
      <w:rPr>
        <w:rFonts w:cs="Times New Roman"/>
      </w:rPr>
    </w:lvl>
    <w:lvl w:ilvl="3">
      <w:start w:val="1"/>
      <w:numFmt w:val="decimal"/>
      <w:suff w:val="nothing"/>
      <w:lvlText w:val="%4."/>
      <w:lvlJc w:val="left"/>
      <w:pPr>
        <w:tabs>
          <w:tab w:val="num" w:pos="0"/>
        </w:tabs>
      </w:pPr>
      <w:rPr>
        <w:rFonts w:cs="Times New Roman"/>
      </w:rPr>
    </w:lvl>
    <w:lvl w:ilvl="4">
      <w:start w:val="1"/>
      <w:numFmt w:val="decimal"/>
      <w:suff w:val="nothing"/>
      <w:lvlText w:val="%5."/>
      <w:lvlJc w:val="left"/>
      <w:pPr>
        <w:tabs>
          <w:tab w:val="num" w:pos="0"/>
        </w:tabs>
      </w:pPr>
      <w:rPr>
        <w:rFonts w:cs="Times New Roman"/>
      </w:rPr>
    </w:lvl>
    <w:lvl w:ilvl="5">
      <w:start w:val="1"/>
      <w:numFmt w:val="decimal"/>
      <w:suff w:val="nothing"/>
      <w:lvlText w:val="%6."/>
      <w:lvlJc w:val="left"/>
      <w:pPr>
        <w:tabs>
          <w:tab w:val="num" w:pos="0"/>
        </w:tabs>
      </w:pPr>
      <w:rPr>
        <w:rFonts w:cs="Times New Roman"/>
      </w:rPr>
    </w:lvl>
    <w:lvl w:ilvl="6">
      <w:start w:val="1"/>
      <w:numFmt w:val="decimal"/>
      <w:suff w:val="nothing"/>
      <w:lvlText w:val="%7."/>
      <w:lvlJc w:val="left"/>
      <w:pPr>
        <w:tabs>
          <w:tab w:val="num" w:pos="0"/>
        </w:tabs>
      </w:pPr>
      <w:rPr>
        <w:rFonts w:cs="Times New Roman"/>
      </w:rPr>
    </w:lvl>
    <w:lvl w:ilvl="7">
      <w:start w:val="1"/>
      <w:numFmt w:val="decimal"/>
      <w:suff w:val="nothing"/>
      <w:lvlText w:val="%8."/>
      <w:lvlJc w:val="left"/>
      <w:pPr>
        <w:tabs>
          <w:tab w:val="num" w:pos="0"/>
        </w:tabs>
      </w:pPr>
      <w:rPr>
        <w:rFonts w:cs="Times New Roman"/>
      </w:rPr>
    </w:lvl>
    <w:lvl w:ilvl="8">
      <w:start w:val="1"/>
      <w:numFmt w:val="decimal"/>
      <w:suff w:val="nothing"/>
      <w:lvlText w:val="%9."/>
      <w:lvlJc w:val="left"/>
      <w:pPr>
        <w:tabs>
          <w:tab w:val="num" w:pos="0"/>
        </w:tabs>
      </w:pPr>
      <w:rPr>
        <w:rFonts w:cs="Times New Roman"/>
      </w:rPr>
    </w:lvl>
  </w:abstractNum>
  <w:abstractNum w:abstractNumId="6" w15:restartNumberingAfterBreak="0">
    <w:nsid w:val="0000000A"/>
    <w:multiLevelType w:val="multilevel"/>
    <w:tmpl w:val="0000000A"/>
    <w:name w:val="WW8Num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00462221"/>
    <w:multiLevelType w:val="hybridMultilevel"/>
    <w:tmpl w:val="5C661878"/>
    <w:lvl w:ilvl="0" w:tplc="4DC29A10">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8" w15:restartNumberingAfterBreak="0">
    <w:nsid w:val="00A57373"/>
    <w:multiLevelType w:val="hybridMultilevel"/>
    <w:tmpl w:val="19925D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22F669A"/>
    <w:multiLevelType w:val="multilevel"/>
    <w:tmpl w:val="65C6D6DE"/>
    <w:lvl w:ilvl="0">
      <w:start w:val="3"/>
      <w:numFmt w:val="decimal"/>
      <w:lvlText w:val="%1"/>
      <w:lvlJc w:val="left"/>
      <w:pPr>
        <w:ind w:left="360" w:hanging="360"/>
      </w:pPr>
      <w:rPr>
        <w:rFonts w:hint="default"/>
      </w:rPr>
    </w:lvl>
    <w:lvl w:ilvl="1">
      <w:start w:val="1"/>
      <w:numFmt w:val="decimal"/>
      <w:lvlText w:val="%2."/>
      <w:lvlJc w:val="left"/>
      <w:pPr>
        <w:ind w:left="1636" w:hanging="360"/>
      </w:pPr>
      <w:rPr>
        <w:rFonts w:ascii="Calibri" w:eastAsia="Calibri" w:hAnsi="Calibri" w:cs="Times New Roman"/>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10" w15:restartNumberingAfterBreak="0">
    <w:nsid w:val="033C3532"/>
    <w:multiLevelType w:val="hybridMultilevel"/>
    <w:tmpl w:val="E924BFDE"/>
    <w:lvl w:ilvl="0" w:tplc="4DC29A1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039B714C"/>
    <w:multiLevelType w:val="hybridMultilevel"/>
    <w:tmpl w:val="A2120C2C"/>
    <w:lvl w:ilvl="0" w:tplc="4DC29A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47A7DAA"/>
    <w:multiLevelType w:val="hybridMultilevel"/>
    <w:tmpl w:val="2C7ACB36"/>
    <w:lvl w:ilvl="0" w:tplc="04150011">
      <w:start w:val="24"/>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0520504B"/>
    <w:multiLevelType w:val="multilevel"/>
    <w:tmpl w:val="F0208216"/>
    <w:numStyleLink w:val="HTA-Listapunktowa2"/>
  </w:abstractNum>
  <w:abstractNum w:abstractNumId="14" w15:restartNumberingAfterBreak="0">
    <w:nsid w:val="060479D3"/>
    <w:multiLevelType w:val="hybridMultilevel"/>
    <w:tmpl w:val="6622B830"/>
    <w:lvl w:ilvl="0" w:tplc="0415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08432263"/>
    <w:multiLevelType w:val="multilevel"/>
    <w:tmpl w:val="F0208216"/>
    <w:styleLink w:val="HTA-Listapunktowa2"/>
    <w:lvl w:ilvl="0">
      <w:start w:val="1"/>
      <w:numFmt w:val="bullet"/>
      <w:pStyle w:val="Listapunktowana-dlugitekst"/>
      <w:lvlText w:val=""/>
      <w:lvlJc w:val="left"/>
      <w:pPr>
        <w:tabs>
          <w:tab w:val="num" w:pos="284"/>
        </w:tabs>
        <w:ind w:left="284" w:hanging="284"/>
      </w:pPr>
      <w:rPr>
        <w:rFonts w:ascii="Symbol" w:hAnsi="Symbol" w:hint="default"/>
        <w:color w:val="000000"/>
      </w:rPr>
    </w:lvl>
    <w:lvl w:ilvl="1">
      <w:start w:val="1"/>
      <w:numFmt w:val="bullet"/>
      <w:pStyle w:val="Listapunktowana2-dugitekst"/>
      <w:lvlText w:val="o"/>
      <w:lvlJc w:val="left"/>
      <w:pPr>
        <w:tabs>
          <w:tab w:val="num" w:pos="1276"/>
        </w:tabs>
        <w:ind w:left="1276" w:hanging="284"/>
      </w:pPr>
      <w:rPr>
        <w:rFonts w:ascii="Courier New" w:hAnsi="Courier New" w:hint="default"/>
      </w:rPr>
    </w:lvl>
    <w:lvl w:ilvl="2">
      <w:start w:val="1"/>
      <w:numFmt w:val="bullet"/>
      <w:pStyle w:val="Listapunktowana3-dugitekst"/>
      <w:lvlText w:val="-"/>
      <w:lvlJc w:val="left"/>
      <w:pPr>
        <w:tabs>
          <w:tab w:val="num" w:pos="852"/>
        </w:tabs>
        <w:ind w:left="852" w:hanging="284"/>
      </w:pPr>
      <w:rPr>
        <w:rFonts w:ascii="Arial" w:hAnsi="Arial" w:hint="default"/>
        <w:color w:val="000000"/>
      </w:rPr>
    </w:lvl>
    <w:lvl w:ilvl="3">
      <w:start w:val="1"/>
      <w:numFmt w:val="bullet"/>
      <w:pStyle w:val="Listapunktowana4-dugitekst"/>
      <w:lvlText w:val="-"/>
      <w:lvlJc w:val="left"/>
      <w:pPr>
        <w:tabs>
          <w:tab w:val="num" w:pos="1136"/>
        </w:tabs>
        <w:ind w:left="1136" w:hanging="284"/>
      </w:pPr>
      <w:rPr>
        <w:rFonts w:ascii="Arial" w:hAnsi="Arial" w:hint="default"/>
        <w:color w:val="000000"/>
      </w:rPr>
    </w:lvl>
    <w:lvl w:ilvl="4">
      <w:start w:val="1"/>
      <w:numFmt w:val="bullet"/>
      <w:pStyle w:val="Listapunktowana5-dugitekst"/>
      <w:lvlText w:val="-"/>
      <w:lvlJc w:val="left"/>
      <w:pPr>
        <w:tabs>
          <w:tab w:val="num" w:pos="1420"/>
        </w:tabs>
        <w:ind w:left="1420" w:hanging="284"/>
      </w:pPr>
      <w:rPr>
        <w:rFonts w:ascii="Arial" w:hAnsi="Arial" w:hint="default"/>
        <w:color w:val="000000"/>
      </w:rPr>
    </w:lvl>
    <w:lvl w:ilvl="5">
      <w:start w:val="1"/>
      <w:numFmt w:val="bullet"/>
      <w:lvlText w:val="-"/>
      <w:lvlJc w:val="left"/>
      <w:pPr>
        <w:tabs>
          <w:tab w:val="num" w:pos="1704"/>
        </w:tabs>
        <w:ind w:left="1704" w:hanging="284"/>
      </w:pPr>
      <w:rPr>
        <w:rFonts w:ascii="Arial" w:hAnsi="Arial" w:hint="default"/>
        <w:color w:val="000000"/>
      </w:rPr>
    </w:lvl>
    <w:lvl w:ilvl="6">
      <w:start w:val="1"/>
      <w:numFmt w:val="bullet"/>
      <w:lvlText w:val="-"/>
      <w:lvlJc w:val="left"/>
      <w:pPr>
        <w:tabs>
          <w:tab w:val="num" w:pos="1988"/>
        </w:tabs>
        <w:ind w:left="1988" w:hanging="284"/>
      </w:pPr>
      <w:rPr>
        <w:rFonts w:ascii="Arial" w:hAnsi="Arial" w:hint="default"/>
        <w:color w:val="000000"/>
      </w:rPr>
    </w:lvl>
    <w:lvl w:ilvl="7">
      <w:start w:val="1"/>
      <w:numFmt w:val="bullet"/>
      <w:lvlText w:val="-"/>
      <w:lvlJc w:val="left"/>
      <w:pPr>
        <w:tabs>
          <w:tab w:val="num" w:pos="2272"/>
        </w:tabs>
        <w:ind w:left="2272" w:hanging="284"/>
      </w:pPr>
      <w:rPr>
        <w:rFonts w:ascii="Arial" w:hAnsi="Arial" w:hint="default"/>
        <w:color w:val="000000"/>
      </w:rPr>
    </w:lvl>
    <w:lvl w:ilvl="8">
      <w:start w:val="1"/>
      <w:numFmt w:val="bullet"/>
      <w:lvlText w:val="-"/>
      <w:lvlJc w:val="left"/>
      <w:pPr>
        <w:tabs>
          <w:tab w:val="num" w:pos="2556"/>
        </w:tabs>
        <w:ind w:left="2556" w:hanging="284"/>
      </w:pPr>
      <w:rPr>
        <w:rFonts w:ascii="Arial" w:hAnsi="Arial" w:hint="default"/>
        <w:color w:val="000000"/>
      </w:rPr>
    </w:lvl>
  </w:abstractNum>
  <w:abstractNum w:abstractNumId="16" w15:restartNumberingAfterBreak="0">
    <w:nsid w:val="0A197FA2"/>
    <w:multiLevelType w:val="multilevel"/>
    <w:tmpl w:val="BDECBDD4"/>
    <w:styleLink w:val="HTA-Listanumerowana2"/>
    <w:lvl w:ilvl="0">
      <w:start w:val="1"/>
      <w:numFmt w:val="decimal"/>
      <w:pStyle w:val="Listanumerowana-dugitekst"/>
      <w:lvlText w:val="%1."/>
      <w:lvlJc w:val="left"/>
      <w:pPr>
        <w:tabs>
          <w:tab w:val="num" w:pos="284"/>
        </w:tabs>
        <w:ind w:left="284" w:hanging="284"/>
      </w:pPr>
      <w:rPr>
        <w:rFonts w:hint="default"/>
      </w:rPr>
    </w:lvl>
    <w:lvl w:ilvl="1">
      <w:start w:val="1"/>
      <w:numFmt w:val="lowerLetter"/>
      <w:pStyle w:val="Listanumerowana2-dugitekst"/>
      <w:lvlText w:val="%2."/>
      <w:lvlJc w:val="left"/>
      <w:pPr>
        <w:tabs>
          <w:tab w:val="num" w:pos="567"/>
        </w:tabs>
        <w:ind w:left="568" w:hanging="284"/>
      </w:pPr>
      <w:rPr>
        <w:rFonts w:hint="default"/>
      </w:rPr>
    </w:lvl>
    <w:lvl w:ilvl="2">
      <w:start w:val="1"/>
      <w:numFmt w:val="lowerRoman"/>
      <w:pStyle w:val="Listanumerowana3-dugitekst"/>
      <w:lvlText w:val="%3."/>
      <w:lvlJc w:val="left"/>
      <w:pPr>
        <w:tabs>
          <w:tab w:val="num" w:pos="851"/>
        </w:tabs>
        <w:ind w:left="852" w:hanging="284"/>
      </w:pPr>
      <w:rPr>
        <w:rFonts w:hint="default"/>
      </w:rPr>
    </w:lvl>
    <w:lvl w:ilvl="3">
      <w:start w:val="1"/>
      <w:numFmt w:val="bullet"/>
      <w:pStyle w:val="Listanumerowana4-dugitekst"/>
      <w:lvlText w:val=""/>
      <w:lvlJc w:val="left"/>
      <w:pPr>
        <w:tabs>
          <w:tab w:val="num" w:pos="1134"/>
        </w:tabs>
        <w:ind w:left="1136" w:hanging="284"/>
      </w:pPr>
      <w:rPr>
        <w:rFonts w:ascii="Symbol" w:hAnsi="Symbol" w:hint="default"/>
        <w:color w:val="000000"/>
      </w:rPr>
    </w:lvl>
    <w:lvl w:ilvl="4">
      <w:start w:val="1"/>
      <w:numFmt w:val="bullet"/>
      <w:pStyle w:val="Listanumerowana5-dugitekst"/>
      <w:lvlText w:val="o"/>
      <w:lvlJc w:val="left"/>
      <w:pPr>
        <w:tabs>
          <w:tab w:val="num" w:pos="1418"/>
        </w:tabs>
        <w:ind w:left="1420" w:hanging="284"/>
      </w:pPr>
      <w:rPr>
        <w:rFonts w:ascii="Courier New" w:hAnsi="Courier New" w:hint="default"/>
      </w:rPr>
    </w:lvl>
    <w:lvl w:ilvl="5">
      <w:start w:val="1"/>
      <w:numFmt w:val="bullet"/>
      <w:lvlText w:val="-"/>
      <w:lvlJc w:val="left"/>
      <w:pPr>
        <w:tabs>
          <w:tab w:val="num" w:pos="1707"/>
        </w:tabs>
        <w:ind w:left="1704" w:hanging="284"/>
      </w:pPr>
      <w:rPr>
        <w:rFonts w:ascii="Arial" w:hAnsi="Arial" w:hint="default"/>
        <w:color w:val="000000"/>
      </w:rPr>
    </w:lvl>
    <w:lvl w:ilvl="6">
      <w:start w:val="1"/>
      <w:numFmt w:val="bullet"/>
      <w:lvlText w:val="-"/>
      <w:lvlJc w:val="left"/>
      <w:pPr>
        <w:tabs>
          <w:tab w:val="num" w:pos="1990"/>
        </w:tabs>
        <w:ind w:left="1988" w:hanging="284"/>
      </w:pPr>
      <w:rPr>
        <w:rFonts w:ascii="Arial" w:hAnsi="Arial" w:hint="default"/>
        <w:color w:val="000000"/>
      </w:rPr>
    </w:lvl>
    <w:lvl w:ilvl="7">
      <w:start w:val="1"/>
      <w:numFmt w:val="bullet"/>
      <w:lvlText w:val="-"/>
      <w:lvlJc w:val="left"/>
      <w:pPr>
        <w:tabs>
          <w:tab w:val="num" w:pos="2274"/>
        </w:tabs>
        <w:ind w:left="2272" w:hanging="284"/>
      </w:pPr>
      <w:rPr>
        <w:rFonts w:ascii="Arial" w:hAnsi="Arial" w:hint="default"/>
        <w:color w:val="000000"/>
      </w:rPr>
    </w:lvl>
    <w:lvl w:ilvl="8">
      <w:start w:val="1"/>
      <w:numFmt w:val="bullet"/>
      <w:lvlText w:val="-"/>
      <w:lvlJc w:val="left"/>
      <w:pPr>
        <w:tabs>
          <w:tab w:val="num" w:pos="2557"/>
        </w:tabs>
        <w:ind w:left="2556" w:hanging="284"/>
      </w:pPr>
      <w:rPr>
        <w:rFonts w:ascii="Arial" w:hAnsi="Arial" w:hint="default"/>
        <w:color w:val="000000"/>
      </w:rPr>
    </w:lvl>
  </w:abstractNum>
  <w:abstractNum w:abstractNumId="17" w15:restartNumberingAfterBreak="0">
    <w:nsid w:val="0A225E7C"/>
    <w:multiLevelType w:val="hybridMultilevel"/>
    <w:tmpl w:val="78248A3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0B8C1AE7"/>
    <w:multiLevelType w:val="multilevel"/>
    <w:tmpl w:val="29C23F24"/>
    <w:lvl w:ilvl="0">
      <w:start w:val="2"/>
      <w:numFmt w:val="decimal"/>
      <w:lvlText w:val="%1"/>
      <w:lvlJc w:val="left"/>
      <w:pPr>
        <w:ind w:left="360" w:hanging="360"/>
      </w:pPr>
      <w:rPr>
        <w:rFonts w:ascii="Calibri" w:hAnsi="Calibri" w:hint="default"/>
      </w:rPr>
    </w:lvl>
    <w:lvl w:ilvl="1">
      <w:start w:val="1"/>
      <w:numFmt w:val="decimal"/>
      <w:lvlText w:val="%2."/>
      <w:lvlJc w:val="left"/>
      <w:pPr>
        <w:ind w:left="1440" w:hanging="360"/>
      </w:pPr>
      <w:rPr>
        <w:rFonts w:ascii="Calibri" w:eastAsia="Calibri" w:hAnsi="Calibri" w:cs="Times New Roman"/>
      </w:rPr>
    </w:lvl>
    <w:lvl w:ilvl="2">
      <w:start w:val="1"/>
      <w:numFmt w:val="decimal"/>
      <w:lvlText w:val="%1.%2.%3"/>
      <w:lvlJc w:val="left"/>
      <w:pPr>
        <w:ind w:left="2880" w:hanging="720"/>
      </w:pPr>
      <w:rPr>
        <w:rFonts w:ascii="Calibri" w:hAnsi="Calibri" w:hint="default"/>
      </w:rPr>
    </w:lvl>
    <w:lvl w:ilvl="3">
      <w:start w:val="1"/>
      <w:numFmt w:val="decimal"/>
      <w:lvlText w:val="%1.%2.%3.%4"/>
      <w:lvlJc w:val="left"/>
      <w:pPr>
        <w:ind w:left="3960" w:hanging="720"/>
      </w:pPr>
      <w:rPr>
        <w:rFonts w:ascii="Calibri" w:hAnsi="Calibri" w:hint="default"/>
      </w:rPr>
    </w:lvl>
    <w:lvl w:ilvl="4">
      <w:start w:val="1"/>
      <w:numFmt w:val="decimal"/>
      <w:lvlText w:val="%1.%2.%3.%4.%5"/>
      <w:lvlJc w:val="left"/>
      <w:pPr>
        <w:ind w:left="5040" w:hanging="720"/>
      </w:pPr>
      <w:rPr>
        <w:rFonts w:ascii="Calibri" w:hAnsi="Calibri" w:hint="default"/>
      </w:rPr>
    </w:lvl>
    <w:lvl w:ilvl="5">
      <w:start w:val="1"/>
      <w:numFmt w:val="decimal"/>
      <w:lvlText w:val="%1.%2.%3.%4.%5.%6"/>
      <w:lvlJc w:val="left"/>
      <w:pPr>
        <w:ind w:left="6480" w:hanging="1080"/>
      </w:pPr>
      <w:rPr>
        <w:rFonts w:ascii="Calibri" w:hAnsi="Calibri" w:hint="default"/>
      </w:rPr>
    </w:lvl>
    <w:lvl w:ilvl="6">
      <w:start w:val="1"/>
      <w:numFmt w:val="decimal"/>
      <w:lvlText w:val="%1.%2.%3.%4.%5.%6.%7"/>
      <w:lvlJc w:val="left"/>
      <w:pPr>
        <w:ind w:left="7560" w:hanging="1080"/>
      </w:pPr>
      <w:rPr>
        <w:rFonts w:ascii="Calibri" w:hAnsi="Calibri" w:hint="default"/>
      </w:rPr>
    </w:lvl>
    <w:lvl w:ilvl="7">
      <w:start w:val="1"/>
      <w:numFmt w:val="decimal"/>
      <w:lvlText w:val="%1.%2.%3.%4.%5.%6.%7.%8"/>
      <w:lvlJc w:val="left"/>
      <w:pPr>
        <w:ind w:left="9000" w:hanging="1440"/>
      </w:pPr>
      <w:rPr>
        <w:rFonts w:ascii="Calibri" w:hAnsi="Calibri" w:hint="default"/>
      </w:rPr>
    </w:lvl>
    <w:lvl w:ilvl="8">
      <w:start w:val="1"/>
      <w:numFmt w:val="decimal"/>
      <w:lvlText w:val="%1.%2.%3.%4.%5.%6.%7.%8.%9"/>
      <w:lvlJc w:val="left"/>
      <w:pPr>
        <w:ind w:left="10080" w:hanging="1440"/>
      </w:pPr>
      <w:rPr>
        <w:rFonts w:ascii="Calibri" w:hAnsi="Calibri" w:hint="default"/>
      </w:rPr>
    </w:lvl>
  </w:abstractNum>
  <w:abstractNum w:abstractNumId="19" w15:restartNumberingAfterBreak="0">
    <w:nsid w:val="0B9D46C1"/>
    <w:multiLevelType w:val="hybridMultilevel"/>
    <w:tmpl w:val="569AA7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E2B4AB1"/>
    <w:multiLevelType w:val="hybridMultilevel"/>
    <w:tmpl w:val="BCA6C278"/>
    <w:lvl w:ilvl="0" w:tplc="E6468AEC">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1464EC1"/>
    <w:multiLevelType w:val="hybridMultilevel"/>
    <w:tmpl w:val="DF1E0BE6"/>
    <w:lvl w:ilvl="0" w:tplc="A8AA27E4">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14647E4B"/>
    <w:multiLevelType w:val="hybridMultilevel"/>
    <w:tmpl w:val="E732FEEA"/>
    <w:lvl w:ilvl="0" w:tplc="2842DBBA">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3" w15:restartNumberingAfterBreak="0">
    <w:nsid w:val="16B84914"/>
    <w:multiLevelType w:val="hybridMultilevel"/>
    <w:tmpl w:val="F67A6E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76658D8"/>
    <w:multiLevelType w:val="hybridMultilevel"/>
    <w:tmpl w:val="5D6C7380"/>
    <w:lvl w:ilvl="0" w:tplc="F282257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7C04F7F"/>
    <w:multiLevelType w:val="hybridMultilevel"/>
    <w:tmpl w:val="DCC068D2"/>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18064D81"/>
    <w:multiLevelType w:val="multilevel"/>
    <w:tmpl w:val="7D1AC49A"/>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27" w15:restartNumberingAfterBreak="0">
    <w:nsid w:val="195C093C"/>
    <w:multiLevelType w:val="hybridMultilevel"/>
    <w:tmpl w:val="22AA3D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A197871"/>
    <w:multiLevelType w:val="hybridMultilevel"/>
    <w:tmpl w:val="5F8CEE4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9" w15:restartNumberingAfterBreak="0">
    <w:nsid w:val="1B6930DD"/>
    <w:multiLevelType w:val="hybridMultilevel"/>
    <w:tmpl w:val="22F6A0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BCF1B67"/>
    <w:multiLevelType w:val="hybridMultilevel"/>
    <w:tmpl w:val="DAE2B550"/>
    <w:lvl w:ilvl="0" w:tplc="04150011">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1" w15:restartNumberingAfterBreak="0">
    <w:nsid w:val="1C9F3B80"/>
    <w:multiLevelType w:val="multilevel"/>
    <w:tmpl w:val="7A72C3EA"/>
    <w:lvl w:ilvl="0">
      <w:start w:val="2"/>
      <w:numFmt w:val="upperRoman"/>
      <w:lvlText w:val="%1."/>
      <w:lvlJc w:val="left"/>
      <w:pPr>
        <w:ind w:left="720" w:hanging="720"/>
      </w:pPr>
      <w:rPr>
        <w:rFonts w:cs="Times New Roman" w:hint="default"/>
        <w:b/>
        <w:sz w:val="36"/>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2" w15:restartNumberingAfterBreak="0">
    <w:nsid w:val="1F7D4896"/>
    <w:multiLevelType w:val="hybridMultilevel"/>
    <w:tmpl w:val="DA186EBC"/>
    <w:lvl w:ilvl="0" w:tplc="04150011">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3" w15:restartNumberingAfterBreak="0">
    <w:nsid w:val="2057575B"/>
    <w:multiLevelType w:val="hybridMultilevel"/>
    <w:tmpl w:val="B23A0292"/>
    <w:lvl w:ilvl="0" w:tplc="F012630E">
      <w:start w:val="1"/>
      <w:numFmt w:val="decimal"/>
      <w:lvlText w:val="%1)"/>
      <w:lvlJc w:val="left"/>
      <w:pPr>
        <w:ind w:left="1080" w:hanging="360"/>
      </w:pPr>
      <w:rPr>
        <w:b/>
        <w:bCs w:val="0"/>
        <w:i w:val="0"/>
        <w:i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225B2D61"/>
    <w:multiLevelType w:val="hybridMultilevel"/>
    <w:tmpl w:val="5E381658"/>
    <w:lvl w:ilvl="0" w:tplc="6B9A9284">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8711F4A"/>
    <w:multiLevelType w:val="multilevel"/>
    <w:tmpl w:val="4920A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8B97379"/>
    <w:multiLevelType w:val="hybridMultilevel"/>
    <w:tmpl w:val="B48E57F6"/>
    <w:lvl w:ilvl="0" w:tplc="FFFFFFFF">
      <w:start w:val="1"/>
      <w:numFmt w:val="bullet"/>
      <w:lvlText w:val=""/>
      <w:lvlJc w:val="left"/>
      <w:pPr>
        <w:ind w:left="720" w:hanging="360"/>
      </w:pPr>
      <w:rPr>
        <w:rFonts w:ascii="Symbol" w:hAnsi="Symbol" w:hint="default"/>
      </w:rPr>
    </w:lvl>
    <w:lvl w:ilvl="1" w:tplc="EBD6F4A4">
      <w:start w:val="1"/>
      <w:numFmt w:val="decimal"/>
      <w:lvlText w:val="%2."/>
      <w:lvlJc w:val="left"/>
      <w:pPr>
        <w:ind w:left="1494" w:hanging="360"/>
      </w:pPr>
      <w:rPr>
        <w:rFonts w:cs="Times New Roman"/>
        <w:b w:val="0"/>
        <w:bCs/>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29C5255D"/>
    <w:multiLevelType w:val="hybridMultilevel"/>
    <w:tmpl w:val="4100239A"/>
    <w:lvl w:ilvl="0" w:tplc="4DC29A1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BA349D9"/>
    <w:multiLevelType w:val="hybridMultilevel"/>
    <w:tmpl w:val="49B294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CCA0DCE"/>
    <w:multiLevelType w:val="hybridMultilevel"/>
    <w:tmpl w:val="91D2C630"/>
    <w:lvl w:ilvl="0" w:tplc="4DC29A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DCC2565"/>
    <w:multiLevelType w:val="hybridMultilevel"/>
    <w:tmpl w:val="2376B40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7DC316C"/>
    <w:multiLevelType w:val="hybridMultilevel"/>
    <w:tmpl w:val="976CB13A"/>
    <w:lvl w:ilvl="0" w:tplc="4DC29A1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8777890"/>
    <w:multiLevelType w:val="hybridMultilevel"/>
    <w:tmpl w:val="74F41C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97A4180"/>
    <w:multiLevelType w:val="hybridMultilevel"/>
    <w:tmpl w:val="F694558C"/>
    <w:lvl w:ilvl="0" w:tplc="4DC29A1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39E55079"/>
    <w:multiLevelType w:val="hybridMultilevel"/>
    <w:tmpl w:val="F294974C"/>
    <w:lvl w:ilvl="0" w:tplc="4DC29A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3AA91414"/>
    <w:multiLevelType w:val="hybridMultilevel"/>
    <w:tmpl w:val="FDF0AD08"/>
    <w:lvl w:ilvl="0" w:tplc="4DC29A1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3AE804B4"/>
    <w:multiLevelType w:val="hybridMultilevel"/>
    <w:tmpl w:val="9E5EF228"/>
    <w:lvl w:ilvl="0" w:tplc="FFFFFFFF">
      <w:start w:val="1"/>
      <w:numFmt w:val="decimal"/>
      <w:lvlText w:val="%1."/>
      <w:lvlJc w:val="left"/>
      <w:pPr>
        <w:ind w:left="720" w:hanging="360"/>
      </w:pPr>
    </w:lvl>
    <w:lvl w:ilvl="1" w:tplc="04150017">
      <w:start w:val="1"/>
      <w:numFmt w:val="lowerLetter"/>
      <w:lvlText w:val="%2)"/>
      <w:lvlJc w:val="left"/>
      <w:pPr>
        <w:ind w:left="121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B6D11E2"/>
    <w:multiLevelType w:val="hybridMultilevel"/>
    <w:tmpl w:val="FDF660B6"/>
    <w:lvl w:ilvl="0" w:tplc="0CC895EE">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8" w15:restartNumberingAfterBreak="0">
    <w:nsid w:val="3C082F40"/>
    <w:multiLevelType w:val="hybridMultilevel"/>
    <w:tmpl w:val="18CCCECC"/>
    <w:lvl w:ilvl="0" w:tplc="2BE8E64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3C3C1966"/>
    <w:multiLevelType w:val="hybridMultilevel"/>
    <w:tmpl w:val="F4724FFE"/>
    <w:lvl w:ilvl="0" w:tplc="45B8366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C444C05"/>
    <w:multiLevelType w:val="hybridMultilevel"/>
    <w:tmpl w:val="5A6668DA"/>
    <w:lvl w:ilvl="0" w:tplc="648CC9E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C6815C4"/>
    <w:multiLevelType w:val="hybridMultilevel"/>
    <w:tmpl w:val="5B7AED8C"/>
    <w:lvl w:ilvl="0" w:tplc="04150011">
      <w:start w:val="1"/>
      <w:numFmt w:val="decimal"/>
      <w:lvlText w:val="%1)"/>
      <w:lvlJc w:val="left"/>
      <w:pPr>
        <w:ind w:left="502" w:hanging="360"/>
      </w:pPr>
      <w:rPr>
        <w:rFonts w:cs="Times New Roman"/>
      </w:rPr>
    </w:lvl>
    <w:lvl w:ilvl="1" w:tplc="04150019" w:tentative="1">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52" w15:restartNumberingAfterBreak="0">
    <w:nsid w:val="3C815034"/>
    <w:multiLevelType w:val="hybridMultilevel"/>
    <w:tmpl w:val="AFDC1D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CC46822"/>
    <w:multiLevelType w:val="hybridMultilevel"/>
    <w:tmpl w:val="345E73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D621322"/>
    <w:multiLevelType w:val="hybridMultilevel"/>
    <w:tmpl w:val="195051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EE1003F"/>
    <w:multiLevelType w:val="hybridMultilevel"/>
    <w:tmpl w:val="66344E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F36418B"/>
    <w:multiLevelType w:val="hybridMultilevel"/>
    <w:tmpl w:val="FD7C3554"/>
    <w:lvl w:ilvl="0" w:tplc="FFFFFFFF">
      <w:start w:val="1"/>
      <w:numFmt w:val="bullet"/>
      <w:lvlText w:val=""/>
      <w:lvlJc w:val="left"/>
      <w:pPr>
        <w:ind w:left="720" w:hanging="360"/>
      </w:pPr>
      <w:rPr>
        <w:rFonts w:ascii="Symbol" w:hAnsi="Symbol" w:hint="default"/>
      </w:rPr>
    </w:lvl>
    <w:lvl w:ilvl="1" w:tplc="48C2CCA4">
      <w:start w:val="1"/>
      <w:numFmt w:val="decimal"/>
      <w:lvlText w:val="%2)"/>
      <w:lvlJc w:val="left"/>
      <w:pPr>
        <w:ind w:left="780" w:hanging="360"/>
      </w:pPr>
      <w:rPr>
        <w:b w:val="0"/>
        <w:bCs/>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41227FF0"/>
    <w:multiLevelType w:val="hybridMultilevel"/>
    <w:tmpl w:val="AF504286"/>
    <w:lvl w:ilvl="0" w:tplc="04150017">
      <w:start w:val="1"/>
      <w:numFmt w:val="lowerLetter"/>
      <w:lvlText w:val="%1)"/>
      <w:lvlJc w:val="left"/>
      <w:pPr>
        <w:ind w:left="766" w:hanging="360"/>
      </w:pPr>
      <w:rPr>
        <w:rFonts w:hint="default"/>
      </w:rPr>
    </w:lvl>
    <w:lvl w:ilvl="1" w:tplc="04150003" w:tentative="1">
      <w:start w:val="1"/>
      <w:numFmt w:val="bullet"/>
      <w:lvlText w:val="o"/>
      <w:lvlJc w:val="left"/>
      <w:pPr>
        <w:ind w:left="1486" w:hanging="360"/>
      </w:pPr>
      <w:rPr>
        <w:rFonts w:ascii="Courier New" w:hAnsi="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58" w15:restartNumberingAfterBreak="0">
    <w:nsid w:val="416929D6"/>
    <w:multiLevelType w:val="hybridMultilevel"/>
    <w:tmpl w:val="476445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1AD51FD"/>
    <w:multiLevelType w:val="hybridMultilevel"/>
    <w:tmpl w:val="1ECE474E"/>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2840D70"/>
    <w:multiLevelType w:val="hybridMultilevel"/>
    <w:tmpl w:val="592081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2B72CBB"/>
    <w:multiLevelType w:val="multilevel"/>
    <w:tmpl w:val="B698582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2" w15:restartNumberingAfterBreak="0">
    <w:nsid w:val="440F27FC"/>
    <w:multiLevelType w:val="hybridMultilevel"/>
    <w:tmpl w:val="BF0CA3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4C74400"/>
    <w:multiLevelType w:val="hybridMultilevel"/>
    <w:tmpl w:val="C4C67FAA"/>
    <w:lvl w:ilvl="0" w:tplc="16F4ECE2">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547684B"/>
    <w:multiLevelType w:val="hybridMultilevel"/>
    <w:tmpl w:val="6CD6EFF6"/>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5" w15:restartNumberingAfterBreak="0">
    <w:nsid w:val="45F05A82"/>
    <w:multiLevelType w:val="hybridMultilevel"/>
    <w:tmpl w:val="EA6233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6974BD9"/>
    <w:multiLevelType w:val="hybridMultilevel"/>
    <w:tmpl w:val="5958F9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7110F37"/>
    <w:multiLevelType w:val="hybridMultilevel"/>
    <w:tmpl w:val="18C460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7112C6B"/>
    <w:multiLevelType w:val="multilevel"/>
    <w:tmpl w:val="9CA85108"/>
    <w:lvl w:ilvl="0">
      <w:start w:val="1"/>
      <w:numFmt w:val="upperRoman"/>
      <w:lvlText w:val="%1."/>
      <w:lvlJc w:val="left"/>
      <w:pPr>
        <w:ind w:left="862" w:hanging="720"/>
      </w:pPr>
      <w:rPr>
        <w:rFonts w:cs="Times New Roman" w:hint="default"/>
        <w:b w:val="0"/>
        <w:caps w:val="0"/>
        <w:smallCaps w:val="0"/>
        <w:color w:val="000000"/>
        <w:spacing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69" w15:restartNumberingAfterBreak="0">
    <w:nsid w:val="473B63E3"/>
    <w:multiLevelType w:val="multilevel"/>
    <w:tmpl w:val="69CE98BC"/>
    <w:lvl w:ilvl="0">
      <w:start w:val="1"/>
      <w:numFmt w:val="decimal"/>
      <w:lvlText w:val=" %1."/>
      <w:lvlJc w:val="left"/>
      <w:pPr>
        <w:tabs>
          <w:tab w:val="num" w:pos="720"/>
        </w:tabs>
        <w:ind w:left="720" w:hanging="360"/>
      </w:pPr>
      <w:rPr>
        <w:rFonts w:cs="Times New Roman"/>
      </w:rPr>
    </w:lvl>
    <w:lvl w:ilvl="1">
      <w:start w:val="1"/>
      <w:numFmt w:val="decimal"/>
      <w:lvlText w:val=" %1.%2."/>
      <w:lvlJc w:val="left"/>
      <w:pPr>
        <w:tabs>
          <w:tab w:val="num" w:pos="1080"/>
        </w:tabs>
        <w:ind w:left="1080" w:hanging="360"/>
      </w:pPr>
      <w:rPr>
        <w:rFonts w:cs="Times New Roman"/>
      </w:rPr>
    </w:lvl>
    <w:lvl w:ilvl="2">
      <w:start w:val="1"/>
      <w:numFmt w:val="lowerLetter"/>
      <w:lvlText w:val=" %3)"/>
      <w:lvlJc w:val="left"/>
      <w:pPr>
        <w:tabs>
          <w:tab w:val="num" w:pos="1440"/>
        </w:tabs>
        <w:ind w:left="1440" w:hanging="360"/>
      </w:pPr>
      <w:rPr>
        <w:rFonts w:cs="Times New Roman"/>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Symbol" w:hAnsi="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70" w15:restartNumberingAfterBreak="0">
    <w:nsid w:val="491B4D78"/>
    <w:multiLevelType w:val="hybridMultilevel"/>
    <w:tmpl w:val="AD9CB0F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4A97516F"/>
    <w:multiLevelType w:val="multilevel"/>
    <w:tmpl w:val="F5A8D9C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Letter"/>
      <w:lvlText w:val="%3)"/>
      <w:lvlJc w:val="left"/>
      <w:pPr>
        <w:tabs>
          <w:tab w:val="num" w:pos="1440"/>
        </w:tabs>
        <w:ind w:left="1440" w:hanging="360"/>
      </w:pPr>
      <w:rPr>
        <w:rFont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72" w15:restartNumberingAfterBreak="0">
    <w:nsid w:val="4B595E12"/>
    <w:multiLevelType w:val="hybridMultilevel"/>
    <w:tmpl w:val="0DF4CB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B5E2BCF"/>
    <w:multiLevelType w:val="hybridMultilevel"/>
    <w:tmpl w:val="E2A09678"/>
    <w:lvl w:ilvl="0" w:tplc="0415000F">
      <w:start w:val="1"/>
      <w:numFmt w:val="decimal"/>
      <w:lvlText w:val="%1."/>
      <w:lvlJc w:val="left"/>
      <w:pPr>
        <w:ind w:left="720" w:hanging="360"/>
      </w:pPr>
      <w:rPr>
        <w:rFonts w:hint="default"/>
      </w:rPr>
    </w:lvl>
    <w:lvl w:ilvl="1" w:tplc="F00804B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4" w15:restartNumberingAfterBreak="0">
    <w:nsid w:val="4C3C5050"/>
    <w:multiLevelType w:val="hybridMultilevel"/>
    <w:tmpl w:val="22E0373A"/>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5" w15:restartNumberingAfterBreak="0">
    <w:nsid w:val="4C4C3C23"/>
    <w:multiLevelType w:val="multilevel"/>
    <w:tmpl w:val="7A72C3EA"/>
    <w:lvl w:ilvl="0">
      <w:start w:val="2"/>
      <w:numFmt w:val="upperRoman"/>
      <w:lvlText w:val="%1."/>
      <w:lvlJc w:val="left"/>
      <w:pPr>
        <w:ind w:left="720" w:hanging="720"/>
      </w:pPr>
      <w:rPr>
        <w:rFonts w:cs="Times New Roman" w:hint="default"/>
        <w:b/>
        <w:sz w:val="36"/>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6" w15:restartNumberingAfterBreak="0">
    <w:nsid w:val="4CBE6C6C"/>
    <w:multiLevelType w:val="hybridMultilevel"/>
    <w:tmpl w:val="31D6694E"/>
    <w:lvl w:ilvl="0" w:tplc="12B40772">
      <w:start w:val="1"/>
      <w:numFmt w:val="decimal"/>
      <w:lvlText w:val="%1)"/>
      <w:lvlJc w:val="left"/>
      <w:pPr>
        <w:ind w:left="720" w:hanging="360"/>
      </w:pPr>
      <w:rPr>
        <w:rFonts w:eastAsia="Times New Roman" w:cs="Times New Roman" w:hint="default"/>
        <w:b/>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7" w15:restartNumberingAfterBreak="0">
    <w:nsid w:val="4D5A2AE9"/>
    <w:multiLevelType w:val="hybridMultilevel"/>
    <w:tmpl w:val="54B8767A"/>
    <w:lvl w:ilvl="0" w:tplc="4E28BBB2">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8" w15:restartNumberingAfterBreak="0">
    <w:nsid w:val="4E1E0E66"/>
    <w:multiLevelType w:val="hybridMultilevel"/>
    <w:tmpl w:val="B7B409BA"/>
    <w:lvl w:ilvl="0" w:tplc="CE46F766">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79" w15:restartNumberingAfterBreak="0">
    <w:nsid w:val="4E9A2389"/>
    <w:multiLevelType w:val="hybridMultilevel"/>
    <w:tmpl w:val="3894D5FE"/>
    <w:lvl w:ilvl="0" w:tplc="55D67AF6">
      <w:start w:val="1"/>
      <w:numFmt w:val="decimal"/>
      <w:lvlText w:val="%1."/>
      <w:lvlJc w:val="left"/>
      <w:pPr>
        <w:ind w:left="360" w:hanging="360"/>
      </w:pPr>
      <w:rPr>
        <w:rFonts w:cs="Times New Roman" w:hint="default"/>
      </w:rPr>
    </w:lvl>
    <w:lvl w:ilvl="1" w:tplc="04150019">
      <w:start w:val="1"/>
      <w:numFmt w:val="lowerLetter"/>
      <w:lvlText w:val="%2."/>
      <w:lvlJc w:val="left"/>
      <w:pPr>
        <w:ind w:left="1646" w:hanging="360"/>
      </w:pPr>
      <w:rPr>
        <w:rFonts w:cs="Times New Roman"/>
      </w:rPr>
    </w:lvl>
    <w:lvl w:ilvl="2" w:tplc="0415001B" w:tentative="1">
      <w:start w:val="1"/>
      <w:numFmt w:val="lowerRoman"/>
      <w:lvlText w:val="%3."/>
      <w:lvlJc w:val="right"/>
      <w:pPr>
        <w:ind w:left="2366" w:hanging="180"/>
      </w:pPr>
      <w:rPr>
        <w:rFonts w:cs="Times New Roman"/>
      </w:rPr>
    </w:lvl>
    <w:lvl w:ilvl="3" w:tplc="0415000F" w:tentative="1">
      <w:start w:val="1"/>
      <w:numFmt w:val="decimal"/>
      <w:lvlText w:val="%4."/>
      <w:lvlJc w:val="left"/>
      <w:pPr>
        <w:ind w:left="3086" w:hanging="360"/>
      </w:pPr>
      <w:rPr>
        <w:rFonts w:cs="Times New Roman"/>
      </w:rPr>
    </w:lvl>
    <w:lvl w:ilvl="4" w:tplc="04150019" w:tentative="1">
      <w:start w:val="1"/>
      <w:numFmt w:val="lowerLetter"/>
      <w:lvlText w:val="%5."/>
      <w:lvlJc w:val="left"/>
      <w:pPr>
        <w:ind w:left="3806" w:hanging="360"/>
      </w:pPr>
      <w:rPr>
        <w:rFonts w:cs="Times New Roman"/>
      </w:rPr>
    </w:lvl>
    <w:lvl w:ilvl="5" w:tplc="0415001B" w:tentative="1">
      <w:start w:val="1"/>
      <w:numFmt w:val="lowerRoman"/>
      <w:lvlText w:val="%6."/>
      <w:lvlJc w:val="right"/>
      <w:pPr>
        <w:ind w:left="4526" w:hanging="180"/>
      </w:pPr>
      <w:rPr>
        <w:rFonts w:cs="Times New Roman"/>
      </w:rPr>
    </w:lvl>
    <w:lvl w:ilvl="6" w:tplc="0415000F" w:tentative="1">
      <w:start w:val="1"/>
      <w:numFmt w:val="decimal"/>
      <w:lvlText w:val="%7."/>
      <w:lvlJc w:val="left"/>
      <w:pPr>
        <w:ind w:left="5246" w:hanging="360"/>
      </w:pPr>
      <w:rPr>
        <w:rFonts w:cs="Times New Roman"/>
      </w:rPr>
    </w:lvl>
    <w:lvl w:ilvl="7" w:tplc="04150019" w:tentative="1">
      <w:start w:val="1"/>
      <w:numFmt w:val="lowerLetter"/>
      <w:lvlText w:val="%8."/>
      <w:lvlJc w:val="left"/>
      <w:pPr>
        <w:ind w:left="5966" w:hanging="360"/>
      </w:pPr>
      <w:rPr>
        <w:rFonts w:cs="Times New Roman"/>
      </w:rPr>
    </w:lvl>
    <w:lvl w:ilvl="8" w:tplc="0415001B" w:tentative="1">
      <w:start w:val="1"/>
      <w:numFmt w:val="lowerRoman"/>
      <w:lvlText w:val="%9."/>
      <w:lvlJc w:val="right"/>
      <w:pPr>
        <w:ind w:left="6686" w:hanging="180"/>
      </w:pPr>
      <w:rPr>
        <w:rFonts w:cs="Times New Roman"/>
      </w:rPr>
    </w:lvl>
  </w:abstractNum>
  <w:abstractNum w:abstractNumId="80" w15:restartNumberingAfterBreak="0">
    <w:nsid w:val="4FEC4587"/>
    <w:multiLevelType w:val="hybridMultilevel"/>
    <w:tmpl w:val="1918010C"/>
    <w:lvl w:ilvl="0" w:tplc="4DC29A1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1" w15:restartNumberingAfterBreak="0">
    <w:nsid w:val="520261D1"/>
    <w:multiLevelType w:val="hybridMultilevel"/>
    <w:tmpl w:val="A216ADC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52320A98"/>
    <w:multiLevelType w:val="hybridMultilevel"/>
    <w:tmpl w:val="AF60818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3" w15:restartNumberingAfterBreak="0">
    <w:nsid w:val="53273587"/>
    <w:multiLevelType w:val="hybridMultilevel"/>
    <w:tmpl w:val="68FC239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4" w15:restartNumberingAfterBreak="0">
    <w:nsid w:val="53801DF0"/>
    <w:multiLevelType w:val="hybridMultilevel"/>
    <w:tmpl w:val="82100432"/>
    <w:lvl w:ilvl="0" w:tplc="FB80EC92">
      <w:start w:val="1"/>
      <w:numFmt w:val="decimal"/>
      <w:lvlText w:val="%1."/>
      <w:lvlJc w:val="left"/>
      <w:pPr>
        <w:ind w:left="1095" w:hanging="73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3BE6638"/>
    <w:multiLevelType w:val="hybridMultilevel"/>
    <w:tmpl w:val="61D0C6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44F2DCF"/>
    <w:multiLevelType w:val="hybridMultilevel"/>
    <w:tmpl w:val="6060BF18"/>
    <w:lvl w:ilvl="0" w:tplc="4DC29A1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5902EA4"/>
    <w:multiLevelType w:val="hybridMultilevel"/>
    <w:tmpl w:val="27C2BA54"/>
    <w:lvl w:ilvl="0" w:tplc="4DC29A1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8" w15:restartNumberingAfterBreak="0">
    <w:nsid w:val="56287EC5"/>
    <w:multiLevelType w:val="hybridMultilevel"/>
    <w:tmpl w:val="224E7A1A"/>
    <w:lvl w:ilvl="0" w:tplc="FF24BF44">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9" w15:restartNumberingAfterBreak="0">
    <w:nsid w:val="58B13591"/>
    <w:multiLevelType w:val="hybridMultilevel"/>
    <w:tmpl w:val="51E2B19E"/>
    <w:lvl w:ilvl="0" w:tplc="04150011">
      <w:start w:val="1"/>
      <w:numFmt w:val="decimal"/>
      <w:lvlText w:val="%1)"/>
      <w:lvlJc w:val="left"/>
      <w:pPr>
        <w:ind w:left="720" w:hanging="360"/>
      </w:p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0" w15:restartNumberingAfterBreak="0">
    <w:nsid w:val="5A04077D"/>
    <w:multiLevelType w:val="hybridMultilevel"/>
    <w:tmpl w:val="8B0A66F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5AD32026"/>
    <w:multiLevelType w:val="hybridMultilevel"/>
    <w:tmpl w:val="A32070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5F545421"/>
    <w:multiLevelType w:val="hybridMultilevel"/>
    <w:tmpl w:val="1A8827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602B1A4D"/>
    <w:multiLevelType w:val="multilevel"/>
    <w:tmpl w:val="E1A0410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353"/>
        </w:tabs>
        <w:ind w:left="1353" w:hanging="360"/>
      </w:pPr>
      <w:rPr>
        <w:rFonts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94" w15:restartNumberingAfterBreak="0">
    <w:nsid w:val="60585042"/>
    <w:multiLevelType w:val="hybridMultilevel"/>
    <w:tmpl w:val="95B004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60AF5748"/>
    <w:multiLevelType w:val="multilevel"/>
    <w:tmpl w:val="BB2897E8"/>
    <w:lvl w:ilvl="0">
      <w:start w:val="1"/>
      <w:numFmt w:val="bullet"/>
      <w:lvlText w:val=""/>
      <w:lvlJc w:val="left"/>
      <w:pPr>
        <w:tabs>
          <w:tab w:val="num" w:pos="284"/>
        </w:tabs>
        <w:ind w:left="284" w:hanging="284"/>
      </w:pPr>
      <w:rPr>
        <w:rFonts w:ascii="Symbol" w:hAnsi="Symbol" w:hint="default"/>
        <w:color w:val="000000"/>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852"/>
        </w:tabs>
        <w:ind w:left="852" w:hanging="284"/>
      </w:pPr>
      <w:rPr>
        <w:rFonts w:ascii="Arial" w:hAnsi="Arial" w:hint="default"/>
        <w:color w:val="000000"/>
      </w:rPr>
    </w:lvl>
    <w:lvl w:ilvl="3">
      <w:start w:val="1"/>
      <w:numFmt w:val="bullet"/>
      <w:lvlText w:val="-"/>
      <w:lvlJc w:val="left"/>
      <w:pPr>
        <w:tabs>
          <w:tab w:val="num" w:pos="1136"/>
        </w:tabs>
        <w:ind w:left="1136" w:hanging="284"/>
      </w:pPr>
      <w:rPr>
        <w:rFonts w:ascii="Arial" w:hAnsi="Arial" w:hint="default"/>
        <w:color w:val="000000"/>
      </w:rPr>
    </w:lvl>
    <w:lvl w:ilvl="4">
      <w:start w:val="1"/>
      <w:numFmt w:val="bullet"/>
      <w:lvlText w:val="-"/>
      <w:lvlJc w:val="left"/>
      <w:pPr>
        <w:tabs>
          <w:tab w:val="num" w:pos="1420"/>
        </w:tabs>
        <w:ind w:left="1420" w:hanging="284"/>
      </w:pPr>
      <w:rPr>
        <w:rFonts w:ascii="Arial" w:hAnsi="Arial" w:hint="default"/>
        <w:color w:val="000000"/>
      </w:rPr>
    </w:lvl>
    <w:lvl w:ilvl="5">
      <w:start w:val="1"/>
      <w:numFmt w:val="bullet"/>
      <w:lvlText w:val="-"/>
      <w:lvlJc w:val="left"/>
      <w:pPr>
        <w:tabs>
          <w:tab w:val="num" w:pos="1704"/>
        </w:tabs>
        <w:ind w:left="1704" w:hanging="284"/>
      </w:pPr>
      <w:rPr>
        <w:rFonts w:ascii="Arial" w:hAnsi="Arial" w:hint="default"/>
        <w:color w:val="000000"/>
      </w:rPr>
    </w:lvl>
    <w:lvl w:ilvl="6">
      <w:start w:val="1"/>
      <w:numFmt w:val="bullet"/>
      <w:lvlText w:val="-"/>
      <w:lvlJc w:val="left"/>
      <w:pPr>
        <w:tabs>
          <w:tab w:val="num" w:pos="1988"/>
        </w:tabs>
        <w:ind w:left="1988" w:hanging="284"/>
      </w:pPr>
      <w:rPr>
        <w:rFonts w:ascii="Arial" w:hAnsi="Arial" w:hint="default"/>
        <w:color w:val="000000"/>
      </w:rPr>
    </w:lvl>
    <w:lvl w:ilvl="7">
      <w:start w:val="1"/>
      <w:numFmt w:val="bullet"/>
      <w:lvlText w:val="-"/>
      <w:lvlJc w:val="left"/>
      <w:pPr>
        <w:tabs>
          <w:tab w:val="num" w:pos="2272"/>
        </w:tabs>
        <w:ind w:left="2272" w:hanging="284"/>
      </w:pPr>
      <w:rPr>
        <w:rFonts w:ascii="Arial" w:hAnsi="Arial" w:hint="default"/>
        <w:color w:val="000000"/>
      </w:rPr>
    </w:lvl>
    <w:lvl w:ilvl="8">
      <w:start w:val="1"/>
      <w:numFmt w:val="bullet"/>
      <w:lvlText w:val="-"/>
      <w:lvlJc w:val="left"/>
      <w:pPr>
        <w:tabs>
          <w:tab w:val="num" w:pos="2556"/>
        </w:tabs>
        <w:ind w:left="2556" w:hanging="284"/>
      </w:pPr>
      <w:rPr>
        <w:rFonts w:ascii="Arial" w:hAnsi="Arial" w:hint="default"/>
        <w:color w:val="000000"/>
      </w:rPr>
    </w:lvl>
  </w:abstractNum>
  <w:abstractNum w:abstractNumId="96" w15:restartNumberingAfterBreak="0">
    <w:nsid w:val="63395FF6"/>
    <w:multiLevelType w:val="hybridMultilevel"/>
    <w:tmpl w:val="78749D7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5647C48"/>
    <w:multiLevelType w:val="hybridMultilevel"/>
    <w:tmpl w:val="18306BA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8" w15:restartNumberingAfterBreak="0">
    <w:nsid w:val="65A368C6"/>
    <w:multiLevelType w:val="hybridMultilevel"/>
    <w:tmpl w:val="F7BEEE5E"/>
    <w:lvl w:ilvl="0" w:tplc="4DC29A1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660E681C"/>
    <w:multiLevelType w:val="hybridMultilevel"/>
    <w:tmpl w:val="8506A0F8"/>
    <w:lvl w:ilvl="0" w:tplc="04150017">
      <w:start w:val="1"/>
      <w:numFmt w:val="lowerLetter"/>
      <w:lvlText w:val="%1)"/>
      <w:lvlJc w:val="left"/>
      <w:pPr>
        <w:ind w:left="1070" w:hanging="360"/>
      </w:pPr>
    </w:lvl>
    <w:lvl w:ilvl="1" w:tplc="04150001">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0" w15:restartNumberingAfterBreak="0">
    <w:nsid w:val="66232BD9"/>
    <w:multiLevelType w:val="hybridMultilevel"/>
    <w:tmpl w:val="19788EF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68C1036B"/>
    <w:multiLevelType w:val="hybridMultilevel"/>
    <w:tmpl w:val="F6B05C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69497001"/>
    <w:multiLevelType w:val="hybridMultilevel"/>
    <w:tmpl w:val="11C0626C"/>
    <w:lvl w:ilvl="0" w:tplc="04150001">
      <w:start w:val="1"/>
      <w:numFmt w:val="bullet"/>
      <w:lvlText w:val=""/>
      <w:lvlJc w:val="left"/>
      <w:pPr>
        <w:ind w:left="107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3" w15:restartNumberingAfterBreak="0">
    <w:nsid w:val="6A04679E"/>
    <w:multiLevelType w:val="hybridMultilevel"/>
    <w:tmpl w:val="C1DEF3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6A743578"/>
    <w:multiLevelType w:val="hybridMultilevel"/>
    <w:tmpl w:val="D6FAE8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6B294801"/>
    <w:multiLevelType w:val="hybridMultilevel"/>
    <w:tmpl w:val="96246BB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6D5514FC"/>
    <w:multiLevelType w:val="multilevel"/>
    <w:tmpl w:val="718CAB8E"/>
    <w:lvl w:ilvl="0">
      <w:start w:val="2"/>
      <w:numFmt w:val="decimal"/>
      <w:lvlText w:val=" %1."/>
      <w:lvlJc w:val="left"/>
      <w:pPr>
        <w:tabs>
          <w:tab w:val="num" w:pos="720"/>
        </w:tabs>
        <w:ind w:left="720" w:hanging="360"/>
      </w:pPr>
      <w:rPr>
        <w:rFonts w:cs="Times New Roman"/>
      </w:rPr>
    </w:lvl>
    <w:lvl w:ilvl="1">
      <w:start w:val="1"/>
      <w:numFmt w:val="decimal"/>
      <w:lvlText w:val=" %1.%2."/>
      <w:lvlJc w:val="left"/>
      <w:pPr>
        <w:tabs>
          <w:tab w:val="num" w:pos="567"/>
        </w:tabs>
        <w:ind w:left="567" w:firstLine="153"/>
      </w:pPr>
      <w:rPr>
        <w:rFonts w:cs="Times New Roman"/>
      </w:rPr>
    </w:lvl>
    <w:lvl w:ilvl="2">
      <w:start w:val="1"/>
      <w:numFmt w:val="lowerLetter"/>
      <w:lvlText w:val=" %3)"/>
      <w:lvlJc w:val="left"/>
      <w:pPr>
        <w:tabs>
          <w:tab w:val="num" w:pos="1440"/>
        </w:tabs>
        <w:ind w:left="1440" w:hanging="360"/>
      </w:pPr>
      <w:rPr>
        <w:rFonts w:cs="Times New Roman"/>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Symbol" w:hAnsi="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107" w15:restartNumberingAfterBreak="0">
    <w:nsid w:val="6D8D0C40"/>
    <w:multiLevelType w:val="hybridMultilevel"/>
    <w:tmpl w:val="8854A7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6F2520C6"/>
    <w:multiLevelType w:val="hybridMultilevel"/>
    <w:tmpl w:val="CB9242F2"/>
    <w:lvl w:ilvl="0" w:tplc="0CC895EE">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09" w15:restartNumberingAfterBreak="0">
    <w:nsid w:val="6F2C4050"/>
    <w:multiLevelType w:val="multilevel"/>
    <w:tmpl w:val="04823614"/>
    <w:lvl w:ilvl="0">
      <w:start w:val="22"/>
      <w:numFmt w:val="decimal"/>
      <w:lvlText w:val="%1-"/>
      <w:lvlJc w:val="left"/>
      <w:pPr>
        <w:ind w:left="630" w:hanging="630"/>
      </w:pPr>
      <w:rPr>
        <w:rFonts w:cs="Times New Roman" w:hint="default"/>
      </w:rPr>
    </w:lvl>
    <w:lvl w:ilvl="1">
      <w:start w:val="23"/>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10" w15:restartNumberingAfterBreak="0">
    <w:nsid w:val="701C2EDE"/>
    <w:multiLevelType w:val="hybridMultilevel"/>
    <w:tmpl w:val="30CEC7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70EB296A"/>
    <w:multiLevelType w:val="hybridMultilevel"/>
    <w:tmpl w:val="ECECBFA8"/>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2" w15:restartNumberingAfterBreak="0">
    <w:nsid w:val="71B50680"/>
    <w:multiLevelType w:val="multilevel"/>
    <w:tmpl w:val="0A7458CC"/>
    <w:lvl w:ilvl="0">
      <w:start w:val="3"/>
      <w:numFmt w:val="decimal"/>
      <w:lvlText w:val=" %1."/>
      <w:lvlJc w:val="left"/>
      <w:pPr>
        <w:tabs>
          <w:tab w:val="num" w:pos="1004"/>
        </w:tabs>
        <w:ind w:left="1004" w:hanging="641"/>
      </w:pPr>
      <w:rPr>
        <w:rFonts w:cs="Times New Roman"/>
      </w:rPr>
    </w:lvl>
    <w:lvl w:ilvl="1">
      <w:start w:val="1"/>
      <w:numFmt w:val="decimal"/>
      <w:lvlText w:val=" %1.%2."/>
      <w:lvlJc w:val="left"/>
      <w:pPr>
        <w:tabs>
          <w:tab w:val="num" w:pos="567"/>
        </w:tabs>
        <w:ind w:left="567" w:firstLine="153"/>
      </w:pPr>
      <w:rPr>
        <w:rFonts w:cs="Times New Roman"/>
      </w:rPr>
    </w:lvl>
    <w:lvl w:ilvl="2">
      <w:start w:val="1"/>
      <w:numFmt w:val="lowerLetter"/>
      <w:lvlText w:val=" %3)"/>
      <w:lvlJc w:val="left"/>
      <w:pPr>
        <w:tabs>
          <w:tab w:val="num" w:pos="1724"/>
        </w:tabs>
        <w:ind w:left="1724" w:hanging="360"/>
      </w:pPr>
      <w:rPr>
        <w:rFonts w:cs="Times New Roman"/>
      </w:rPr>
    </w:lvl>
    <w:lvl w:ilvl="3">
      <w:start w:val="1"/>
      <w:numFmt w:val="bullet"/>
      <w:lvlText w:val=""/>
      <w:lvlJc w:val="left"/>
      <w:pPr>
        <w:tabs>
          <w:tab w:val="num" w:pos="2084"/>
        </w:tabs>
        <w:ind w:left="2084" w:hanging="360"/>
      </w:pPr>
      <w:rPr>
        <w:rFonts w:ascii="Symbol" w:hAnsi="Symbol" w:hint="default"/>
      </w:rPr>
    </w:lvl>
    <w:lvl w:ilvl="4">
      <w:start w:val="1"/>
      <w:numFmt w:val="bullet"/>
      <w:lvlText w:val=""/>
      <w:lvlJc w:val="left"/>
      <w:pPr>
        <w:tabs>
          <w:tab w:val="num" w:pos="2444"/>
        </w:tabs>
        <w:ind w:left="2444" w:hanging="360"/>
      </w:pPr>
      <w:rPr>
        <w:rFonts w:ascii="Symbol" w:hAnsi="Symbol" w:hint="default"/>
      </w:rPr>
    </w:lvl>
    <w:lvl w:ilvl="5">
      <w:start w:val="1"/>
      <w:numFmt w:val="bullet"/>
      <w:lvlText w:val=""/>
      <w:lvlJc w:val="left"/>
      <w:pPr>
        <w:tabs>
          <w:tab w:val="num" w:pos="2804"/>
        </w:tabs>
        <w:ind w:left="2804" w:hanging="360"/>
      </w:pPr>
      <w:rPr>
        <w:rFonts w:ascii="Symbol" w:hAnsi="Symbol" w:hint="default"/>
      </w:rPr>
    </w:lvl>
    <w:lvl w:ilvl="6">
      <w:start w:val="1"/>
      <w:numFmt w:val="bullet"/>
      <w:lvlText w:val=""/>
      <w:lvlJc w:val="left"/>
      <w:pPr>
        <w:tabs>
          <w:tab w:val="num" w:pos="3164"/>
        </w:tabs>
        <w:ind w:left="3164" w:hanging="360"/>
      </w:pPr>
      <w:rPr>
        <w:rFonts w:ascii="Symbol" w:hAnsi="Symbol" w:hint="default"/>
      </w:rPr>
    </w:lvl>
    <w:lvl w:ilvl="7">
      <w:start w:val="1"/>
      <w:numFmt w:val="bullet"/>
      <w:lvlText w:val=""/>
      <w:lvlJc w:val="left"/>
      <w:pPr>
        <w:tabs>
          <w:tab w:val="num" w:pos="3524"/>
        </w:tabs>
        <w:ind w:left="3524" w:hanging="360"/>
      </w:pPr>
      <w:rPr>
        <w:rFonts w:ascii="Symbol" w:hAnsi="Symbol" w:hint="default"/>
      </w:rPr>
    </w:lvl>
    <w:lvl w:ilvl="8">
      <w:start w:val="1"/>
      <w:numFmt w:val="bullet"/>
      <w:lvlText w:val=""/>
      <w:lvlJc w:val="left"/>
      <w:pPr>
        <w:tabs>
          <w:tab w:val="num" w:pos="3884"/>
        </w:tabs>
        <w:ind w:left="3884" w:hanging="360"/>
      </w:pPr>
      <w:rPr>
        <w:rFonts w:ascii="Symbol" w:hAnsi="Symbol" w:hint="default"/>
      </w:rPr>
    </w:lvl>
  </w:abstractNum>
  <w:abstractNum w:abstractNumId="113" w15:restartNumberingAfterBreak="0">
    <w:nsid w:val="74DA1622"/>
    <w:multiLevelType w:val="hybridMultilevel"/>
    <w:tmpl w:val="EBC0D4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76E006C"/>
    <w:multiLevelType w:val="hybridMultilevel"/>
    <w:tmpl w:val="799E42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7818026C"/>
    <w:multiLevelType w:val="hybridMultilevel"/>
    <w:tmpl w:val="1B4CAF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79A34103"/>
    <w:multiLevelType w:val="hybridMultilevel"/>
    <w:tmpl w:val="A99C394A"/>
    <w:lvl w:ilvl="0" w:tplc="4DC29A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7A37555A"/>
    <w:multiLevelType w:val="hybridMultilevel"/>
    <w:tmpl w:val="3822C9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8" w15:restartNumberingAfterBreak="0">
    <w:nsid w:val="7AA42B6C"/>
    <w:multiLevelType w:val="hybridMultilevel"/>
    <w:tmpl w:val="F3383028"/>
    <w:lvl w:ilvl="0" w:tplc="04150017">
      <w:start w:val="1"/>
      <w:numFmt w:val="lowerLetter"/>
      <w:lvlText w:val="%1)"/>
      <w:lvlJc w:val="left"/>
      <w:pPr>
        <w:ind w:left="360" w:hanging="360"/>
      </w:p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9" w15:restartNumberingAfterBreak="0">
    <w:nsid w:val="7AFA2384"/>
    <w:multiLevelType w:val="hybridMultilevel"/>
    <w:tmpl w:val="66DEEE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7B541686"/>
    <w:multiLevelType w:val="hybridMultilevel"/>
    <w:tmpl w:val="E3DE6A42"/>
    <w:lvl w:ilvl="0" w:tplc="04150011">
      <w:start w:val="2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1" w15:restartNumberingAfterBreak="0">
    <w:nsid w:val="7B9009E4"/>
    <w:multiLevelType w:val="multilevel"/>
    <w:tmpl w:val="5986FBA6"/>
    <w:lvl w:ilvl="0">
      <w:start w:val="4"/>
      <w:numFmt w:val="decimal"/>
      <w:lvlText w:val=" %1."/>
      <w:lvlJc w:val="left"/>
      <w:pPr>
        <w:tabs>
          <w:tab w:val="num" w:pos="283"/>
        </w:tabs>
        <w:ind w:left="283" w:firstLine="80"/>
      </w:pPr>
      <w:rPr>
        <w:rFonts w:cs="Times New Roman"/>
      </w:rPr>
    </w:lvl>
    <w:lvl w:ilvl="1">
      <w:start w:val="1"/>
      <w:numFmt w:val="decimal"/>
      <w:lvlText w:val=" %1.%2."/>
      <w:lvlJc w:val="left"/>
      <w:pPr>
        <w:tabs>
          <w:tab w:val="num" w:pos="567"/>
        </w:tabs>
        <w:ind w:left="567" w:firstLine="136"/>
      </w:pPr>
      <w:rPr>
        <w:rFonts w:cs="Times New Roman"/>
      </w:rPr>
    </w:lvl>
    <w:lvl w:ilvl="2">
      <w:start w:val="1"/>
      <w:numFmt w:val="lowerLetter"/>
      <w:lvlText w:val=" %3)"/>
      <w:lvlJc w:val="left"/>
      <w:pPr>
        <w:tabs>
          <w:tab w:val="num" w:pos="1724"/>
        </w:tabs>
        <w:ind w:left="1724" w:hanging="360"/>
      </w:pPr>
      <w:rPr>
        <w:rFonts w:cs="Times New Roman"/>
      </w:rPr>
    </w:lvl>
    <w:lvl w:ilvl="3">
      <w:start w:val="1"/>
      <w:numFmt w:val="bullet"/>
      <w:lvlText w:val=""/>
      <w:lvlJc w:val="left"/>
      <w:pPr>
        <w:tabs>
          <w:tab w:val="num" w:pos="2084"/>
        </w:tabs>
        <w:ind w:left="2084" w:hanging="360"/>
      </w:pPr>
      <w:rPr>
        <w:rFonts w:ascii="Symbol" w:hAnsi="Symbol" w:hint="default"/>
      </w:rPr>
    </w:lvl>
    <w:lvl w:ilvl="4">
      <w:start w:val="1"/>
      <w:numFmt w:val="bullet"/>
      <w:lvlText w:val=""/>
      <w:lvlJc w:val="left"/>
      <w:pPr>
        <w:tabs>
          <w:tab w:val="num" w:pos="2444"/>
        </w:tabs>
        <w:ind w:left="2444" w:hanging="360"/>
      </w:pPr>
      <w:rPr>
        <w:rFonts w:ascii="Symbol" w:hAnsi="Symbol" w:hint="default"/>
      </w:rPr>
    </w:lvl>
    <w:lvl w:ilvl="5">
      <w:start w:val="1"/>
      <w:numFmt w:val="bullet"/>
      <w:lvlText w:val=""/>
      <w:lvlJc w:val="left"/>
      <w:pPr>
        <w:tabs>
          <w:tab w:val="num" w:pos="2804"/>
        </w:tabs>
        <w:ind w:left="2804" w:hanging="360"/>
      </w:pPr>
      <w:rPr>
        <w:rFonts w:ascii="Symbol" w:hAnsi="Symbol" w:hint="default"/>
      </w:rPr>
    </w:lvl>
    <w:lvl w:ilvl="6">
      <w:start w:val="1"/>
      <w:numFmt w:val="bullet"/>
      <w:lvlText w:val=""/>
      <w:lvlJc w:val="left"/>
      <w:pPr>
        <w:tabs>
          <w:tab w:val="num" w:pos="3164"/>
        </w:tabs>
        <w:ind w:left="3164" w:hanging="360"/>
      </w:pPr>
      <w:rPr>
        <w:rFonts w:ascii="Symbol" w:hAnsi="Symbol" w:hint="default"/>
      </w:rPr>
    </w:lvl>
    <w:lvl w:ilvl="7">
      <w:start w:val="1"/>
      <w:numFmt w:val="bullet"/>
      <w:lvlText w:val=""/>
      <w:lvlJc w:val="left"/>
      <w:pPr>
        <w:tabs>
          <w:tab w:val="num" w:pos="3524"/>
        </w:tabs>
        <w:ind w:left="3524" w:hanging="360"/>
      </w:pPr>
      <w:rPr>
        <w:rFonts w:ascii="Symbol" w:hAnsi="Symbol" w:hint="default"/>
      </w:rPr>
    </w:lvl>
    <w:lvl w:ilvl="8">
      <w:start w:val="1"/>
      <w:numFmt w:val="bullet"/>
      <w:lvlText w:val=""/>
      <w:lvlJc w:val="left"/>
      <w:pPr>
        <w:tabs>
          <w:tab w:val="num" w:pos="3884"/>
        </w:tabs>
        <w:ind w:left="3884" w:hanging="360"/>
      </w:pPr>
      <w:rPr>
        <w:rFonts w:ascii="Symbol" w:hAnsi="Symbol" w:hint="default"/>
      </w:rPr>
    </w:lvl>
  </w:abstractNum>
  <w:abstractNum w:abstractNumId="122" w15:restartNumberingAfterBreak="0">
    <w:nsid w:val="7E5B3AA3"/>
    <w:multiLevelType w:val="hybridMultilevel"/>
    <w:tmpl w:val="70503786"/>
    <w:lvl w:ilvl="0" w:tplc="4DC29A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58379281">
    <w:abstractNumId w:val="75"/>
  </w:num>
  <w:num w:numId="2" w16cid:durableId="724304996">
    <w:abstractNumId w:val="1"/>
  </w:num>
  <w:num w:numId="3" w16cid:durableId="1368868078">
    <w:abstractNumId w:val="82"/>
  </w:num>
  <w:num w:numId="4" w16cid:durableId="1071924389">
    <w:abstractNumId w:val="71"/>
  </w:num>
  <w:num w:numId="5" w16cid:durableId="1641765647">
    <w:abstractNumId w:val="93"/>
  </w:num>
  <w:num w:numId="6" w16cid:durableId="780338703">
    <w:abstractNumId w:val="69"/>
  </w:num>
  <w:num w:numId="7" w16cid:durableId="1400440791">
    <w:abstractNumId w:val="106"/>
  </w:num>
  <w:num w:numId="8" w16cid:durableId="1574050415">
    <w:abstractNumId w:val="112"/>
  </w:num>
  <w:num w:numId="9" w16cid:durableId="349111799">
    <w:abstractNumId w:val="121"/>
  </w:num>
  <w:num w:numId="10" w16cid:durableId="7293822">
    <w:abstractNumId w:val="79"/>
  </w:num>
  <w:num w:numId="11" w16cid:durableId="631834066">
    <w:abstractNumId w:val="21"/>
  </w:num>
  <w:num w:numId="12" w16cid:durableId="510414208">
    <w:abstractNumId w:val="77"/>
  </w:num>
  <w:num w:numId="13" w16cid:durableId="1881866278">
    <w:abstractNumId w:val="70"/>
  </w:num>
  <w:num w:numId="14" w16cid:durableId="1203598214">
    <w:abstractNumId w:val="115"/>
  </w:num>
  <w:num w:numId="15" w16cid:durableId="511528271">
    <w:abstractNumId w:val="101"/>
  </w:num>
  <w:num w:numId="16" w16cid:durableId="54860261">
    <w:abstractNumId w:val="68"/>
  </w:num>
  <w:num w:numId="17" w16cid:durableId="1325933433">
    <w:abstractNumId w:val="40"/>
  </w:num>
  <w:num w:numId="18" w16cid:durableId="514810628">
    <w:abstractNumId w:val="90"/>
  </w:num>
  <w:num w:numId="19" w16cid:durableId="1184440476">
    <w:abstractNumId w:val="105"/>
  </w:num>
  <w:num w:numId="20" w16cid:durableId="1037005043">
    <w:abstractNumId w:val="17"/>
  </w:num>
  <w:num w:numId="21" w16cid:durableId="50622515">
    <w:abstractNumId w:val="57"/>
  </w:num>
  <w:num w:numId="22" w16cid:durableId="1418210767">
    <w:abstractNumId w:val="73"/>
  </w:num>
  <w:num w:numId="23" w16cid:durableId="735398821">
    <w:abstractNumId w:val="117"/>
  </w:num>
  <w:num w:numId="24" w16cid:durableId="48960382">
    <w:abstractNumId w:val="78"/>
  </w:num>
  <w:num w:numId="25" w16cid:durableId="1999842697">
    <w:abstractNumId w:val="111"/>
  </w:num>
  <w:num w:numId="26" w16cid:durableId="719548053">
    <w:abstractNumId w:val="83"/>
  </w:num>
  <w:num w:numId="27" w16cid:durableId="1197699463">
    <w:abstractNumId w:val="47"/>
  </w:num>
  <w:num w:numId="28" w16cid:durableId="714506188">
    <w:abstractNumId w:val="89"/>
  </w:num>
  <w:num w:numId="29" w16cid:durableId="1418360618">
    <w:abstractNumId w:val="108"/>
  </w:num>
  <w:num w:numId="30" w16cid:durableId="1370691306">
    <w:abstractNumId w:val="118"/>
  </w:num>
  <w:num w:numId="31" w16cid:durableId="1007293695">
    <w:abstractNumId w:val="28"/>
  </w:num>
  <w:num w:numId="32" w16cid:durableId="1294825483">
    <w:abstractNumId w:val="97"/>
  </w:num>
  <w:num w:numId="33" w16cid:durableId="1281648028">
    <w:abstractNumId w:val="51"/>
  </w:num>
  <w:num w:numId="34" w16cid:durableId="487868077">
    <w:abstractNumId w:val="76"/>
  </w:num>
  <w:num w:numId="35" w16cid:durableId="354842948">
    <w:abstractNumId w:val="120"/>
  </w:num>
  <w:num w:numId="36" w16cid:durableId="500005044">
    <w:abstractNumId w:val="109"/>
  </w:num>
  <w:num w:numId="37" w16cid:durableId="1932659308">
    <w:abstractNumId w:val="12"/>
  </w:num>
  <w:num w:numId="38" w16cid:durableId="1030182623">
    <w:abstractNumId w:val="64"/>
  </w:num>
  <w:num w:numId="39" w16cid:durableId="106390685">
    <w:abstractNumId w:val="99"/>
  </w:num>
  <w:num w:numId="40" w16cid:durableId="563873098">
    <w:abstractNumId w:val="62"/>
  </w:num>
  <w:num w:numId="41" w16cid:durableId="1675690423">
    <w:abstractNumId w:val="29"/>
  </w:num>
  <w:num w:numId="42" w16cid:durableId="332993162">
    <w:abstractNumId w:val="32"/>
  </w:num>
  <w:num w:numId="43" w16cid:durableId="118039816">
    <w:abstractNumId w:val="81"/>
  </w:num>
  <w:num w:numId="44" w16cid:durableId="826484581">
    <w:abstractNumId w:val="20"/>
  </w:num>
  <w:num w:numId="45" w16cid:durableId="1192259899">
    <w:abstractNumId w:val="52"/>
  </w:num>
  <w:num w:numId="46" w16cid:durableId="1273317747">
    <w:abstractNumId w:val="55"/>
  </w:num>
  <w:num w:numId="47" w16cid:durableId="1486434853">
    <w:abstractNumId w:val="53"/>
  </w:num>
  <w:num w:numId="48" w16cid:durableId="863442605">
    <w:abstractNumId w:val="107"/>
  </w:num>
  <w:num w:numId="49" w16cid:durableId="1176069415">
    <w:abstractNumId w:val="92"/>
  </w:num>
  <w:num w:numId="50" w16cid:durableId="882641699">
    <w:abstractNumId w:val="103"/>
  </w:num>
  <w:num w:numId="51" w16cid:durableId="464665919">
    <w:abstractNumId w:val="42"/>
  </w:num>
  <w:num w:numId="52" w16cid:durableId="50351256">
    <w:abstractNumId w:val="60"/>
  </w:num>
  <w:num w:numId="53" w16cid:durableId="314838522">
    <w:abstractNumId w:val="54"/>
  </w:num>
  <w:num w:numId="54" w16cid:durableId="1214269420">
    <w:abstractNumId w:val="110"/>
  </w:num>
  <w:num w:numId="55" w16cid:durableId="1957178067">
    <w:abstractNumId w:val="67"/>
  </w:num>
  <w:num w:numId="56" w16cid:durableId="1392733175">
    <w:abstractNumId w:val="27"/>
  </w:num>
  <w:num w:numId="57" w16cid:durableId="396130271">
    <w:abstractNumId w:val="114"/>
  </w:num>
  <w:num w:numId="58" w16cid:durableId="59796856">
    <w:abstractNumId w:val="8"/>
  </w:num>
  <w:num w:numId="59" w16cid:durableId="767821457">
    <w:abstractNumId w:val="65"/>
  </w:num>
  <w:num w:numId="60" w16cid:durableId="2029061747">
    <w:abstractNumId w:val="58"/>
  </w:num>
  <w:num w:numId="61" w16cid:durableId="24453532">
    <w:abstractNumId w:val="113"/>
  </w:num>
  <w:num w:numId="62" w16cid:durableId="655380092">
    <w:abstractNumId w:val="19"/>
  </w:num>
  <w:num w:numId="63" w16cid:durableId="1452044751">
    <w:abstractNumId w:val="23"/>
  </w:num>
  <w:num w:numId="64" w16cid:durableId="1805610630">
    <w:abstractNumId w:val="72"/>
  </w:num>
  <w:num w:numId="65" w16cid:durableId="2135901889">
    <w:abstractNumId w:val="38"/>
  </w:num>
  <w:num w:numId="66" w16cid:durableId="612245615">
    <w:abstractNumId w:val="34"/>
  </w:num>
  <w:num w:numId="67" w16cid:durableId="707678234">
    <w:abstractNumId w:val="25"/>
  </w:num>
  <w:num w:numId="68" w16cid:durableId="1563952572">
    <w:abstractNumId w:val="7"/>
  </w:num>
  <w:num w:numId="69" w16cid:durableId="1405950660">
    <w:abstractNumId w:val="14"/>
  </w:num>
  <w:num w:numId="70" w16cid:durableId="1609653075">
    <w:abstractNumId w:val="36"/>
  </w:num>
  <w:num w:numId="71" w16cid:durableId="1500076010">
    <w:abstractNumId w:val="46"/>
  </w:num>
  <w:num w:numId="72" w16cid:durableId="665792043">
    <w:abstractNumId w:val="44"/>
  </w:num>
  <w:num w:numId="73" w16cid:durableId="594172122">
    <w:abstractNumId w:val="11"/>
  </w:num>
  <w:num w:numId="74" w16cid:durableId="648440777">
    <w:abstractNumId w:val="59"/>
  </w:num>
  <w:num w:numId="75" w16cid:durableId="1663116308">
    <w:abstractNumId w:val="56"/>
  </w:num>
  <w:num w:numId="76" w16cid:durableId="308562100">
    <w:abstractNumId w:val="96"/>
  </w:num>
  <w:num w:numId="77" w16cid:durableId="1773623334">
    <w:abstractNumId w:val="100"/>
  </w:num>
  <w:num w:numId="78" w16cid:durableId="725422470">
    <w:abstractNumId w:val="30"/>
  </w:num>
  <w:num w:numId="79" w16cid:durableId="1102074074">
    <w:abstractNumId w:val="61"/>
  </w:num>
  <w:num w:numId="80" w16cid:durableId="1154950307">
    <w:abstractNumId w:val="94"/>
  </w:num>
  <w:num w:numId="81" w16cid:durableId="363405484">
    <w:abstractNumId w:val="119"/>
  </w:num>
  <w:num w:numId="82" w16cid:durableId="319387740">
    <w:abstractNumId w:val="33"/>
  </w:num>
  <w:num w:numId="83" w16cid:durableId="549848436">
    <w:abstractNumId w:val="84"/>
  </w:num>
  <w:num w:numId="84" w16cid:durableId="96755971">
    <w:abstractNumId w:val="49"/>
  </w:num>
  <w:num w:numId="85" w16cid:durableId="2143183988">
    <w:abstractNumId w:val="63"/>
  </w:num>
  <w:num w:numId="86" w16cid:durableId="73010684">
    <w:abstractNumId w:val="80"/>
  </w:num>
  <w:num w:numId="87" w16cid:durableId="501120989">
    <w:abstractNumId w:val="122"/>
  </w:num>
  <w:num w:numId="88" w16cid:durableId="1219324074">
    <w:abstractNumId w:val="41"/>
  </w:num>
  <w:num w:numId="89" w16cid:durableId="1157070699">
    <w:abstractNumId w:val="37"/>
  </w:num>
  <w:num w:numId="90" w16cid:durableId="2125419913">
    <w:abstractNumId w:val="16"/>
  </w:num>
  <w:num w:numId="91" w16cid:durableId="582304748">
    <w:abstractNumId w:val="15"/>
  </w:num>
  <w:num w:numId="92" w16cid:durableId="1502163956">
    <w:abstractNumId w:val="13"/>
  </w:num>
  <w:num w:numId="93" w16cid:durableId="182675185">
    <w:abstractNumId w:val="39"/>
  </w:num>
  <w:num w:numId="94" w16cid:durableId="1953703715">
    <w:abstractNumId w:val="95"/>
  </w:num>
  <w:num w:numId="95" w16cid:durableId="1227569735">
    <w:abstractNumId w:val="43"/>
  </w:num>
  <w:num w:numId="96" w16cid:durableId="1149053846">
    <w:abstractNumId w:val="116"/>
  </w:num>
  <w:num w:numId="97" w16cid:durableId="222108381">
    <w:abstractNumId w:val="10"/>
  </w:num>
  <w:num w:numId="98" w16cid:durableId="1271738180">
    <w:abstractNumId w:val="87"/>
  </w:num>
  <w:num w:numId="99" w16cid:durableId="646978013">
    <w:abstractNumId w:val="45"/>
  </w:num>
  <w:num w:numId="100" w16cid:durableId="1141848662">
    <w:abstractNumId w:val="98"/>
  </w:num>
  <w:num w:numId="101" w16cid:durableId="1439714527">
    <w:abstractNumId w:val="86"/>
  </w:num>
  <w:num w:numId="102" w16cid:durableId="367876434">
    <w:abstractNumId w:val="104"/>
  </w:num>
  <w:num w:numId="103" w16cid:durableId="2067097607">
    <w:abstractNumId w:val="85"/>
  </w:num>
  <w:num w:numId="104" w16cid:durableId="1719934646">
    <w:abstractNumId w:val="26"/>
  </w:num>
  <w:num w:numId="105" w16cid:durableId="142936640">
    <w:abstractNumId w:val="66"/>
  </w:num>
  <w:num w:numId="106" w16cid:durableId="1989282504">
    <w:abstractNumId w:val="18"/>
  </w:num>
  <w:num w:numId="107" w16cid:durableId="555287904">
    <w:abstractNumId w:val="9"/>
  </w:num>
  <w:num w:numId="108" w16cid:durableId="1062169732">
    <w:abstractNumId w:val="91"/>
  </w:num>
  <w:num w:numId="109" w16cid:durableId="1422333735">
    <w:abstractNumId w:val="88"/>
  </w:num>
  <w:num w:numId="110" w16cid:durableId="1616208625">
    <w:abstractNumId w:val="50"/>
  </w:num>
  <w:num w:numId="111" w16cid:durableId="1268006259">
    <w:abstractNumId w:val="24"/>
  </w:num>
  <w:num w:numId="112" w16cid:durableId="1769497345">
    <w:abstractNumId w:val="31"/>
  </w:num>
  <w:num w:numId="113" w16cid:durableId="118306858">
    <w:abstractNumId w:val="74"/>
  </w:num>
  <w:num w:numId="114" w16cid:durableId="321352541">
    <w:abstractNumId w:val="35"/>
  </w:num>
  <w:num w:numId="115" w16cid:durableId="448091806">
    <w:abstractNumId w:val="48"/>
  </w:num>
  <w:num w:numId="116" w16cid:durableId="325211784">
    <w:abstractNumId w:val="22"/>
  </w:num>
  <w:num w:numId="117" w16cid:durableId="738939302">
    <w:abstractNumId w:val="102"/>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defaultTabStop w:val="737"/>
  <w:hyphenationZone w:val="425"/>
  <w:doNotHyphenateCaps/>
  <w:characterSpacingControl w:val="doNotCompress"/>
  <w:doNotValidateAgainstSchema/>
  <w:doNotDemarcateInvalidXml/>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6E5"/>
    <w:rsid w:val="000028F8"/>
    <w:rsid w:val="00002BF2"/>
    <w:rsid w:val="000035F2"/>
    <w:rsid w:val="0000596A"/>
    <w:rsid w:val="00006BA2"/>
    <w:rsid w:val="00010582"/>
    <w:rsid w:val="00010F5F"/>
    <w:rsid w:val="00012608"/>
    <w:rsid w:val="00013894"/>
    <w:rsid w:val="00013AAE"/>
    <w:rsid w:val="00014440"/>
    <w:rsid w:val="00014445"/>
    <w:rsid w:val="00014FCB"/>
    <w:rsid w:val="00015401"/>
    <w:rsid w:val="00016DCC"/>
    <w:rsid w:val="000176F1"/>
    <w:rsid w:val="00024904"/>
    <w:rsid w:val="000259B4"/>
    <w:rsid w:val="00026BDB"/>
    <w:rsid w:val="000271AB"/>
    <w:rsid w:val="00027AFF"/>
    <w:rsid w:val="000322B2"/>
    <w:rsid w:val="00033633"/>
    <w:rsid w:val="000353DA"/>
    <w:rsid w:val="000368D8"/>
    <w:rsid w:val="000368F2"/>
    <w:rsid w:val="00036B5E"/>
    <w:rsid w:val="000409E7"/>
    <w:rsid w:val="00040AD8"/>
    <w:rsid w:val="0004123E"/>
    <w:rsid w:val="00042D66"/>
    <w:rsid w:val="00043D78"/>
    <w:rsid w:val="00044084"/>
    <w:rsid w:val="00044FF7"/>
    <w:rsid w:val="00045483"/>
    <w:rsid w:val="0004591E"/>
    <w:rsid w:val="00045BF6"/>
    <w:rsid w:val="0004615A"/>
    <w:rsid w:val="000466F4"/>
    <w:rsid w:val="00047A2F"/>
    <w:rsid w:val="00047BA7"/>
    <w:rsid w:val="00050113"/>
    <w:rsid w:val="000508CC"/>
    <w:rsid w:val="000518C7"/>
    <w:rsid w:val="00051E11"/>
    <w:rsid w:val="00052138"/>
    <w:rsid w:val="0005478D"/>
    <w:rsid w:val="000548AE"/>
    <w:rsid w:val="00054E8E"/>
    <w:rsid w:val="00055943"/>
    <w:rsid w:val="00055B1A"/>
    <w:rsid w:val="00056128"/>
    <w:rsid w:val="0005707A"/>
    <w:rsid w:val="00057831"/>
    <w:rsid w:val="00061209"/>
    <w:rsid w:val="00065E3D"/>
    <w:rsid w:val="000663CF"/>
    <w:rsid w:val="00066CF2"/>
    <w:rsid w:val="00067A1E"/>
    <w:rsid w:val="00067F3D"/>
    <w:rsid w:val="000701CD"/>
    <w:rsid w:val="00072AF0"/>
    <w:rsid w:val="00072B55"/>
    <w:rsid w:val="00072D4E"/>
    <w:rsid w:val="00074739"/>
    <w:rsid w:val="000755F2"/>
    <w:rsid w:val="00076583"/>
    <w:rsid w:val="00076892"/>
    <w:rsid w:val="00076DDB"/>
    <w:rsid w:val="00080339"/>
    <w:rsid w:val="00084F1C"/>
    <w:rsid w:val="00085E06"/>
    <w:rsid w:val="00087091"/>
    <w:rsid w:val="000900C2"/>
    <w:rsid w:val="000904EF"/>
    <w:rsid w:val="00092AE3"/>
    <w:rsid w:val="00094ECE"/>
    <w:rsid w:val="00095CD9"/>
    <w:rsid w:val="00096493"/>
    <w:rsid w:val="000A0073"/>
    <w:rsid w:val="000A0319"/>
    <w:rsid w:val="000A04EB"/>
    <w:rsid w:val="000A060B"/>
    <w:rsid w:val="000A12D3"/>
    <w:rsid w:val="000A132A"/>
    <w:rsid w:val="000A2346"/>
    <w:rsid w:val="000A2C27"/>
    <w:rsid w:val="000A538B"/>
    <w:rsid w:val="000A5AEA"/>
    <w:rsid w:val="000B04AF"/>
    <w:rsid w:val="000B3D1F"/>
    <w:rsid w:val="000B4889"/>
    <w:rsid w:val="000B66B1"/>
    <w:rsid w:val="000B672C"/>
    <w:rsid w:val="000B6832"/>
    <w:rsid w:val="000B7B9C"/>
    <w:rsid w:val="000C2347"/>
    <w:rsid w:val="000C3C04"/>
    <w:rsid w:val="000C7E0A"/>
    <w:rsid w:val="000D012C"/>
    <w:rsid w:val="000D092A"/>
    <w:rsid w:val="000D168D"/>
    <w:rsid w:val="000D2ABD"/>
    <w:rsid w:val="000D3820"/>
    <w:rsid w:val="000D471B"/>
    <w:rsid w:val="000D4D0F"/>
    <w:rsid w:val="000E1EAE"/>
    <w:rsid w:val="000E38C7"/>
    <w:rsid w:val="000E70E7"/>
    <w:rsid w:val="000F0160"/>
    <w:rsid w:val="000F0BDF"/>
    <w:rsid w:val="000F10A9"/>
    <w:rsid w:val="000F1B91"/>
    <w:rsid w:val="000F25FD"/>
    <w:rsid w:val="000F2E15"/>
    <w:rsid w:val="000F2FCF"/>
    <w:rsid w:val="000F4C63"/>
    <w:rsid w:val="000F5223"/>
    <w:rsid w:val="000F5DDE"/>
    <w:rsid w:val="000F7BB9"/>
    <w:rsid w:val="0010134F"/>
    <w:rsid w:val="00101401"/>
    <w:rsid w:val="001015CE"/>
    <w:rsid w:val="00102A97"/>
    <w:rsid w:val="00102BD6"/>
    <w:rsid w:val="00102F4E"/>
    <w:rsid w:val="00103278"/>
    <w:rsid w:val="0010406A"/>
    <w:rsid w:val="00104B66"/>
    <w:rsid w:val="001052F3"/>
    <w:rsid w:val="0010573C"/>
    <w:rsid w:val="001065D7"/>
    <w:rsid w:val="00106789"/>
    <w:rsid w:val="00107D32"/>
    <w:rsid w:val="00111065"/>
    <w:rsid w:val="001117B4"/>
    <w:rsid w:val="00115F64"/>
    <w:rsid w:val="00116341"/>
    <w:rsid w:val="00116966"/>
    <w:rsid w:val="00116E8F"/>
    <w:rsid w:val="00120469"/>
    <w:rsid w:val="001215A2"/>
    <w:rsid w:val="00121EDD"/>
    <w:rsid w:val="00122C35"/>
    <w:rsid w:val="001233D7"/>
    <w:rsid w:val="001240DC"/>
    <w:rsid w:val="0012453E"/>
    <w:rsid w:val="001245D6"/>
    <w:rsid w:val="00124EF1"/>
    <w:rsid w:val="0012541D"/>
    <w:rsid w:val="001256E2"/>
    <w:rsid w:val="0012629F"/>
    <w:rsid w:val="00126533"/>
    <w:rsid w:val="0012682F"/>
    <w:rsid w:val="00131879"/>
    <w:rsid w:val="00131E58"/>
    <w:rsid w:val="001339FC"/>
    <w:rsid w:val="0013416F"/>
    <w:rsid w:val="00134D0C"/>
    <w:rsid w:val="00134E56"/>
    <w:rsid w:val="00136020"/>
    <w:rsid w:val="00140976"/>
    <w:rsid w:val="00141E5C"/>
    <w:rsid w:val="00142006"/>
    <w:rsid w:val="0014360F"/>
    <w:rsid w:val="00143FBE"/>
    <w:rsid w:val="001443BC"/>
    <w:rsid w:val="00144AA9"/>
    <w:rsid w:val="00144EA0"/>
    <w:rsid w:val="001454A3"/>
    <w:rsid w:val="001455C8"/>
    <w:rsid w:val="001474F3"/>
    <w:rsid w:val="00150149"/>
    <w:rsid w:val="00150EE1"/>
    <w:rsid w:val="00151D3C"/>
    <w:rsid w:val="0015358E"/>
    <w:rsid w:val="00153DA6"/>
    <w:rsid w:val="00153E87"/>
    <w:rsid w:val="0015429B"/>
    <w:rsid w:val="00154A89"/>
    <w:rsid w:val="00155413"/>
    <w:rsid w:val="001565DD"/>
    <w:rsid w:val="00156A95"/>
    <w:rsid w:val="0015755E"/>
    <w:rsid w:val="00160D1F"/>
    <w:rsid w:val="001638E4"/>
    <w:rsid w:val="00164C9A"/>
    <w:rsid w:val="00170996"/>
    <w:rsid w:val="00171365"/>
    <w:rsid w:val="00171CC2"/>
    <w:rsid w:val="0017239E"/>
    <w:rsid w:val="00173175"/>
    <w:rsid w:val="00173405"/>
    <w:rsid w:val="00173D82"/>
    <w:rsid w:val="00174E08"/>
    <w:rsid w:val="0017539E"/>
    <w:rsid w:val="00181F00"/>
    <w:rsid w:val="00182405"/>
    <w:rsid w:val="00182C52"/>
    <w:rsid w:val="0018303E"/>
    <w:rsid w:val="001832D1"/>
    <w:rsid w:val="0018336C"/>
    <w:rsid w:val="00184850"/>
    <w:rsid w:val="00185169"/>
    <w:rsid w:val="00187B97"/>
    <w:rsid w:val="00187ECC"/>
    <w:rsid w:val="00190415"/>
    <w:rsid w:val="00190732"/>
    <w:rsid w:val="00191245"/>
    <w:rsid w:val="0019124F"/>
    <w:rsid w:val="00192CD3"/>
    <w:rsid w:val="00193CD5"/>
    <w:rsid w:val="00193EAF"/>
    <w:rsid w:val="00195CAF"/>
    <w:rsid w:val="0019647E"/>
    <w:rsid w:val="0019714B"/>
    <w:rsid w:val="001A00CE"/>
    <w:rsid w:val="001A1EB5"/>
    <w:rsid w:val="001A2670"/>
    <w:rsid w:val="001A3C86"/>
    <w:rsid w:val="001A61B1"/>
    <w:rsid w:val="001A73B3"/>
    <w:rsid w:val="001B04BD"/>
    <w:rsid w:val="001B2C99"/>
    <w:rsid w:val="001B2F2F"/>
    <w:rsid w:val="001B3413"/>
    <w:rsid w:val="001B39E1"/>
    <w:rsid w:val="001B3B61"/>
    <w:rsid w:val="001B475D"/>
    <w:rsid w:val="001B6038"/>
    <w:rsid w:val="001C0012"/>
    <w:rsid w:val="001C0C03"/>
    <w:rsid w:val="001C22A4"/>
    <w:rsid w:val="001C2405"/>
    <w:rsid w:val="001C2FD6"/>
    <w:rsid w:val="001C439D"/>
    <w:rsid w:val="001C4E87"/>
    <w:rsid w:val="001C64A4"/>
    <w:rsid w:val="001D2E5D"/>
    <w:rsid w:val="001D3727"/>
    <w:rsid w:val="001D3D83"/>
    <w:rsid w:val="001D5802"/>
    <w:rsid w:val="001D7E0F"/>
    <w:rsid w:val="001E30F7"/>
    <w:rsid w:val="001E360E"/>
    <w:rsid w:val="001E3B12"/>
    <w:rsid w:val="001E3B66"/>
    <w:rsid w:val="001E545E"/>
    <w:rsid w:val="001E5CE6"/>
    <w:rsid w:val="001E69D1"/>
    <w:rsid w:val="001F1059"/>
    <w:rsid w:val="001F25F9"/>
    <w:rsid w:val="001F36B0"/>
    <w:rsid w:val="001F4FBA"/>
    <w:rsid w:val="001F5D12"/>
    <w:rsid w:val="001F5DE6"/>
    <w:rsid w:val="001F5F7D"/>
    <w:rsid w:val="001F669E"/>
    <w:rsid w:val="001F7396"/>
    <w:rsid w:val="001F79B7"/>
    <w:rsid w:val="00202017"/>
    <w:rsid w:val="00203D96"/>
    <w:rsid w:val="00205068"/>
    <w:rsid w:val="002055F6"/>
    <w:rsid w:val="002073D2"/>
    <w:rsid w:val="00212F78"/>
    <w:rsid w:val="00215E73"/>
    <w:rsid w:val="00216727"/>
    <w:rsid w:val="00222AB9"/>
    <w:rsid w:val="00225140"/>
    <w:rsid w:val="002272A8"/>
    <w:rsid w:val="00227B68"/>
    <w:rsid w:val="00231774"/>
    <w:rsid w:val="002336AB"/>
    <w:rsid w:val="00233863"/>
    <w:rsid w:val="002346B2"/>
    <w:rsid w:val="00236873"/>
    <w:rsid w:val="00240032"/>
    <w:rsid w:val="002420E6"/>
    <w:rsid w:val="002426AC"/>
    <w:rsid w:val="002429D2"/>
    <w:rsid w:val="00243335"/>
    <w:rsid w:val="00243F99"/>
    <w:rsid w:val="00244C08"/>
    <w:rsid w:val="00244ED9"/>
    <w:rsid w:val="002460F0"/>
    <w:rsid w:val="0024639D"/>
    <w:rsid w:val="002467D4"/>
    <w:rsid w:val="00246DD9"/>
    <w:rsid w:val="00250128"/>
    <w:rsid w:val="00252CBD"/>
    <w:rsid w:val="00253419"/>
    <w:rsid w:val="002549ED"/>
    <w:rsid w:val="002557F2"/>
    <w:rsid w:val="00255C42"/>
    <w:rsid w:val="0026147D"/>
    <w:rsid w:val="00262183"/>
    <w:rsid w:val="0026301B"/>
    <w:rsid w:val="002636AA"/>
    <w:rsid w:val="00264CA0"/>
    <w:rsid w:val="00265917"/>
    <w:rsid w:val="00266175"/>
    <w:rsid w:val="00267586"/>
    <w:rsid w:val="00272AFD"/>
    <w:rsid w:val="0027377E"/>
    <w:rsid w:val="00275276"/>
    <w:rsid w:val="00276D6F"/>
    <w:rsid w:val="00276DDC"/>
    <w:rsid w:val="002774EC"/>
    <w:rsid w:val="0028079C"/>
    <w:rsid w:val="00281521"/>
    <w:rsid w:val="002817E8"/>
    <w:rsid w:val="00281E2F"/>
    <w:rsid w:val="00283421"/>
    <w:rsid w:val="0028350D"/>
    <w:rsid w:val="00284AFA"/>
    <w:rsid w:val="002862F1"/>
    <w:rsid w:val="002873D7"/>
    <w:rsid w:val="002878A4"/>
    <w:rsid w:val="002879F9"/>
    <w:rsid w:val="00287F33"/>
    <w:rsid w:val="00290F4B"/>
    <w:rsid w:val="0029114A"/>
    <w:rsid w:val="002915B3"/>
    <w:rsid w:val="002928F8"/>
    <w:rsid w:val="00294053"/>
    <w:rsid w:val="002946CB"/>
    <w:rsid w:val="002957B4"/>
    <w:rsid w:val="00295DB5"/>
    <w:rsid w:val="00297A9D"/>
    <w:rsid w:val="002A05E5"/>
    <w:rsid w:val="002A0D44"/>
    <w:rsid w:val="002A17BF"/>
    <w:rsid w:val="002A1C19"/>
    <w:rsid w:val="002A1D66"/>
    <w:rsid w:val="002A304C"/>
    <w:rsid w:val="002A61A9"/>
    <w:rsid w:val="002A6774"/>
    <w:rsid w:val="002A6844"/>
    <w:rsid w:val="002A7059"/>
    <w:rsid w:val="002A7588"/>
    <w:rsid w:val="002B000B"/>
    <w:rsid w:val="002B1237"/>
    <w:rsid w:val="002B1B82"/>
    <w:rsid w:val="002B2769"/>
    <w:rsid w:val="002B2E71"/>
    <w:rsid w:val="002B2F88"/>
    <w:rsid w:val="002B31F8"/>
    <w:rsid w:val="002B5235"/>
    <w:rsid w:val="002B6D85"/>
    <w:rsid w:val="002B7B0D"/>
    <w:rsid w:val="002B7FD2"/>
    <w:rsid w:val="002C3A1A"/>
    <w:rsid w:val="002C3DD8"/>
    <w:rsid w:val="002D0413"/>
    <w:rsid w:val="002D09CC"/>
    <w:rsid w:val="002D2738"/>
    <w:rsid w:val="002D2B79"/>
    <w:rsid w:val="002D4431"/>
    <w:rsid w:val="002D4BD1"/>
    <w:rsid w:val="002D5F47"/>
    <w:rsid w:val="002D6DD4"/>
    <w:rsid w:val="002D716A"/>
    <w:rsid w:val="002E071C"/>
    <w:rsid w:val="002E0BCA"/>
    <w:rsid w:val="002E2A4A"/>
    <w:rsid w:val="002E3518"/>
    <w:rsid w:val="002E4A7B"/>
    <w:rsid w:val="002E58FA"/>
    <w:rsid w:val="002E72E5"/>
    <w:rsid w:val="002E79FD"/>
    <w:rsid w:val="002E7C16"/>
    <w:rsid w:val="002F0486"/>
    <w:rsid w:val="002F0D0B"/>
    <w:rsid w:val="002F1746"/>
    <w:rsid w:val="002F19C8"/>
    <w:rsid w:val="002F1C3B"/>
    <w:rsid w:val="002F291A"/>
    <w:rsid w:val="002F31F7"/>
    <w:rsid w:val="002F7B83"/>
    <w:rsid w:val="003006C0"/>
    <w:rsid w:val="00300CCF"/>
    <w:rsid w:val="003013A2"/>
    <w:rsid w:val="003029B2"/>
    <w:rsid w:val="00303C6E"/>
    <w:rsid w:val="003045CC"/>
    <w:rsid w:val="00305029"/>
    <w:rsid w:val="003104EF"/>
    <w:rsid w:val="00310A55"/>
    <w:rsid w:val="00310CAB"/>
    <w:rsid w:val="003112A5"/>
    <w:rsid w:val="00311BE7"/>
    <w:rsid w:val="00311EDC"/>
    <w:rsid w:val="00313C54"/>
    <w:rsid w:val="00314025"/>
    <w:rsid w:val="0031459A"/>
    <w:rsid w:val="00315405"/>
    <w:rsid w:val="00322009"/>
    <w:rsid w:val="00325394"/>
    <w:rsid w:val="00325E9E"/>
    <w:rsid w:val="0032602F"/>
    <w:rsid w:val="003268CB"/>
    <w:rsid w:val="00330376"/>
    <w:rsid w:val="00332D09"/>
    <w:rsid w:val="00333817"/>
    <w:rsid w:val="00335014"/>
    <w:rsid w:val="00335736"/>
    <w:rsid w:val="00335E08"/>
    <w:rsid w:val="003361D2"/>
    <w:rsid w:val="00336FED"/>
    <w:rsid w:val="00337176"/>
    <w:rsid w:val="003404FD"/>
    <w:rsid w:val="00341C61"/>
    <w:rsid w:val="003426A6"/>
    <w:rsid w:val="0034359B"/>
    <w:rsid w:val="00345858"/>
    <w:rsid w:val="003466E3"/>
    <w:rsid w:val="0034728B"/>
    <w:rsid w:val="00350E2D"/>
    <w:rsid w:val="00351599"/>
    <w:rsid w:val="00353D59"/>
    <w:rsid w:val="00353F94"/>
    <w:rsid w:val="0035422A"/>
    <w:rsid w:val="00354605"/>
    <w:rsid w:val="003562A6"/>
    <w:rsid w:val="00357A52"/>
    <w:rsid w:val="0036092A"/>
    <w:rsid w:val="00360DAD"/>
    <w:rsid w:val="00361814"/>
    <w:rsid w:val="00361B98"/>
    <w:rsid w:val="003626F1"/>
    <w:rsid w:val="0036318C"/>
    <w:rsid w:val="00364768"/>
    <w:rsid w:val="00364A01"/>
    <w:rsid w:val="00364A04"/>
    <w:rsid w:val="00365845"/>
    <w:rsid w:val="00365869"/>
    <w:rsid w:val="00367849"/>
    <w:rsid w:val="0037040F"/>
    <w:rsid w:val="0037083F"/>
    <w:rsid w:val="0037180A"/>
    <w:rsid w:val="003719D6"/>
    <w:rsid w:val="00373DAC"/>
    <w:rsid w:val="00373DDC"/>
    <w:rsid w:val="00374E04"/>
    <w:rsid w:val="00375127"/>
    <w:rsid w:val="00375627"/>
    <w:rsid w:val="00375FC5"/>
    <w:rsid w:val="003760A5"/>
    <w:rsid w:val="0037799E"/>
    <w:rsid w:val="0038243B"/>
    <w:rsid w:val="00383564"/>
    <w:rsid w:val="00383626"/>
    <w:rsid w:val="00383670"/>
    <w:rsid w:val="00383690"/>
    <w:rsid w:val="003836C8"/>
    <w:rsid w:val="00385AB4"/>
    <w:rsid w:val="00385B9F"/>
    <w:rsid w:val="0038637C"/>
    <w:rsid w:val="00387F95"/>
    <w:rsid w:val="00390AB7"/>
    <w:rsid w:val="00391BB7"/>
    <w:rsid w:val="0039268A"/>
    <w:rsid w:val="003948CD"/>
    <w:rsid w:val="00394ACD"/>
    <w:rsid w:val="00395BB0"/>
    <w:rsid w:val="00395DDF"/>
    <w:rsid w:val="00397287"/>
    <w:rsid w:val="00397C2E"/>
    <w:rsid w:val="00397FFB"/>
    <w:rsid w:val="003A1E59"/>
    <w:rsid w:val="003A28C5"/>
    <w:rsid w:val="003A3435"/>
    <w:rsid w:val="003A3D7D"/>
    <w:rsid w:val="003A40FC"/>
    <w:rsid w:val="003A4704"/>
    <w:rsid w:val="003A4860"/>
    <w:rsid w:val="003A5896"/>
    <w:rsid w:val="003A6AE7"/>
    <w:rsid w:val="003A71A1"/>
    <w:rsid w:val="003A767F"/>
    <w:rsid w:val="003B10F9"/>
    <w:rsid w:val="003B26E0"/>
    <w:rsid w:val="003B3633"/>
    <w:rsid w:val="003B478A"/>
    <w:rsid w:val="003B488A"/>
    <w:rsid w:val="003B62A4"/>
    <w:rsid w:val="003B6B5E"/>
    <w:rsid w:val="003C4AE8"/>
    <w:rsid w:val="003C4C0A"/>
    <w:rsid w:val="003C4D11"/>
    <w:rsid w:val="003C5DC0"/>
    <w:rsid w:val="003D18CB"/>
    <w:rsid w:val="003D1F83"/>
    <w:rsid w:val="003D321F"/>
    <w:rsid w:val="003D3268"/>
    <w:rsid w:val="003D37AA"/>
    <w:rsid w:val="003D4813"/>
    <w:rsid w:val="003D56F7"/>
    <w:rsid w:val="003D6E8D"/>
    <w:rsid w:val="003D7E74"/>
    <w:rsid w:val="003D7E75"/>
    <w:rsid w:val="003E119C"/>
    <w:rsid w:val="003E259D"/>
    <w:rsid w:val="003E307D"/>
    <w:rsid w:val="003E4ED7"/>
    <w:rsid w:val="003E53F3"/>
    <w:rsid w:val="003E5D4E"/>
    <w:rsid w:val="003E72DC"/>
    <w:rsid w:val="003E78DF"/>
    <w:rsid w:val="003E7F63"/>
    <w:rsid w:val="003F05E7"/>
    <w:rsid w:val="003F33B5"/>
    <w:rsid w:val="003F35C3"/>
    <w:rsid w:val="003F4441"/>
    <w:rsid w:val="003F67AE"/>
    <w:rsid w:val="003F6D17"/>
    <w:rsid w:val="003F7A76"/>
    <w:rsid w:val="003F7F4B"/>
    <w:rsid w:val="00400128"/>
    <w:rsid w:val="0040097B"/>
    <w:rsid w:val="00400CE7"/>
    <w:rsid w:val="004024B3"/>
    <w:rsid w:val="00402B2C"/>
    <w:rsid w:val="00403DD8"/>
    <w:rsid w:val="004047BF"/>
    <w:rsid w:val="004047F4"/>
    <w:rsid w:val="00405A50"/>
    <w:rsid w:val="004106DF"/>
    <w:rsid w:val="00411A0F"/>
    <w:rsid w:val="004121F6"/>
    <w:rsid w:val="0041334E"/>
    <w:rsid w:val="00414E4C"/>
    <w:rsid w:val="00415816"/>
    <w:rsid w:val="004159AD"/>
    <w:rsid w:val="00416267"/>
    <w:rsid w:val="00416C76"/>
    <w:rsid w:val="004200F1"/>
    <w:rsid w:val="004201F5"/>
    <w:rsid w:val="00420794"/>
    <w:rsid w:val="004234AB"/>
    <w:rsid w:val="00423BB1"/>
    <w:rsid w:val="004240E2"/>
    <w:rsid w:val="0042575E"/>
    <w:rsid w:val="00430428"/>
    <w:rsid w:val="004313C9"/>
    <w:rsid w:val="004334B9"/>
    <w:rsid w:val="0043354F"/>
    <w:rsid w:val="00433DA1"/>
    <w:rsid w:val="00433F15"/>
    <w:rsid w:val="00435231"/>
    <w:rsid w:val="00435717"/>
    <w:rsid w:val="004357E5"/>
    <w:rsid w:val="00436A4B"/>
    <w:rsid w:val="00437256"/>
    <w:rsid w:val="004378DA"/>
    <w:rsid w:val="00441DF6"/>
    <w:rsid w:val="00442B88"/>
    <w:rsid w:val="004436C8"/>
    <w:rsid w:val="00443C3D"/>
    <w:rsid w:val="0044499E"/>
    <w:rsid w:val="00444A5A"/>
    <w:rsid w:val="00445066"/>
    <w:rsid w:val="00446F90"/>
    <w:rsid w:val="00452A6E"/>
    <w:rsid w:val="004543EA"/>
    <w:rsid w:val="00455081"/>
    <w:rsid w:val="00456ABA"/>
    <w:rsid w:val="0045755D"/>
    <w:rsid w:val="0045759A"/>
    <w:rsid w:val="004577A2"/>
    <w:rsid w:val="00460024"/>
    <w:rsid w:val="004605C5"/>
    <w:rsid w:val="00462912"/>
    <w:rsid w:val="00462E72"/>
    <w:rsid w:val="00467197"/>
    <w:rsid w:val="00467F62"/>
    <w:rsid w:val="0047002F"/>
    <w:rsid w:val="00470C04"/>
    <w:rsid w:val="00472C33"/>
    <w:rsid w:val="004743C9"/>
    <w:rsid w:val="00474DAD"/>
    <w:rsid w:val="004761AF"/>
    <w:rsid w:val="0048004C"/>
    <w:rsid w:val="00480CF0"/>
    <w:rsid w:val="0048215C"/>
    <w:rsid w:val="00483F96"/>
    <w:rsid w:val="00485051"/>
    <w:rsid w:val="00486080"/>
    <w:rsid w:val="00486506"/>
    <w:rsid w:val="004867B1"/>
    <w:rsid w:val="004870DC"/>
    <w:rsid w:val="00490135"/>
    <w:rsid w:val="004916E5"/>
    <w:rsid w:val="00493A9A"/>
    <w:rsid w:val="004A00D5"/>
    <w:rsid w:val="004A0215"/>
    <w:rsid w:val="004A1EC4"/>
    <w:rsid w:val="004A2E51"/>
    <w:rsid w:val="004A3057"/>
    <w:rsid w:val="004A32BC"/>
    <w:rsid w:val="004A3903"/>
    <w:rsid w:val="004A3C14"/>
    <w:rsid w:val="004A41AD"/>
    <w:rsid w:val="004A5A56"/>
    <w:rsid w:val="004A5AC6"/>
    <w:rsid w:val="004A6784"/>
    <w:rsid w:val="004B1667"/>
    <w:rsid w:val="004B170D"/>
    <w:rsid w:val="004B173F"/>
    <w:rsid w:val="004B20D9"/>
    <w:rsid w:val="004B2356"/>
    <w:rsid w:val="004B3DCC"/>
    <w:rsid w:val="004B5022"/>
    <w:rsid w:val="004C01C4"/>
    <w:rsid w:val="004C0C69"/>
    <w:rsid w:val="004C2B9D"/>
    <w:rsid w:val="004C2DDA"/>
    <w:rsid w:val="004C404E"/>
    <w:rsid w:val="004C5BB0"/>
    <w:rsid w:val="004C6628"/>
    <w:rsid w:val="004C7824"/>
    <w:rsid w:val="004D0953"/>
    <w:rsid w:val="004D5164"/>
    <w:rsid w:val="004D5479"/>
    <w:rsid w:val="004D5C6D"/>
    <w:rsid w:val="004D6174"/>
    <w:rsid w:val="004D6913"/>
    <w:rsid w:val="004D6B73"/>
    <w:rsid w:val="004D7973"/>
    <w:rsid w:val="004E06B5"/>
    <w:rsid w:val="004E0D1D"/>
    <w:rsid w:val="004E30F9"/>
    <w:rsid w:val="004E3114"/>
    <w:rsid w:val="004E36DB"/>
    <w:rsid w:val="004E44BA"/>
    <w:rsid w:val="004E57D3"/>
    <w:rsid w:val="004E62F6"/>
    <w:rsid w:val="004E69B1"/>
    <w:rsid w:val="004F03AA"/>
    <w:rsid w:val="004F0F8D"/>
    <w:rsid w:val="004F3466"/>
    <w:rsid w:val="004F5D90"/>
    <w:rsid w:val="004F64A3"/>
    <w:rsid w:val="004F7D26"/>
    <w:rsid w:val="004F7E1E"/>
    <w:rsid w:val="00501EFA"/>
    <w:rsid w:val="00502DBE"/>
    <w:rsid w:val="00502EA6"/>
    <w:rsid w:val="00503ECC"/>
    <w:rsid w:val="005041A3"/>
    <w:rsid w:val="0050425F"/>
    <w:rsid w:val="00504DF3"/>
    <w:rsid w:val="00506678"/>
    <w:rsid w:val="00507652"/>
    <w:rsid w:val="00507C83"/>
    <w:rsid w:val="00507CBC"/>
    <w:rsid w:val="005109C4"/>
    <w:rsid w:val="00510C0F"/>
    <w:rsid w:val="005110F2"/>
    <w:rsid w:val="005112D8"/>
    <w:rsid w:val="00511A1C"/>
    <w:rsid w:val="00511C9B"/>
    <w:rsid w:val="00514251"/>
    <w:rsid w:val="0051557E"/>
    <w:rsid w:val="00516F49"/>
    <w:rsid w:val="00517F36"/>
    <w:rsid w:val="00520934"/>
    <w:rsid w:val="00521C30"/>
    <w:rsid w:val="005230D6"/>
    <w:rsid w:val="00523573"/>
    <w:rsid w:val="00523767"/>
    <w:rsid w:val="00523928"/>
    <w:rsid w:val="00525503"/>
    <w:rsid w:val="0052619A"/>
    <w:rsid w:val="00526E0F"/>
    <w:rsid w:val="00527589"/>
    <w:rsid w:val="00527D9C"/>
    <w:rsid w:val="00531B15"/>
    <w:rsid w:val="0053205A"/>
    <w:rsid w:val="0053266F"/>
    <w:rsid w:val="00532C1B"/>
    <w:rsid w:val="00534CD9"/>
    <w:rsid w:val="00536202"/>
    <w:rsid w:val="005364AE"/>
    <w:rsid w:val="005379E8"/>
    <w:rsid w:val="00537A85"/>
    <w:rsid w:val="00537D58"/>
    <w:rsid w:val="00540114"/>
    <w:rsid w:val="005406D4"/>
    <w:rsid w:val="00540CE4"/>
    <w:rsid w:val="005411FC"/>
    <w:rsid w:val="0054303D"/>
    <w:rsid w:val="005432B0"/>
    <w:rsid w:val="00543BE4"/>
    <w:rsid w:val="00544D3F"/>
    <w:rsid w:val="00544FB7"/>
    <w:rsid w:val="00545033"/>
    <w:rsid w:val="00545928"/>
    <w:rsid w:val="00546A40"/>
    <w:rsid w:val="00546A44"/>
    <w:rsid w:val="00546DEC"/>
    <w:rsid w:val="00547A11"/>
    <w:rsid w:val="0055018B"/>
    <w:rsid w:val="005516B5"/>
    <w:rsid w:val="005520AA"/>
    <w:rsid w:val="00552F3C"/>
    <w:rsid w:val="0055497B"/>
    <w:rsid w:val="0055555B"/>
    <w:rsid w:val="00557B0A"/>
    <w:rsid w:val="005601C6"/>
    <w:rsid w:val="005603B5"/>
    <w:rsid w:val="00561213"/>
    <w:rsid w:val="00562F84"/>
    <w:rsid w:val="00563C93"/>
    <w:rsid w:val="00563F5C"/>
    <w:rsid w:val="00564F7A"/>
    <w:rsid w:val="00565B83"/>
    <w:rsid w:val="00567543"/>
    <w:rsid w:val="005704C1"/>
    <w:rsid w:val="00570A93"/>
    <w:rsid w:val="00570B27"/>
    <w:rsid w:val="00571966"/>
    <w:rsid w:val="0057387D"/>
    <w:rsid w:val="00574B7F"/>
    <w:rsid w:val="00574D6B"/>
    <w:rsid w:val="0057542B"/>
    <w:rsid w:val="0057544E"/>
    <w:rsid w:val="0057723D"/>
    <w:rsid w:val="005775CE"/>
    <w:rsid w:val="00581A29"/>
    <w:rsid w:val="0058202F"/>
    <w:rsid w:val="005823ED"/>
    <w:rsid w:val="00583538"/>
    <w:rsid w:val="00583AAB"/>
    <w:rsid w:val="005852A2"/>
    <w:rsid w:val="00585830"/>
    <w:rsid w:val="00586EFD"/>
    <w:rsid w:val="0058712A"/>
    <w:rsid w:val="00590EFE"/>
    <w:rsid w:val="00593B43"/>
    <w:rsid w:val="00593CAB"/>
    <w:rsid w:val="00594143"/>
    <w:rsid w:val="005952A8"/>
    <w:rsid w:val="005A2B28"/>
    <w:rsid w:val="005A2FB1"/>
    <w:rsid w:val="005A3469"/>
    <w:rsid w:val="005A533B"/>
    <w:rsid w:val="005A63B9"/>
    <w:rsid w:val="005B0D0C"/>
    <w:rsid w:val="005B0D21"/>
    <w:rsid w:val="005B1B31"/>
    <w:rsid w:val="005B2751"/>
    <w:rsid w:val="005B3AFA"/>
    <w:rsid w:val="005B4F14"/>
    <w:rsid w:val="005B6108"/>
    <w:rsid w:val="005C10E7"/>
    <w:rsid w:val="005C237D"/>
    <w:rsid w:val="005C3EA1"/>
    <w:rsid w:val="005C429E"/>
    <w:rsid w:val="005C5195"/>
    <w:rsid w:val="005C78C1"/>
    <w:rsid w:val="005C7CBC"/>
    <w:rsid w:val="005D0C46"/>
    <w:rsid w:val="005D0FA0"/>
    <w:rsid w:val="005D15C2"/>
    <w:rsid w:val="005D1CD6"/>
    <w:rsid w:val="005D335B"/>
    <w:rsid w:val="005D3E90"/>
    <w:rsid w:val="005D3F1B"/>
    <w:rsid w:val="005D4AF7"/>
    <w:rsid w:val="005D5CA3"/>
    <w:rsid w:val="005D78D5"/>
    <w:rsid w:val="005D7F63"/>
    <w:rsid w:val="005E0AAA"/>
    <w:rsid w:val="005E1A40"/>
    <w:rsid w:val="005E1E4E"/>
    <w:rsid w:val="005E347E"/>
    <w:rsid w:val="005E3E47"/>
    <w:rsid w:val="005E4B48"/>
    <w:rsid w:val="005E5FAF"/>
    <w:rsid w:val="005F060C"/>
    <w:rsid w:val="005F11F0"/>
    <w:rsid w:val="005F132A"/>
    <w:rsid w:val="005F201A"/>
    <w:rsid w:val="005F27BC"/>
    <w:rsid w:val="005F3C44"/>
    <w:rsid w:val="005F4B22"/>
    <w:rsid w:val="005F65C6"/>
    <w:rsid w:val="005F678D"/>
    <w:rsid w:val="005F7398"/>
    <w:rsid w:val="005F7461"/>
    <w:rsid w:val="00601AB0"/>
    <w:rsid w:val="006032C3"/>
    <w:rsid w:val="00603F67"/>
    <w:rsid w:val="00604B64"/>
    <w:rsid w:val="0060540C"/>
    <w:rsid w:val="0060557F"/>
    <w:rsid w:val="00611C0C"/>
    <w:rsid w:val="00612836"/>
    <w:rsid w:val="00612AB1"/>
    <w:rsid w:val="00613104"/>
    <w:rsid w:val="006141CC"/>
    <w:rsid w:val="00615565"/>
    <w:rsid w:val="00616616"/>
    <w:rsid w:val="00616E21"/>
    <w:rsid w:val="00616E62"/>
    <w:rsid w:val="00617E57"/>
    <w:rsid w:val="00621AE4"/>
    <w:rsid w:val="00622B12"/>
    <w:rsid w:val="0062425D"/>
    <w:rsid w:val="00624594"/>
    <w:rsid w:val="006279F5"/>
    <w:rsid w:val="00630CC8"/>
    <w:rsid w:val="006312B1"/>
    <w:rsid w:val="00634FBB"/>
    <w:rsid w:val="006358CF"/>
    <w:rsid w:val="00636148"/>
    <w:rsid w:val="0063617C"/>
    <w:rsid w:val="0063798D"/>
    <w:rsid w:val="00642709"/>
    <w:rsid w:val="00642786"/>
    <w:rsid w:val="00644E1C"/>
    <w:rsid w:val="006474A2"/>
    <w:rsid w:val="00647535"/>
    <w:rsid w:val="0065093A"/>
    <w:rsid w:val="00651B25"/>
    <w:rsid w:val="00652636"/>
    <w:rsid w:val="0065272B"/>
    <w:rsid w:val="00653417"/>
    <w:rsid w:val="006539A2"/>
    <w:rsid w:val="00653A79"/>
    <w:rsid w:val="006541FE"/>
    <w:rsid w:val="00654F9A"/>
    <w:rsid w:val="0065532B"/>
    <w:rsid w:val="0065687F"/>
    <w:rsid w:val="00656D26"/>
    <w:rsid w:val="00657EF3"/>
    <w:rsid w:val="006626C3"/>
    <w:rsid w:val="00662B1B"/>
    <w:rsid w:val="006667E4"/>
    <w:rsid w:val="00667B2A"/>
    <w:rsid w:val="00667D8E"/>
    <w:rsid w:val="00667DFE"/>
    <w:rsid w:val="00667EC0"/>
    <w:rsid w:val="00670DCC"/>
    <w:rsid w:val="00673D01"/>
    <w:rsid w:val="00675C7C"/>
    <w:rsid w:val="00676A95"/>
    <w:rsid w:val="00681577"/>
    <w:rsid w:val="00681E89"/>
    <w:rsid w:val="00682E39"/>
    <w:rsid w:val="0068338C"/>
    <w:rsid w:val="00683675"/>
    <w:rsid w:val="0068465E"/>
    <w:rsid w:val="00687C28"/>
    <w:rsid w:val="00691245"/>
    <w:rsid w:val="00691298"/>
    <w:rsid w:val="006915A8"/>
    <w:rsid w:val="006919E5"/>
    <w:rsid w:val="006919FF"/>
    <w:rsid w:val="0069331A"/>
    <w:rsid w:val="00695066"/>
    <w:rsid w:val="0069526B"/>
    <w:rsid w:val="00697836"/>
    <w:rsid w:val="00697849"/>
    <w:rsid w:val="006A0E47"/>
    <w:rsid w:val="006A1383"/>
    <w:rsid w:val="006A15A2"/>
    <w:rsid w:val="006A1DF4"/>
    <w:rsid w:val="006A1F0B"/>
    <w:rsid w:val="006A274D"/>
    <w:rsid w:val="006A338B"/>
    <w:rsid w:val="006A51A0"/>
    <w:rsid w:val="006A6686"/>
    <w:rsid w:val="006B08E8"/>
    <w:rsid w:val="006B1064"/>
    <w:rsid w:val="006B45DB"/>
    <w:rsid w:val="006B4774"/>
    <w:rsid w:val="006B49C5"/>
    <w:rsid w:val="006B4F06"/>
    <w:rsid w:val="006B50AA"/>
    <w:rsid w:val="006B54DA"/>
    <w:rsid w:val="006B5A7E"/>
    <w:rsid w:val="006B5FDA"/>
    <w:rsid w:val="006B6C3B"/>
    <w:rsid w:val="006B7116"/>
    <w:rsid w:val="006C16BB"/>
    <w:rsid w:val="006C2B32"/>
    <w:rsid w:val="006C3196"/>
    <w:rsid w:val="006C3E4C"/>
    <w:rsid w:val="006C4F51"/>
    <w:rsid w:val="006C5001"/>
    <w:rsid w:val="006C74D9"/>
    <w:rsid w:val="006C7C0D"/>
    <w:rsid w:val="006D14F3"/>
    <w:rsid w:val="006D194A"/>
    <w:rsid w:val="006D30B0"/>
    <w:rsid w:val="006D4A11"/>
    <w:rsid w:val="006D5566"/>
    <w:rsid w:val="006D6FDE"/>
    <w:rsid w:val="006D7F27"/>
    <w:rsid w:val="006E12B6"/>
    <w:rsid w:val="006E2549"/>
    <w:rsid w:val="006E38D7"/>
    <w:rsid w:val="006E452A"/>
    <w:rsid w:val="006E4656"/>
    <w:rsid w:val="006E493D"/>
    <w:rsid w:val="006E67FD"/>
    <w:rsid w:val="006F0B15"/>
    <w:rsid w:val="006F0E51"/>
    <w:rsid w:val="006F1779"/>
    <w:rsid w:val="006F1D51"/>
    <w:rsid w:val="006F247B"/>
    <w:rsid w:val="006F40BA"/>
    <w:rsid w:val="006F499C"/>
    <w:rsid w:val="006F4A9E"/>
    <w:rsid w:val="006F5099"/>
    <w:rsid w:val="006F69CB"/>
    <w:rsid w:val="006F69F6"/>
    <w:rsid w:val="006F6A4D"/>
    <w:rsid w:val="006F6FEA"/>
    <w:rsid w:val="00700424"/>
    <w:rsid w:val="0070364C"/>
    <w:rsid w:val="00703B12"/>
    <w:rsid w:val="00704838"/>
    <w:rsid w:val="007051DD"/>
    <w:rsid w:val="00705C9F"/>
    <w:rsid w:val="00706727"/>
    <w:rsid w:val="00707CC3"/>
    <w:rsid w:val="0071081C"/>
    <w:rsid w:val="00710BF9"/>
    <w:rsid w:val="00711138"/>
    <w:rsid w:val="007114FE"/>
    <w:rsid w:val="00713315"/>
    <w:rsid w:val="00713436"/>
    <w:rsid w:val="00713C07"/>
    <w:rsid w:val="007156FD"/>
    <w:rsid w:val="007160DD"/>
    <w:rsid w:val="007215FD"/>
    <w:rsid w:val="007222A0"/>
    <w:rsid w:val="007238BB"/>
    <w:rsid w:val="00724053"/>
    <w:rsid w:val="00726835"/>
    <w:rsid w:val="00727011"/>
    <w:rsid w:val="00730497"/>
    <w:rsid w:val="00730774"/>
    <w:rsid w:val="00730CC0"/>
    <w:rsid w:val="007315FA"/>
    <w:rsid w:val="007340F0"/>
    <w:rsid w:val="007341E7"/>
    <w:rsid w:val="0073457D"/>
    <w:rsid w:val="00735AB6"/>
    <w:rsid w:val="00740CE0"/>
    <w:rsid w:val="007417D0"/>
    <w:rsid w:val="00741A40"/>
    <w:rsid w:val="0074291F"/>
    <w:rsid w:val="00742FFA"/>
    <w:rsid w:val="00743A20"/>
    <w:rsid w:val="007444E9"/>
    <w:rsid w:val="007448DF"/>
    <w:rsid w:val="007451AA"/>
    <w:rsid w:val="00746878"/>
    <w:rsid w:val="00750736"/>
    <w:rsid w:val="0075139D"/>
    <w:rsid w:val="007524B2"/>
    <w:rsid w:val="00752A05"/>
    <w:rsid w:val="00753289"/>
    <w:rsid w:val="007553EC"/>
    <w:rsid w:val="007561FE"/>
    <w:rsid w:val="00756D80"/>
    <w:rsid w:val="00761176"/>
    <w:rsid w:val="007611BB"/>
    <w:rsid w:val="0076310F"/>
    <w:rsid w:val="00763CF6"/>
    <w:rsid w:val="007642CA"/>
    <w:rsid w:val="007647CD"/>
    <w:rsid w:val="007648B4"/>
    <w:rsid w:val="007671EC"/>
    <w:rsid w:val="00767372"/>
    <w:rsid w:val="00770A7D"/>
    <w:rsid w:val="0077160D"/>
    <w:rsid w:val="00772FDE"/>
    <w:rsid w:val="007741D9"/>
    <w:rsid w:val="00775DDD"/>
    <w:rsid w:val="00775FAB"/>
    <w:rsid w:val="007767E7"/>
    <w:rsid w:val="00780A19"/>
    <w:rsid w:val="007813E2"/>
    <w:rsid w:val="00782847"/>
    <w:rsid w:val="00782956"/>
    <w:rsid w:val="00785784"/>
    <w:rsid w:val="0078628B"/>
    <w:rsid w:val="00787912"/>
    <w:rsid w:val="00787CEB"/>
    <w:rsid w:val="00790AF6"/>
    <w:rsid w:val="007936CF"/>
    <w:rsid w:val="007A0146"/>
    <w:rsid w:val="007A10B6"/>
    <w:rsid w:val="007A1642"/>
    <w:rsid w:val="007A1960"/>
    <w:rsid w:val="007A230E"/>
    <w:rsid w:val="007A3160"/>
    <w:rsid w:val="007A48CA"/>
    <w:rsid w:val="007A5E02"/>
    <w:rsid w:val="007A62FC"/>
    <w:rsid w:val="007A73E3"/>
    <w:rsid w:val="007B2918"/>
    <w:rsid w:val="007B326F"/>
    <w:rsid w:val="007B3953"/>
    <w:rsid w:val="007B3CB2"/>
    <w:rsid w:val="007B4365"/>
    <w:rsid w:val="007B70B0"/>
    <w:rsid w:val="007C088B"/>
    <w:rsid w:val="007C0C5F"/>
    <w:rsid w:val="007C5280"/>
    <w:rsid w:val="007C62F3"/>
    <w:rsid w:val="007C7607"/>
    <w:rsid w:val="007D1134"/>
    <w:rsid w:val="007D5447"/>
    <w:rsid w:val="007E1610"/>
    <w:rsid w:val="007E3598"/>
    <w:rsid w:val="007E4447"/>
    <w:rsid w:val="007E536B"/>
    <w:rsid w:val="007E60DE"/>
    <w:rsid w:val="007E6C24"/>
    <w:rsid w:val="007F17CC"/>
    <w:rsid w:val="007F1F56"/>
    <w:rsid w:val="007F2789"/>
    <w:rsid w:val="007F3BE7"/>
    <w:rsid w:val="007F5473"/>
    <w:rsid w:val="007F76A8"/>
    <w:rsid w:val="00803409"/>
    <w:rsid w:val="00803811"/>
    <w:rsid w:val="00804077"/>
    <w:rsid w:val="00807F68"/>
    <w:rsid w:val="0081130D"/>
    <w:rsid w:val="00811811"/>
    <w:rsid w:val="00812A1C"/>
    <w:rsid w:val="008133F4"/>
    <w:rsid w:val="00814041"/>
    <w:rsid w:val="0081410C"/>
    <w:rsid w:val="00814C24"/>
    <w:rsid w:val="00817507"/>
    <w:rsid w:val="00817801"/>
    <w:rsid w:val="00817CBA"/>
    <w:rsid w:val="00820598"/>
    <w:rsid w:val="008221F6"/>
    <w:rsid w:val="0082238E"/>
    <w:rsid w:val="008244C8"/>
    <w:rsid w:val="008279D4"/>
    <w:rsid w:val="008319C5"/>
    <w:rsid w:val="00831FEC"/>
    <w:rsid w:val="00833054"/>
    <w:rsid w:val="00833E55"/>
    <w:rsid w:val="0083581A"/>
    <w:rsid w:val="0083738F"/>
    <w:rsid w:val="008440FC"/>
    <w:rsid w:val="0084549D"/>
    <w:rsid w:val="00846AE7"/>
    <w:rsid w:val="00846E95"/>
    <w:rsid w:val="008473FA"/>
    <w:rsid w:val="008501D7"/>
    <w:rsid w:val="008505A5"/>
    <w:rsid w:val="008505AC"/>
    <w:rsid w:val="008532BC"/>
    <w:rsid w:val="00853816"/>
    <w:rsid w:val="00854570"/>
    <w:rsid w:val="008547B7"/>
    <w:rsid w:val="008548F9"/>
    <w:rsid w:val="00856BA1"/>
    <w:rsid w:val="00856E79"/>
    <w:rsid w:val="00857149"/>
    <w:rsid w:val="0086002B"/>
    <w:rsid w:val="00860364"/>
    <w:rsid w:val="008606A3"/>
    <w:rsid w:val="0086080B"/>
    <w:rsid w:val="00861AE1"/>
    <w:rsid w:val="00863493"/>
    <w:rsid w:val="00863FAF"/>
    <w:rsid w:val="00864103"/>
    <w:rsid w:val="008649D0"/>
    <w:rsid w:val="0086556D"/>
    <w:rsid w:val="00867958"/>
    <w:rsid w:val="00867FD6"/>
    <w:rsid w:val="00870598"/>
    <w:rsid w:val="0087211B"/>
    <w:rsid w:val="00872BE6"/>
    <w:rsid w:val="00873761"/>
    <w:rsid w:val="0088259B"/>
    <w:rsid w:val="00882DA2"/>
    <w:rsid w:val="0088304E"/>
    <w:rsid w:val="00883279"/>
    <w:rsid w:val="00883F62"/>
    <w:rsid w:val="00885B7E"/>
    <w:rsid w:val="00885DDC"/>
    <w:rsid w:val="008862DA"/>
    <w:rsid w:val="0088663E"/>
    <w:rsid w:val="00887195"/>
    <w:rsid w:val="008919AC"/>
    <w:rsid w:val="00891CBC"/>
    <w:rsid w:val="00892766"/>
    <w:rsid w:val="008931F0"/>
    <w:rsid w:val="008943B5"/>
    <w:rsid w:val="00895A8C"/>
    <w:rsid w:val="00897442"/>
    <w:rsid w:val="008A13D1"/>
    <w:rsid w:val="008A1E17"/>
    <w:rsid w:val="008A3324"/>
    <w:rsid w:val="008A358C"/>
    <w:rsid w:val="008A3A98"/>
    <w:rsid w:val="008A54A8"/>
    <w:rsid w:val="008B116A"/>
    <w:rsid w:val="008B2165"/>
    <w:rsid w:val="008B30CC"/>
    <w:rsid w:val="008B421B"/>
    <w:rsid w:val="008B4960"/>
    <w:rsid w:val="008B50FF"/>
    <w:rsid w:val="008B590B"/>
    <w:rsid w:val="008B5BE7"/>
    <w:rsid w:val="008B7E28"/>
    <w:rsid w:val="008C0932"/>
    <w:rsid w:val="008C12C3"/>
    <w:rsid w:val="008C2295"/>
    <w:rsid w:val="008C27EA"/>
    <w:rsid w:val="008C4C4F"/>
    <w:rsid w:val="008C4EC1"/>
    <w:rsid w:val="008C56F9"/>
    <w:rsid w:val="008D0255"/>
    <w:rsid w:val="008D0493"/>
    <w:rsid w:val="008D09CC"/>
    <w:rsid w:val="008D299F"/>
    <w:rsid w:val="008D2C8D"/>
    <w:rsid w:val="008D2DE5"/>
    <w:rsid w:val="008D2EC3"/>
    <w:rsid w:val="008D4BC7"/>
    <w:rsid w:val="008D5A7A"/>
    <w:rsid w:val="008D70AA"/>
    <w:rsid w:val="008D737D"/>
    <w:rsid w:val="008D749A"/>
    <w:rsid w:val="008E07A7"/>
    <w:rsid w:val="008E1D16"/>
    <w:rsid w:val="008E387A"/>
    <w:rsid w:val="008E498C"/>
    <w:rsid w:val="008E5BB0"/>
    <w:rsid w:val="008E5C89"/>
    <w:rsid w:val="008E5ED9"/>
    <w:rsid w:val="008E6605"/>
    <w:rsid w:val="008E66A1"/>
    <w:rsid w:val="008F02CB"/>
    <w:rsid w:val="008F0450"/>
    <w:rsid w:val="008F0A14"/>
    <w:rsid w:val="008F5565"/>
    <w:rsid w:val="008F5BE9"/>
    <w:rsid w:val="008F60B5"/>
    <w:rsid w:val="00900168"/>
    <w:rsid w:val="00900918"/>
    <w:rsid w:val="00900AC2"/>
    <w:rsid w:val="009011BF"/>
    <w:rsid w:val="0090181B"/>
    <w:rsid w:val="00901D87"/>
    <w:rsid w:val="00902778"/>
    <w:rsid w:val="00902F30"/>
    <w:rsid w:val="009034A0"/>
    <w:rsid w:val="00903568"/>
    <w:rsid w:val="009038E8"/>
    <w:rsid w:val="00904CC9"/>
    <w:rsid w:val="00905E31"/>
    <w:rsid w:val="00905EBC"/>
    <w:rsid w:val="00906ABE"/>
    <w:rsid w:val="00906CB7"/>
    <w:rsid w:val="009075BD"/>
    <w:rsid w:val="00907815"/>
    <w:rsid w:val="00910292"/>
    <w:rsid w:val="00910A12"/>
    <w:rsid w:val="009119D8"/>
    <w:rsid w:val="00912A83"/>
    <w:rsid w:val="00913D1B"/>
    <w:rsid w:val="00916AD0"/>
    <w:rsid w:val="00917004"/>
    <w:rsid w:val="00917FC7"/>
    <w:rsid w:val="009200EB"/>
    <w:rsid w:val="0092121A"/>
    <w:rsid w:val="00922A3B"/>
    <w:rsid w:val="00926ABE"/>
    <w:rsid w:val="0092768C"/>
    <w:rsid w:val="00931428"/>
    <w:rsid w:val="00931A40"/>
    <w:rsid w:val="009340C3"/>
    <w:rsid w:val="00934131"/>
    <w:rsid w:val="00934665"/>
    <w:rsid w:val="00936400"/>
    <w:rsid w:val="009365E9"/>
    <w:rsid w:val="00936F47"/>
    <w:rsid w:val="0094083A"/>
    <w:rsid w:val="00940C93"/>
    <w:rsid w:val="00942C0F"/>
    <w:rsid w:val="00943432"/>
    <w:rsid w:val="0094359F"/>
    <w:rsid w:val="009449EB"/>
    <w:rsid w:val="00945850"/>
    <w:rsid w:val="00946318"/>
    <w:rsid w:val="00946C0B"/>
    <w:rsid w:val="00953B42"/>
    <w:rsid w:val="00954294"/>
    <w:rsid w:val="0095461B"/>
    <w:rsid w:val="009548D1"/>
    <w:rsid w:val="00954B6C"/>
    <w:rsid w:val="009552E6"/>
    <w:rsid w:val="009606A4"/>
    <w:rsid w:val="00960E10"/>
    <w:rsid w:val="00962FF8"/>
    <w:rsid w:val="00965714"/>
    <w:rsid w:val="00965FC0"/>
    <w:rsid w:val="0096766F"/>
    <w:rsid w:val="00970E65"/>
    <w:rsid w:val="00971E2F"/>
    <w:rsid w:val="00974F78"/>
    <w:rsid w:val="0097735F"/>
    <w:rsid w:val="0097771A"/>
    <w:rsid w:val="00981692"/>
    <w:rsid w:val="00981A8F"/>
    <w:rsid w:val="009820C2"/>
    <w:rsid w:val="00983FD3"/>
    <w:rsid w:val="009848AB"/>
    <w:rsid w:val="00984DA8"/>
    <w:rsid w:val="00986070"/>
    <w:rsid w:val="00986674"/>
    <w:rsid w:val="00987A66"/>
    <w:rsid w:val="00987A96"/>
    <w:rsid w:val="00991015"/>
    <w:rsid w:val="00992D2D"/>
    <w:rsid w:val="00993BCA"/>
    <w:rsid w:val="009942D5"/>
    <w:rsid w:val="00997227"/>
    <w:rsid w:val="009A0150"/>
    <w:rsid w:val="009A0793"/>
    <w:rsid w:val="009A0B39"/>
    <w:rsid w:val="009A14F0"/>
    <w:rsid w:val="009A46E4"/>
    <w:rsid w:val="009A61F7"/>
    <w:rsid w:val="009A653E"/>
    <w:rsid w:val="009B0D5E"/>
    <w:rsid w:val="009B1170"/>
    <w:rsid w:val="009B133D"/>
    <w:rsid w:val="009B1503"/>
    <w:rsid w:val="009B1A9D"/>
    <w:rsid w:val="009B1FB5"/>
    <w:rsid w:val="009B3219"/>
    <w:rsid w:val="009B40FC"/>
    <w:rsid w:val="009B46EF"/>
    <w:rsid w:val="009B792E"/>
    <w:rsid w:val="009C2DEB"/>
    <w:rsid w:val="009C2DFA"/>
    <w:rsid w:val="009C570C"/>
    <w:rsid w:val="009C61E7"/>
    <w:rsid w:val="009C6468"/>
    <w:rsid w:val="009D0627"/>
    <w:rsid w:val="009D1006"/>
    <w:rsid w:val="009D108A"/>
    <w:rsid w:val="009D1753"/>
    <w:rsid w:val="009D3C3F"/>
    <w:rsid w:val="009D5C35"/>
    <w:rsid w:val="009D60AF"/>
    <w:rsid w:val="009D7FED"/>
    <w:rsid w:val="009E080A"/>
    <w:rsid w:val="009E1708"/>
    <w:rsid w:val="009E19EC"/>
    <w:rsid w:val="009E1CC8"/>
    <w:rsid w:val="009E23E2"/>
    <w:rsid w:val="009E3C83"/>
    <w:rsid w:val="009E3FCF"/>
    <w:rsid w:val="009E5C61"/>
    <w:rsid w:val="009E62D1"/>
    <w:rsid w:val="009E6AB5"/>
    <w:rsid w:val="009E6CDA"/>
    <w:rsid w:val="009E7A0B"/>
    <w:rsid w:val="009E7F35"/>
    <w:rsid w:val="009F1526"/>
    <w:rsid w:val="009F21BE"/>
    <w:rsid w:val="009F23D9"/>
    <w:rsid w:val="009F47C6"/>
    <w:rsid w:val="00A013CC"/>
    <w:rsid w:val="00A01413"/>
    <w:rsid w:val="00A034F7"/>
    <w:rsid w:val="00A04888"/>
    <w:rsid w:val="00A04A56"/>
    <w:rsid w:val="00A05056"/>
    <w:rsid w:val="00A059FA"/>
    <w:rsid w:val="00A11D7D"/>
    <w:rsid w:val="00A13793"/>
    <w:rsid w:val="00A13853"/>
    <w:rsid w:val="00A13A14"/>
    <w:rsid w:val="00A149F8"/>
    <w:rsid w:val="00A15A3F"/>
    <w:rsid w:val="00A1711F"/>
    <w:rsid w:val="00A20E4B"/>
    <w:rsid w:val="00A22C14"/>
    <w:rsid w:val="00A23743"/>
    <w:rsid w:val="00A23B18"/>
    <w:rsid w:val="00A258FE"/>
    <w:rsid w:val="00A25D74"/>
    <w:rsid w:val="00A26257"/>
    <w:rsid w:val="00A264D4"/>
    <w:rsid w:val="00A27748"/>
    <w:rsid w:val="00A3020C"/>
    <w:rsid w:val="00A3141C"/>
    <w:rsid w:val="00A32145"/>
    <w:rsid w:val="00A34545"/>
    <w:rsid w:val="00A35BDB"/>
    <w:rsid w:val="00A3689D"/>
    <w:rsid w:val="00A372B6"/>
    <w:rsid w:val="00A37561"/>
    <w:rsid w:val="00A41AFE"/>
    <w:rsid w:val="00A438B7"/>
    <w:rsid w:val="00A45309"/>
    <w:rsid w:val="00A46FFE"/>
    <w:rsid w:val="00A47214"/>
    <w:rsid w:val="00A47F9D"/>
    <w:rsid w:val="00A50950"/>
    <w:rsid w:val="00A516ED"/>
    <w:rsid w:val="00A519AC"/>
    <w:rsid w:val="00A522CF"/>
    <w:rsid w:val="00A5277F"/>
    <w:rsid w:val="00A52DDD"/>
    <w:rsid w:val="00A54DBD"/>
    <w:rsid w:val="00A552B1"/>
    <w:rsid w:val="00A55857"/>
    <w:rsid w:val="00A55B0C"/>
    <w:rsid w:val="00A5648F"/>
    <w:rsid w:val="00A56B10"/>
    <w:rsid w:val="00A579ED"/>
    <w:rsid w:val="00A600CE"/>
    <w:rsid w:val="00A60382"/>
    <w:rsid w:val="00A60A37"/>
    <w:rsid w:val="00A60DC1"/>
    <w:rsid w:val="00A613CD"/>
    <w:rsid w:val="00A61639"/>
    <w:rsid w:val="00A61AB6"/>
    <w:rsid w:val="00A62DB4"/>
    <w:rsid w:val="00A6417B"/>
    <w:rsid w:val="00A64486"/>
    <w:rsid w:val="00A64D49"/>
    <w:rsid w:val="00A65530"/>
    <w:rsid w:val="00A656B4"/>
    <w:rsid w:val="00A65BD4"/>
    <w:rsid w:val="00A6660D"/>
    <w:rsid w:val="00A66742"/>
    <w:rsid w:val="00A66A8D"/>
    <w:rsid w:val="00A66D16"/>
    <w:rsid w:val="00A66D92"/>
    <w:rsid w:val="00A670A3"/>
    <w:rsid w:val="00A714B6"/>
    <w:rsid w:val="00A717FA"/>
    <w:rsid w:val="00A72020"/>
    <w:rsid w:val="00A7476A"/>
    <w:rsid w:val="00A74D9A"/>
    <w:rsid w:val="00A75B85"/>
    <w:rsid w:val="00A76196"/>
    <w:rsid w:val="00A82D67"/>
    <w:rsid w:val="00A84BCD"/>
    <w:rsid w:val="00A85826"/>
    <w:rsid w:val="00A85832"/>
    <w:rsid w:val="00A85ED2"/>
    <w:rsid w:val="00A86B71"/>
    <w:rsid w:val="00A904F8"/>
    <w:rsid w:val="00A91713"/>
    <w:rsid w:val="00A91C35"/>
    <w:rsid w:val="00A922D1"/>
    <w:rsid w:val="00A9539A"/>
    <w:rsid w:val="00A95454"/>
    <w:rsid w:val="00A975FE"/>
    <w:rsid w:val="00A97EAA"/>
    <w:rsid w:val="00AA0BD0"/>
    <w:rsid w:val="00AA21A2"/>
    <w:rsid w:val="00AA22C4"/>
    <w:rsid w:val="00AA27EA"/>
    <w:rsid w:val="00AA42A8"/>
    <w:rsid w:val="00AA4DC9"/>
    <w:rsid w:val="00AA5C9B"/>
    <w:rsid w:val="00AA6C81"/>
    <w:rsid w:val="00AA76BA"/>
    <w:rsid w:val="00AA7B75"/>
    <w:rsid w:val="00AA7E8F"/>
    <w:rsid w:val="00AB17AD"/>
    <w:rsid w:val="00AB3F75"/>
    <w:rsid w:val="00AB456F"/>
    <w:rsid w:val="00AB466F"/>
    <w:rsid w:val="00AB57B8"/>
    <w:rsid w:val="00AC00F4"/>
    <w:rsid w:val="00AC0BF3"/>
    <w:rsid w:val="00AC0D42"/>
    <w:rsid w:val="00AC1F2E"/>
    <w:rsid w:val="00AC3B49"/>
    <w:rsid w:val="00AC3C03"/>
    <w:rsid w:val="00AC46F1"/>
    <w:rsid w:val="00AC586B"/>
    <w:rsid w:val="00AC678F"/>
    <w:rsid w:val="00AC6AFD"/>
    <w:rsid w:val="00AC6D4C"/>
    <w:rsid w:val="00AC76D9"/>
    <w:rsid w:val="00AC77AA"/>
    <w:rsid w:val="00AC7D4D"/>
    <w:rsid w:val="00AD0EFD"/>
    <w:rsid w:val="00AD1995"/>
    <w:rsid w:val="00AD1A7B"/>
    <w:rsid w:val="00AD77F7"/>
    <w:rsid w:val="00AE20D4"/>
    <w:rsid w:val="00AE22B2"/>
    <w:rsid w:val="00AE7B40"/>
    <w:rsid w:val="00AF0A07"/>
    <w:rsid w:val="00AF0C4C"/>
    <w:rsid w:val="00AF1B1E"/>
    <w:rsid w:val="00AF1B47"/>
    <w:rsid w:val="00AF23E1"/>
    <w:rsid w:val="00AF58BC"/>
    <w:rsid w:val="00AF6381"/>
    <w:rsid w:val="00AF72AC"/>
    <w:rsid w:val="00AF7500"/>
    <w:rsid w:val="00AF7DFE"/>
    <w:rsid w:val="00B01154"/>
    <w:rsid w:val="00B03440"/>
    <w:rsid w:val="00B03B03"/>
    <w:rsid w:val="00B0442A"/>
    <w:rsid w:val="00B07806"/>
    <w:rsid w:val="00B07C9B"/>
    <w:rsid w:val="00B10372"/>
    <w:rsid w:val="00B1261D"/>
    <w:rsid w:val="00B13182"/>
    <w:rsid w:val="00B131A7"/>
    <w:rsid w:val="00B1392F"/>
    <w:rsid w:val="00B13B6E"/>
    <w:rsid w:val="00B14843"/>
    <w:rsid w:val="00B14CFD"/>
    <w:rsid w:val="00B151EF"/>
    <w:rsid w:val="00B15B9F"/>
    <w:rsid w:val="00B16F0F"/>
    <w:rsid w:val="00B20587"/>
    <w:rsid w:val="00B20E53"/>
    <w:rsid w:val="00B211C2"/>
    <w:rsid w:val="00B244DC"/>
    <w:rsid w:val="00B24BA1"/>
    <w:rsid w:val="00B24C24"/>
    <w:rsid w:val="00B25345"/>
    <w:rsid w:val="00B258EB"/>
    <w:rsid w:val="00B264D5"/>
    <w:rsid w:val="00B264ED"/>
    <w:rsid w:val="00B26E10"/>
    <w:rsid w:val="00B27B71"/>
    <w:rsid w:val="00B30502"/>
    <w:rsid w:val="00B30EC0"/>
    <w:rsid w:val="00B3145B"/>
    <w:rsid w:val="00B315C8"/>
    <w:rsid w:val="00B31960"/>
    <w:rsid w:val="00B319FA"/>
    <w:rsid w:val="00B31B79"/>
    <w:rsid w:val="00B358E8"/>
    <w:rsid w:val="00B37306"/>
    <w:rsid w:val="00B3776C"/>
    <w:rsid w:val="00B37826"/>
    <w:rsid w:val="00B37B65"/>
    <w:rsid w:val="00B402B9"/>
    <w:rsid w:val="00B40B25"/>
    <w:rsid w:val="00B41C8B"/>
    <w:rsid w:val="00B41E73"/>
    <w:rsid w:val="00B425F6"/>
    <w:rsid w:val="00B42AAE"/>
    <w:rsid w:val="00B43D2D"/>
    <w:rsid w:val="00B455A8"/>
    <w:rsid w:val="00B45BA8"/>
    <w:rsid w:val="00B45CDD"/>
    <w:rsid w:val="00B467DE"/>
    <w:rsid w:val="00B50FF9"/>
    <w:rsid w:val="00B526F6"/>
    <w:rsid w:val="00B530FF"/>
    <w:rsid w:val="00B53C4D"/>
    <w:rsid w:val="00B55558"/>
    <w:rsid w:val="00B563D7"/>
    <w:rsid w:val="00B5744C"/>
    <w:rsid w:val="00B5774F"/>
    <w:rsid w:val="00B61023"/>
    <w:rsid w:val="00B62618"/>
    <w:rsid w:val="00B63672"/>
    <w:rsid w:val="00B63709"/>
    <w:rsid w:val="00B64012"/>
    <w:rsid w:val="00B6401F"/>
    <w:rsid w:val="00B64A0D"/>
    <w:rsid w:val="00B65AE2"/>
    <w:rsid w:val="00B66EBC"/>
    <w:rsid w:val="00B6726D"/>
    <w:rsid w:val="00B678FB"/>
    <w:rsid w:val="00B7184A"/>
    <w:rsid w:val="00B71B6D"/>
    <w:rsid w:val="00B71D4A"/>
    <w:rsid w:val="00B71EA3"/>
    <w:rsid w:val="00B7303D"/>
    <w:rsid w:val="00B73AB1"/>
    <w:rsid w:val="00B75558"/>
    <w:rsid w:val="00B76F0B"/>
    <w:rsid w:val="00B80C9C"/>
    <w:rsid w:val="00B8138E"/>
    <w:rsid w:val="00B81D26"/>
    <w:rsid w:val="00B83AA3"/>
    <w:rsid w:val="00B84617"/>
    <w:rsid w:val="00B86DF6"/>
    <w:rsid w:val="00B87A8E"/>
    <w:rsid w:val="00B91F84"/>
    <w:rsid w:val="00B93EA5"/>
    <w:rsid w:val="00B96B95"/>
    <w:rsid w:val="00B9783F"/>
    <w:rsid w:val="00BA3888"/>
    <w:rsid w:val="00BA39FA"/>
    <w:rsid w:val="00BA4AD9"/>
    <w:rsid w:val="00BA4D1C"/>
    <w:rsid w:val="00BA4DB2"/>
    <w:rsid w:val="00BA5113"/>
    <w:rsid w:val="00BA673D"/>
    <w:rsid w:val="00BA6907"/>
    <w:rsid w:val="00BB238C"/>
    <w:rsid w:val="00BB2832"/>
    <w:rsid w:val="00BB2A40"/>
    <w:rsid w:val="00BB2D67"/>
    <w:rsid w:val="00BB2F04"/>
    <w:rsid w:val="00BB4315"/>
    <w:rsid w:val="00BB44F0"/>
    <w:rsid w:val="00BB4B82"/>
    <w:rsid w:val="00BB6356"/>
    <w:rsid w:val="00BB6965"/>
    <w:rsid w:val="00BC097A"/>
    <w:rsid w:val="00BC151D"/>
    <w:rsid w:val="00BC19C0"/>
    <w:rsid w:val="00BC19E0"/>
    <w:rsid w:val="00BC204E"/>
    <w:rsid w:val="00BC2BD9"/>
    <w:rsid w:val="00BC2CD1"/>
    <w:rsid w:val="00BC2DC0"/>
    <w:rsid w:val="00BC6537"/>
    <w:rsid w:val="00BC65AD"/>
    <w:rsid w:val="00BD0969"/>
    <w:rsid w:val="00BD2703"/>
    <w:rsid w:val="00BD2DBE"/>
    <w:rsid w:val="00BD3909"/>
    <w:rsid w:val="00BD431E"/>
    <w:rsid w:val="00BD6334"/>
    <w:rsid w:val="00BD7192"/>
    <w:rsid w:val="00BD7B27"/>
    <w:rsid w:val="00BE0B7E"/>
    <w:rsid w:val="00BE1153"/>
    <w:rsid w:val="00BE1266"/>
    <w:rsid w:val="00BE2436"/>
    <w:rsid w:val="00BE2E1C"/>
    <w:rsid w:val="00BE54F1"/>
    <w:rsid w:val="00BE6910"/>
    <w:rsid w:val="00BE6D7F"/>
    <w:rsid w:val="00BF0330"/>
    <w:rsid w:val="00BF4183"/>
    <w:rsid w:val="00BF47D0"/>
    <w:rsid w:val="00BF5AE0"/>
    <w:rsid w:val="00BF7889"/>
    <w:rsid w:val="00BF790D"/>
    <w:rsid w:val="00C0081B"/>
    <w:rsid w:val="00C0111B"/>
    <w:rsid w:val="00C01758"/>
    <w:rsid w:val="00C02D23"/>
    <w:rsid w:val="00C03866"/>
    <w:rsid w:val="00C05757"/>
    <w:rsid w:val="00C06350"/>
    <w:rsid w:val="00C0719E"/>
    <w:rsid w:val="00C1265D"/>
    <w:rsid w:val="00C13B80"/>
    <w:rsid w:val="00C15472"/>
    <w:rsid w:val="00C1589E"/>
    <w:rsid w:val="00C15FE9"/>
    <w:rsid w:val="00C170D0"/>
    <w:rsid w:val="00C177A5"/>
    <w:rsid w:val="00C206F0"/>
    <w:rsid w:val="00C214C2"/>
    <w:rsid w:val="00C21A76"/>
    <w:rsid w:val="00C23843"/>
    <w:rsid w:val="00C23B9E"/>
    <w:rsid w:val="00C2514A"/>
    <w:rsid w:val="00C251D5"/>
    <w:rsid w:val="00C26063"/>
    <w:rsid w:val="00C26E73"/>
    <w:rsid w:val="00C301FF"/>
    <w:rsid w:val="00C31745"/>
    <w:rsid w:val="00C31CB3"/>
    <w:rsid w:val="00C31DAC"/>
    <w:rsid w:val="00C334D6"/>
    <w:rsid w:val="00C3398C"/>
    <w:rsid w:val="00C3445D"/>
    <w:rsid w:val="00C349D2"/>
    <w:rsid w:val="00C34BDE"/>
    <w:rsid w:val="00C369E7"/>
    <w:rsid w:val="00C408AD"/>
    <w:rsid w:val="00C424DF"/>
    <w:rsid w:val="00C43F98"/>
    <w:rsid w:val="00C450C0"/>
    <w:rsid w:val="00C467A1"/>
    <w:rsid w:val="00C46915"/>
    <w:rsid w:val="00C4795A"/>
    <w:rsid w:val="00C50678"/>
    <w:rsid w:val="00C507D0"/>
    <w:rsid w:val="00C526AE"/>
    <w:rsid w:val="00C53F8B"/>
    <w:rsid w:val="00C561D6"/>
    <w:rsid w:val="00C57603"/>
    <w:rsid w:val="00C57697"/>
    <w:rsid w:val="00C639C3"/>
    <w:rsid w:val="00C65547"/>
    <w:rsid w:val="00C667CB"/>
    <w:rsid w:val="00C67D79"/>
    <w:rsid w:val="00C67DD3"/>
    <w:rsid w:val="00C67FF3"/>
    <w:rsid w:val="00C70499"/>
    <w:rsid w:val="00C7233F"/>
    <w:rsid w:val="00C72916"/>
    <w:rsid w:val="00C741D3"/>
    <w:rsid w:val="00C75004"/>
    <w:rsid w:val="00C773F7"/>
    <w:rsid w:val="00C77E86"/>
    <w:rsid w:val="00C80D69"/>
    <w:rsid w:val="00C814B3"/>
    <w:rsid w:val="00C817E8"/>
    <w:rsid w:val="00C8183B"/>
    <w:rsid w:val="00C81F12"/>
    <w:rsid w:val="00C824F4"/>
    <w:rsid w:val="00C83368"/>
    <w:rsid w:val="00C84ED8"/>
    <w:rsid w:val="00C85A8A"/>
    <w:rsid w:val="00C86A65"/>
    <w:rsid w:val="00C87CEE"/>
    <w:rsid w:val="00C92132"/>
    <w:rsid w:val="00C95D41"/>
    <w:rsid w:val="00C95FB2"/>
    <w:rsid w:val="00C96D8C"/>
    <w:rsid w:val="00CA09DB"/>
    <w:rsid w:val="00CA217A"/>
    <w:rsid w:val="00CA58F3"/>
    <w:rsid w:val="00CA5CC2"/>
    <w:rsid w:val="00CA67BE"/>
    <w:rsid w:val="00CA6861"/>
    <w:rsid w:val="00CB169B"/>
    <w:rsid w:val="00CB193F"/>
    <w:rsid w:val="00CB1E67"/>
    <w:rsid w:val="00CB3296"/>
    <w:rsid w:val="00CB3F9F"/>
    <w:rsid w:val="00CB4AEA"/>
    <w:rsid w:val="00CB54E9"/>
    <w:rsid w:val="00CB6AF0"/>
    <w:rsid w:val="00CB78DB"/>
    <w:rsid w:val="00CB7A47"/>
    <w:rsid w:val="00CC02C3"/>
    <w:rsid w:val="00CC1601"/>
    <w:rsid w:val="00CC1BE2"/>
    <w:rsid w:val="00CC21B1"/>
    <w:rsid w:val="00CC3339"/>
    <w:rsid w:val="00CC55D1"/>
    <w:rsid w:val="00CC7901"/>
    <w:rsid w:val="00CC7997"/>
    <w:rsid w:val="00CD0E1B"/>
    <w:rsid w:val="00CD1D0E"/>
    <w:rsid w:val="00CD25B4"/>
    <w:rsid w:val="00CD267C"/>
    <w:rsid w:val="00CD37B1"/>
    <w:rsid w:val="00CD38D6"/>
    <w:rsid w:val="00CD4A5F"/>
    <w:rsid w:val="00CD6A42"/>
    <w:rsid w:val="00CD7392"/>
    <w:rsid w:val="00CD7DE2"/>
    <w:rsid w:val="00CD7E9E"/>
    <w:rsid w:val="00CE0189"/>
    <w:rsid w:val="00CE0A73"/>
    <w:rsid w:val="00CE0BF1"/>
    <w:rsid w:val="00CE59AA"/>
    <w:rsid w:val="00CE6BBF"/>
    <w:rsid w:val="00CE7551"/>
    <w:rsid w:val="00CE783D"/>
    <w:rsid w:val="00CE7E32"/>
    <w:rsid w:val="00CF09B8"/>
    <w:rsid w:val="00CF1000"/>
    <w:rsid w:val="00CF1415"/>
    <w:rsid w:val="00CF235B"/>
    <w:rsid w:val="00CF47FA"/>
    <w:rsid w:val="00D005E0"/>
    <w:rsid w:val="00D01C20"/>
    <w:rsid w:val="00D0216F"/>
    <w:rsid w:val="00D024AA"/>
    <w:rsid w:val="00D05115"/>
    <w:rsid w:val="00D05499"/>
    <w:rsid w:val="00D055EB"/>
    <w:rsid w:val="00D071B7"/>
    <w:rsid w:val="00D10337"/>
    <w:rsid w:val="00D114E6"/>
    <w:rsid w:val="00D11CDA"/>
    <w:rsid w:val="00D1269D"/>
    <w:rsid w:val="00D13FA8"/>
    <w:rsid w:val="00D14B6F"/>
    <w:rsid w:val="00D16C6D"/>
    <w:rsid w:val="00D17568"/>
    <w:rsid w:val="00D21027"/>
    <w:rsid w:val="00D22ACB"/>
    <w:rsid w:val="00D23264"/>
    <w:rsid w:val="00D24E34"/>
    <w:rsid w:val="00D25B94"/>
    <w:rsid w:val="00D25BA8"/>
    <w:rsid w:val="00D26537"/>
    <w:rsid w:val="00D265FA"/>
    <w:rsid w:val="00D268BC"/>
    <w:rsid w:val="00D27C1B"/>
    <w:rsid w:val="00D27D62"/>
    <w:rsid w:val="00D27D67"/>
    <w:rsid w:val="00D314D7"/>
    <w:rsid w:val="00D332D9"/>
    <w:rsid w:val="00D34E29"/>
    <w:rsid w:val="00D34EA4"/>
    <w:rsid w:val="00D3575E"/>
    <w:rsid w:val="00D36156"/>
    <w:rsid w:val="00D36FDF"/>
    <w:rsid w:val="00D37474"/>
    <w:rsid w:val="00D40B1E"/>
    <w:rsid w:val="00D41D75"/>
    <w:rsid w:val="00D4301F"/>
    <w:rsid w:val="00D44089"/>
    <w:rsid w:val="00D46EEC"/>
    <w:rsid w:val="00D4705C"/>
    <w:rsid w:val="00D470CB"/>
    <w:rsid w:val="00D50AFE"/>
    <w:rsid w:val="00D5115F"/>
    <w:rsid w:val="00D51A98"/>
    <w:rsid w:val="00D52815"/>
    <w:rsid w:val="00D53829"/>
    <w:rsid w:val="00D54618"/>
    <w:rsid w:val="00D55B6E"/>
    <w:rsid w:val="00D563E0"/>
    <w:rsid w:val="00D56991"/>
    <w:rsid w:val="00D56A86"/>
    <w:rsid w:val="00D570F8"/>
    <w:rsid w:val="00D5752D"/>
    <w:rsid w:val="00D576EC"/>
    <w:rsid w:val="00D6018A"/>
    <w:rsid w:val="00D61E38"/>
    <w:rsid w:val="00D6464F"/>
    <w:rsid w:val="00D651A2"/>
    <w:rsid w:val="00D65495"/>
    <w:rsid w:val="00D66BB2"/>
    <w:rsid w:val="00D67241"/>
    <w:rsid w:val="00D6773D"/>
    <w:rsid w:val="00D715C1"/>
    <w:rsid w:val="00D7211C"/>
    <w:rsid w:val="00D7234C"/>
    <w:rsid w:val="00D73DFC"/>
    <w:rsid w:val="00D740D8"/>
    <w:rsid w:val="00D75AAD"/>
    <w:rsid w:val="00D776DC"/>
    <w:rsid w:val="00D77827"/>
    <w:rsid w:val="00D801C7"/>
    <w:rsid w:val="00D81F5A"/>
    <w:rsid w:val="00D83EA5"/>
    <w:rsid w:val="00D84172"/>
    <w:rsid w:val="00D8504B"/>
    <w:rsid w:val="00D86A4B"/>
    <w:rsid w:val="00D879C3"/>
    <w:rsid w:val="00D87F9C"/>
    <w:rsid w:val="00D90556"/>
    <w:rsid w:val="00D90B59"/>
    <w:rsid w:val="00D90E42"/>
    <w:rsid w:val="00D911A1"/>
    <w:rsid w:val="00D92771"/>
    <w:rsid w:val="00D93DDB"/>
    <w:rsid w:val="00D9421B"/>
    <w:rsid w:val="00D94C5B"/>
    <w:rsid w:val="00DA0722"/>
    <w:rsid w:val="00DA2B6B"/>
    <w:rsid w:val="00DA3CD3"/>
    <w:rsid w:val="00DA3E14"/>
    <w:rsid w:val="00DA47D3"/>
    <w:rsid w:val="00DA5F32"/>
    <w:rsid w:val="00DA6597"/>
    <w:rsid w:val="00DA70AD"/>
    <w:rsid w:val="00DA72D9"/>
    <w:rsid w:val="00DA7B2D"/>
    <w:rsid w:val="00DB09BC"/>
    <w:rsid w:val="00DB17C2"/>
    <w:rsid w:val="00DB3F10"/>
    <w:rsid w:val="00DB5D92"/>
    <w:rsid w:val="00DB6167"/>
    <w:rsid w:val="00DB7012"/>
    <w:rsid w:val="00DB72E7"/>
    <w:rsid w:val="00DC1532"/>
    <w:rsid w:val="00DC1D02"/>
    <w:rsid w:val="00DC2909"/>
    <w:rsid w:val="00DC3D70"/>
    <w:rsid w:val="00DC3E02"/>
    <w:rsid w:val="00DC4683"/>
    <w:rsid w:val="00DC49E4"/>
    <w:rsid w:val="00DC4A2F"/>
    <w:rsid w:val="00DC50F5"/>
    <w:rsid w:val="00DC61B2"/>
    <w:rsid w:val="00DC6AF9"/>
    <w:rsid w:val="00DC72B6"/>
    <w:rsid w:val="00DC743D"/>
    <w:rsid w:val="00DC76EA"/>
    <w:rsid w:val="00DD0F35"/>
    <w:rsid w:val="00DD1E06"/>
    <w:rsid w:val="00DD3462"/>
    <w:rsid w:val="00DD3CCD"/>
    <w:rsid w:val="00DD3E85"/>
    <w:rsid w:val="00DD4F75"/>
    <w:rsid w:val="00DD5383"/>
    <w:rsid w:val="00DD6390"/>
    <w:rsid w:val="00DD7E9C"/>
    <w:rsid w:val="00DE19D8"/>
    <w:rsid w:val="00DE3A0D"/>
    <w:rsid w:val="00DE4384"/>
    <w:rsid w:val="00DE53BD"/>
    <w:rsid w:val="00DE5631"/>
    <w:rsid w:val="00DE7509"/>
    <w:rsid w:val="00DF1F09"/>
    <w:rsid w:val="00DF2BDD"/>
    <w:rsid w:val="00DF31CA"/>
    <w:rsid w:val="00E00051"/>
    <w:rsid w:val="00E00597"/>
    <w:rsid w:val="00E00EBA"/>
    <w:rsid w:val="00E02345"/>
    <w:rsid w:val="00E02794"/>
    <w:rsid w:val="00E03949"/>
    <w:rsid w:val="00E03B96"/>
    <w:rsid w:val="00E03D3D"/>
    <w:rsid w:val="00E047C6"/>
    <w:rsid w:val="00E04B17"/>
    <w:rsid w:val="00E0512F"/>
    <w:rsid w:val="00E05670"/>
    <w:rsid w:val="00E0668F"/>
    <w:rsid w:val="00E07281"/>
    <w:rsid w:val="00E07DFE"/>
    <w:rsid w:val="00E10B19"/>
    <w:rsid w:val="00E10EC9"/>
    <w:rsid w:val="00E12899"/>
    <w:rsid w:val="00E1343E"/>
    <w:rsid w:val="00E137B9"/>
    <w:rsid w:val="00E13F2E"/>
    <w:rsid w:val="00E1549A"/>
    <w:rsid w:val="00E1634F"/>
    <w:rsid w:val="00E163A0"/>
    <w:rsid w:val="00E2014B"/>
    <w:rsid w:val="00E21960"/>
    <w:rsid w:val="00E22F95"/>
    <w:rsid w:val="00E24F64"/>
    <w:rsid w:val="00E264F9"/>
    <w:rsid w:val="00E27535"/>
    <w:rsid w:val="00E3299C"/>
    <w:rsid w:val="00E32F21"/>
    <w:rsid w:val="00E33E1E"/>
    <w:rsid w:val="00E34A4A"/>
    <w:rsid w:val="00E358DD"/>
    <w:rsid w:val="00E35F5B"/>
    <w:rsid w:val="00E36EFE"/>
    <w:rsid w:val="00E37A9D"/>
    <w:rsid w:val="00E37CD3"/>
    <w:rsid w:val="00E40BD7"/>
    <w:rsid w:val="00E42934"/>
    <w:rsid w:val="00E430F5"/>
    <w:rsid w:val="00E432FA"/>
    <w:rsid w:val="00E440CF"/>
    <w:rsid w:val="00E4491A"/>
    <w:rsid w:val="00E44C13"/>
    <w:rsid w:val="00E44E92"/>
    <w:rsid w:val="00E44F7C"/>
    <w:rsid w:val="00E453D5"/>
    <w:rsid w:val="00E453F0"/>
    <w:rsid w:val="00E454CB"/>
    <w:rsid w:val="00E45CD6"/>
    <w:rsid w:val="00E46017"/>
    <w:rsid w:val="00E52FB0"/>
    <w:rsid w:val="00E54471"/>
    <w:rsid w:val="00E54BD3"/>
    <w:rsid w:val="00E618BD"/>
    <w:rsid w:val="00E621B0"/>
    <w:rsid w:val="00E639A0"/>
    <w:rsid w:val="00E645A2"/>
    <w:rsid w:val="00E64602"/>
    <w:rsid w:val="00E65714"/>
    <w:rsid w:val="00E65E7A"/>
    <w:rsid w:val="00E65F78"/>
    <w:rsid w:val="00E709A0"/>
    <w:rsid w:val="00E70C6E"/>
    <w:rsid w:val="00E72157"/>
    <w:rsid w:val="00E73472"/>
    <w:rsid w:val="00E75498"/>
    <w:rsid w:val="00E75721"/>
    <w:rsid w:val="00E761B3"/>
    <w:rsid w:val="00E769E5"/>
    <w:rsid w:val="00E778C6"/>
    <w:rsid w:val="00E80CED"/>
    <w:rsid w:val="00E822AA"/>
    <w:rsid w:val="00E82521"/>
    <w:rsid w:val="00E82D73"/>
    <w:rsid w:val="00E84628"/>
    <w:rsid w:val="00E859D2"/>
    <w:rsid w:val="00E86D4A"/>
    <w:rsid w:val="00E909A6"/>
    <w:rsid w:val="00E917FD"/>
    <w:rsid w:val="00E932D2"/>
    <w:rsid w:val="00E957E5"/>
    <w:rsid w:val="00E96500"/>
    <w:rsid w:val="00E968F2"/>
    <w:rsid w:val="00E9691F"/>
    <w:rsid w:val="00E96CEC"/>
    <w:rsid w:val="00E96F16"/>
    <w:rsid w:val="00E97EC7"/>
    <w:rsid w:val="00EA0485"/>
    <w:rsid w:val="00EA10A0"/>
    <w:rsid w:val="00EA19AC"/>
    <w:rsid w:val="00EA2B05"/>
    <w:rsid w:val="00EA37C4"/>
    <w:rsid w:val="00EA6E2F"/>
    <w:rsid w:val="00EA70A8"/>
    <w:rsid w:val="00EB00A5"/>
    <w:rsid w:val="00EB1B39"/>
    <w:rsid w:val="00EB293B"/>
    <w:rsid w:val="00EB3406"/>
    <w:rsid w:val="00EB4E35"/>
    <w:rsid w:val="00EB6654"/>
    <w:rsid w:val="00EB7A64"/>
    <w:rsid w:val="00EC2410"/>
    <w:rsid w:val="00EC249F"/>
    <w:rsid w:val="00EC353C"/>
    <w:rsid w:val="00EC44D5"/>
    <w:rsid w:val="00EC4958"/>
    <w:rsid w:val="00EC498C"/>
    <w:rsid w:val="00EC4D8D"/>
    <w:rsid w:val="00EC67E8"/>
    <w:rsid w:val="00ED1461"/>
    <w:rsid w:val="00ED1C4B"/>
    <w:rsid w:val="00ED1FBE"/>
    <w:rsid w:val="00ED2223"/>
    <w:rsid w:val="00ED2EC3"/>
    <w:rsid w:val="00ED420A"/>
    <w:rsid w:val="00ED5013"/>
    <w:rsid w:val="00ED6B51"/>
    <w:rsid w:val="00ED7275"/>
    <w:rsid w:val="00EE0B2D"/>
    <w:rsid w:val="00EE1219"/>
    <w:rsid w:val="00EE2910"/>
    <w:rsid w:val="00EE3063"/>
    <w:rsid w:val="00EE4838"/>
    <w:rsid w:val="00EE56C7"/>
    <w:rsid w:val="00EF3527"/>
    <w:rsid w:val="00EF3590"/>
    <w:rsid w:val="00EF4358"/>
    <w:rsid w:val="00EF4CDC"/>
    <w:rsid w:val="00EF5600"/>
    <w:rsid w:val="00EF61E4"/>
    <w:rsid w:val="00EF6D92"/>
    <w:rsid w:val="00F01334"/>
    <w:rsid w:val="00F01F15"/>
    <w:rsid w:val="00F02973"/>
    <w:rsid w:val="00F03280"/>
    <w:rsid w:val="00F04062"/>
    <w:rsid w:val="00F04D05"/>
    <w:rsid w:val="00F06280"/>
    <w:rsid w:val="00F06363"/>
    <w:rsid w:val="00F07AFF"/>
    <w:rsid w:val="00F108C1"/>
    <w:rsid w:val="00F1205A"/>
    <w:rsid w:val="00F12C71"/>
    <w:rsid w:val="00F13C27"/>
    <w:rsid w:val="00F15134"/>
    <w:rsid w:val="00F16262"/>
    <w:rsid w:val="00F1656B"/>
    <w:rsid w:val="00F16F63"/>
    <w:rsid w:val="00F20299"/>
    <w:rsid w:val="00F2126D"/>
    <w:rsid w:val="00F22EA4"/>
    <w:rsid w:val="00F23E68"/>
    <w:rsid w:val="00F25580"/>
    <w:rsid w:val="00F26313"/>
    <w:rsid w:val="00F265D0"/>
    <w:rsid w:val="00F27092"/>
    <w:rsid w:val="00F27525"/>
    <w:rsid w:val="00F2763E"/>
    <w:rsid w:val="00F314EF"/>
    <w:rsid w:val="00F32C5E"/>
    <w:rsid w:val="00F34D16"/>
    <w:rsid w:val="00F34F73"/>
    <w:rsid w:val="00F35BB3"/>
    <w:rsid w:val="00F364C8"/>
    <w:rsid w:val="00F36519"/>
    <w:rsid w:val="00F36905"/>
    <w:rsid w:val="00F40080"/>
    <w:rsid w:val="00F4178A"/>
    <w:rsid w:val="00F418A0"/>
    <w:rsid w:val="00F45BAB"/>
    <w:rsid w:val="00F47326"/>
    <w:rsid w:val="00F50377"/>
    <w:rsid w:val="00F50613"/>
    <w:rsid w:val="00F5257E"/>
    <w:rsid w:val="00F538A9"/>
    <w:rsid w:val="00F54843"/>
    <w:rsid w:val="00F55323"/>
    <w:rsid w:val="00F563FE"/>
    <w:rsid w:val="00F5699F"/>
    <w:rsid w:val="00F56F75"/>
    <w:rsid w:val="00F5735C"/>
    <w:rsid w:val="00F60830"/>
    <w:rsid w:val="00F60FAA"/>
    <w:rsid w:val="00F617DF"/>
    <w:rsid w:val="00F61986"/>
    <w:rsid w:val="00F63FE4"/>
    <w:rsid w:val="00F64ED2"/>
    <w:rsid w:val="00F65506"/>
    <w:rsid w:val="00F66294"/>
    <w:rsid w:val="00F663A1"/>
    <w:rsid w:val="00F6686C"/>
    <w:rsid w:val="00F70997"/>
    <w:rsid w:val="00F720E8"/>
    <w:rsid w:val="00F7245C"/>
    <w:rsid w:val="00F72B44"/>
    <w:rsid w:val="00F743E6"/>
    <w:rsid w:val="00F7475C"/>
    <w:rsid w:val="00F74CBC"/>
    <w:rsid w:val="00F75422"/>
    <w:rsid w:val="00F81412"/>
    <w:rsid w:val="00F82825"/>
    <w:rsid w:val="00F85D58"/>
    <w:rsid w:val="00F85E5E"/>
    <w:rsid w:val="00F863A0"/>
    <w:rsid w:val="00F907F8"/>
    <w:rsid w:val="00F9164D"/>
    <w:rsid w:val="00F91A68"/>
    <w:rsid w:val="00F92660"/>
    <w:rsid w:val="00F93D90"/>
    <w:rsid w:val="00F97089"/>
    <w:rsid w:val="00FA14C3"/>
    <w:rsid w:val="00FA1C6C"/>
    <w:rsid w:val="00FA36F9"/>
    <w:rsid w:val="00FA48FC"/>
    <w:rsid w:val="00FA4FCE"/>
    <w:rsid w:val="00FA5318"/>
    <w:rsid w:val="00FA6CB0"/>
    <w:rsid w:val="00FB0B53"/>
    <w:rsid w:val="00FB168C"/>
    <w:rsid w:val="00FB18F0"/>
    <w:rsid w:val="00FB3B29"/>
    <w:rsid w:val="00FB3F11"/>
    <w:rsid w:val="00FB59D0"/>
    <w:rsid w:val="00FB5D99"/>
    <w:rsid w:val="00FB60F2"/>
    <w:rsid w:val="00FB63C5"/>
    <w:rsid w:val="00FB7198"/>
    <w:rsid w:val="00FC43BD"/>
    <w:rsid w:val="00FC6EF7"/>
    <w:rsid w:val="00FD0492"/>
    <w:rsid w:val="00FD04FF"/>
    <w:rsid w:val="00FD0FA3"/>
    <w:rsid w:val="00FD39AF"/>
    <w:rsid w:val="00FD3A10"/>
    <w:rsid w:val="00FD490F"/>
    <w:rsid w:val="00FD5236"/>
    <w:rsid w:val="00FD53A2"/>
    <w:rsid w:val="00FD6E51"/>
    <w:rsid w:val="00FE1281"/>
    <w:rsid w:val="00FE1567"/>
    <w:rsid w:val="00FE2CEC"/>
    <w:rsid w:val="00FE404C"/>
    <w:rsid w:val="00FE429C"/>
    <w:rsid w:val="00FE6EED"/>
    <w:rsid w:val="00FE7AF0"/>
    <w:rsid w:val="00FF1D0C"/>
    <w:rsid w:val="00FF41CF"/>
    <w:rsid w:val="00FF5813"/>
    <w:rsid w:val="00FF5EA9"/>
    <w:rsid w:val="00FF6764"/>
    <w:rsid w:val="00FF73BB"/>
    <w:rsid w:val="00FF77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BFF034"/>
  <w14:defaultImageDpi w14:val="96"/>
  <w15:docId w15:val="{9234A3C2-F47E-459C-AF3E-463FAAD9C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Batang" w:hAnsi="Calibri" w:cs="Calibri"/>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E30F7"/>
    <w:pPr>
      <w:widowControl w:val="0"/>
      <w:spacing w:line="360" w:lineRule="auto"/>
    </w:pPr>
    <w:rPr>
      <w:rFonts w:ascii="Times New Roman" w:hAnsi="Times New Roman" w:cs="Times New Roman"/>
      <w:color w:val="000000"/>
      <w:sz w:val="24"/>
      <w:szCs w:val="24"/>
    </w:rPr>
  </w:style>
  <w:style w:type="paragraph" w:styleId="Nagwek1">
    <w:name w:val="heading 1"/>
    <w:basedOn w:val="Normalny"/>
    <w:next w:val="Normalny"/>
    <w:link w:val="Nagwek1Znak"/>
    <w:uiPriority w:val="9"/>
    <w:qFormat/>
    <w:pPr>
      <w:keepNext/>
      <w:keepLines/>
      <w:spacing w:before="480"/>
      <w:outlineLvl w:val="0"/>
    </w:pPr>
    <w:rPr>
      <w:rFonts w:ascii="Cambria" w:hAnsi="Cambria" w:cs="Cambria"/>
      <w:b/>
      <w:bCs/>
      <w:outline/>
      <w:sz w:val="28"/>
      <w:szCs w:val="28"/>
      <w14:textOutline w14:w="9525" w14:cap="flat" w14:cmpd="sng" w14:algn="ctr">
        <w14:solidFill>
          <w14:srgbClr w14:val="000000"/>
        </w14:solidFill>
        <w14:prstDash w14:val="solid"/>
        <w14:round/>
      </w14:textOutline>
      <w14:textFill>
        <w14:noFill/>
      </w14:textFill>
    </w:rPr>
  </w:style>
  <w:style w:type="paragraph" w:styleId="Nagwek2">
    <w:name w:val="heading 2"/>
    <w:basedOn w:val="Normalny"/>
    <w:next w:val="Normalny"/>
    <w:link w:val="Nagwek2Znak"/>
    <w:uiPriority w:val="9"/>
    <w:qFormat/>
    <w:pPr>
      <w:keepNext/>
      <w:keepLines/>
      <w:spacing w:before="360" w:after="80"/>
      <w:outlineLvl w:val="1"/>
    </w:pPr>
    <w:rPr>
      <w:b/>
      <w:bCs/>
      <w:sz w:val="36"/>
      <w:szCs w:val="36"/>
    </w:rPr>
  </w:style>
  <w:style w:type="paragraph" w:styleId="Nagwek3">
    <w:name w:val="heading 3"/>
    <w:basedOn w:val="Normalny"/>
    <w:next w:val="Normalny"/>
    <w:link w:val="Nagwek3Znak"/>
    <w:uiPriority w:val="9"/>
    <w:qFormat/>
    <w:pPr>
      <w:keepNext/>
      <w:keepLines/>
      <w:spacing w:before="280" w:after="80"/>
      <w:outlineLvl w:val="2"/>
    </w:pPr>
    <w:rPr>
      <w:b/>
      <w:bCs/>
      <w:sz w:val="28"/>
      <w:szCs w:val="28"/>
    </w:rPr>
  </w:style>
  <w:style w:type="paragraph" w:styleId="Nagwek4">
    <w:name w:val="heading 4"/>
    <w:basedOn w:val="Normalny"/>
    <w:next w:val="Normalny"/>
    <w:link w:val="Nagwek4Znak"/>
    <w:uiPriority w:val="9"/>
    <w:qFormat/>
    <w:pPr>
      <w:keepNext/>
      <w:keepLines/>
      <w:spacing w:before="240" w:after="40"/>
      <w:outlineLvl w:val="3"/>
    </w:pPr>
    <w:rPr>
      <w:b/>
      <w:bCs/>
    </w:rPr>
  </w:style>
  <w:style w:type="paragraph" w:styleId="Nagwek5">
    <w:name w:val="heading 5"/>
    <w:basedOn w:val="Normalny"/>
    <w:next w:val="Normalny"/>
    <w:link w:val="Nagwek5Znak"/>
    <w:uiPriority w:val="99"/>
    <w:qFormat/>
    <w:pPr>
      <w:keepNext/>
      <w:keepLines/>
      <w:spacing w:before="220" w:after="40"/>
      <w:outlineLvl w:val="4"/>
    </w:pPr>
    <w:rPr>
      <w:b/>
      <w:bCs/>
      <w:sz w:val="22"/>
      <w:szCs w:val="22"/>
    </w:rPr>
  </w:style>
  <w:style w:type="paragraph" w:styleId="Nagwek6">
    <w:name w:val="heading 6"/>
    <w:basedOn w:val="Normalny"/>
    <w:next w:val="Normalny"/>
    <w:link w:val="Nagwek6Znak"/>
    <w:uiPriority w:val="99"/>
    <w:qFormat/>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locked/>
    <w:rPr>
      <w:rFonts w:ascii="Calibri Light" w:hAnsi="Calibri Light" w:cs="Times New Roman"/>
      <w:b/>
      <w:color w:val="000000"/>
      <w:kern w:val="32"/>
      <w:sz w:val="32"/>
    </w:rPr>
  </w:style>
  <w:style w:type="character" w:customStyle="1" w:styleId="Nagwek2Znak">
    <w:name w:val="Nagłówek 2 Znak"/>
    <w:link w:val="Nagwek2"/>
    <w:uiPriority w:val="9"/>
    <w:locked/>
    <w:rPr>
      <w:rFonts w:ascii="Calibri Light" w:hAnsi="Calibri Light" w:cs="Times New Roman"/>
      <w:b/>
      <w:i/>
      <w:color w:val="000000"/>
      <w:sz w:val="28"/>
    </w:rPr>
  </w:style>
  <w:style w:type="character" w:customStyle="1" w:styleId="Nagwek3Znak">
    <w:name w:val="Nagłówek 3 Znak"/>
    <w:link w:val="Nagwek3"/>
    <w:uiPriority w:val="9"/>
    <w:locked/>
    <w:rPr>
      <w:rFonts w:ascii="Calibri Light" w:hAnsi="Calibri Light" w:cs="Times New Roman"/>
      <w:b/>
      <w:color w:val="000000"/>
      <w:sz w:val="26"/>
    </w:rPr>
  </w:style>
  <w:style w:type="character" w:customStyle="1" w:styleId="Nagwek4Znak">
    <w:name w:val="Nagłówek 4 Znak"/>
    <w:link w:val="Nagwek4"/>
    <w:uiPriority w:val="9"/>
    <w:locked/>
    <w:rPr>
      <w:rFonts w:cs="Times New Roman"/>
      <w:b/>
      <w:color w:val="000000"/>
      <w:sz w:val="28"/>
    </w:rPr>
  </w:style>
  <w:style w:type="character" w:customStyle="1" w:styleId="Nagwek5Znak">
    <w:name w:val="Nagłówek 5 Znak"/>
    <w:link w:val="Nagwek5"/>
    <w:uiPriority w:val="99"/>
    <w:locked/>
    <w:rPr>
      <w:rFonts w:cs="Times New Roman"/>
      <w:b/>
      <w:i/>
      <w:color w:val="000000"/>
      <w:sz w:val="26"/>
    </w:rPr>
  </w:style>
  <w:style w:type="character" w:customStyle="1" w:styleId="Nagwek6Znak">
    <w:name w:val="Nagłówek 6 Znak"/>
    <w:link w:val="Nagwek6"/>
    <w:uiPriority w:val="99"/>
    <w:locked/>
    <w:rPr>
      <w:rFonts w:cs="Times New Roman"/>
      <w:b/>
      <w:color w:val="000000"/>
    </w:rPr>
  </w:style>
  <w:style w:type="paragraph" w:styleId="Tytu">
    <w:name w:val="Title"/>
    <w:basedOn w:val="Normalny"/>
    <w:link w:val="TytuZnak"/>
    <w:uiPriority w:val="99"/>
    <w:qFormat/>
    <w:pPr>
      <w:keepNext/>
      <w:keepLines/>
      <w:spacing w:before="480" w:after="120"/>
    </w:pPr>
    <w:rPr>
      <w:b/>
      <w:bCs/>
      <w:sz w:val="72"/>
      <w:szCs w:val="72"/>
    </w:rPr>
  </w:style>
  <w:style w:type="character" w:customStyle="1" w:styleId="TytuZnak">
    <w:name w:val="Tytuł Znak"/>
    <w:link w:val="Tytu"/>
    <w:uiPriority w:val="99"/>
    <w:locked/>
    <w:rPr>
      <w:rFonts w:ascii="Calibri Light" w:hAnsi="Calibri Light" w:cs="Times New Roman"/>
      <w:b/>
      <w:color w:val="000000"/>
      <w:kern w:val="28"/>
      <w:sz w:val="32"/>
    </w:rPr>
  </w:style>
  <w:style w:type="paragraph" w:styleId="Podtytu">
    <w:name w:val="Subtitle"/>
    <w:basedOn w:val="Normalny"/>
    <w:link w:val="PodtytuZnak"/>
    <w:uiPriority w:val="11"/>
    <w:qFormat/>
    <w:pPr>
      <w:keepNext/>
      <w:keepLines/>
      <w:spacing w:before="360" w:after="80"/>
    </w:pPr>
    <w:rPr>
      <w:rFonts w:ascii="Georgia" w:hAnsi="Georgia" w:cs="Georgia"/>
      <w:i/>
      <w:iCs/>
      <w:smallCaps/>
      <w:color w:val="auto"/>
      <w:sz w:val="48"/>
      <w:szCs w:val="48"/>
    </w:rPr>
  </w:style>
  <w:style w:type="character" w:customStyle="1" w:styleId="PodtytuZnak">
    <w:name w:val="Podtytuł Znak"/>
    <w:link w:val="Podtytu"/>
    <w:uiPriority w:val="11"/>
    <w:locked/>
    <w:rPr>
      <w:rFonts w:ascii="Calibri Light" w:hAnsi="Calibri Light" w:cs="Times New Roman"/>
      <w:color w:val="000000"/>
      <w:sz w:val="24"/>
    </w:rPr>
  </w:style>
  <w:style w:type="character" w:styleId="Odwoanieprzypisudolnego">
    <w:name w:val="footnote reference"/>
    <w:uiPriority w:val="99"/>
    <w:rPr>
      <w:rFonts w:cs="Times New Roman"/>
      <w:vertAlign w:val="superscript"/>
    </w:rPr>
  </w:style>
  <w:style w:type="paragraph" w:styleId="Tekstprzypisudolnego">
    <w:name w:val="footnote text"/>
    <w:basedOn w:val="Normalny"/>
    <w:link w:val="TekstprzypisudolnegoZnak"/>
    <w:uiPriority w:val="99"/>
    <w:rPr>
      <w:sz w:val="20"/>
      <w:szCs w:val="20"/>
    </w:rPr>
  </w:style>
  <w:style w:type="character" w:customStyle="1" w:styleId="TekstprzypisudolnegoZnak">
    <w:name w:val="Tekst przypisu dolnego Znak"/>
    <w:link w:val="Tekstprzypisudolnego"/>
    <w:uiPriority w:val="99"/>
    <w:locked/>
    <w:rPr>
      <w:rFonts w:ascii="Times New Roman" w:hAnsi="Times New Roman" w:cs="Times New Roman"/>
      <w:color w:val="000000"/>
      <w:sz w:val="20"/>
    </w:rPr>
  </w:style>
  <w:style w:type="character" w:styleId="Odwoaniedokomentarza">
    <w:name w:val="annotation reference"/>
    <w:uiPriority w:val="99"/>
    <w:rPr>
      <w:rFonts w:cs="Times New Roman"/>
      <w:sz w:val="16"/>
    </w:rPr>
  </w:style>
  <w:style w:type="paragraph" w:styleId="Tekstkomentarza">
    <w:name w:val="annotation text"/>
    <w:basedOn w:val="Normalny"/>
    <w:link w:val="TekstkomentarzaZnak"/>
    <w:uiPriority w:val="99"/>
    <w:rPr>
      <w:sz w:val="20"/>
      <w:szCs w:val="20"/>
    </w:rPr>
  </w:style>
  <w:style w:type="character" w:customStyle="1" w:styleId="TekstkomentarzaZnak">
    <w:name w:val="Tekst komentarza Znak"/>
    <w:link w:val="Tekstkomentarza"/>
    <w:uiPriority w:val="99"/>
    <w:locked/>
    <w:rPr>
      <w:rFonts w:ascii="Times New Roman" w:hAnsi="Times New Roman" w:cs="Times New Roman"/>
      <w:color w:val="000000"/>
      <w:sz w:val="20"/>
    </w:rPr>
  </w:style>
  <w:style w:type="character" w:customStyle="1" w:styleId="plainlinks">
    <w:name w:val="plainlinks"/>
    <w:uiPriority w:val="99"/>
  </w:style>
  <w:style w:type="character" w:styleId="Hipercze">
    <w:name w:val="Hyperlink"/>
    <w:uiPriority w:val="99"/>
    <w:rPr>
      <w:rFonts w:cs="Times New Roman"/>
      <w:color w:val="0000FF"/>
      <w:u w:val="single"/>
    </w:rPr>
  </w:style>
  <w:style w:type="paragraph" w:styleId="Tekstdymka">
    <w:name w:val="Balloon Text"/>
    <w:basedOn w:val="Normalny"/>
    <w:link w:val="TekstdymkaZnak"/>
    <w:uiPriority w:val="99"/>
    <w:unhideWhenUsed/>
    <w:rsid w:val="004916E5"/>
    <w:pPr>
      <w:spacing w:line="240" w:lineRule="auto"/>
    </w:pPr>
    <w:rPr>
      <w:rFonts w:ascii="Segoe UI" w:hAnsi="Segoe UI" w:cs="Segoe UI"/>
      <w:sz w:val="18"/>
      <w:szCs w:val="18"/>
    </w:rPr>
  </w:style>
  <w:style w:type="character" w:customStyle="1" w:styleId="TekstdymkaZnak">
    <w:name w:val="Tekst dymka Znak"/>
    <w:link w:val="Tekstdymka"/>
    <w:uiPriority w:val="99"/>
    <w:locked/>
    <w:rsid w:val="004916E5"/>
    <w:rPr>
      <w:rFonts w:ascii="Segoe UI" w:hAnsi="Segoe UI" w:cs="Times New Roman"/>
      <w:color w:val="000000"/>
      <w:sz w:val="18"/>
    </w:rPr>
  </w:style>
  <w:style w:type="paragraph" w:styleId="Tematkomentarza">
    <w:name w:val="annotation subject"/>
    <w:basedOn w:val="Tekstkomentarza"/>
    <w:next w:val="Tekstkomentarza"/>
    <w:link w:val="TematkomentarzaZnak"/>
    <w:uiPriority w:val="99"/>
    <w:semiHidden/>
    <w:unhideWhenUsed/>
    <w:rsid w:val="004916E5"/>
    <w:rPr>
      <w:b/>
      <w:bCs/>
    </w:rPr>
  </w:style>
  <w:style w:type="character" w:customStyle="1" w:styleId="TematkomentarzaZnak">
    <w:name w:val="Temat komentarza Znak"/>
    <w:link w:val="Tematkomentarza"/>
    <w:uiPriority w:val="99"/>
    <w:semiHidden/>
    <w:locked/>
    <w:rsid w:val="004916E5"/>
    <w:rPr>
      <w:rFonts w:ascii="Times New Roman" w:hAnsi="Times New Roman" w:cs="Times New Roman"/>
      <w:b/>
      <w:color w:val="000000"/>
      <w:sz w:val="20"/>
    </w:rPr>
  </w:style>
  <w:style w:type="table" w:styleId="Tabela-Siatka">
    <w:name w:val="Table Grid"/>
    <w:basedOn w:val="Standardowy"/>
    <w:uiPriority w:val="39"/>
    <w:rsid w:val="00942C0F"/>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9E7F35"/>
    <w:rPr>
      <w:sz w:val="20"/>
      <w:szCs w:val="20"/>
    </w:rPr>
  </w:style>
  <w:style w:type="character" w:customStyle="1" w:styleId="TekstprzypisukocowegoZnak">
    <w:name w:val="Tekst przypisu końcowego Znak"/>
    <w:link w:val="Tekstprzypisukocowego"/>
    <w:uiPriority w:val="99"/>
    <w:semiHidden/>
    <w:locked/>
    <w:rsid w:val="009E7F35"/>
    <w:rPr>
      <w:rFonts w:ascii="Times New Roman" w:hAnsi="Times New Roman" w:cs="Times New Roman"/>
      <w:color w:val="000000"/>
      <w:sz w:val="20"/>
    </w:rPr>
  </w:style>
  <w:style w:type="character" w:styleId="Odwoanieprzypisukocowego">
    <w:name w:val="endnote reference"/>
    <w:uiPriority w:val="99"/>
    <w:semiHidden/>
    <w:unhideWhenUsed/>
    <w:rsid w:val="009E7F35"/>
    <w:rPr>
      <w:rFonts w:cs="Times New Roman"/>
      <w:vertAlign w:val="superscript"/>
    </w:rPr>
  </w:style>
  <w:style w:type="paragraph" w:customStyle="1" w:styleId="ODNONIKtreodnonika">
    <w:name w:val="ODNOŚNIK – treść odnośnika"/>
    <w:qFormat/>
    <w:rsid w:val="00F97089"/>
    <w:pPr>
      <w:ind w:left="284" w:hanging="284"/>
      <w:jc w:val="both"/>
    </w:pPr>
    <w:rPr>
      <w:rFonts w:ascii="Times New Roman" w:hAnsi="Times New Roman" w:cs="Arial"/>
    </w:rPr>
  </w:style>
  <w:style w:type="paragraph" w:styleId="Nagwek">
    <w:name w:val="header"/>
    <w:basedOn w:val="Normalny"/>
    <w:link w:val="NagwekZnak"/>
    <w:uiPriority w:val="99"/>
    <w:unhideWhenUsed/>
    <w:rsid w:val="00AF72AC"/>
    <w:pPr>
      <w:tabs>
        <w:tab w:val="center" w:pos="4536"/>
        <w:tab w:val="right" w:pos="9072"/>
      </w:tabs>
    </w:pPr>
  </w:style>
  <w:style w:type="character" w:customStyle="1" w:styleId="NagwekZnak">
    <w:name w:val="Nagłówek Znak"/>
    <w:link w:val="Nagwek"/>
    <w:uiPriority w:val="99"/>
    <w:locked/>
    <w:rsid w:val="00AF72AC"/>
    <w:rPr>
      <w:rFonts w:ascii="Times New Roman" w:hAnsi="Times New Roman" w:cs="Times New Roman"/>
      <w:color w:val="000000"/>
      <w:sz w:val="24"/>
    </w:rPr>
  </w:style>
  <w:style w:type="paragraph" w:styleId="Stopka">
    <w:name w:val="footer"/>
    <w:basedOn w:val="Normalny"/>
    <w:link w:val="StopkaZnak"/>
    <w:uiPriority w:val="99"/>
    <w:unhideWhenUsed/>
    <w:rsid w:val="00AF72AC"/>
    <w:pPr>
      <w:tabs>
        <w:tab w:val="center" w:pos="4536"/>
        <w:tab w:val="right" w:pos="9072"/>
      </w:tabs>
    </w:pPr>
  </w:style>
  <w:style w:type="character" w:customStyle="1" w:styleId="StopkaZnak">
    <w:name w:val="Stopka Znak"/>
    <w:link w:val="Stopka"/>
    <w:uiPriority w:val="99"/>
    <w:locked/>
    <w:rsid w:val="00AF72AC"/>
    <w:rPr>
      <w:rFonts w:ascii="Times New Roman" w:hAnsi="Times New Roman" w:cs="Times New Roman"/>
      <w:color w:val="000000"/>
      <w:sz w:val="24"/>
    </w:rPr>
  </w:style>
  <w:style w:type="character" w:customStyle="1" w:styleId="WW8Num1z0">
    <w:name w:val="WW8Num1z0"/>
    <w:rsid w:val="00E45CD6"/>
    <w:rPr>
      <w:rFonts w:ascii="Symbol" w:hAnsi="Symbol"/>
    </w:rPr>
  </w:style>
  <w:style w:type="character" w:customStyle="1" w:styleId="WW8Num1z1">
    <w:name w:val="WW8Num1z1"/>
    <w:rsid w:val="00E45CD6"/>
    <w:rPr>
      <w:rFonts w:ascii="OpenSymbol" w:hAnsi="OpenSymbol"/>
    </w:rPr>
  </w:style>
  <w:style w:type="character" w:customStyle="1" w:styleId="WW8Num2z0">
    <w:name w:val="WW8Num2z0"/>
    <w:rsid w:val="00E45CD6"/>
    <w:rPr>
      <w:rFonts w:ascii="Symbol" w:hAnsi="Symbol"/>
    </w:rPr>
  </w:style>
  <w:style w:type="character" w:customStyle="1" w:styleId="WW8Num3z0">
    <w:name w:val="WW8Num3z0"/>
    <w:rsid w:val="00E45CD6"/>
    <w:rPr>
      <w:rFonts w:ascii="Symbol" w:hAnsi="Symbol"/>
    </w:rPr>
  </w:style>
  <w:style w:type="character" w:customStyle="1" w:styleId="WW8Num4z0">
    <w:name w:val="WW8Num4z0"/>
    <w:rsid w:val="00E45CD6"/>
    <w:rPr>
      <w:rFonts w:ascii="Symbol" w:hAnsi="Symbol"/>
    </w:rPr>
  </w:style>
  <w:style w:type="character" w:customStyle="1" w:styleId="WW8Num5z0">
    <w:name w:val="WW8Num5z0"/>
    <w:rsid w:val="00E45CD6"/>
    <w:rPr>
      <w:rFonts w:ascii="Symbol" w:hAnsi="Symbol"/>
    </w:rPr>
  </w:style>
  <w:style w:type="character" w:customStyle="1" w:styleId="WW8Num5z1">
    <w:name w:val="WW8Num5z1"/>
    <w:rsid w:val="00E45CD6"/>
    <w:rPr>
      <w:rFonts w:ascii="OpenSymbol" w:hAnsi="OpenSymbol"/>
    </w:rPr>
  </w:style>
  <w:style w:type="character" w:customStyle="1" w:styleId="Domylnaczcionkaakapitu1">
    <w:name w:val="Domyślna czcionka akapitu1"/>
    <w:rsid w:val="00E45CD6"/>
  </w:style>
  <w:style w:type="character" w:customStyle="1" w:styleId="Absatz-Standardschriftart">
    <w:name w:val="Absatz-Standardschriftart"/>
    <w:rsid w:val="00E45CD6"/>
  </w:style>
  <w:style w:type="character" w:customStyle="1" w:styleId="WW8Num6z0">
    <w:name w:val="WW8Num6z0"/>
    <w:rsid w:val="00E45CD6"/>
    <w:rPr>
      <w:rFonts w:ascii="Symbol" w:hAnsi="Symbol"/>
    </w:rPr>
  </w:style>
  <w:style w:type="character" w:customStyle="1" w:styleId="WW8Num6z1">
    <w:name w:val="WW8Num6z1"/>
    <w:rsid w:val="00E45CD6"/>
    <w:rPr>
      <w:rFonts w:ascii="OpenSymbol" w:hAnsi="OpenSymbol"/>
    </w:rPr>
  </w:style>
  <w:style w:type="character" w:customStyle="1" w:styleId="WW8Num7z0">
    <w:name w:val="WW8Num7z0"/>
    <w:rsid w:val="00E45CD6"/>
    <w:rPr>
      <w:rFonts w:ascii="Symbol" w:hAnsi="Symbol"/>
    </w:rPr>
  </w:style>
  <w:style w:type="character" w:customStyle="1" w:styleId="WW8Num7z1">
    <w:name w:val="WW8Num7z1"/>
    <w:rsid w:val="00E45CD6"/>
    <w:rPr>
      <w:rFonts w:ascii="OpenSymbol" w:hAnsi="OpenSymbol"/>
    </w:rPr>
  </w:style>
  <w:style w:type="character" w:customStyle="1" w:styleId="WW-Absatz-Standardschriftart">
    <w:name w:val="WW-Absatz-Standardschriftart"/>
    <w:rsid w:val="00E45CD6"/>
  </w:style>
  <w:style w:type="character" w:styleId="Pogrubienie">
    <w:name w:val="Strong"/>
    <w:uiPriority w:val="22"/>
    <w:qFormat/>
    <w:rsid w:val="00E45CD6"/>
    <w:rPr>
      <w:rFonts w:cs="Times New Roman"/>
      <w:b/>
    </w:rPr>
  </w:style>
  <w:style w:type="character" w:customStyle="1" w:styleId="WW8Num22z0">
    <w:name w:val="WW8Num22z0"/>
    <w:rsid w:val="00E45CD6"/>
    <w:rPr>
      <w:rFonts w:ascii="Symbol" w:hAnsi="Symbol"/>
    </w:rPr>
  </w:style>
  <w:style w:type="character" w:customStyle="1" w:styleId="WW8Num34z0">
    <w:name w:val="WW8Num34z0"/>
    <w:rsid w:val="00E45CD6"/>
    <w:rPr>
      <w:rFonts w:ascii="Symbol" w:hAnsi="Symbol"/>
    </w:rPr>
  </w:style>
  <w:style w:type="character" w:customStyle="1" w:styleId="WW8Num30z0">
    <w:name w:val="WW8Num30z0"/>
    <w:rsid w:val="00E45CD6"/>
    <w:rPr>
      <w:rFonts w:ascii="Symbol" w:hAnsi="Symbol"/>
    </w:rPr>
  </w:style>
  <w:style w:type="character" w:customStyle="1" w:styleId="Symbolewypunktowania">
    <w:name w:val="Symbole wypunktowania"/>
    <w:rsid w:val="00E45CD6"/>
    <w:rPr>
      <w:rFonts w:ascii="OpenSymbol" w:hAnsi="OpenSymbol"/>
    </w:rPr>
  </w:style>
  <w:style w:type="character" w:customStyle="1" w:styleId="WW8Num95z0">
    <w:name w:val="WW8Num95z0"/>
    <w:rsid w:val="00E45CD6"/>
    <w:rPr>
      <w:rFonts w:ascii="Symbol" w:hAnsi="Symbol"/>
    </w:rPr>
  </w:style>
  <w:style w:type="character" w:customStyle="1" w:styleId="Znakinumeracji">
    <w:name w:val="Znaki numeracji"/>
    <w:rsid w:val="00E45CD6"/>
  </w:style>
  <w:style w:type="paragraph" w:customStyle="1" w:styleId="Nagwek20">
    <w:name w:val="Nagłówek2"/>
    <w:basedOn w:val="Normalny"/>
    <w:next w:val="Tekstpodstawowy"/>
    <w:rsid w:val="00E45CD6"/>
    <w:pPr>
      <w:keepNext/>
      <w:suppressAutoHyphens/>
      <w:spacing w:before="240" w:after="120" w:line="240" w:lineRule="auto"/>
    </w:pPr>
    <w:rPr>
      <w:rFonts w:ascii="Arial" w:eastAsia="MS Mincho" w:hAnsi="Arial" w:cs="Tahoma"/>
      <w:color w:val="auto"/>
      <w:kern w:val="1"/>
      <w:sz w:val="28"/>
      <w:szCs w:val="28"/>
      <w:lang w:eastAsia="ar-SA"/>
    </w:rPr>
  </w:style>
  <w:style w:type="paragraph" w:styleId="Tekstpodstawowy">
    <w:name w:val="Body Text"/>
    <w:basedOn w:val="Normalny"/>
    <w:link w:val="TekstpodstawowyZnak"/>
    <w:uiPriority w:val="99"/>
    <w:semiHidden/>
    <w:rsid w:val="00E45CD6"/>
    <w:pPr>
      <w:suppressAutoHyphens/>
      <w:spacing w:after="120" w:line="240" w:lineRule="auto"/>
    </w:pPr>
    <w:rPr>
      <w:rFonts w:eastAsia="Arial Unicode MS"/>
      <w:color w:val="auto"/>
      <w:kern w:val="1"/>
      <w:lang w:eastAsia="ar-SA"/>
    </w:rPr>
  </w:style>
  <w:style w:type="character" w:customStyle="1" w:styleId="TekstpodstawowyZnak">
    <w:name w:val="Tekst podstawowy Znak"/>
    <w:link w:val="Tekstpodstawowy"/>
    <w:uiPriority w:val="99"/>
    <w:semiHidden/>
    <w:locked/>
    <w:rsid w:val="00E45CD6"/>
    <w:rPr>
      <w:rFonts w:ascii="Times New Roman" w:eastAsia="Arial Unicode MS" w:hAnsi="Times New Roman" w:cs="Times New Roman"/>
      <w:kern w:val="1"/>
      <w:sz w:val="24"/>
      <w:szCs w:val="24"/>
      <w:lang w:val="x-none" w:eastAsia="ar-SA" w:bidi="ar-SA"/>
    </w:rPr>
  </w:style>
  <w:style w:type="paragraph" w:styleId="Lista">
    <w:name w:val="List"/>
    <w:basedOn w:val="Tekstpodstawowy"/>
    <w:uiPriority w:val="99"/>
    <w:semiHidden/>
    <w:rsid w:val="00E45CD6"/>
    <w:rPr>
      <w:rFonts w:cs="Tahoma"/>
    </w:rPr>
  </w:style>
  <w:style w:type="paragraph" w:customStyle="1" w:styleId="Podpis2">
    <w:name w:val="Podpis2"/>
    <w:basedOn w:val="Normalny"/>
    <w:rsid w:val="00E45CD6"/>
    <w:pPr>
      <w:suppressLineNumbers/>
      <w:suppressAutoHyphens/>
      <w:spacing w:before="120" w:after="120" w:line="240" w:lineRule="auto"/>
    </w:pPr>
    <w:rPr>
      <w:rFonts w:eastAsia="Arial Unicode MS" w:cs="Tahoma"/>
      <w:i/>
      <w:iCs/>
      <w:color w:val="auto"/>
      <w:kern w:val="1"/>
      <w:lang w:eastAsia="ar-SA"/>
    </w:rPr>
  </w:style>
  <w:style w:type="paragraph" w:customStyle="1" w:styleId="Indeks">
    <w:name w:val="Indeks"/>
    <w:basedOn w:val="Normalny"/>
    <w:rsid w:val="00E45CD6"/>
    <w:pPr>
      <w:suppressLineNumbers/>
      <w:suppressAutoHyphens/>
      <w:spacing w:line="240" w:lineRule="auto"/>
    </w:pPr>
    <w:rPr>
      <w:rFonts w:eastAsia="Arial Unicode MS" w:cs="Tahoma"/>
      <w:color w:val="auto"/>
      <w:kern w:val="1"/>
      <w:lang w:eastAsia="ar-SA"/>
    </w:rPr>
  </w:style>
  <w:style w:type="paragraph" w:customStyle="1" w:styleId="Nagwek10">
    <w:name w:val="Nagłówek1"/>
    <w:basedOn w:val="Normalny"/>
    <w:next w:val="Tekstpodstawowy"/>
    <w:rsid w:val="00E45CD6"/>
    <w:pPr>
      <w:keepNext/>
      <w:suppressAutoHyphens/>
      <w:spacing w:before="240" w:after="120" w:line="240" w:lineRule="auto"/>
    </w:pPr>
    <w:rPr>
      <w:rFonts w:ascii="Arial" w:eastAsia="MS Mincho" w:hAnsi="Arial" w:cs="Tahoma"/>
      <w:color w:val="auto"/>
      <w:kern w:val="1"/>
      <w:sz w:val="28"/>
      <w:szCs w:val="28"/>
      <w:lang w:eastAsia="ar-SA"/>
    </w:rPr>
  </w:style>
  <w:style w:type="paragraph" w:customStyle="1" w:styleId="Podpis1">
    <w:name w:val="Podpis1"/>
    <w:basedOn w:val="Normalny"/>
    <w:rsid w:val="00E45CD6"/>
    <w:pPr>
      <w:suppressLineNumbers/>
      <w:suppressAutoHyphens/>
      <w:spacing w:before="120" w:after="120" w:line="240" w:lineRule="auto"/>
    </w:pPr>
    <w:rPr>
      <w:rFonts w:eastAsia="Arial Unicode MS" w:cs="Tahoma"/>
      <w:i/>
      <w:iCs/>
      <w:color w:val="auto"/>
      <w:kern w:val="1"/>
      <w:lang w:eastAsia="ar-SA"/>
    </w:rPr>
  </w:style>
  <w:style w:type="paragraph" w:styleId="Tekstpodstawowywcity">
    <w:name w:val="Body Text Indent"/>
    <w:basedOn w:val="Normalny"/>
    <w:link w:val="TekstpodstawowywcityZnak"/>
    <w:uiPriority w:val="99"/>
    <w:semiHidden/>
    <w:rsid w:val="00E45CD6"/>
    <w:pPr>
      <w:suppressAutoHyphens/>
      <w:spacing w:line="240" w:lineRule="auto"/>
      <w:ind w:firstLine="567"/>
      <w:jc w:val="both"/>
    </w:pPr>
    <w:rPr>
      <w:rFonts w:eastAsia="Arial Unicode MS"/>
      <w:color w:val="auto"/>
      <w:kern w:val="1"/>
      <w:lang w:eastAsia="ar-SA"/>
    </w:rPr>
  </w:style>
  <w:style w:type="character" w:customStyle="1" w:styleId="TekstpodstawowywcityZnak">
    <w:name w:val="Tekst podstawowy wcięty Znak"/>
    <w:link w:val="Tekstpodstawowywcity"/>
    <w:uiPriority w:val="99"/>
    <w:semiHidden/>
    <w:locked/>
    <w:rsid w:val="00E45CD6"/>
    <w:rPr>
      <w:rFonts w:ascii="Times New Roman" w:eastAsia="Arial Unicode MS" w:hAnsi="Times New Roman" w:cs="Times New Roman"/>
      <w:kern w:val="1"/>
      <w:sz w:val="24"/>
      <w:szCs w:val="24"/>
      <w:lang w:val="x-none" w:eastAsia="ar-SA" w:bidi="ar-SA"/>
    </w:rPr>
  </w:style>
  <w:style w:type="paragraph" w:customStyle="1" w:styleId="Zawartotabeli">
    <w:name w:val="Zawartość tabeli"/>
    <w:basedOn w:val="Normalny"/>
    <w:qFormat/>
    <w:rsid w:val="00E45CD6"/>
    <w:pPr>
      <w:suppressLineNumbers/>
      <w:suppressAutoHyphens/>
      <w:spacing w:line="240" w:lineRule="auto"/>
    </w:pPr>
    <w:rPr>
      <w:rFonts w:eastAsia="Arial Unicode MS"/>
      <w:color w:val="auto"/>
      <w:kern w:val="1"/>
      <w:lang w:eastAsia="ar-SA"/>
    </w:rPr>
  </w:style>
  <w:style w:type="paragraph" w:customStyle="1" w:styleId="Tekstpodstawowywcity21">
    <w:name w:val="Tekst podstawowy wcięty 21"/>
    <w:basedOn w:val="Normalny"/>
    <w:rsid w:val="00E45CD6"/>
    <w:pPr>
      <w:suppressAutoHyphens/>
      <w:spacing w:line="240" w:lineRule="auto"/>
      <w:ind w:left="709" w:hanging="283"/>
      <w:jc w:val="both"/>
    </w:pPr>
    <w:rPr>
      <w:rFonts w:eastAsia="Arial Unicode MS"/>
      <w:color w:val="auto"/>
      <w:kern w:val="1"/>
      <w:lang w:eastAsia="ar-SA"/>
    </w:rPr>
  </w:style>
  <w:style w:type="paragraph" w:customStyle="1" w:styleId="Tekstpodstawowywcity31">
    <w:name w:val="Tekst podstawowy wcięty 31"/>
    <w:basedOn w:val="Normalny"/>
    <w:rsid w:val="00E45CD6"/>
    <w:pPr>
      <w:suppressAutoHyphens/>
      <w:spacing w:line="240" w:lineRule="auto"/>
      <w:ind w:left="709"/>
      <w:jc w:val="both"/>
    </w:pPr>
    <w:rPr>
      <w:rFonts w:eastAsia="Arial Unicode MS"/>
      <w:color w:val="auto"/>
      <w:kern w:val="1"/>
      <w:lang w:eastAsia="ar-SA"/>
    </w:rPr>
  </w:style>
  <w:style w:type="paragraph" w:customStyle="1" w:styleId="Nagwektabeli">
    <w:name w:val="Nagłówek tabeli"/>
    <w:basedOn w:val="Zawartotabeli"/>
    <w:rsid w:val="00E45CD6"/>
    <w:pPr>
      <w:jc w:val="center"/>
    </w:pPr>
    <w:rPr>
      <w:b/>
      <w:bCs/>
    </w:rPr>
  </w:style>
  <w:style w:type="paragraph" w:customStyle="1" w:styleId="Nagwekspisutreci1">
    <w:name w:val="Nagłówek spisu treści1"/>
    <w:basedOn w:val="Nagwek1"/>
    <w:next w:val="Normalny"/>
    <w:qFormat/>
    <w:rsid w:val="00E45CD6"/>
    <w:pPr>
      <w:widowControl/>
      <w:spacing w:line="276" w:lineRule="auto"/>
      <w:outlineLvl w:val="9"/>
    </w:pPr>
    <w:rPr>
      <w:rFonts w:cs="Times New Roman"/>
      <w:i/>
      <w:kern w:val="1"/>
      <w:sz w:val="26"/>
      <w:lang w:eastAsia="ar-SA"/>
    </w:rPr>
  </w:style>
  <w:style w:type="paragraph" w:styleId="Spistreci1">
    <w:name w:val="toc 1"/>
    <w:basedOn w:val="Normalny"/>
    <w:next w:val="Normalny"/>
    <w:uiPriority w:val="39"/>
    <w:rsid w:val="00E45CD6"/>
    <w:pPr>
      <w:suppressAutoHyphens/>
      <w:spacing w:line="240" w:lineRule="auto"/>
    </w:pPr>
    <w:rPr>
      <w:rFonts w:eastAsia="Arial Unicode MS"/>
      <w:color w:val="auto"/>
      <w:kern w:val="1"/>
      <w:lang w:eastAsia="ar-SA"/>
    </w:rPr>
  </w:style>
  <w:style w:type="paragraph" w:styleId="Spistreci2">
    <w:name w:val="toc 2"/>
    <w:basedOn w:val="Normalny"/>
    <w:next w:val="Normalny"/>
    <w:uiPriority w:val="39"/>
    <w:rsid w:val="00E45CD6"/>
    <w:pPr>
      <w:suppressAutoHyphens/>
      <w:spacing w:line="240" w:lineRule="auto"/>
      <w:ind w:left="240"/>
    </w:pPr>
    <w:rPr>
      <w:rFonts w:eastAsia="Arial Unicode MS"/>
      <w:color w:val="auto"/>
      <w:kern w:val="1"/>
      <w:lang w:eastAsia="ar-SA"/>
    </w:rPr>
  </w:style>
  <w:style w:type="paragraph" w:styleId="Spistreci3">
    <w:name w:val="toc 3"/>
    <w:basedOn w:val="Normalny"/>
    <w:next w:val="Normalny"/>
    <w:uiPriority w:val="39"/>
    <w:rsid w:val="00E45CD6"/>
    <w:pPr>
      <w:suppressAutoHyphens/>
      <w:spacing w:line="240" w:lineRule="auto"/>
      <w:ind w:left="480"/>
    </w:pPr>
    <w:rPr>
      <w:rFonts w:eastAsia="Arial Unicode MS"/>
      <w:color w:val="auto"/>
      <w:kern w:val="1"/>
      <w:lang w:eastAsia="ar-SA"/>
    </w:rPr>
  </w:style>
  <w:style w:type="paragraph" w:styleId="Spistreci4">
    <w:name w:val="toc 4"/>
    <w:basedOn w:val="Indeks"/>
    <w:uiPriority w:val="39"/>
    <w:rsid w:val="00E45CD6"/>
    <w:pPr>
      <w:ind w:left="624"/>
    </w:pPr>
  </w:style>
  <w:style w:type="paragraph" w:styleId="Spistreci5">
    <w:name w:val="toc 5"/>
    <w:basedOn w:val="Indeks"/>
    <w:uiPriority w:val="39"/>
    <w:semiHidden/>
    <w:rsid w:val="00E45CD6"/>
    <w:pPr>
      <w:tabs>
        <w:tab w:val="right" w:leader="dot" w:pos="9637"/>
      </w:tabs>
      <w:ind w:left="1132"/>
    </w:pPr>
  </w:style>
  <w:style w:type="paragraph" w:styleId="Spistreci6">
    <w:name w:val="toc 6"/>
    <w:basedOn w:val="Indeks"/>
    <w:uiPriority w:val="39"/>
    <w:semiHidden/>
    <w:rsid w:val="00E45CD6"/>
    <w:pPr>
      <w:tabs>
        <w:tab w:val="right" w:leader="dot" w:pos="9637"/>
      </w:tabs>
      <w:ind w:left="1415"/>
    </w:pPr>
  </w:style>
  <w:style w:type="paragraph" w:styleId="Spistreci7">
    <w:name w:val="toc 7"/>
    <w:basedOn w:val="Indeks"/>
    <w:uiPriority w:val="39"/>
    <w:semiHidden/>
    <w:rsid w:val="00E45CD6"/>
    <w:pPr>
      <w:tabs>
        <w:tab w:val="right" w:leader="dot" w:pos="9637"/>
      </w:tabs>
      <w:ind w:left="1698"/>
    </w:pPr>
  </w:style>
  <w:style w:type="paragraph" w:styleId="Spistreci8">
    <w:name w:val="toc 8"/>
    <w:basedOn w:val="Indeks"/>
    <w:uiPriority w:val="39"/>
    <w:semiHidden/>
    <w:rsid w:val="00E45CD6"/>
    <w:pPr>
      <w:tabs>
        <w:tab w:val="right" w:leader="dot" w:pos="9637"/>
      </w:tabs>
      <w:ind w:left="1981"/>
    </w:pPr>
  </w:style>
  <w:style w:type="paragraph" w:styleId="Spistreci9">
    <w:name w:val="toc 9"/>
    <w:basedOn w:val="Indeks"/>
    <w:uiPriority w:val="39"/>
    <w:semiHidden/>
    <w:rsid w:val="00E45CD6"/>
    <w:pPr>
      <w:tabs>
        <w:tab w:val="right" w:leader="dot" w:pos="9637"/>
      </w:tabs>
      <w:ind w:left="2264"/>
    </w:pPr>
  </w:style>
  <w:style w:type="paragraph" w:customStyle="1" w:styleId="Spistreci10">
    <w:name w:val="Spis treści 10"/>
    <w:basedOn w:val="Indeks"/>
    <w:rsid w:val="00E45CD6"/>
    <w:pPr>
      <w:tabs>
        <w:tab w:val="right" w:leader="dot" w:pos="9637"/>
      </w:tabs>
      <w:ind w:left="2547"/>
    </w:pPr>
  </w:style>
  <w:style w:type="paragraph" w:styleId="Akapitzlist">
    <w:name w:val="List Paragraph"/>
    <w:basedOn w:val="Normalny"/>
    <w:uiPriority w:val="34"/>
    <w:qFormat/>
    <w:rsid w:val="00E45CD6"/>
    <w:pPr>
      <w:suppressAutoHyphens/>
      <w:spacing w:line="240" w:lineRule="auto"/>
      <w:ind w:left="720"/>
      <w:contextualSpacing/>
    </w:pPr>
    <w:rPr>
      <w:rFonts w:eastAsia="Arial Unicode MS"/>
      <w:color w:val="auto"/>
      <w:kern w:val="1"/>
      <w:lang w:eastAsia="ar-SA"/>
    </w:rPr>
  </w:style>
  <w:style w:type="paragraph" w:styleId="NormalnyWeb">
    <w:name w:val="Normal (Web)"/>
    <w:basedOn w:val="Normalny"/>
    <w:uiPriority w:val="99"/>
    <w:unhideWhenUsed/>
    <w:rsid w:val="00E45CD6"/>
    <w:pPr>
      <w:widowControl/>
      <w:spacing w:before="100" w:beforeAutospacing="1" w:after="119" w:line="240" w:lineRule="auto"/>
    </w:pPr>
    <w:rPr>
      <w:color w:val="auto"/>
    </w:rPr>
  </w:style>
  <w:style w:type="paragraph" w:customStyle="1" w:styleId="Tretekstu">
    <w:name w:val="Treść tekstu"/>
    <w:basedOn w:val="Normalny"/>
    <w:rsid w:val="00E45CD6"/>
    <w:pPr>
      <w:widowControl/>
      <w:suppressAutoHyphens/>
      <w:spacing w:after="120" w:line="240" w:lineRule="auto"/>
    </w:pPr>
    <w:rPr>
      <w:color w:val="auto"/>
      <w:szCs w:val="20"/>
    </w:rPr>
  </w:style>
  <w:style w:type="paragraph" w:styleId="Poprawka">
    <w:name w:val="Revision"/>
    <w:hidden/>
    <w:uiPriority w:val="99"/>
    <w:semiHidden/>
    <w:rsid w:val="00E45CD6"/>
    <w:rPr>
      <w:rFonts w:ascii="Times New Roman" w:eastAsia="Arial Unicode MS" w:hAnsi="Times New Roman" w:cs="Times New Roman"/>
      <w:kern w:val="1"/>
      <w:sz w:val="24"/>
      <w:szCs w:val="24"/>
      <w:lang w:eastAsia="ar-SA"/>
    </w:rPr>
  </w:style>
  <w:style w:type="paragraph" w:customStyle="1" w:styleId="Wcicietrecitekstu">
    <w:name w:val="Wcięcie treści tekstu"/>
    <w:basedOn w:val="Normalny"/>
    <w:rsid w:val="00E45CD6"/>
    <w:pPr>
      <w:spacing w:line="240" w:lineRule="auto"/>
      <w:ind w:firstLine="567"/>
      <w:jc w:val="both"/>
    </w:pPr>
    <w:rPr>
      <w:rFonts w:ascii="Liberation Serif" w:eastAsia="SimSun" w:hAnsi="Liberation Serif" w:cs="Lucida Sans"/>
      <w:color w:val="auto"/>
      <w:lang w:eastAsia="zh-CN" w:bidi="hi-IN"/>
    </w:rPr>
  </w:style>
  <w:style w:type="paragraph" w:styleId="Tekstpodstawowywcity2">
    <w:name w:val="Body Text Indent 2"/>
    <w:basedOn w:val="Normalny"/>
    <w:link w:val="Tekstpodstawowywcity2Znak"/>
    <w:uiPriority w:val="99"/>
    <w:semiHidden/>
    <w:unhideWhenUsed/>
    <w:rsid w:val="00E45CD6"/>
    <w:pPr>
      <w:suppressAutoHyphens/>
      <w:spacing w:after="120" w:line="480" w:lineRule="auto"/>
      <w:ind w:left="283"/>
    </w:pPr>
    <w:rPr>
      <w:rFonts w:eastAsia="Arial Unicode MS"/>
      <w:color w:val="auto"/>
      <w:kern w:val="1"/>
      <w:lang w:eastAsia="ar-SA"/>
    </w:rPr>
  </w:style>
  <w:style w:type="character" w:customStyle="1" w:styleId="Tekstpodstawowywcity2Znak">
    <w:name w:val="Tekst podstawowy wcięty 2 Znak"/>
    <w:link w:val="Tekstpodstawowywcity2"/>
    <w:uiPriority w:val="99"/>
    <w:semiHidden/>
    <w:locked/>
    <w:rsid w:val="00E45CD6"/>
    <w:rPr>
      <w:rFonts w:ascii="Times New Roman" w:eastAsia="Arial Unicode MS" w:hAnsi="Times New Roman" w:cs="Times New Roman"/>
      <w:kern w:val="1"/>
      <w:sz w:val="24"/>
      <w:szCs w:val="24"/>
      <w:lang w:val="x-none" w:eastAsia="ar-SA" w:bidi="ar-SA"/>
    </w:rPr>
  </w:style>
  <w:style w:type="paragraph" w:styleId="Tekstpodstawowywcity3">
    <w:name w:val="Body Text Indent 3"/>
    <w:basedOn w:val="Normalny"/>
    <w:link w:val="Tekstpodstawowywcity3Znak"/>
    <w:uiPriority w:val="99"/>
    <w:semiHidden/>
    <w:unhideWhenUsed/>
    <w:rsid w:val="00E45CD6"/>
    <w:pPr>
      <w:suppressAutoHyphens/>
      <w:spacing w:after="120" w:line="240" w:lineRule="auto"/>
      <w:ind w:left="283"/>
    </w:pPr>
    <w:rPr>
      <w:rFonts w:eastAsia="Arial Unicode MS"/>
      <w:color w:val="auto"/>
      <w:kern w:val="1"/>
      <w:sz w:val="16"/>
      <w:szCs w:val="16"/>
      <w:lang w:eastAsia="ar-SA"/>
    </w:rPr>
  </w:style>
  <w:style w:type="character" w:customStyle="1" w:styleId="Tekstpodstawowywcity3Znak">
    <w:name w:val="Tekst podstawowy wcięty 3 Znak"/>
    <w:link w:val="Tekstpodstawowywcity3"/>
    <w:uiPriority w:val="99"/>
    <w:semiHidden/>
    <w:locked/>
    <w:rsid w:val="00E45CD6"/>
    <w:rPr>
      <w:rFonts w:ascii="Times New Roman" w:eastAsia="Arial Unicode MS" w:hAnsi="Times New Roman" w:cs="Times New Roman"/>
      <w:kern w:val="1"/>
      <w:sz w:val="16"/>
      <w:szCs w:val="16"/>
      <w:lang w:val="x-none" w:eastAsia="ar-SA" w:bidi="ar-SA"/>
    </w:rPr>
  </w:style>
  <w:style w:type="paragraph" w:customStyle="1" w:styleId="Standard">
    <w:name w:val="Standard"/>
    <w:rsid w:val="00E45CD6"/>
    <w:pPr>
      <w:widowControl w:val="0"/>
      <w:suppressAutoHyphens/>
      <w:autoSpaceDN w:val="0"/>
      <w:textAlignment w:val="baseline"/>
    </w:pPr>
    <w:rPr>
      <w:rFonts w:ascii="Liberation Serif" w:eastAsia="SimSun" w:hAnsi="Liberation Serif" w:cs="Lucida Sans"/>
      <w:kern w:val="3"/>
      <w:sz w:val="24"/>
      <w:szCs w:val="24"/>
      <w:lang w:eastAsia="zh-CN" w:bidi="hi-IN"/>
    </w:rPr>
  </w:style>
  <w:style w:type="paragraph" w:customStyle="1" w:styleId="Textbodyindent">
    <w:name w:val="Text body indent"/>
    <w:basedOn w:val="Standard"/>
    <w:rsid w:val="00E45CD6"/>
    <w:pPr>
      <w:ind w:firstLine="567"/>
      <w:jc w:val="both"/>
    </w:pPr>
  </w:style>
  <w:style w:type="paragraph" w:customStyle="1" w:styleId="Tytu1">
    <w:name w:val="Tytuł1"/>
    <w:basedOn w:val="Normalny"/>
    <w:rsid w:val="00E45CD6"/>
    <w:pPr>
      <w:widowControl/>
      <w:spacing w:before="100" w:beforeAutospacing="1" w:after="100" w:afterAutospacing="1" w:line="240" w:lineRule="auto"/>
    </w:pPr>
    <w:rPr>
      <w:color w:val="auto"/>
    </w:rPr>
  </w:style>
  <w:style w:type="paragraph" w:customStyle="1" w:styleId="desc">
    <w:name w:val="desc"/>
    <w:basedOn w:val="Normalny"/>
    <w:rsid w:val="00E45CD6"/>
    <w:pPr>
      <w:widowControl/>
      <w:spacing w:before="100" w:beforeAutospacing="1" w:after="100" w:afterAutospacing="1" w:line="240" w:lineRule="auto"/>
    </w:pPr>
    <w:rPr>
      <w:color w:val="auto"/>
    </w:rPr>
  </w:style>
  <w:style w:type="paragraph" w:customStyle="1" w:styleId="details">
    <w:name w:val="details"/>
    <w:basedOn w:val="Normalny"/>
    <w:rsid w:val="00E45CD6"/>
    <w:pPr>
      <w:widowControl/>
      <w:spacing w:before="100" w:beforeAutospacing="1" w:after="100" w:afterAutospacing="1" w:line="240" w:lineRule="auto"/>
    </w:pPr>
    <w:rPr>
      <w:color w:val="auto"/>
    </w:rPr>
  </w:style>
  <w:style w:type="character" w:customStyle="1" w:styleId="jrnl">
    <w:name w:val="jrnl"/>
    <w:rsid w:val="00E45CD6"/>
  </w:style>
  <w:style w:type="paragraph" w:customStyle="1" w:styleId="Legenda1">
    <w:name w:val="Legenda1"/>
    <w:basedOn w:val="Normalny"/>
    <w:next w:val="Normalny"/>
    <w:uiPriority w:val="35"/>
    <w:unhideWhenUsed/>
    <w:qFormat/>
    <w:rsid w:val="00E45CD6"/>
    <w:pPr>
      <w:suppressAutoHyphens/>
      <w:spacing w:after="200" w:line="240" w:lineRule="auto"/>
    </w:pPr>
    <w:rPr>
      <w:rFonts w:eastAsia="Arial Unicode MS"/>
      <w:b/>
      <w:bCs/>
      <w:color w:val="4F81BD"/>
      <w:kern w:val="1"/>
      <w:sz w:val="18"/>
      <w:szCs w:val="18"/>
      <w:lang w:eastAsia="ar-SA"/>
    </w:rPr>
  </w:style>
  <w:style w:type="paragraph" w:customStyle="1" w:styleId="Bezodstpw1">
    <w:name w:val="Bez odstępów1"/>
    <w:next w:val="Bezodstpw"/>
    <w:link w:val="BezodstpwZnak"/>
    <w:uiPriority w:val="1"/>
    <w:qFormat/>
    <w:rsid w:val="00E45CD6"/>
    <w:rPr>
      <w:rFonts w:cs="Times New Roman"/>
      <w:sz w:val="22"/>
      <w:szCs w:val="22"/>
      <w:lang w:eastAsia="en-US"/>
    </w:rPr>
  </w:style>
  <w:style w:type="character" w:customStyle="1" w:styleId="BezodstpwZnak">
    <w:name w:val="Bez odstępów Znak"/>
    <w:link w:val="Bezodstpw1"/>
    <w:uiPriority w:val="1"/>
    <w:locked/>
    <w:rsid w:val="00E45CD6"/>
    <w:rPr>
      <w:rFonts w:ascii="Calibri" w:hAnsi="Calibri"/>
      <w:sz w:val="22"/>
      <w:lang w:val="x-none" w:eastAsia="en-US"/>
    </w:rPr>
  </w:style>
  <w:style w:type="table" w:customStyle="1" w:styleId="Tabela-Siatka1">
    <w:name w:val="Tabela - Siatka1"/>
    <w:basedOn w:val="Standardowy"/>
    <w:next w:val="Tabela-Siatka"/>
    <w:uiPriority w:val="59"/>
    <w:rsid w:val="00E45CD6"/>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E45CD6"/>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E45CD6"/>
    <w:pPr>
      <w:widowControl w:val="0"/>
    </w:pPr>
    <w:rPr>
      <w:rFonts w:ascii="Times New Roman" w:hAnsi="Times New Roman" w:cs="Times New Roman"/>
      <w:color w:val="000000"/>
      <w:sz w:val="24"/>
      <w:szCs w:val="24"/>
    </w:rPr>
  </w:style>
  <w:style w:type="paragraph" w:styleId="Nagwekspisutreci">
    <w:name w:val="TOC Heading"/>
    <w:basedOn w:val="Nagwek1"/>
    <w:next w:val="Normalny"/>
    <w:uiPriority w:val="39"/>
    <w:qFormat/>
    <w:rsid w:val="00C85A8A"/>
    <w:pPr>
      <w:widowControl/>
      <w:spacing w:line="276" w:lineRule="auto"/>
      <w:outlineLvl w:val="9"/>
    </w:pPr>
    <w:rPr>
      <w:rFonts w:cs="Times New Roman"/>
      <w:i/>
      <w:kern w:val="1"/>
      <w:sz w:val="26"/>
      <w:lang w:eastAsia="ar-SA"/>
    </w:rPr>
  </w:style>
  <w:style w:type="paragraph" w:styleId="Legenda">
    <w:name w:val="caption"/>
    <w:basedOn w:val="Normalny"/>
    <w:next w:val="Normalny"/>
    <w:uiPriority w:val="35"/>
    <w:unhideWhenUsed/>
    <w:qFormat/>
    <w:rsid w:val="00C85A8A"/>
    <w:pPr>
      <w:suppressAutoHyphens/>
      <w:spacing w:after="200" w:line="240" w:lineRule="auto"/>
    </w:pPr>
    <w:rPr>
      <w:rFonts w:eastAsia="Arial Unicode MS"/>
      <w:b/>
      <w:bCs/>
      <w:color w:val="4F81BD"/>
      <w:kern w:val="1"/>
      <w:sz w:val="18"/>
      <w:szCs w:val="18"/>
      <w:lang w:eastAsia="ar-SA"/>
    </w:rPr>
  </w:style>
  <w:style w:type="table" w:customStyle="1" w:styleId="Zwykatabela21">
    <w:name w:val="Zwykła tabela 21"/>
    <w:basedOn w:val="Standardowy"/>
    <w:uiPriority w:val="42"/>
    <w:rsid w:val="00563C93"/>
    <w:tblPr>
      <w:tblStyleRowBandSize w:val="1"/>
      <w:tblStyleColBandSize w:val="1"/>
      <w:tblBorders>
        <w:top w:val="single" w:sz="4" w:space="0" w:color="7F7F7F"/>
        <w:bottom w:val="single" w:sz="4" w:space="0" w:color="7F7F7F"/>
      </w:tblBorders>
    </w:tblPr>
    <w:tblStylePr w:type="firstRow">
      <w:rPr>
        <w:rFonts w:cs="Calibri"/>
        <w:b/>
        <w:bCs/>
      </w:rPr>
      <w:tblPr/>
      <w:tcPr>
        <w:tcBorders>
          <w:bottom w:val="single" w:sz="4" w:space="0" w:color="7F7F7F"/>
        </w:tcBorders>
      </w:tcPr>
    </w:tblStylePr>
    <w:tblStylePr w:type="lastRow">
      <w:rPr>
        <w:rFonts w:cs="Calibri"/>
        <w:b/>
        <w:bCs/>
      </w:rPr>
      <w:tblPr/>
      <w:tcPr>
        <w:tcBorders>
          <w:top w:val="single" w:sz="4" w:space="0" w:color="7F7F7F"/>
        </w:tcBorders>
      </w:tcPr>
    </w:tblStylePr>
    <w:tblStylePr w:type="firstCol">
      <w:rPr>
        <w:rFonts w:cs="Calibri"/>
        <w:b/>
        <w:bCs/>
      </w:rPr>
    </w:tblStylePr>
    <w:tblStylePr w:type="lastCol">
      <w:rPr>
        <w:rFonts w:cs="Calibri"/>
        <w:b/>
        <w:bCs/>
      </w:rPr>
    </w:tblStylePr>
    <w:tblStylePr w:type="band1Vert">
      <w:rPr>
        <w:rFonts w:cs="Calibri"/>
      </w:rPr>
      <w:tblPr/>
      <w:tcPr>
        <w:tcBorders>
          <w:left w:val="single" w:sz="4" w:space="0" w:color="7F7F7F"/>
          <w:right w:val="single" w:sz="4" w:space="0" w:color="7F7F7F"/>
        </w:tcBorders>
      </w:tcPr>
    </w:tblStylePr>
    <w:tblStylePr w:type="band2Vert">
      <w:rPr>
        <w:rFonts w:cs="Calibri"/>
      </w:rPr>
      <w:tblPr/>
      <w:tcPr>
        <w:tcBorders>
          <w:left w:val="single" w:sz="4" w:space="0" w:color="7F7F7F"/>
          <w:right w:val="single" w:sz="4" w:space="0" w:color="7F7F7F"/>
        </w:tcBorders>
      </w:tcPr>
    </w:tblStylePr>
    <w:tblStylePr w:type="band1Horz">
      <w:rPr>
        <w:rFonts w:cs="Calibri"/>
      </w:rPr>
      <w:tblPr/>
      <w:tcPr>
        <w:tcBorders>
          <w:top w:val="single" w:sz="4" w:space="0" w:color="7F7F7F"/>
          <w:bottom w:val="single" w:sz="4" w:space="0" w:color="7F7F7F"/>
        </w:tcBorders>
      </w:tcPr>
    </w:tblStylePr>
  </w:style>
  <w:style w:type="table" w:customStyle="1" w:styleId="Tabela-Siatka3">
    <w:name w:val="Tabela - Siatka3"/>
    <w:basedOn w:val="Standardowy"/>
    <w:next w:val="Tabela-Siatka"/>
    <w:uiPriority w:val="59"/>
    <w:rsid w:val="00DC1D02"/>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Tekstpodstawowywcity3">
    <w:name w:val="WW-Tekst podstawowy wcięty 3"/>
    <w:basedOn w:val="Normalny"/>
    <w:rsid w:val="007936CF"/>
    <w:pPr>
      <w:widowControl/>
      <w:suppressAutoHyphens/>
      <w:spacing w:line="240" w:lineRule="auto"/>
      <w:ind w:firstLine="709"/>
    </w:pPr>
    <w:rPr>
      <w:color w:val="auto"/>
      <w:szCs w:val="20"/>
      <w:lang w:eastAsia="zh-CN"/>
    </w:rPr>
  </w:style>
  <w:style w:type="character" w:customStyle="1" w:styleId="st">
    <w:name w:val="st"/>
    <w:basedOn w:val="Domylnaczcionkaakapitu"/>
    <w:rsid w:val="00B84617"/>
  </w:style>
  <w:style w:type="character" w:styleId="Uwydatnienie">
    <w:name w:val="Emphasis"/>
    <w:uiPriority w:val="20"/>
    <w:qFormat/>
    <w:rsid w:val="00B84617"/>
    <w:rPr>
      <w:i/>
      <w:iCs/>
    </w:rPr>
  </w:style>
  <w:style w:type="character" w:customStyle="1" w:styleId="reference-text">
    <w:name w:val="reference-text"/>
    <w:basedOn w:val="Domylnaczcionkaakapitu"/>
    <w:rsid w:val="00D22ACB"/>
  </w:style>
  <w:style w:type="character" w:customStyle="1" w:styleId="Nierozpoznanawzmianka1">
    <w:name w:val="Nierozpoznana wzmianka1"/>
    <w:uiPriority w:val="99"/>
    <w:semiHidden/>
    <w:unhideWhenUsed/>
    <w:rsid w:val="00D22ACB"/>
    <w:rPr>
      <w:color w:val="605E5C"/>
      <w:shd w:val="clear" w:color="auto" w:fill="E1DFDD"/>
    </w:rPr>
  </w:style>
  <w:style w:type="character" w:customStyle="1" w:styleId="Nierozpoznanawzmianka2">
    <w:name w:val="Nierozpoznana wzmianka2"/>
    <w:uiPriority w:val="99"/>
    <w:semiHidden/>
    <w:unhideWhenUsed/>
    <w:rsid w:val="00E00EBA"/>
    <w:rPr>
      <w:color w:val="605E5C"/>
      <w:shd w:val="clear" w:color="auto" w:fill="E1DFDD"/>
    </w:rPr>
  </w:style>
  <w:style w:type="paragraph" w:customStyle="1" w:styleId="pismamz">
    <w:name w:val="pisma_mz"/>
    <w:basedOn w:val="Normalny"/>
    <w:link w:val="pismamzZnak"/>
    <w:qFormat/>
    <w:rsid w:val="0086556D"/>
    <w:pPr>
      <w:widowControl/>
      <w:contextualSpacing/>
      <w:jc w:val="both"/>
    </w:pPr>
    <w:rPr>
      <w:rFonts w:ascii="Arial" w:eastAsia="Calibri" w:hAnsi="Arial"/>
      <w:color w:val="auto"/>
      <w:sz w:val="22"/>
      <w:szCs w:val="22"/>
      <w:lang w:eastAsia="en-US"/>
    </w:rPr>
  </w:style>
  <w:style w:type="character" w:customStyle="1" w:styleId="pismamzZnak">
    <w:name w:val="pisma_mz Znak"/>
    <w:link w:val="pismamz"/>
    <w:rsid w:val="0086556D"/>
    <w:rPr>
      <w:rFonts w:ascii="Arial" w:eastAsia="Calibri" w:hAnsi="Arial" w:cs="Times New Roman"/>
      <w:sz w:val="22"/>
      <w:szCs w:val="22"/>
      <w:lang w:eastAsia="en-US"/>
    </w:rPr>
  </w:style>
  <w:style w:type="table" w:customStyle="1" w:styleId="Tabela-Siatka4">
    <w:name w:val="Tabela - Siatka4"/>
    <w:basedOn w:val="Standardowy"/>
    <w:next w:val="Tabela-Siatka"/>
    <w:uiPriority w:val="39"/>
    <w:rsid w:val="00BE6D7F"/>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omylnaczcionkaakapitu"/>
    <w:rsid w:val="00405A50"/>
  </w:style>
  <w:style w:type="character" w:customStyle="1" w:styleId="docsum-authors">
    <w:name w:val="docsum-authors"/>
    <w:basedOn w:val="Domylnaczcionkaakapitu"/>
    <w:rsid w:val="005852A2"/>
  </w:style>
  <w:style w:type="character" w:customStyle="1" w:styleId="TeksttreciBezpogrubienia">
    <w:name w:val="Tekst treści + Bez pogrubienia"/>
    <w:rsid w:val="00740CE0"/>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
    <w:name w:val="Tekst treści"/>
    <w:rsid w:val="00FC6EF7"/>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ierozpoznanawzmianka3">
    <w:name w:val="Nierozpoznana wzmianka3"/>
    <w:uiPriority w:val="99"/>
    <w:semiHidden/>
    <w:unhideWhenUsed/>
    <w:rsid w:val="00612AB1"/>
    <w:rPr>
      <w:color w:val="605E5C"/>
      <w:shd w:val="clear" w:color="auto" w:fill="E1DFDD"/>
    </w:rPr>
  </w:style>
  <w:style w:type="character" w:styleId="UyteHipercze">
    <w:name w:val="FollowedHyperlink"/>
    <w:uiPriority w:val="99"/>
    <w:semiHidden/>
    <w:unhideWhenUsed/>
    <w:rsid w:val="00612AB1"/>
    <w:rPr>
      <w:color w:val="954F72"/>
      <w:u w:val="single"/>
    </w:rPr>
  </w:style>
  <w:style w:type="paragraph" w:customStyle="1" w:styleId="pf0">
    <w:name w:val="pf0"/>
    <w:basedOn w:val="Normalny"/>
    <w:rsid w:val="001C439D"/>
    <w:pPr>
      <w:widowControl/>
      <w:spacing w:before="100" w:beforeAutospacing="1" w:after="100" w:afterAutospacing="1" w:line="240" w:lineRule="auto"/>
    </w:pPr>
    <w:rPr>
      <w:color w:val="auto"/>
    </w:rPr>
  </w:style>
  <w:style w:type="character" w:customStyle="1" w:styleId="cf01">
    <w:name w:val="cf01"/>
    <w:rsid w:val="001C439D"/>
    <w:rPr>
      <w:rFonts w:ascii="Segoe UI" w:hAnsi="Segoe UI" w:cs="Segoe UI" w:hint="default"/>
      <w:sz w:val="18"/>
      <w:szCs w:val="18"/>
    </w:rPr>
  </w:style>
  <w:style w:type="paragraph" w:customStyle="1" w:styleId="Default">
    <w:name w:val="Default"/>
    <w:rsid w:val="00EC4958"/>
    <w:pPr>
      <w:autoSpaceDE w:val="0"/>
      <w:autoSpaceDN w:val="0"/>
      <w:adjustRightInd w:val="0"/>
    </w:pPr>
    <w:rPr>
      <w:rFonts w:ascii="Arial" w:hAnsi="Arial" w:cs="Arial"/>
      <w:color w:val="000000"/>
      <w:sz w:val="24"/>
      <w:szCs w:val="24"/>
    </w:rPr>
  </w:style>
  <w:style w:type="numbering" w:customStyle="1" w:styleId="HTA-Listanumerowana2">
    <w:name w:val="HTA - Lista numerowana 2"/>
    <w:uiPriority w:val="99"/>
    <w:rsid w:val="008E1D16"/>
    <w:pPr>
      <w:numPr>
        <w:numId w:val="90"/>
      </w:numPr>
    </w:pPr>
  </w:style>
  <w:style w:type="paragraph" w:customStyle="1" w:styleId="Listapunktowana-dlugitekst">
    <w:name w:val="Lista punktowana - dlugi tekst"/>
    <w:basedOn w:val="Normalny"/>
    <w:uiPriority w:val="5"/>
    <w:qFormat/>
    <w:rsid w:val="008E1D16"/>
    <w:pPr>
      <w:widowControl/>
      <w:numPr>
        <w:numId w:val="92"/>
      </w:numPr>
      <w:spacing w:before="120"/>
      <w:jc w:val="both"/>
    </w:pPr>
    <w:rPr>
      <w:rFonts w:ascii="Arial" w:hAnsi="Arial"/>
      <w:bCs/>
      <w:color w:val="auto"/>
      <w:sz w:val="20"/>
      <w:szCs w:val="20"/>
      <w:lang w:eastAsia="en-US" w:bidi="en-US"/>
    </w:rPr>
  </w:style>
  <w:style w:type="paragraph" w:customStyle="1" w:styleId="Listapunktowana2-dugitekst">
    <w:name w:val="Lista punktowana 2 - długi tekst"/>
    <w:basedOn w:val="Normalny"/>
    <w:uiPriority w:val="5"/>
    <w:unhideWhenUsed/>
    <w:rsid w:val="008E1D16"/>
    <w:pPr>
      <w:widowControl/>
      <w:numPr>
        <w:ilvl w:val="1"/>
        <w:numId w:val="92"/>
      </w:numPr>
      <w:jc w:val="both"/>
    </w:pPr>
    <w:rPr>
      <w:rFonts w:ascii="Arial" w:hAnsi="Arial"/>
      <w:bCs/>
      <w:color w:val="auto"/>
      <w:sz w:val="20"/>
      <w:szCs w:val="20"/>
      <w:lang w:eastAsia="en-US" w:bidi="en-US"/>
    </w:rPr>
  </w:style>
  <w:style w:type="paragraph" w:customStyle="1" w:styleId="Listapunktowana3-dugitekst">
    <w:name w:val="Lista punktowana 3 - długi tekst"/>
    <w:basedOn w:val="Normalny"/>
    <w:uiPriority w:val="5"/>
    <w:unhideWhenUsed/>
    <w:rsid w:val="008E1D16"/>
    <w:pPr>
      <w:widowControl/>
      <w:numPr>
        <w:ilvl w:val="2"/>
        <w:numId w:val="92"/>
      </w:numPr>
      <w:jc w:val="both"/>
    </w:pPr>
    <w:rPr>
      <w:rFonts w:ascii="Arial" w:hAnsi="Arial"/>
      <w:bCs/>
      <w:color w:val="auto"/>
      <w:sz w:val="20"/>
      <w:szCs w:val="20"/>
      <w:lang w:eastAsia="en-US" w:bidi="en-US"/>
    </w:rPr>
  </w:style>
  <w:style w:type="paragraph" w:customStyle="1" w:styleId="Listapunktowana4-dugitekst">
    <w:name w:val="Lista punktowana 4 - długi tekst"/>
    <w:basedOn w:val="Normalny"/>
    <w:uiPriority w:val="5"/>
    <w:unhideWhenUsed/>
    <w:rsid w:val="008E1D16"/>
    <w:pPr>
      <w:widowControl/>
      <w:numPr>
        <w:ilvl w:val="3"/>
        <w:numId w:val="92"/>
      </w:numPr>
      <w:jc w:val="both"/>
    </w:pPr>
    <w:rPr>
      <w:rFonts w:ascii="Arial" w:hAnsi="Arial"/>
      <w:bCs/>
      <w:color w:val="auto"/>
      <w:sz w:val="20"/>
      <w:szCs w:val="20"/>
      <w:lang w:eastAsia="en-US" w:bidi="en-US"/>
    </w:rPr>
  </w:style>
  <w:style w:type="paragraph" w:customStyle="1" w:styleId="Listapunktowana5-dugitekst">
    <w:name w:val="Lista punktowana 5 - długi tekst"/>
    <w:basedOn w:val="Normalny"/>
    <w:uiPriority w:val="5"/>
    <w:semiHidden/>
    <w:unhideWhenUsed/>
    <w:rsid w:val="008E1D16"/>
    <w:pPr>
      <w:widowControl/>
      <w:numPr>
        <w:ilvl w:val="4"/>
        <w:numId w:val="92"/>
      </w:numPr>
      <w:jc w:val="both"/>
    </w:pPr>
    <w:rPr>
      <w:rFonts w:ascii="Arial" w:hAnsi="Arial"/>
      <w:bCs/>
      <w:color w:val="auto"/>
      <w:sz w:val="20"/>
      <w:szCs w:val="20"/>
      <w:lang w:eastAsia="en-US" w:bidi="en-US"/>
    </w:rPr>
  </w:style>
  <w:style w:type="numbering" w:customStyle="1" w:styleId="HTA-Listapunktowa2">
    <w:name w:val="HTA - Lista punktowa 2"/>
    <w:uiPriority w:val="99"/>
    <w:rsid w:val="008E1D16"/>
    <w:pPr>
      <w:numPr>
        <w:numId w:val="91"/>
      </w:numPr>
    </w:pPr>
  </w:style>
  <w:style w:type="paragraph" w:customStyle="1" w:styleId="Listanumerowana-dugitekst">
    <w:name w:val="Lista numerowana - długi tekst"/>
    <w:basedOn w:val="Normalny"/>
    <w:uiPriority w:val="5"/>
    <w:qFormat/>
    <w:rsid w:val="008E1D16"/>
    <w:pPr>
      <w:widowControl/>
      <w:numPr>
        <w:numId w:val="90"/>
      </w:numPr>
      <w:spacing w:before="120"/>
      <w:jc w:val="both"/>
    </w:pPr>
    <w:rPr>
      <w:rFonts w:ascii="Arial" w:hAnsi="Arial"/>
      <w:bCs/>
      <w:color w:val="auto"/>
      <w:sz w:val="20"/>
      <w:szCs w:val="20"/>
      <w:lang w:eastAsia="en-US" w:bidi="en-US"/>
    </w:rPr>
  </w:style>
  <w:style w:type="paragraph" w:customStyle="1" w:styleId="Listanumerowana2-dugitekst">
    <w:name w:val="Lista numerowana 2 - długi tekst"/>
    <w:basedOn w:val="Normalny"/>
    <w:uiPriority w:val="5"/>
    <w:unhideWhenUsed/>
    <w:rsid w:val="008E1D16"/>
    <w:pPr>
      <w:widowControl/>
      <w:numPr>
        <w:ilvl w:val="1"/>
        <w:numId w:val="90"/>
      </w:numPr>
      <w:jc w:val="both"/>
    </w:pPr>
    <w:rPr>
      <w:rFonts w:ascii="Arial" w:hAnsi="Arial"/>
      <w:bCs/>
      <w:color w:val="auto"/>
      <w:sz w:val="20"/>
      <w:szCs w:val="20"/>
      <w:lang w:eastAsia="en-US" w:bidi="en-US"/>
    </w:rPr>
  </w:style>
  <w:style w:type="paragraph" w:customStyle="1" w:styleId="Listanumerowana3-dugitekst">
    <w:name w:val="Lista numerowana 3 - długi tekst"/>
    <w:basedOn w:val="Normalny"/>
    <w:uiPriority w:val="5"/>
    <w:unhideWhenUsed/>
    <w:rsid w:val="008E1D16"/>
    <w:pPr>
      <w:widowControl/>
      <w:numPr>
        <w:ilvl w:val="2"/>
        <w:numId w:val="90"/>
      </w:numPr>
      <w:jc w:val="both"/>
    </w:pPr>
    <w:rPr>
      <w:rFonts w:ascii="Arial" w:hAnsi="Arial"/>
      <w:bCs/>
      <w:color w:val="auto"/>
      <w:sz w:val="20"/>
      <w:szCs w:val="20"/>
      <w:lang w:eastAsia="en-US" w:bidi="en-US"/>
    </w:rPr>
  </w:style>
  <w:style w:type="paragraph" w:customStyle="1" w:styleId="Listanumerowana4-dugitekst">
    <w:name w:val="Lista numerowana 4 - długi tekst"/>
    <w:basedOn w:val="Normalny"/>
    <w:uiPriority w:val="5"/>
    <w:unhideWhenUsed/>
    <w:qFormat/>
    <w:rsid w:val="008E1D16"/>
    <w:pPr>
      <w:widowControl/>
      <w:numPr>
        <w:ilvl w:val="3"/>
        <w:numId w:val="90"/>
      </w:numPr>
      <w:jc w:val="both"/>
    </w:pPr>
    <w:rPr>
      <w:rFonts w:ascii="Arial" w:hAnsi="Arial"/>
      <w:bCs/>
      <w:color w:val="auto"/>
      <w:sz w:val="20"/>
      <w:szCs w:val="20"/>
      <w:lang w:eastAsia="en-US" w:bidi="en-US"/>
    </w:rPr>
  </w:style>
  <w:style w:type="paragraph" w:customStyle="1" w:styleId="Listanumerowana5-dugitekst">
    <w:name w:val="Lista numerowana 5 - długi tekst"/>
    <w:basedOn w:val="Normalny"/>
    <w:uiPriority w:val="5"/>
    <w:semiHidden/>
    <w:unhideWhenUsed/>
    <w:rsid w:val="008E1D16"/>
    <w:pPr>
      <w:widowControl/>
      <w:numPr>
        <w:ilvl w:val="4"/>
        <w:numId w:val="90"/>
      </w:numPr>
      <w:jc w:val="both"/>
    </w:pPr>
    <w:rPr>
      <w:rFonts w:ascii="Arial" w:hAnsi="Arial"/>
      <w:bCs/>
      <w:color w:val="auto"/>
      <w:sz w:val="20"/>
      <w:szCs w:val="20"/>
      <w:lang w:eastAsia="en-US" w:bidi="en-US"/>
    </w:rPr>
  </w:style>
  <w:style w:type="character" w:customStyle="1" w:styleId="rynqvb">
    <w:name w:val="rynqvb"/>
    <w:basedOn w:val="Domylnaczcionkaakapitu"/>
    <w:rsid w:val="008E1D16"/>
  </w:style>
  <w:style w:type="character" w:customStyle="1" w:styleId="Nierozpoznanawzmianka4">
    <w:name w:val="Nierozpoznana wzmianka4"/>
    <w:uiPriority w:val="99"/>
    <w:semiHidden/>
    <w:unhideWhenUsed/>
    <w:rsid w:val="005B0D21"/>
    <w:rPr>
      <w:color w:val="605E5C"/>
      <w:shd w:val="clear" w:color="auto" w:fill="E1DFDD"/>
    </w:rPr>
  </w:style>
  <w:style w:type="character" w:customStyle="1" w:styleId="Nierozpoznanawzmianka5">
    <w:name w:val="Nierozpoznana wzmianka5"/>
    <w:basedOn w:val="Domylnaczcionkaakapitu"/>
    <w:uiPriority w:val="99"/>
    <w:semiHidden/>
    <w:unhideWhenUsed/>
    <w:rsid w:val="001454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75771">
      <w:bodyDiv w:val="1"/>
      <w:marLeft w:val="0"/>
      <w:marRight w:val="0"/>
      <w:marTop w:val="0"/>
      <w:marBottom w:val="0"/>
      <w:divBdr>
        <w:top w:val="none" w:sz="0" w:space="0" w:color="auto"/>
        <w:left w:val="none" w:sz="0" w:space="0" w:color="auto"/>
        <w:bottom w:val="none" w:sz="0" w:space="0" w:color="auto"/>
        <w:right w:val="none" w:sz="0" w:space="0" w:color="auto"/>
      </w:divBdr>
    </w:div>
    <w:div w:id="90319257">
      <w:bodyDiv w:val="1"/>
      <w:marLeft w:val="0"/>
      <w:marRight w:val="0"/>
      <w:marTop w:val="0"/>
      <w:marBottom w:val="0"/>
      <w:divBdr>
        <w:top w:val="none" w:sz="0" w:space="0" w:color="auto"/>
        <w:left w:val="none" w:sz="0" w:space="0" w:color="auto"/>
        <w:bottom w:val="none" w:sz="0" w:space="0" w:color="auto"/>
        <w:right w:val="none" w:sz="0" w:space="0" w:color="auto"/>
      </w:divBdr>
      <w:divsChild>
        <w:div w:id="2049908481">
          <w:marLeft w:val="0"/>
          <w:marRight w:val="0"/>
          <w:marTop w:val="0"/>
          <w:marBottom w:val="0"/>
          <w:divBdr>
            <w:top w:val="none" w:sz="0" w:space="0" w:color="auto"/>
            <w:left w:val="none" w:sz="0" w:space="0" w:color="auto"/>
            <w:bottom w:val="none" w:sz="0" w:space="0" w:color="auto"/>
            <w:right w:val="none" w:sz="0" w:space="0" w:color="auto"/>
          </w:divBdr>
        </w:div>
      </w:divsChild>
    </w:div>
    <w:div w:id="186137181">
      <w:bodyDiv w:val="1"/>
      <w:marLeft w:val="0"/>
      <w:marRight w:val="0"/>
      <w:marTop w:val="0"/>
      <w:marBottom w:val="0"/>
      <w:divBdr>
        <w:top w:val="none" w:sz="0" w:space="0" w:color="auto"/>
        <w:left w:val="none" w:sz="0" w:space="0" w:color="auto"/>
        <w:bottom w:val="none" w:sz="0" w:space="0" w:color="auto"/>
        <w:right w:val="none" w:sz="0" w:space="0" w:color="auto"/>
      </w:divBdr>
    </w:div>
    <w:div w:id="241180276">
      <w:bodyDiv w:val="1"/>
      <w:marLeft w:val="0"/>
      <w:marRight w:val="0"/>
      <w:marTop w:val="0"/>
      <w:marBottom w:val="0"/>
      <w:divBdr>
        <w:top w:val="none" w:sz="0" w:space="0" w:color="auto"/>
        <w:left w:val="none" w:sz="0" w:space="0" w:color="auto"/>
        <w:bottom w:val="none" w:sz="0" w:space="0" w:color="auto"/>
        <w:right w:val="none" w:sz="0" w:space="0" w:color="auto"/>
      </w:divBdr>
    </w:div>
    <w:div w:id="259026399">
      <w:bodyDiv w:val="1"/>
      <w:marLeft w:val="0"/>
      <w:marRight w:val="0"/>
      <w:marTop w:val="0"/>
      <w:marBottom w:val="0"/>
      <w:divBdr>
        <w:top w:val="none" w:sz="0" w:space="0" w:color="auto"/>
        <w:left w:val="none" w:sz="0" w:space="0" w:color="auto"/>
        <w:bottom w:val="none" w:sz="0" w:space="0" w:color="auto"/>
        <w:right w:val="none" w:sz="0" w:space="0" w:color="auto"/>
      </w:divBdr>
    </w:div>
    <w:div w:id="317930211">
      <w:bodyDiv w:val="1"/>
      <w:marLeft w:val="0"/>
      <w:marRight w:val="0"/>
      <w:marTop w:val="0"/>
      <w:marBottom w:val="0"/>
      <w:divBdr>
        <w:top w:val="none" w:sz="0" w:space="0" w:color="auto"/>
        <w:left w:val="none" w:sz="0" w:space="0" w:color="auto"/>
        <w:bottom w:val="none" w:sz="0" w:space="0" w:color="auto"/>
        <w:right w:val="none" w:sz="0" w:space="0" w:color="auto"/>
      </w:divBdr>
      <w:divsChild>
        <w:div w:id="150341586">
          <w:marLeft w:val="0"/>
          <w:marRight w:val="0"/>
          <w:marTop w:val="0"/>
          <w:marBottom w:val="0"/>
          <w:divBdr>
            <w:top w:val="none" w:sz="0" w:space="0" w:color="auto"/>
            <w:left w:val="none" w:sz="0" w:space="0" w:color="auto"/>
            <w:bottom w:val="none" w:sz="0" w:space="0" w:color="auto"/>
            <w:right w:val="none" w:sz="0" w:space="0" w:color="auto"/>
          </w:divBdr>
        </w:div>
      </w:divsChild>
    </w:div>
    <w:div w:id="594173505">
      <w:bodyDiv w:val="1"/>
      <w:marLeft w:val="0"/>
      <w:marRight w:val="0"/>
      <w:marTop w:val="0"/>
      <w:marBottom w:val="0"/>
      <w:divBdr>
        <w:top w:val="none" w:sz="0" w:space="0" w:color="auto"/>
        <w:left w:val="none" w:sz="0" w:space="0" w:color="auto"/>
        <w:bottom w:val="none" w:sz="0" w:space="0" w:color="auto"/>
        <w:right w:val="none" w:sz="0" w:space="0" w:color="auto"/>
      </w:divBdr>
    </w:div>
    <w:div w:id="623196127">
      <w:bodyDiv w:val="1"/>
      <w:marLeft w:val="0"/>
      <w:marRight w:val="0"/>
      <w:marTop w:val="0"/>
      <w:marBottom w:val="0"/>
      <w:divBdr>
        <w:top w:val="none" w:sz="0" w:space="0" w:color="auto"/>
        <w:left w:val="none" w:sz="0" w:space="0" w:color="auto"/>
        <w:bottom w:val="none" w:sz="0" w:space="0" w:color="auto"/>
        <w:right w:val="none" w:sz="0" w:space="0" w:color="auto"/>
      </w:divBdr>
    </w:div>
    <w:div w:id="638269097">
      <w:bodyDiv w:val="1"/>
      <w:marLeft w:val="0"/>
      <w:marRight w:val="0"/>
      <w:marTop w:val="0"/>
      <w:marBottom w:val="0"/>
      <w:divBdr>
        <w:top w:val="none" w:sz="0" w:space="0" w:color="auto"/>
        <w:left w:val="none" w:sz="0" w:space="0" w:color="auto"/>
        <w:bottom w:val="none" w:sz="0" w:space="0" w:color="auto"/>
        <w:right w:val="none" w:sz="0" w:space="0" w:color="auto"/>
      </w:divBdr>
    </w:div>
    <w:div w:id="742602595">
      <w:bodyDiv w:val="1"/>
      <w:marLeft w:val="0"/>
      <w:marRight w:val="0"/>
      <w:marTop w:val="0"/>
      <w:marBottom w:val="0"/>
      <w:divBdr>
        <w:top w:val="none" w:sz="0" w:space="0" w:color="auto"/>
        <w:left w:val="none" w:sz="0" w:space="0" w:color="auto"/>
        <w:bottom w:val="none" w:sz="0" w:space="0" w:color="auto"/>
        <w:right w:val="none" w:sz="0" w:space="0" w:color="auto"/>
      </w:divBdr>
    </w:div>
    <w:div w:id="865017963">
      <w:bodyDiv w:val="1"/>
      <w:marLeft w:val="0"/>
      <w:marRight w:val="0"/>
      <w:marTop w:val="0"/>
      <w:marBottom w:val="0"/>
      <w:divBdr>
        <w:top w:val="none" w:sz="0" w:space="0" w:color="auto"/>
        <w:left w:val="none" w:sz="0" w:space="0" w:color="auto"/>
        <w:bottom w:val="none" w:sz="0" w:space="0" w:color="auto"/>
        <w:right w:val="none" w:sz="0" w:space="0" w:color="auto"/>
      </w:divBdr>
    </w:div>
    <w:div w:id="1062874188">
      <w:bodyDiv w:val="1"/>
      <w:marLeft w:val="0"/>
      <w:marRight w:val="0"/>
      <w:marTop w:val="0"/>
      <w:marBottom w:val="0"/>
      <w:divBdr>
        <w:top w:val="none" w:sz="0" w:space="0" w:color="auto"/>
        <w:left w:val="none" w:sz="0" w:space="0" w:color="auto"/>
        <w:bottom w:val="none" w:sz="0" w:space="0" w:color="auto"/>
        <w:right w:val="none" w:sz="0" w:space="0" w:color="auto"/>
      </w:divBdr>
    </w:div>
    <w:div w:id="1079865804">
      <w:bodyDiv w:val="1"/>
      <w:marLeft w:val="0"/>
      <w:marRight w:val="0"/>
      <w:marTop w:val="0"/>
      <w:marBottom w:val="0"/>
      <w:divBdr>
        <w:top w:val="none" w:sz="0" w:space="0" w:color="auto"/>
        <w:left w:val="none" w:sz="0" w:space="0" w:color="auto"/>
        <w:bottom w:val="none" w:sz="0" w:space="0" w:color="auto"/>
        <w:right w:val="none" w:sz="0" w:space="0" w:color="auto"/>
      </w:divBdr>
    </w:div>
    <w:div w:id="1144783837">
      <w:bodyDiv w:val="1"/>
      <w:marLeft w:val="0"/>
      <w:marRight w:val="0"/>
      <w:marTop w:val="0"/>
      <w:marBottom w:val="0"/>
      <w:divBdr>
        <w:top w:val="none" w:sz="0" w:space="0" w:color="auto"/>
        <w:left w:val="none" w:sz="0" w:space="0" w:color="auto"/>
        <w:bottom w:val="none" w:sz="0" w:space="0" w:color="auto"/>
        <w:right w:val="none" w:sz="0" w:space="0" w:color="auto"/>
      </w:divBdr>
    </w:div>
    <w:div w:id="1159543751">
      <w:bodyDiv w:val="1"/>
      <w:marLeft w:val="0"/>
      <w:marRight w:val="0"/>
      <w:marTop w:val="0"/>
      <w:marBottom w:val="0"/>
      <w:divBdr>
        <w:top w:val="none" w:sz="0" w:space="0" w:color="auto"/>
        <w:left w:val="none" w:sz="0" w:space="0" w:color="auto"/>
        <w:bottom w:val="none" w:sz="0" w:space="0" w:color="auto"/>
        <w:right w:val="none" w:sz="0" w:space="0" w:color="auto"/>
      </w:divBdr>
    </w:div>
    <w:div w:id="1251045027">
      <w:bodyDiv w:val="1"/>
      <w:marLeft w:val="0"/>
      <w:marRight w:val="0"/>
      <w:marTop w:val="0"/>
      <w:marBottom w:val="0"/>
      <w:divBdr>
        <w:top w:val="none" w:sz="0" w:space="0" w:color="auto"/>
        <w:left w:val="none" w:sz="0" w:space="0" w:color="auto"/>
        <w:bottom w:val="none" w:sz="0" w:space="0" w:color="auto"/>
        <w:right w:val="none" w:sz="0" w:space="0" w:color="auto"/>
      </w:divBdr>
    </w:div>
    <w:div w:id="1431462886">
      <w:bodyDiv w:val="1"/>
      <w:marLeft w:val="0"/>
      <w:marRight w:val="0"/>
      <w:marTop w:val="0"/>
      <w:marBottom w:val="0"/>
      <w:divBdr>
        <w:top w:val="none" w:sz="0" w:space="0" w:color="auto"/>
        <w:left w:val="none" w:sz="0" w:space="0" w:color="auto"/>
        <w:bottom w:val="none" w:sz="0" w:space="0" w:color="auto"/>
        <w:right w:val="none" w:sz="0" w:space="0" w:color="auto"/>
      </w:divBdr>
      <w:divsChild>
        <w:div w:id="812915839">
          <w:marLeft w:val="0"/>
          <w:marRight w:val="0"/>
          <w:marTop w:val="0"/>
          <w:marBottom w:val="0"/>
          <w:divBdr>
            <w:top w:val="none" w:sz="0" w:space="0" w:color="auto"/>
            <w:left w:val="none" w:sz="0" w:space="0" w:color="auto"/>
            <w:bottom w:val="none" w:sz="0" w:space="0" w:color="auto"/>
            <w:right w:val="none" w:sz="0" w:space="0" w:color="auto"/>
          </w:divBdr>
        </w:div>
      </w:divsChild>
    </w:div>
    <w:div w:id="1564440051">
      <w:bodyDiv w:val="1"/>
      <w:marLeft w:val="0"/>
      <w:marRight w:val="0"/>
      <w:marTop w:val="0"/>
      <w:marBottom w:val="0"/>
      <w:divBdr>
        <w:top w:val="none" w:sz="0" w:space="0" w:color="auto"/>
        <w:left w:val="none" w:sz="0" w:space="0" w:color="auto"/>
        <w:bottom w:val="none" w:sz="0" w:space="0" w:color="auto"/>
        <w:right w:val="none" w:sz="0" w:space="0" w:color="auto"/>
      </w:divBdr>
    </w:div>
    <w:div w:id="1650670309">
      <w:bodyDiv w:val="1"/>
      <w:marLeft w:val="0"/>
      <w:marRight w:val="0"/>
      <w:marTop w:val="0"/>
      <w:marBottom w:val="0"/>
      <w:divBdr>
        <w:top w:val="none" w:sz="0" w:space="0" w:color="auto"/>
        <w:left w:val="none" w:sz="0" w:space="0" w:color="auto"/>
        <w:bottom w:val="none" w:sz="0" w:space="0" w:color="auto"/>
        <w:right w:val="none" w:sz="0" w:space="0" w:color="auto"/>
      </w:divBdr>
    </w:div>
    <w:div w:id="1654489048">
      <w:bodyDiv w:val="1"/>
      <w:marLeft w:val="0"/>
      <w:marRight w:val="0"/>
      <w:marTop w:val="0"/>
      <w:marBottom w:val="0"/>
      <w:divBdr>
        <w:top w:val="none" w:sz="0" w:space="0" w:color="auto"/>
        <w:left w:val="none" w:sz="0" w:space="0" w:color="auto"/>
        <w:bottom w:val="none" w:sz="0" w:space="0" w:color="auto"/>
        <w:right w:val="none" w:sz="0" w:space="0" w:color="auto"/>
      </w:divBdr>
      <w:divsChild>
        <w:div w:id="1783724660">
          <w:marLeft w:val="0"/>
          <w:marRight w:val="0"/>
          <w:marTop w:val="0"/>
          <w:marBottom w:val="0"/>
          <w:divBdr>
            <w:top w:val="none" w:sz="0" w:space="0" w:color="auto"/>
            <w:left w:val="none" w:sz="0" w:space="0" w:color="auto"/>
            <w:bottom w:val="none" w:sz="0" w:space="0" w:color="auto"/>
            <w:right w:val="none" w:sz="0" w:space="0" w:color="auto"/>
          </w:divBdr>
          <w:divsChild>
            <w:div w:id="1453986139">
              <w:marLeft w:val="0"/>
              <w:marRight w:val="0"/>
              <w:marTop w:val="0"/>
              <w:marBottom w:val="0"/>
              <w:divBdr>
                <w:top w:val="none" w:sz="0" w:space="0" w:color="auto"/>
                <w:left w:val="none" w:sz="0" w:space="0" w:color="auto"/>
                <w:bottom w:val="none" w:sz="0" w:space="0" w:color="auto"/>
                <w:right w:val="none" w:sz="0" w:space="0" w:color="auto"/>
              </w:divBdr>
              <w:divsChild>
                <w:div w:id="929046192">
                  <w:marLeft w:val="0"/>
                  <w:marRight w:val="0"/>
                  <w:marTop w:val="0"/>
                  <w:marBottom w:val="0"/>
                  <w:divBdr>
                    <w:top w:val="none" w:sz="0" w:space="0" w:color="auto"/>
                    <w:left w:val="none" w:sz="0" w:space="0" w:color="auto"/>
                    <w:bottom w:val="none" w:sz="0" w:space="0" w:color="auto"/>
                    <w:right w:val="none" w:sz="0" w:space="0" w:color="auto"/>
                  </w:divBdr>
                  <w:divsChild>
                    <w:div w:id="162892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633350">
      <w:bodyDiv w:val="1"/>
      <w:marLeft w:val="0"/>
      <w:marRight w:val="0"/>
      <w:marTop w:val="0"/>
      <w:marBottom w:val="0"/>
      <w:divBdr>
        <w:top w:val="none" w:sz="0" w:space="0" w:color="auto"/>
        <w:left w:val="none" w:sz="0" w:space="0" w:color="auto"/>
        <w:bottom w:val="none" w:sz="0" w:space="0" w:color="auto"/>
        <w:right w:val="none" w:sz="0" w:space="0" w:color="auto"/>
      </w:divBdr>
    </w:div>
    <w:div w:id="1759520914">
      <w:bodyDiv w:val="1"/>
      <w:marLeft w:val="0"/>
      <w:marRight w:val="0"/>
      <w:marTop w:val="0"/>
      <w:marBottom w:val="0"/>
      <w:divBdr>
        <w:top w:val="none" w:sz="0" w:space="0" w:color="auto"/>
        <w:left w:val="none" w:sz="0" w:space="0" w:color="auto"/>
        <w:bottom w:val="none" w:sz="0" w:space="0" w:color="auto"/>
        <w:right w:val="none" w:sz="0" w:space="0" w:color="auto"/>
      </w:divBdr>
    </w:div>
    <w:div w:id="1896769288">
      <w:bodyDiv w:val="1"/>
      <w:marLeft w:val="0"/>
      <w:marRight w:val="0"/>
      <w:marTop w:val="0"/>
      <w:marBottom w:val="0"/>
      <w:divBdr>
        <w:top w:val="none" w:sz="0" w:space="0" w:color="auto"/>
        <w:left w:val="none" w:sz="0" w:space="0" w:color="auto"/>
        <w:bottom w:val="none" w:sz="0" w:space="0" w:color="auto"/>
        <w:right w:val="none" w:sz="0" w:space="0" w:color="auto"/>
      </w:divBdr>
      <w:divsChild>
        <w:div w:id="1690109385">
          <w:marLeft w:val="0"/>
          <w:marRight w:val="0"/>
          <w:marTop w:val="0"/>
          <w:marBottom w:val="0"/>
          <w:divBdr>
            <w:top w:val="none" w:sz="0" w:space="0" w:color="auto"/>
            <w:left w:val="none" w:sz="0" w:space="0" w:color="auto"/>
            <w:bottom w:val="none" w:sz="0" w:space="0" w:color="auto"/>
            <w:right w:val="none" w:sz="0" w:space="0" w:color="auto"/>
          </w:divBdr>
        </w:div>
      </w:divsChild>
    </w:div>
    <w:div w:id="2022270026">
      <w:marLeft w:val="0"/>
      <w:marRight w:val="0"/>
      <w:marTop w:val="0"/>
      <w:marBottom w:val="0"/>
      <w:divBdr>
        <w:top w:val="none" w:sz="0" w:space="0" w:color="auto"/>
        <w:left w:val="none" w:sz="0" w:space="0" w:color="auto"/>
        <w:bottom w:val="none" w:sz="0" w:space="0" w:color="auto"/>
        <w:right w:val="none" w:sz="0" w:space="0" w:color="auto"/>
      </w:divBdr>
    </w:div>
    <w:div w:id="20222700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ommbid.com" TargetMode="External"/><Relationship Id="rId21" Type="http://schemas.openxmlformats.org/officeDocument/2006/relationships/image" Target="media/image14.png"/><Relationship Id="rId42" Type="http://schemas.openxmlformats.org/officeDocument/2006/relationships/hyperlink" Target="https://www.ncbi.nlm.nih.gov/pubmed/26689403" TargetMode="External"/><Relationship Id="rId47" Type="http://schemas.openxmlformats.org/officeDocument/2006/relationships/hyperlink" Target="https://www.ncbi.nlm.nih.gov/pubmed/17449977" TargetMode="External"/><Relationship Id="rId63" Type="http://schemas.openxmlformats.org/officeDocument/2006/relationships/hyperlink" Target="https://www.ncbi.nlm.nih.gov/pubmed/25080519" TargetMode="External"/><Relationship Id="rId68" Type="http://schemas.openxmlformats.org/officeDocument/2006/relationships/hyperlink" Target="https://www.ncbi.nlm.nih.gov/pubmed/?term=ENDEAR%20Study%20Group%5BCorporate%20Author%5D" TargetMode="External"/><Relationship Id="rId84" Type="http://schemas.openxmlformats.org/officeDocument/2006/relationships/hyperlink" Target="https://www.ncbi.nlm.nih.gov/pubmed/?term=Kolb%20SJ%5BAuthor%5D&amp;cauthor=true&amp;cauthor_uid=31037425" TargetMode="External"/><Relationship Id="rId89" Type="http://schemas.openxmlformats.org/officeDocument/2006/relationships/hyperlink" Target="https://nbp.pl/projekcja-inflacji-i-pkb-listopad-2024/" TargetMode="Externa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hyperlink" Target="http://www.ncbi.nlm.nih.gov/pubmed?term=Hinton%20CF%5BAuthor%5D&amp;cauthor=true&amp;cauthor_uid=21716119" TargetMode="External"/><Relationship Id="rId37" Type="http://schemas.openxmlformats.org/officeDocument/2006/relationships/hyperlink" Target="http://www.ncbi.nlm.nih.gov/pubmed?term=Levy-Fisch%20J%5BAuthor%5D&amp;cauthor=true&amp;cauthor_uid=21716119" TargetMode="External"/><Relationship Id="rId53" Type="http://schemas.openxmlformats.org/officeDocument/2006/relationships/hyperlink" Target="https://www.ncbi.nlm.nih.gov/pubmed/28884620" TargetMode="External"/><Relationship Id="rId58" Type="http://schemas.openxmlformats.org/officeDocument/2006/relationships/hyperlink" Target="https://www.ncbi.nlm.nih.gov/pubmed/?term=Weng%20WC%5BAuthor%5D&amp;cauthor=true&amp;cauthor_uid=28711173" TargetMode="External"/><Relationship Id="rId74" Type="http://schemas.openxmlformats.org/officeDocument/2006/relationships/hyperlink" Target="https://www.ncbi.nlm.nih.gov/pubmed/?term=Sugarman%20EA%5BAuthor%5D&amp;cauthor=true&amp;cauthor_uid=21811307" TargetMode="External"/><Relationship Id="rId79" Type="http://schemas.openxmlformats.org/officeDocument/2006/relationships/hyperlink" Target="https://www.ncbi.nlm.nih.gov/pubmed/?term=Vill%20K%5BAuthor%5D&amp;cauthor=true&amp;cauthor_uid=31594245" TargetMode="External"/><Relationship Id="rId5" Type="http://schemas.openxmlformats.org/officeDocument/2006/relationships/webSettings" Target="webSettings.xml"/><Relationship Id="rId90" Type="http://schemas.openxmlformats.org/officeDocument/2006/relationships/hyperlink" Target="https://stat.gov.pl/obszary-tematyczne/roczniki-statystyczne/roczniki-statystyczne/rocznik-demograficzny-2023,3,17.html" TargetMode="External"/><Relationship Id="rId95" Type="http://schemas.openxmlformats.org/officeDocument/2006/relationships/hyperlink" Target="http://przesiew.imid.med.pl" TargetMode="External"/><Relationship Id="rId22" Type="http://schemas.openxmlformats.org/officeDocument/2006/relationships/image" Target="media/image15.png"/><Relationship Id="rId27" Type="http://schemas.openxmlformats.org/officeDocument/2006/relationships/hyperlink" Target="http://www.ncbi.nlm.nih.gov/pubmed/19369886" TargetMode="External"/><Relationship Id="rId43" Type="http://schemas.openxmlformats.org/officeDocument/2006/relationships/hyperlink" Target="https://www.ncbi.nlm.nih.gov/pubmed/30548438" TargetMode="External"/><Relationship Id="rId48" Type="http://schemas.openxmlformats.org/officeDocument/2006/relationships/hyperlink" Target="https://www.ncbi.nlm.nih.gov/pubmed/?term=Rev+Med+Liege+2019%3A+74(9)%3A+461-464" TargetMode="External"/><Relationship Id="rId64" Type="http://schemas.openxmlformats.org/officeDocument/2006/relationships/hyperlink" Target="https://www.ncbi.nlm.nih.gov/pubmed/29091570" TargetMode="External"/><Relationship Id="rId69" Type="http://schemas.openxmlformats.org/officeDocument/2006/relationships/hyperlink" Target="https://www.ncbi.nlm.nih.gov/pubmed/24844453" TargetMode="External"/><Relationship Id="rId80" Type="http://schemas.openxmlformats.org/officeDocument/2006/relationships/hyperlink" Target="https://www.ncbi.nlm.nih.gov/pubmed/?term=K%C3%B6lbel%20H%5BAuthor%5D&amp;cauthor=true&amp;cauthor_uid=31594245" TargetMode="External"/><Relationship Id="rId85" Type="http://schemas.openxmlformats.org/officeDocument/2006/relationships/hyperlink" Target="https://www.healthcouncil.nl/documents/advisory-reports/2019/07/23/neonatal-screening-for-spinal-muscular-atrophy" TargetMode="External"/><Relationship Id="rId3" Type="http://schemas.openxmlformats.org/officeDocument/2006/relationships/styles" Target="styles.xml"/><Relationship Id="rId12" Type="http://schemas.openxmlformats.org/officeDocument/2006/relationships/image" Target="media/image5.gif"/><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www.ncbi.nlm.nih.gov/pubmed?term=Feuchtbaum%20L%5BAuthor%5D&amp;cauthor=true&amp;cauthor_uid=21716119" TargetMode="External"/><Relationship Id="rId38" Type="http://schemas.openxmlformats.org/officeDocument/2006/relationships/hyperlink" Target="http://www.ncbi.nlm.nih.gov/pubmed?term=Luedtke%20J%5BAuthor%5D&amp;cauthor=true&amp;cauthor_uid=21716119" TargetMode="External"/><Relationship Id="rId46" Type="http://schemas.openxmlformats.org/officeDocument/2006/relationships/hyperlink" Target="https://www.ncbi.nlm.nih.gov/pubmed/?term=Kotha%20K%5BAuthor%5D&amp;cauthor=true&amp;cauthor_uid=30548438" TargetMode="External"/><Relationship Id="rId59" Type="http://schemas.openxmlformats.org/officeDocument/2006/relationships/hyperlink" Target="https://www.ncbi.nlm.nih.gov/pubmed/?term=farrar+2013+sma" TargetMode="External"/><Relationship Id="rId67" Type="http://schemas.openxmlformats.org/officeDocument/2006/relationships/hyperlink" Target="https://www.ncbi.nlm.nih.gov/pubmed/?term=Darras%20BT%5BAuthor%5D&amp;cauthor=true&amp;cauthor_uid=29091570" TargetMode="External"/><Relationship Id="rId20" Type="http://schemas.openxmlformats.org/officeDocument/2006/relationships/image" Target="media/image13.png"/><Relationship Id="rId41" Type="http://schemas.openxmlformats.org/officeDocument/2006/relationships/hyperlink" Target="https://www.ncbi.nlm.nih.gov/pubmed/25205257" TargetMode="External"/><Relationship Id="rId54" Type="http://schemas.openxmlformats.org/officeDocument/2006/relationships/hyperlink" Target="https://www.ncbi.nlm.nih.gov/pubmed/?term=Chiriboga%20CA%5BAuthor%5D&amp;cauthor=true&amp;cauthor_uid=28884620" TargetMode="External"/><Relationship Id="rId62" Type="http://schemas.openxmlformats.org/officeDocument/2006/relationships/hyperlink" Target="https://www.ncbi.nlm.nih.gov/pubmed/?term=Johnston%20HM%5BAuthor%5D&amp;cauthor=true&amp;cauthor_uid=22809660" TargetMode="External"/><Relationship Id="rId70" Type="http://schemas.openxmlformats.org/officeDocument/2006/relationships/hyperlink" Target="http://www.ncbi.nlm.nih.gov/pubmed/19287802?ordinalpos=1&amp;itool=EntrezSystem2.PEntrez.Pubmed.Pubmed_ResultsPanel.Pubmed_DefaultReportPanel.Pubmed_RVDocSum" TargetMode="External"/><Relationship Id="rId75" Type="http://schemas.openxmlformats.org/officeDocument/2006/relationships/hyperlink" Target="https://www.ncbi.nlm.nih.gov/pubmed/?term=Nagan%20N%5BAuthor%5D&amp;cauthor=true&amp;cauthor_uid=21811307" TargetMode="External"/><Relationship Id="rId83" Type="http://schemas.openxmlformats.org/officeDocument/2006/relationships/hyperlink" Target="https://www.ncbi.nlm.nih.gov/pubmed/?term=Waldrop%20MA%5BAuthor%5D&amp;cauthor=true&amp;cauthor_uid=31037425" TargetMode="External"/><Relationship Id="rId88" Type="http://schemas.openxmlformats.org/officeDocument/2006/relationships/hyperlink" Target="http://www.nbp.pl/home.aspx?f=/polityka_pieniezna/dokumenty/projekcja_inflacji.html" TargetMode="External"/><Relationship Id="rId91" Type="http://schemas.openxmlformats.org/officeDocument/2006/relationships/hyperlink" Target="http://dx.doi.org/10.12775/JEHS.2023.13.04.007" TargetMode="External"/><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www.ncbi.nlm.nih.gov/pubmed?term=Hinman%20AR%5BAuthor%5D&amp;cauthor=true&amp;cauthor_uid=19369886" TargetMode="External"/><Relationship Id="rId36" Type="http://schemas.openxmlformats.org/officeDocument/2006/relationships/hyperlink" Target="http://www.ncbi.nlm.nih.gov/pubmed?term=Berry%20SA%5BAuthor%5D&amp;cauthor=true&amp;cauthor_uid=21716119" TargetMode="External"/><Relationship Id="rId49" Type="http://schemas.openxmlformats.org/officeDocument/2006/relationships/hyperlink" Target="https://www.ncbi.nlm.nih.gov/pubmed/?term=Boemer%20F%5BAuthor%5D&amp;cauthor=true&amp;cauthor_uid=31486315" TargetMode="External"/><Relationship Id="rId57" Type="http://schemas.openxmlformats.org/officeDocument/2006/relationships/hyperlink" Target="https://www.ncbi.nlm.nih.gov/pubmed/?term=Chiang%20SC%5BAuthor%5D&amp;cauthor=true&amp;cauthor_uid=28711173" TargetMode="External"/><Relationship Id="rId10" Type="http://schemas.openxmlformats.org/officeDocument/2006/relationships/image" Target="media/image3.png"/><Relationship Id="rId31" Type="http://schemas.openxmlformats.org/officeDocument/2006/relationships/hyperlink" Target="http://www.ncbi.nlm.nih.gov/pubmed?term=NDBS%20Business%20Process%20Analysis%20Workgroup%5BCorporate%20Author%5D" TargetMode="External"/><Relationship Id="rId44" Type="http://schemas.openxmlformats.org/officeDocument/2006/relationships/hyperlink" Target="https://www.ncbi.nlm.nih.gov/pubmed/?term=Al-Zaidy%20S%5BAuthor%5D&amp;cauthor=true&amp;cauthor_uid=30548438" TargetMode="External"/><Relationship Id="rId52" Type="http://schemas.openxmlformats.org/officeDocument/2006/relationships/hyperlink" Target="https://www.ncbi.nlm.nih.gov/pubmed/12121035" TargetMode="External"/><Relationship Id="rId60" Type="http://schemas.openxmlformats.org/officeDocument/2006/relationships/hyperlink" Target="https://www.ncbi.nlm.nih.gov/pubmed/?term=Farrar%20MA%5BAuthor%5D&amp;cauthor=true&amp;cauthor_uid=22809660" TargetMode="External"/><Relationship Id="rId65" Type="http://schemas.openxmlformats.org/officeDocument/2006/relationships/hyperlink" Target="https://www.ncbi.nlm.nih.gov/pubmed/?term=Finkel%20RS%5BAuthor%5D&amp;cauthor=true&amp;cauthor_uid=29091570" TargetMode="External"/><Relationship Id="rId73" Type="http://schemas.openxmlformats.org/officeDocument/2006/relationships/hyperlink" Target="https://www.ncbi.nlm.nih.gov/pubmed/?term=eur+j+hum+genet+2012+sugarman" TargetMode="External"/><Relationship Id="rId78" Type="http://schemas.openxmlformats.org/officeDocument/2006/relationships/hyperlink" Target="https://www.ncbi.nlm.nih.gov/pubmed/31594245" TargetMode="External"/><Relationship Id="rId81" Type="http://schemas.openxmlformats.org/officeDocument/2006/relationships/hyperlink" Target="https://www.ncbi.nlm.nih.gov/pubmed/?term=Schwartz%20O%5BAuthor%5D&amp;cauthor=true&amp;cauthor_uid=31594245" TargetMode="External"/><Relationship Id="rId86" Type="http://schemas.openxmlformats.org/officeDocument/2006/relationships/hyperlink" Target="http://demografia.stat.gov.pl/bazademografia/TrwanieZycia.aspx" TargetMode="External"/><Relationship Id="rId94" Type="http://schemas.openxmlformats.org/officeDocument/2006/relationships/hyperlink" Target="https://doi.org/10.3390/genes15070920"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emf"/><Relationship Id="rId39" Type="http://schemas.openxmlformats.org/officeDocument/2006/relationships/hyperlink" Target="http://www.ncbi.nlm.nih.gov/pubmed?term=Kaye%20C%5BAuthor%5D&amp;cauthor=true&amp;cauthor_uid=21716119" TargetMode="External"/><Relationship Id="rId34" Type="http://schemas.openxmlformats.org/officeDocument/2006/relationships/hyperlink" Target="http://www.ncbi.nlm.nih.gov/pubmed?term=Kus%20CA%5BAuthor%5D&amp;cauthor=true&amp;cauthor_uid=21716119" TargetMode="External"/><Relationship Id="rId50" Type="http://schemas.openxmlformats.org/officeDocument/2006/relationships/hyperlink" Target="https://www.ncbi.nlm.nih.gov/pubmed/?term=Caberg%20JH%5BAuthor%5D&amp;cauthor=true&amp;cauthor_uid=31486315" TargetMode="External"/><Relationship Id="rId55" Type="http://schemas.openxmlformats.org/officeDocument/2006/relationships/hyperlink" Target="https://www.ncbi.nlm.nih.gov/pubmed/?term=J+Pediatr+2017%3B+190%3A124-129" TargetMode="External"/><Relationship Id="rId76" Type="http://schemas.openxmlformats.org/officeDocument/2006/relationships/hyperlink" Target="https://www.ncbi.nlm.nih.gov/pubmed/?term=Zhu%20H%5BAuthor%5D&amp;cauthor=true&amp;cauthor_uid=21811307" TargetMode="External"/><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www.ncbi.nlm.nih.gov/pubmed/31607747" TargetMode="External"/><Relationship Id="rId92" Type="http://schemas.openxmlformats.org/officeDocument/2006/relationships/hyperlink" Target="https://doi.org/10.3390/ijns9040068" TargetMode="External"/><Relationship Id="rId2" Type="http://schemas.openxmlformats.org/officeDocument/2006/relationships/numbering" Target="numbering.xml"/><Relationship Id="rId29" Type="http://schemas.openxmlformats.org/officeDocument/2006/relationships/hyperlink" Target="http://www.ncbi.nlm.nih.gov/pubmed?term=Mann%20MY%5BAuthor%5D&amp;cauthor=true&amp;cauthor_uid=19369886" TargetMode="External"/><Relationship Id="rId24" Type="http://schemas.openxmlformats.org/officeDocument/2006/relationships/image" Target="media/image17.emf"/><Relationship Id="rId40" Type="http://schemas.openxmlformats.org/officeDocument/2006/relationships/hyperlink" Target="http://www.ncbi.nlm.nih.gov/pubmed?term=Boyle%20CA%5BAuthor%5D&amp;cauthor=true&amp;cauthor_uid=21716119" TargetMode="External"/><Relationship Id="rId45" Type="http://schemas.openxmlformats.org/officeDocument/2006/relationships/hyperlink" Target="https://www.ncbi.nlm.nih.gov/pubmed/?term=Pickard%20AS%5BAuthor%5D&amp;cauthor=true&amp;cauthor_uid=30548438" TargetMode="External"/><Relationship Id="rId66" Type="http://schemas.openxmlformats.org/officeDocument/2006/relationships/hyperlink" Target="https://www.ncbi.nlm.nih.gov/pubmed/?term=Mercuri%20E%5BAuthor%5D&amp;cauthor=true&amp;cauthor_uid=29091570" TargetMode="External"/><Relationship Id="rId87" Type="http://schemas.openxmlformats.org/officeDocument/2006/relationships/hyperlink" Target="https://www.mpips.gov.pl/wsparcie-dla-rodzin-z-dziecmi/swiadczenia-rodzinne/rodzaje-i-wysokosc-swiadczen-rodzinnych-kryteria-uzyskania-/test-swiadczenia-pielegnacyjne/swiadczenie-pielegnacyjne/" TargetMode="External"/><Relationship Id="rId61" Type="http://schemas.openxmlformats.org/officeDocument/2006/relationships/hyperlink" Target="https://www.ncbi.nlm.nih.gov/pubmed/?term=Vucic%20S%5BAuthor%5D&amp;cauthor=true&amp;cauthor_uid=22809660" TargetMode="External"/><Relationship Id="rId82" Type="http://schemas.openxmlformats.org/officeDocument/2006/relationships/hyperlink" Target="https://www.ncbi.nlm.nih.gov/pubmed/31037425" TargetMode="External"/><Relationship Id="rId19" Type="http://schemas.openxmlformats.org/officeDocument/2006/relationships/image" Target="media/image12.png"/><Relationship Id="rId14" Type="http://schemas.openxmlformats.org/officeDocument/2006/relationships/image" Target="media/image7.jpeg"/><Relationship Id="rId30" Type="http://schemas.openxmlformats.org/officeDocument/2006/relationships/hyperlink" Target="http://www.ncbi.nlm.nih.gov/pubmed?term=Singh%20RH%5BAuthor%5D&amp;cauthor=true&amp;cauthor_uid=19369886" TargetMode="External"/><Relationship Id="rId35" Type="http://schemas.openxmlformats.org/officeDocument/2006/relationships/hyperlink" Target="http://www.ncbi.nlm.nih.gov/pubmed?term=Kemper%20AR%5BAuthor%5D&amp;cauthor=true&amp;cauthor_uid=21716119" TargetMode="External"/><Relationship Id="rId56" Type="http://schemas.openxmlformats.org/officeDocument/2006/relationships/hyperlink" Target="https://www.ncbi.nlm.nih.gov/pubmed/?term=Chien%20YH%5BAuthor%5D&amp;cauthor=true&amp;cauthor_uid=28711173" TargetMode="External"/><Relationship Id="rId77" Type="http://schemas.openxmlformats.org/officeDocument/2006/relationships/hyperlink" Target="https://www.ncbi.nlm.nih.gov/pubmed/?term=Akmaev%20VR%5BAuthor%5D&amp;cauthor=true&amp;cauthor_uid=21811307" TargetMode="External"/><Relationship Id="rId100"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ncbi.nlm.nih.gov/pubmed/?term=Dideberg%20V%5BAuthor%5D&amp;cauthor=true&amp;cauthor_uid=31486315" TargetMode="External"/><Relationship Id="rId72" Type="http://schemas.openxmlformats.org/officeDocument/2006/relationships/hyperlink" Target="https://www.ncbi.nlm.nih.gov/pubmed/29758563" TargetMode="External"/><Relationship Id="rId93" Type="http://schemas.openxmlformats.org/officeDocument/2006/relationships/hyperlink" Target="https://doi.org/10.1007/s10875-022-01352-z" TargetMode="External"/><Relationship Id="rId98"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5171D-A0D8-4FC7-B964-08CE99F23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157</Pages>
  <Words>42335</Words>
  <Characters>254014</Characters>
  <Application>Microsoft Office Word</Application>
  <DocSecurity>0</DocSecurity>
  <Lines>2116</Lines>
  <Paragraphs>591</Paragraphs>
  <ScaleCrop>false</ScaleCrop>
  <HeadingPairs>
    <vt:vector size="2" baseType="variant">
      <vt:variant>
        <vt:lpstr>Tytuł</vt:lpstr>
      </vt:variant>
      <vt:variant>
        <vt:i4>1</vt:i4>
      </vt:variant>
    </vt:vector>
  </HeadingPairs>
  <TitlesOfParts>
    <vt:vector size="1" baseType="lpstr">
      <vt:lpstr>Program polityki zdrowotnej Ministra Zdrowia</vt:lpstr>
    </vt:vector>
  </TitlesOfParts>
  <Company>Hewlett-Packard</Company>
  <LinksUpToDate>false</LinksUpToDate>
  <CharactersWithSpaces>295758</CharactersWithSpaces>
  <SharedDoc>false</SharedDoc>
  <HLinks>
    <vt:vector size="582" baseType="variant">
      <vt:variant>
        <vt:i4>4587529</vt:i4>
      </vt:variant>
      <vt:variant>
        <vt:i4>366</vt:i4>
      </vt:variant>
      <vt:variant>
        <vt:i4>0</vt:i4>
      </vt:variant>
      <vt:variant>
        <vt:i4>5</vt:i4>
      </vt:variant>
      <vt:variant>
        <vt:lpwstr>http://przesiew.imid.med.pl/</vt:lpwstr>
      </vt:variant>
      <vt:variant>
        <vt:lpwstr/>
      </vt:variant>
      <vt:variant>
        <vt:i4>1769496</vt:i4>
      </vt:variant>
      <vt:variant>
        <vt:i4>363</vt:i4>
      </vt:variant>
      <vt:variant>
        <vt:i4>0</vt:i4>
      </vt:variant>
      <vt:variant>
        <vt:i4>5</vt:i4>
      </vt:variant>
      <vt:variant>
        <vt:lpwstr>https://doi.org/10.3390/genes15070920</vt:lpwstr>
      </vt:variant>
      <vt:variant>
        <vt:lpwstr/>
      </vt:variant>
      <vt:variant>
        <vt:i4>6684722</vt:i4>
      </vt:variant>
      <vt:variant>
        <vt:i4>360</vt:i4>
      </vt:variant>
      <vt:variant>
        <vt:i4>0</vt:i4>
      </vt:variant>
      <vt:variant>
        <vt:i4>5</vt:i4>
      </vt:variant>
      <vt:variant>
        <vt:lpwstr>https://doi.org/10.1007/s10875-022-01352-z</vt:lpwstr>
      </vt:variant>
      <vt:variant>
        <vt:lpwstr/>
      </vt:variant>
      <vt:variant>
        <vt:i4>3604579</vt:i4>
      </vt:variant>
      <vt:variant>
        <vt:i4>357</vt:i4>
      </vt:variant>
      <vt:variant>
        <vt:i4>0</vt:i4>
      </vt:variant>
      <vt:variant>
        <vt:i4>5</vt:i4>
      </vt:variant>
      <vt:variant>
        <vt:lpwstr>https://doi.org/10.3390/ijns9040068</vt:lpwstr>
      </vt:variant>
      <vt:variant>
        <vt:lpwstr/>
      </vt:variant>
      <vt:variant>
        <vt:i4>8192100</vt:i4>
      </vt:variant>
      <vt:variant>
        <vt:i4>354</vt:i4>
      </vt:variant>
      <vt:variant>
        <vt:i4>0</vt:i4>
      </vt:variant>
      <vt:variant>
        <vt:i4>5</vt:i4>
      </vt:variant>
      <vt:variant>
        <vt:lpwstr>http://dx.doi.org/10.12775/JEHS.2023.13.04.007</vt:lpwstr>
      </vt:variant>
      <vt:variant>
        <vt:lpwstr/>
      </vt:variant>
      <vt:variant>
        <vt:i4>3735598</vt:i4>
      </vt:variant>
      <vt:variant>
        <vt:i4>351</vt:i4>
      </vt:variant>
      <vt:variant>
        <vt:i4>0</vt:i4>
      </vt:variant>
      <vt:variant>
        <vt:i4>5</vt:i4>
      </vt:variant>
      <vt:variant>
        <vt:lpwstr>https://stat.gov.pl/obszary-tematyczne/roczniki-statystyczne/roczniki-statystyczne/rocznik-demograficzny-2023,3,17.html</vt:lpwstr>
      </vt:variant>
      <vt:variant>
        <vt:lpwstr/>
      </vt:variant>
      <vt:variant>
        <vt:i4>2949241</vt:i4>
      </vt:variant>
      <vt:variant>
        <vt:i4>348</vt:i4>
      </vt:variant>
      <vt:variant>
        <vt:i4>0</vt:i4>
      </vt:variant>
      <vt:variant>
        <vt:i4>5</vt:i4>
      </vt:variant>
      <vt:variant>
        <vt:lpwstr>https://nbp.pl/projekcja-inflacji-i-pkb-listopad-2023/</vt:lpwstr>
      </vt:variant>
      <vt:variant>
        <vt:lpwstr/>
      </vt:variant>
      <vt:variant>
        <vt:i4>6488115</vt:i4>
      </vt:variant>
      <vt:variant>
        <vt:i4>345</vt:i4>
      </vt:variant>
      <vt:variant>
        <vt:i4>0</vt:i4>
      </vt:variant>
      <vt:variant>
        <vt:i4>5</vt:i4>
      </vt:variant>
      <vt:variant>
        <vt:lpwstr>http://www.nbp.pl/home.aspx?f=/polityka_pieniezna/dokumenty/projekcja_inflacji.html</vt:lpwstr>
      </vt:variant>
      <vt:variant>
        <vt:lpwstr/>
      </vt:variant>
      <vt:variant>
        <vt:i4>2031623</vt:i4>
      </vt:variant>
      <vt:variant>
        <vt:i4>342</vt:i4>
      </vt:variant>
      <vt:variant>
        <vt:i4>0</vt:i4>
      </vt:variant>
      <vt:variant>
        <vt:i4>5</vt:i4>
      </vt:variant>
      <vt:variant>
        <vt:lpwstr>https://www.mpips.gov.pl/wsparcie-dla-rodzin-z-dziecmi/swiadczenia-rodzinne/rodzaje-i-wysokosc-swiadczen-rodzinnych-kryteria-uzyskania-/test-swiadczenia-pielegnacyjne/swiadczenie-pielegnacyjne/</vt:lpwstr>
      </vt:variant>
      <vt:variant>
        <vt:lpwstr/>
      </vt:variant>
      <vt:variant>
        <vt:i4>7274533</vt:i4>
      </vt:variant>
      <vt:variant>
        <vt:i4>339</vt:i4>
      </vt:variant>
      <vt:variant>
        <vt:i4>0</vt:i4>
      </vt:variant>
      <vt:variant>
        <vt:i4>5</vt:i4>
      </vt:variant>
      <vt:variant>
        <vt:lpwstr>http://demografia.stat.gov.pl/bazademografia/TrwanieZycia.aspx</vt:lpwstr>
      </vt:variant>
      <vt:variant>
        <vt:lpwstr/>
      </vt:variant>
      <vt:variant>
        <vt:i4>5767183</vt:i4>
      </vt:variant>
      <vt:variant>
        <vt:i4>336</vt:i4>
      </vt:variant>
      <vt:variant>
        <vt:i4>0</vt:i4>
      </vt:variant>
      <vt:variant>
        <vt:i4>5</vt:i4>
      </vt:variant>
      <vt:variant>
        <vt:lpwstr>https://www.healthcouncil.nl/documents/advisory-reports/2019/07/23/neonatal-screening-for-spinal-muscular-atrophy</vt:lpwstr>
      </vt:variant>
      <vt:variant>
        <vt:lpwstr/>
      </vt:variant>
      <vt:variant>
        <vt:i4>589942</vt:i4>
      </vt:variant>
      <vt:variant>
        <vt:i4>333</vt:i4>
      </vt:variant>
      <vt:variant>
        <vt:i4>0</vt:i4>
      </vt:variant>
      <vt:variant>
        <vt:i4>5</vt:i4>
      </vt:variant>
      <vt:variant>
        <vt:lpwstr>https://www.ncbi.nlm.nih.gov/pubmed/?term=Kolb%20SJ%5BAuthor%5D&amp;cauthor=true&amp;cauthor_uid=31037425</vt:lpwstr>
      </vt:variant>
      <vt:variant>
        <vt:lpwstr/>
      </vt:variant>
      <vt:variant>
        <vt:i4>8126554</vt:i4>
      </vt:variant>
      <vt:variant>
        <vt:i4>330</vt:i4>
      </vt:variant>
      <vt:variant>
        <vt:i4>0</vt:i4>
      </vt:variant>
      <vt:variant>
        <vt:i4>5</vt:i4>
      </vt:variant>
      <vt:variant>
        <vt:lpwstr>https://www.ncbi.nlm.nih.gov/pubmed/?term=Waldrop%20MA%5BAuthor%5D&amp;cauthor=true&amp;cauthor_uid=31037425</vt:lpwstr>
      </vt:variant>
      <vt:variant>
        <vt:lpwstr/>
      </vt:variant>
      <vt:variant>
        <vt:i4>852061</vt:i4>
      </vt:variant>
      <vt:variant>
        <vt:i4>327</vt:i4>
      </vt:variant>
      <vt:variant>
        <vt:i4>0</vt:i4>
      </vt:variant>
      <vt:variant>
        <vt:i4>5</vt:i4>
      </vt:variant>
      <vt:variant>
        <vt:lpwstr>https://www.ncbi.nlm.nih.gov/pubmed/31037425</vt:lpwstr>
      </vt:variant>
      <vt:variant>
        <vt:lpwstr/>
      </vt:variant>
      <vt:variant>
        <vt:i4>3080199</vt:i4>
      </vt:variant>
      <vt:variant>
        <vt:i4>324</vt:i4>
      </vt:variant>
      <vt:variant>
        <vt:i4>0</vt:i4>
      </vt:variant>
      <vt:variant>
        <vt:i4>5</vt:i4>
      </vt:variant>
      <vt:variant>
        <vt:lpwstr>https://www.ncbi.nlm.nih.gov/pubmed/?term=Schwartz%20O%5BAuthor%5D&amp;cauthor=true&amp;cauthor_uid=31594245</vt:lpwstr>
      </vt:variant>
      <vt:variant>
        <vt:lpwstr/>
      </vt:variant>
      <vt:variant>
        <vt:i4>2949197</vt:i4>
      </vt:variant>
      <vt:variant>
        <vt:i4>321</vt:i4>
      </vt:variant>
      <vt:variant>
        <vt:i4>0</vt:i4>
      </vt:variant>
      <vt:variant>
        <vt:i4>5</vt:i4>
      </vt:variant>
      <vt:variant>
        <vt:lpwstr>https://www.ncbi.nlm.nih.gov/pubmed/?term=K%C3%B6lbel%20H%5BAuthor%5D&amp;cauthor=true&amp;cauthor_uid=31594245</vt:lpwstr>
      </vt:variant>
      <vt:variant>
        <vt:lpwstr/>
      </vt:variant>
      <vt:variant>
        <vt:i4>3276819</vt:i4>
      </vt:variant>
      <vt:variant>
        <vt:i4>318</vt:i4>
      </vt:variant>
      <vt:variant>
        <vt:i4>0</vt:i4>
      </vt:variant>
      <vt:variant>
        <vt:i4>5</vt:i4>
      </vt:variant>
      <vt:variant>
        <vt:lpwstr>https://www.ncbi.nlm.nih.gov/pubmed/?term=Vill%20K%5BAuthor%5D&amp;cauthor=true&amp;cauthor_uid=31594245</vt:lpwstr>
      </vt:variant>
      <vt:variant>
        <vt:lpwstr/>
      </vt:variant>
      <vt:variant>
        <vt:i4>65629</vt:i4>
      </vt:variant>
      <vt:variant>
        <vt:i4>315</vt:i4>
      </vt:variant>
      <vt:variant>
        <vt:i4>0</vt:i4>
      </vt:variant>
      <vt:variant>
        <vt:i4>5</vt:i4>
      </vt:variant>
      <vt:variant>
        <vt:lpwstr>https://www.ncbi.nlm.nih.gov/pubmed/31594245</vt:lpwstr>
      </vt:variant>
      <vt:variant>
        <vt:lpwstr/>
      </vt:variant>
      <vt:variant>
        <vt:i4>7340037</vt:i4>
      </vt:variant>
      <vt:variant>
        <vt:i4>312</vt:i4>
      </vt:variant>
      <vt:variant>
        <vt:i4>0</vt:i4>
      </vt:variant>
      <vt:variant>
        <vt:i4>5</vt:i4>
      </vt:variant>
      <vt:variant>
        <vt:lpwstr>https://www.ncbi.nlm.nih.gov/pubmed/?term=Akmaev%20VR%5BAuthor%5D&amp;cauthor=true&amp;cauthor_uid=21811307</vt:lpwstr>
      </vt:variant>
      <vt:variant>
        <vt:lpwstr/>
      </vt:variant>
      <vt:variant>
        <vt:i4>3473502</vt:i4>
      </vt:variant>
      <vt:variant>
        <vt:i4>309</vt:i4>
      </vt:variant>
      <vt:variant>
        <vt:i4>0</vt:i4>
      </vt:variant>
      <vt:variant>
        <vt:i4>5</vt:i4>
      </vt:variant>
      <vt:variant>
        <vt:lpwstr>https://www.ncbi.nlm.nih.gov/pubmed/?term=Zhu%20H%5BAuthor%5D&amp;cauthor=true&amp;cauthor_uid=21811307</vt:lpwstr>
      </vt:variant>
      <vt:variant>
        <vt:lpwstr/>
      </vt:variant>
      <vt:variant>
        <vt:i4>6094896</vt:i4>
      </vt:variant>
      <vt:variant>
        <vt:i4>306</vt:i4>
      </vt:variant>
      <vt:variant>
        <vt:i4>0</vt:i4>
      </vt:variant>
      <vt:variant>
        <vt:i4>5</vt:i4>
      </vt:variant>
      <vt:variant>
        <vt:lpwstr>https://www.ncbi.nlm.nih.gov/pubmed/?term=Nagan%20N%5BAuthor%5D&amp;cauthor=true&amp;cauthor_uid=21811307</vt:lpwstr>
      </vt:variant>
      <vt:variant>
        <vt:lpwstr/>
      </vt:variant>
      <vt:variant>
        <vt:i4>524408</vt:i4>
      </vt:variant>
      <vt:variant>
        <vt:i4>303</vt:i4>
      </vt:variant>
      <vt:variant>
        <vt:i4>0</vt:i4>
      </vt:variant>
      <vt:variant>
        <vt:i4>5</vt:i4>
      </vt:variant>
      <vt:variant>
        <vt:lpwstr>https://www.ncbi.nlm.nih.gov/pubmed/?term=Sugarman%20EA%5BAuthor%5D&amp;cauthor=true&amp;cauthor_uid=21811307</vt:lpwstr>
      </vt:variant>
      <vt:variant>
        <vt:lpwstr/>
      </vt:variant>
      <vt:variant>
        <vt:i4>3145784</vt:i4>
      </vt:variant>
      <vt:variant>
        <vt:i4>300</vt:i4>
      </vt:variant>
      <vt:variant>
        <vt:i4>0</vt:i4>
      </vt:variant>
      <vt:variant>
        <vt:i4>5</vt:i4>
      </vt:variant>
      <vt:variant>
        <vt:lpwstr>https://www.ncbi.nlm.nih.gov/pubmed/?term=eur+j+hum+genet+2012+sugarman</vt:lpwstr>
      </vt:variant>
      <vt:variant>
        <vt:lpwstr/>
      </vt:variant>
      <vt:variant>
        <vt:i4>262224</vt:i4>
      </vt:variant>
      <vt:variant>
        <vt:i4>297</vt:i4>
      </vt:variant>
      <vt:variant>
        <vt:i4>0</vt:i4>
      </vt:variant>
      <vt:variant>
        <vt:i4>5</vt:i4>
      </vt:variant>
      <vt:variant>
        <vt:lpwstr>https://www.ncbi.nlm.nih.gov/pubmed/29758563</vt:lpwstr>
      </vt:variant>
      <vt:variant>
        <vt:lpwstr/>
      </vt:variant>
      <vt:variant>
        <vt:i4>983133</vt:i4>
      </vt:variant>
      <vt:variant>
        <vt:i4>294</vt:i4>
      </vt:variant>
      <vt:variant>
        <vt:i4>0</vt:i4>
      </vt:variant>
      <vt:variant>
        <vt:i4>5</vt:i4>
      </vt:variant>
      <vt:variant>
        <vt:lpwstr>https://www.ncbi.nlm.nih.gov/pubmed/31607747</vt:lpwstr>
      </vt:variant>
      <vt:variant>
        <vt:lpwstr/>
      </vt:variant>
      <vt:variant>
        <vt:i4>5898358</vt:i4>
      </vt:variant>
      <vt:variant>
        <vt:i4>291</vt:i4>
      </vt:variant>
      <vt:variant>
        <vt:i4>0</vt:i4>
      </vt:variant>
      <vt:variant>
        <vt:i4>5</vt:i4>
      </vt:variant>
      <vt:variant>
        <vt:lpwstr>http://www.ncbi.nlm.nih.gov/pubmed/19287802?ordinalpos=1&amp;itool=EntrezSystem2.PEntrez.Pubmed.Pubmed_ResultsPanel.Pubmed_DefaultReportPanel.Pubmed_RVDocSum</vt:lpwstr>
      </vt:variant>
      <vt:variant>
        <vt:lpwstr/>
      </vt:variant>
      <vt:variant>
        <vt:i4>589904</vt:i4>
      </vt:variant>
      <vt:variant>
        <vt:i4>288</vt:i4>
      </vt:variant>
      <vt:variant>
        <vt:i4>0</vt:i4>
      </vt:variant>
      <vt:variant>
        <vt:i4>5</vt:i4>
      </vt:variant>
      <vt:variant>
        <vt:lpwstr>https://www.ncbi.nlm.nih.gov/pubmed/24844453</vt:lpwstr>
      </vt:variant>
      <vt:variant>
        <vt:lpwstr/>
      </vt:variant>
      <vt:variant>
        <vt:i4>851978</vt:i4>
      </vt:variant>
      <vt:variant>
        <vt:i4>285</vt:i4>
      </vt:variant>
      <vt:variant>
        <vt:i4>0</vt:i4>
      </vt:variant>
      <vt:variant>
        <vt:i4>5</vt:i4>
      </vt:variant>
      <vt:variant>
        <vt:lpwstr>https://www.ncbi.nlm.nih.gov/pubmed/?term=ENDEAR%20Study%20Group%5BCorporate%20Author%5D</vt:lpwstr>
      </vt:variant>
      <vt:variant>
        <vt:lpwstr/>
      </vt:variant>
      <vt:variant>
        <vt:i4>7798811</vt:i4>
      </vt:variant>
      <vt:variant>
        <vt:i4>282</vt:i4>
      </vt:variant>
      <vt:variant>
        <vt:i4>0</vt:i4>
      </vt:variant>
      <vt:variant>
        <vt:i4>5</vt:i4>
      </vt:variant>
      <vt:variant>
        <vt:lpwstr>https://www.ncbi.nlm.nih.gov/pubmed/?term=Darras%20BT%5BAuthor%5D&amp;cauthor=true&amp;cauthor_uid=29091570</vt:lpwstr>
      </vt:variant>
      <vt:variant>
        <vt:lpwstr/>
      </vt:variant>
      <vt:variant>
        <vt:i4>2490457</vt:i4>
      </vt:variant>
      <vt:variant>
        <vt:i4>279</vt:i4>
      </vt:variant>
      <vt:variant>
        <vt:i4>0</vt:i4>
      </vt:variant>
      <vt:variant>
        <vt:i4>5</vt:i4>
      </vt:variant>
      <vt:variant>
        <vt:lpwstr>https://www.ncbi.nlm.nih.gov/pubmed/?term=Mercuri%20E%5BAuthor%5D&amp;cauthor=true&amp;cauthor_uid=29091570</vt:lpwstr>
      </vt:variant>
      <vt:variant>
        <vt:lpwstr/>
      </vt:variant>
      <vt:variant>
        <vt:i4>6881286</vt:i4>
      </vt:variant>
      <vt:variant>
        <vt:i4>276</vt:i4>
      </vt:variant>
      <vt:variant>
        <vt:i4>0</vt:i4>
      </vt:variant>
      <vt:variant>
        <vt:i4>5</vt:i4>
      </vt:variant>
      <vt:variant>
        <vt:lpwstr>https://www.ncbi.nlm.nih.gov/pubmed/?term=Finkel%20RS%5BAuthor%5D&amp;cauthor=true&amp;cauthor_uid=29091570</vt:lpwstr>
      </vt:variant>
      <vt:variant>
        <vt:lpwstr/>
      </vt:variant>
      <vt:variant>
        <vt:i4>720991</vt:i4>
      </vt:variant>
      <vt:variant>
        <vt:i4>273</vt:i4>
      </vt:variant>
      <vt:variant>
        <vt:i4>0</vt:i4>
      </vt:variant>
      <vt:variant>
        <vt:i4>5</vt:i4>
      </vt:variant>
      <vt:variant>
        <vt:lpwstr>https://www.ncbi.nlm.nih.gov/pubmed/29091570</vt:lpwstr>
      </vt:variant>
      <vt:variant>
        <vt:lpwstr/>
      </vt:variant>
      <vt:variant>
        <vt:i4>983128</vt:i4>
      </vt:variant>
      <vt:variant>
        <vt:i4>270</vt:i4>
      </vt:variant>
      <vt:variant>
        <vt:i4>0</vt:i4>
      </vt:variant>
      <vt:variant>
        <vt:i4>5</vt:i4>
      </vt:variant>
      <vt:variant>
        <vt:lpwstr>https://www.ncbi.nlm.nih.gov/pubmed/25080519</vt:lpwstr>
      </vt:variant>
      <vt:variant>
        <vt:lpwstr/>
      </vt:variant>
      <vt:variant>
        <vt:i4>458858</vt:i4>
      </vt:variant>
      <vt:variant>
        <vt:i4>267</vt:i4>
      </vt:variant>
      <vt:variant>
        <vt:i4>0</vt:i4>
      </vt:variant>
      <vt:variant>
        <vt:i4>5</vt:i4>
      </vt:variant>
      <vt:variant>
        <vt:lpwstr>https://www.ncbi.nlm.nih.gov/pubmed/?term=Johnston%20HM%5BAuthor%5D&amp;cauthor=true&amp;cauthor_uid=22809660</vt:lpwstr>
      </vt:variant>
      <vt:variant>
        <vt:lpwstr/>
      </vt:variant>
      <vt:variant>
        <vt:i4>5177403</vt:i4>
      </vt:variant>
      <vt:variant>
        <vt:i4>264</vt:i4>
      </vt:variant>
      <vt:variant>
        <vt:i4>0</vt:i4>
      </vt:variant>
      <vt:variant>
        <vt:i4>5</vt:i4>
      </vt:variant>
      <vt:variant>
        <vt:lpwstr>https://www.ncbi.nlm.nih.gov/pubmed/?term=Vucic%20S%5BAuthor%5D&amp;cauthor=true&amp;cauthor_uid=22809660</vt:lpwstr>
      </vt:variant>
      <vt:variant>
        <vt:lpwstr/>
      </vt:variant>
      <vt:variant>
        <vt:i4>7864333</vt:i4>
      </vt:variant>
      <vt:variant>
        <vt:i4>261</vt:i4>
      </vt:variant>
      <vt:variant>
        <vt:i4>0</vt:i4>
      </vt:variant>
      <vt:variant>
        <vt:i4>5</vt:i4>
      </vt:variant>
      <vt:variant>
        <vt:lpwstr>https://www.ncbi.nlm.nih.gov/pubmed/?term=Farrar%20MA%5BAuthor%5D&amp;cauthor=true&amp;cauthor_uid=22809660</vt:lpwstr>
      </vt:variant>
      <vt:variant>
        <vt:lpwstr/>
      </vt:variant>
      <vt:variant>
        <vt:i4>1114178</vt:i4>
      </vt:variant>
      <vt:variant>
        <vt:i4>258</vt:i4>
      </vt:variant>
      <vt:variant>
        <vt:i4>0</vt:i4>
      </vt:variant>
      <vt:variant>
        <vt:i4>5</vt:i4>
      </vt:variant>
      <vt:variant>
        <vt:lpwstr>https://www.ncbi.nlm.nih.gov/pubmed/?term=farrar+2013+sma</vt:lpwstr>
      </vt:variant>
      <vt:variant>
        <vt:lpwstr/>
      </vt:variant>
      <vt:variant>
        <vt:i4>458863</vt:i4>
      </vt:variant>
      <vt:variant>
        <vt:i4>255</vt:i4>
      </vt:variant>
      <vt:variant>
        <vt:i4>0</vt:i4>
      </vt:variant>
      <vt:variant>
        <vt:i4>5</vt:i4>
      </vt:variant>
      <vt:variant>
        <vt:lpwstr>https://www.ncbi.nlm.nih.gov/pubmed/?term=Weng%20WC%5BAuthor%5D&amp;cauthor=true&amp;cauthor_uid=28711173</vt:lpwstr>
      </vt:variant>
      <vt:variant>
        <vt:lpwstr/>
      </vt:variant>
      <vt:variant>
        <vt:i4>7274514</vt:i4>
      </vt:variant>
      <vt:variant>
        <vt:i4>252</vt:i4>
      </vt:variant>
      <vt:variant>
        <vt:i4>0</vt:i4>
      </vt:variant>
      <vt:variant>
        <vt:i4>5</vt:i4>
      </vt:variant>
      <vt:variant>
        <vt:lpwstr>https://www.ncbi.nlm.nih.gov/pubmed/?term=Chiang%20SC%5BAuthor%5D&amp;cauthor=true&amp;cauthor_uid=28711173</vt:lpwstr>
      </vt:variant>
      <vt:variant>
        <vt:lpwstr/>
      </vt:variant>
      <vt:variant>
        <vt:i4>1703990</vt:i4>
      </vt:variant>
      <vt:variant>
        <vt:i4>249</vt:i4>
      </vt:variant>
      <vt:variant>
        <vt:i4>0</vt:i4>
      </vt:variant>
      <vt:variant>
        <vt:i4>5</vt:i4>
      </vt:variant>
      <vt:variant>
        <vt:lpwstr>https://www.ncbi.nlm.nih.gov/pubmed/?term=Chien%20YH%5BAuthor%5D&amp;cauthor=true&amp;cauthor_uid=28711173</vt:lpwstr>
      </vt:variant>
      <vt:variant>
        <vt:lpwstr/>
      </vt:variant>
      <vt:variant>
        <vt:i4>131139</vt:i4>
      </vt:variant>
      <vt:variant>
        <vt:i4>246</vt:i4>
      </vt:variant>
      <vt:variant>
        <vt:i4>0</vt:i4>
      </vt:variant>
      <vt:variant>
        <vt:i4>5</vt:i4>
      </vt:variant>
      <vt:variant>
        <vt:lpwstr>https://www.ncbi.nlm.nih.gov/pubmed/?term=J+Pediatr+2017%3B+190%3A124-129</vt:lpwstr>
      </vt:variant>
      <vt:variant>
        <vt:lpwstr/>
      </vt:variant>
      <vt:variant>
        <vt:i4>786474</vt:i4>
      </vt:variant>
      <vt:variant>
        <vt:i4>243</vt:i4>
      </vt:variant>
      <vt:variant>
        <vt:i4>0</vt:i4>
      </vt:variant>
      <vt:variant>
        <vt:i4>5</vt:i4>
      </vt:variant>
      <vt:variant>
        <vt:lpwstr>https://www.ncbi.nlm.nih.gov/pubmed/?term=Chiriboga%20CA%5BAuthor%5D&amp;cauthor=true&amp;cauthor_uid=28884620</vt:lpwstr>
      </vt:variant>
      <vt:variant>
        <vt:lpwstr/>
      </vt:variant>
      <vt:variant>
        <vt:i4>524375</vt:i4>
      </vt:variant>
      <vt:variant>
        <vt:i4>240</vt:i4>
      </vt:variant>
      <vt:variant>
        <vt:i4>0</vt:i4>
      </vt:variant>
      <vt:variant>
        <vt:i4>5</vt:i4>
      </vt:variant>
      <vt:variant>
        <vt:lpwstr>https://www.ncbi.nlm.nih.gov/pubmed/28884620</vt:lpwstr>
      </vt:variant>
      <vt:variant>
        <vt:lpwstr/>
      </vt:variant>
      <vt:variant>
        <vt:i4>720985</vt:i4>
      </vt:variant>
      <vt:variant>
        <vt:i4>237</vt:i4>
      </vt:variant>
      <vt:variant>
        <vt:i4>0</vt:i4>
      </vt:variant>
      <vt:variant>
        <vt:i4>5</vt:i4>
      </vt:variant>
      <vt:variant>
        <vt:lpwstr>https://www.ncbi.nlm.nih.gov/pubmed/12121035</vt:lpwstr>
      </vt:variant>
      <vt:variant>
        <vt:lpwstr/>
      </vt:variant>
      <vt:variant>
        <vt:i4>2359327</vt:i4>
      </vt:variant>
      <vt:variant>
        <vt:i4>234</vt:i4>
      </vt:variant>
      <vt:variant>
        <vt:i4>0</vt:i4>
      </vt:variant>
      <vt:variant>
        <vt:i4>5</vt:i4>
      </vt:variant>
      <vt:variant>
        <vt:lpwstr>https://www.ncbi.nlm.nih.gov/pubmed/?term=Dideberg%20V%5BAuthor%5D&amp;cauthor=true&amp;cauthor_uid=31486315</vt:lpwstr>
      </vt:variant>
      <vt:variant>
        <vt:lpwstr/>
      </vt:variant>
      <vt:variant>
        <vt:i4>7864332</vt:i4>
      </vt:variant>
      <vt:variant>
        <vt:i4>231</vt:i4>
      </vt:variant>
      <vt:variant>
        <vt:i4>0</vt:i4>
      </vt:variant>
      <vt:variant>
        <vt:i4>5</vt:i4>
      </vt:variant>
      <vt:variant>
        <vt:lpwstr>https://www.ncbi.nlm.nih.gov/pubmed/?term=Caberg%20JH%5BAuthor%5D&amp;cauthor=true&amp;cauthor_uid=31486315</vt:lpwstr>
      </vt:variant>
      <vt:variant>
        <vt:lpwstr/>
      </vt:variant>
      <vt:variant>
        <vt:i4>4849773</vt:i4>
      </vt:variant>
      <vt:variant>
        <vt:i4>228</vt:i4>
      </vt:variant>
      <vt:variant>
        <vt:i4>0</vt:i4>
      </vt:variant>
      <vt:variant>
        <vt:i4>5</vt:i4>
      </vt:variant>
      <vt:variant>
        <vt:lpwstr>https://www.ncbi.nlm.nih.gov/pubmed/?term=Boemer%20F%5BAuthor%5D&amp;cauthor=true&amp;cauthor_uid=31486315</vt:lpwstr>
      </vt:variant>
      <vt:variant>
        <vt:lpwstr/>
      </vt:variant>
      <vt:variant>
        <vt:i4>5046345</vt:i4>
      </vt:variant>
      <vt:variant>
        <vt:i4>225</vt:i4>
      </vt:variant>
      <vt:variant>
        <vt:i4>0</vt:i4>
      </vt:variant>
      <vt:variant>
        <vt:i4>5</vt:i4>
      </vt:variant>
      <vt:variant>
        <vt:lpwstr>https://www.ncbi.nlm.nih.gov/pubmed/?term=Rev+Med+Liege+2019%3A+74(9)%3A+461-464</vt:lpwstr>
      </vt:variant>
      <vt:variant>
        <vt:lpwstr/>
      </vt:variant>
      <vt:variant>
        <vt:i4>196688</vt:i4>
      </vt:variant>
      <vt:variant>
        <vt:i4>222</vt:i4>
      </vt:variant>
      <vt:variant>
        <vt:i4>0</vt:i4>
      </vt:variant>
      <vt:variant>
        <vt:i4>5</vt:i4>
      </vt:variant>
      <vt:variant>
        <vt:lpwstr>https://www.ncbi.nlm.nih.gov/pubmed/17449977</vt:lpwstr>
      </vt:variant>
      <vt:variant>
        <vt:lpwstr/>
      </vt:variant>
      <vt:variant>
        <vt:i4>6029359</vt:i4>
      </vt:variant>
      <vt:variant>
        <vt:i4>219</vt:i4>
      </vt:variant>
      <vt:variant>
        <vt:i4>0</vt:i4>
      </vt:variant>
      <vt:variant>
        <vt:i4>5</vt:i4>
      </vt:variant>
      <vt:variant>
        <vt:lpwstr>https://www.ncbi.nlm.nih.gov/pubmed/?term=Kotha%20K%5BAuthor%5D&amp;cauthor=true&amp;cauthor_uid=30548438</vt:lpwstr>
      </vt:variant>
      <vt:variant>
        <vt:lpwstr/>
      </vt:variant>
      <vt:variant>
        <vt:i4>8323154</vt:i4>
      </vt:variant>
      <vt:variant>
        <vt:i4>216</vt:i4>
      </vt:variant>
      <vt:variant>
        <vt:i4>0</vt:i4>
      </vt:variant>
      <vt:variant>
        <vt:i4>5</vt:i4>
      </vt:variant>
      <vt:variant>
        <vt:lpwstr>https://www.ncbi.nlm.nih.gov/pubmed/?term=Pickard%20AS%5BAuthor%5D&amp;cauthor=true&amp;cauthor_uid=30548438</vt:lpwstr>
      </vt:variant>
      <vt:variant>
        <vt:lpwstr/>
      </vt:variant>
      <vt:variant>
        <vt:i4>3014731</vt:i4>
      </vt:variant>
      <vt:variant>
        <vt:i4>213</vt:i4>
      </vt:variant>
      <vt:variant>
        <vt:i4>0</vt:i4>
      </vt:variant>
      <vt:variant>
        <vt:i4>5</vt:i4>
      </vt:variant>
      <vt:variant>
        <vt:lpwstr>https://www.ncbi.nlm.nih.gov/pubmed/?term=Al-Zaidy%20S%5BAuthor%5D&amp;cauthor=true&amp;cauthor_uid=30548438</vt:lpwstr>
      </vt:variant>
      <vt:variant>
        <vt:lpwstr/>
      </vt:variant>
      <vt:variant>
        <vt:i4>393302</vt:i4>
      </vt:variant>
      <vt:variant>
        <vt:i4>210</vt:i4>
      </vt:variant>
      <vt:variant>
        <vt:i4>0</vt:i4>
      </vt:variant>
      <vt:variant>
        <vt:i4>5</vt:i4>
      </vt:variant>
      <vt:variant>
        <vt:lpwstr>https://www.ncbi.nlm.nih.gov/pubmed/30548438</vt:lpwstr>
      </vt:variant>
      <vt:variant>
        <vt:lpwstr/>
      </vt:variant>
      <vt:variant>
        <vt:i4>458838</vt:i4>
      </vt:variant>
      <vt:variant>
        <vt:i4>207</vt:i4>
      </vt:variant>
      <vt:variant>
        <vt:i4>0</vt:i4>
      </vt:variant>
      <vt:variant>
        <vt:i4>5</vt:i4>
      </vt:variant>
      <vt:variant>
        <vt:lpwstr>https://www.ncbi.nlm.nih.gov/pubmed/26689403</vt:lpwstr>
      </vt:variant>
      <vt:variant>
        <vt:lpwstr/>
      </vt:variant>
      <vt:variant>
        <vt:i4>917595</vt:i4>
      </vt:variant>
      <vt:variant>
        <vt:i4>204</vt:i4>
      </vt:variant>
      <vt:variant>
        <vt:i4>0</vt:i4>
      </vt:variant>
      <vt:variant>
        <vt:i4>5</vt:i4>
      </vt:variant>
      <vt:variant>
        <vt:lpwstr>https://www.ncbi.nlm.nih.gov/pubmed/25205257</vt:lpwstr>
      </vt:variant>
      <vt:variant>
        <vt:lpwstr/>
      </vt:variant>
      <vt:variant>
        <vt:i4>2097237</vt:i4>
      </vt:variant>
      <vt:variant>
        <vt:i4>201</vt:i4>
      </vt:variant>
      <vt:variant>
        <vt:i4>0</vt:i4>
      </vt:variant>
      <vt:variant>
        <vt:i4>5</vt:i4>
      </vt:variant>
      <vt:variant>
        <vt:lpwstr>http://www.ncbi.nlm.nih.gov/pubmed?term=Boyle%20CA%5BAuthor%5D&amp;cauthor=true&amp;cauthor_uid=21716119</vt:lpwstr>
      </vt:variant>
      <vt:variant>
        <vt:lpwstr/>
      </vt:variant>
      <vt:variant>
        <vt:i4>131197</vt:i4>
      </vt:variant>
      <vt:variant>
        <vt:i4>198</vt:i4>
      </vt:variant>
      <vt:variant>
        <vt:i4>0</vt:i4>
      </vt:variant>
      <vt:variant>
        <vt:i4>5</vt:i4>
      </vt:variant>
      <vt:variant>
        <vt:lpwstr>http://www.ncbi.nlm.nih.gov/pubmed?term=Kaye%20C%5BAuthor%5D&amp;cauthor=true&amp;cauthor_uid=21716119</vt:lpwstr>
      </vt:variant>
      <vt:variant>
        <vt:lpwstr/>
      </vt:variant>
      <vt:variant>
        <vt:i4>1048619</vt:i4>
      </vt:variant>
      <vt:variant>
        <vt:i4>195</vt:i4>
      </vt:variant>
      <vt:variant>
        <vt:i4>0</vt:i4>
      </vt:variant>
      <vt:variant>
        <vt:i4>5</vt:i4>
      </vt:variant>
      <vt:variant>
        <vt:lpwstr>http://www.ncbi.nlm.nih.gov/pubmed?term=Luedtke%20J%5BAuthor%5D&amp;cauthor=true&amp;cauthor_uid=21716119</vt:lpwstr>
      </vt:variant>
      <vt:variant>
        <vt:lpwstr/>
      </vt:variant>
      <vt:variant>
        <vt:i4>7209042</vt:i4>
      </vt:variant>
      <vt:variant>
        <vt:i4>192</vt:i4>
      </vt:variant>
      <vt:variant>
        <vt:i4>0</vt:i4>
      </vt:variant>
      <vt:variant>
        <vt:i4>5</vt:i4>
      </vt:variant>
      <vt:variant>
        <vt:lpwstr>http://www.ncbi.nlm.nih.gov/pubmed?term=Levy-Fisch%20J%5BAuthor%5D&amp;cauthor=true&amp;cauthor_uid=21716119</vt:lpwstr>
      </vt:variant>
      <vt:variant>
        <vt:lpwstr/>
      </vt:variant>
      <vt:variant>
        <vt:i4>3407954</vt:i4>
      </vt:variant>
      <vt:variant>
        <vt:i4>189</vt:i4>
      </vt:variant>
      <vt:variant>
        <vt:i4>0</vt:i4>
      </vt:variant>
      <vt:variant>
        <vt:i4>5</vt:i4>
      </vt:variant>
      <vt:variant>
        <vt:lpwstr>http://www.ncbi.nlm.nih.gov/pubmed?term=Berry%20SA%5BAuthor%5D&amp;cauthor=true&amp;cauthor_uid=21716119</vt:lpwstr>
      </vt:variant>
      <vt:variant>
        <vt:lpwstr/>
      </vt:variant>
      <vt:variant>
        <vt:i4>4915311</vt:i4>
      </vt:variant>
      <vt:variant>
        <vt:i4>186</vt:i4>
      </vt:variant>
      <vt:variant>
        <vt:i4>0</vt:i4>
      </vt:variant>
      <vt:variant>
        <vt:i4>5</vt:i4>
      </vt:variant>
      <vt:variant>
        <vt:lpwstr>http://www.ncbi.nlm.nih.gov/pubmed?term=Kemper%20AR%5BAuthor%5D&amp;cauthor=true&amp;cauthor_uid=21716119</vt:lpwstr>
      </vt:variant>
      <vt:variant>
        <vt:lpwstr/>
      </vt:variant>
      <vt:variant>
        <vt:i4>5636147</vt:i4>
      </vt:variant>
      <vt:variant>
        <vt:i4>183</vt:i4>
      </vt:variant>
      <vt:variant>
        <vt:i4>0</vt:i4>
      </vt:variant>
      <vt:variant>
        <vt:i4>5</vt:i4>
      </vt:variant>
      <vt:variant>
        <vt:lpwstr>http://www.ncbi.nlm.nih.gov/pubmed?term=Kus%20CA%5BAuthor%5D&amp;cauthor=true&amp;cauthor_uid=21716119</vt:lpwstr>
      </vt:variant>
      <vt:variant>
        <vt:lpwstr/>
      </vt:variant>
      <vt:variant>
        <vt:i4>7798787</vt:i4>
      </vt:variant>
      <vt:variant>
        <vt:i4>180</vt:i4>
      </vt:variant>
      <vt:variant>
        <vt:i4>0</vt:i4>
      </vt:variant>
      <vt:variant>
        <vt:i4>5</vt:i4>
      </vt:variant>
      <vt:variant>
        <vt:lpwstr>http://www.ncbi.nlm.nih.gov/pubmed?term=Feuchtbaum%20L%5BAuthor%5D&amp;cauthor=true&amp;cauthor_uid=21716119</vt:lpwstr>
      </vt:variant>
      <vt:variant>
        <vt:lpwstr/>
      </vt:variant>
      <vt:variant>
        <vt:i4>6094961</vt:i4>
      </vt:variant>
      <vt:variant>
        <vt:i4>177</vt:i4>
      </vt:variant>
      <vt:variant>
        <vt:i4>0</vt:i4>
      </vt:variant>
      <vt:variant>
        <vt:i4>5</vt:i4>
      </vt:variant>
      <vt:variant>
        <vt:lpwstr>http://www.ncbi.nlm.nih.gov/pubmed?term=Hinton%20CF%5BAuthor%5D&amp;cauthor=true&amp;cauthor_uid=21716119</vt:lpwstr>
      </vt:variant>
      <vt:variant>
        <vt:lpwstr/>
      </vt:variant>
      <vt:variant>
        <vt:i4>4915203</vt:i4>
      </vt:variant>
      <vt:variant>
        <vt:i4>174</vt:i4>
      </vt:variant>
      <vt:variant>
        <vt:i4>0</vt:i4>
      </vt:variant>
      <vt:variant>
        <vt:i4>5</vt:i4>
      </vt:variant>
      <vt:variant>
        <vt:lpwstr>http://www.ncbi.nlm.nih.gov/pubmed?term=NDBS%20Business%20Process%20Analysis%20Workgroup%5BCorporate%20Author%5D</vt:lpwstr>
      </vt:variant>
      <vt:variant>
        <vt:lpwstr/>
      </vt:variant>
      <vt:variant>
        <vt:i4>2949198</vt:i4>
      </vt:variant>
      <vt:variant>
        <vt:i4>171</vt:i4>
      </vt:variant>
      <vt:variant>
        <vt:i4>0</vt:i4>
      </vt:variant>
      <vt:variant>
        <vt:i4>5</vt:i4>
      </vt:variant>
      <vt:variant>
        <vt:lpwstr>http://www.ncbi.nlm.nih.gov/pubmed?term=Singh%20RH%5BAuthor%5D&amp;cauthor=true&amp;cauthor_uid=19369886</vt:lpwstr>
      </vt:variant>
      <vt:variant>
        <vt:lpwstr/>
      </vt:variant>
      <vt:variant>
        <vt:i4>3014658</vt:i4>
      </vt:variant>
      <vt:variant>
        <vt:i4>168</vt:i4>
      </vt:variant>
      <vt:variant>
        <vt:i4>0</vt:i4>
      </vt:variant>
      <vt:variant>
        <vt:i4>5</vt:i4>
      </vt:variant>
      <vt:variant>
        <vt:lpwstr>http://www.ncbi.nlm.nih.gov/pubmed?term=Mann%20MY%5BAuthor%5D&amp;cauthor=true&amp;cauthor_uid=19369886</vt:lpwstr>
      </vt:variant>
      <vt:variant>
        <vt:lpwstr/>
      </vt:variant>
      <vt:variant>
        <vt:i4>4653165</vt:i4>
      </vt:variant>
      <vt:variant>
        <vt:i4>165</vt:i4>
      </vt:variant>
      <vt:variant>
        <vt:i4>0</vt:i4>
      </vt:variant>
      <vt:variant>
        <vt:i4>5</vt:i4>
      </vt:variant>
      <vt:variant>
        <vt:lpwstr>http://www.ncbi.nlm.nih.gov/pubmed?term=Hinman%20AR%5BAuthor%5D&amp;cauthor=true&amp;cauthor_uid=19369886</vt:lpwstr>
      </vt:variant>
      <vt:variant>
        <vt:lpwstr/>
      </vt:variant>
      <vt:variant>
        <vt:i4>3342369</vt:i4>
      </vt:variant>
      <vt:variant>
        <vt:i4>162</vt:i4>
      </vt:variant>
      <vt:variant>
        <vt:i4>0</vt:i4>
      </vt:variant>
      <vt:variant>
        <vt:i4>5</vt:i4>
      </vt:variant>
      <vt:variant>
        <vt:lpwstr>http://www.ncbi.nlm.nih.gov/pubmed/19369886</vt:lpwstr>
      </vt:variant>
      <vt:variant>
        <vt:lpwstr/>
      </vt:variant>
      <vt:variant>
        <vt:i4>3014709</vt:i4>
      </vt:variant>
      <vt:variant>
        <vt:i4>159</vt:i4>
      </vt:variant>
      <vt:variant>
        <vt:i4>0</vt:i4>
      </vt:variant>
      <vt:variant>
        <vt:i4>5</vt:i4>
      </vt:variant>
      <vt:variant>
        <vt:lpwstr>http://www.ommbid.com/</vt:lpwstr>
      </vt:variant>
      <vt:variant>
        <vt:lpwstr/>
      </vt:variant>
      <vt:variant>
        <vt:i4>1310773</vt:i4>
      </vt:variant>
      <vt:variant>
        <vt:i4>152</vt:i4>
      </vt:variant>
      <vt:variant>
        <vt:i4>0</vt:i4>
      </vt:variant>
      <vt:variant>
        <vt:i4>5</vt:i4>
      </vt:variant>
      <vt:variant>
        <vt:lpwstr/>
      </vt:variant>
      <vt:variant>
        <vt:lpwstr>_Toc514072300</vt:lpwstr>
      </vt:variant>
      <vt:variant>
        <vt:i4>1900596</vt:i4>
      </vt:variant>
      <vt:variant>
        <vt:i4>146</vt:i4>
      </vt:variant>
      <vt:variant>
        <vt:i4>0</vt:i4>
      </vt:variant>
      <vt:variant>
        <vt:i4>5</vt:i4>
      </vt:variant>
      <vt:variant>
        <vt:lpwstr/>
      </vt:variant>
      <vt:variant>
        <vt:lpwstr>_Toc514072299</vt:lpwstr>
      </vt:variant>
      <vt:variant>
        <vt:i4>9895975</vt:i4>
      </vt:variant>
      <vt:variant>
        <vt:i4>140</vt:i4>
      </vt:variant>
      <vt:variant>
        <vt:i4>0</vt:i4>
      </vt:variant>
      <vt:variant>
        <vt:i4>5</vt:i4>
      </vt:variant>
      <vt:variant>
        <vt:lpwstr/>
      </vt:variant>
      <vt:variant>
        <vt:lpwstr>_Źródło_finansowania</vt:lpwstr>
      </vt:variant>
      <vt:variant>
        <vt:i4>1900596</vt:i4>
      </vt:variant>
      <vt:variant>
        <vt:i4>134</vt:i4>
      </vt:variant>
      <vt:variant>
        <vt:i4>0</vt:i4>
      </vt:variant>
      <vt:variant>
        <vt:i4>5</vt:i4>
      </vt:variant>
      <vt:variant>
        <vt:lpwstr/>
      </vt:variant>
      <vt:variant>
        <vt:lpwstr>_Toc514072297</vt:lpwstr>
      </vt:variant>
      <vt:variant>
        <vt:i4>1900596</vt:i4>
      </vt:variant>
      <vt:variant>
        <vt:i4>128</vt:i4>
      </vt:variant>
      <vt:variant>
        <vt:i4>0</vt:i4>
      </vt:variant>
      <vt:variant>
        <vt:i4>5</vt:i4>
      </vt:variant>
      <vt:variant>
        <vt:lpwstr/>
      </vt:variant>
      <vt:variant>
        <vt:lpwstr>_Toc514072296</vt:lpwstr>
      </vt:variant>
      <vt:variant>
        <vt:i4>1900596</vt:i4>
      </vt:variant>
      <vt:variant>
        <vt:i4>122</vt:i4>
      </vt:variant>
      <vt:variant>
        <vt:i4>0</vt:i4>
      </vt:variant>
      <vt:variant>
        <vt:i4>5</vt:i4>
      </vt:variant>
      <vt:variant>
        <vt:lpwstr/>
      </vt:variant>
      <vt:variant>
        <vt:lpwstr>_Toc514072295</vt:lpwstr>
      </vt:variant>
      <vt:variant>
        <vt:i4>1900596</vt:i4>
      </vt:variant>
      <vt:variant>
        <vt:i4>116</vt:i4>
      </vt:variant>
      <vt:variant>
        <vt:i4>0</vt:i4>
      </vt:variant>
      <vt:variant>
        <vt:i4>5</vt:i4>
      </vt:variant>
      <vt:variant>
        <vt:lpwstr/>
      </vt:variant>
      <vt:variant>
        <vt:lpwstr>_Toc514072294</vt:lpwstr>
      </vt:variant>
      <vt:variant>
        <vt:i4>1900596</vt:i4>
      </vt:variant>
      <vt:variant>
        <vt:i4>110</vt:i4>
      </vt:variant>
      <vt:variant>
        <vt:i4>0</vt:i4>
      </vt:variant>
      <vt:variant>
        <vt:i4>5</vt:i4>
      </vt:variant>
      <vt:variant>
        <vt:lpwstr/>
      </vt:variant>
      <vt:variant>
        <vt:lpwstr>_Toc514072293</vt:lpwstr>
      </vt:variant>
      <vt:variant>
        <vt:i4>1900596</vt:i4>
      </vt:variant>
      <vt:variant>
        <vt:i4>104</vt:i4>
      </vt:variant>
      <vt:variant>
        <vt:i4>0</vt:i4>
      </vt:variant>
      <vt:variant>
        <vt:i4>5</vt:i4>
      </vt:variant>
      <vt:variant>
        <vt:lpwstr/>
      </vt:variant>
      <vt:variant>
        <vt:lpwstr>_Toc514072292</vt:lpwstr>
      </vt:variant>
      <vt:variant>
        <vt:i4>1900596</vt:i4>
      </vt:variant>
      <vt:variant>
        <vt:i4>98</vt:i4>
      </vt:variant>
      <vt:variant>
        <vt:i4>0</vt:i4>
      </vt:variant>
      <vt:variant>
        <vt:i4>5</vt:i4>
      </vt:variant>
      <vt:variant>
        <vt:lpwstr/>
      </vt:variant>
      <vt:variant>
        <vt:lpwstr>_Toc514072291</vt:lpwstr>
      </vt:variant>
      <vt:variant>
        <vt:i4>1900596</vt:i4>
      </vt:variant>
      <vt:variant>
        <vt:i4>92</vt:i4>
      </vt:variant>
      <vt:variant>
        <vt:i4>0</vt:i4>
      </vt:variant>
      <vt:variant>
        <vt:i4>5</vt:i4>
      </vt:variant>
      <vt:variant>
        <vt:lpwstr/>
      </vt:variant>
      <vt:variant>
        <vt:lpwstr>_Toc514072290</vt:lpwstr>
      </vt:variant>
      <vt:variant>
        <vt:i4>1835060</vt:i4>
      </vt:variant>
      <vt:variant>
        <vt:i4>86</vt:i4>
      </vt:variant>
      <vt:variant>
        <vt:i4>0</vt:i4>
      </vt:variant>
      <vt:variant>
        <vt:i4>5</vt:i4>
      </vt:variant>
      <vt:variant>
        <vt:lpwstr/>
      </vt:variant>
      <vt:variant>
        <vt:lpwstr>_Toc514072289</vt:lpwstr>
      </vt:variant>
      <vt:variant>
        <vt:i4>1835060</vt:i4>
      </vt:variant>
      <vt:variant>
        <vt:i4>80</vt:i4>
      </vt:variant>
      <vt:variant>
        <vt:i4>0</vt:i4>
      </vt:variant>
      <vt:variant>
        <vt:i4>5</vt:i4>
      </vt:variant>
      <vt:variant>
        <vt:lpwstr/>
      </vt:variant>
      <vt:variant>
        <vt:lpwstr>_Toc514072288</vt:lpwstr>
      </vt:variant>
      <vt:variant>
        <vt:i4>1835060</vt:i4>
      </vt:variant>
      <vt:variant>
        <vt:i4>74</vt:i4>
      </vt:variant>
      <vt:variant>
        <vt:i4>0</vt:i4>
      </vt:variant>
      <vt:variant>
        <vt:i4>5</vt:i4>
      </vt:variant>
      <vt:variant>
        <vt:lpwstr/>
      </vt:variant>
      <vt:variant>
        <vt:lpwstr>_Toc514072287</vt:lpwstr>
      </vt:variant>
      <vt:variant>
        <vt:i4>1835060</vt:i4>
      </vt:variant>
      <vt:variant>
        <vt:i4>68</vt:i4>
      </vt:variant>
      <vt:variant>
        <vt:i4>0</vt:i4>
      </vt:variant>
      <vt:variant>
        <vt:i4>5</vt:i4>
      </vt:variant>
      <vt:variant>
        <vt:lpwstr/>
      </vt:variant>
      <vt:variant>
        <vt:lpwstr>_Toc514072286</vt:lpwstr>
      </vt:variant>
      <vt:variant>
        <vt:i4>1835060</vt:i4>
      </vt:variant>
      <vt:variant>
        <vt:i4>62</vt:i4>
      </vt:variant>
      <vt:variant>
        <vt:i4>0</vt:i4>
      </vt:variant>
      <vt:variant>
        <vt:i4>5</vt:i4>
      </vt:variant>
      <vt:variant>
        <vt:lpwstr/>
      </vt:variant>
      <vt:variant>
        <vt:lpwstr>_Toc514072285</vt:lpwstr>
      </vt:variant>
      <vt:variant>
        <vt:i4>1835060</vt:i4>
      </vt:variant>
      <vt:variant>
        <vt:i4>56</vt:i4>
      </vt:variant>
      <vt:variant>
        <vt:i4>0</vt:i4>
      </vt:variant>
      <vt:variant>
        <vt:i4>5</vt:i4>
      </vt:variant>
      <vt:variant>
        <vt:lpwstr/>
      </vt:variant>
      <vt:variant>
        <vt:lpwstr>_Toc514072284</vt:lpwstr>
      </vt:variant>
      <vt:variant>
        <vt:i4>1835060</vt:i4>
      </vt:variant>
      <vt:variant>
        <vt:i4>50</vt:i4>
      </vt:variant>
      <vt:variant>
        <vt:i4>0</vt:i4>
      </vt:variant>
      <vt:variant>
        <vt:i4>5</vt:i4>
      </vt:variant>
      <vt:variant>
        <vt:lpwstr/>
      </vt:variant>
      <vt:variant>
        <vt:lpwstr>_Toc514072283</vt:lpwstr>
      </vt:variant>
      <vt:variant>
        <vt:i4>1835060</vt:i4>
      </vt:variant>
      <vt:variant>
        <vt:i4>44</vt:i4>
      </vt:variant>
      <vt:variant>
        <vt:i4>0</vt:i4>
      </vt:variant>
      <vt:variant>
        <vt:i4>5</vt:i4>
      </vt:variant>
      <vt:variant>
        <vt:lpwstr/>
      </vt:variant>
      <vt:variant>
        <vt:lpwstr>_Toc514072282</vt:lpwstr>
      </vt:variant>
      <vt:variant>
        <vt:i4>1835060</vt:i4>
      </vt:variant>
      <vt:variant>
        <vt:i4>38</vt:i4>
      </vt:variant>
      <vt:variant>
        <vt:i4>0</vt:i4>
      </vt:variant>
      <vt:variant>
        <vt:i4>5</vt:i4>
      </vt:variant>
      <vt:variant>
        <vt:lpwstr/>
      </vt:variant>
      <vt:variant>
        <vt:lpwstr>_Toc514072281</vt:lpwstr>
      </vt:variant>
      <vt:variant>
        <vt:i4>1835060</vt:i4>
      </vt:variant>
      <vt:variant>
        <vt:i4>32</vt:i4>
      </vt:variant>
      <vt:variant>
        <vt:i4>0</vt:i4>
      </vt:variant>
      <vt:variant>
        <vt:i4>5</vt:i4>
      </vt:variant>
      <vt:variant>
        <vt:lpwstr/>
      </vt:variant>
      <vt:variant>
        <vt:lpwstr>_Toc514072280</vt:lpwstr>
      </vt:variant>
      <vt:variant>
        <vt:i4>1245236</vt:i4>
      </vt:variant>
      <vt:variant>
        <vt:i4>26</vt:i4>
      </vt:variant>
      <vt:variant>
        <vt:i4>0</vt:i4>
      </vt:variant>
      <vt:variant>
        <vt:i4>5</vt:i4>
      </vt:variant>
      <vt:variant>
        <vt:lpwstr/>
      </vt:variant>
      <vt:variant>
        <vt:lpwstr>_Toc514072279</vt:lpwstr>
      </vt:variant>
      <vt:variant>
        <vt:i4>1245236</vt:i4>
      </vt:variant>
      <vt:variant>
        <vt:i4>20</vt:i4>
      </vt:variant>
      <vt:variant>
        <vt:i4>0</vt:i4>
      </vt:variant>
      <vt:variant>
        <vt:i4>5</vt:i4>
      </vt:variant>
      <vt:variant>
        <vt:lpwstr/>
      </vt:variant>
      <vt:variant>
        <vt:lpwstr>_Toc514072278</vt:lpwstr>
      </vt:variant>
      <vt:variant>
        <vt:i4>5833052</vt:i4>
      </vt:variant>
      <vt:variant>
        <vt:i4>17</vt:i4>
      </vt:variant>
      <vt:variant>
        <vt:i4>0</vt:i4>
      </vt:variant>
      <vt:variant>
        <vt:i4>5</vt:i4>
      </vt:variant>
      <vt:variant>
        <vt:lpwstr/>
      </vt:variant>
      <vt:variant>
        <vt:lpwstr>_1.1.2_Choroby_objęte</vt:lpwstr>
      </vt:variant>
      <vt:variant>
        <vt:i4>22478874</vt:i4>
      </vt:variant>
      <vt:variant>
        <vt:i4>14</vt:i4>
      </vt:variant>
      <vt:variant>
        <vt:i4>0</vt:i4>
      </vt:variant>
      <vt:variant>
        <vt:i4>5</vt:i4>
      </vt:variant>
      <vt:variant>
        <vt:lpwstr/>
      </vt:variant>
      <vt:variant>
        <vt:lpwstr>_1.1.1._Choroby_objęte</vt:lpwstr>
      </vt:variant>
      <vt:variant>
        <vt:i4>1245236</vt:i4>
      </vt:variant>
      <vt:variant>
        <vt:i4>8</vt:i4>
      </vt:variant>
      <vt:variant>
        <vt:i4>0</vt:i4>
      </vt:variant>
      <vt:variant>
        <vt:i4>5</vt:i4>
      </vt:variant>
      <vt:variant>
        <vt:lpwstr/>
      </vt:variant>
      <vt:variant>
        <vt:lpwstr>_Toc514072277</vt:lpwstr>
      </vt:variant>
      <vt:variant>
        <vt:i4>1245236</vt:i4>
      </vt:variant>
      <vt:variant>
        <vt:i4>2</vt:i4>
      </vt:variant>
      <vt:variant>
        <vt:i4>0</vt:i4>
      </vt:variant>
      <vt:variant>
        <vt:i4>5</vt:i4>
      </vt:variant>
      <vt:variant>
        <vt:lpwstr/>
      </vt:variant>
      <vt:variant>
        <vt:lpwstr>_Toc514072276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polityki zdrowotnej Ministra Zdrowia</dc:title>
  <dc:subject/>
  <dc:creator>Czerwonka Piotr</dc:creator>
  <cp:keywords/>
  <cp:lastModifiedBy>Czerwonka Agnieszka</cp:lastModifiedBy>
  <cp:revision>5</cp:revision>
  <cp:lastPrinted>2025-03-17T12:12:00Z</cp:lastPrinted>
  <dcterms:created xsi:type="dcterms:W3CDTF">2025-03-12T14:24:00Z</dcterms:created>
  <dcterms:modified xsi:type="dcterms:W3CDTF">2025-03-17T12:13:00Z</dcterms:modified>
</cp:coreProperties>
</file>