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5C" w:rsidRPr="00E46C14" w:rsidRDefault="00A73A5C" w:rsidP="00E46C14">
      <w:pPr>
        <w:jc w:val="right"/>
        <w:rPr>
          <w:rFonts w:ascii="Times New Roman" w:hAnsi="Times New Roman" w:cs="Times New Roman"/>
          <w:sz w:val="24"/>
          <w:szCs w:val="24"/>
        </w:rPr>
      </w:pPr>
      <w:bookmarkStart w:id="0" w:name="_GoBack"/>
      <w:bookmarkEnd w:id="0"/>
      <w:r w:rsidRPr="00E46C14">
        <w:rPr>
          <w:rFonts w:ascii="Times New Roman" w:hAnsi="Times New Roman" w:cs="Times New Roman"/>
          <w:sz w:val="24"/>
          <w:szCs w:val="24"/>
        </w:rPr>
        <w:t xml:space="preserve">                                                                                            </w:t>
      </w:r>
      <w:r w:rsidR="00C31F1D" w:rsidRPr="00E46C14">
        <w:rPr>
          <w:rFonts w:ascii="Times New Roman" w:hAnsi="Times New Roman" w:cs="Times New Roman"/>
          <w:sz w:val="24"/>
          <w:szCs w:val="24"/>
        </w:rPr>
        <w:t xml:space="preserve">  </w:t>
      </w:r>
    </w:p>
    <w:p w:rsidR="00A73A5C" w:rsidRPr="00E46C14" w:rsidRDefault="00A73A5C" w:rsidP="00E46C14">
      <w:pPr>
        <w:jc w:val="both"/>
        <w:rPr>
          <w:rFonts w:ascii="Times New Roman" w:hAnsi="Times New Roman" w:cs="Times New Roman"/>
          <w:sz w:val="24"/>
          <w:szCs w:val="24"/>
        </w:rPr>
      </w:pPr>
    </w:p>
    <w:p w:rsidR="00A73A5C" w:rsidRPr="00E46C14" w:rsidRDefault="00D132EE" w:rsidP="00E46C14">
      <w:pPr>
        <w:jc w:val="both"/>
        <w:rPr>
          <w:rFonts w:ascii="Times New Roman" w:hAnsi="Times New Roman" w:cs="Times New Roman"/>
          <w:sz w:val="24"/>
          <w:szCs w:val="24"/>
        </w:rPr>
      </w:pPr>
      <w:r w:rsidRPr="00E46C1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3986E02" wp14:editId="09C107F7">
                <wp:simplePos x="0" y="0"/>
                <wp:positionH relativeFrom="column">
                  <wp:posOffset>-461645</wp:posOffset>
                </wp:positionH>
                <wp:positionV relativeFrom="paragraph">
                  <wp:posOffset>33655</wp:posOffset>
                </wp:positionV>
                <wp:extent cx="251460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207" w:rsidRPr="00D96B45" w:rsidRDefault="00DA6C65" w:rsidP="00D96B45">
                            <w:pPr>
                              <w:jc w:val="center"/>
                              <w:rPr>
                                <w:rFonts w:ascii="Times New Roman" w:hAnsi="Times New Roman" w:cs="Times New Roman"/>
                                <w:b/>
                                <w:color w:val="57575B"/>
                                <w:sz w:val="28"/>
                                <w:szCs w:val="28"/>
                              </w:rPr>
                            </w:pPr>
                            <w:r w:rsidRPr="00511B40">
                              <w:rPr>
                                <w:rFonts w:ascii="Times New Roman" w:hAnsi="Times New Roman" w:cs="Times New Roman"/>
                                <w:b/>
                                <w:color w:val="57575B"/>
                                <w:sz w:val="28"/>
                                <w:szCs w:val="28"/>
                              </w:rPr>
                              <w:t xml:space="preserve">Biuro </w:t>
                            </w:r>
                            <w:r w:rsidR="003F5E8E">
                              <w:rPr>
                                <w:rFonts w:ascii="Times New Roman" w:hAnsi="Times New Roman" w:cs="Times New Roman"/>
                                <w:b/>
                                <w:color w:val="57575B"/>
                                <w:sz w:val="28"/>
                                <w:szCs w:val="28"/>
                              </w:rPr>
                              <w:t>Komunikacji i Promocji</w:t>
                            </w:r>
                            <w:r w:rsidR="0034009F">
                              <w:rPr>
                                <w:rFonts w:ascii="Times New Roman" w:hAnsi="Times New Roman" w:cs="Times New Roman"/>
                                <w:b/>
                                <w:color w:val="57575B"/>
                                <w:sz w:val="28"/>
                                <w:szCs w:val="28"/>
                              </w:rPr>
                              <w:br/>
                            </w:r>
                            <w:r w:rsidR="00D96B45" w:rsidRPr="00D96B45">
                              <w:rPr>
                                <w:rFonts w:ascii="Times New Roman" w:hAnsi="Times New Roman" w:cs="Times New Roman"/>
                                <w:b/>
                                <w:color w:val="57575B"/>
                                <w:sz w:val="28"/>
                                <w:szCs w:val="28"/>
                              </w:rPr>
                              <w:t>Zespół prasowy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5pt;margin-top:2.65pt;width:198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b6sQIAALk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" filled="f" stroked="f">
                <v:textbox>
                  <w:txbxContent>
                    <w:p w:rsidR="006E7207" w:rsidRPr="00D96B45" w:rsidRDefault="00DA6C65" w:rsidP="00D96B45">
                      <w:pPr>
                        <w:jc w:val="center"/>
                        <w:rPr>
                          <w:rFonts w:ascii="Times New Roman" w:hAnsi="Times New Roman" w:cs="Times New Roman"/>
                          <w:b/>
                          <w:color w:val="57575B"/>
                          <w:sz w:val="28"/>
                          <w:szCs w:val="28"/>
                        </w:rPr>
                      </w:pPr>
                      <w:r w:rsidRPr="00511B40">
                        <w:rPr>
                          <w:rFonts w:ascii="Times New Roman" w:hAnsi="Times New Roman" w:cs="Times New Roman"/>
                          <w:b/>
                          <w:color w:val="57575B"/>
                          <w:sz w:val="28"/>
                          <w:szCs w:val="28"/>
                        </w:rPr>
                        <w:t xml:space="preserve">Biuro </w:t>
                      </w:r>
                      <w:r w:rsidR="003F5E8E">
                        <w:rPr>
                          <w:rFonts w:ascii="Times New Roman" w:hAnsi="Times New Roman" w:cs="Times New Roman"/>
                          <w:b/>
                          <w:color w:val="57575B"/>
                          <w:sz w:val="28"/>
                          <w:szCs w:val="28"/>
                        </w:rPr>
                        <w:t>Komunikacji i Promocji</w:t>
                      </w:r>
                      <w:r w:rsidR="0034009F">
                        <w:rPr>
                          <w:rFonts w:ascii="Times New Roman" w:hAnsi="Times New Roman" w:cs="Times New Roman"/>
                          <w:b/>
                          <w:color w:val="57575B"/>
                          <w:sz w:val="28"/>
                          <w:szCs w:val="28"/>
                        </w:rPr>
                        <w:br/>
                      </w:r>
                      <w:r w:rsidR="00D96B45" w:rsidRPr="00D96B45">
                        <w:rPr>
                          <w:rFonts w:ascii="Times New Roman" w:hAnsi="Times New Roman" w:cs="Times New Roman"/>
                          <w:b/>
                          <w:color w:val="57575B"/>
                          <w:sz w:val="28"/>
                          <w:szCs w:val="28"/>
                        </w:rPr>
                        <w:t>Zespół prasowy</w:t>
                      </w:r>
                    </w:p>
                  </w:txbxContent>
                </v:textbox>
              </v:shape>
            </w:pict>
          </mc:Fallback>
        </mc:AlternateContent>
      </w:r>
    </w:p>
    <w:p w:rsidR="00046BCE" w:rsidRDefault="00046BCE" w:rsidP="00046BCE">
      <w:pPr>
        <w:pStyle w:val="Bezodstpw"/>
        <w:jc w:val="center"/>
        <w:rPr>
          <w:b/>
        </w:rPr>
      </w:pPr>
    </w:p>
    <w:p w:rsidR="00046BCE" w:rsidRDefault="00046BCE" w:rsidP="00046BCE">
      <w:pPr>
        <w:pStyle w:val="Bezodstpw"/>
        <w:jc w:val="center"/>
        <w:rPr>
          <w:b/>
        </w:rPr>
      </w:pPr>
    </w:p>
    <w:p w:rsidR="00046BCE" w:rsidRDefault="00046BCE" w:rsidP="00046BCE">
      <w:pPr>
        <w:pStyle w:val="Bezodstpw"/>
        <w:jc w:val="center"/>
        <w:rPr>
          <w:b/>
        </w:rPr>
      </w:pPr>
    </w:p>
    <w:p w:rsidR="001D52F5" w:rsidRPr="0056386B" w:rsidRDefault="001D52F5" w:rsidP="0056386B">
      <w:pPr>
        <w:pStyle w:val="Bezodstpw"/>
        <w:jc w:val="center"/>
        <w:rPr>
          <w:rFonts w:asciiTheme="majorHAnsi" w:hAnsiTheme="majorHAnsi" w:cstheme="majorHAnsi"/>
          <w:b/>
          <w:szCs w:val="24"/>
        </w:rPr>
      </w:pPr>
      <w:r w:rsidRPr="008601B6">
        <w:rPr>
          <w:rFonts w:asciiTheme="majorHAnsi" w:hAnsiTheme="majorHAnsi" w:cstheme="majorHAnsi"/>
          <w:b/>
          <w:szCs w:val="24"/>
        </w:rPr>
        <w:t>NOWE PRAWO W WALCE Z LICHWĄ</w:t>
      </w:r>
    </w:p>
    <w:p w:rsidR="001D52F5" w:rsidRDefault="001D52F5" w:rsidP="001D52F5">
      <w:pPr>
        <w:pStyle w:val="Bezodstpw"/>
        <w:jc w:val="both"/>
        <w:rPr>
          <w:rFonts w:asciiTheme="majorHAnsi" w:hAnsiTheme="majorHAnsi" w:cstheme="majorHAnsi"/>
          <w:szCs w:val="24"/>
        </w:rPr>
      </w:pPr>
    </w:p>
    <w:p w:rsidR="001D52F5" w:rsidRPr="00F06CCC" w:rsidRDefault="001D52F5" w:rsidP="001D52F5">
      <w:pPr>
        <w:pStyle w:val="Bezodstpw"/>
        <w:keepNext/>
        <w:framePr w:dropCap="drop" w:lines="3" w:wrap="around" w:vAnchor="text" w:hAnchor="text"/>
        <w:spacing w:line="878" w:lineRule="exact"/>
        <w:jc w:val="both"/>
        <w:textAlignment w:val="baseline"/>
        <w:rPr>
          <w:rFonts w:asciiTheme="majorHAnsi" w:hAnsiTheme="majorHAnsi" w:cstheme="majorHAnsi"/>
          <w:position w:val="-11"/>
          <w:sz w:val="120"/>
          <w:szCs w:val="24"/>
        </w:rPr>
      </w:pPr>
      <w:r w:rsidRPr="00F06CCC">
        <w:rPr>
          <w:rFonts w:asciiTheme="majorHAnsi" w:hAnsiTheme="majorHAnsi" w:cstheme="majorHAnsi"/>
          <w:position w:val="-11"/>
          <w:sz w:val="120"/>
          <w:szCs w:val="24"/>
        </w:rPr>
        <w:t>P</w:t>
      </w: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rawe i sprawiedliwe państwo to takie, w którym wszyscy Polacy mogą się czuć pewnie i bezpiecznie. To państwo, które chroni ich interesy i jest bezwzględne wobec żerujących na nich naciągaczy. Które staje zwłaszcza w obronie bezbronnych i słabych.</w:t>
      </w:r>
    </w:p>
    <w:p w:rsidR="001D52F5" w:rsidRDefault="001D52F5" w:rsidP="001D52F5">
      <w:pPr>
        <w:pStyle w:val="Bezodstpw"/>
        <w:jc w:val="both"/>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 xml:space="preserve">Taka idea legła u podstaw ogłoszonego w kwietniu 2018 roku przez Ministra Sprawiedliwości Zbigniewa Ziobrę pakietu reform „Sprawiedliwość i bezpieczeństwo”. Jego elementem jest wprowadzenie do prawa zmian, które mają skutecznie chronić Polaków przed plagą lichwiarzy i nadużyciami firm pożyczkowych. Mają położyć kres wykorzystywaniu niewiedzy klientów i ich ufności. Mają skończyć z żerowaniem na </w:t>
      </w:r>
      <w:r w:rsidRPr="00464CA6">
        <w:rPr>
          <w:rFonts w:asciiTheme="majorHAnsi" w:hAnsiTheme="majorHAnsi" w:cstheme="majorHAnsi"/>
          <w:szCs w:val="24"/>
        </w:rPr>
        <w:t>biedzie i dramatach</w:t>
      </w:r>
      <w:r>
        <w:rPr>
          <w:rFonts w:asciiTheme="majorHAnsi" w:hAnsiTheme="majorHAnsi" w:cstheme="majorHAnsi"/>
          <w:szCs w:val="24"/>
        </w:rPr>
        <w:t xml:space="preserve"> ludzi, które zmuszają ich do pochopnych decyzji o zawieraniu niekorzystnych lichwiarskich umów.</w:t>
      </w:r>
    </w:p>
    <w:p w:rsidR="001D52F5" w:rsidRDefault="001D52F5" w:rsidP="001D52F5">
      <w:pPr>
        <w:pStyle w:val="Bezodstpw"/>
        <w:jc w:val="both"/>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 xml:space="preserve">Obowiązkiem państwa jest ustrzec Polaków przed tym zagrożeniem. I temu służą kompleksowe reformy, które przygotowało Ministerstwo Sprawiedliwości.  </w:t>
      </w:r>
    </w:p>
    <w:p w:rsidR="001D52F5" w:rsidRDefault="001D52F5" w:rsidP="001D52F5">
      <w:pPr>
        <w:pStyle w:val="Bezodstpw"/>
        <w:rPr>
          <w:rFonts w:asciiTheme="majorHAnsi" w:hAnsiTheme="majorHAnsi" w:cstheme="majorHAnsi"/>
          <w:szCs w:val="24"/>
        </w:rPr>
      </w:pPr>
    </w:p>
    <w:p w:rsidR="001D52F5" w:rsidRPr="00604CFE" w:rsidRDefault="001D52F5" w:rsidP="001D52F5">
      <w:pPr>
        <w:pStyle w:val="Bezodstpw"/>
        <w:rPr>
          <w:rStyle w:val="FontStyle18"/>
          <w:rFonts w:asciiTheme="majorHAnsi" w:hAnsiTheme="majorHAnsi" w:cstheme="majorHAnsi"/>
          <w:szCs w:val="24"/>
        </w:rPr>
      </w:pPr>
      <w:r w:rsidRPr="00604CFE">
        <w:rPr>
          <w:rStyle w:val="FontStyle18"/>
          <w:rFonts w:asciiTheme="majorHAnsi" w:hAnsiTheme="majorHAnsi" w:cstheme="majorHAnsi"/>
          <w:b/>
          <w:szCs w:val="24"/>
        </w:rPr>
        <w:t>BEZPIECZNE ZAKUPY NA RATY</w:t>
      </w:r>
    </w:p>
    <w:p w:rsidR="001D52F5" w:rsidRDefault="001D52F5" w:rsidP="001D52F5">
      <w:pPr>
        <w:pStyle w:val="Bezodstpw"/>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Pr>
          <w:rStyle w:val="FontStyle18"/>
          <w:rFonts w:asciiTheme="majorHAnsi" w:hAnsiTheme="majorHAnsi" w:cstheme="majorHAnsi"/>
          <w:szCs w:val="24"/>
        </w:rPr>
        <w:t>Zepsuła się pralka? Trzeba wymienić lodówkę? Dziecko potrzebuje nowego komputera? Dziś nawet nie mając pieniędzy, można łatwo dokonać zakupu na raty. Współpracujące z bankami i firmami pożyczkowymi sklepy kuszą „specjalnymi ofertami”, niekiedy wręcz zerowymi odsetkami, a wszystkie formalności można załatwić na miejscu. Mało kto zdaje sobie sprawę ze związanymi z tym niebezpieczeństwami.</w:t>
      </w:r>
    </w:p>
    <w:p w:rsidR="001D52F5" w:rsidRDefault="001D52F5" w:rsidP="001D52F5">
      <w:pPr>
        <w:pStyle w:val="Bezodstpw"/>
        <w:rPr>
          <w:rStyle w:val="FontStyle18"/>
          <w:rFonts w:asciiTheme="majorHAnsi" w:hAnsiTheme="majorHAnsi" w:cstheme="majorHAnsi"/>
          <w:szCs w:val="24"/>
        </w:rPr>
      </w:pPr>
    </w:p>
    <w:p w:rsidR="001D52F5" w:rsidRPr="00D25012" w:rsidRDefault="001D52F5" w:rsidP="001D52F5">
      <w:pPr>
        <w:pStyle w:val="Bezodstpw"/>
        <w:rPr>
          <w:rStyle w:val="FontStyle18"/>
          <w:rFonts w:asciiTheme="majorHAnsi" w:hAnsiTheme="majorHAnsi" w:cstheme="majorHAnsi"/>
          <w:b/>
          <w:szCs w:val="24"/>
        </w:rPr>
      </w:pPr>
      <w:r w:rsidRPr="00D25012">
        <w:rPr>
          <w:rStyle w:val="FontStyle18"/>
          <w:rFonts w:asciiTheme="majorHAnsi" w:hAnsiTheme="majorHAnsi" w:cstheme="majorHAnsi"/>
          <w:b/>
          <w:szCs w:val="24"/>
        </w:rPr>
        <w:t>Na co uważać</w:t>
      </w:r>
    </w:p>
    <w:p w:rsidR="001D52F5" w:rsidRDefault="001D52F5" w:rsidP="001D52F5">
      <w:pPr>
        <w:pStyle w:val="Bezodstpw"/>
        <w:jc w:val="both"/>
        <w:rPr>
          <w:rStyle w:val="FontStyle18"/>
          <w:rFonts w:asciiTheme="majorHAnsi" w:hAnsiTheme="majorHAnsi" w:cstheme="majorHAnsi"/>
          <w:szCs w:val="24"/>
        </w:rPr>
      </w:pPr>
      <w:r>
        <w:rPr>
          <w:rStyle w:val="FontStyle18"/>
          <w:rFonts w:asciiTheme="majorHAnsi" w:hAnsiTheme="majorHAnsi" w:cstheme="majorHAnsi"/>
          <w:szCs w:val="24"/>
        </w:rPr>
        <w:t xml:space="preserve">Oferta „zerowych odsetek” brzmi atrakcyjnie, ale często ostatecznie za nowo kupiony sprzęt zapłacimy znacznie więcej niż wynikałoby z ceny na etykiecie. Do pożyczki ratalnej są doliczane różnego rodzaju prowizje, marże, opłaty za złożenie czy rozpatrzenie wniosku itp. Ukrytą formą marży może być też obowiązkowe ubezpieczenie pożyczki, którego żąda od nas sprzedawca przy zakupie. </w:t>
      </w:r>
    </w:p>
    <w:p w:rsidR="001D52F5" w:rsidRDefault="001D52F5" w:rsidP="001D52F5">
      <w:pPr>
        <w:pStyle w:val="Bezodstpw"/>
        <w:jc w:val="both"/>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Pr>
          <w:rStyle w:val="FontStyle18"/>
          <w:rFonts w:asciiTheme="majorHAnsi" w:hAnsiTheme="majorHAnsi" w:cstheme="majorHAnsi"/>
          <w:szCs w:val="24"/>
        </w:rPr>
        <w:t xml:space="preserve">Udzielający pożyczki mają obowiązek podawać klientom jej rzeczywisty koszty. I podają, ale napisane zwykle drobnym druczkiem i w mało widocznym miejscu, np.: „RRSO = 96,5%”. </w:t>
      </w:r>
    </w:p>
    <w:p w:rsidR="001D52F5" w:rsidRDefault="001D52F5" w:rsidP="001D52F5">
      <w:pPr>
        <w:pStyle w:val="Bezodstpw"/>
        <w:jc w:val="both"/>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sidRPr="007B6861">
        <w:rPr>
          <w:rStyle w:val="FontStyle18"/>
          <w:rFonts w:asciiTheme="majorHAnsi" w:hAnsiTheme="majorHAnsi" w:cstheme="majorHAnsi"/>
          <w:szCs w:val="24"/>
        </w:rPr>
        <w:t xml:space="preserve">RRSO </w:t>
      </w:r>
      <w:r>
        <w:rPr>
          <w:rStyle w:val="FontStyle18"/>
          <w:rFonts w:asciiTheme="majorHAnsi" w:hAnsiTheme="majorHAnsi" w:cstheme="majorHAnsi"/>
          <w:szCs w:val="24"/>
        </w:rPr>
        <w:t>–</w:t>
      </w:r>
      <w:r w:rsidRPr="007B6861">
        <w:rPr>
          <w:rStyle w:val="FontStyle18"/>
          <w:rFonts w:asciiTheme="majorHAnsi" w:hAnsiTheme="majorHAnsi" w:cstheme="majorHAnsi"/>
          <w:szCs w:val="24"/>
        </w:rPr>
        <w:t xml:space="preserve"> </w:t>
      </w:r>
      <w:r>
        <w:rPr>
          <w:rStyle w:val="FontStyle18"/>
          <w:rFonts w:asciiTheme="majorHAnsi" w:hAnsiTheme="majorHAnsi" w:cstheme="majorHAnsi"/>
          <w:szCs w:val="24"/>
        </w:rPr>
        <w:t xml:space="preserve">czyli </w:t>
      </w:r>
      <w:r w:rsidRPr="007B6861">
        <w:rPr>
          <w:rStyle w:val="FontStyle18"/>
          <w:rFonts w:asciiTheme="majorHAnsi" w:hAnsiTheme="majorHAnsi" w:cstheme="majorHAnsi"/>
          <w:szCs w:val="24"/>
        </w:rPr>
        <w:t xml:space="preserve">skrót od </w:t>
      </w:r>
      <w:r>
        <w:rPr>
          <w:rStyle w:val="FontStyle18"/>
          <w:rFonts w:asciiTheme="majorHAnsi" w:hAnsiTheme="majorHAnsi" w:cstheme="majorHAnsi"/>
          <w:szCs w:val="24"/>
        </w:rPr>
        <w:t>„</w:t>
      </w:r>
      <w:r w:rsidRPr="007B6861">
        <w:rPr>
          <w:rStyle w:val="FontStyle18"/>
          <w:rFonts w:asciiTheme="majorHAnsi" w:hAnsiTheme="majorHAnsi" w:cstheme="majorHAnsi"/>
          <w:szCs w:val="24"/>
        </w:rPr>
        <w:t>rzeczywista roczna stopa oprocentowania”</w:t>
      </w:r>
      <w:r>
        <w:rPr>
          <w:rStyle w:val="FontStyle18"/>
          <w:rFonts w:asciiTheme="majorHAnsi" w:hAnsiTheme="majorHAnsi" w:cstheme="majorHAnsi"/>
          <w:szCs w:val="24"/>
        </w:rPr>
        <w:t xml:space="preserve"> – to kluczowa dla nas informacja. Jeśli RRSO wynosi 96,5%, to oznacza, że za kupiony sprzęt zapłacimy dwa razy więcej, mimo że sprzedawca kusił nas „niskimi odsetkami”. Same odsetki nominalne od kredytu ratalnego rzeczywiście mogą być niskie, ale reszta kosztów to właśnie marże, prowizje i inne ekstra opłaty. </w:t>
      </w:r>
    </w:p>
    <w:p w:rsidR="001D52F5" w:rsidRDefault="001D52F5" w:rsidP="001D52F5">
      <w:pPr>
        <w:pStyle w:val="Bezodstpw"/>
        <w:rPr>
          <w:rStyle w:val="FontStyle18"/>
          <w:rFonts w:asciiTheme="majorHAnsi" w:hAnsiTheme="majorHAnsi" w:cstheme="majorHAnsi"/>
          <w:szCs w:val="24"/>
        </w:rPr>
      </w:pPr>
    </w:p>
    <w:p w:rsidR="001D52F5" w:rsidRPr="00D25012" w:rsidRDefault="001D52F5" w:rsidP="001D52F5">
      <w:pPr>
        <w:pStyle w:val="Bezodstpw"/>
        <w:rPr>
          <w:rStyle w:val="FontStyle18"/>
          <w:rFonts w:asciiTheme="majorHAnsi" w:hAnsiTheme="majorHAnsi" w:cstheme="majorHAnsi"/>
          <w:b/>
          <w:szCs w:val="24"/>
        </w:rPr>
      </w:pPr>
      <w:r w:rsidRPr="00D25012">
        <w:rPr>
          <w:rStyle w:val="FontStyle18"/>
          <w:rFonts w:asciiTheme="majorHAnsi" w:hAnsiTheme="majorHAnsi" w:cstheme="majorHAnsi"/>
          <w:b/>
          <w:szCs w:val="24"/>
        </w:rPr>
        <w:lastRenderedPageBreak/>
        <w:t>To się zmieni</w:t>
      </w:r>
    </w:p>
    <w:p w:rsidR="001D52F5" w:rsidRDefault="001D52F5" w:rsidP="001D52F5">
      <w:pPr>
        <w:pStyle w:val="Bezodstpw"/>
        <w:jc w:val="both"/>
        <w:rPr>
          <w:rStyle w:val="FontStyle18"/>
          <w:rFonts w:asciiTheme="majorHAnsi" w:hAnsiTheme="majorHAnsi" w:cstheme="majorHAnsi"/>
          <w:szCs w:val="24"/>
        </w:rPr>
      </w:pPr>
      <w:r>
        <w:rPr>
          <w:rStyle w:val="FontStyle18"/>
          <w:rFonts w:asciiTheme="majorHAnsi" w:hAnsiTheme="majorHAnsi" w:cstheme="majorHAnsi"/>
          <w:szCs w:val="24"/>
        </w:rPr>
        <w:t>Nowe przepisy kończą z dowolnością w ustalaniu dodatkowych opłat za zakupy na raty. Nie będzie można do woli</w:t>
      </w:r>
      <w:r w:rsidRPr="00CF35A1">
        <w:rPr>
          <w:rStyle w:val="FontStyle18"/>
          <w:rFonts w:asciiTheme="majorHAnsi" w:hAnsiTheme="majorHAnsi" w:cstheme="majorHAnsi"/>
          <w:szCs w:val="24"/>
        </w:rPr>
        <w:t xml:space="preserve"> </w:t>
      </w:r>
      <w:r>
        <w:rPr>
          <w:rStyle w:val="FontStyle18"/>
          <w:rFonts w:asciiTheme="majorHAnsi" w:hAnsiTheme="majorHAnsi" w:cstheme="majorHAnsi"/>
          <w:szCs w:val="24"/>
        </w:rPr>
        <w:t>doliczać prowizji i marży, co prowadzi do sytuacji, że nieświadomi klienci mają często problemy w spłacie rzekomo atrakcyjnie oprocentowanej pożyczki.</w:t>
      </w:r>
    </w:p>
    <w:p w:rsidR="001D52F5" w:rsidRDefault="001D52F5" w:rsidP="001D52F5">
      <w:pPr>
        <w:pStyle w:val="Bezodstpw"/>
        <w:jc w:val="both"/>
        <w:rPr>
          <w:rStyle w:val="FontStyle18"/>
          <w:rFonts w:asciiTheme="majorHAnsi" w:hAnsiTheme="majorHAnsi" w:cstheme="majorHAnsi"/>
          <w:szCs w:val="24"/>
        </w:rPr>
      </w:pPr>
    </w:p>
    <w:p w:rsidR="001D52F5" w:rsidRPr="00485443" w:rsidRDefault="001D52F5" w:rsidP="001D52F5">
      <w:pPr>
        <w:pStyle w:val="Bezodstpw"/>
        <w:jc w:val="both"/>
        <w:rPr>
          <w:rStyle w:val="FontStyle18"/>
          <w:rFonts w:asciiTheme="majorHAnsi" w:hAnsiTheme="majorHAnsi" w:cstheme="majorHAnsi"/>
          <w:b/>
          <w:szCs w:val="24"/>
        </w:rPr>
      </w:pPr>
      <w:r w:rsidRPr="00485443">
        <w:rPr>
          <w:rStyle w:val="FontStyle18"/>
          <w:rFonts w:asciiTheme="majorHAnsi" w:hAnsiTheme="majorHAnsi" w:cstheme="majorHAnsi"/>
          <w:b/>
          <w:szCs w:val="24"/>
        </w:rPr>
        <w:t xml:space="preserve">Maksymalny limit dodatkowych opłat </w:t>
      </w:r>
      <w:r w:rsidRPr="00B57E20">
        <w:rPr>
          <w:rStyle w:val="FontStyle18"/>
          <w:rFonts w:asciiTheme="majorHAnsi" w:hAnsiTheme="majorHAnsi" w:cstheme="majorHAnsi"/>
          <w:b/>
          <w:szCs w:val="24"/>
        </w:rPr>
        <w:t xml:space="preserve">zostanie ustalony na </w:t>
      </w:r>
      <w:r>
        <w:rPr>
          <w:rStyle w:val="FontStyle18"/>
          <w:rFonts w:asciiTheme="majorHAnsi" w:hAnsiTheme="majorHAnsi" w:cstheme="majorHAnsi"/>
          <w:b/>
          <w:szCs w:val="24"/>
        </w:rPr>
        <w:t>45</w:t>
      </w:r>
      <w:r w:rsidRPr="00B57E20">
        <w:rPr>
          <w:rStyle w:val="FontStyle18"/>
          <w:rFonts w:asciiTheme="majorHAnsi" w:hAnsiTheme="majorHAnsi" w:cstheme="majorHAnsi"/>
          <w:b/>
          <w:szCs w:val="24"/>
        </w:rPr>
        <w:t xml:space="preserve"> proc. </w:t>
      </w:r>
      <w:r w:rsidRPr="00485443">
        <w:rPr>
          <w:rStyle w:val="FontStyle18"/>
          <w:rFonts w:asciiTheme="majorHAnsi" w:hAnsiTheme="majorHAnsi" w:cstheme="majorHAnsi"/>
          <w:b/>
          <w:szCs w:val="24"/>
        </w:rPr>
        <w:t xml:space="preserve">kwoty pożyczki w skali roku. A jeśli zdecydujemy się na rozłożenie rat na 6 miesięcy, to dodatkowe koszty nie będą mogły przekroczyć </w:t>
      </w:r>
      <w:r>
        <w:rPr>
          <w:rStyle w:val="FontStyle18"/>
          <w:rFonts w:asciiTheme="majorHAnsi" w:hAnsiTheme="majorHAnsi" w:cstheme="majorHAnsi"/>
          <w:b/>
          <w:szCs w:val="24"/>
        </w:rPr>
        <w:t>32,5</w:t>
      </w:r>
      <w:r w:rsidRPr="00485443">
        <w:rPr>
          <w:rStyle w:val="FontStyle18"/>
          <w:rFonts w:asciiTheme="majorHAnsi" w:hAnsiTheme="majorHAnsi" w:cstheme="majorHAnsi"/>
          <w:b/>
          <w:szCs w:val="24"/>
        </w:rPr>
        <w:t xml:space="preserve"> proc.</w:t>
      </w:r>
    </w:p>
    <w:p w:rsidR="001D52F5" w:rsidRDefault="001D52F5" w:rsidP="001D52F5">
      <w:pPr>
        <w:pStyle w:val="Bezodstpw"/>
        <w:jc w:val="both"/>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sidRPr="00604CFE">
        <w:rPr>
          <w:rStyle w:val="FontStyle18"/>
          <w:rFonts w:asciiTheme="majorHAnsi" w:hAnsiTheme="majorHAnsi" w:cstheme="majorHAnsi"/>
          <w:szCs w:val="24"/>
        </w:rPr>
        <w:t>Limit odsetek pozostanie na obecnym poziomie, czyli maksymalnie 10 proc. w skali roku.</w:t>
      </w:r>
    </w:p>
    <w:p w:rsidR="001D52F5" w:rsidRDefault="001D52F5" w:rsidP="001D52F5">
      <w:pPr>
        <w:pStyle w:val="Bezodstpw"/>
        <w:rPr>
          <w:rFonts w:asciiTheme="majorHAnsi" w:hAnsiTheme="majorHAnsi" w:cstheme="majorHAnsi"/>
          <w:szCs w:val="24"/>
        </w:rPr>
      </w:pPr>
    </w:p>
    <w:tbl>
      <w:tblPr>
        <w:tblStyle w:val="Tabela-Siatka"/>
        <w:tblW w:w="0" w:type="auto"/>
        <w:tblLook w:val="04A0" w:firstRow="1" w:lastRow="0" w:firstColumn="1" w:lastColumn="0" w:noHBand="0" w:noVBand="1"/>
      </w:tblPr>
      <w:tblGrid>
        <w:gridCol w:w="5353"/>
        <w:gridCol w:w="1985"/>
        <w:gridCol w:w="1874"/>
      </w:tblGrid>
      <w:tr w:rsidR="001D52F5" w:rsidTr="00122375">
        <w:tc>
          <w:tcPr>
            <w:tcW w:w="9212" w:type="dxa"/>
            <w:gridSpan w:val="3"/>
          </w:tcPr>
          <w:p w:rsidR="001D52F5" w:rsidRDefault="001D52F5" w:rsidP="00122375">
            <w:pPr>
              <w:pStyle w:val="Bezodstpw"/>
              <w:jc w:val="center"/>
              <w:rPr>
                <w:rFonts w:asciiTheme="majorHAnsi" w:hAnsiTheme="majorHAnsi" w:cstheme="majorHAnsi"/>
                <w:b/>
                <w:sz w:val="30"/>
                <w:szCs w:val="30"/>
              </w:rPr>
            </w:pPr>
            <w:r w:rsidRPr="003C5B3E">
              <w:rPr>
                <w:rFonts w:asciiTheme="majorHAnsi" w:hAnsiTheme="majorHAnsi" w:cstheme="majorHAnsi"/>
                <w:b/>
                <w:sz w:val="30"/>
                <w:szCs w:val="30"/>
              </w:rPr>
              <w:t>Ile naprawdę kosztuje telewizor za 2500 zł</w:t>
            </w:r>
          </w:p>
          <w:p w:rsidR="00C81DF4" w:rsidRPr="003C5B3E" w:rsidRDefault="00C81DF4" w:rsidP="00122375">
            <w:pPr>
              <w:pStyle w:val="Bezodstpw"/>
              <w:jc w:val="center"/>
              <w:rPr>
                <w:rFonts w:asciiTheme="majorHAnsi" w:hAnsiTheme="majorHAnsi" w:cstheme="majorHAnsi"/>
                <w:b/>
                <w:sz w:val="30"/>
                <w:szCs w:val="30"/>
              </w:rPr>
            </w:pPr>
            <w:r>
              <w:rPr>
                <w:rFonts w:asciiTheme="majorHAnsi" w:hAnsiTheme="majorHAnsi" w:cstheme="majorHAnsi"/>
                <w:b/>
                <w:sz w:val="30"/>
                <w:szCs w:val="30"/>
              </w:rPr>
              <w:t>(przy ratach na rok)</w:t>
            </w:r>
          </w:p>
        </w:tc>
      </w:tr>
      <w:tr w:rsidR="001D52F5" w:rsidTr="00122375">
        <w:tc>
          <w:tcPr>
            <w:tcW w:w="5353" w:type="dxa"/>
          </w:tcPr>
          <w:p w:rsidR="001D52F5" w:rsidRDefault="001D52F5" w:rsidP="00122375">
            <w:pPr>
              <w:pStyle w:val="Bezodstpw"/>
              <w:rPr>
                <w:rFonts w:asciiTheme="majorHAnsi" w:hAnsiTheme="majorHAnsi" w:cstheme="majorHAnsi"/>
              </w:rPr>
            </w:pPr>
          </w:p>
        </w:tc>
        <w:tc>
          <w:tcPr>
            <w:tcW w:w="1985" w:type="dxa"/>
          </w:tcPr>
          <w:p w:rsidR="001D52F5" w:rsidRPr="00C46900" w:rsidRDefault="001D52F5" w:rsidP="00122375">
            <w:pPr>
              <w:pStyle w:val="Bezodstpw"/>
              <w:jc w:val="center"/>
              <w:rPr>
                <w:rFonts w:asciiTheme="majorHAnsi" w:hAnsiTheme="majorHAnsi" w:cstheme="majorHAnsi"/>
                <w:b/>
              </w:rPr>
            </w:pPr>
            <w:r w:rsidRPr="00C46900">
              <w:rPr>
                <w:rFonts w:asciiTheme="majorHAnsi" w:hAnsiTheme="majorHAnsi" w:cstheme="majorHAnsi"/>
                <w:b/>
              </w:rPr>
              <w:t>JEST</w:t>
            </w:r>
          </w:p>
        </w:tc>
        <w:tc>
          <w:tcPr>
            <w:tcW w:w="1874" w:type="dxa"/>
          </w:tcPr>
          <w:p w:rsidR="001D52F5" w:rsidRPr="00C46900" w:rsidRDefault="001D52F5" w:rsidP="00122375">
            <w:pPr>
              <w:pStyle w:val="Bezodstpw"/>
              <w:jc w:val="center"/>
              <w:rPr>
                <w:rFonts w:asciiTheme="majorHAnsi" w:hAnsiTheme="majorHAnsi" w:cstheme="majorHAnsi"/>
                <w:b/>
              </w:rPr>
            </w:pPr>
            <w:r w:rsidRPr="00C46900">
              <w:rPr>
                <w:rFonts w:asciiTheme="majorHAnsi" w:hAnsiTheme="majorHAnsi" w:cstheme="majorHAnsi"/>
                <w:b/>
              </w:rPr>
              <w:t>BĘDZIE</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cena telewizora</w:t>
            </w:r>
          </w:p>
        </w:tc>
        <w:tc>
          <w:tcPr>
            <w:tcW w:w="1985"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2500 zł</w:t>
            </w:r>
          </w:p>
        </w:tc>
        <w:tc>
          <w:tcPr>
            <w:tcW w:w="1874"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2500 zł</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wysokość odsetek przy kredycie na 12 miesięcy</w:t>
            </w:r>
          </w:p>
        </w:tc>
        <w:tc>
          <w:tcPr>
            <w:tcW w:w="1985"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do 250 zł</w:t>
            </w:r>
          </w:p>
        </w:tc>
        <w:tc>
          <w:tcPr>
            <w:tcW w:w="1874"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do 250 zł*</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koszty pożyczki (ubezpieczenie, opłaty, prowizje itp.)</w:t>
            </w:r>
          </w:p>
        </w:tc>
        <w:tc>
          <w:tcPr>
            <w:tcW w:w="1985"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np. 2250 zł</w:t>
            </w:r>
          </w:p>
        </w:tc>
        <w:tc>
          <w:tcPr>
            <w:tcW w:w="1874"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do 1125 zł</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RAZEM:</w:t>
            </w:r>
          </w:p>
        </w:tc>
        <w:tc>
          <w:tcPr>
            <w:tcW w:w="1985" w:type="dxa"/>
          </w:tcPr>
          <w:p w:rsidR="001D52F5" w:rsidRPr="008517A5" w:rsidRDefault="001D52F5" w:rsidP="00122375">
            <w:pPr>
              <w:pStyle w:val="Bezodstpw"/>
              <w:jc w:val="right"/>
              <w:rPr>
                <w:rFonts w:asciiTheme="majorHAnsi" w:hAnsiTheme="majorHAnsi" w:cstheme="majorHAnsi"/>
                <w:b/>
              </w:rPr>
            </w:pPr>
            <w:r>
              <w:rPr>
                <w:rFonts w:asciiTheme="majorHAnsi" w:hAnsiTheme="majorHAnsi" w:cstheme="majorHAnsi"/>
                <w:b/>
              </w:rPr>
              <w:t xml:space="preserve"> np. 5000</w:t>
            </w:r>
            <w:r w:rsidRPr="008517A5">
              <w:rPr>
                <w:rFonts w:asciiTheme="majorHAnsi" w:hAnsiTheme="majorHAnsi" w:cstheme="majorHAnsi"/>
                <w:b/>
              </w:rPr>
              <w:t xml:space="preserve"> zł</w:t>
            </w:r>
          </w:p>
        </w:tc>
        <w:tc>
          <w:tcPr>
            <w:tcW w:w="1874" w:type="dxa"/>
          </w:tcPr>
          <w:p w:rsidR="001D52F5" w:rsidRPr="008517A5" w:rsidRDefault="001D52F5" w:rsidP="00122375">
            <w:pPr>
              <w:pStyle w:val="Bezodstpw"/>
              <w:jc w:val="right"/>
              <w:rPr>
                <w:rFonts w:asciiTheme="majorHAnsi" w:hAnsiTheme="majorHAnsi" w:cstheme="majorHAnsi"/>
                <w:b/>
              </w:rPr>
            </w:pPr>
            <w:r>
              <w:rPr>
                <w:rFonts w:asciiTheme="majorHAnsi" w:hAnsiTheme="majorHAnsi" w:cstheme="majorHAnsi"/>
                <w:b/>
              </w:rPr>
              <w:t xml:space="preserve">do </w:t>
            </w:r>
            <w:r w:rsidRPr="00255CAA">
              <w:rPr>
                <w:rFonts w:asciiTheme="majorHAnsi" w:hAnsiTheme="majorHAnsi" w:cstheme="majorHAnsi"/>
                <w:b/>
              </w:rPr>
              <w:t>3875</w:t>
            </w:r>
            <w:r w:rsidRPr="00255CAA" w:rsidDel="00255CAA">
              <w:rPr>
                <w:rFonts w:asciiTheme="majorHAnsi" w:hAnsiTheme="majorHAnsi" w:cstheme="majorHAnsi"/>
                <w:b/>
              </w:rPr>
              <w:t xml:space="preserve"> </w:t>
            </w:r>
            <w:r w:rsidRPr="008517A5">
              <w:rPr>
                <w:rFonts w:asciiTheme="majorHAnsi" w:hAnsiTheme="majorHAnsi" w:cstheme="majorHAnsi"/>
                <w:b/>
              </w:rPr>
              <w:t>zł</w:t>
            </w:r>
          </w:p>
        </w:tc>
      </w:tr>
    </w:tbl>
    <w:p w:rsidR="001D52F5" w:rsidRPr="001A147E" w:rsidRDefault="001D52F5" w:rsidP="001D52F5">
      <w:pPr>
        <w:pStyle w:val="Bezodstpw"/>
        <w:rPr>
          <w:rFonts w:cstheme="majorHAnsi"/>
          <w:sz w:val="20"/>
          <w:szCs w:val="20"/>
        </w:rPr>
      </w:pPr>
      <w:r w:rsidRPr="001A147E">
        <w:rPr>
          <w:rFonts w:cstheme="majorHAnsi"/>
          <w:sz w:val="20"/>
          <w:szCs w:val="20"/>
        </w:rPr>
        <w:t>*</w:t>
      </w:r>
      <w:r w:rsidRPr="001A147E">
        <w:rPr>
          <w:rFonts w:cstheme="majorHAnsi"/>
          <w:i/>
          <w:sz w:val="20"/>
          <w:szCs w:val="20"/>
        </w:rPr>
        <w:t>Suma należnych odsetek zależy od sposobu spłaty</w:t>
      </w:r>
    </w:p>
    <w:p w:rsidR="001D52F5" w:rsidRDefault="001D52F5" w:rsidP="001D52F5">
      <w:pPr>
        <w:pStyle w:val="Bezodstpw"/>
        <w:rPr>
          <w:rFonts w:asciiTheme="majorHAnsi" w:hAnsiTheme="majorHAnsi" w:cstheme="majorHAnsi"/>
          <w:szCs w:val="24"/>
        </w:rPr>
      </w:pPr>
    </w:p>
    <w:p w:rsidR="001D52F5" w:rsidRPr="00784EFE" w:rsidRDefault="001D52F5" w:rsidP="001D52F5">
      <w:pPr>
        <w:pStyle w:val="Bezodstpw"/>
        <w:rPr>
          <w:rFonts w:asciiTheme="majorHAnsi" w:hAnsiTheme="majorHAnsi" w:cstheme="majorHAnsi"/>
          <w:b/>
          <w:szCs w:val="24"/>
        </w:rPr>
      </w:pPr>
      <w:r w:rsidRPr="00784EFE">
        <w:rPr>
          <w:rFonts w:asciiTheme="majorHAnsi" w:hAnsiTheme="majorHAnsi" w:cstheme="majorHAnsi"/>
          <w:b/>
          <w:szCs w:val="24"/>
        </w:rPr>
        <w:t>„CHWILÓWKI” BEZ ZDZIERSTWA</w:t>
      </w:r>
    </w:p>
    <w:p w:rsidR="001D52F5" w:rsidRDefault="001D52F5" w:rsidP="001D52F5">
      <w:pPr>
        <w:pStyle w:val="Bezodstpw"/>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 xml:space="preserve">Nagła choroba i związana z tym konieczność zakupu drogich leków, brak pieniędzy do pierwszego, wydatki na święta czy zakup szkolnej wyprawki – to powody, dla których Polacy korzystają z „chwilówek”. </w:t>
      </w:r>
    </w:p>
    <w:p w:rsidR="001D52F5" w:rsidRDefault="001D52F5" w:rsidP="001D52F5">
      <w:pPr>
        <w:pStyle w:val="Bezodstpw"/>
        <w:jc w:val="both"/>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To pożyczki na niewielkie kwoty – prawie połowa nie przekroczyła w 2016 roku 1000 zł. Są udzielane na krótki okres, np. 30 albo 60 dni, a formalności – ograniczone do minimum. Polacy biorą ich coraz więcej.</w:t>
      </w:r>
    </w:p>
    <w:p w:rsidR="001D52F5" w:rsidRDefault="001D52F5" w:rsidP="001D52F5">
      <w:pPr>
        <w:pStyle w:val="Bezodstpw"/>
        <w:jc w:val="both"/>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sidRPr="002B4267">
        <w:rPr>
          <w:rFonts w:asciiTheme="majorHAnsi" w:hAnsiTheme="majorHAnsi" w:cstheme="majorHAnsi"/>
          <w:szCs w:val="24"/>
        </w:rPr>
        <w:t xml:space="preserve">Według danych Biura Informacji Kredytowej wartość pożyczek </w:t>
      </w:r>
      <w:proofErr w:type="spellStart"/>
      <w:r w:rsidRPr="002B4267">
        <w:rPr>
          <w:rFonts w:asciiTheme="majorHAnsi" w:hAnsiTheme="majorHAnsi" w:cstheme="majorHAnsi"/>
          <w:szCs w:val="24"/>
        </w:rPr>
        <w:t>niskokwotowych</w:t>
      </w:r>
      <w:proofErr w:type="spellEnd"/>
      <w:r>
        <w:rPr>
          <w:rFonts w:asciiTheme="majorHAnsi" w:hAnsiTheme="majorHAnsi" w:cstheme="majorHAnsi"/>
          <w:szCs w:val="24"/>
        </w:rPr>
        <w:t xml:space="preserve">, a więc do 4000 zł, wyniosła w 2016 roku aż 10 mld zł, a </w:t>
      </w:r>
      <w:r w:rsidRPr="002B4267">
        <w:rPr>
          <w:rFonts w:asciiTheme="majorHAnsi" w:hAnsiTheme="majorHAnsi" w:cstheme="majorHAnsi"/>
          <w:szCs w:val="24"/>
        </w:rPr>
        <w:t xml:space="preserve">liczba klientów sektora </w:t>
      </w:r>
      <w:proofErr w:type="spellStart"/>
      <w:r w:rsidRPr="002B4267">
        <w:rPr>
          <w:rFonts w:asciiTheme="majorHAnsi" w:hAnsiTheme="majorHAnsi" w:cstheme="majorHAnsi"/>
          <w:szCs w:val="24"/>
        </w:rPr>
        <w:t>pozabankowego</w:t>
      </w:r>
      <w:proofErr w:type="spellEnd"/>
      <w:r w:rsidRPr="002B4267">
        <w:rPr>
          <w:rFonts w:asciiTheme="majorHAnsi" w:hAnsiTheme="majorHAnsi" w:cstheme="majorHAnsi"/>
          <w:szCs w:val="24"/>
        </w:rPr>
        <w:t xml:space="preserve"> </w:t>
      </w:r>
      <w:r>
        <w:rPr>
          <w:rFonts w:asciiTheme="majorHAnsi" w:hAnsiTheme="majorHAnsi" w:cstheme="majorHAnsi"/>
          <w:szCs w:val="24"/>
        </w:rPr>
        <w:t>sięgnęła w 2017 r. 1,6</w:t>
      </w:r>
      <w:r w:rsidRPr="002B4267">
        <w:rPr>
          <w:rFonts w:asciiTheme="majorHAnsi" w:hAnsiTheme="majorHAnsi" w:cstheme="majorHAnsi"/>
          <w:szCs w:val="24"/>
        </w:rPr>
        <w:t xml:space="preserve"> mln</w:t>
      </w:r>
      <w:r>
        <w:rPr>
          <w:rFonts w:asciiTheme="majorHAnsi" w:hAnsiTheme="majorHAnsi" w:cstheme="majorHAnsi"/>
          <w:szCs w:val="24"/>
        </w:rPr>
        <w:t>.  Są to w ogromnej mierze ludzie już zadłużeni. Około 80 proc. klientów firm pożyczkowych miało w ubiegłym roku jednocześnie dług w banku.</w:t>
      </w:r>
    </w:p>
    <w:p w:rsidR="001D52F5" w:rsidRDefault="001D52F5" w:rsidP="001D52F5">
      <w:pPr>
        <w:pStyle w:val="Bezodstpw"/>
        <w:rPr>
          <w:rFonts w:asciiTheme="majorHAnsi" w:hAnsiTheme="majorHAnsi" w:cstheme="majorHAnsi"/>
          <w:szCs w:val="24"/>
        </w:rPr>
      </w:pPr>
    </w:p>
    <w:p w:rsidR="001D52F5" w:rsidRPr="00D25012" w:rsidRDefault="001D52F5" w:rsidP="001D52F5">
      <w:pPr>
        <w:pStyle w:val="Bezodstpw"/>
        <w:rPr>
          <w:rStyle w:val="FontStyle18"/>
          <w:rFonts w:asciiTheme="majorHAnsi" w:hAnsiTheme="majorHAnsi" w:cstheme="majorHAnsi"/>
          <w:b/>
          <w:szCs w:val="24"/>
        </w:rPr>
      </w:pPr>
      <w:r w:rsidRPr="00D25012">
        <w:rPr>
          <w:rStyle w:val="FontStyle18"/>
          <w:rFonts w:asciiTheme="majorHAnsi" w:hAnsiTheme="majorHAnsi" w:cstheme="majorHAnsi"/>
          <w:b/>
          <w:szCs w:val="24"/>
        </w:rPr>
        <w:t>Na co uważać</w:t>
      </w:r>
    </w:p>
    <w:p w:rsidR="001D52F5" w:rsidRDefault="001D52F5" w:rsidP="001D52F5">
      <w:pPr>
        <w:pStyle w:val="Bezodstpw"/>
        <w:jc w:val="both"/>
        <w:rPr>
          <w:rStyle w:val="FontStyle18"/>
          <w:rFonts w:asciiTheme="majorHAnsi" w:hAnsiTheme="majorHAnsi" w:cstheme="majorHAnsi"/>
          <w:szCs w:val="24"/>
        </w:rPr>
      </w:pPr>
      <w:r>
        <w:rPr>
          <w:rStyle w:val="FontStyle18"/>
          <w:rFonts w:asciiTheme="majorHAnsi" w:hAnsiTheme="majorHAnsi" w:cstheme="majorHAnsi"/>
          <w:szCs w:val="24"/>
        </w:rPr>
        <w:t>Problemem, jak przy zakupach na raty, są prowizje, marże i inne opłaty. Biorący „chwilówki” często nie zdają sobie z tego sprawy. Firmy pożyczkowe nie znają zaś ograniczeń i nie mają żadnych oporów przy naliczaniu dodatkowych opłat.</w:t>
      </w:r>
    </w:p>
    <w:p w:rsidR="001D52F5" w:rsidRDefault="001D52F5" w:rsidP="001D52F5">
      <w:pPr>
        <w:pStyle w:val="Bezodstpw"/>
        <w:jc w:val="both"/>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Pr>
          <w:rStyle w:val="FontStyle18"/>
          <w:rFonts w:asciiTheme="majorHAnsi" w:hAnsiTheme="majorHAnsi" w:cstheme="majorHAnsi"/>
          <w:szCs w:val="24"/>
        </w:rPr>
        <w:t xml:space="preserve">W skrajnych przypadkach RRSO, a więc </w:t>
      </w:r>
      <w:r w:rsidRPr="007B6861">
        <w:rPr>
          <w:rStyle w:val="FontStyle18"/>
          <w:rFonts w:asciiTheme="majorHAnsi" w:hAnsiTheme="majorHAnsi" w:cstheme="majorHAnsi"/>
          <w:szCs w:val="24"/>
        </w:rPr>
        <w:t>rzeczywista roczna stopa oprocentowania</w:t>
      </w:r>
      <w:r>
        <w:rPr>
          <w:rStyle w:val="FontStyle18"/>
          <w:rFonts w:asciiTheme="majorHAnsi" w:hAnsiTheme="majorHAnsi" w:cstheme="majorHAnsi"/>
          <w:szCs w:val="24"/>
        </w:rPr>
        <w:t>, sięga  kilku tysięcy procent! W ten sposób wielu klientów wpada w spiralę zadłużenia, tracąc niekiedy dorobek życia.</w:t>
      </w:r>
    </w:p>
    <w:p w:rsidR="008601B6" w:rsidRDefault="008601B6" w:rsidP="001D52F5">
      <w:pPr>
        <w:pStyle w:val="Bezodstpw"/>
        <w:rPr>
          <w:rStyle w:val="FontStyle18"/>
          <w:rFonts w:asciiTheme="majorHAnsi" w:hAnsiTheme="majorHAnsi" w:cstheme="majorHAnsi"/>
          <w:b/>
          <w:szCs w:val="24"/>
        </w:rPr>
      </w:pPr>
    </w:p>
    <w:p w:rsidR="0056386B" w:rsidRDefault="0056386B" w:rsidP="008601B6">
      <w:pPr>
        <w:pStyle w:val="Bezodstpw"/>
        <w:rPr>
          <w:rStyle w:val="FontStyle18"/>
          <w:rFonts w:asciiTheme="majorHAnsi" w:hAnsiTheme="majorHAnsi" w:cstheme="majorHAnsi"/>
          <w:b/>
          <w:szCs w:val="24"/>
        </w:rPr>
      </w:pPr>
    </w:p>
    <w:p w:rsidR="0056386B" w:rsidRDefault="0056386B" w:rsidP="008601B6">
      <w:pPr>
        <w:pStyle w:val="Bezodstpw"/>
        <w:rPr>
          <w:rStyle w:val="FontStyle18"/>
          <w:rFonts w:asciiTheme="majorHAnsi" w:hAnsiTheme="majorHAnsi" w:cstheme="majorHAnsi"/>
          <w:b/>
          <w:szCs w:val="24"/>
        </w:rPr>
      </w:pPr>
    </w:p>
    <w:p w:rsidR="0056386B" w:rsidRDefault="0056386B" w:rsidP="008601B6">
      <w:pPr>
        <w:pStyle w:val="Bezodstpw"/>
        <w:rPr>
          <w:rStyle w:val="FontStyle18"/>
          <w:rFonts w:asciiTheme="majorHAnsi" w:hAnsiTheme="majorHAnsi" w:cstheme="majorHAnsi"/>
          <w:b/>
          <w:szCs w:val="24"/>
        </w:rPr>
      </w:pPr>
    </w:p>
    <w:p w:rsidR="008601B6" w:rsidRDefault="001D52F5" w:rsidP="008601B6">
      <w:pPr>
        <w:pStyle w:val="Bezodstpw"/>
        <w:rPr>
          <w:rStyle w:val="FontStyle18"/>
          <w:rFonts w:asciiTheme="majorHAnsi" w:hAnsiTheme="majorHAnsi" w:cstheme="majorHAnsi"/>
          <w:b/>
          <w:szCs w:val="24"/>
        </w:rPr>
      </w:pPr>
      <w:r w:rsidRPr="00D25012">
        <w:rPr>
          <w:rStyle w:val="FontStyle18"/>
          <w:rFonts w:asciiTheme="majorHAnsi" w:hAnsiTheme="majorHAnsi" w:cstheme="majorHAnsi"/>
          <w:b/>
          <w:szCs w:val="24"/>
        </w:rPr>
        <w:lastRenderedPageBreak/>
        <w:t>To się zmieni</w:t>
      </w:r>
    </w:p>
    <w:p w:rsidR="001D52F5" w:rsidRDefault="001D52F5" w:rsidP="008601B6">
      <w:pPr>
        <w:pStyle w:val="Bezodstpw"/>
        <w:rPr>
          <w:rStyle w:val="FontStyle18"/>
          <w:rFonts w:asciiTheme="majorHAnsi" w:hAnsiTheme="majorHAnsi" w:cstheme="majorHAnsi"/>
          <w:szCs w:val="24"/>
        </w:rPr>
      </w:pPr>
      <w:r>
        <w:rPr>
          <w:rStyle w:val="FontStyle18"/>
          <w:rFonts w:asciiTheme="majorHAnsi" w:hAnsiTheme="majorHAnsi" w:cstheme="majorHAnsi"/>
          <w:szCs w:val="24"/>
        </w:rPr>
        <w:t>Nowe zasady będą podobne, jak w przypadku zakupów na raty. Przepisy ograniczą dowolną dziś możliwość nakładania dodatkowych drastycznych opłat</w:t>
      </w:r>
      <w:r w:rsidRPr="009A2C0C">
        <w:rPr>
          <w:rStyle w:val="FontStyle18"/>
          <w:rFonts w:asciiTheme="majorHAnsi" w:hAnsiTheme="majorHAnsi" w:cstheme="majorHAnsi"/>
          <w:szCs w:val="24"/>
        </w:rPr>
        <w:t xml:space="preserve"> </w:t>
      </w:r>
      <w:r>
        <w:rPr>
          <w:rStyle w:val="FontStyle18"/>
          <w:rFonts w:asciiTheme="majorHAnsi" w:hAnsiTheme="majorHAnsi" w:cstheme="majorHAnsi"/>
          <w:szCs w:val="24"/>
        </w:rPr>
        <w:t>na klientów firm pożyczkowych.</w:t>
      </w:r>
    </w:p>
    <w:p w:rsidR="001D52F5" w:rsidRDefault="001D52F5" w:rsidP="001D52F5">
      <w:pPr>
        <w:pStyle w:val="Bezodstpw"/>
        <w:jc w:val="both"/>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sidRPr="00D810F1">
        <w:rPr>
          <w:rStyle w:val="FontStyle18"/>
          <w:rFonts w:asciiTheme="majorHAnsi" w:hAnsiTheme="majorHAnsi" w:cstheme="majorHAnsi"/>
          <w:b/>
          <w:szCs w:val="24"/>
        </w:rPr>
        <w:t xml:space="preserve">Limit opłat – takich, jak np. prowizje czy marże – </w:t>
      </w:r>
      <w:r>
        <w:rPr>
          <w:rStyle w:val="FontStyle18"/>
          <w:rFonts w:asciiTheme="majorHAnsi" w:hAnsiTheme="majorHAnsi" w:cstheme="majorHAnsi"/>
          <w:b/>
          <w:szCs w:val="24"/>
        </w:rPr>
        <w:t>zostanie radykalnie zmniejszony: do 45</w:t>
      </w:r>
      <w:r w:rsidRPr="00D810F1">
        <w:rPr>
          <w:rStyle w:val="FontStyle18"/>
          <w:rFonts w:asciiTheme="majorHAnsi" w:hAnsiTheme="majorHAnsi" w:cstheme="majorHAnsi"/>
          <w:b/>
          <w:szCs w:val="24"/>
        </w:rPr>
        <w:t xml:space="preserve"> proc. kwoty pożyczki w skali roku.</w:t>
      </w:r>
      <w:r>
        <w:rPr>
          <w:rStyle w:val="FontStyle18"/>
          <w:rFonts w:asciiTheme="majorHAnsi" w:hAnsiTheme="majorHAnsi" w:cstheme="majorHAnsi"/>
          <w:szCs w:val="24"/>
        </w:rPr>
        <w:t xml:space="preserve"> </w:t>
      </w:r>
    </w:p>
    <w:p w:rsidR="001D52F5" w:rsidRDefault="001D52F5" w:rsidP="001D52F5">
      <w:pPr>
        <w:pStyle w:val="Bezodstpw"/>
        <w:jc w:val="both"/>
        <w:rPr>
          <w:rStyle w:val="FontStyle18"/>
          <w:rFonts w:asciiTheme="majorHAnsi" w:hAnsiTheme="majorHAnsi" w:cstheme="majorHAnsi"/>
          <w:szCs w:val="24"/>
        </w:rPr>
      </w:pPr>
    </w:p>
    <w:p w:rsidR="001D52F5" w:rsidRDefault="001D52F5" w:rsidP="001D52F5">
      <w:pPr>
        <w:pStyle w:val="Bezodstpw"/>
        <w:jc w:val="both"/>
        <w:rPr>
          <w:rStyle w:val="FontStyle18"/>
          <w:rFonts w:asciiTheme="majorHAnsi" w:hAnsiTheme="majorHAnsi" w:cstheme="majorHAnsi"/>
          <w:szCs w:val="24"/>
        </w:rPr>
      </w:pPr>
      <w:r w:rsidRPr="00604CFE">
        <w:rPr>
          <w:rStyle w:val="FontStyle18"/>
          <w:rFonts w:asciiTheme="majorHAnsi" w:hAnsiTheme="majorHAnsi" w:cstheme="majorHAnsi"/>
          <w:szCs w:val="24"/>
        </w:rPr>
        <w:t xml:space="preserve">Limit odsetek </w:t>
      </w:r>
      <w:r>
        <w:rPr>
          <w:rStyle w:val="FontStyle18"/>
          <w:rFonts w:asciiTheme="majorHAnsi" w:hAnsiTheme="majorHAnsi" w:cstheme="majorHAnsi"/>
          <w:szCs w:val="24"/>
        </w:rPr>
        <w:t xml:space="preserve">od samej pożyczki będzie, jak dotąd, ograniczony do </w:t>
      </w:r>
      <w:r w:rsidRPr="00604CFE">
        <w:rPr>
          <w:rStyle w:val="FontStyle18"/>
          <w:rFonts w:asciiTheme="majorHAnsi" w:hAnsiTheme="majorHAnsi" w:cstheme="majorHAnsi"/>
          <w:szCs w:val="24"/>
        </w:rPr>
        <w:t>10 proc. w skali roku.</w:t>
      </w:r>
    </w:p>
    <w:p w:rsidR="001D52F5" w:rsidRDefault="001D52F5" w:rsidP="001D52F5">
      <w:pPr>
        <w:pStyle w:val="Bezodstpw"/>
        <w:rPr>
          <w:rStyle w:val="FontStyle18"/>
          <w:rFonts w:asciiTheme="majorHAnsi" w:hAnsiTheme="majorHAnsi" w:cstheme="majorHAnsi"/>
          <w:szCs w:val="24"/>
        </w:rPr>
      </w:pPr>
    </w:p>
    <w:tbl>
      <w:tblPr>
        <w:tblStyle w:val="Tabela-Siatka"/>
        <w:tblW w:w="0" w:type="auto"/>
        <w:tblLook w:val="04A0" w:firstRow="1" w:lastRow="0" w:firstColumn="1" w:lastColumn="0" w:noHBand="0" w:noVBand="1"/>
      </w:tblPr>
      <w:tblGrid>
        <w:gridCol w:w="5353"/>
        <w:gridCol w:w="1985"/>
        <w:gridCol w:w="1874"/>
      </w:tblGrid>
      <w:tr w:rsidR="001D52F5" w:rsidTr="00122375">
        <w:tc>
          <w:tcPr>
            <w:tcW w:w="9212" w:type="dxa"/>
            <w:gridSpan w:val="3"/>
          </w:tcPr>
          <w:p w:rsidR="001D52F5" w:rsidRPr="003C5B3E" w:rsidRDefault="001D52F5" w:rsidP="00122375">
            <w:pPr>
              <w:pStyle w:val="Bezodstpw"/>
              <w:jc w:val="center"/>
              <w:rPr>
                <w:rFonts w:asciiTheme="majorHAnsi" w:hAnsiTheme="majorHAnsi" w:cstheme="majorHAnsi"/>
                <w:b/>
                <w:sz w:val="30"/>
                <w:szCs w:val="30"/>
              </w:rPr>
            </w:pPr>
            <w:r w:rsidRPr="003C5B3E">
              <w:rPr>
                <w:rFonts w:asciiTheme="majorHAnsi" w:hAnsiTheme="majorHAnsi" w:cstheme="majorHAnsi"/>
                <w:b/>
                <w:sz w:val="30"/>
                <w:szCs w:val="30"/>
              </w:rPr>
              <w:t xml:space="preserve">Ile naprawdę kosztuje </w:t>
            </w:r>
            <w:r>
              <w:rPr>
                <w:rFonts w:asciiTheme="majorHAnsi" w:hAnsiTheme="majorHAnsi" w:cstheme="majorHAnsi"/>
                <w:b/>
                <w:sz w:val="30"/>
                <w:szCs w:val="30"/>
              </w:rPr>
              <w:t>1000 zł „chwilówki” (wziętej na rok)</w:t>
            </w:r>
          </w:p>
        </w:tc>
      </w:tr>
      <w:tr w:rsidR="001D52F5" w:rsidTr="00122375">
        <w:tc>
          <w:tcPr>
            <w:tcW w:w="5353" w:type="dxa"/>
          </w:tcPr>
          <w:p w:rsidR="001D52F5" w:rsidRDefault="001D52F5" w:rsidP="00122375">
            <w:pPr>
              <w:pStyle w:val="Bezodstpw"/>
              <w:rPr>
                <w:rFonts w:asciiTheme="majorHAnsi" w:hAnsiTheme="majorHAnsi" w:cstheme="majorHAnsi"/>
              </w:rPr>
            </w:pPr>
          </w:p>
        </w:tc>
        <w:tc>
          <w:tcPr>
            <w:tcW w:w="1985" w:type="dxa"/>
          </w:tcPr>
          <w:p w:rsidR="001D52F5" w:rsidRPr="00C46900" w:rsidRDefault="001D52F5" w:rsidP="00122375">
            <w:pPr>
              <w:pStyle w:val="Bezodstpw"/>
              <w:jc w:val="center"/>
              <w:rPr>
                <w:rFonts w:asciiTheme="majorHAnsi" w:hAnsiTheme="majorHAnsi" w:cstheme="majorHAnsi"/>
                <w:b/>
              </w:rPr>
            </w:pPr>
            <w:r w:rsidRPr="00C46900">
              <w:rPr>
                <w:rFonts w:asciiTheme="majorHAnsi" w:hAnsiTheme="majorHAnsi" w:cstheme="majorHAnsi"/>
                <w:b/>
              </w:rPr>
              <w:t>JEST</w:t>
            </w:r>
          </w:p>
        </w:tc>
        <w:tc>
          <w:tcPr>
            <w:tcW w:w="1874" w:type="dxa"/>
          </w:tcPr>
          <w:p w:rsidR="001D52F5" w:rsidRPr="00C46900" w:rsidRDefault="001D52F5" w:rsidP="00122375">
            <w:pPr>
              <w:pStyle w:val="Bezodstpw"/>
              <w:jc w:val="center"/>
              <w:rPr>
                <w:rFonts w:asciiTheme="majorHAnsi" w:hAnsiTheme="majorHAnsi" w:cstheme="majorHAnsi"/>
                <w:b/>
              </w:rPr>
            </w:pPr>
            <w:r w:rsidRPr="00C46900">
              <w:rPr>
                <w:rFonts w:asciiTheme="majorHAnsi" w:hAnsiTheme="majorHAnsi" w:cstheme="majorHAnsi"/>
                <w:b/>
              </w:rPr>
              <w:t>BĘDZIE</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wysokość pożyczki</w:t>
            </w:r>
          </w:p>
        </w:tc>
        <w:tc>
          <w:tcPr>
            <w:tcW w:w="1985"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1000 zł</w:t>
            </w:r>
          </w:p>
        </w:tc>
        <w:tc>
          <w:tcPr>
            <w:tcW w:w="1874"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1000 zł</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wysokość odsetek</w:t>
            </w:r>
          </w:p>
        </w:tc>
        <w:tc>
          <w:tcPr>
            <w:tcW w:w="1985"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do 100 zł</w:t>
            </w:r>
          </w:p>
        </w:tc>
        <w:tc>
          <w:tcPr>
            <w:tcW w:w="1874"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do 100 zł*</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dodatkowe opłaty</w:t>
            </w:r>
          </w:p>
        </w:tc>
        <w:tc>
          <w:tcPr>
            <w:tcW w:w="1985"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np. 3000 zł</w:t>
            </w:r>
          </w:p>
        </w:tc>
        <w:tc>
          <w:tcPr>
            <w:tcW w:w="1874" w:type="dxa"/>
          </w:tcPr>
          <w:p w:rsidR="001D52F5" w:rsidRDefault="001D52F5" w:rsidP="00122375">
            <w:pPr>
              <w:pStyle w:val="Bezodstpw"/>
              <w:jc w:val="right"/>
              <w:rPr>
                <w:rFonts w:asciiTheme="majorHAnsi" w:hAnsiTheme="majorHAnsi" w:cstheme="majorHAnsi"/>
              </w:rPr>
            </w:pPr>
            <w:r>
              <w:rPr>
                <w:rFonts w:asciiTheme="majorHAnsi" w:hAnsiTheme="majorHAnsi" w:cstheme="majorHAnsi"/>
              </w:rPr>
              <w:t>do 450 zł</w:t>
            </w:r>
          </w:p>
        </w:tc>
      </w:tr>
      <w:tr w:rsidR="001D52F5" w:rsidTr="00122375">
        <w:tc>
          <w:tcPr>
            <w:tcW w:w="5353" w:type="dxa"/>
          </w:tcPr>
          <w:p w:rsidR="001D52F5" w:rsidRDefault="001D52F5" w:rsidP="00122375">
            <w:pPr>
              <w:pStyle w:val="Bezodstpw"/>
              <w:rPr>
                <w:rFonts w:asciiTheme="majorHAnsi" w:hAnsiTheme="majorHAnsi" w:cstheme="majorHAnsi"/>
              </w:rPr>
            </w:pPr>
            <w:r>
              <w:rPr>
                <w:rFonts w:asciiTheme="majorHAnsi" w:hAnsiTheme="majorHAnsi" w:cstheme="majorHAnsi"/>
              </w:rPr>
              <w:t>RAZEM:</w:t>
            </w:r>
          </w:p>
        </w:tc>
        <w:tc>
          <w:tcPr>
            <w:tcW w:w="1985" w:type="dxa"/>
          </w:tcPr>
          <w:p w:rsidR="001D52F5" w:rsidRPr="008517A5" w:rsidRDefault="001D52F5" w:rsidP="00122375">
            <w:pPr>
              <w:pStyle w:val="Bezodstpw"/>
              <w:jc w:val="right"/>
              <w:rPr>
                <w:rFonts w:asciiTheme="majorHAnsi" w:hAnsiTheme="majorHAnsi" w:cstheme="majorHAnsi"/>
                <w:b/>
              </w:rPr>
            </w:pPr>
            <w:r>
              <w:rPr>
                <w:rFonts w:asciiTheme="majorHAnsi" w:hAnsiTheme="majorHAnsi" w:cstheme="majorHAnsi"/>
                <w:b/>
              </w:rPr>
              <w:t xml:space="preserve"> np. 4100 </w:t>
            </w:r>
            <w:r w:rsidRPr="008517A5">
              <w:rPr>
                <w:rFonts w:asciiTheme="majorHAnsi" w:hAnsiTheme="majorHAnsi" w:cstheme="majorHAnsi"/>
                <w:b/>
              </w:rPr>
              <w:t>zł</w:t>
            </w:r>
          </w:p>
        </w:tc>
        <w:tc>
          <w:tcPr>
            <w:tcW w:w="1874" w:type="dxa"/>
          </w:tcPr>
          <w:p w:rsidR="001D52F5" w:rsidRPr="008517A5" w:rsidRDefault="001D52F5" w:rsidP="00122375">
            <w:pPr>
              <w:pStyle w:val="Bezodstpw"/>
              <w:jc w:val="right"/>
              <w:rPr>
                <w:rFonts w:asciiTheme="majorHAnsi" w:hAnsiTheme="majorHAnsi" w:cstheme="majorHAnsi"/>
                <w:b/>
              </w:rPr>
            </w:pPr>
            <w:r w:rsidRPr="008517A5">
              <w:rPr>
                <w:rFonts w:asciiTheme="majorHAnsi" w:hAnsiTheme="majorHAnsi" w:cstheme="majorHAnsi"/>
                <w:b/>
              </w:rPr>
              <w:t>do 1</w:t>
            </w:r>
            <w:r>
              <w:rPr>
                <w:rFonts w:asciiTheme="majorHAnsi" w:hAnsiTheme="majorHAnsi" w:cstheme="majorHAnsi"/>
                <w:b/>
              </w:rPr>
              <w:t>5</w:t>
            </w:r>
            <w:r w:rsidRPr="008517A5">
              <w:rPr>
                <w:rFonts w:asciiTheme="majorHAnsi" w:hAnsiTheme="majorHAnsi" w:cstheme="majorHAnsi"/>
                <w:b/>
              </w:rPr>
              <w:t>50 zł</w:t>
            </w:r>
          </w:p>
        </w:tc>
      </w:tr>
    </w:tbl>
    <w:p w:rsidR="001D52F5" w:rsidRPr="001A147E" w:rsidRDefault="001D52F5" w:rsidP="001D52F5">
      <w:pPr>
        <w:pStyle w:val="Bezodstpw"/>
        <w:rPr>
          <w:rFonts w:cstheme="majorHAnsi"/>
          <w:b/>
          <w:i/>
          <w:sz w:val="20"/>
          <w:szCs w:val="20"/>
        </w:rPr>
      </w:pPr>
      <w:r w:rsidRPr="001A147E">
        <w:rPr>
          <w:rFonts w:cstheme="majorHAnsi"/>
          <w:i/>
          <w:sz w:val="20"/>
          <w:szCs w:val="20"/>
        </w:rPr>
        <w:t>*Suma należnych odsetek zależy od sposobu spłaty</w:t>
      </w:r>
    </w:p>
    <w:p w:rsidR="001D52F5" w:rsidRDefault="001D52F5" w:rsidP="001D52F5">
      <w:pPr>
        <w:pStyle w:val="Bezodstpw"/>
        <w:rPr>
          <w:rFonts w:asciiTheme="majorHAnsi" w:hAnsiTheme="majorHAnsi" w:cstheme="majorHAnsi"/>
          <w:b/>
          <w:szCs w:val="24"/>
        </w:rPr>
      </w:pPr>
    </w:p>
    <w:p w:rsidR="001D52F5" w:rsidRPr="00D810F1" w:rsidRDefault="001D52F5" w:rsidP="001D52F5">
      <w:pPr>
        <w:pStyle w:val="Bezodstpw"/>
        <w:rPr>
          <w:rFonts w:asciiTheme="majorHAnsi" w:hAnsiTheme="majorHAnsi" w:cstheme="majorHAnsi"/>
          <w:b/>
          <w:szCs w:val="24"/>
        </w:rPr>
      </w:pPr>
      <w:r w:rsidRPr="00D810F1">
        <w:rPr>
          <w:rFonts w:asciiTheme="majorHAnsi" w:hAnsiTheme="majorHAnsi" w:cstheme="majorHAnsi"/>
          <w:b/>
          <w:szCs w:val="24"/>
        </w:rPr>
        <w:t>KONIEC Z ODBIERANIEM MIESZKAŃ</w:t>
      </w:r>
    </w:p>
    <w:p w:rsidR="001D52F5" w:rsidRDefault="001D52F5" w:rsidP="001D52F5">
      <w:pPr>
        <w:pStyle w:val="Bezodstpw"/>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Ponad 400 osób, które straciły domy i mieszkania o wartości przeszło 20 milionów – to ujawniony wiosną 2018 roku przez prokuraturę bilans afery lichwiarskiej na Pomorzu. Przestępcy byli tak perfidni, że wyszukiwali swoje ofiary nawet na tablicy ogłoszeń w Urzędzie Miejskim w Gdańsku, gdzie informowano o komorniczych licytacjach. Osobom, które popadły w kłopoty finansowe, oferowali pożyczki pod zastaw ich mieszkań. Jedynym celem było przejęcie nieruchomości. Ich właścicieli zmuszali do udzielania pełnomocnictw, by ich stamtąd wymeldować.</w:t>
      </w:r>
    </w:p>
    <w:p w:rsidR="001D52F5" w:rsidRDefault="001D52F5" w:rsidP="001D52F5">
      <w:pPr>
        <w:pStyle w:val="Bezodstpw"/>
        <w:jc w:val="both"/>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Oszuści i współpracujący z nimi notariusze z Trójmiasta usłyszeli prokuratorskie zarzuty i staną przed sądem. Ale prawo wciąż nie chroni dostatecznie Polaków przed naciągaczami. Podobne, choć mniej głośne przypadki mają miejsce w całej Polsce. Zdarza się, że prowadzą do tragedii – samobójstw ludzi, którzy na rzecz lichwiarzy tracą wszystko, co mają.</w:t>
      </w:r>
    </w:p>
    <w:p w:rsidR="001D52F5" w:rsidRPr="0057129F" w:rsidRDefault="001D52F5" w:rsidP="001D52F5">
      <w:pPr>
        <w:pStyle w:val="Bezodstpw"/>
        <w:rPr>
          <w:rFonts w:asciiTheme="majorHAnsi" w:hAnsiTheme="majorHAnsi" w:cstheme="majorHAnsi"/>
          <w:sz w:val="10"/>
          <w:szCs w:val="10"/>
        </w:rPr>
      </w:pPr>
    </w:p>
    <w:p w:rsidR="001D52F5" w:rsidRDefault="001D52F5" w:rsidP="001D52F5">
      <w:pPr>
        <w:pStyle w:val="Bezodstpw"/>
        <w:rPr>
          <w:rFonts w:asciiTheme="majorHAnsi" w:hAnsiTheme="majorHAnsi" w:cstheme="majorHAnsi"/>
          <w:szCs w:val="24"/>
        </w:rPr>
      </w:pPr>
      <w:r>
        <w:rPr>
          <w:rFonts w:asciiTheme="majorHAnsi" w:hAnsiTheme="majorHAnsi" w:cstheme="majorHAnsi"/>
          <w:szCs w:val="24"/>
        </w:rPr>
        <w:t>–––––––––––––––––––––––––––––––––––</w:t>
      </w:r>
    </w:p>
    <w:p w:rsidR="001D52F5" w:rsidRPr="008601B6" w:rsidRDefault="001D52F5" w:rsidP="001D52F5">
      <w:pPr>
        <w:pStyle w:val="Bezodstpw"/>
        <w:rPr>
          <w:rFonts w:asciiTheme="majorHAnsi" w:hAnsiTheme="majorHAnsi" w:cstheme="majorHAnsi"/>
          <w:sz w:val="10"/>
          <w:szCs w:val="10"/>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WINA BEZ KARY</w:t>
      </w:r>
    </w:p>
    <w:p w:rsidR="001D52F5" w:rsidRDefault="001D52F5" w:rsidP="001D52F5">
      <w:pPr>
        <w:pStyle w:val="Bezodstpw"/>
        <w:jc w:val="both"/>
        <w:rPr>
          <w:rFonts w:asciiTheme="majorHAnsi" w:hAnsiTheme="majorHAnsi" w:cstheme="majorHAnsi"/>
          <w:szCs w:val="24"/>
        </w:rPr>
      </w:pPr>
      <w:r w:rsidRPr="00CE4213">
        <w:rPr>
          <w:rFonts w:asciiTheme="majorHAnsi" w:hAnsiTheme="majorHAnsi" w:cstheme="majorHAnsi"/>
          <w:szCs w:val="24"/>
        </w:rPr>
        <w:t xml:space="preserve">Według badań Instytutu Wymiaru Sprawiedliwości w latach 2008-2010 w prawie 90 proc. spraw związanych z lichwiarskimi pożyczkami </w:t>
      </w:r>
      <w:r>
        <w:rPr>
          <w:rFonts w:asciiTheme="majorHAnsi" w:hAnsiTheme="majorHAnsi" w:cstheme="majorHAnsi"/>
          <w:szCs w:val="24"/>
        </w:rPr>
        <w:t>prokuratury umarzały</w:t>
      </w:r>
      <w:r w:rsidRPr="00CE4213">
        <w:rPr>
          <w:rFonts w:asciiTheme="majorHAnsi" w:hAnsiTheme="majorHAnsi" w:cstheme="majorHAnsi"/>
          <w:szCs w:val="24"/>
        </w:rPr>
        <w:t xml:space="preserve"> postępowania lub </w:t>
      </w:r>
      <w:r>
        <w:rPr>
          <w:rFonts w:asciiTheme="majorHAnsi" w:hAnsiTheme="majorHAnsi" w:cstheme="majorHAnsi"/>
          <w:szCs w:val="24"/>
        </w:rPr>
        <w:t>odmawiały</w:t>
      </w:r>
      <w:r w:rsidRPr="00CE4213">
        <w:rPr>
          <w:rFonts w:asciiTheme="majorHAnsi" w:hAnsiTheme="majorHAnsi" w:cstheme="majorHAnsi"/>
          <w:szCs w:val="24"/>
        </w:rPr>
        <w:t xml:space="preserve"> ich wszczęcia. Jedynie 20 przypadków zakończyło się skierowaniem do sądów aktów oskarżenia, a tylko w 4 sprawach wydano wyroki skazujące lichwiarzy.</w:t>
      </w:r>
    </w:p>
    <w:p w:rsidR="001D52F5" w:rsidRDefault="001D52F5" w:rsidP="001D52F5">
      <w:pPr>
        <w:pStyle w:val="Bezodstpw"/>
        <w:rPr>
          <w:rFonts w:asciiTheme="majorHAnsi" w:hAnsiTheme="majorHAnsi" w:cstheme="majorHAnsi"/>
          <w:szCs w:val="24"/>
        </w:rPr>
      </w:pPr>
      <w:r>
        <w:rPr>
          <w:rFonts w:asciiTheme="majorHAnsi" w:hAnsiTheme="majorHAnsi" w:cstheme="majorHAnsi"/>
          <w:szCs w:val="24"/>
        </w:rPr>
        <w:t>–––––––––––––––––––––––––––––––––––</w:t>
      </w:r>
    </w:p>
    <w:p w:rsidR="001D52F5" w:rsidRPr="00A254E3" w:rsidRDefault="001D52F5" w:rsidP="001D52F5">
      <w:pPr>
        <w:pStyle w:val="Bezodstpw"/>
        <w:rPr>
          <w:rFonts w:asciiTheme="majorHAnsi" w:hAnsiTheme="majorHAnsi" w:cstheme="majorHAnsi"/>
          <w:sz w:val="10"/>
          <w:szCs w:val="10"/>
        </w:rPr>
      </w:pPr>
    </w:p>
    <w:p w:rsidR="001D52F5" w:rsidRPr="00CB6D6D" w:rsidRDefault="001D52F5" w:rsidP="001D52F5">
      <w:pPr>
        <w:pStyle w:val="Bezodstpw"/>
        <w:rPr>
          <w:rFonts w:asciiTheme="majorHAnsi" w:hAnsiTheme="majorHAnsi" w:cstheme="majorHAnsi"/>
          <w:b/>
          <w:szCs w:val="24"/>
        </w:rPr>
      </w:pPr>
      <w:r w:rsidRPr="00CB6D6D">
        <w:rPr>
          <w:rFonts w:asciiTheme="majorHAnsi" w:hAnsiTheme="majorHAnsi" w:cstheme="majorHAnsi"/>
          <w:b/>
          <w:szCs w:val="24"/>
        </w:rPr>
        <w:t>To się zmieni</w:t>
      </w: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Nie będzie więcej odbierania mieszkań i domów, pozbawiania dorobku całego życia osób, które nie spłaciły pożyczki o wielokrotnie niższej wysokości. Nowe prawo wprowadzi ścisłe limity w zakresie ustanawianych zabezpieczeń. Ograniczy też pobieranie dodatkowych opłat.</w:t>
      </w:r>
    </w:p>
    <w:p w:rsidR="001D52F5" w:rsidRDefault="001D52F5" w:rsidP="001D52F5">
      <w:pPr>
        <w:pStyle w:val="Bezodstpw"/>
        <w:jc w:val="both"/>
        <w:rPr>
          <w:rFonts w:asciiTheme="majorHAnsi" w:hAnsiTheme="majorHAnsi" w:cstheme="majorHAnsi"/>
          <w:szCs w:val="24"/>
        </w:rPr>
      </w:pPr>
    </w:p>
    <w:p w:rsidR="0056386B" w:rsidRDefault="001D52F5" w:rsidP="001D52F5">
      <w:pPr>
        <w:rPr>
          <w:rFonts w:asciiTheme="majorHAnsi" w:hAnsiTheme="majorHAnsi" w:cstheme="majorHAnsi"/>
          <w:b/>
          <w:sz w:val="24"/>
          <w:szCs w:val="24"/>
        </w:rPr>
      </w:pPr>
      <w:r w:rsidRPr="00681D26">
        <w:rPr>
          <w:rFonts w:asciiTheme="majorHAnsi" w:hAnsiTheme="majorHAnsi" w:cstheme="majorHAnsi"/>
          <w:b/>
          <w:sz w:val="24"/>
          <w:szCs w:val="24"/>
        </w:rPr>
        <w:t xml:space="preserve">Zabezpieczenie pożyczek nie będzie mogło przekraczać wysokości pożyczonej kwoty powiększonej maksymalnie o </w:t>
      </w:r>
      <w:r>
        <w:rPr>
          <w:rFonts w:asciiTheme="majorHAnsi" w:hAnsiTheme="majorHAnsi" w:cstheme="majorHAnsi"/>
          <w:b/>
          <w:sz w:val="24"/>
          <w:szCs w:val="24"/>
        </w:rPr>
        <w:t>45</w:t>
      </w:r>
      <w:r w:rsidRPr="00681D26">
        <w:rPr>
          <w:rFonts w:asciiTheme="majorHAnsi" w:hAnsiTheme="majorHAnsi" w:cstheme="majorHAnsi"/>
          <w:b/>
          <w:sz w:val="24"/>
          <w:szCs w:val="24"/>
        </w:rPr>
        <w:t xml:space="preserve"> proc</w:t>
      </w:r>
      <w:r>
        <w:rPr>
          <w:rFonts w:asciiTheme="majorHAnsi" w:hAnsiTheme="majorHAnsi" w:cstheme="majorHAnsi"/>
          <w:b/>
          <w:sz w:val="24"/>
          <w:szCs w:val="24"/>
        </w:rPr>
        <w:t>.  Dotyczy to zarówno pożyczek</w:t>
      </w:r>
    </w:p>
    <w:p w:rsidR="001D52F5" w:rsidRDefault="001D52F5" w:rsidP="001D52F5">
      <w:r>
        <w:rPr>
          <w:rFonts w:asciiTheme="majorHAnsi" w:hAnsiTheme="majorHAnsi" w:cstheme="majorHAnsi"/>
          <w:b/>
          <w:sz w:val="24"/>
          <w:szCs w:val="24"/>
        </w:rPr>
        <w:lastRenderedPageBreak/>
        <w:t xml:space="preserve">udzielanych na podstawie umowy cywilno-prawnej, jak kredytów  konsumenckich udzielony przez instytucje </w:t>
      </w:r>
      <w:proofErr w:type="spellStart"/>
      <w:r>
        <w:rPr>
          <w:rFonts w:asciiTheme="majorHAnsi" w:hAnsiTheme="majorHAnsi" w:cstheme="majorHAnsi"/>
          <w:b/>
          <w:sz w:val="24"/>
          <w:szCs w:val="24"/>
        </w:rPr>
        <w:t>parabankowe</w:t>
      </w:r>
      <w:proofErr w:type="spellEnd"/>
      <w:r>
        <w:rPr>
          <w:rFonts w:asciiTheme="majorHAnsi" w:hAnsiTheme="majorHAnsi" w:cstheme="majorHAnsi"/>
          <w:b/>
          <w:sz w:val="24"/>
          <w:szCs w:val="24"/>
        </w:rPr>
        <w:t xml:space="preserve">. </w:t>
      </w:r>
    </w:p>
    <w:p w:rsidR="001D52F5" w:rsidRPr="004A2A8F" w:rsidRDefault="001D52F5" w:rsidP="001D52F5">
      <w:pPr>
        <w:pStyle w:val="Bezodstpw"/>
        <w:jc w:val="both"/>
        <w:rPr>
          <w:rFonts w:asciiTheme="majorHAnsi" w:hAnsiTheme="majorHAnsi" w:cstheme="majorHAnsi"/>
          <w:b/>
          <w:szCs w:val="24"/>
        </w:rPr>
      </w:pPr>
      <w:r>
        <w:rPr>
          <w:rFonts w:asciiTheme="majorHAnsi" w:hAnsiTheme="majorHAnsi" w:cstheme="majorHAnsi"/>
          <w:b/>
          <w:szCs w:val="24"/>
        </w:rPr>
        <w:t xml:space="preserve">Projekt przewiduje karę </w:t>
      </w:r>
      <w:r w:rsidRPr="004A2A8F">
        <w:rPr>
          <w:rFonts w:asciiTheme="majorHAnsi" w:hAnsiTheme="majorHAnsi" w:cstheme="majorHAnsi"/>
          <w:b/>
          <w:szCs w:val="24"/>
        </w:rPr>
        <w:t xml:space="preserve">pozbawienia </w:t>
      </w:r>
      <w:r>
        <w:rPr>
          <w:rFonts w:asciiTheme="majorHAnsi" w:hAnsiTheme="majorHAnsi" w:cstheme="majorHAnsi"/>
          <w:b/>
          <w:szCs w:val="24"/>
        </w:rPr>
        <w:t>wolności od 3 miesięcy do lat 5 dla tego, k</w:t>
      </w:r>
      <w:r w:rsidRPr="004A2A8F">
        <w:rPr>
          <w:rFonts w:asciiTheme="majorHAnsi" w:hAnsiTheme="majorHAnsi" w:cstheme="majorHAnsi"/>
          <w:b/>
          <w:szCs w:val="24"/>
        </w:rPr>
        <w:t>to</w:t>
      </w:r>
      <w:r>
        <w:rPr>
          <w:rFonts w:asciiTheme="majorHAnsi" w:hAnsiTheme="majorHAnsi" w:cstheme="majorHAnsi"/>
          <w:b/>
          <w:szCs w:val="24"/>
        </w:rPr>
        <w:t xml:space="preserve"> </w:t>
      </w:r>
      <w:r w:rsidRPr="004A2A8F">
        <w:rPr>
          <w:rFonts w:asciiTheme="majorHAnsi" w:hAnsiTheme="majorHAnsi" w:cstheme="majorHAnsi"/>
          <w:b/>
          <w:szCs w:val="24"/>
        </w:rPr>
        <w:t xml:space="preserve">w zamian za udzielone osobie fizycznej świadczenie pieniężne wynikające </w:t>
      </w:r>
      <w:r>
        <w:rPr>
          <w:rFonts w:asciiTheme="majorHAnsi" w:hAnsiTheme="majorHAnsi" w:cstheme="majorHAnsi"/>
          <w:b/>
          <w:szCs w:val="24"/>
        </w:rPr>
        <w:t xml:space="preserve">m. in. </w:t>
      </w:r>
      <w:r w:rsidRPr="004A2A8F">
        <w:rPr>
          <w:rFonts w:asciiTheme="majorHAnsi" w:hAnsiTheme="majorHAnsi" w:cstheme="majorHAnsi"/>
          <w:b/>
          <w:szCs w:val="24"/>
        </w:rPr>
        <w:t xml:space="preserve">z umowy pożyczki, żąda od niej zapłaty kosztów </w:t>
      </w:r>
      <w:r>
        <w:rPr>
          <w:rFonts w:asciiTheme="majorHAnsi" w:hAnsiTheme="majorHAnsi" w:cstheme="majorHAnsi"/>
          <w:b/>
          <w:szCs w:val="24"/>
        </w:rPr>
        <w:t xml:space="preserve">dodatkowych dwukrotnie wyższych niż maksymalne lub </w:t>
      </w:r>
      <w:r w:rsidRPr="004A2A8F">
        <w:rPr>
          <w:rFonts w:asciiTheme="majorHAnsi" w:hAnsiTheme="majorHAnsi" w:cstheme="majorHAnsi"/>
          <w:b/>
          <w:szCs w:val="24"/>
        </w:rPr>
        <w:t xml:space="preserve">żąda od niej zapłaty odsetek </w:t>
      </w:r>
      <w:r>
        <w:rPr>
          <w:rFonts w:asciiTheme="majorHAnsi" w:hAnsiTheme="majorHAnsi" w:cstheme="majorHAnsi"/>
          <w:b/>
          <w:szCs w:val="24"/>
        </w:rPr>
        <w:t xml:space="preserve">w stopie dwukrotnie wyższej niż maksymalna. </w:t>
      </w:r>
    </w:p>
    <w:p w:rsidR="001D52F5" w:rsidRPr="00681D26" w:rsidRDefault="001D52F5" w:rsidP="001D52F5">
      <w:pPr>
        <w:pStyle w:val="Bezodstpw"/>
        <w:jc w:val="both"/>
        <w:rPr>
          <w:rFonts w:asciiTheme="majorHAnsi" w:hAnsiTheme="majorHAnsi" w:cstheme="majorHAnsi"/>
          <w:b/>
          <w:szCs w:val="24"/>
        </w:rPr>
      </w:pPr>
    </w:p>
    <w:p w:rsidR="001D52F5" w:rsidRPr="00347B7A" w:rsidRDefault="001D52F5" w:rsidP="001D52F5">
      <w:pPr>
        <w:pStyle w:val="Bezodstpw"/>
        <w:jc w:val="both"/>
        <w:rPr>
          <w:rFonts w:asciiTheme="majorHAnsi" w:hAnsiTheme="majorHAnsi"/>
          <w:szCs w:val="24"/>
        </w:rPr>
      </w:pPr>
      <w:r w:rsidRPr="00347B7A">
        <w:rPr>
          <w:rFonts w:asciiTheme="majorHAnsi" w:hAnsiTheme="majorHAnsi"/>
          <w:szCs w:val="24"/>
        </w:rPr>
        <w:t xml:space="preserve">W przypadku bankowej pożyczki konsumenckiej (to pożyczka do 255 tys. 550 zł udzielona na podstawie ustawy o kredycie konsumenckim) dodatkowe opłaty nie będą mogły przekroczyć 45 proc. kwoty pożyczki w skali roku. Maksymalne odsetki to 10 proc. w skali roku. </w:t>
      </w:r>
    </w:p>
    <w:p w:rsidR="001D52F5" w:rsidRPr="00347B7A" w:rsidRDefault="001D52F5" w:rsidP="001D52F5">
      <w:pPr>
        <w:pStyle w:val="Bezodstpw"/>
        <w:jc w:val="both"/>
        <w:rPr>
          <w:rFonts w:asciiTheme="majorHAnsi" w:hAnsiTheme="majorHAnsi"/>
          <w:szCs w:val="24"/>
        </w:rPr>
      </w:pPr>
    </w:p>
    <w:p w:rsidR="001D52F5" w:rsidRPr="00347B7A" w:rsidRDefault="001D52F5" w:rsidP="001D52F5">
      <w:pPr>
        <w:pStyle w:val="Bezodstpw"/>
        <w:jc w:val="both"/>
        <w:rPr>
          <w:rFonts w:asciiTheme="majorHAnsi" w:hAnsiTheme="majorHAnsi"/>
          <w:szCs w:val="24"/>
        </w:rPr>
      </w:pPr>
      <w:r w:rsidRPr="00347B7A">
        <w:rPr>
          <w:rFonts w:asciiTheme="majorHAnsi" w:hAnsiTheme="majorHAnsi"/>
          <w:szCs w:val="24"/>
        </w:rPr>
        <w:t xml:space="preserve">Wskazany limit będzie także obowiązywał w przypadku bankowej pożyczki dla osoby fizycznej na wyższą kwotę. Przy pożyczce udzielanej na podstawie umowy cywilno-prawnej zostanie wprowadzony limit dodatkowych opłat w wysokości 25 proc. pożyczonej kwoty. </w:t>
      </w:r>
    </w:p>
    <w:p w:rsidR="001D52F5" w:rsidRPr="00347B7A" w:rsidRDefault="001D52F5" w:rsidP="001D52F5">
      <w:pPr>
        <w:pStyle w:val="Bezodstpw"/>
        <w:jc w:val="both"/>
        <w:rPr>
          <w:rFonts w:asciiTheme="majorHAnsi" w:hAnsiTheme="majorHAnsi" w:cstheme="majorHAnsi"/>
          <w:b/>
          <w:color w:val="FF0000"/>
          <w:szCs w:val="24"/>
        </w:rPr>
      </w:pPr>
    </w:p>
    <w:tbl>
      <w:tblPr>
        <w:tblStyle w:val="Tabela-Siatka"/>
        <w:tblW w:w="5000" w:type="pct"/>
        <w:tblLook w:val="04A0" w:firstRow="1" w:lastRow="0" w:firstColumn="1" w:lastColumn="0" w:noHBand="0" w:noVBand="1"/>
      </w:tblPr>
      <w:tblGrid>
        <w:gridCol w:w="4507"/>
        <w:gridCol w:w="747"/>
        <w:gridCol w:w="2017"/>
        <w:gridCol w:w="2017"/>
      </w:tblGrid>
      <w:tr w:rsidR="001D52F5" w:rsidTr="00122375">
        <w:tc>
          <w:tcPr>
            <w:tcW w:w="5000" w:type="pct"/>
            <w:gridSpan w:val="4"/>
          </w:tcPr>
          <w:p w:rsidR="001D52F5" w:rsidRPr="003C5B3E" w:rsidRDefault="001D52F5" w:rsidP="00122375">
            <w:pPr>
              <w:pStyle w:val="Bezodstpw"/>
              <w:jc w:val="center"/>
              <w:rPr>
                <w:rFonts w:asciiTheme="majorHAnsi" w:hAnsiTheme="majorHAnsi" w:cstheme="majorHAnsi"/>
                <w:b/>
                <w:sz w:val="30"/>
                <w:szCs w:val="30"/>
              </w:rPr>
            </w:pPr>
            <w:r w:rsidRPr="003C5B3E">
              <w:rPr>
                <w:rFonts w:asciiTheme="majorHAnsi" w:hAnsiTheme="majorHAnsi" w:cstheme="majorHAnsi"/>
                <w:b/>
                <w:sz w:val="30"/>
                <w:szCs w:val="30"/>
              </w:rPr>
              <w:t xml:space="preserve">Ile naprawdę kosztuje </w:t>
            </w:r>
            <w:r>
              <w:rPr>
                <w:rFonts w:asciiTheme="majorHAnsi" w:hAnsiTheme="majorHAnsi" w:cstheme="majorHAnsi"/>
                <w:b/>
                <w:sz w:val="30"/>
                <w:szCs w:val="30"/>
              </w:rPr>
              <w:t>10 000 zł pożyczone na rok od prywatnej osoby</w:t>
            </w:r>
          </w:p>
        </w:tc>
      </w:tr>
      <w:tr w:rsidR="001D52F5" w:rsidTr="00122375">
        <w:tc>
          <w:tcPr>
            <w:tcW w:w="2828" w:type="pct"/>
            <w:gridSpan w:val="2"/>
          </w:tcPr>
          <w:p w:rsidR="001D52F5" w:rsidRDefault="001D52F5" w:rsidP="00122375">
            <w:pPr>
              <w:pStyle w:val="Bezodstpw"/>
              <w:rPr>
                <w:rFonts w:asciiTheme="majorHAnsi" w:hAnsiTheme="majorHAnsi" w:cstheme="majorHAnsi"/>
              </w:rPr>
            </w:pPr>
          </w:p>
        </w:tc>
        <w:tc>
          <w:tcPr>
            <w:tcW w:w="1086" w:type="pct"/>
          </w:tcPr>
          <w:p w:rsidR="001D52F5" w:rsidRPr="00C46900" w:rsidRDefault="001D52F5" w:rsidP="00122375">
            <w:pPr>
              <w:pStyle w:val="Bezodstpw"/>
              <w:jc w:val="center"/>
              <w:rPr>
                <w:rFonts w:asciiTheme="majorHAnsi" w:hAnsiTheme="majorHAnsi" w:cstheme="majorHAnsi"/>
                <w:b/>
              </w:rPr>
            </w:pPr>
            <w:r w:rsidRPr="00C46900">
              <w:rPr>
                <w:rFonts w:asciiTheme="majorHAnsi" w:hAnsiTheme="majorHAnsi" w:cstheme="majorHAnsi"/>
                <w:b/>
              </w:rPr>
              <w:t>JEST</w:t>
            </w:r>
          </w:p>
        </w:tc>
        <w:tc>
          <w:tcPr>
            <w:tcW w:w="1086" w:type="pct"/>
          </w:tcPr>
          <w:p w:rsidR="001D52F5" w:rsidRPr="00C46900" w:rsidRDefault="001D52F5" w:rsidP="00122375">
            <w:pPr>
              <w:pStyle w:val="Bezodstpw"/>
              <w:jc w:val="center"/>
              <w:rPr>
                <w:rFonts w:asciiTheme="majorHAnsi" w:hAnsiTheme="majorHAnsi" w:cstheme="majorHAnsi"/>
                <w:b/>
              </w:rPr>
            </w:pPr>
            <w:r w:rsidRPr="00C46900">
              <w:rPr>
                <w:rFonts w:asciiTheme="majorHAnsi" w:hAnsiTheme="majorHAnsi" w:cstheme="majorHAnsi"/>
                <w:b/>
              </w:rPr>
              <w:t>BĘDZIE</w:t>
            </w:r>
          </w:p>
        </w:tc>
      </w:tr>
      <w:tr w:rsidR="001D52F5" w:rsidTr="00122375">
        <w:tc>
          <w:tcPr>
            <w:tcW w:w="2828" w:type="pct"/>
            <w:gridSpan w:val="2"/>
          </w:tcPr>
          <w:p w:rsidR="001D52F5" w:rsidRDefault="001D52F5" w:rsidP="00122375">
            <w:pPr>
              <w:pStyle w:val="Bezodstpw"/>
              <w:rPr>
                <w:rFonts w:asciiTheme="majorHAnsi" w:hAnsiTheme="majorHAnsi" w:cstheme="majorHAnsi"/>
              </w:rPr>
            </w:pPr>
          </w:p>
        </w:tc>
        <w:tc>
          <w:tcPr>
            <w:tcW w:w="1086" w:type="pct"/>
          </w:tcPr>
          <w:p w:rsidR="001D52F5" w:rsidRDefault="001D52F5" w:rsidP="00122375">
            <w:pPr>
              <w:pStyle w:val="Bezodstpw"/>
              <w:rPr>
                <w:rFonts w:asciiTheme="majorHAnsi" w:hAnsiTheme="majorHAnsi" w:cstheme="majorHAnsi"/>
              </w:rPr>
            </w:pPr>
          </w:p>
        </w:tc>
        <w:tc>
          <w:tcPr>
            <w:tcW w:w="1086" w:type="pct"/>
          </w:tcPr>
          <w:p w:rsidR="001D52F5" w:rsidRDefault="001D52F5" w:rsidP="00122375">
            <w:pPr>
              <w:pStyle w:val="Bezodstpw"/>
              <w:rPr>
                <w:rFonts w:asciiTheme="majorHAnsi" w:hAnsiTheme="majorHAnsi" w:cstheme="majorHAnsi"/>
              </w:rPr>
            </w:pPr>
          </w:p>
        </w:tc>
      </w:tr>
      <w:tr w:rsidR="001D52F5" w:rsidTr="00122375">
        <w:tc>
          <w:tcPr>
            <w:tcW w:w="2828" w:type="pct"/>
            <w:gridSpan w:val="2"/>
          </w:tcPr>
          <w:p w:rsidR="001D52F5" w:rsidRDefault="001D52F5" w:rsidP="00122375">
            <w:pPr>
              <w:pStyle w:val="Bezodstpw"/>
              <w:rPr>
                <w:rFonts w:asciiTheme="majorHAnsi" w:hAnsiTheme="majorHAnsi" w:cstheme="majorHAnsi"/>
              </w:rPr>
            </w:pPr>
            <w:r>
              <w:rPr>
                <w:rFonts w:asciiTheme="majorHAnsi" w:hAnsiTheme="majorHAnsi" w:cstheme="majorHAnsi"/>
              </w:rPr>
              <w:t>wysokość pożyczki</w:t>
            </w:r>
          </w:p>
        </w:tc>
        <w:tc>
          <w:tcPr>
            <w:tcW w:w="1086" w:type="pct"/>
          </w:tcPr>
          <w:p w:rsidR="001D52F5" w:rsidRDefault="001D52F5" w:rsidP="00122375">
            <w:pPr>
              <w:pStyle w:val="Bezodstpw"/>
              <w:jc w:val="right"/>
              <w:rPr>
                <w:rFonts w:asciiTheme="majorHAnsi" w:hAnsiTheme="majorHAnsi" w:cstheme="majorHAnsi"/>
              </w:rPr>
            </w:pPr>
            <w:r>
              <w:rPr>
                <w:rFonts w:asciiTheme="majorHAnsi" w:hAnsiTheme="majorHAnsi" w:cstheme="majorHAnsi"/>
              </w:rPr>
              <w:t>10 000 zł</w:t>
            </w:r>
          </w:p>
        </w:tc>
        <w:tc>
          <w:tcPr>
            <w:tcW w:w="1086" w:type="pct"/>
          </w:tcPr>
          <w:p w:rsidR="001D52F5" w:rsidRDefault="001D52F5" w:rsidP="00122375">
            <w:pPr>
              <w:pStyle w:val="Bezodstpw"/>
              <w:jc w:val="right"/>
              <w:rPr>
                <w:rFonts w:asciiTheme="majorHAnsi" w:hAnsiTheme="majorHAnsi" w:cstheme="majorHAnsi"/>
              </w:rPr>
            </w:pPr>
            <w:r>
              <w:rPr>
                <w:rFonts w:asciiTheme="majorHAnsi" w:hAnsiTheme="majorHAnsi" w:cstheme="majorHAnsi"/>
              </w:rPr>
              <w:t>10 000 zł</w:t>
            </w:r>
          </w:p>
        </w:tc>
      </w:tr>
      <w:tr w:rsidR="001D52F5" w:rsidTr="00122375">
        <w:tc>
          <w:tcPr>
            <w:tcW w:w="2828" w:type="pct"/>
            <w:gridSpan w:val="2"/>
          </w:tcPr>
          <w:p w:rsidR="001D52F5" w:rsidRDefault="001D52F5" w:rsidP="00122375">
            <w:pPr>
              <w:pStyle w:val="Bezodstpw"/>
              <w:rPr>
                <w:rFonts w:asciiTheme="majorHAnsi" w:hAnsiTheme="majorHAnsi" w:cstheme="majorHAnsi"/>
              </w:rPr>
            </w:pPr>
            <w:r>
              <w:rPr>
                <w:rFonts w:asciiTheme="majorHAnsi" w:hAnsiTheme="majorHAnsi" w:cstheme="majorHAnsi"/>
              </w:rPr>
              <w:t>wysokość odsetek</w:t>
            </w:r>
          </w:p>
        </w:tc>
        <w:tc>
          <w:tcPr>
            <w:tcW w:w="1086" w:type="pct"/>
          </w:tcPr>
          <w:p w:rsidR="001D52F5" w:rsidRDefault="001D52F5" w:rsidP="00122375">
            <w:pPr>
              <w:pStyle w:val="Bezodstpw"/>
              <w:jc w:val="right"/>
              <w:rPr>
                <w:rFonts w:asciiTheme="majorHAnsi" w:hAnsiTheme="majorHAnsi" w:cstheme="majorHAnsi"/>
              </w:rPr>
            </w:pPr>
            <w:r>
              <w:rPr>
                <w:rFonts w:asciiTheme="majorHAnsi" w:hAnsiTheme="majorHAnsi" w:cstheme="majorHAnsi"/>
              </w:rPr>
              <w:t>do 1000 zł</w:t>
            </w:r>
          </w:p>
        </w:tc>
        <w:tc>
          <w:tcPr>
            <w:tcW w:w="1086" w:type="pct"/>
          </w:tcPr>
          <w:p w:rsidR="001D52F5" w:rsidRDefault="001D52F5" w:rsidP="00122375">
            <w:pPr>
              <w:pStyle w:val="Bezodstpw"/>
              <w:jc w:val="right"/>
              <w:rPr>
                <w:rFonts w:asciiTheme="majorHAnsi" w:hAnsiTheme="majorHAnsi" w:cstheme="majorHAnsi"/>
              </w:rPr>
            </w:pPr>
            <w:r>
              <w:rPr>
                <w:rFonts w:asciiTheme="majorHAnsi" w:hAnsiTheme="majorHAnsi" w:cstheme="majorHAnsi"/>
              </w:rPr>
              <w:t>do 1000 zł*</w:t>
            </w:r>
          </w:p>
        </w:tc>
      </w:tr>
      <w:tr w:rsidR="001D52F5" w:rsidTr="00122375">
        <w:tc>
          <w:tcPr>
            <w:tcW w:w="2828" w:type="pct"/>
            <w:gridSpan w:val="2"/>
          </w:tcPr>
          <w:p w:rsidR="001D52F5" w:rsidRDefault="001D52F5" w:rsidP="00122375">
            <w:pPr>
              <w:pStyle w:val="Bezodstpw"/>
              <w:rPr>
                <w:rFonts w:asciiTheme="majorHAnsi" w:hAnsiTheme="majorHAnsi" w:cstheme="majorHAnsi"/>
              </w:rPr>
            </w:pPr>
            <w:r>
              <w:rPr>
                <w:rFonts w:asciiTheme="majorHAnsi" w:hAnsiTheme="majorHAnsi" w:cstheme="majorHAnsi"/>
              </w:rPr>
              <w:t>dodatkowe opłaty</w:t>
            </w:r>
          </w:p>
        </w:tc>
        <w:tc>
          <w:tcPr>
            <w:tcW w:w="1086" w:type="pct"/>
          </w:tcPr>
          <w:p w:rsidR="001D52F5" w:rsidRDefault="001D52F5" w:rsidP="00122375">
            <w:pPr>
              <w:pStyle w:val="Bezodstpw"/>
              <w:jc w:val="right"/>
              <w:rPr>
                <w:rFonts w:asciiTheme="majorHAnsi" w:hAnsiTheme="majorHAnsi" w:cstheme="majorHAnsi"/>
              </w:rPr>
            </w:pPr>
            <w:r>
              <w:rPr>
                <w:rFonts w:asciiTheme="majorHAnsi" w:hAnsiTheme="majorHAnsi" w:cstheme="majorHAnsi"/>
              </w:rPr>
              <w:t>bez limitu</w:t>
            </w:r>
          </w:p>
        </w:tc>
        <w:tc>
          <w:tcPr>
            <w:tcW w:w="1086" w:type="pct"/>
          </w:tcPr>
          <w:p w:rsidR="001D52F5" w:rsidRDefault="001D52F5" w:rsidP="00122375">
            <w:pPr>
              <w:pStyle w:val="Bezodstpw"/>
              <w:jc w:val="right"/>
              <w:rPr>
                <w:rFonts w:asciiTheme="majorHAnsi" w:hAnsiTheme="majorHAnsi" w:cstheme="majorHAnsi"/>
              </w:rPr>
            </w:pPr>
            <w:r>
              <w:rPr>
                <w:rFonts w:asciiTheme="majorHAnsi" w:hAnsiTheme="majorHAnsi" w:cstheme="majorHAnsi"/>
              </w:rPr>
              <w:t>do 2500 zł</w:t>
            </w:r>
          </w:p>
        </w:tc>
      </w:tr>
      <w:tr w:rsidR="001D52F5" w:rsidTr="00122375">
        <w:tc>
          <w:tcPr>
            <w:tcW w:w="2828" w:type="pct"/>
            <w:gridSpan w:val="2"/>
          </w:tcPr>
          <w:p w:rsidR="001D52F5" w:rsidRPr="008517A5" w:rsidRDefault="001D52F5" w:rsidP="00122375">
            <w:pPr>
              <w:pStyle w:val="Bezodstpw"/>
              <w:rPr>
                <w:rFonts w:asciiTheme="majorHAnsi" w:hAnsiTheme="majorHAnsi" w:cstheme="majorHAnsi"/>
              </w:rPr>
            </w:pPr>
            <w:r w:rsidRPr="008517A5">
              <w:rPr>
                <w:rFonts w:asciiTheme="majorHAnsi" w:hAnsiTheme="majorHAnsi" w:cstheme="majorHAnsi"/>
              </w:rPr>
              <w:t>RAZEM:</w:t>
            </w:r>
          </w:p>
        </w:tc>
        <w:tc>
          <w:tcPr>
            <w:tcW w:w="1086" w:type="pct"/>
          </w:tcPr>
          <w:p w:rsidR="001D52F5" w:rsidRPr="008517A5" w:rsidRDefault="001D52F5" w:rsidP="00122375">
            <w:pPr>
              <w:pStyle w:val="Bezodstpw"/>
              <w:jc w:val="right"/>
              <w:rPr>
                <w:rFonts w:asciiTheme="majorHAnsi" w:hAnsiTheme="majorHAnsi" w:cstheme="majorHAnsi"/>
                <w:b/>
              </w:rPr>
            </w:pPr>
            <w:r w:rsidRPr="008517A5">
              <w:rPr>
                <w:rFonts w:asciiTheme="majorHAnsi" w:hAnsiTheme="majorHAnsi" w:cstheme="majorHAnsi"/>
                <w:b/>
              </w:rPr>
              <w:t>bez limitu</w:t>
            </w:r>
          </w:p>
        </w:tc>
        <w:tc>
          <w:tcPr>
            <w:tcW w:w="1086" w:type="pct"/>
          </w:tcPr>
          <w:p w:rsidR="001D52F5" w:rsidRPr="008517A5" w:rsidRDefault="001D52F5" w:rsidP="00122375">
            <w:pPr>
              <w:pStyle w:val="Bezodstpw"/>
              <w:jc w:val="right"/>
              <w:rPr>
                <w:rFonts w:asciiTheme="majorHAnsi" w:hAnsiTheme="majorHAnsi" w:cstheme="majorHAnsi"/>
                <w:b/>
              </w:rPr>
            </w:pPr>
            <w:r>
              <w:rPr>
                <w:rFonts w:asciiTheme="majorHAnsi" w:hAnsiTheme="majorHAnsi" w:cstheme="majorHAnsi"/>
                <w:b/>
              </w:rPr>
              <w:t xml:space="preserve">do 13 500 </w:t>
            </w:r>
            <w:r w:rsidRPr="008517A5">
              <w:rPr>
                <w:rFonts w:asciiTheme="majorHAnsi" w:hAnsiTheme="majorHAnsi" w:cstheme="majorHAnsi"/>
                <w:b/>
              </w:rPr>
              <w:t>zł</w:t>
            </w:r>
          </w:p>
        </w:tc>
      </w:tr>
      <w:tr w:rsidR="001D52F5" w:rsidTr="00122375">
        <w:tc>
          <w:tcPr>
            <w:tcW w:w="5000" w:type="pct"/>
            <w:gridSpan w:val="4"/>
            <w:vAlign w:val="center"/>
          </w:tcPr>
          <w:p w:rsidR="001D52F5" w:rsidRDefault="001D52F5" w:rsidP="00122375">
            <w:pPr>
              <w:pStyle w:val="Bezodstpw"/>
              <w:jc w:val="center"/>
              <w:rPr>
                <w:rFonts w:asciiTheme="majorHAnsi" w:hAnsiTheme="majorHAnsi" w:cstheme="majorHAnsi"/>
              </w:rPr>
            </w:pPr>
            <w:r>
              <w:rPr>
                <w:rFonts w:asciiTheme="majorHAnsi" w:hAnsiTheme="majorHAnsi" w:cstheme="majorHAnsi"/>
                <w:b/>
                <w:sz w:val="30"/>
                <w:szCs w:val="30"/>
              </w:rPr>
              <w:t>Bezpieczny dom/mieszkanie</w:t>
            </w:r>
          </w:p>
        </w:tc>
      </w:tr>
      <w:tr w:rsidR="001D52F5" w:rsidTr="00122375">
        <w:tc>
          <w:tcPr>
            <w:tcW w:w="2426" w:type="pct"/>
            <w:vAlign w:val="center"/>
          </w:tcPr>
          <w:p w:rsidR="001D52F5" w:rsidRPr="004C567E" w:rsidRDefault="001D52F5" w:rsidP="00122375">
            <w:pPr>
              <w:pStyle w:val="Bezodstpw"/>
              <w:jc w:val="center"/>
              <w:rPr>
                <w:rFonts w:asciiTheme="majorHAnsi" w:hAnsiTheme="majorHAnsi" w:cstheme="majorHAnsi"/>
                <w:b/>
              </w:rPr>
            </w:pPr>
            <w:r w:rsidRPr="004C567E">
              <w:rPr>
                <w:rFonts w:asciiTheme="majorHAnsi" w:hAnsiTheme="majorHAnsi" w:cstheme="majorHAnsi"/>
                <w:b/>
              </w:rPr>
              <w:t>JEST</w:t>
            </w:r>
          </w:p>
        </w:tc>
        <w:tc>
          <w:tcPr>
            <w:tcW w:w="2574" w:type="pct"/>
            <w:gridSpan w:val="3"/>
            <w:vAlign w:val="center"/>
          </w:tcPr>
          <w:p w:rsidR="001D52F5" w:rsidRDefault="001D52F5" w:rsidP="00122375">
            <w:pPr>
              <w:pStyle w:val="Bezodstpw"/>
              <w:jc w:val="center"/>
              <w:rPr>
                <w:rFonts w:asciiTheme="majorHAnsi" w:hAnsiTheme="majorHAnsi" w:cstheme="majorHAnsi"/>
                <w:b/>
                <w:sz w:val="30"/>
                <w:szCs w:val="30"/>
              </w:rPr>
            </w:pPr>
            <w:r w:rsidRPr="00C46900">
              <w:rPr>
                <w:rFonts w:asciiTheme="majorHAnsi" w:hAnsiTheme="majorHAnsi" w:cstheme="majorHAnsi"/>
                <w:b/>
              </w:rPr>
              <w:t>BĘDZIE</w:t>
            </w:r>
          </w:p>
        </w:tc>
      </w:tr>
      <w:tr w:rsidR="001D52F5" w:rsidTr="00122375">
        <w:tc>
          <w:tcPr>
            <w:tcW w:w="2426" w:type="pct"/>
          </w:tcPr>
          <w:p w:rsidR="001D52F5" w:rsidRDefault="001D52F5" w:rsidP="00122375">
            <w:pPr>
              <w:pStyle w:val="Bezodstpw"/>
              <w:rPr>
                <w:rFonts w:asciiTheme="majorHAnsi" w:hAnsiTheme="majorHAnsi" w:cstheme="majorHAnsi"/>
                <w:b/>
              </w:rPr>
            </w:pPr>
            <w:r>
              <w:rPr>
                <w:rFonts w:asciiTheme="majorHAnsi" w:hAnsiTheme="majorHAnsi" w:cstheme="majorHAnsi"/>
                <w:b/>
              </w:rPr>
              <w:t>Dziś można stracić np. d</w:t>
            </w:r>
            <w:r w:rsidRPr="008517A5">
              <w:rPr>
                <w:rFonts w:asciiTheme="majorHAnsi" w:hAnsiTheme="majorHAnsi" w:cstheme="majorHAnsi"/>
                <w:b/>
              </w:rPr>
              <w:t xml:space="preserve">om </w:t>
            </w:r>
          </w:p>
          <w:p w:rsidR="001D52F5" w:rsidRDefault="001D52F5" w:rsidP="00122375">
            <w:pPr>
              <w:pStyle w:val="Bezodstpw"/>
              <w:rPr>
                <w:rFonts w:asciiTheme="majorHAnsi" w:hAnsiTheme="majorHAnsi" w:cstheme="majorHAnsi"/>
                <w:b/>
              </w:rPr>
            </w:pPr>
            <w:r w:rsidRPr="008517A5">
              <w:rPr>
                <w:rFonts w:asciiTheme="majorHAnsi" w:hAnsiTheme="majorHAnsi" w:cstheme="majorHAnsi"/>
                <w:b/>
              </w:rPr>
              <w:t>za 500 000 zł</w:t>
            </w:r>
          </w:p>
        </w:tc>
        <w:tc>
          <w:tcPr>
            <w:tcW w:w="2574" w:type="pct"/>
            <w:gridSpan w:val="3"/>
          </w:tcPr>
          <w:p w:rsidR="001D52F5" w:rsidRPr="00347B7A" w:rsidRDefault="001D52F5" w:rsidP="00122375">
            <w:pPr>
              <w:pStyle w:val="Bezodstpw"/>
              <w:rPr>
                <w:rFonts w:asciiTheme="majorHAnsi" w:hAnsiTheme="majorHAnsi" w:cstheme="majorHAnsi"/>
              </w:rPr>
            </w:pPr>
            <w:r w:rsidRPr="00347B7A">
              <w:rPr>
                <w:rFonts w:asciiTheme="majorHAnsi" w:hAnsiTheme="majorHAnsi" w:cstheme="majorHAnsi"/>
                <w:b/>
              </w:rPr>
              <w:t xml:space="preserve">W tym wypadku egzekucja komornicza z mieszkania nie będzie dopuszczalna. </w:t>
            </w:r>
            <w:r w:rsidRPr="00347B7A">
              <w:rPr>
                <w:rFonts w:asciiTheme="majorHAnsi" w:hAnsiTheme="majorHAnsi" w:cstheme="majorHAnsi"/>
              </w:rPr>
              <w:t>Aby ją wszcząć z domu wartego 500 </w:t>
            </w:r>
            <w:r>
              <w:rPr>
                <w:rFonts w:asciiTheme="majorHAnsi" w:hAnsiTheme="majorHAnsi" w:cstheme="majorHAnsi"/>
              </w:rPr>
              <w:t>tys.</w:t>
            </w:r>
            <w:r w:rsidRPr="00347B7A">
              <w:rPr>
                <w:rFonts w:asciiTheme="majorHAnsi" w:hAnsiTheme="majorHAnsi" w:cstheme="majorHAnsi"/>
              </w:rPr>
              <w:t xml:space="preserve"> zł, wartość samego zadłużenia z pożyczki bez dodatkowych kosztów musi wynosić 25</w:t>
            </w:r>
            <w:r>
              <w:rPr>
                <w:rFonts w:asciiTheme="majorHAnsi" w:hAnsiTheme="majorHAnsi" w:cstheme="majorHAnsi"/>
              </w:rPr>
              <w:t xml:space="preserve"> tys.</w:t>
            </w:r>
            <w:r w:rsidRPr="00347B7A">
              <w:rPr>
                <w:rFonts w:asciiTheme="majorHAnsi" w:hAnsiTheme="majorHAnsi" w:cstheme="majorHAnsi"/>
              </w:rPr>
              <w:t xml:space="preserve"> zł</w:t>
            </w:r>
          </w:p>
        </w:tc>
      </w:tr>
    </w:tbl>
    <w:p w:rsidR="001D52F5" w:rsidRPr="001A147E" w:rsidRDefault="001D52F5" w:rsidP="001D52F5">
      <w:pPr>
        <w:pStyle w:val="Bezodstpw"/>
        <w:jc w:val="both"/>
        <w:rPr>
          <w:rFonts w:cstheme="majorHAnsi"/>
          <w:i/>
          <w:sz w:val="20"/>
          <w:szCs w:val="20"/>
        </w:rPr>
      </w:pPr>
      <w:r w:rsidRPr="001A147E">
        <w:rPr>
          <w:rFonts w:cstheme="majorHAnsi"/>
          <w:i/>
          <w:sz w:val="20"/>
          <w:szCs w:val="20"/>
        </w:rPr>
        <w:t>*Suma należnych odsetek zależy od sposobu spłaty</w:t>
      </w:r>
    </w:p>
    <w:p w:rsidR="00A254E3" w:rsidRDefault="00A254E3" w:rsidP="001D52F5">
      <w:pPr>
        <w:pStyle w:val="Bezodstpw"/>
        <w:jc w:val="both"/>
        <w:rPr>
          <w:rFonts w:asciiTheme="majorHAnsi" w:hAnsiTheme="majorHAnsi" w:cstheme="majorHAnsi"/>
          <w:szCs w:val="24"/>
        </w:rPr>
      </w:pP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 xml:space="preserve">Dzięki projektowanym zmianom zadłużający się Polacy zyskają rzeczywistą prawną ochronę. Państwo będzie mogło skutecznie działać, zanim ktokolwiek padnie ofiarą oszustwa i szybko reagować na każdy sygnał, że udzielający pożyczek łamią prawo. Sprzeczne z prawem umowy będą unieważniane. </w:t>
      </w:r>
    </w:p>
    <w:p w:rsidR="001D52F5" w:rsidRPr="00A254E3" w:rsidRDefault="001D52F5" w:rsidP="001D52F5">
      <w:pPr>
        <w:pStyle w:val="Bezodstpw"/>
        <w:rPr>
          <w:rFonts w:asciiTheme="majorHAnsi" w:hAnsiTheme="majorHAnsi" w:cstheme="majorHAnsi"/>
          <w:sz w:val="10"/>
          <w:szCs w:val="10"/>
        </w:rPr>
      </w:pPr>
    </w:p>
    <w:p w:rsidR="001D52F5" w:rsidRDefault="001D52F5" w:rsidP="001D52F5">
      <w:pPr>
        <w:pStyle w:val="Bezodstpw"/>
        <w:rPr>
          <w:rFonts w:asciiTheme="majorHAnsi" w:hAnsiTheme="majorHAnsi" w:cstheme="majorHAnsi"/>
          <w:szCs w:val="24"/>
        </w:rPr>
      </w:pPr>
      <w:r>
        <w:rPr>
          <w:rFonts w:asciiTheme="majorHAnsi" w:hAnsiTheme="majorHAnsi" w:cstheme="majorHAnsi"/>
          <w:szCs w:val="24"/>
        </w:rPr>
        <w:t>–––––––––––––––––––––––––––––––––––</w:t>
      </w:r>
    </w:p>
    <w:p w:rsidR="001D52F5" w:rsidRPr="00A254E3" w:rsidRDefault="001D52F5" w:rsidP="001D52F5">
      <w:pPr>
        <w:pStyle w:val="Bezodstpw"/>
        <w:rPr>
          <w:rFonts w:asciiTheme="majorHAnsi" w:hAnsiTheme="majorHAnsi" w:cstheme="majorHAnsi"/>
          <w:sz w:val="10"/>
          <w:szCs w:val="10"/>
        </w:rPr>
      </w:pPr>
    </w:p>
    <w:p w:rsidR="001D52F5" w:rsidRDefault="001D52F5" w:rsidP="001D52F5">
      <w:pPr>
        <w:pStyle w:val="Bezodstpw"/>
        <w:rPr>
          <w:rFonts w:asciiTheme="majorHAnsi" w:hAnsiTheme="majorHAnsi" w:cstheme="majorHAnsi"/>
          <w:szCs w:val="24"/>
        </w:rPr>
      </w:pPr>
      <w:r>
        <w:rPr>
          <w:rFonts w:asciiTheme="majorHAnsi" w:hAnsiTheme="majorHAnsi" w:cstheme="majorHAnsi"/>
          <w:szCs w:val="24"/>
        </w:rPr>
        <w:t>JASNE ZASADY</w:t>
      </w:r>
    </w:p>
    <w:p w:rsidR="001D52F5" w:rsidRDefault="001D52F5" w:rsidP="001D52F5">
      <w:pPr>
        <w:pStyle w:val="Bezodstpw"/>
        <w:jc w:val="both"/>
        <w:rPr>
          <w:rFonts w:asciiTheme="majorHAnsi" w:hAnsiTheme="majorHAnsi" w:cstheme="majorHAnsi"/>
          <w:szCs w:val="24"/>
        </w:rPr>
      </w:pPr>
      <w:r>
        <w:rPr>
          <w:rFonts w:asciiTheme="majorHAnsi" w:hAnsiTheme="majorHAnsi" w:cstheme="majorHAnsi"/>
          <w:szCs w:val="24"/>
        </w:rPr>
        <w:t>Nowe</w:t>
      </w:r>
      <w:r w:rsidRPr="00CE4213">
        <w:rPr>
          <w:rFonts w:asciiTheme="majorHAnsi" w:hAnsiTheme="majorHAnsi" w:cstheme="majorHAnsi"/>
          <w:szCs w:val="24"/>
        </w:rPr>
        <w:t xml:space="preserve"> przepisy wyraźnie definiują, które pożyczki mają charakter lichwiarski. </w:t>
      </w:r>
      <w:r>
        <w:rPr>
          <w:rFonts w:asciiTheme="majorHAnsi" w:hAnsiTheme="majorHAnsi" w:cstheme="majorHAnsi"/>
          <w:szCs w:val="24"/>
        </w:rPr>
        <w:t xml:space="preserve">Kończą z zasadą, która </w:t>
      </w:r>
      <w:r w:rsidRPr="00CE4213">
        <w:rPr>
          <w:rFonts w:asciiTheme="majorHAnsi" w:hAnsiTheme="majorHAnsi" w:cstheme="majorHAnsi"/>
          <w:szCs w:val="24"/>
        </w:rPr>
        <w:t>uzależniała ściganie lichwiarza od tego, czy wiedział, że osoba biorąca pożyczkę jest „w przymusowym położeniu</w:t>
      </w:r>
      <w:r>
        <w:rPr>
          <w:rFonts w:asciiTheme="majorHAnsi" w:hAnsiTheme="majorHAnsi" w:cstheme="majorHAnsi"/>
          <w:szCs w:val="24"/>
        </w:rPr>
        <w:t>”, a więc np. w trudnej sytuacji życiowej i dramatycznie potrzebuje pieniędzy na zapewnienie sobie podstawowych warunków do życia, jak jedzenie, leki czy opłatę rachunków.</w:t>
      </w:r>
    </w:p>
    <w:p w:rsidR="00A254E3" w:rsidRDefault="00A254E3" w:rsidP="001D52F5">
      <w:pPr>
        <w:pStyle w:val="Bezodstpw"/>
        <w:jc w:val="both"/>
        <w:rPr>
          <w:rFonts w:asciiTheme="majorHAnsi" w:hAnsiTheme="majorHAnsi" w:cstheme="majorHAnsi"/>
          <w:szCs w:val="24"/>
        </w:rPr>
      </w:pPr>
    </w:p>
    <w:p w:rsidR="0034009F" w:rsidRDefault="0034009F" w:rsidP="00046BCE">
      <w:pPr>
        <w:pStyle w:val="Bezodstpw"/>
      </w:pPr>
    </w:p>
    <w:p w:rsidR="00046BCE" w:rsidRPr="00FA0044" w:rsidRDefault="00046BCE" w:rsidP="00046BCE">
      <w:pPr>
        <w:pStyle w:val="Bezodstpw"/>
      </w:pPr>
      <w:r>
        <w:t>Biuro Komunikacji i Promocji</w:t>
      </w:r>
      <w:r>
        <w:br/>
        <w:t>Ministerstwo Sprawiedliwości</w:t>
      </w:r>
    </w:p>
    <w:p w:rsidR="002B0665" w:rsidRDefault="002B0665" w:rsidP="00C344AC">
      <w:pPr>
        <w:tabs>
          <w:tab w:val="left" w:pos="709"/>
        </w:tabs>
        <w:spacing w:after="0" w:line="360" w:lineRule="auto"/>
        <w:jc w:val="both"/>
        <w:rPr>
          <w:rFonts w:ascii="Times New Roman" w:hAnsi="Times New Roman" w:cs="Times New Roman"/>
          <w:sz w:val="24"/>
          <w:szCs w:val="24"/>
        </w:rPr>
      </w:pPr>
    </w:p>
    <w:p w:rsidR="000860D9" w:rsidRPr="000860D9" w:rsidRDefault="000860D9" w:rsidP="00C344AC">
      <w:pPr>
        <w:tabs>
          <w:tab w:val="left" w:pos="709"/>
        </w:tabs>
        <w:spacing w:after="0" w:line="360" w:lineRule="auto"/>
        <w:jc w:val="both"/>
        <w:rPr>
          <w:rFonts w:ascii="Times New Roman" w:hAnsi="Times New Roman" w:cs="Times New Roman"/>
          <w:sz w:val="24"/>
          <w:szCs w:val="24"/>
        </w:rPr>
      </w:pPr>
    </w:p>
    <w:sectPr w:rsidR="000860D9" w:rsidRPr="000860D9" w:rsidSect="0034009F">
      <w:headerReference w:type="even" r:id="rId8"/>
      <w:headerReference w:type="first" r:id="rId9"/>
      <w:pgSz w:w="11906" w:h="16838"/>
      <w:pgMar w:top="1252"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47" w:rsidRDefault="00035147" w:rsidP="00A73A5C">
      <w:pPr>
        <w:spacing w:after="0" w:line="240" w:lineRule="auto"/>
      </w:pPr>
      <w:r>
        <w:separator/>
      </w:r>
    </w:p>
  </w:endnote>
  <w:endnote w:type="continuationSeparator" w:id="0">
    <w:p w:rsidR="00035147" w:rsidRDefault="00035147" w:rsidP="00A7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47" w:rsidRDefault="00035147" w:rsidP="00A73A5C">
      <w:pPr>
        <w:spacing w:after="0" w:line="240" w:lineRule="auto"/>
      </w:pPr>
      <w:r>
        <w:separator/>
      </w:r>
    </w:p>
  </w:footnote>
  <w:footnote w:type="continuationSeparator" w:id="0">
    <w:p w:rsidR="00035147" w:rsidRDefault="00035147" w:rsidP="00A73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5C" w:rsidRDefault="00035147">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2062" type="#_x0000_t75" style="position:absolute;margin-left:0;margin-top:0;width:595.2pt;height:841.9pt;z-index:-251657216;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A5C" w:rsidRDefault="00035147">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6" o:spid="_x0000_s2061" type="#_x0000_t75" style="position:absolute;margin-left:-70.95pt;margin-top:-42.9pt;width:595.2pt;height:841.9pt;z-index:-251658240;mso-position-horizontal-relative:margin;mso-position-vertical-relative:margin" o:allowincell="f">
          <v:imagedata r:id="rId1" o:title="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5C"/>
    <w:rsid w:val="00001689"/>
    <w:rsid w:val="00005540"/>
    <w:rsid w:val="00016B4A"/>
    <w:rsid w:val="00035147"/>
    <w:rsid w:val="00046BCE"/>
    <w:rsid w:val="00055E58"/>
    <w:rsid w:val="00063AC1"/>
    <w:rsid w:val="0008556C"/>
    <w:rsid w:val="000860D9"/>
    <w:rsid w:val="00087246"/>
    <w:rsid w:val="000A181C"/>
    <w:rsid w:val="000A5E93"/>
    <w:rsid w:val="000A74B0"/>
    <w:rsid w:val="000C2D6F"/>
    <w:rsid w:val="000D5956"/>
    <w:rsid w:val="000E289B"/>
    <w:rsid w:val="00104065"/>
    <w:rsid w:val="001059A9"/>
    <w:rsid w:val="00111252"/>
    <w:rsid w:val="00122822"/>
    <w:rsid w:val="00132357"/>
    <w:rsid w:val="0013245F"/>
    <w:rsid w:val="00145921"/>
    <w:rsid w:val="00147626"/>
    <w:rsid w:val="00151648"/>
    <w:rsid w:val="001528B1"/>
    <w:rsid w:val="001635E9"/>
    <w:rsid w:val="00167802"/>
    <w:rsid w:val="00171676"/>
    <w:rsid w:val="00184C8E"/>
    <w:rsid w:val="00196C95"/>
    <w:rsid w:val="001A166B"/>
    <w:rsid w:val="001A2DDD"/>
    <w:rsid w:val="001B2047"/>
    <w:rsid w:val="001C2C3C"/>
    <w:rsid w:val="001D1C07"/>
    <w:rsid w:val="001D52F5"/>
    <w:rsid w:val="001E4C5D"/>
    <w:rsid w:val="001F4928"/>
    <w:rsid w:val="001F55F0"/>
    <w:rsid w:val="00214277"/>
    <w:rsid w:val="00257E97"/>
    <w:rsid w:val="00287D80"/>
    <w:rsid w:val="00287DC4"/>
    <w:rsid w:val="002944D4"/>
    <w:rsid w:val="002970E6"/>
    <w:rsid w:val="002B0665"/>
    <w:rsid w:val="002B181E"/>
    <w:rsid w:val="002C0CB3"/>
    <w:rsid w:val="002C2462"/>
    <w:rsid w:val="002D2FB6"/>
    <w:rsid w:val="002E4016"/>
    <w:rsid w:val="002F4E57"/>
    <w:rsid w:val="0030395C"/>
    <w:rsid w:val="00315883"/>
    <w:rsid w:val="00317250"/>
    <w:rsid w:val="0034009F"/>
    <w:rsid w:val="00364EDD"/>
    <w:rsid w:val="003651FA"/>
    <w:rsid w:val="0036773F"/>
    <w:rsid w:val="003774AE"/>
    <w:rsid w:val="00395A6E"/>
    <w:rsid w:val="003A1B41"/>
    <w:rsid w:val="003D166A"/>
    <w:rsid w:val="003E34C9"/>
    <w:rsid w:val="003F36D1"/>
    <w:rsid w:val="003F5E8E"/>
    <w:rsid w:val="0041242F"/>
    <w:rsid w:val="004141C5"/>
    <w:rsid w:val="00417BBD"/>
    <w:rsid w:val="004307A1"/>
    <w:rsid w:val="00433F33"/>
    <w:rsid w:val="00435586"/>
    <w:rsid w:val="0044157E"/>
    <w:rsid w:val="00450AD7"/>
    <w:rsid w:val="00474A4D"/>
    <w:rsid w:val="00477CEC"/>
    <w:rsid w:val="004A316C"/>
    <w:rsid w:val="004A448D"/>
    <w:rsid w:val="004B4946"/>
    <w:rsid w:val="004C5C17"/>
    <w:rsid w:val="004D4CE8"/>
    <w:rsid w:val="004E7566"/>
    <w:rsid w:val="004F38AF"/>
    <w:rsid w:val="0050198F"/>
    <w:rsid w:val="00511B40"/>
    <w:rsid w:val="0052515D"/>
    <w:rsid w:val="00525C32"/>
    <w:rsid w:val="005267D9"/>
    <w:rsid w:val="0056386B"/>
    <w:rsid w:val="00566824"/>
    <w:rsid w:val="0057129F"/>
    <w:rsid w:val="00592AAB"/>
    <w:rsid w:val="0059569D"/>
    <w:rsid w:val="005A36E0"/>
    <w:rsid w:val="005A3FE2"/>
    <w:rsid w:val="005B6EDF"/>
    <w:rsid w:val="005C074D"/>
    <w:rsid w:val="005C7D55"/>
    <w:rsid w:val="005E2555"/>
    <w:rsid w:val="005E5F7F"/>
    <w:rsid w:val="005F5092"/>
    <w:rsid w:val="00601D2D"/>
    <w:rsid w:val="00604ABA"/>
    <w:rsid w:val="00612544"/>
    <w:rsid w:val="00613D05"/>
    <w:rsid w:val="00633DCB"/>
    <w:rsid w:val="00636052"/>
    <w:rsid w:val="00652C86"/>
    <w:rsid w:val="0066124F"/>
    <w:rsid w:val="006747FE"/>
    <w:rsid w:val="00685C79"/>
    <w:rsid w:val="006A771C"/>
    <w:rsid w:val="006D2439"/>
    <w:rsid w:val="006D4365"/>
    <w:rsid w:val="006E7207"/>
    <w:rsid w:val="006E799B"/>
    <w:rsid w:val="006F2755"/>
    <w:rsid w:val="007349B7"/>
    <w:rsid w:val="0073703F"/>
    <w:rsid w:val="007456CD"/>
    <w:rsid w:val="007556AD"/>
    <w:rsid w:val="00760028"/>
    <w:rsid w:val="00760733"/>
    <w:rsid w:val="00774455"/>
    <w:rsid w:val="00774E2A"/>
    <w:rsid w:val="00777332"/>
    <w:rsid w:val="007B6D30"/>
    <w:rsid w:val="007C6749"/>
    <w:rsid w:val="007D170B"/>
    <w:rsid w:val="007E15FC"/>
    <w:rsid w:val="00814E51"/>
    <w:rsid w:val="00817F5D"/>
    <w:rsid w:val="00835F12"/>
    <w:rsid w:val="008601B6"/>
    <w:rsid w:val="0088111B"/>
    <w:rsid w:val="00893FA0"/>
    <w:rsid w:val="008A68B8"/>
    <w:rsid w:val="008E4B99"/>
    <w:rsid w:val="008F2C71"/>
    <w:rsid w:val="008F6A11"/>
    <w:rsid w:val="0091288D"/>
    <w:rsid w:val="00923DC0"/>
    <w:rsid w:val="00941104"/>
    <w:rsid w:val="0094585D"/>
    <w:rsid w:val="009467F1"/>
    <w:rsid w:val="009502E9"/>
    <w:rsid w:val="00951B8A"/>
    <w:rsid w:val="0097080F"/>
    <w:rsid w:val="00985460"/>
    <w:rsid w:val="00990D82"/>
    <w:rsid w:val="00992730"/>
    <w:rsid w:val="00993FE4"/>
    <w:rsid w:val="00994BCA"/>
    <w:rsid w:val="009A2D2C"/>
    <w:rsid w:val="009B60ED"/>
    <w:rsid w:val="009F7505"/>
    <w:rsid w:val="00A20FCE"/>
    <w:rsid w:val="00A254E3"/>
    <w:rsid w:val="00A6110D"/>
    <w:rsid w:val="00A73A5C"/>
    <w:rsid w:val="00A74B41"/>
    <w:rsid w:val="00A907C4"/>
    <w:rsid w:val="00A93312"/>
    <w:rsid w:val="00AA250A"/>
    <w:rsid w:val="00AD4AB6"/>
    <w:rsid w:val="00AE549C"/>
    <w:rsid w:val="00AE60A2"/>
    <w:rsid w:val="00AF6A3C"/>
    <w:rsid w:val="00AF7447"/>
    <w:rsid w:val="00B01AF2"/>
    <w:rsid w:val="00B276A1"/>
    <w:rsid w:val="00B27A37"/>
    <w:rsid w:val="00B343A0"/>
    <w:rsid w:val="00B34DC1"/>
    <w:rsid w:val="00B4226A"/>
    <w:rsid w:val="00B52EFA"/>
    <w:rsid w:val="00B813F3"/>
    <w:rsid w:val="00BA1230"/>
    <w:rsid w:val="00BA7266"/>
    <w:rsid w:val="00BB61A9"/>
    <w:rsid w:val="00BC4302"/>
    <w:rsid w:val="00BD66B4"/>
    <w:rsid w:val="00BE468F"/>
    <w:rsid w:val="00BE7657"/>
    <w:rsid w:val="00C046E1"/>
    <w:rsid w:val="00C23EE2"/>
    <w:rsid w:val="00C31F1D"/>
    <w:rsid w:val="00C344AC"/>
    <w:rsid w:val="00C448CA"/>
    <w:rsid w:val="00C5593C"/>
    <w:rsid w:val="00C55A53"/>
    <w:rsid w:val="00C60C38"/>
    <w:rsid w:val="00C60E9F"/>
    <w:rsid w:val="00C72C65"/>
    <w:rsid w:val="00C81DF4"/>
    <w:rsid w:val="00CC3CE9"/>
    <w:rsid w:val="00CE6B06"/>
    <w:rsid w:val="00D00FE6"/>
    <w:rsid w:val="00D132EE"/>
    <w:rsid w:val="00D31BA9"/>
    <w:rsid w:val="00D358B8"/>
    <w:rsid w:val="00D359F3"/>
    <w:rsid w:val="00D470EA"/>
    <w:rsid w:val="00D52D80"/>
    <w:rsid w:val="00D61B80"/>
    <w:rsid w:val="00D92A34"/>
    <w:rsid w:val="00D93877"/>
    <w:rsid w:val="00D96B45"/>
    <w:rsid w:val="00DA6C65"/>
    <w:rsid w:val="00DB1321"/>
    <w:rsid w:val="00DB4B2A"/>
    <w:rsid w:val="00DC4839"/>
    <w:rsid w:val="00DC4EE7"/>
    <w:rsid w:val="00DF0C4D"/>
    <w:rsid w:val="00DF5B98"/>
    <w:rsid w:val="00DF6F52"/>
    <w:rsid w:val="00E07244"/>
    <w:rsid w:val="00E10623"/>
    <w:rsid w:val="00E211F3"/>
    <w:rsid w:val="00E24F67"/>
    <w:rsid w:val="00E36057"/>
    <w:rsid w:val="00E437CD"/>
    <w:rsid w:val="00E44070"/>
    <w:rsid w:val="00E46C14"/>
    <w:rsid w:val="00E5013F"/>
    <w:rsid w:val="00E67FF3"/>
    <w:rsid w:val="00E71FEF"/>
    <w:rsid w:val="00E7210A"/>
    <w:rsid w:val="00E833A4"/>
    <w:rsid w:val="00E97730"/>
    <w:rsid w:val="00EA1DAD"/>
    <w:rsid w:val="00EA4E62"/>
    <w:rsid w:val="00EB547A"/>
    <w:rsid w:val="00EB5EB5"/>
    <w:rsid w:val="00EC369A"/>
    <w:rsid w:val="00EC6ABE"/>
    <w:rsid w:val="00EF24FA"/>
    <w:rsid w:val="00EF3169"/>
    <w:rsid w:val="00EF6516"/>
    <w:rsid w:val="00EF7E2A"/>
    <w:rsid w:val="00F2200D"/>
    <w:rsid w:val="00F3779F"/>
    <w:rsid w:val="00F54F5E"/>
    <w:rsid w:val="00F664D4"/>
    <w:rsid w:val="00F90DCE"/>
    <w:rsid w:val="00F91796"/>
    <w:rsid w:val="00FA5088"/>
    <w:rsid w:val="00FB5A6E"/>
    <w:rsid w:val="00FB78A5"/>
    <w:rsid w:val="00FE0AFE"/>
    <w:rsid w:val="00FE2ED6"/>
    <w:rsid w:val="00FE77EB"/>
    <w:rsid w:val="00FF10A7"/>
    <w:rsid w:val="00FF7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character" w:styleId="Hipercze">
    <w:name w:val="Hyperlink"/>
    <w:basedOn w:val="Domylnaczcionkaakapitu"/>
    <w:uiPriority w:val="99"/>
    <w:unhideWhenUsed/>
    <w:rsid w:val="00B27A37"/>
    <w:rPr>
      <w:color w:val="0000FF" w:themeColor="hyperlink"/>
      <w:u w:val="single"/>
    </w:rPr>
  </w:style>
  <w:style w:type="paragraph" w:styleId="Tekstdymka">
    <w:name w:val="Balloon Text"/>
    <w:basedOn w:val="Normalny"/>
    <w:link w:val="TekstdymkaZnak"/>
    <w:uiPriority w:val="99"/>
    <w:semiHidden/>
    <w:unhideWhenUsed/>
    <w:rsid w:val="00E24F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4F67"/>
    <w:rPr>
      <w:rFonts w:ascii="Tahoma" w:hAnsi="Tahoma" w:cs="Tahoma"/>
      <w:sz w:val="16"/>
      <w:szCs w:val="16"/>
    </w:rPr>
  </w:style>
  <w:style w:type="character" w:styleId="Pogrubienie">
    <w:name w:val="Strong"/>
    <w:basedOn w:val="Domylnaczcionkaakapitu"/>
    <w:uiPriority w:val="22"/>
    <w:qFormat/>
    <w:rsid w:val="00C344AC"/>
    <w:rPr>
      <w:b/>
      <w:bCs/>
    </w:rPr>
  </w:style>
  <w:style w:type="paragraph" w:styleId="Bezodstpw">
    <w:name w:val="No Spacing"/>
    <w:uiPriority w:val="1"/>
    <w:qFormat/>
    <w:rsid w:val="00046BCE"/>
    <w:pPr>
      <w:spacing w:after="0" w:line="240" w:lineRule="auto"/>
    </w:pPr>
    <w:rPr>
      <w:rFonts w:eastAsiaTheme="minorHAnsi"/>
      <w:sz w:val="24"/>
      <w:lang w:eastAsia="en-US"/>
    </w:rPr>
  </w:style>
  <w:style w:type="character" w:customStyle="1" w:styleId="FontStyle18">
    <w:name w:val="Font Style18"/>
    <w:basedOn w:val="Domylnaczcionkaakapitu"/>
    <w:uiPriority w:val="99"/>
    <w:rsid w:val="001D52F5"/>
    <w:rPr>
      <w:rFonts w:ascii="Tahoma" w:hAnsi="Tahoma" w:cs="Tahoma" w:hint="default"/>
    </w:rPr>
  </w:style>
  <w:style w:type="table" w:styleId="Tabela-Siatka">
    <w:name w:val="Table Grid"/>
    <w:basedOn w:val="Standardowy"/>
    <w:uiPriority w:val="59"/>
    <w:rsid w:val="001D52F5"/>
    <w:pPr>
      <w:spacing w:after="0" w:line="240" w:lineRule="auto"/>
    </w:pPr>
    <w:rPr>
      <w:rFonts w:eastAsiaTheme="minorHAns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93FE4"/>
    <w:rPr>
      <w:sz w:val="16"/>
      <w:szCs w:val="16"/>
    </w:rPr>
  </w:style>
  <w:style w:type="paragraph" w:styleId="Tekstkomentarza">
    <w:name w:val="annotation text"/>
    <w:basedOn w:val="Normalny"/>
    <w:link w:val="TekstkomentarzaZnak"/>
    <w:uiPriority w:val="99"/>
    <w:semiHidden/>
    <w:unhideWhenUsed/>
    <w:rsid w:val="00993F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3FE4"/>
    <w:rPr>
      <w:sz w:val="20"/>
      <w:szCs w:val="20"/>
    </w:rPr>
  </w:style>
  <w:style w:type="paragraph" w:styleId="Tematkomentarza">
    <w:name w:val="annotation subject"/>
    <w:basedOn w:val="Tekstkomentarza"/>
    <w:next w:val="Tekstkomentarza"/>
    <w:link w:val="TematkomentarzaZnak"/>
    <w:uiPriority w:val="99"/>
    <w:semiHidden/>
    <w:unhideWhenUsed/>
    <w:rsid w:val="00993FE4"/>
    <w:rPr>
      <w:b/>
      <w:bCs/>
    </w:rPr>
  </w:style>
  <w:style w:type="character" w:customStyle="1" w:styleId="TematkomentarzaZnak">
    <w:name w:val="Temat komentarza Znak"/>
    <w:basedOn w:val="TekstkomentarzaZnak"/>
    <w:link w:val="Tematkomentarza"/>
    <w:uiPriority w:val="99"/>
    <w:semiHidden/>
    <w:rsid w:val="00993F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character" w:styleId="Hipercze">
    <w:name w:val="Hyperlink"/>
    <w:basedOn w:val="Domylnaczcionkaakapitu"/>
    <w:uiPriority w:val="99"/>
    <w:unhideWhenUsed/>
    <w:rsid w:val="00B27A37"/>
    <w:rPr>
      <w:color w:val="0000FF" w:themeColor="hyperlink"/>
      <w:u w:val="single"/>
    </w:rPr>
  </w:style>
  <w:style w:type="paragraph" w:styleId="Tekstdymka">
    <w:name w:val="Balloon Text"/>
    <w:basedOn w:val="Normalny"/>
    <w:link w:val="TekstdymkaZnak"/>
    <w:uiPriority w:val="99"/>
    <w:semiHidden/>
    <w:unhideWhenUsed/>
    <w:rsid w:val="00E24F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4F67"/>
    <w:rPr>
      <w:rFonts w:ascii="Tahoma" w:hAnsi="Tahoma" w:cs="Tahoma"/>
      <w:sz w:val="16"/>
      <w:szCs w:val="16"/>
    </w:rPr>
  </w:style>
  <w:style w:type="character" w:styleId="Pogrubienie">
    <w:name w:val="Strong"/>
    <w:basedOn w:val="Domylnaczcionkaakapitu"/>
    <w:uiPriority w:val="22"/>
    <w:qFormat/>
    <w:rsid w:val="00C344AC"/>
    <w:rPr>
      <w:b/>
      <w:bCs/>
    </w:rPr>
  </w:style>
  <w:style w:type="paragraph" w:styleId="Bezodstpw">
    <w:name w:val="No Spacing"/>
    <w:uiPriority w:val="1"/>
    <w:qFormat/>
    <w:rsid w:val="00046BCE"/>
    <w:pPr>
      <w:spacing w:after="0" w:line="240" w:lineRule="auto"/>
    </w:pPr>
    <w:rPr>
      <w:rFonts w:eastAsiaTheme="minorHAnsi"/>
      <w:sz w:val="24"/>
      <w:lang w:eastAsia="en-US"/>
    </w:rPr>
  </w:style>
  <w:style w:type="character" w:customStyle="1" w:styleId="FontStyle18">
    <w:name w:val="Font Style18"/>
    <w:basedOn w:val="Domylnaczcionkaakapitu"/>
    <w:uiPriority w:val="99"/>
    <w:rsid w:val="001D52F5"/>
    <w:rPr>
      <w:rFonts w:ascii="Tahoma" w:hAnsi="Tahoma" w:cs="Tahoma" w:hint="default"/>
    </w:rPr>
  </w:style>
  <w:style w:type="table" w:styleId="Tabela-Siatka">
    <w:name w:val="Table Grid"/>
    <w:basedOn w:val="Standardowy"/>
    <w:uiPriority w:val="59"/>
    <w:rsid w:val="001D52F5"/>
    <w:pPr>
      <w:spacing w:after="0" w:line="240" w:lineRule="auto"/>
    </w:pPr>
    <w:rPr>
      <w:rFonts w:eastAsiaTheme="minorHAns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93FE4"/>
    <w:rPr>
      <w:sz w:val="16"/>
      <w:szCs w:val="16"/>
    </w:rPr>
  </w:style>
  <w:style w:type="paragraph" w:styleId="Tekstkomentarza">
    <w:name w:val="annotation text"/>
    <w:basedOn w:val="Normalny"/>
    <w:link w:val="TekstkomentarzaZnak"/>
    <w:uiPriority w:val="99"/>
    <w:semiHidden/>
    <w:unhideWhenUsed/>
    <w:rsid w:val="00993F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3FE4"/>
    <w:rPr>
      <w:sz w:val="20"/>
      <w:szCs w:val="20"/>
    </w:rPr>
  </w:style>
  <w:style w:type="paragraph" w:styleId="Tematkomentarza">
    <w:name w:val="annotation subject"/>
    <w:basedOn w:val="Tekstkomentarza"/>
    <w:next w:val="Tekstkomentarza"/>
    <w:link w:val="TematkomentarzaZnak"/>
    <w:uiPriority w:val="99"/>
    <w:semiHidden/>
    <w:unhideWhenUsed/>
    <w:rsid w:val="00993FE4"/>
    <w:rPr>
      <w:b/>
      <w:bCs/>
    </w:rPr>
  </w:style>
  <w:style w:type="character" w:customStyle="1" w:styleId="TematkomentarzaZnak">
    <w:name w:val="Temat komentarza Znak"/>
    <w:basedOn w:val="TekstkomentarzaZnak"/>
    <w:link w:val="Tematkomentarza"/>
    <w:uiPriority w:val="99"/>
    <w:semiHidden/>
    <w:rsid w:val="00993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7154">
      <w:bodyDiv w:val="1"/>
      <w:marLeft w:val="0"/>
      <w:marRight w:val="0"/>
      <w:marTop w:val="0"/>
      <w:marBottom w:val="0"/>
      <w:divBdr>
        <w:top w:val="none" w:sz="0" w:space="0" w:color="auto"/>
        <w:left w:val="none" w:sz="0" w:space="0" w:color="auto"/>
        <w:bottom w:val="none" w:sz="0" w:space="0" w:color="auto"/>
        <w:right w:val="none" w:sz="0" w:space="0" w:color="auto"/>
      </w:divBdr>
    </w:div>
    <w:div w:id="439185879">
      <w:bodyDiv w:val="1"/>
      <w:marLeft w:val="0"/>
      <w:marRight w:val="0"/>
      <w:marTop w:val="0"/>
      <w:marBottom w:val="0"/>
      <w:divBdr>
        <w:top w:val="none" w:sz="0" w:space="0" w:color="auto"/>
        <w:left w:val="none" w:sz="0" w:space="0" w:color="auto"/>
        <w:bottom w:val="none" w:sz="0" w:space="0" w:color="auto"/>
        <w:right w:val="none" w:sz="0" w:space="0" w:color="auto"/>
      </w:divBdr>
    </w:div>
    <w:div w:id="945383377">
      <w:bodyDiv w:val="1"/>
      <w:marLeft w:val="0"/>
      <w:marRight w:val="0"/>
      <w:marTop w:val="0"/>
      <w:marBottom w:val="0"/>
      <w:divBdr>
        <w:top w:val="none" w:sz="0" w:space="0" w:color="auto"/>
        <w:left w:val="none" w:sz="0" w:space="0" w:color="auto"/>
        <w:bottom w:val="none" w:sz="0" w:space="0" w:color="auto"/>
        <w:right w:val="none" w:sz="0" w:space="0" w:color="auto"/>
      </w:divBdr>
    </w:div>
    <w:div w:id="1788893477">
      <w:bodyDiv w:val="1"/>
      <w:marLeft w:val="0"/>
      <w:marRight w:val="0"/>
      <w:marTop w:val="0"/>
      <w:marBottom w:val="0"/>
      <w:divBdr>
        <w:top w:val="none" w:sz="0" w:space="0" w:color="auto"/>
        <w:left w:val="none" w:sz="0" w:space="0" w:color="auto"/>
        <w:bottom w:val="none" w:sz="0" w:space="0" w:color="auto"/>
        <w:right w:val="none" w:sz="0" w:space="0" w:color="auto"/>
      </w:divBdr>
    </w:div>
    <w:div w:id="1973435945">
      <w:bodyDiv w:val="1"/>
      <w:marLeft w:val="0"/>
      <w:marRight w:val="0"/>
      <w:marTop w:val="0"/>
      <w:marBottom w:val="0"/>
      <w:divBdr>
        <w:top w:val="none" w:sz="0" w:space="0" w:color="auto"/>
        <w:left w:val="none" w:sz="0" w:space="0" w:color="auto"/>
        <w:bottom w:val="none" w:sz="0" w:space="0" w:color="auto"/>
        <w:right w:val="none" w:sz="0" w:space="0" w:color="auto"/>
      </w:divBdr>
    </w:div>
    <w:div w:id="2090732920">
      <w:bodyDiv w:val="1"/>
      <w:marLeft w:val="0"/>
      <w:marRight w:val="0"/>
      <w:marTop w:val="0"/>
      <w:marBottom w:val="0"/>
      <w:divBdr>
        <w:top w:val="none" w:sz="0" w:space="0" w:color="auto"/>
        <w:left w:val="none" w:sz="0" w:space="0" w:color="auto"/>
        <w:bottom w:val="none" w:sz="0" w:space="0" w:color="auto"/>
        <w:right w:val="none" w:sz="0" w:space="0" w:color="auto"/>
      </w:divBdr>
    </w:div>
    <w:div w:id="21419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CF93F-651D-4282-BF2C-6FCF9409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7978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Domachowska Milena  (BM)</cp:lastModifiedBy>
  <cp:revision>2</cp:revision>
  <cp:lastPrinted>2019-02-14T12:05:00Z</cp:lastPrinted>
  <dcterms:created xsi:type="dcterms:W3CDTF">2019-06-18T11:59:00Z</dcterms:created>
  <dcterms:modified xsi:type="dcterms:W3CDTF">2019-06-18T11:59:00Z</dcterms:modified>
</cp:coreProperties>
</file>