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060" w:rsidRPr="002F4820" w:rsidRDefault="00576060" w:rsidP="003B150E">
      <w:pPr>
        <w:spacing w:line="360" w:lineRule="auto"/>
        <w:jc w:val="center"/>
        <w:rPr>
          <w:b/>
          <w:sz w:val="28"/>
          <w:szCs w:val="28"/>
        </w:rPr>
      </w:pPr>
      <w:r w:rsidRPr="002F4820">
        <w:rPr>
          <w:b/>
          <w:sz w:val="28"/>
          <w:szCs w:val="28"/>
        </w:rPr>
        <w:t xml:space="preserve">OPIS ISTOTNYCH ZAGADNIEŃ DLA KOMISJI EGZAMINACYJNEJ DO ZADANIA Z ZAKRESU PRAWA KARNEGO </w:t>
      </w:r>
    </w:p>
    <w:p w:rsidR="00576060" w:rsidRPr="00B64F7D" w:rsidRDefault="00576060" w:rsidP="003B150E">
      <w:pPr>
        <w:spacing w:line="360" w:lineRule="auto"/>
        <w:jc w:val="center"/>
        <w:rPr>
          <w:b/>
          <w:sz w:val="20"/>
          <w:szCs w:val="20"/>
        </w:rPr>
      </w:pPr>
      <w:r w:rsidRPr="00B64F7D"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>EGZAMIN ADWOKACKI – 1</w:t>
      </w:r>
      <w:r w:rsidRPr="00B64F7D">
        <w:rPr>
          <w:b/>
          <w:sz w:val="20"/>
          <w:szCs w:val="20"/>
        </w:rPr>
        <w:t xml:space="preserve">9 </w:t>
      </w:r>
      <w:r>
        <w:rPr>
          <w:b/>
          <w:sz w:val="20"/>
          <w:szCs w:val="20"/>
        </w:rPr>
        <w:t>MARCA 2014</w:t>
      </w:r>
      <w:r w:rsidRPr="00B64F7D">
        <w:rPr>
          <w:b/>
          <w:sz w:val="20"/>
          <w:szCs w:val="20"/>
        </w:rPr>
        <w:t xml:space="preserve"> R.)</w:t>
      </w:r>
    </w:p>
    <w:p w:rsidR="00576060" w:rsidRDefault="00576060" w:rsidP="001B0F41">
      <w:pPr>
        <w:jc w:val="center"/>
        <w:rPr>
          <w:b/>
        </w:rPr>
      </w:pPr>
    </w:p>
    <w:p w:rsidR="00576060" w:rsidRDefault="00576060" w:rsidP="001B0F41">
      <w:pPr>
        <w:spacing w:line="360" w:lineRule="auto"/>
        <w:ind w:firstLine="360"/>
        <w:jc w:val="both"/>
      </w:pPr>
    </w:p>
    <w:p w:rsidR="00576060" w:rsidRPr="001B0F41" w:rsidRDefault="00576060" w:rsidP="001B0F41">
      <w:pPr>
        <w:spacing w:line="360" w:lineRule="auto"/>
        <w:ind w:firstLine="360"/>
        <w:jc w:val="both"/>
      </w:pPr>
      <w:r w:rsidRPr="00BF2FEF">
        <w:t>Zdaniem zespołu</w:t>
      </w:r>
      <w:r>
        <w:t xml:space="preserve"> do przygotowania zadań na egzamin adwokacki</w:t>
      </w:r>
      <w:r w:rsidRPr="00BF2FEF">
        <w:t xml:space="preserve">, w przypadku zadania </w:t>
      </w:r>
      <w:r>
        <w:t xml:space="preserve">        </w:t>
      </w:r>
      <w:r w:rsidRPr="00BF2FEF">
        <w:t xml:space="preserve">z zakresu prawa karnego, zasadne jest sporządzenie apelacji. Przy ocenie prac, w ramach wymogów </w:t>
      </w:r>
      <w:r>
        <w:t xml:space="preserve">wyznaczony przepisem </w:t>
      </w:r>
      <w:r w:rsidRPr="00BF2FEF">
        <w:t>art. 78e ust. 2 ustawy – Prawo</w:t>
      </w:r>
      <w:r>
        <w:t xml:space="preserve"> </w:t>
      </w:r>
      <w:r w:rsidRPr="00BF2FEF">
        <w:t>o adwokaturze, należy zwrócić uwagę na następujące problemy:</w:t>
      </w:r>
    </w:p>
    <w:p w:rsidR="00576060" w:rsidRDefault="00576060" w:rsidP="007801E4">
      <w:pPr>
        <w:spacing w:line="360" w:lineRule="auto"/>
        <w:jc w:val="both"/>
      </w:pPr>
    </w:p>
    <w:p w:rsidR="00576060" w:rsidRPr="00E84CE1" w:rsidRDefault="00576060" w:rsidP="003B150E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  <w:r>
        <w:t>1.</w:t>
      </w:r>
      <w:r>
        <w:tab/>
        <w:t>Sąd Rejonowy błędnie skazał oskarżonego za przestępstwo z art. 284 § 2 k.k.</w:t>
      </w:r>
      <w:r w:rsidRPr="00E84CE1">
        <w:rPr>
          <w:sz w:val="28"/>
          <w:szCs w:val="28"/>
        </w:rPr>
        <w:t xml:space="preserve"> </w:t>
      </w:r>
      <w:r w:rsidRPr="006A0929">
        <w:t>Z treści z</w:t>
      </w:r>
      <w:r>
        <w:t>adania niespornie wynika, że Jerzy Goliński i Julia Kwiatkowska</w:t>
      </w:r>
      <w:r w:rsidRPr="006A0929">
        <w:t xml:space="preserve"> </w:t>
      </w:r>
      <w:r>
        <w:t>zawarli umowę o dzieło, gdyż Jerzy Goliński</w:t>
      </w:r>
      <w:r w:rsidRPr="006A0929">
        <w:t xml:space="preserve"> za określonym wynagrodzeniem zobowiązał się do pomalowania</w:t>
      </w:r>
      <w:r>
        <w:t xml:space="preserve"> elewacji budynku oraz ścian wewnętrznych</w:t>
      </w:r>
      <w:r w:rsidRPr="006A0929">
        <w:t>.</w:t>
      </w:r>
    </w:p>
    <w:p w:rsidR="00576060" w:rsidRPr="006A0929" w:rsidRDefault="00576060" w:rsidP="003B150E">
      <w:pPr>
        <w:spacing w:line="360" w:lineRule="auto"/>
        <w:ind w:firstLine="360"/>
        <w:jc w:val="both"/>
      </w:pPr>
      <w:r w:rsidRPr="006A0929">
        <w:t>Zgodnie z art. 627 k.c., przez umowę o dzieło prz</w:t>
      </w:r>
      <w:r>
        <w:t xml:space="preserve">yjmujący zamówienie zobowiązuje </w:t>
      </w:r>
      <w:r w:rsidRPr="006A0929">
        <w:t>s</w:t>
      </w:r>
      <w:r>
        <w:t>ię do wykonania oznaczonego dzie</w:t>
      </w:r>
      <w:r w:rsidRPr="006A0929">
        <w:t>ła, a zamawiający do zapłaty wynagrodzenia. W braku odmiennej umowy, przyjmującemu zamówienie należy się wynagrodzenie w chwili oddania dzieła, co wynika z art. 642 § 1 k.c. W tej sprawie strony umówiły się, że przyj</w:t>
      </w:r>
      <w:r>
        <w:t>mujący zamówienie otrzyma część</w:t>
      </w:r>
      <w:r w:rsidRPr="006A0929">
        <w:t xml:space="preserve"> wynagrodzenia po zawarciu umowy, a przed oddaniem choćby części dzieła. </w:t>
      </w:r>
      <w:r>
        <w:t xml:space="preserve">       </w:t>
      </w:r>
      <w:r w:rsidRPr="006A0929">
        <w:t xml:space="preserve">Z łączącej strony umowy, której treść mieści się w granicach wyznaczonych przez przepis </w:t>
      </w:r>
      <w:r>
        <w:t xml:space="preserve">         art. </w:t>
      </w:r>
      <w:r w:rsidRPr="006A0929">
        <w:t>353</w:t>
      </w:r>
      <w:r w:rsidRPr="006A0929">
        <w:rPr>
          <w:vertAlign w:val="superscript"/>
        </w:rPr>
        <w:t>1</w:t>
      </w:r>
      <w:r>
        <w:t xml:space="preserve"> </w:t>
      </w:r>
      <w:r w:rsidRPr="006A0929">
        <w:t>k.c.</w:t>
      </w:r>
      <w:r>
        <w:t>,</w:t>
      </w:r>
      <w:r w:rsidRPr="006A0929">
        <w:t xml:space="preserve"> wynika, że przyjmujący zamówienie stał się właścicielem środków pieniężnych otrzymanych z tytułu wynagrodzen</w:t>
      </w:r>
      <w:r>
        <w:t>ia od zamawiającego i nie byłby</w:t>
      </w:r>
      <w:r w:rsidRPr="006A0929">
        <w:t xml:space="preserve"> zobowiązany do ich zwrotu</w:t>
      </w:r>
      <w:r>
        <w:t>,</w:t>
      </w:r>
      <w:r w:rsidRPr="006A0929">
        <w:t xml:space="preserve"> </w:t>
      </w:r>
      <w:r>
        <w:t>jeżeli dzieło zostałoby należycie wykonane</w:t>
      </w:r>
      <w:r w:rsidRPr="006A0929">
        <w:t xml:space="preserve">. </w:t>
      </w:r>
    </w:p>
    <w:p w:rsidR="00576060" w:rsidRDefault="00576060" w:rsidP="003B150E">
      <w:pPr>
        <w:spacing w:line="360" w:lineRule="auto"/>
        <w:ind w:firstLine="360"/>
        <w:jc w:val="both"/>
      </w:pPr>
      <w:r>
        <w:t>Zawierając umowę o dzieło Julia Kwiatkowska</w:t>
      </w:r>
      <w:r w:rsidRPr="006A0929">
        <w:t xml:space="preserve"> z</w:t>
      </w:r>
      <w:r>
        <w:t>obowiązała się do wypłaty części</w:t>
      </w:r>
      <w:r w:rsidRPr="006A0929">
        <w:t xml:space="preserve"> wynagrodzenia </w:t>
      </w:r>
      <w:r>
        <w:t>przed przystąpieniem przez Jerzego Golińskiego</w:t>
      </w:r>
      <w:r w:rsidRPr="006A0929">
        <w:t xml:space="preserve"> do wykonywania tego dzieła, </w:t>
      </w:r>
      <w:r>
        <w:t xml:space="preserve">          </w:t>
      </w:r>
      <w:r w:rsidRPr="006A0929">
        <w:t xml:space="preserve">a następnie wręczyła mu 2 000 złotych, czyli </w:t>
      </w:r>
      <w:r>
        <w:t>wykonała swoje zobowiązanie. Jerzy Goliński,</w:t>
      </w:r>
      <w:r w:rsidRPr="006A0929">
        <w:t xml:space="preserve"> zgodnie z umową</w:t>
      </w:r>
      <w:r>
        <w:t>,</w:t>
      </w:r>
      <w:r w:rsidRPr="006A0929">
        <w:t xml:space="preserve"> miał prawo tymi pieniędzmi rozporządzać. Wynikało to również </w:t>
      </w:r>
      <w:r>
        <w:t xml:space="preserve">                          </w:t>
      </w:r>
      <w:r w:rsidRPr="006A0929">
        <w:t>z okoliczności towarzyszących wręczen</w:t>
      </w:r>
      <w:r>
        <w:t>iu mu 2 000 złotych - skoro Julia Kwiatkowska wiedziała o tym, że</w:t>
      </w:r>
      <w:r w:rsidRPr="006A0929">
        <w:t xml:space="preserve"> chce</w:t>
      </w:r>
      <w:r>
        <w:t xml:space="preserve"> on</w:t>
      </w:r>
      <w:r w:rsidRPr="006A0929">
        <w:t xml:space="preserve"> tymi pieniędzmi spłacić wcześniej zaciągniętą pożyczkę. Pieniądze sta</w:t>
      </w:r>
      <w:r>
        <w:t>ły się przez to własnością Jerzego Golińskiego</w:t>
      </w:r>
      <w:r w:rsidRPr="006A0929">
        <w:t>, natomiast po tym, jak nie d</w:t>
      </w:r>
      <w:r>
        <w:t>oszło do wykonania dzieła, Julia Kwiatkowska</w:t>
      </w:r>
      <w:r w:rsidRPr="006A0929">
        <w:t xml:space="preserve"> uzyskała roszczenie o zwrot świadc</w:t>
      </w:r>
      <w:r>
        <w:t>zenia spełnionego na rzecz Jerzego Golińskiego</w:t>
      </w:r>
      <w:r w:rsidRPr="006A0929">
        <w:t xml:space="preserve"> z tytułu zapłaty części wynagrodzenia. Temu rosz</w:t>
      </w:r>
      <w:r>
        <w:t xml:space="preserve">czeniu odpowiada obowiązek oskarżonego do rozliczenia się z otrzymanej zaliczki. </w:t>
      </w:r>
    </w:p>
    <w:p w:rsidR="00576060" w:rsidRDefault="00576060" w:rsidP="003B150E">
      <w:pPr>
        <w:spacing w:line="360" w:lineRule="auto"/>
        <w:ind w:firstLine="360"/>
        <w:jc w:val="both"/>
      </w:pPr>
      <w:r w:rsidRPr="006A0929">
        <w:t>Zgodnie z art. 284 § 2</w:t>
      </w:r>
      <w:r>
        <w:t xml:space="preserve"> k.k., sprawcą przestępstwa sprzeniewierz</w:t>
      </w:r>
      <w:r w:rsidRPr="006A0929">
        <w:t>enia może być tylko ten, kto przywłaszcza sobie powierzoną mu cudzą rzecz ruchomą (pieniądze – w myśl art. 115 § 9 k.k</w:t>
      </w:r>
      <w:r>
        <w:t>. – stanowią rzecz ruchomą). Jerzy Goliński</w:t>
      </w:r>
      <w:r w:rsidRPr="006A0929">
        <w:t xml:space="preserve"> stał się właścicielem wręczonych mu środków pieniężnych, a zatem nie popeł</w:t>
      </w:r>
      <w:r>
        <w:t>nił przedmiotowego przestępstwa, natomiast roszczenie o zwrot zaliczki ma charakter cywilnoprawny.</w:t>
      </w:r>
    </w:p>
    <w:p w:rsidR="00576060" w:rsidRDefault="00576060" w:rsidP="003B150E">
      <w:pPr>
        <w:tabs>
          <w:tab w:val="left" w:pos="360"/>
        </w:tabs>
        <w:spacing w:line="360" w:lineRule="auto"/>
        <w:jc w:val="both"/>
        <w:rPr>
          <w:rFonts w:cs="A"/>
        </w:rPr>
      </w:pPr>
      <w:r>
        <w:t>2.</w:t>
      </w:r>
      <w:r>
        <w:tab/>
        <w:t xml:space="preserve">Sąd Rejonowy błędnie również skazał oskarżonego za przestępstwo z art. 157 § 2 k.k. Przestępstwo to jest ścigane z oskarżenia prywatnego. Zgodnie z art. 101 § 2 k.k., </w:t>
      </w:r>
      <w:r>
        <w:rPr>
          <w:rFonts w:cs="A"/>
        </w:rPr>
        <w:t xml:space="preserve">karalność przestępstwa ściganego z oskarżenia prywatnego ustaje z upływem roku od czasu, gdy pokrzywdzony dowiedział się o osobie sprawcy przestępstwa, nie później jednak niż z upływem 3 lat od czasu jego popełnienia. Roczny okres przedawnienia, o którym mowa w powyższym przepisie, wiąże także prokuratora (por. wyrok Sądu Najwyższego z dnia 23 kwietnia 2008 r., sygn. akt V KK 5/08, OSNKW 2008/8/64). Może on zatem objąć przestępstwo prywatnoskargowe ściganiem, na podstawie art. 60 § 1 k.p.k., przed upływem trzech lat od jego popełnienia, ale zarazem przed upływem roku od czasu, gdy pokrzywdzony dowiedział się                 o osobie sprawcy przestępstwa. W niniejszej sprawie organy ścigania zostały zawiadomione          </w:t>
      </w:r>
      <w:r w:rsidRPr="009B308D">
        <w:rPr>
          <w:rFonts w:cs="A"/>
          <w:spacing w:val="-4"/>
        </w:rPr>
        <w:t>o popełnieniu przez Jerzego Golińskiego przestępstwa z art. 157 § 2 k.k. w dniu 15 stycznia 2014 r.</w:t>
      </w:r>
      <w:r>
        <w:rPr>
          <w:rFonts w:cs="A"/>
        </w:rPr>
        <w:t xml:space="preserve"> Tego też dnia prokurator objął je ściganiem. Z kolei zarzut popełnienia tego czynu został przedstawiony oskarżonemu w dniu 16 stycznia 2014 r. Wszystkie te czynności zostały więc podjęte po upływie roku od czasu, gdy pokrzywdzona Małgorzata Kwiatkowska dowiedziała się o osobie sprawcy przestępstwa. Do popełnienia przestępstwa doszło bowiem w dniu 20 grudnia 2012 r. i tego też dnia pokrzywdzona dowiedziała się, kto był jego sprawcą. W konsekwencji nie doszło do przedłużenia terminu przedawnienia karalności w oparciu o art. 102 k.k.</w:t>
      </w:r>
    </w:p>
    <w:p w:rsidR="00576060" w:rsidRDefault="00576060" w:rsidP="003B150E">
      <w:pPr>
        <w:spacing w:line="360" w:lineRule="auto"/>
        <w:ind w:firstLine="360"/>
        <w:jc w:val="both"/>
        <w:rPr>
          <w:rFonts w:cs="A"/>
        </w:rPr>
      </w:pPr>
      <w:r>
        <w:rPr>
          <w:rFonts w:cs="A"/>
        </w:rPr>
        <w:t>Skazując Jerzego Golińskiego za przestępstwo z art. 157 § 2 k.k., mimo upływu terminu przedawnienia karalności tego czynu, Sąd Rejonowy dopuścił się obrazy art. 17 § 1 pkt 6 k.p.k., co stanowi bezwzględną przyczynę odwoławczą określoną w art. 439 § 1 pkt 9 k.p.k.</w:t>
      </w:r>
    </w:p>
    <w:p w:rsidR="00576060" w:rsidRDefault="00576060" w:rsidP="003059ED">
      <w:pPr>
        <w:spacing w:line="360" w:lineRule="auto"/>
        <w:jc w:val="both"/>
        <w:rPr>
          <w:rFonts w:cs="A"/>
        </w:rPr>
      </w:pPr>
    </w:p>
    <w:p w:rsidR="00576060" w:rsidRDefault="00576060" w:rsidP="003B150E">
      <w:pPr>
        <w:tabs>
          <w:tab w:val="left" w:pos="360"/>
        </w:tabs>
        <w:spacing w:line="360" w:lineRule="auto"/>
        <w:jc w:val="both"/>
        <w:rPr>
          <w:rFonts w:cs="A"/>
        </w:rPr>
      </w:pPr>
      <w:r>
        <w:rPr>
          <w:rFonts w:cs="A"/>
        </w:rPr>
        <w:t>3.</w:t>
      </w:r>
      <w:r>
        <w:rPr>
          <w:rFonts w:cs="A"/>
        </w:rPr>
        <w:tab/>
        <w:t>Popełniając przestępstwo z art. 279 § 1 k.k. Jerzy Goliński współdziałał z dwoma innymi osobami i zarazem ujawnił wobec organu powołanego do ścigania przestępstw informacje dotyczące tych osób, jak też ujawnił istotne okoliczności przestępstwa. W tej sytuacji, Sąd Rejonowy zobligowany był do zastosowania wobec oskarżonego nadzwyczajnego złagodzenia kary. Niezastosowanie tej instytucji skutkowało obrazą art. 60 § 3 k.k.</w:t>
      </w:r>
    </w:p>
    <w:p w:rsidR="00576060" w:rsidRDefault="00576060" w:rsidP="00957D3E">
      <w:pPr>
        <w:spacing w:line="360" w:lineRule="auto"/>
        <w:jc w:val="both"/>
        <w:rPr>
          <w:rFonts w:cs="A"/>
        </w:rPr>
      </w:pPr>
    </w:p>
    <w:p w:rsidR="00576060" w:rsidRPr="00B07E0C" w:rsidRDefault="00576060" w:rsidP="003B150E">
      <w:pPr>
        <w:tabs>
          <w:tab w:val="left" w:pos="360"/>
        </w:tabs>
        <w:spacing w:line="360" w:lineRule="auto"/>
        <w:jc w:val="both"/>
      </w:pPr>
      <w:r>
        <w:t>4.</w:t>
      </w:r>
      <w:r>
        <w:tab/>
      </w:r>
      <w:r w:rsidRPr="00B07E0C">
        <w:t>Sąd</w:t>
      </w:r>
      <w:r>
        <w:t xml:space="preserve"> Rejonowy</w:t>
      </w:r>
      <w:r w:rsidRPr="00B07E0C">
        <w:t xml:space="preserve"> nie zali</w:t>
      </w:r>
      <w:r>
        <w:t xml:space="preserve">czył oskarżonemu na poczet wymierzonej mu i podlegającej wykonaniu kary grzywny (wykonanie kary pozbawienia wolności zostało warunkowo zawieszone) okresu zatrzymania, choć art. 63 § </w:t>
      </w:r>
      <w:r w:rsidRPr="00B07E0C">
        <w:t xml:space="preserve">2 k.k. obliguje </w:t>
      </w:r>
      <w:r>
        <w:t>do dokonania takiego zaliczenia</w:t>
      </w:r>
      <w:r w:rsidRPr="00B07E0C">
        <w:t xml:space="preserve">. Wprawdzie, zgodnie z </w:t>
      </w:r>
      <w:smartTag w:uri="lexAThandschemas/lexAThand" w:element="lexATelementyStruktury">
        <w:smartTagPr>
          <w:attr w:name="ProductID3" w:val="art. 420 k.p.k."/>
        </w:smartTagPr>
        <w:r w:rsidRPr="00B07E0C">
          <w:t>art. 420 k.p.k.</w:t>
        </w:r>
      </w:smartTag>
      <w:r>
        <w:t xml:space="preserve">, sąd </w:t>
      </w:r>
      <w:r w:rsidRPr="00B07E0C">
        <w:t>może dokonać</w:t>
      </w:r>
      <w:r>
        <w:t xml:space="preserve"> takiego zaliczenia</w:t>
      </w:r>
      <w:r w:rsidRPr="00B07E0C">
        <w:t xml:space="preserve"> na posiedzeniu, ale nie ma też żadnych przeszkód do podniesienia w apelac</w:t>
      </w:r>
      <w:r>
        <w:t>ji</w:t>
      </w:r>
      <w:r w:rsidRPr="00B07E0C">
        <w:t xml:space="preserve"> </w:t>
      </w:r>
      <w:r>
        <w:t>zarzutu w</w:t>
      </w:r>
      <w:r w:rsidRPr="00B07E0C">
        <w:t xml:space="preserve"> tym </w:t>
      </w:r>
      <w:r>
        <w:t xml:space="preserve">zakresie, co </w:t>
      </w:r>
      <w:r w:rsidRPr="00B07E0C">
        <w:t xml:space="preserve">wskazywałoby </w:t>
      </w:r>
      <w:r>
        <w:t>na dostrzeżenie przez zdającego problemu i stanowiłoby dodatkowy walor pracy</w:t>
      </w:r>
      <w:r w:rsidRPr="00B07E0C">
        <w:t>.</w:t>
      </w:r>
    </w:p>
    <w:p w:rsidR="00576060" w:rsidRDefault="00576060" w:rsidP="009C7767">
      <w:pPr>
        <w:spacing w:line="360" w:lineRule="auto"/>
        <w:jc w:val="both"/>
      </w:pPr>
    </w:p>
    <w:sectPr w:rsidR="00576060" w:rsidSect="0048585D">
      <w:footerReference w:type="even" r:id="rId7"/>
      <w:footerReference w:type="default" r:id="rId8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060" w:rsidRDefault="00576060">
      <w:r>
        <w:separator/>
      </w:r>
    </w:p>
  </w:endnote>
  <w:endnote w:type="continuationSeparator" w:id="0">
    <w:p w:rsidR="00576060" w:rsidRDefault="005760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060" w:rsidRDefault="00576060" w:rsidP="00A21F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76060" w:rsidRDefault="00576060" w:rsidP="009C776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060" w:rsidRDefault="00576060" w:rsidP="00A21F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76060" w:rsidRDefault="00576060" w:rsidP="009C776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060" w:rsidRDefault="00576060">
      <w:r>
        <w:separator/>
      </w:r>
    </w:p>
  </w:footnote>
  <w:footnote w:type="continuationSeparator" w:id="0">
    <w:p w:rsidR="00576060" w:rsidRDefault="005760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6206"/>
    <w:multiLevelType w:val="hybridMultilevel"/>
    <w:tmpl w:val="A3EC24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A349E7"/>
    <w:multiLevelType w:val="hybridMultilevel"/>
    <w:tmpl w:val="3F96DD98"/>
    <w:lvl w:ilvl="0" w:tplc="F3E2D8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545901"/>
    <w:multiLevelType w:val="hybridMultilevel"/>
    <w:tmpl w:val="64F0B2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045"/>
        </w:tabs>
        <w:ind w:left="6045" w:hanging="360"/>
      </w:pPr>
      <w:rPr>
        <w:rFonts w:cs="Times New Roman"/>
      </w:rPr>
    </w:lvl>
  </w:abstractNum>
  <w:abstractNum w:abstractNumId="3">
    <w:nsid w:val="22C16F99"/>
    <w:multiLevelType w:val="hybridMultilevel"/>
    <w:tmpl w:val="27B0F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3A5BFD"/>
    <w:multiLevelType w:val="hybridMultilevel"/>
    <w:tmpl w:val="9AE241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4B356A"/>
    <w:multiLevelType w:val="hybridMultilevel"/>
    <w:tmpl w:val="C37034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8F10D75"/>
    <w:multiLevelType w:val="hybridMultilevel"/>
    <w:tmpl w:val="0302C396"/>
    <w:lvl w:ilvl="0" w:tplc="0415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0F41"/>
    <w:rsid w:val="000D6CD9"/>
    <w:rsid w:val="000E0FF0"/>
    <w:rsid w:val="0014642B"/>
    <w:rsid w:val="001B0F41"/>
    <w:rsid w:val="001F68D1"/>
    <w:rsid w:val="00255CED"/>
    <w:rsid w:val="0027320A"/>
    <w:rsid w:val="00285967"/>
    <w:rsid w:val="002E0481"/>
    <w:rsid w:val="002F4820"/>
    <w:rsid w:val="003059ED"/>
    <w:rsid w:val="00363EA6"/>
    <w:rsid w:val="003B150E"/>
    <w:rsid w:val="003F5E85"/>
    <w:rsid w:val="00416659"/>
    <w:rsid w:val="0045230F"/>
    <w:rsid w:val="00454276"/>
    <w:rsid w:val="00480AC2"/>
    <w:rsid w:val="0048206D"/>
    <w:rsid w:val="0048585D"/>
    <w:rsid w:val="0049157A"/>
    <w:rsid w:val="005479D8"/>
    <w:rsid w:val="00576060"/>
    <w:rsid w:val="00622DF1"/>
    <w:rsid w:val="00693FEA"/>
    <w:rsid w:val="006A0929"/>
    <w:rsid w:val="006C0AB5"/>
    <w:rsid w:val="006C5148"/>
    <w:rsid w:val="006E03F0"/>
    <w:rsid w:val="007226C8"/>
    <w:rsid w:val="007633AE"/>
    <w:rsid w:val="007801E4"/>
    <w:rsid w:val="00785BAD"/>
    <w:rsid w:val="007A16B1"/>
    <w:rsid w:val="007C074F"/>
    <w:rsid w:val="007E29B8"/>
    <w:rsid w:val="008465B6"/>
    <w:rsid w:val="008D68EC"/>
    <w:rsid w:val="009337F7"/>
    <w:rsid w:val="00957D3E"/>
    <w:rsid w:val="00960902"/>
    <w:rsid w:val="009B308D"/>
    <w:rsid w:val="009B6C1C"/>
    <w:rsid w:val="009C7767"/>
    <w:rsid w:val="00A21FFB"/>
    <w:rsid w:val="00A2572B"/>
    <w:rsid w:val="00A45CC8"/>
    <w:rsid w:val="00A93891"/>
    <w:rsid w:val="00B07E0C"/>
    <w:rsid w:val="00B64F7D"/>
    <w:rsid w:val="00B775FB"/>
    <w:rsid w:val="00B844B6"/>
    <w:rsid w:val="00BA589F"/>
    <w:rsid w:val="00BF2FEF"/>
    <w:rsid w:val="00C244F6"/>
    <w:rsid w:val="00C43E5F"/>
    <w:rsid w:val="00CD2CC3"/>
    <w:rsid w:val="00D05362"/>
    <w:rsid w:val="00D53116"/>
    <w:rsid w:val="00D7749B"/>
    <w:rsid w:val="00DA584C"/>
    <w:rsid w:val="00DC77D1"/>
    <w:rsid w:val="00DF3895"/>
    <w:rsid w:val="00DF461A"/>
    <w:rsid w:val="00E22AD5"/>
    <w:rsid w:val="00E84CE1"/>
    <w:rsid w:val="00EB7087"/>
    <w:rsid w:val="00EF3675"/>
    <w:rsid w:val="00FB2425"/>
    <w:rsid w:val="00FB5516"/>
    <w:rsid w:val="00FE7570"/>
    <w:rsid w:val="00FF0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lexAThandschemas/lexAThand" w:name="lexATelementyStruktury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F4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B0F4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9C776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9C776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80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495</TotalTime>
  <Pages>2</Pages>
  <Words>789</Words>
  <Characters>4736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egzamin adwokacki</cp:lastModifiedBy>
  <cp:revision>22</cp:revision>
  <dcterms:created xsi:type="dcterms:W3CDTF">2014-01-22T14:44:00Z</dcterms:created>
  <dcterms:modified xsi:type="dcterms:W3CDTF">2014-02-24T12:37:00Z</dcterms:modified>
</cp:coreProperties>
</file>