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76ABF567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 w:rsidR="005F570C">
        <w:rPr>
          <w:rFonts w:cs="Calibri"/>
        </w:rPr>
        <w:t>Apelacyjnego w Warszawie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11C925E4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w Warszawie, Ministerstwo Sprawiedliwości Al. Ujazdowskie 11, 00-950 Warszawa oraz podmioty wskazane w klauzuli informacyjnej dla kandydata na stanowisko dyrektora Sądu </w:t>
      </w:r>
      <w:r w:rsidR="005F570C">
        <w:rPr>
          <w:rFonts w:cs="Calibri"/>
        </w:rPr>
        <w:t xml:space="preserve">Apelacyjnego w Warszawie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 w:rsidR="005F570C">
        <w:rPr>
          <w:rFonts w:cs="Calibri"/>
        </w:rPr>
        <w:t xml:space="preserve">Apelacyjnego w Warszawie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D37ED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5F4D60"/>
    <w:rsid w:val="005F570C"/>
    <w:rsid w:val="00702948"/>
    <w:rsid w:val="00C77FD5"/>
    <w:rsid w:val="00D37EDA"/>
    <w:rsid w:val="00E06EEC"/>
    <w:rsid w:val="00F7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2024-03-19T13:00:00Z</dcterms:created>
  <dcterms:modified xsi:type="dcterms:W3CDTF">2024-03-19T13:00:00Z</dcterms:modified>
</cp:coreProperties>
</file>