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0D04B9"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4E57BDA2" w:rsidR="00154D02" w:rsidRPr="000D04B9" w:rsidRDefault="005F2117" w:rsidP="000D04B9">
            <w:pPr>
              <w:suppressAutoHyphens/>
              <w:autoSpaceDN w:val="0"/>
              <w:spacing w:line="360" w:lineRule="auto"/>
              <w:jc w:val="center"/>
              <w:rPr>
                <w:b/>
                <w:bCs/>
              </w:rPr>
            </w:pPr>
            <w:r>
              <w:rPr>
                <w:b/>
                <w:bCs/>
              </w:rPr>
              <w:t>Podstawa prawna</w:t>
            </w:r>
            <w:r w:rsidR="00154D02" w:rsidRPr="000D04B9">
              <w:rPr>
                <w:b/>
                <w:bCs/>
              </w:rPr>
              <w:t xml:space="preserve"> </w:t>
            </w:r>
          </w:p>
        </w:tc>
      </w:tr>
      <w:tr w:rsidR="00154D02" w:rsidRPr="000D04B9"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6FFEAC9B" w:rsidR="00154D02" w:rsidRPr="000D04B9" w:rsidRDefault="005F2117" w:rsidP="000D04B9">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współpracy </w:t>
            </w:r>
            <w:r w:rsidR="00154D02" w:rsidRPr="000D04B9">
              <w:rPr>
                <w:rFonts w:ascii="Times New Roman" w:hAnsi="Times New Roman" w:cs="Times New Roman"/>
                <w:sz w:val="24"/>
                <w:szCs w:val="24"/>
              </w:rPr>
              <w:t xml:space="preserve">między Rzecząpospolitą Polską a </w:t>
            </w:r>
            <w:r w:rsidR="00072CF4">
              <w:rPr>
                <w:rFonts w:ascii="Times New Roman" w:hAnsi="Times New Roman" w:cs="Times New Roman"/>
                <w:sz w:val="24"/>
                <w:szCs w:val="24"/>
              </w:rPr>
              <w:t xml:space="preserve">Republiką </w:t>
            </w:r>
            <w:r w:rsidR="00143800">
              <w:rPr>
                <w:rFonts w:ascii="Times New Roman" w:hAnsi="Times New Roman" w:cs="Times New Roman"/>
                <w:sz w:val="24"/>
                <w:szCs w:val="24"/>
              </w:rPr>
              <w:t>Islandi</w:t>
            </w:r>
            <w:r w:rsidR="00072CF4">
              <w:rPr>
                <w:rFonts w:ascii="Times New Roman" w:hAnsi="Times New Roman" w:cs="Times New Roman"/>
                <w:sz w:val="24"/>
                <w:szCs w:val="24"/>
              </w:rPr>
              <w:t>i</w:t>
            </w:r>
            <w:r w:rsidR="00143800">
              <w:rPr>
                <w:rFonts w:ascii="Times New Roman" w:hAnsi="Times New Roman" w:cs="Times New Roman"/>
                <w:sz w:val="24"/>
                <w:szCs w:val="24"/>
              </w:rPr>
              <w:t xml:space="preserve"> </w:t>
            </w:r>
            <w:r>
              <w:rPr>
                <w:rFonts w:ascii="Times New Roman" w:hAnsi="Times New Roman" w:cs="Times New Roman"/>
                <w:sz w:val="24"/>
                <w:szCs w:val="24"/>
              </w:rPr>
              <w:t xml:space="preserve">w zakresie </w:t>
            </w:r>
            <w:r w:rsidR="000C3E88" w:rsidRPr="000D04B9">
              <w:rPr>
                <w:rFonts w:ascii="Times New Roman" w:hAnsi="Times New Roman" w:cs="Times New Roman"/>
                <w:sz w:val="24"/>
                <w:szCs w:val="24"/>
              </w:rPr>
              <w:t xml:space="preserve">przeprowadzanie dowodów w sprawach cywilnych </w:t>
            </w:r>
            <w:r>
              <w:rPr>
                <w:rFonts w:ascii="Times New Roman" w:hAnsi="Times New Roman" w:cs="Times New Roman"/>
                <w:sz w:val="24"/>
                <w:szCs w:val="24"/>
              </w:rPr>
              <w:t xml:space="preserve">jest </w:t>
            </w:r>
            <w:r w:rsidR="009B083E" w:rsidRPr="000D04B9">
              <w:rPr>
                <w:rFonts w:ascii="Times New Roman" w:hAnsi="Times New Roman" w:cs="Times New Roman"/>
                <w:sz w:val="24"/>
                <w:szCs w:val="24"/>
              </w:rPr>
              <w:t>konwencj</w:t>
            </w:r>
            <w:r>
              <w:rPr>
                <w:rFonts w:ascii="Times New Roman" w:hAnsi="Times New Roman" w:cs="Times New Roman"/>
                <w:sz w:val="24"/>
                <w:szCs w:val="24"/>
              </w:rPr>
              <w:t>a</w:t>
            </w:r>
            <w:r w:rsidR="009B083E" w:rsidRPr="000D04B9">
              <w:rPr>
                <w:rFonts w:ascii="Times New Roman" w:hAnsi="Times New Roman" w:cs="Times New Roman"/>
                <w:sz w:val="24"/>
                <w:szCs w:val="24"/>
              </w:rPr>
              <w:t xml:space="preserve"> o przeprowadzaniu dowodów za granicą w sprawach cywilnych i handlowych</w:t>
            </w:r>
            <w:r>
              <w:rPr>
                <w:rFonts w:ascii="Times New Roman" w:hAnsi="Times New Roman" w:cs="Times New Roman"/>
                <w:sz w:val="24"/>
                <w:szCs w:val="24"/>
              </w:rPr>
              <w:t>,</w:t>
            </w:r>
            <w:r w:rsidR="009B083E" w:rsidRPr="000D04B9">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0D04B9">
              <w:rPr>
                <w:rFonts w:ascii="Times New Roman" w:hAnsi="Times New Roman" w:cs="Times New Roman"/>
                <w:sz w:val="24"/>
                <w:szCs w:val="24"/>
              </w:rPr>
              <w:t>w Hadze dnia 1</w:t>
            </w:r>
            <w:r w:rsidR="00DB5CFD">
              <w:rPr>
                <w:rFonts w:ascii="Times New Roman" w:hAnsi="Times New Roman" w:cs="Times New Roman"/>
                <w:sz w:val="24"/>
                <w:szCs w:val="24"/>
              </w:rPr>
              <w:t>8</w:t>
            </w:r>
            <w:r w:rsidR="009B083E" w:rsidRPr="000D04B9">
              <w:rPr>
                <w:rFonts w:ascii="Times New Roman" w:hAnsi="Times New Roman" w:cs="Times New Roman"/>
                <w:sz w:val="24"/>
                <w:szCs w:val="24"/>
              </w:rPr>
              <w:t xml:space="preserve"> marca 1970 r. (Dz. U. z 2000 r., nr 50, poz. 582; dalej Konwencja).</w:t>
            </w:r>
          </w:p>
        </w:tc>
      </w:tr>
      <w:tr w:rsidR="00154D02" w:rsidRPr="000D04B9"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0D04B9" w:rsidRDefault="003A23DA" w:rsidP="000D04B9">
            <w:pPr>
              <w:suppressAutoHyphens/>
              <w:autoSpaceDN w:val="0"/>
              <w:spacing w:line="360" w:lineRule="auto"/>
              <w:jc w:val="center"/>
              <w:rPr>
                <w:b/>
                <w:bCs/>
              </w:rPr>
            </w:pPr>
            <w:r w:rsidRPr="000D04B9">
              <w:rPr>
                <w:b/>
                <w:bCs/>
              </w:rPr>
              <w:t xml:space="preserve">Tryb przesyłania wniosku  </w:t>
            </w:r>
          </w:p>
        </w:tc>
      </w:tr>
      <w:tr w:rsidR="00154D02" w:rsidRPr="005D4FF7"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7EBEF19" w14:textId="618F24ED" w:rsidR="002B10F0" w:rsidRDefault="003A23DA" w:rsidP="00C46518">
            <w:pPr>
              <w:spacing w:line="360" w:lineRule="auto"/>
              <w:jc w:val="both"/>
            </w:pPr>
            <w:r w:rsidRPr="00013CA7">
              <w:t xml:space="preserve">Zgodnie z art. </w:t>
            </w:r>
            <w:r w:rsidR="007D18F3" w:rsidRPr="00013CA7">
              <w:t>2</w:t>
            </w:r>
            <w:r w:rsidR="002B10F0" w:rsidRPr="00013CA7">
              <w:t xml:space="preserve"> </w:t>
            </w:r>
            <w:r w:rsidR="00C46518">
              <w:t xml:space="preserve">ust. 2 </w:t>
            </w:r>
            <w:r w:rsidR="00FA1910" w:rsidRPr="00013CA7">
              <w:t>K</w:t>
            </w:r>
            <w:r w:rsidR="002B10F0" w:rsidRPr="00013CA7">
              <w:t>onwencji wnios</w:t>
            </w:r>
            <w:r w:rsidR="00C46518">
              <w:t xml:space="preserve">ek </w:t>
            </w:r>
            <w:r w:rsidR="002B10F0" w:rsidRPr="00013CA7">
              <w:t xml:space="preserve">o </w:t>
            </w:r>
            <w:r w:rsidR="00C51B2D" w:rsidRPr="00013CA7">
              <w:t>przeprowadz</w:t>
            </w:r>
            <w:r w:rsidR="00C46518">
              <w:t>e</w:t>
            </w:r>
            <w:r w:rsidR="00C51B2D" w:rsidRPr="00013CA7">
              <w:t>nie dowod</w:t>
            </w:r>
            <w:r w:rsidR="00C46518">
              <w:t>u</w:t>
            </w:r>
            <w:r w:rsidR="002B10F0" w:rsidRPr="00013CA7">
              <w:t xml:space="preserve"> </w:t>
            </w:r>
            <w:r w:rsidR="00C46518">
              <w:t xml:space="preserve">powinien być przesłany </w:t>
            </w:r>
            <w:r w:rsidR="002B10F0" w:rsidRPr="00013CA7">
              <w:t>do organu centralnego</w:t>
            </w:r>
            <w:r w:rsidR="005F2117">
              <w:t xml:space="preserve">, którym jest: </w:t>
            </w:r>
          </w:p>
          <w:p w14:paraId="6C99E0B7" w14:textId="77777777" w:rsidR="00143800" w:rsidRPr="00143800" w:rsidRDefault="00143800" w:rsidP="00143800">
            <w:pPr>
              <w:spacing w:line="360" w:lineRule="auto"/>
              <w:jc w:val="both"/>
              <w:rPr>
                <w:lang w:val="en-GB"/>
              </w:rPr>
            </w:pPr>
            <w:r w:rsidRPr="00143800">
              <w:rPr>
                <w:lang w:val="en-GB"/>
              </w:rPr>
              <w:t xml:space="preserve">District Commissioner of </w:t>
            </w:r>
            <w:proofErr w:type="spellStart"/>
            <w:r w:rsidRPr="00143800">
              <w:rPr>
                <w:lang w:val="en-GB"/>
              </w:rPr>
              <w:t>Sudurnes</w:t>
            </w:r>
            <w:proofErr w:type="spellEnd"/>
            <w:r w:rsidRPr="00143800">
              <w:rPr>
                <w:lang w:val="en-GB"/>
              </w:rPr>
              <w:t xml:space="preserve"> (</w:t>
            </w:r>
            <w:proofErr w:type="spellStart"/>
            <w:r w:rsidRPr="00143800">
              <w:rPr>
                <w:lang w:val="en-GB"/>
              </w:rPr>
              <w:t>Sýslumaðurinn</w:t>
            </w:r>
            <w:proofErr w:type="spellEnd"/>
            <w:r w:rsidRPr="00143800">
              <w:rPr>
                <w:lang w:val="en-GB"/>
              </w:rPr>
              <w:t xml:space="preserve"> á </w:t>
            </w:r>
            <w:proofErr w:type="spellStart"/>
            <w:r w:rsidRPr="00143800">
              <w:rPr>
                <w:lang w:val="en-GB"/>
              </w:rPr>
              <w:t>Suðurnesjum</w:t>
            </w:r>
            <w:proofErr w:type="spellEnd"/>
            <w:r w:rsidRPr="00143800">
              <w:rPr>
                <w:lang w:val="en-GB"/>
              </w:rPr>
              <w:t>)</w:t>
            </w:r>
          </w:p>
          <w:p w14:paraId="664EB800" w14:textId="77777777" w:rsidR="00143800" w:rsidRPr="00143800" w:rsidRDefault="00143800" w:rsidP="00143800">
            <w:pPr>
              <w:spacing w:line="360" w:lineRule="auto"/>
              <w:jc w:val="both"/>
              <w:rPr>
                <w:lang w:val="en-GB"/>
              </w:rPr>
            </w:pPr>
            <w:proofErr w:type="spellStart"/>
            <w:r w:rsidRPr="00143800">
              <w:rPr>
                <w:lang w:val="en-GB"/>
              </w:rPr>
              <w:t>Vatnsnesvegur</w:t>
            </w:r>
            <w:proofErr w:type="spellEnd"/>
            <w:r w:rsidRPr="00143800">
              <w:rPr>
                <w:lang w:val="en-GB"/>
              </w:rPr>
              <w:t xml:space="preserve"> 33</w:t>
            </w:r>
          </w:p>
          <w:p w14:paraId="74F5CB03" w14:textId="77777777" w:rsidR="00143800" w:rsidRPr="00143800" w:rsidRDefault="00143800" w:rsidP="00143800">
            <w:pPr>
              <w:spacing w:line="360" w:lineRule="auto"/>
              <w:jc w:val="both"/>
              <w:rPr>
                <w:lang w:val="en-GB"/>
              </w:rPr>
            </w:pPr>
            <w:r w:rsidRPr="00143800">
              <w:rPr>
                <w:lang w:val="en-GB"/>
              </w:rPr>
              <w:t>230 Keflavík</w:t>
            </w:r>
          </w:p>
          <w:p w14:paraId="70C0D8C8" w14:textId="147A2B54" w:rsidR="00143800" w:rsidRPr="00143800" w:rsidRDefault="00143800" w:rsidP="00143800">
            <w:pPr>
              <w:spacing w:line="360" w:lineRule="auto"/>
              <w:jc w:val="both"/>
              <w:rPr>
                <w:lang w:val="en-GB"/>
              </w:rPr>
            </w:pPr>
            <w:r w:rsidRPr="00143800">
              <w:rPr>
                <w:lang w:val="en-GB"/>
              </w:rPr>
              <w:t>Iceland</w:t>
            </w:r>
          </w:p>
          <w:p w14:paraId="5619D665" w14:textId="1D79BFAF" w:rsidR="00DB5CFD" w:rsidRPr="00DB5CFD" w:rsidRDefault="00DB5CFD" w:rsidP="005D4FF7">
            <w:pPr>
              <w:spacing w:line="360" w:lineRule="auto"/>
              <w:rPr>
                <w:lang w:val="en-US"/>
              </w:rPr>
            </w:pPr>
            <w:r>
              <w:rPr>
                <w:lang w:val="en-US"/>
              </w:rPr>
              <w:t xml:space="preserve">tel.: </w:t>
            </w:r>
            <w:r w:rsidR="00143800" w:rsidRPr="00143800">
              <w:rPr>
                <w:lang w:val="en-US"/>
              </w:rPr>
              <w:t>+354 458 2200</w:t>
            </w:r>
          </w:p>
          <w:p w14:paraId="507A37C9" w14:textId="46F71389" w:rsidR="00F06CA8" w:rsidRPr="00724AA7" w:rsidRDefault="005D4FF7" w:rsidP="005D4FF7">
            <w:pPr>
              <w:spacing w:line="360" w:lineRule="auto"/>
              <w:rPr>
                <w:lang w:val="en-GB"/>
              </w:rPr>
            </w:pPr>
            <w:r w:rsidRPr="00724AA7">
              <w:rPr>
                <w:lang w:val="en-GB"/>
              </w:rPr>
              <w:t>e</w:t>
            </w:r>
            <w:r w:rsidR="00F06CA8" w:rsidRPr="00724AA7">
              <w:rPr>
                <w:lang w:val="en-GB"/>
              </w:rPr>
              <w:t>-mail:</w:t>
            </w:r>
            <w:r w:rsidR="00F06CA8" w:rsidRPr="00724AA7">
              <w:rPr>
                <w:lang w:val="en-GB"/>
              </w:rPr>
              <w:tab/>
            </w:r>
            <w:r w:rsidR="00395B0F" w:rsidRPr="00724AA7">
              <w:rPr>
                <w:lang w:val="en-GB"/>
              </w:rPr>
              <w:t xml:space="preserve"> </w:t>
            </w:r>
            <w:r w:rsidR="00143800" w:rsidRPr="00724AA7">
              <w:rPr>
                <w:lang w:val="en-GB"/>
              </w:rPr>
              <w:t>sudurnes@syslumenn.is</w:t>
            </w:r>
          </w:p>
          <w:p w14:paraId="44BD3AC8" w14:textId="1901D000" w:rsidR="004E55B3" w:rsidRPr="005D4FF7" w:rsidRDefault="00C46518" w:rsidP="007562A3">
            <w:pPr>
              <w:spacing w:line="360" w:lineRule="auto"/>
              <w:jc w:val="both"/>
            </w:pPr>
            <w:r>
              <w:t>Vide: informacj</w:t>
            </w:r>
            <w:r w:rsidR="004E55B3">
              <w:t>e praktyczne</w:t>
            </w:r>
            <w:r>
              <w:t xml:space="preserve"> w języku angielskim na oficjalnej stronie internetowej Haskiej Konferencji Prawa Prywatnego Międzynarodowego </w:t>
            </w:r>
            <w:hyperlink r:id="rId6" w:history="1">
              <w:r w:rsidR="00143800" w:rsidRPr="00143800">
                <w:rPr>
                  <w:color w:val="0000FF"/>
                  <w:u w:val="single"/>
                </w:rPr>
                <w:t>HCCH | Authority</w:t>
              </w:r>
            </w:hyperlink>
          </w:p>
        </w:tc>
      </w:tr>
      <w:tr w:rsidR="00154D02" w:rsidRPr="000D04B9"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0D04B9" w:rsidRDefault="003A23DA" w:rsidP="000D04B9">
            <w:pPr>
              <w:suppressAutoHyphens/>
              <w:autoSpaceDN w:val="0"/>
              <w:spacing w:line="360" w:lineRule="auto"/>
              <w:jc w:val="center"/>
              <w:rPr>
                <w:b/>
                <w:bCs/>
              </w:rPr>
            </w:pPr>
            <w:r w:rsidRPr="000D04B9">
              <w:rPr>
                <w:b/>
                <w:bCs/>
              </w:rPr>
              <w:t xml:space="preserve">Formularz </w:t>
            </w:r>
          </w:p>
        </w:tc>
      </w:tr>
      <w:tr w:rsidR="00154D02" w:rsidRPr="000D04B9" w14:paraId="09EEFAFB" w14:textId="77777777" w:rsidTr="00BF66A5">
        <w:trPr>
          <w:trHeight w:val="1349"/>
        </w:trPr>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1286401" w14:textId="77777777" w:rsidR="00AF6888" w:rsidRDefault="00AF6888" w:rsidP="00AF6888">
            <w:pPr>
              <w:pStyle w:val="Textbody"/>
              <w:spacing w:line="360" w:lineRule="auto"/>
              <w:jc w:val="both"/>
            </w:pPr>
            <w:r>
              <w:rPr>
                <w:rFonts w:ascii="Times New Roman" w:hAnsi="Times New Roman" w:cs="Times New Roman"/>
                <w:sz w:val="24"/>
                <w:szCs w:val="24"/>
              </w:rPr>
              <w:t xml:space="preserve">Wniosek można złożyć na formularzu, </w:t>
            </w:r>
            <w:r w:rsidRPr="00DB7220">
              <w:rPr>
                <w:rFonts w:ascii="Times New Roman" w:hAnsi="Times New Roman" w:cs="Times New Roman"/>
                <w:sz w:val="24"/>
                <w:szCs w:val="24"/>
              </w:rPr>
              <w:t xml:space="preserve">którego interaktywna wersja jest dostępna </w:t>
            </w:r>
            <w:hyperlink r:id="rId7" w:history="1">
              <w:r w:rsidRPr="00DB7220">
                <w:rPr>
                  <w:rStyle w:val="Hipercze"/>
                  <w:rFonts w:ascii="Times New Roman" w:hAnsi="Times New Roman" w:cs="Times New Roman"/>
                  <w:sz w:val="24"/>
                  <w:szCs w:val="24"/>
                </w:rPr>
                <w:t>tutaj</w:t>
              </w:r>
            </w:hyperlink>
            <w:r>
              <w:t>.</w:t>
            </w:r>
          </w:p>
          <w:p w14:paraId="1A5E4A0C" w14:textId="1AD8280E" w:rsidR="00E01FA8" w:rsidRPr="00E01FA8" w:rsidRDefault="00E01FA8" w:rsidP="00AF6888">
            <w:pPr>
              <w:pStyle w:val="Textbody"/>
              <w:spacing w:line="360" w:lineRule="auto"/>
              <w:jc w:val="both"/>
              <w:rPr>
                <w:rFonts w:ascii="Times New Roman" w:hAnsi="Times New Roman" w:cs="Times New Roman"/>
                <w:sz w:val="24"/>
                <w:szCs w:val="24"/>
              </w:rPr>
            </w:pPr>
            <w:r w:rsidRPr="00E01FA8">
              <w:rPr>
                <w:rFonts w:ascii="Times New Roman" w:hAnsi="Times New Roman" w:cs="Times New Roman"/>
                <w:sz w:val="24"/>
                <w:szCs w:val="24"/>
              </w:rPr>
              <w:t>Władze islandzkie nie przyjmują wniosków sporządzonych czy przetłumaczonych na j.</w:t>
            </w:r>
            <w:r>
              <w:rPr>
                <w:rFonts w:ascii="Times New Roman" w:hAnsi="Times New Roman" w:cs="Times New Roman"/>
                <w:sz w:val="24"/>
                <w:szCs w:val="24"/>
              </w:rPr>
              <w:t> </w:t>
            </w:r>
            <w:r w:rsidRPr="00E01FA8">
              <w:rPr>
                <w:rFonts w:ascii="Times New Roman" w:hAnsi="Times New Roman" w:cs="Times New Roman"/>
                <w:sz w:val="24"/>
                <w:szCs w:val="24"/>
              </w:rPr>
              <w:t>francuski.</w:t>
            </w:r>
          </w:p>
          <w:p w14:paraId="00384656" w14:textId="06DF7D7A" w:rsidR="00360455" w:rsidRPr="000D04B9" w:rsidRDefault="00AF6888" w:rsidP="00AF6888">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Do wniosku o przesłuchanie osób należy dołączyć szczegółową listę pytań, jakie mają być zadane osobie przesłuchiwanej.</w:t>
            </w:r>
            <w:r w:rsidR="0027612F">
              <w:rPr>
                <w:rFonts w:ascii="Times New Roman" w:hAnsi="Times New Roman" w:cs="Times New Roman"/>
                <w:sz w:val="24"/>
                <w:szCs w:val="24"/>
              </w:rPr>
              <w:t xml:space="preserve"> </w:t>
            </w:r>
          </w:p>
        </w:tc>
      </w:tr>
      <w:tr w:rsidR="0063727D" w:rsidRPr="000D04B9"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04BD2129" w:rsidR="0063727D" w:rsidRPr="000D04B9" w:rsidRDefault="00BF66A5" w:rsidP="000D04B9">
            <w:pPr>
              <w:pStyle w:val="Textbody"/>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w:t>
            </w:r>
            <w:r w:rsidRPr="0063727D">
              <w:rPr>
                <w:rFonts w:ascii="Times New Roman" w:hAnsi="Times New Roman" w:cs="Times New Roman"/>
                <w:b/>
                <w:bCs/>
                <w:sz w:val="24"/>
                <w:szCs w:val="24"/>
              </w:rPr>
              <w:t>ęzyk</w:t>
            </w:r>
            <w:r>
              <w:rPr>
                <w:rFonts w:ascii="Times New Roman" w:hAnsi="Times New Roman" w:cs="Times New Roman"/>
                <w:b/>
                <w:bCs/>
                <w:sz w:val="24"/>
                <w:szCs w:val="24"/>
              </w:rPr>
              <w:t xml:space="preserve">i </w:t>
            </w:r>
            <w:r w:rsidRPr="0063727D">
              <w:rPr>
                <w:rFonts w:ascii="Times New Roman" w:hAnsi="Times New Roman" w:cs="Times New Roman"/>
                <w:b/>
                <w:bCs/>
                <w:sz w:val="24"/>
                <w:szCs w:val="24"/>
              </w:rPr>
              <w:t>wniosk</w:t>
            </w:r>
            <w:r>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Pr>
                <w:rFonts w:ascii="Times New Roman" w:hAnsi="Times New Roman" w:cs="Times New Roman"/>
                <w:b/>
                <w:bCs/>
                <w:sz w:val="24"/>
                <w:szCs w:val="24"/>
              </w:rPr>
              <w:t>przeprowadzenie dowodów</w:t>
            </w:r>
          </w:p>
        </w:tc>
      </w:tr>
      <w:tr w:rsidR="00AF6888" w:rsidRPr="000D04B9" w14:paraId="08E4619B" w14:textId="77777777" w:rsidTr="0006520A">
        <w:tc>
          <w:tcPr>
            <w:tcW w:w="9062" w:type="dxa"/>
            <w:tcBorders>
              <w:top w:val="single" w:sz="4" w:space="0" w:color="00000A"/>
              <w:left w:val="single" w:sz="4" w:space="0" w:color="00000A"/>
              <w:bottom w:val="single" w:sz="4" w:space="0" w:color="00000A"/>
              <w:right w:val="single" w:sz="4" w:space="0" w:color="00000A"/>
            </w:tcBorders>
          </w:tcPr>
          <w:p w14:paraId="0D90D913" w14:textId="2A04DDBC" w:rsidR="00AF6888" w:rsidRPr="00560912" w:rsidRDefault="00AF6888" w:rsidP="00AF68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rPr>
            </w:pPr>
            <w:r w:rsidRPr="006A7653">
              <w:t xml:space="preserve">Wniosek powinien być sporządzony w języku </w:t>
            </w:r>
            <w:r w:rsidR="00E01FA8">
              <w:t xml:space="preserve">islandzkim </w:t>
            </w:r>
            <w:r w:rsidRPr="006A7653">
              <w:t xml:space="preserve">albo przetłumaczony </w:t>
            </w:r>
            <w:r w:rsidR="00927862">
              <w:t>na ten język</w:t>
            </w:r>
            <w:r>
              <w:t xml:space="preserve">. Tłumaczenie powinno być </w:t>
            </w:r>
            <w:r w:rsidRPr="00BE7FA5">
              <w:t>poświadczone</w:t>
            </w:r>
            <w:r>
              <w:t xml:space="preserve"> przez przedstawiciela dyplomatycznego, urzędnika konsularnego lub tłumacza przysięgłego (art. 4 ust. 5 Konwencji). </w:t>
            </w:r>
          </w:p>
        </w:tc>
      </w:tr>
      <w:tr w:rsidR="00AF6888" w:rsidRPr="000D04B9"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AF6888" w:rsidRPr="000D04B9" w:rsidRDefault="00AF6888" w:rsidP="00AF6888">
            <w:pPr>
              <w:suppressAutoHyphens/>
              <w:autoSpaceDN w:val="0"/>
              <w:spacing w:line="360" w:lineRule="auto"/>
              <w:jc w:val="center"/>
              <w:rPr>
                <w:b/>
                <w:bCs/>
              </w:rPr>
            </w:pPr>
            <w:r w:rsidRPr="000D04B9">
              <w:rPr>
                <w:b/>
                <w:bCs/>
              </w:rPr>
              <w:t>Legalizacja</w:t>
            </w:r>
          </w:p>
        </w:tc>
      </w:tr>
      <w:tr w:rsidR="00AF6888" w:rsidRPr="000D04B9"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6D95396" w14:textId="75953DA1" w:rsidR="00A53AD1" w:rsidRPr="000D04B9" w:rsidRDefault="00AF6888" w:rsidP="00AF6888">
            <w:pPr>
              <w:pStyle w:val="PreformattedText"/>
              <w:spacing w:line="360" w:lineRule="auto"/>
              <w:jc w:val="both"/>
              <w:rPr>
                <w:rFonts w:ascii="Times New Roman" w:hAnsi="Times New Roman" w:cs="Times New Roman"/>
                <w:sz w:val="24"/>
                <w:szCs w:val="24"/>
              </w:rPr>
            </w:pPr>
            <w:r w:rsidRPr="000D04B9">
              <w:rPr>
                <w:rFonts w:ascii="Times New Roman" w:hAnsi="Times New Roman" w:cs="Times New Roman"/>
                <w:sz w:val="24"/>
                <w:szCs w:val="24"/>
              </w:rPr>
              <w:t xml:space="preserve">Zgodnie z art. 3 ust. </w:t>
            </w:r>
            <w:r>
              <w:rPr>
                <w:rFonts w:ascii="Times New Roman" w:hAnsi="Times New Roman" w:cs="Times New Roman"/>
                <w:sz w:val="24"/>
                <w:szCs w:val="24"/>
              </w:rPr>
              <w:t>4</w:t>
            </w:r>
            <w:r w:rsidRPr="000D04B9">
              <w:rPr>
                <w:rFonts w:ascii="Times New Roman" w:hAnsi="Times New Roman" w:cs="Times New Roman"/>
                <w:sz w:val="24"/>
                <w:szCs w:val="24"/>
              </w:rPr>
              <w:t xml:space="preserve"> Konwencji nie ma potrzeby legalizacji wniosku ani innej podobnej formalności. </w:t>
            </w:r>
          </w:p>
        </w:tc>
      </w:tr>
      <w:tr w:rsidR="00AF6888" w:rsidRPr="000D04B9"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5C3B5EBA" w:rsidR="00AF6888" w:rsidRPr="000D04B9" w:rsidRDefault="00AF6888" w:rsidP="00AF688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Inne</w:t>
            </w:r>
            <w:r w:rsidRPr="000D04B9">
              <w:rPr>
                <w:rFonts w:ascii="Times New Roman" w:hAnsi="Times New Roman" w:cs="Times New Roman"/>
                <w:b/>
                <w:bCs/>
                <w:sz w:val="24"/>
                <w:szCs w:val="24"/>
              </w:rPr>
              <w:t xml:space="preserve"> sposoby przeprowadzania dowodów</w:t>
            </w:r>
          </w:p>
        </w:tc>
      </w:tr>
      <w:tr w:rsidR="00AF6888" w:rsidRPr="000D04B9"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82E3AA1" w14:textId="2ACBE0F8" w:rsidR="000E47D2" w:rsidRPr="000E47D2" w:rsidRDefault="000E47D2" w:rsidP="000E47D2">
            <w:pPr>
              <w:pStyle w:val="Standard"/>
              <w:spacing w:line="360" w:lineRule="auto"/>
              <w:rPr>
                <w:rFonts w:ascii="Times New Roman" w:hAnsi="Times New Roman" w:cs="Times New Roman"/>
                <w:sz w:val="24"/>
                <w:szCs w:val="24"/>
              </w:rPr>
            </w:pPr>
            <w:r w:rsidRPr="000E47D2">
              <w:rPr>
                <w:rFonts w:ascii="Times New Roman" w:hAnsi="Times New Roman" w:cs="Times New Roman"/>
                <w:sz w:val="24"/>
                <w:szCs w:val="24"/>
              </w:rPr>
              <w:t xml:space="preserve">Władze </w:t>
            </w:r>
            <w:r>
              <w:rPr>
                <w:rFonts w:ascii="Times New Roman" w:hAnsi="Times New Roman" w:cs="Times New Roman"/>
                <w:sz w:val="24"/>
                <w:szCs w:val="24"/>
              </w:rPr>
              <w:t>islandzkie</w:t>
            </w:r>
            <w:r w:rsidRPr="000E47D2">
              <w:rPr>
                <w:rFonts w:ascii="Times New Roman" w:hAnsi="Times New Roman" w:cs="Times New Roman"/>
                <w:sz w:val="24"/>
                <w:szCs w:val="24"/>
              </w:rPr>
              <w:t xml:space="preserve"> dopuszczają następujące sposoby przeprowadzania dowodów:</w:t>
            </w:r>
          </w:p>
          <w:p w14:paraId="14650B79" w14:textId="796A3B14" w:rsidR="000E47D2" w:rsidRPr="000D04B9" w:rsidRDefault="000E47D2" w:rsidP="0006520A">
            <w:pPr>
              <w:pStyle w:val="Standard"/>
              <w:spacing w:line="360" w:lineRule="auto"/>
              <w:rPr>
                <w:rFonts w:ascii="Times New Roman" w:hAnsi="Times New Roman" w:cs="Times New Roman"/>
                <w:sz w:val="24"/>
                <w:szCs w:val="24"/>
              </w:rPr>
            </w:pPr>
            <w:r w:rsidRPr="000E47D2">
              <w:rPr>
                <w:rFonts w:ascii="Times New Roman" w:hAnsi="Times New Roman" w:cs="Times New Roman"/>
                <w:sz w:val="24"/>
                <w:szCs w:val="24"/>
              </w:rPr>
              <w:lastRenderedPageBreak/>
              <w:t xml:space="preserve">- przez urzędników dyplomatycznych i konsularnych, </w:t>
            </w:r>
            <w:r w:rsidR="0006520A">
              <w:rPr>
                <w:rFonts w:ascii="Times New Roman" w:hAnsi="Times New Roman" w:cs="Times New Roman"/>
                <w:sz w:val="24"/>
                <w:szCs w:val="24"/>
              </w:rPr>
              <w:t xml:space="preserve">wobec </w:t>
            </w:r>
            <w:r w:rsidRPr="000E47D2">
              <w:rPr>
                <w:rFonts w:ascii="Times New Roman" w:hAnsi="Times New Roman" w:cs="Times New Roman"/>
                <w:sz w:val="24"/>
                <w:szCs w:val="24"/>
              </w:rPr>
              <w:t>obywatel</w:t>
            </w:r>
            <w:r w:rsidR="0006520A">
              <w:rPr>
                <w:rFonts w:ascii="Times New Roman" w:hAnsi="Times New Roman" w:cs="Times New Roman"/>
                <w:sz w:val="24"/>
                <w:szCs w:val="24"/>
              </w:rPr>
              <w:t>i</w:t>
            </w:r>
            <w:r w:rsidRPr="000E47D2">
              <w:rPr>
                <w:rFonts w:ascii="Times New Roman" w:hAnsi="Times New Roman" w:cs="Times New Roman"/>
                <w:sz w:val="24"/>
                <w:szCs w:val="24"/>
              </w:rPr>
              <w:t xml:space="preserve"> państwa polskiego, pod warunkiem niekorzystania ze środków przymusu i uzyskania wcześniejszej zgody </w:t>
            </w:r>
            <w:r w:rsidR="00724AA7">
              <w:rPr>
                <w:rFonts w:ascii="Times New Roman" w:hAnsi="Times New Roman" w:cs="Times New Roman"/>
                <w:sz w:val="24"/>
                <w:szCs w:val="24"/>
              </w:rPr>
              <w:t xml:space="preserve">właściwego </w:t>
            </w:r>
            <w:r w:rsidRPr="000E47D2">
              <w:rPr>
                <w:rFonts w:ascii="Times New Roman" w:hAnsi="Times New Roman" w:cs="Times New Roman"/>
                <w:sz w:val="24"/>
                <w:szCs w:val="24"/>
              </w:rPr>
              <w:t>organu (art. 15 Konwencji).</w:t>
            </w:r>
          </w:p>
        </w:tc>
      </w:tr>
      <w:tr w:rsidR="00AF6888" w:rsidRPr="000D04B9"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7BD8C23C" w:rsidR="00AF6888" w:rsidRPr="000D04B9" w:rsidRDefault="00AF6888" w:rsidP="00AF6888">
            <w:pPr>
              <w:pStyle w:val="Standard"/>
              <w:spacing w:after="0" w:line="360" w:lineRule="auto"/>
              <w:jc w:val="center"/>
              <w:rPr>
                <w:rFonts w:ascii="Times New Roman" w:hAnsi="Times New Roman" w:cs="Times New Roman"/>
                <w:sz w:val="24"/>
                <w:szCs w:val="24"/>
              </w:rPr>
            </w:pPr>
            <w:r w:rsidRPr="000D04B9">
              <w:rPr>
                <w:rFonts w:ascii="Times New Roman" w:hAnsi="Times New Roman" w:cs="Times New Roman"/>
                <w:b/>
                <w:bCs/>
                <w:sz w:val="24"/>
                <w:szCs w:val="24"/>
              </w:rPr>
              <w:lastRenderedPageBreak/>
              <w:t>Czas wykonania wniosku</w:t>
            </w:r>
          </w:p>
        </w:tc>
      </w:tr>
      <w:tr w:rsidR="00AF6888" w:rsidRPr="000D04B9"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26772E29" w:rsidR="00AF6888" w:rsidRPr="000D04B9" w:rsidRDefault="009A3161" w:rsidP="00AF6888">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Brak informacji. </w:t>
            </w:r>
          </w:p>
        </w:tc>
      </w:tr>
      <w:tr w:rsidR="00AF6888" w:rsidRPr="000D04B9" w14:paraId="33970B26"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6A6AF12" w14:textId="1A5360A1" w:rsidR="00AF6888" w:rsidRPr="000D04B9" w:rsidRDefault="00AF6888" w:rsidP="00AF6888">
            <w:pPr>
              <w:pStyle w:val="Standard"/>
              <w:spacing w:after="0" w:line="360" w:lineRule="auto"/>
              <w:jc w:val="center"/>
              <w:rPr>
                <w:rFonts w:ascii="Times New Roman" w:hAnsi="Times New Roman" w:cs="Times New Roman"/>
                <w:sz w:val="24"/>
                <w:szCs w:val="24"/>
              </w:rPr>
            </w:pPr>
            <w:r w:rsidRPr="000D04B9">
              <w:rPr>
                <w:rFonts w:ascii="Times New Roman" w:hAnsi="Times New Roman" w:cs="Times New Roman"/>
                <w:b/>
                <w:bCs/>
                <w:sz w:val="24"/>
                <w:szCs w:val="24"/>
              </w:rPr>
              <w:t>Koszty związane z przeprowadzeniem dowodu</w:t>
            </w:r>
          </w:p>
        </w:tc>
      </w:tr>
      <w:tr w:rsidR="00AF6888" w:rsidRPr="000D04B9" w14:paraId="571B09B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69C21E8D" w14:textId="1AA9194D" w:rsidR="00AF6888" w:rsidRPr="000D04B9" w:rsidRDefault="00A53AD1" w:rsidP="00AF688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p>
        </w:tc>
      </w:tr>
    </w:tbl>
    <w:p w14:paraId="566D6A0B" w14:textId="77777777" w:rsidR="00D51B51" w:rsidRPr="000D04B9" w:rsidRDefault="00D51B51" w:rsidP="000D04B9">
      <w:pPr>
        <w:spacing w:line="360" w:lineRule="auto"/>
      </w:pPr>
    </w:p>
    <w:sectPr w:rsidR="00D51B51" w:rsidRPr="000D04B9" w:rsidSect="00AD0B55">
      <w:headerReference w:type="default" r:id="rId8"/>
      <w:footerReference w:type="default" r:id="rId9"/>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A56D" w14:textId="77777777" w:rsidR="00D51B51" w:rsidRDefault="00D51B51">
      <w:r>
        <w:separator/>
      </w:r>
    </w:p>
  </w:endnote>
  <w:endnote w:type="continuationSeparator" w:id="0">
    <w:p w14:paraId="71405B68" w14:textId="77777777" w:rsidR="00D51B51" w:rsidRDefault="00D5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D51B51" w:rsidRPr="00EA1DA5" w:rsidRDefault="00D51B51"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434A" w14:textId="77777777" w:rsidR="00D51B51" w:rsidRDefault="00D51B51">
      <w:r>
        <w:separator/>
      </w:r>
    </w:p>
  </w:footnote>
  <w:footnote w:type="continuationSeparator" w:id="0">
    <w:p w14:paraId="788F58FB" w14:textId="77777777" w:rsidR="00D51B51" w:rsidRDefault="00D5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4FE7" w14:textId="6CFA89A9" w:rsidR="00DB5CFD" w:rsidRPr="00763FA4" w:rsidRDefault="00DB5CFD" w:rsidP="00DB5CFD">
    <w:pPr>
      <w:pStyle w:val="Nagwek"/>
      <w:jc w:val="right"/>
      <w:rPr>
        <w:i/>
        <w:iCs/>
        <w:sz w:val="20"/>
        <w:szCs w:val="20"/>
      </w:rPr>
    </w:pPr>
    <w:r w:rsidRPr="00763FA4">
      <w:rPr>
        <w:i/>
        <w:iCs/>
        <w:sz w:val="20"/>
        <w:szCs w:val="20"/>
      </w:rPr>
      <w:t>Ostatnia aktualizacja:</w:t>
    </w:r>
    <w:r w:rsidR="00143800">
      <w:rPr>
        <w:i/>
        <w:iCs/>
        <w:sz w:val="20"/>
        <w:szCs w:val="20"/>
      </w:rPr>
      <w:t xml:space="preserve"> maj</w:t>
    </w:r>
    <w:r>
      <w:rPr>
        <w:i/>
        <w:iCs/>
        <w:sz w:val="20"/>
        <w:szCs w:val="20"/>
      </w:rPr>
      <w:t xml:space="preserve"> 202</w:t>
    </w:r>
    <w:r w:rsidR="00395B0F">
      <w:rPr>
        <w:i/>
        <w:iCs/>
        <w:sz w:val="20"/>
        <w:szCs w:val="20"/>
      </w:rPr>
      <w:t>6</w:t>
    </w:r>
  </w:p>
  <w:p w14:paraId="58CC4B92" w14:textId="77777777" w:rsidR="00DB5CFD" w:rsidRDefault="00DB5CF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13CA7"/>
    <w:rsid w:val="000364EB"/>
    <w:rsid w:val="0006520A"/>
    <w:rsid w:val="00070A56"/>
    <w:rsid w:val="00072CF4"/>
    <w:rsid w:val="000B569C"/>
    <w:rsid w:val="000B7652"/>
    <w:rsid w:val="000C3E88"/>
    <w:rsid w:val="000D04B9"/>
    <w:rsid w:val="000E47D2"/>
    <w:rsid w:val="0013737A"/>
    <w:rsid w:val="00143800"/>
    <w:rsid w:val="00144261"/>
    <w:rsid w:val="00154D02"/>
    <w:rsid w:val="001A5B07"/>
    <w:rsid w:val="001C7B05"/>
    <w:rsid w:val="001D1716"/>
    <w:rsid w:val="001D51D1"/>
    <w:rsid w:val="0021227E"/>
    <w:rsid w:val="0027612F"/>
    <w:rsid w:val="002B10F0"/>
    <w:rsid w:val="002E7292"/>
    <w:rsid w:val="00302FA5"/>
    <w:rsid w:val="003132D8"/>
    <w:rsid w:val="00352530"/>
    <w:rsid w:val="00360455"/>
    <w:rsid w:val="00363014"/>
    <w:rsid w:val="00366E5B"/>
    <w:rsid w:val="00385EDB"/>
    <w:rsid w:val="00395B0F"/>
    <w:rsid w:val="003A23DA"/>
    <w:rsid w:val="003B1B4C"/>
    <w:rsid w:val="003B5474"/>
    <w:rsid w:val="003C4109"/>
    <w:rsid w:val="003C76FA"/>
    <w:rsid w:val="003D5521"/>
    <w:rsid w:val="003D71FC"/>
    <w:rsid w:val="00400E1D"/>
    <w:rsid w:val="00422B70"/>
    <w:rsid w:val="00494DCF"/>
    <w:rsid w:val="004E55B3"/>
    <w:rsid w:val="00500EDE"/>
    <w:rsid w:val="0052279A"/>
    <w:rsid w:val="00530B4E"/>
    <w:rsid w:val="00560912"/>
    <w:rsid w:val="005B1527"/>
    <w:rsid w:val="005D4FF7"/>
    <w:rsid w:val="005F2117"/>
    <w:rsid w:val="0062647D"/>
    <w:rsid w:val="0063727D"/>
    <w:rsid w:val="00642309"/>
    <w:rsid w:val="00653C43"/>
    <w:rsid w:val="00665CF1"/>
    <w:rsid w:val="006878D4"/>
    <w:rsid w:val="00716FDE"/>
    <w:rsid w:val="00724AA7"/>
    <w:rsid w:val="007403F0"/>
    <w:rsid w:val="00744FA6"/>
    <w:rsid w:val="007562A3"/>
    <w:rsid w:val="00794346"/>
    <w:rsid w:val="0079547D"/>
    <w:rsid w:val="007C6F5A"/>
    <w:rsid w:val="007D18F3"/>
    <w:rsid w:val="00833C1D"/>
    <w:rsid w:val="00865FAA"/>
    <w:rsid w:val="00866A64"/>
    <w:rsid w:val="00883E76"/>
    <w:rsid w:val="008C3E57"/>
    <w:rsid w:val="00903DEA"/>
    <w:rsid w:val="00927862"/>
    <w:rsid w:val="009310EF"/>
    <w:rsid w:val="009431BA"/>
    <w:rsid w:val="0095291A"/>
    <w:rsid w:val="00966255"/>
    <w:rsid w:val="009676F8"/>
    <w:rsid w:val="009728D2"/>
    <w:rsid w:val="009A3161"/>
    <w:rsid w:val="009B083E"/>
    <w:rsid w:val="009B6ED2"/>
    <w:rsid w:val="009E6659"/>
    <w:rsid w:val="009F57AB"/>
    <w:rsid w:val="00A53AD1"/>
    <w:rsid w:val="00A746FF"/>
    <w:rsid w:val="00A85F60"/>
    <w:rsid w:val="00A9058A"/>
    <w:rsid w:val="00A94713"/>
    <w:rsid w:val="00AF6888"/>
    <w:rsid w:val="00B07D9E"/>
    <w:rsid w:val="00B17681"/>
    <w:rsid w:val="00B26C31"/>
    <w:rsid w:val="00B53B0C"/>
    <w:rsid w:val="00B66822"/>
    <w:rsid w:val="00B85C98"/>
    <w:rsid w:val="00BA0E2A"/>
    <w:rsid w:val="00BD252F"/>
    <w:rsid w:val="00BE4F7B"/>
    <w:rsid w:val="00BF66A5"/>
    <w:rsid w:val="00C0362D"/>
    <w:rsid w:val="00C11068"/>
    <w:rsid w:val="00C118A3"/>
    <w:rsid w:val="00C46518"/>
    <w:rsid w:val="00C51B2D"/>
    <w:rsid w:val="00C73C30"/>
    <w:rsid w:val="00C81D37"/>
    <w:rsid w:val="00C8578D"/>
    <w:rsid w:val="00CC2A63"/>
    <w:rsid w:val="00CD1820"/>
    <w:rsid w:val="00D02EA2"/>
    <w:rsid w:val="00D0430C"/>
    <w:rsid w:val="00D51B51"/>
    <w:rsid w:val="00D54343"/>
    <w:rsid w:val="00D82599"/>
    <w:rsid w:val="00DB5CFD"/>
    <w:rsid w:val="00DD24B0"/>
    <w:rsid w:val="00E01FA8"/>
    <w:rsid w:val="00E173E7"/>
    <w:rsid w:val="00E72402"/>
    <w:rsid w:val="00E7611D"/>
    <w:rsid w:val="00EA592E"/>
    <w:rsid w:val="00EB63B5"/>
    <w:rsid w:val="00F06CA8"/>
    <w:rsid w:val="00F13548"/>
    <w:rsid w:val="00F4690D"/>
    <w:rsid w:val="00FA1910"/>
    <w:rsid w:val="00FA34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B5CFD"/>
    <w:pPr>
      <w:tabs>
        <w:tab w:val="center" w:pos="4536"/>
        <w:tab w:val="right" w:pos="9072"/>
      </w:tabs>
    </w:pPr>
  </w:style>
  <w:style w:type="character" w:customStyle="1" w:styleId="NagwekZnak">
    <w:name w:val="Nagłówek Znak"/>
    <w:basedOn w:val="Domylnaczcionkaakapitu"/>
    <w:link w:val="Nagwek"/>
    <w:uiPriority w:val="99"/>
    <w:rsid w:val="00DB5CFD"/>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1653">
      <w:bodyDiv w:val="1"/>
      <w:marLeft w:val="0"/>
      <w:marRight w:val="0"/>
      <w:marTop w:val="0"/>
      <w:marBottom w:val="0"/>
      <w:divBdr>
        <w:top w:val="none" w:sz="0" w:space="0" w:color="auto"/>
        <w:left w:val="none" w:sz="0" w:space="0" w:color="auto"/>
        <w:bottom w:val="none" w:sz="0" w:space="0" w:color="auto"/>
        <w:right w:val="none" w:sz="0" w:space="0" w:color="auto"/>
      </w:divBdr>
    </w:div>
    <w:div w:id="1266616670">
      <w:bodyDiv w:val="1"/>
      <w:marLeft w:val="0"/>
      <w:marRight w:val="0"/>
      <w:marTop w:val="0"/>
      <w:marBottom w:val="0"/>
      <w:divBdr>
        <w:top w:val="none" w:sz="0" w:space="0" w:color="auto"/>
        <w:left w:val="none" w:sz="0" w:space="0" w:color="auto"/>
        <w:bottom w:val="none" w:sz="0" w:space="0" w:color="auto"/>
        <w:right w:val="none" w:sz="0" w:space="0" w:color="auto"/>
      </w:divBdr>
    </w:div>
    <w:div w:id="20803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cch.net/en/publications-and-studies/details4/?pid=6557&amp;dtid=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cch.net/en/states/authorities/details3/?aid=80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336</Words>
  <Characters>2022</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8</cp:revision>
  <cp:lastPrinted>2020-09-02T12:13:00Z</cp:lastPrinted>
  <dcterms:created xsi:type="dcterms:W3CDTF">2026-04-07T10:28:00Z</dcterms:created>
  <dcterms:modified xsi:type="dcterms:W3CDTF">2026-07-16T07:37:00Z</dcterms:modified>
</cp:coreProperties>
</file>