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BAE" w:rsidRDefault="00C96DC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4480560</wp:posOffset>
                </wp:positionH>
                <wp:positionV relativeFrom="paragraph">
                  <wp:posOffset>12700</wp:posOffset>
                </wp:positionV>
                <wp:extent cx="2651760" cy="6718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671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6BAE" w:rsidRDefault="00736BAE">
                            <w:pPr>
                              <w:pStyle w:val="Heading110"/>
                              <w:keepNext/>
                              <w:keepLines/>
                              <w:spacing w:after="240"/>
                              <w:ind w:firstLine="620"/>
                            </w:pPr>
                          </w:p>
                          <w:p w:rsidR="00736BAE" w:rsidRDefault="00F33206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            </w:t>
                            </w:r>
                            <w:r w:rsidR="00C96DCD">
                              <w:rPr>
                                <w:rStyle w:val="Bodytext1"/>
                              </w:rPr>
                              <w:t>, w dniu 19 września 2025 r.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52.8pt;margin-top:1pt;width:208.8pt;height:52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" filled="f" stroked="f">
                <v:textbox inset="0,0,0,0">
                  <w:txbxContent>
                    <w:p w:rsidR="00736BAE" w:rsidRDefault="00736BAE">
                      <w:pPr>
                        <w:pStyle w:val="Heading110"/>
                        <w:keepNext/>
                        <w:keepLines/>
                        <w:spacing w:after="240"/>
                        <w:ind w:firstLine="620"/>
                      </w:pPr>
                    </w:p>
                    <w:p w:rsidR="00736BAE" w:rsidRDefault="00F33206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 xml:space="preserve">            </w:t>
                      </w:r>
                      <w:r w:rsidR="00C96DCD">
                        <w:rPr>
                          <w:rStyle w:val="Bodytext1"/>
                        </w:rPr>
                        <w:t>, w dniu 19 września 2025 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6BAE" w:rsidRDefault="00C96DCD">
      <w:pPr>
        <w:pStyle w:val="Bodytext10"/>
        <w:spacing w:line="240" w:lineRule="auto"/>
        <w:ind w:left="3220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S</w:t>
      </w:r>
      <w:r>
        <w:rPr>
          <w:rStyle w:val="Bodytext1"/>
          <w:b/>
          <w:bCs/>
          <w:sz w:val="22"/>
          <w:szCs w:val="22"/>
        </w:rPr>
        <w:t>zanowny Pan Minister</w:t>
      </w:r>
    </w:p>
    <w:p w:rsidR="00736BAE" w:rsidRDefault="00C96DCD">
      <w:pPr>
        <w:pStyle w:val="Bodytext10"/>
        <w:spacing w:line="240" w:lineRule="auto"/>
        <w:ind w:left="3220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M</w:t>
      </w:r>
      <w:r>
        <w:rPr>
          <w:rStyle w:val="Bodytext1"/>
          <w:b/>
          <w:bCs/>
          <w:sz w:val="22"/>
          <w:szCs w:val="22"/>
        </w:rPr>
        <w:t>arcin Kierwiński</w:t>
      </w:r>
    </w:p>
    <w:p w:rsidR="00736BAE" w:rsidRDefault="00C96DCD">
      <w:pPr>
        <w:pStyle w:val="Bodytext10"/>
        <w:spacing w:line="240" w:lineRule="auto"/>
        <w:ind w:left="3220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Ministerstw Spraw Wewnętrznych i Administracji</w:t>
      </w:r>
    </w:p>
    <w:p w:rsidR="00736BAE" w:rsidRDefault="00C96DCD">
      <w:pPr>
        <w:pStyle w:val="Bodytext10"/>
        <w:spacing w:line="240" w:lineRule="auto"/>
        <w:ind w:left="4260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ul. St</w:t>
      </w:r>
      <w:r>
        <w:rPr>
          <w:rStyle w:val="Bodytext1"/>
          <w:b/>
          <w:bCs/>
          <w:sz w:val="22"/>
          <w:szCs w:val="22"/>
        </w:rPr>
        <w:t>efana Batorego 5</w:t>
      </w:r>
    </w:p>
    <w:p w:rsidR="00736BAE" w:rsidRDefault="00C96DCD">
      <w:pPr>
        <w:pStyle w:val="Bodytext10"/>
        <w:spacing w:after="1220" w:line="240" w:lineRule="auto"/>
        <w:ind w:left="4260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02-591 Warszawa</w:t>
      </w:r>
    </w:p>
    <w:p w:rsidR="00736BAE" w:rsidRDefault="00C96DCD">
      <w:pPr>
        <w:pStyle w:val="Bodytext10"/>
        <w:spacing w:after="120" w:line="360" w:lineRule="auto"/>
        <w:jc w:val="center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Petycja</w:t>
      </w:r>
    </w:p>
    <w:p w:rsidR="00736BAE" w:rsidRDefault="00C96DCD">
      <w:pPr>
        <w:pStyle w:val="Bodytext10"/>
        <w:jc w:val="both"/>
      </w:pPr>
      <w:r>
        <w:rPr>
          <w:rStyle w:val="Bodytext1"/>
        </w:rPr>
        <w:t xml:space="preserve">W imieniu </w:t>
      </w:r>
      <w:r w:rsidR="00F33206">
        <w:rPr>
          <w:rStyle w:val="Bodytext1"/>
        </w:rPr>
        <w:t xml:space="preserve">                                        </w:t>
      </w:r>
      <w:r>
        <w:rPr>
          <w:rStyle w:val="Bodytext1"/>
        </w:rPr>
        <w:t xml:space="preserve">, 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 ust. 1 ustawy z dnia z dnia 11 lipca 2014 r. (tj. Dz.U. z 2018 r. poz. 870), składam petycję w przedmiocie wznowienia ruchu granicznego na przejściach </w:t>
      </w:r>
      <w:r>
        <w:rPr>
          <w:rStyle w:val="Bodytext1"/>
        </w:rPr>
        <w:t>polsko-białoruskich. W szczególności wnoszę o zezwolenie na transport kolejowy paliw przesyłanych tranzytem przez Republikę Białorusi.</w:t>
      </w:r>
    </w:p>
    <w:p w:rsidR="00736BAE" w:rsidRDefault="00C96DCD">
      <w:pPr>
        <w:pStyle w:val="Bodytext10"/>
        <w:jc w:val="both"/>
      </w:pPr>
      <w:r>
        <w:rPr>
          <w:rStyle w:val="Bodytext1"/>
        </w:rPr>
        <w:t>Dalsze wstrzymywanie ruchu granicznego na przejściach</w:t>
      </w:r>
      <w:r>
        <w:rPr>
          <w:rStyle w:val="Bodytext1"/>
        </w:rPr>
        <w:t xml:space="preserve"> polsko-białoruskich w bezpośredni sposób wpływa na zakłócenie funkcjonowania przedsiębiorstwa </w:t>
      </w:r>
      <w:r w:rsidR="00F33206">
        <w:rPr>
          <w:rStyle w:val="Bodytext1"/>
        </w:rPr>
        <w:t xml:space="preserve">                             </w:t>
      </w:r>
      <w:r>
        <w:rPr>
          <w:rStyle w:val="Bodytext1"/>
        </w:rPr>
        <w:t xml:space="preserve"> i prowadzi do powstania wymiernych szkód nie tylko po stronie naszej Spółki, ale również naszych kontrahentów. Przede wszystkim z powodu </w:t>
      </w:r>
      <w:r>
        <w:rPr>
          <w:rStyle w:val="Bodytext1"/>
        </w:rPr>
        <w:t xml:space="preserve">wstrzymania ruchu granicznego na przejściach polsko-białoruskich uniemożliwione zostaje działanie należącego do </w:t>
      </w:r>
      <w:r w:rsidR="00F33206">
        <w:rPr>
          <w:rStyle w:val="Bodytext1"/>
        </w:rPr>
        <w:t xml:space="preserve">             </w:t>
      </w:r>
      <w:r>
        <w:rPr>
          <w:rStyle w:val="Bodytext1"/>
        </w:rPr>
        <w:t xml:space="preserve"> terminalu przeładunkowego w Zabłotczyźnie (gmina Narewka), ponieważ prowadzi do niego jedynie linia kolejowa biegnąca z Republiki Białoru</w:t>
      </w:r>
      <w:r>
        <w:rPr>
          <w:rStyle w:val="Bodytext1"/>
        </w:rPr>
        <w:t>si. W tym zakresie nie mamy możliwości korzystania z innych przejść granicznych na terytorium Litwy bądź Ukrainy. Dlatego dalsze wstrzymywanie ruchu granicznego skutkuje w naszym przedsiębiorstwie przestojami i zagrożeniem utrzymywania dotychczasowego zatr</w:t>
      </w:r>
      <w:r>
        <w:rPr>
          <w:rStyle w:val="Bodytext1"/>
        </w:rPr>
        <w:t>udnienia, które przestaje być ekonomicznie uzasadnione i prowadzi od</w:t>
      </w:r>
      <w:r w:rsidR="00F33206">
        <w:rPr>
          <w:rStyle w:val="Bodytext1"/>
        </w:rPr>
        <w:t> </w:t>
      </w:r>
      <w:r>
        <w:rPr>
          <w:rStyle w:val="Bodytext1"/>
        </w:rPr>
        <w:t>generowania straty. W dalszej kolejności przestój może wpłynąć na sprawność techniczną urządzeń wchodzących w skład infrastruktury terminalu przeładunkowego. Bez jasnego wyznaczenia blisk</w:t>
      </w:r>
      <w:r>
        <w:rPr>
          <w:rStyle w:val="Bodytext1"/>
        </w:rPr>
        <w:t xml:space="preserve">iej daty końcowej wstrzymania ruchu granicznego amortyzacja i koszty bieżące obsługi terminalu przeładunkowego doprowadzą do powstania po stronie </w:t>
      </w:r>
      <w:r w:rsidR="00F33206">
        <w:rPr>
          <w:rStyle w:val="Bodytext1"/>
        </w:rPr>
        <w:t xml:space="preserve">              </w:t>
      </w:r>
      <w:r>
        <w:rPr>
          <w:rStyle w:val="Bodytext1"/>
        </w:rPr>
        <w:t xml:space="preserve"> szkody dużych rozmiarów, do których należy również doliczyć utracone zyski. Oczywistym następstwem zatr</w:t>
      </w:r>
      <w:r>
        <w:rPr>
          <w:rStyle w:val="Bodytext1"/>
        </w:rPr>
        <w:t>zymania transportu towarów przesyłanych tranzytem przez Republikę Białorusi jest zamrożenie wymiany handlowej w zakresie paliw z Republiką Kazachstanu równoznaczne ze zmniejszeniem zaopatrzenia</w:t>
      </w:r>
      <w:r>
        <w:br w:type="page"/>
      </w:r>
    </w:p>
    <w:p w:rsidR="00736BAE" w:rsidRDefault="00C96DCD">
      <w:pPr>
        <w:pStyle w:val="Bodytext10"/>
        <w:spacing w:after="180"/>
        <w:ind w:left="380"/>
        <w:jc w:val="both"/>
      </w:pPr>
      <w:r>
        <w:rPr>
          <w:rStyle w:val="Bodytext1"/>
        </w:rPr>
        <w:lastRenderedPageBreak/>
        <w:t>całego regiony Europy Środkowej i ze wzrostem cen paliw. W wypadku utrzymywania się dotychczasowej sytuacji w dłuższym terminie, a zwłaszcza spadku temperatur w okresie jesieni i zimy powsta</w:t>
      </w:r>
      <w:r>
        <w:rPr>
          <w:rStyle w:val="Bodytext1"/>
        </w:rPr>
        <w:t>nie realne ryzyko niemożliwości kontynuowania dostaw dla odbiorców końcowych, w tym w</w:t>
      </w:r>
      <w:r w:rsidR="00F33206">
        <w:rPr>
          <w:rStyle w:val="Bodytext1"/>
        </w:rPr>
        <w:t> </w:t>
      </w:r>
      <w:r>
        <w:rPr>
          <w:rStyle w:val="Bodytext1"/>
        </w:rPr>
        <w:t>szczególności dla gospodarstw domowych (konsumentów).</w:t>
      </w:r>
    </w:p>
    <w:p w:rsidR="00736BAE" w:rsidRDefault="00C96DCD">
      <w:pPr>
        <w:pStyle w:val="Bodytext10"/>
        <w:spacing w:after="180"/>
      </w:pPr>
      <w:r>
        <w:rPr>
          <w:rStyle w:val="Bodytext1"/>
          <w:i/>
          <w:iCs/>
        </w:rPr>
        <w:t>W</w:t>
      </w:r>
      <w:r>
        <w:rPr>
          <w:rStyle w:val="Bodytext1"/>
        </w:rPr>
        <w:t xml:space="preserve"> naszej ocenie odmowa uwzględnienia petycji postawi </w:t>
      </w:r>
      <w:r w:rsidR="00F33206">
        <w:rPr>
          <w:rStyle w:val="Bodytext1"/>
        </w:rPr>
        <w:t xml:space="preserve">                              </w:t>
      </w:r>
      <w:r>
        <w:rPr>
          <w:rStyle w:val="Bodytext1"/>
        </w:rPr>
        <w:t xml:space="preserve"> przed koniecznością ubiegania się o zwolnienie z obowiązku utrzymywania zapasów obowiązkowych ropy naftowej i paliw, ponieważ tylko wspomniane rozwiązanie pozwoli zabezpieczyć stab</w:t>
      </w:r>
      <w:r>
        <w:rPr>
          <w:rStyle w:val="Bodytext1"/>
        </w:rPr>
        <w:t>ilność zaspokajania potrzeb najbardziej wrażliwych odbiorców- gospodarstw domowych i przedsiębiorstw produkcyjnych.</w:t>
      </w:r>
    </w:p>
    <w:p w:rsidR="00736BAE" w:rsidRDefault="00C96DCD">
      <w:pPr>
        <w:pStyle w:val="Bodytext10"/>
        <w:spacing w:after="180"/>
      </w:pPr>
      <w:r>
        <w:rPr>
          <w:rStyle w:val="Bodytext1"/>
        </w:rPr>
        <w:t>W dalszej kolejności wskazujemy, że zgodnie z komunikatem „zamknięcie granicy polsko- białoruskiej obowiązuje do odwołania i jest podyktowan</w:t>
      </w:r>
      <w:r>
        <w:rPr>
          <w:rStyle w:val="Bodytext1"/>
        </w:rPr>
        <w:t>e troską o bezpieczeństwo Polek i Polaków”. Zauważamy jednak, że w treści przytoczonego uzasadnienia nie da się dostrzec jasnych podstaw podejmowanej decyzji. Wobec powyższego w naszej ocenie wstrzymywanie ruchu granicznego prowadzi w ostatecznym wyniku do</w:t>
      </w:r>
      <w:r>
        <w:rPr>
          <w:rStyle w:val="Bodytext1"/>
        </w:rPr>
        <w:t xml:space="preserve"> niekonstytucyjnego ograniczenia wolności działalności gospodarczej. Zgodnie bowiem z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22</w:t>
      </w:r>
      <w:r w:rsidR="00F33206">
        <w:rPr>
          <w:rStyle w:val="Bodytext1"/>
        </w:rPr>
        <w:t> </w:t>
      </w:r>
      <w:r>
        <w:rPr>
          <w:rStyle w:val="Bodytext1"/>
        </w:rPr>
        <w:t>Konstytucji RP ograniczenie wolności działalności gospodarczej jest dopuszczalne tylko w drodze ustawy i tylko ze względu na ważny interes publiczny. Tymczasem ut</w:t>
      </w:r>
      <w:r>
        <w:rPr>
          <w:rStyle w:val="Bodytext1"/>
        </w:rPr>
        <w:t>rzymywania zakazu transportu towarów przesyłanych tranzytem nie daje się pogodzić z zasadą przydatności. Według dostępnego stanu wiedzy wstrzymanie transportu kolejowego paliw przesyłanych tranzytem przez Republikę Białorusi nie jest bowiem w stanie doprow</w:t>
      </w:r>
      <w:r>
        <w:rPr>
          <w:rStyle w:val="Bodytext1"/>
        </w:rPr>
        <w:t>adzić do zamierzonego celu ochrony bezpieczeństwa Polek i Polaków, a</w:t>
      </w:r>
      <w:r w:rsidR="00F33206">
        <w:rPr>
          <w:rStyle w:val="Bodytext1"/>
        </w:rPr>
        <w:t> </w:t>
      </w:r>
      <w:r>
        <w:rPr>
          <w:rStyle w:val="Bodytext1"/>
        </w:rPr>
        <w:t>nawet zaszkodzi bezpieczeństwu energetycznemu w Rzeczpospolitej Polskiej.</w:t>
      </w:r>
    </w:p>
    <w:p w:rsidR="00736BAE" w:rsidRDefault="00C96DCD">
      <w:pPr>
        <w:pStyle w:val="Bodytext10"/>
        <w:spacing w:after="600"/>
      </w:pPr>
      <w:r>
        <w:rPr>
          <w:rStyle w:val="Bodytext1"/>
        </w:rPr>
        <w:t>Z uwagi na powyższe podjęliśmy decyzję o złożeniu niniejszej petycji.</w:t>
      </w:r>
    </w:p>
    <w:p w:rsidR="00736BAE" w:rsidRDefault="00C96DCD">
      <w:pPr>
        <w:pStyle w:val="Bodytext50"/>
        <w:ind w:left="7040"/>
      </w:pPr>
      <w:r>
        <w:rPr>
          <w:rStyle w:val="Bodytext5"/>
        </w:rPr>
        <w:t>Elektronicznie podpisany</w:t>
      </w:r>
    </w:p>
    <w:p w:rsidR="00736BAE" w:rsidRDefault="00F33206">
      <w:pPr>
        <w:pStyle w:val="Bodytext50"/>
        <w:spacing w:line="180" w:lineRule="auto"/>
        <w:ind w:left="5020"/>
      </w:pPr>
      <w:r>
        <w:rPr>
          <w:rStyle w:val="Bodytext5"/>
        </w:rPr>
        <w:tab/>
      </w:r>
      <w:r>
        <w:rPr>
          <w:rStyle w:val="Bodytext5"/>
        </w:rPr>
        <w:tab/>
      </w:r>
      <w:r>
        <w:rPr>
          <w:rStyle w:val="Bodytext5"/>
        </w:rPr>
        <w:tab/>
      </w:r>
      <w:r w:rsidR="00C96DCD">
        <w:rPr>
          <w:rStyle w:val="Bodytext5"/>
        </w:rPr>
        <w:t>przez</w:t>
      </w:r>
    </w:p>
    <w:p w:rsidR="00736BAE" w:rsidRDefault="00736BAE">
      <w:pPr>
        <w:pStyle w:val="Bodytext50"/>
        <w:ind w:left="7040"/>
      </w:pPr>
    </w:p>
    <w:p w:rsidR="00736BAE" w:rsidRPr="00B14069" w:rsidRDefault="00C96DCD" w:rsidP="00B14069">
      <w:pPr>
        <w:pStyle w:val="Bodytext50"/>
        <w:ind w:left="7040"/>
      </w:pPr>
      <w:r w:rsidRPr="00B14069">
        <w:t>Data: 2025.09.19 10:12:48</w:t>
      </w:r>
    </w:p>
    <w:p w:rsidR="00736BAE" w:rsidRDefault="00C96DCD" w:rsidP="00B14069">
      <w:pPr>
        <w:pStyle w:val="Bodytext50"/>
        <w:ind w:left="7040"/>
      </w:pPr>
      <w:r w:rsidRPr="00B14069">
        <w:t>+02'00'</w:t>
      </w:r>
    </w:p>
    <w:p w:rsidR="00B14069" w:rsidRDefault="00B14069" w:rsidP="00B14069">
      <w:pPr>
        <w:pStyle w:val="Bodytext50"/>
        <w:ind w:left="7040"/>
      </w:pPr>
    </w:p>
    <w:p w:rsidR="00736BAE" w:rsidRDefault="00C96DCD" w:rsidP="00B14069">
      <w:pPr>
        <w:pStyle w:val="Bodytext50"/>
        <w:ind w:left="0" w:right="500" w:firstLine="708"/>
        <w:jc w:val="right"/>
      </w:pPr>
      <w:r>
        <w:rPr>
          <w:rStyle w:val="Bodytext5"/>
        </w:rPr>
        <w:t>Podpisany elektronicznie przez</w:t>
      </w:r>
    </w:p>
    <w:p w:rsidR="00736BAE" w:rsidRPr="00B14069" w:rsidRDefault="00B14069">
      <w:pPr>
        <w:pStyle w:val="Bodytext70"/>
        <w:rPr>
          <w:rFonts w:ascii="Arial" w:eastAsia="Arial" w:hAnsi="Arial" w:cs="Arial"/>
          <w:i w:val="0"/>
          <w:iCs w:val="0"/>
          <w:w w:val="100"/>
          <w:sz w:val="14"/>
          <w:szCs w:val="14"/>
        </w:rPr>
      </w:pPr>
      <w:r w:rsidRPr="00B14069">
        <w:rPr>
          <w:rFonts w:ascii="Arial" w:eastAsia="Arial" w:hAnsi="Arial" w:cs="Arial"/>
          <w:i w:val="0"/>
          <w:w w:val="100"/>
          <w:sz w:val="14"/>
          <w:szCs w:val="14"/>
        </w:rPr>
        <w:t>19.</w:t>
      </w:r>
      <w:r w:rsidR="00C96DCD" w:rsidRPr="00B14069">
        <w:rPr>
          <w:rFonts w:ascii="Arial" w:eastAsia="Arial" w:hAnsi="Arial" w:cs="Arial"/>
          <w:i w:val="0"/>
          <w:w w:val="100"/>
          <w:sz w:val="14"/>
          <w:szCs w:val="14"/>
        </w:rPr>
        <w:t>09.2</w:t>
      </w:r>
      <w:r w:rsidRPr="00B14069">
        <w:rPr>
          <w:rFonts w:ascii="Arial" w:eastAsia="Arial" w:hAnsi="Arial" w:cs="Arial"/>
          <w:i w:val="0"/>
          <w:w w:val="100"/>
          <w:sz w:val="14"/>
          <w:szCs w:val="14"/>
        </w:rPr>
        <w:t>0</w:t>
      </w:r>
      <w:r w:rsidR="00C96DCD" w:rsidRPr="00B14069">
        <w:rPr>
          <w:rFonts w:ascii="Arial" w:eastAsia="Arial" w:hAnsi="Arial" w:cs="Arial"/>
          <w:i w:val="0"/>
          <w:w w:val="100"/>
          <w:sz w:val="14"/>
          <w:szCs w:val="14"/>
        </w:rPr>
        <w:t>25</w:t>
      </w:r>
    </w:p>
    <w:p w:rsidR="00736BAE" w:rsidRDefault="00C96DCD">
      <w:pPr>
        <w:pStyle w:val="Bodytext50"/>
        <w:ind w:left="0" w:right="500"/>
        <w:jc w:val="right"/>
        <w:sectPr w:rsidR="00736BAE">
          <w:headerReference w:type="default" r:id="rId6"/>
          <w:footerReference w:type="default" r:id="rId7"/>
          <w:pgSz w:w="11900" w:h="16840"/>
          <w:pgMar w:top="1771" w:right="1114" w:bottom="1368" w:left="1368" w:header="0" w:footer="3" w:gutter="0"/>
          <w:pgNumType w:start="1"/>
          <w:cols w:space="720"/>
          <w:noEndnote/>
          <w:docGrid w:linePitch="360"/>
        </w:sectPr>
      </w:pPr>
      <w:r>
        <w:rPr>
          <w:rStyle w:val="Bodytext5"/>
        </w:rPr>
        <w:t>11:56:15+02'00'</w:t>
      </w:r>
    </w:p>
    <w:p w:rsidR="00736BAE" w:rsidRDefault="00736BAE">
      <w:pPr>
        <w:spacing w:line="240" w:lineRule="exact"/>
        <w:rPr>
          <w:sz w:val="19"/>
          <w:szCs w:val="19"/>
        </w:rPr>
      </w:pPr>
    </w:p>
    <w:p w:rsidR="00736BAE" w:rsidRDefault="00736BAE">
      <w:pPr>
        <w:spacing w:line="240" w:lineRule="exact"/>
        <w:rPr>
          <w:sz w:val="19"/>
          <w:szCs w:val="19"/>
        </w:rPr>
      </w:pPr>
    </w:p>
    <w:p w:rsidR="00736BAE" w:rsidRDefault="00736BAE">
      <w:pPr>
        <w:spacing w:line="240" w:lineRule="exact"/>
        <w:rPr>
          <w:sz w:val="19"/>
          <w:szCs w:val="19"/>
        </w:rPr>
      </w:pPr>
    </w:p>
    <w:p w:rsidR="00736BAE" w:rsidRDefault="00736BAE">
      <w:pPr>
        <w:spacing w:before="19" w:after="19" w:line="240" w:lineRule="exact"/>
        <w:rPr>
          <w:sz w:val="19"/>
          <w:szCs w:val="19"/>
        </w:rPr>
      </w:pPr>
    </w:p>
    <w:p w:rsidR="00736BAE" w:rsidRDefault="00736BAE">
      <w:pPr>
        <w:spacing w:line="1" w:lineRule="exact"/>
        <w:sectPr w:rsidR="00736BAE">
          <w:type w:val="continuous"/>
          <w:pgSz w:w="11900" w:h="16840"/>
          <w:pgMar w:top="698" w:right="0" w:bottom="1210" w:left="0" w:header="0" w:footer="3" w:gutter="0"/>
          <w:cols w:space="720"/>
          <w:noEndnote/>
          <w:docGrid w:linePitch="360"/>
        </w:sectPr>
      </w:pPr>
    </w:p>
    <w:p w:rsidR="00736BAE" w:rsidRDefault="00736BAE">
      <w:pPr>
        <w:spacing w:line="1" w:lineRule="exact"/>
      </w:pPr>
    </w:p>
    <w:p w:rsidR="00736BAE" w:rsidRDefault="00736BAE">
      <w:pPr>
        <w:pStyle w:val="Bodytext40"/>
        <w:spacing w:line="240" w:lineRule="auto"/>
      </w:pPr>
    </w:p>
    <w:p w:rsidR="00736BAE" w:rsidRDefault="00736BAE">
      <w:pPr>
        <w:pStyle w:val="Bodytext40"/>
        <w:spacing w:line="240" w:lineRule="auto"/>
        <w:sectPr w:rsidR="00736BAE">
          <w:type w:val="continuous"/>
          <w:pgSz w:w="11900" w:h="16840"/>
          <w:pgMar w:top="698" w:right="5799" w:bottom="1210" w:left="1723" w:header="0" w:footer="3" w:gutter="0"/>
          <w:cols w:num="2" w:space="100"/>
          <w:noEndnote/>
          <w:docGrid w:linePitch="360"/>
        </w:sectPr>
      </w:pPr>
    </w:p>
    <w:p w:rsidR="00736BAE" w:rsidRDefault="00736BAE">
      <w:pPr>
        <w:spacing w:line="1" w:lineRule="exact"/>
      </w:pPr>
      <w:bookmarkStart w:id="0" w:name="_GoBack"/>
      <w:bookmarkEnd w:id="0"/>
    </w:p>
    <w:p w:rsidR="00736BAE" w:rsidRDefault="00736BAE">
      <w:pPr>
        <w:spacing w:line="1" w:lineRule="exact"/>
      </w:pPr>
    </w:p>
    <w:sectPr w:rsidR="00736BAE">
      <w:type w:val="continuous"/>
      <w:pgSz w:w="11900" w:h="16840"/>
      <w:pgMar w:top="798" w:right="392" w:bottom="1210" w:left="5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DCD" w:rsidRDefault="00C96DCD">
      <w:r>
        <w:separator/>
      </w:r>
    </w:p>
  </w:endnote>
  <w:endnote w:type="continuationSeparator" w:id="0">
    <w:p w:rsidR="00C96DCD" w:rsidRDefault="00C9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BAE" w:rsidRDefault="00736BA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DCD" w:rsidRDefault="00C96DCD"/>
  </w:footnote>
  <w:footnote w:type="continuationSeparator" w:id="0">
    <w:p w:rsidR="00C96DCD" w:rsidRDefault="00C96D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BAE" w:rsidRDefault="00736BAE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AE"/>
    <w:rsid w:val="00736BAE"/>
    <w:rsid w:val="00B14069"/>
    <w:rsid w:val="00C96DCD"/>
    <w:rsid w:val="00F3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371B6"/>
  <w15:docId w15:val="{BB886C1D-99B8-4BD1-B71A-6D0436A9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/>
      <w:bCs/>
      <w:i/>
      <w:iCs/>
      <w:smallCaps w:val="0"/>
      <w:strike w:val="0"/>
      <w:color w:val="17527C"/>
      <w:sz w:val="40"/>
      <w:szCs w:val="4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6">
    <w:name w:val="Body text|6_"/>
    <w:basedOn w:val="Domylnaczcionkaakapitu"/>
    <w:link w:val="Bodytext60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">
    <w:name w:val="Body text|7_"/>
    <w:basedOn w:val="Domylnaczcionkaakapitu"/>
    <w:link w:val="Bodytext70"/>
    <w:rPr>
      <w:b w:val="0"/>
      <w:bCs w:val="0"/>
      <w:i/>
      <w:iCs/>
      <w:smallCaps w:val="0"/>
      <w:strike w:val="0"/>
      <w:w w:val="60"/>
      <w:sz w:val="26"/>
      <w:szCs w:val="26"/>
      <w:u w:val="none"/>
    </w:rPr>
  </w:style>
  <w:style w:type="paragraph" w:customStyle="1" w:styleId="Bodytext20">
    <w:name w:val="Body text|2"/>
    <w:basedOn w:val="Normalny"/>
    <w:link w:val="Bodytext2"/>
    <w:pPr>
      <w:spacing w:after="120" w:line="350" w:lineRule="auto"/>
      <w:ind w:left="430"/>
      <w:jc w:val="right"/>
    </w:pPr>
    <w:rPr>
      <w:rFonts w:ascii="Arial" w:eastAsia="Arial" w:hAnsi="Arial" w:cs="Arial"/>
      <w:sz w:val="9"/>
      <w:szCs w:val="9"/>
    </w:rPr>
  </w:style>
  <w:style w:type="paragraph" w:customStyle="1" w:styleId="Heading110">
    <w:name w:val="Heading #1|1"/>
    <w:basedOn w:val="Normalny"/>
    <w:link w:val="Heading11"/>
    <w:pPr>
      <w:spacing w:after="120"/>
      <w:ind w:firstLine="310"/>
      <w:outlineLvl w:val="0"/>
    </w:pPr>
    <w:rPr>
      <w:rFonts w:ascii="Arial" w:eastAsia="Arial" w:hAnsi="Arial" w:cs="Arial"/>
      <w:b/>
      <w:bCs/>
      <w:i/>
      <w:iCs/>
      <w:color w:val="17527C"/>
      <w:sz w:val="40"/>
      <w:szCs w:val="40"/>
    </w:rPr>
  </w:style>
  <w:style w:type="paragraph" w:customStyle="1" w:styleId="Bodytext10">
    <w:name w:val="Body text|1"/>
    <w:basedOn w:val="Normalny"/>
    <w:link w:val="Bodytext1"/>
    <w:pPr>
      <w:spacing w:after="220" w:line="396" w:lineRule="auto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|4"/>
    <w:basedOn w:val="Normalny"/>
    <w:link w:val="Bodytext4"/>
    <w:pPr>
      <w:spacing w:line="262" w:lineRule="auto"/>
    </w:pPr>
    <w:rPr>
      <w:rFonts w:ascii="Arial" w:eastAsia="Arial" w:hAnsi="Arial" w:cs="Arial"/>
      <w:b/>
      <w:bCs/>
      <w:sz w:val="12"/>
      <w:szCs w:val="12"/>
    </w:rPr>
  </w:style>
  <w:style w:type="paragraph" w:customStyle="1" w:styleId="Bodytext30">
    <w:name w:val="Body text|3"/>
    <w:basedOn w:val="Normalny"/>
    <w:link w:val="Bodytext3"/>
    <w:pPr>
      <w:spacing w:line="312" w:lineRule="auto"/>
    </w:pPr>
    <w:rPr>
      <w:rFonts w:ascii="Arial" w:eastAsia="Arial" w:hAnsi="Arial" w:cs="Arial"/>
      <w:sz w:val="10"/>
      <w:szCs w:val="10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50">
    <w:name w:val="Body text|5"/>
    <w:basedOn w:val="Normalny"/>
    <w:link w:val="Bodytext5"/>
    <w:pPr>
      <w:ind w:left="6030"/>
    </w:pPr>
    <w:rPr>
      <w:rFonts w:ascii="Arial" w:eastAsia="Arial" w:hAnsi="Arial" w:cs="Arial"/>
      <w:sz w:val="14"/>
      <w:szCs w:val="14"/>
    </w:rPr>
  </w:style>
  <w:style w:type="paragraph" w:customStyle="1" w:styleId="Bodytext60">
    <w:name w:val="Body text|6"/>
    <w:basedOn w:val="Normalny"/>
    <w:link w:val="Bodytext6"/>
    <w:pPr>
      <w:spacing w:line="180" w:lineRule="auto"/>
      <w:ind w:left="5020"/>
    </w:pPr>
    <w:rPr>
      <w:sz w:val="30"/>
      <w:szCs w:val="30"/>
    </w:rPr>
  </w:style>
  <w:style w:type="paragraph" w:customStyle="1" w:styleId="Bodytext70">
    <w:name w:val="Body text|7"/>
    <w:basedOn w:val="Normalny"/>
    <w:link w:val="Bodytext7"/>
    <w:pPr>
      <w:ind w:right="500"/>
      <w:jc w:val="right"/>
    </w:pPr>
    <w:rPr>
      <w:i/>
      <w:iCs/>
      <w:w w:val="6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332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320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32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320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2025-10-15T14:12:00Z</dcterms:created>
  <dcterms:modified xsi:type="dcterms:W3CDTF">2025-10-15T14:12:00Z</dcterms:modified>
</cp:coreProperties>
</file>