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C5E" w:rsidRPr="00330A17" w:rsidRDefault="00CF4C5E" w:rsidP="00CF4C5E">
      <w:pPr>
        <w:suppressAutoHyphens/>
        <w:autoSpaceDN w:val="0"/>
        <w:spacing w:line="360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330A17">
        <w:rPr>
          <w:rFonts w:eastAsia="Calibri"/>
          <w:b/>
          <w:sz w:val="26"/>
          <w:szCs w:val="26"/>
          <w:lang w:eastAsia="en-US"/>
        </w:rPr>
        <w:t>Wytyczne do zadania problemowego</w:t>
      </w:r>
    </w:p>
    <w:p w:rsidR="00CF4C5E" w:rsidRPr="00330A17" w:rsidRDefault="00CF4C5E" w:rsidP="00CF4C5E">
      <w:pPr>
        <w:suppressAutoHyphens/>
        <w:autoSpaceDN w:val="0"/>
        <w:spacing w:line="360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330A17">
        <w:rPr>
          <w:rFonts w:eastAsia="Calibri"/>
          <w:b/>
          <w:sz w:val="26"/>
          <w:szCs w:val="26"/>
          <w:lang w:eastAsia="en-US"/>
        </w:rPr>
        <w:t>na egzamin dla osób ubiegających się o licencję doradcy restrukturyzacyjnego</w:t>
      </w:r>
      <w:r w:rsidRPr="00330A17">
        <w:rPr>
          <w:rFonts w:eastAsia="Calibri"/>
          <w:b/>
          <w:sz w:val="26"/>
          <w:szCs w:val="26"/>
          <w:lang w:eastAsia="en-US"/>
        </w:rPr>
        <w:br/>
        <w:t xml:space="preserve"> wyznaczony na dzień 24 maja 2021 r.</w:t>
      </w:r>
    </w:p>
    <w:p w:rsidR="00330A17" w:rsidRDefault="00330A17" w:rsidP="00330A17">
      <w:pPr>
        <w:suppressAutoHyphens/>
        <w:autoSpaceDN w:val="0"/>
        <w:spacing w:line="360" w:lineRule="auto"/>
        <w:rPr>
          <w:rFonts w:eastAsia="Calibri"/>
          <w:b/>
          <w:lang w:eastAsia="en-US"/>
        </w:rPr>
      </w:pPr>
    </w:p>
    <w:p w:rsidR="00330A17" w:rsidRDefault="00330A17" w:rsidP="00330A17">
      <w:pPr>
        <w:suppressAutoHyphens/>
        <w:autoSpaceDN w:val="0"/>
        <w:spacing w:line="360" w:lineRule="auto"/>
        <w:rPr>
          <w:rFonts w:eastAsia="Calibri"/>
          <w:b/>
          <w:lang w:eastAsia="en-US"/>
        </w:rPr>
      </w:pPr>
    </w:p>
    <w:p w:rsidR="00330A17" w:rsidRPr="00761BB3" w:rsidRDefault="00330A17" w:rsidP="00330A17">
      <w:pPr>
        <w:pStyle w:val="Akapitzlist"/>
        <w:numPr>
          <w:ilvl w:val="3"/>
          <w:numId w:val="1"/>
        </w:numPr>
        <w:spacing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1BB3">
        <w:rPr>
          <w:rFonts w:ascii="Times New Roman" w:hAnsi="Times New Roman"/>
          <w:sz w:val="24"/>
          <w:szCs w:val="24"/>
        </w:rPr>
        <w:t xml:space="preserve">Zgodnie z art. 62 </w:t>
      </w:r>
      <w:proofErr w:type="spellStart"/>
      <w:r w:rsidRPr="00761BB3">
        <w:rPr>
          <w:rFonts w:ascii="Times New Roman" w:hAnsi="Times New Roman"/>
          <w:sz w:val="24"/>
          <w:szCs w:val="24"/>
        </w:rPr>
        <w:t>PrUp</w:t>
      </w:r>
      <w:proofErr w:type="spellEnd"/>
      <w:r w:rsidRPr="00761BB3">
        <w:rPr>
          <w:rFonts w:ascii="Times New Roman" w:hAnsi="Times New Roman"/>
          <w:sz w:val="24"/>
          <w:szCs w:val="24"/>
        </w:rPr>
        <w:t xml:space="preserve">., </w:t>
      </w:r>
      <w:r w:rsidRPr="00761BB3">
        <w:rPr>
          <w:rFonts w:ascii="Times New Roman" w:hAnsi="Times New Roman"/>
          <w:color w:val="000000"/>
          <w:sz w:val="24"/>
          <w:szCs w:val="24"/>
        </w:rPr>
        <w:t>w skład masy upadłości wchodzi majątek należący do upadłego w dniu ogłoszenia upadłości oraz nabyty przez upadłego w toku postępowania upadłościowego, z wyjątkami określonymi w art. 63-67a</w:t>
      </w:r>
      <w:r w:rsidR="001F1A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F1A8B">
        <w:rPr>
          <w:rFonts w:ascii="Times New Roman" w:hAnsi="Times New Roman"/>
          <w:color w:val="000000"/>
          <w:sz w:val="24"/>
          <w:szCs w:val="24"/>
        </w:rPr>
        <w:t>PrUp</w:t>
      </w:r>
      <w:proofErr w:type="spellEnd"/>
      <w:r w:rsidR="001F1A8B">
        <w:rPr>
          <w:rFonts w:ascii="Times New Roman" w:hAnsi="Times New Roman"/>
          <w:color w:val="000000"/>
          <w:sz w:val="24"/>
          <w:szCs w:val="24"/>
        </w:rPr>
        <w:t>.</w:t>
      </w:r>
      <w:r w:rsidRPr="00761BB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61BB3">
        <w:rPr>
          <w:rFonts w:ascii="Times New Roman" w:hAnsi="Times New Roman"/>
          <w:sz w:val="24"/>
          <w:szCs w:val="24"/>
        </w:rPr>
        <w:t>W spisie inwentarza sporządzonym przez Aleksandra N. powinny zatem</w:t>
      </w:r>
      <w:r w:rsidR="00103398">
        <w:rPr>
          <w:rFonts w:ascii="Times New Roman" w:hAnsi="Times New Roman"/>
          <w:sz w:val="24"/>
          <w:szCs w:val="24"/>
        </w:rPr>
        <w:t xml:space="preserve"> </w:t>
      </w:r>
      <w:r w:rsidRPr="00761BB3">
        <w:rPr>
          <w:rFonts w:ascii="Times New Roman" w:hAnsi="Times New Roman"/>
          <w:sz w:val="24"/>
          <w:szCs w:val="24"/>
        </w:rPr>
        <w:t>zostać ujęte następujące składniki majątku upadłego:</w:t>
      </w:r>
    </w:p>
    <w:p w:rsidR="00330A17" w:rsidRPr="001D05CB" w:rsidRDefault="00330A17" w:rsidP="00330A17">
      <w:pPr>
        <w:pStyle w:val="Akapitzlist"/>
        <w:numPr>
          <w:ilvl w:val="0"/>
          <w:numId w:val="2"/>
        </w:numPr>
        <w:spacing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środki pieniężne w kwocie 205 000 zł pochodzące ze sprzedaży w postępowaniu egzekucyjnym nieruchomości, dla której Sąd Rejonowy w </w:t>
      </w:r>
      <w:proofErr w:type="spellStart"/>
      <w:r>
        <w:rPr>
          <w:rFonts w:ascii="Times New Roman" w:hAnsi="Times New Roman"/>
          <w:sz w:val="24"/>
          <w:szCs w:val="24"/>
        </w:rPr>
        <w:t>W</w:t>
      </w:r>
      <w:proofErr w:type="spellEnd"/>
      <w:r>
        <w:rPr>
          <w:rFonts w:ascii="Times New Roman" w:hAnsi="Times New Roman"/>
          <w:sz w:val="24"/>
          <w:szCs w:val="24"/>
        </w:rPr>
        <w:t>. prowadzi księgę wieczystą nr WA3M/00011111/1.</w:t>
      </w:r>
      <w:r w:rsidRPr="001D05CB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Środki pieniężne pochodzące ze sprzedaży </w:t>
      </w:r>
      <w:r>
        <w:rPr>
          <w:rFonts w:ascii="Times New Roman" w:hAnsi="Times New Roman"/>
          <w:color w:val="000000"/>
          <w:sz w:val="24"/>
          <w:szCs w:val="24"/>
        </w:rPr>
        <w:br/>
        <w:t>w postępowaniu egzekucyjnym tej nieruchomości, po ich przekazaniu do masy upadłości stanowią składnik masy upadłości</w:t>
      </w:r>
      <w:r w:rsidRPr="001D05C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(art. 146 ust. 2 i 2a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PrUp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.);</w:t>
      </w:r>
    </w:p>
    <w:p w:rsidR="00330A17" w:rsidRPr="00E93687" w:rsidRDefault="00330A17" w:rsidP="00330A17">
      <w:pPr>
        <w:pStyle w:val="Akapitzlist"/>
        <w:numPr>
          <w:ilvl w:val="0"/>
          <w:numId w:val="2"/>
        </w:numPr>
        <w:spacing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 udzi</w:t>
      </w:r>
      <w:r w:rsidR="00F73A76">
        <w:rPr>
          <w:rFonts w:ascii="Times New Roman" w:hAnsi="Times New Roman"/>
          <w:sz w:val="24"/>
          <w:szCs w:val="24"/>
        </w:rPr>
        <w:t>ałów w kapitale zakładowym Janix</w:t>
      </w:r>
      <w:r>
        <w:rPr>
          <w:rFonts w:ascii="Times New Roman" w:hAnsi="Times New Roman"/>
          <w:sz w:val="24"/>
          <w:szCs w:val="24"/>
        </w:rPr>
        <w:t xml:space="preserve"> sp. z o.o. z siedzibą w P. o łącznej wartości nominalnej 100 000 zł. Postanowienie umowy sprzedaży udziałów przewidujące rozwiązanie tej umowy z chwilą ogłoszenia upadłości Jana K. jest  nieważne (art. 83 </w:t>
      </w:r>
      <w:proofErr w:type="spellStart"/>
      <w:r w:rsidRPr="00E93687">
        <w:rPr>
          <w:rFonts w:ascii="Times New Roman" w:hAnsi="Times New Roman"/>
          <w:sz w:val="24"/>
          <w:szCs w:val="24"/>
        </w:rPr>
        <w:t>PrUp</w:t>
      </w:r>
      <w:proofErr w:type="spellEnd"/>
      <w:r w:rsidR="001F1A8B">
        <w:rPr>
          <w:rFonts w:ascii="Times New Roman" w:hAnsi="Times New Roman"/>
          <w:sz w:val="24"/>
          <w:szCs w:val="24"/>
        </w:rPr>
        <w:t>.</w:t>
      </w:r>
      <w:r w:rsidRPr="00E93687">
        <w:rPr>
          <w:rFonts w:ascii="Times New Roman" w:hAnsi="Times New Roman"/>
          <w:sz w:val="24"/>
          <w:szCs w:val="24"/>
        </w:rPr>
        <w:t>).</w:t>
      </w:r>
    </w:p>
    <w:p w:rsidR="00330A17" w:rsidRDefault="00330A17" w:rsidP="00330A17">
      <w:pPr>
        <w:spacing w:line="360" w:lineRule="auto"/>
        <w:jc w:val="both"/>
        <w:rPr>
          <w:color w:val="000000"/>
        </w:rPr>
      </w:pPr>
      <w:r w:rsidRPr="00E93687">
        <w:t xml:space="preserve">    W skład masy upadłości nie weszła </w:t>
      </w:r>
      <w:r>
        <w:t xml:space="preserve">natomiast </w:t>
      </w:r>
      <w:r w:rsidRPr="00E93687">
        <w:t xml:space="preserve">nieruchomość, dla której Sąd Rejonowy </w:t>
      </w:r>
      <w:r>
        <w:br/>
      </w:r>
      <w:r w:rsidR="00D76FE1">
        <w:t>w S</w:t>
      </w:r>
      <w:r w:rsidRPr="00E93687">
        <w:t>. p</w:t>
      </w:r>
      <w:r w:rsidR="001C1024">
        <w:t>rowadzi księgę wieczystą nr PL1O</w:t>
      </w:r>
      <w:r w:rsidRPr="00E93687">
        <w:t>/00011</w:t>
      </w:r>
      <w:r>
        <w:t>1</w:t>
      </w:r>
      <w:r w:rsidRPr="00E93687">
        <w:t xml:space="preserve">11/2. </w:t>
      </w:r>
      <w:r w:rsidRPr="00E93687">
        <w:rPr>
          <w:rStyle w:val="tabulatory"/>
          <w:color w:val="000000"/>
        </w:rPr>
        <w:t xml:space="preserve"> Zgodnie z art. 33 pkt 6 </w:t>
      </w:r>
      <w:proofErr w:type="spellStart"/>
      <w:r w:rsidRPr="00E93687">
        <w:rPr>
          <w:rStyle w:val="tabulatory"/>
          <w:color w:val="000000"/>
        </w:rPr>
        <w:t>k.r.o</w:t>
      </w:r>
      <w:proofErr w:type="spellEnd"/>
      <w:r w:rsidRPr="00E93687">
        <w:rPr>
          <w:rStyle w:val="tabulatory"/>
          <w:color w:val="000000"/>
        </w:rPr>
        <w:t xml:space="preserve">., do majątku osobistego każdego z małżonków należą, między innymi, </w:t>
      </w:r>
      <w:r w:rsidRPr="00E93687">
        <w:rPr>
          <w:color w:val="000000"/>
        </w:rPr>
        <w:t xml:space="preserve">przedmioty uzyskane </w:t>
      </w:r>
      <w:r>
        <w:rPr>
          <w:color w:val="000000"/>
        </w:rPr>
        <w:br/>
      </w:r>
      <w:r w:rsidRPr="00E93687">
        <w:rPr>
          <w:color w:val="000000"/>
        </w:rPr>
        <w:t xml:space="preserve">z tytułu odszkodowania za uszkodzenie ciała lub wywołanie rozstroju zdrowia albo z tytułu zadośćuczynienia za doznaną krzywdę. Do majątku osobistego należą również przedmioty majątkowe nabyte w zamian za składniki majątku osobistego, chyba że przepis szczególny stanowi inaczej (art. 33 pkt 10 </w:t>
      </w:r>
      <w:proofErr w:type="spellStart"/>
      <w:r w:rsidRPr="00E93687">
        <w:rPr>
          <w:color w:val="000000"/>
        </w:rPr>
        <w:t>k.r.o</w:t>
      </w:r>
      <w:proofErr w:type="spellEnd"/>
      <w:r w:rsidRPr="00E93687">
        <w:rPr>
          <w:color w:val="000000"/>
        </w:rPr>
        <w:t>.). Skoro Krystyna K. nabyła wymienioną wyżej nieruchomość za środki pieniężne uzyskane z tytułu zadośćuczynienia, to nieruchomość ta należy do jej majątku osobistego</w:t>
      </w:r>
      <w:r>
        <w:rPr>
          <w:color w:val="000000"/>
        </w:rPr>
        <w:t xml:space="preserve"> i nie wchodzi w skład masy upadłości</w:t>
      </w:r>
      <w:r w:rsidRPr="00E93687">
        <w:rPr>
          <w:color w:val="000000"/>
        </w:rPr>
        <w:t>.</w:t>
      </w:r>
    </w:p>
    <w:p w:rsidR="002F1CAB" w:rsidRPr="00E93687" w:rsidRDefault="002F1CAB" w:rsidP="00330A17">
      <w:pPr>
        <w:spacing w:line="360" w:lineRule="auto"/>
        <w:jc w:val="both"/>
      </w:pPr>
    </w:p>
    <w:p w:rsidR="00330A17" w:rsidRPr="00F76D26" w:rsidRDefault="00330A17" w:rsidP="0086530D">
      <w:pPr>
        <w:pStyle w:val="Akapitzlist"/>
        <w:numPr>
          <w:ilvl w:val="3"/>
          <w:numId w:val="1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D603D">
        <w:rPr>
          <w:rFonts w:ascii="Times New Roman" w:hAnsi="Times New Roman"/>
          <w:sz w:val="24"/>
          <w:szCs w:val="24"/>
        </w:rPr>
        <w:t xml:space="preserve">Brak było podstaw do sporządzania przez </w:t>
      </w:r>
      <w:r w:rsidR="00BA7066">
        <w:rPr>
          <w:rFonts w:ascii="Times New Roman" w:hAnsi="Times New Roman"/>
          <w:sz w:val="24"/>
          <w:szCs w:val="24"/>
        </w:rPr>
        <w:t>syndyka</w:t>
      </w:r>
      <w:r w:rsidRPr="003D603D">
        <w:rPr>
          <w:rFonts w:ascii="Times New Roman" w:hAnsi="Times New Roman"/>
          <w:sz w:val="24"/>
          <w:szCs w:val="24"/>
        </w:rPr>
        <w:t xml:space="preserve"> listy wierzytelności</w:t>
      </w:r>
      <w:r w:rsidRPr="00E9368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30A17" w:rsidRPr="00906DEF" w:rsidRDefault="00330A17" w:rsidP="0086530D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906DEF">
        <w:rPr>
          <w:rFonts w:ascii="Times New Roman" w:hAnsi="Times New Roman"/>
          <w:sz w:val="24"/>
          <w:szCs w:val="24"/>
        </w:rPr>
        <w:t>W postępowaniu upadłościowym prowadzonym w trybie art. 491</w:t>
      </w:r>
      <w:r w:rsidRPr="00906DEF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ust. 1 </w:t>
      </w:r>
      <w:proofErr w:type="spellStart"/>
      <w:r>
        <w:rPr>
          <w:rFonts w:ascii="Times New Roman" w:hAnsi="Times New Roman"/>
          <w:sz w:val="24"/>
          <w:szCs w:val="24"/>
        </w:rPr>
        <w:t>PrUp</w:t>
      </w:r>
      <w:proofErr w:type="spellEnd"/>
      <w:r w:rsidR="001F1A8B">
        <w:rPr>
          <w:rFonts w:ascii="Times New Roman" w:hAnsi="Times New Roman"/>
          <w:sz w:val="24"/>
          <w:szCs w:val="24"/>
        </w:rPr>
        <w:t>.</w:t>
      </w:r>
      <w:r w:rsidRPr="00906DEF">
        <w:rPr>
          <w:rFonts w:ascii="Times New Roman" w:hAnsi="Times New Roman"/>
          <w:sz w:val="24"/>
          <w:szCs w:val="24"/>
        </w:rPr>
        <w:t xml:space="preserve">, nie sporządza się osobno listy wierzytelności, planów podziału funduszów masy upadłości ani </w:t>
      </w:r>
      <w:r w:rsidRPr="00906DEF">
        <w:rPr>
          <w:rFonts w:ascii="Times New Roman" w:hAnsi="Times New Roman"/>
          <w:sz w:val="24"/>
          <w:szCs w:val="24"/>
        </w:rPr>
        <w:lastRenderedPageBreak/>
        <w:t>odrębnych planów podziałów sum uzyskanych ze sprzedaży rzeczy i praw obciążonych rzeczowo. Wynika to z tego, że zgodnie z </w:t>
      </w:r>
      <w:hyperlink r:id="rId6" w:anchor="hiperlinkText.rpc?hiperlink=type=tresc:nro=Powszechny.2384332:part=a491(2)u1&amp;full=1" w:tgtFrame="_parent" w:history="1">
        <w:r w:rsidRPr="00906DEF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art. 491</w:t>
        </w:r>
        <w:r w:rsidRPr="00906DEF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Pr="00906DEF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 ust. 1</w:t>
        </w:r>
      </w:hyperlink>
      <w:r>
        <w:rPr>
          <w:rFonts w:ascii="Times New Roman" w:hAnsi="Times New Roman"/>
          <w:sz w:val="24"/>
          <w:szCs w:val="24"/>
        </w:rPr>
        <w:t> </w:t>
      </w:r>
      <w:proofErr w:type="spellStart"/>
      <w:r>
        <w:rPr>
          <w:rFonts w:ascii="Times New Roman" w:hAnsi="Times New Roman"/>
          <w:sz w:val="24"/>
          <w:szCs w:val="24"/>
        </w:rPr>
        <w:t>PrUp</w:t>
      </w:r>
      <w:proofErr w:type="spellEnd"/>
      <w:r w:rsidR="005959B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  <w:r w:rsidRPr="00906DEF">
        <w:rPr>
          <w:rFonts w:ascii="Times New Roman" w:hAnsi="Times New Roman"/>
          <w:sz w:val="24"/>
          <w:szCs w:val="24"/>
        </w:rPr>
        <w:t xml:space="preserve"> w postępowaniu tym nie stosuje się, między innymi, </w:t>
      </w:r>
      <w:hyperlink r:id="rId7" w:anchor="hiperlinkText.rpc?hiperlink=type=tresc:nro=Powszechny.2384332:part=a337&amp;full=1" w:tgtFrame="_parent" w:history="1">
        <w:r w:rsidRPr="00906DEF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art. 244, art. 245, art. 253-264, art. 337–339</w:t>
        </w:r>
      </w:hyperlink>
      <w:r w:rsidRPr="00906DEF">
        <w:rPr>
          <w:rFonts w:ascii="Times New Roman" w:hAnsi="Times New Roman"/>
          <w:sz w:val="24"/>
          <w:szCs w:val="24"/>
        </w:rPr>
        <w:t>, </w:t>
      </w:r>
      <w:hyperlink r:id="rId8" w:anchor="hiperlinkText.rpc?hiperlink=type=tresc:nro=Powszechny.2384332:part=a343u1(a)&amp;full=1" w:tgtFrame="_parent" w:history="1">
        <w:r w:rsidRPr="00906DEF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343 ust. 1a</w:t>
        </w:r>
      </w:hyperlink>
      <w:r w:rsidRPr="00906DEF">
        <w:rPr>
          <w:rFonts w:ascii="Times New Roman" w:hAnsi="Times New Roman"/>
          <w:sz w:val="24"/>
          <w:szCs w:val="24"/>
        </w:rPr>
        <w:t>, </w:t>
      </w:r>
      <w:hyperlink r:id="rId9" w:anchor="hiperlinkText.rpc?hiperlink=type=tresc:nro=Powszechny.2384332:part=a346u2&amp;full=1" w:tgtFrame="_parent" w:history="1">
        <w:r w:rsidRPr="00906DEF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art. 346 ust. 2</w:t>
        </w:r>
      </w:hyperlink>
      <w:r w:rsidRPr="00906DEF">
        <w:rPr>
          <w:rFonts w:ascii="Times New Roman" w:hAnsi="Times New Roman"/>
          <w:sz w:val="24"/>
          <w:szCs w:val="24"/>
        </w:rPr>
        <w:t> i </w:t>
      </w:r>
      <w:hyperlink r:id="rId10" w:anchor="hiperlinkText.rpc?hiperlink=type=tresc:nro=Powszechny.2384332:part=a347&amp;full=1" w:tgtFrame="_parent" w:history="1">
        <w:r w:rsidRPr="00906DEF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art. 347–356</w:t>
        </w:r>
      </w:hyperlink>
      <w:r w:rsidRPr="00906DEF">
        <w:rPr>
          <w:rFonts w:ascii="Times New Roman" w:hAnsi="Times New Roman"/>
          <w:sz w:val="24"/>
          <w:szCs w:val="24"/>
        </w:rPr>
        <w:t> oraz </w:t>
      </w:r>
      <w:hyperlink r:id="rId11" w:anchor="hiperlinkText.rpc?hiperlink=type=tresc:nro=Powszechny.2384332:part=a358&amp;full=1" w:tgtFrame="_parent" w:history="1">
        <w:r w:rsidRPr="00906DEF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358–366</w:t>
        </w:r>
      </w:hyperlink>
      <w:r w:rsidRPr="00906DEF">
        <w:rPr>
          <w:rFonts w:ascii="Times New Roman" w:hAnsi="Times New Roman"/>
          <w:sz w:val="24"/>
          <w:szCs w:val="24"/>
        </w:rPr>
        <w:t> </w:t>
      </w:r>
      <w:proofErr w:type="spellStart"/>
      <w:r w:rsidRPr="00906DEF">
        <w:rPr>
          <w:rFonts w:ascii="Times New Roman" w:hAnsi="Times New Roman"/>
          <w:sz w:val="24"/>
          <w:szCs w:val="24"/>
        </w:rPr>
        <w:t>PrUp</w:t>
      </w:r>
      <w:proofErr w:type="spellEnd"/>
      <w:r w:rsidRPr="00906DEF">
        <w:rPr>
          <w:rFonts w:ascii="Times New Roman" w:hAnsi="Times New Roman"/>
          <w:sz w:val="24"/>
          <w:szCs w:val="24"/>
        </w:rPr>
        <w:t>.</w:t>
      </w:r>
      <w:r w:rsidRPr="00484E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celu ustalenia wierzycieli biorących udział w tym postępowaniu i przysługujących im wierzytelności syndyk powinien sporządzić projekt planu spłaty wierzycieli z uzasadnieniem (art. 491</w:t>
      </w:r>
      <w:r w:rsidRPr="00484EAC">
        <w:rPr>
          <w:rFonts w:ascii="Times New Roman" w:hAnsi="Times New Roman"/>
          <w:sz w:val="24"/>
          <w:szCs w:val="24"/>
          <w:vertAlign w:val="superscript"/>
        </w:rPr>
        <w:t>14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ust. 1 </w:t>
      </w:r>
      <w:proofErr w:type="spellStart"/>
      <w:r>
        <w:rPr>
          <w:rFonts w:ascii="Times New Roman" w:hAnsi="Times New Roman"/>
          <w:sz w:val="24"/>
          <w:szCs w:val="24"/>
        </w:rPr>
        <w:t>PrUp</w:t>
      </w:r>
      <w:proofErr w:type="spellEnd"/>
      <w:r w:rsidR="005959B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). Dokumentem, który </w:t>
      </w:r>
      <w:r>
        <w:rPr>
          <w:rFonts w:ascii="Times New Roman" w:hAnsi="Times New Roman"/>
          <w:color w:val="000000"/>
          <w:sz w:val="24"/>
          <w:szCs w:val="24"/>
        </w:rPr>
        <w:t xml:space="preserve">zastępuje listę wierzytelności </w:t>
      </w:r>
      <w:r w:rsidRPr="00906DEF">
        <w:rPr>
          <w:rFonts w:ascii="Times New Roman" w:hAnsi="Times New Roman"/>
          <w:color w:val="000000"/>
          <w:sz w:val="24"/>
          <w:szCs w:val="24"/>
        </w:rPr>
        <w:t xml:space="preserve">jest </w:t>
      </w:r>
      <w:r>
        <w:rPr>
          <w:rFonts w:ascii="Times New Roman" w:hAnsi="Times New Roman"/>
          <w:color w:val="000000"/>
          <w:sz w:val="24"/>
          <w:szCs w:val="24"/>
        </w:rPr>
        <w:t xml:space="preserve">natomiast </w:t>
      </w:r>
      <w:r w:rsidRPr="00906DEF">
        <w:rPr>
          <w:rFonts w:ascii="Times New Roman" w:hAnsi="Times New Roman"/>
          <w:color w:val="000000"/>
          <w:sz w:val="24"/>
          <w:szCs w:val="24"/>
        </w:rPr>
        <w:t>plan spłaty</w:t>
      </w:r>
      <w:r>
        <w:rPr>
          <w:rFonts w:ascii="Times New Roman" w:hAnsi="Times New Roman"/>
          <w:color w:val="000000"/>
          <w:sz w:val="24"/>
          <w:szCs w:val="24"/>
        </w:rPr>
        <w:t xml:space="preserve"> wierzycieli ustalany postanowieniem sądu upadłościowego</w:t>
      </w:r>
      <w:r w:rsidRPr="00906DEF">
        <w:rPr>
          <w:rFonts w:ascii="Times New Roman" w:hAnsi="Times New Roman"/>
          <w:color w:val="000000"/>
          <w:sz w:val="24"/>
          <w:szCs w:val="24"/>
        </w:rPr>
        <w:t xml:space="preserve">, który </w:t>
      </w:r>
      <w:r>
        <w:rPr>
          <w:rFonts w:ascii="Times New Roman" w:hAnsi="Times New Roman"/>
          <w:sz w:val="24"/>
          <w:szCs w:val="24"/>
        </w:rPr>
        <w:t xml:space="preserve">zawiera w sobie, między innymi, </w:t>
      </w:r>
      <w:r w:rsidRPr="0025648E">
        <w:rPr>
          <w:rFonts w:ascii="Times New Roman" w:hAnsi="Times New Roman"/>
          <w:sz w:val="24"/>
          <w:szCs w:val="24"/>
        </w:rPr>
        <w:t>elementy listy wier</w:t>
      </w:r>
      <w:r>
        <w:rPr>
          <w:rFonts w:ascii="Times New Roman" w:hAnsi="Times New Roman"/>
          <w:sz w:val="24"/>
          <w:szCs w:val="24"/>
        </w:rPr>
        <w:t xml:space="preserve">zytelności </w:t>
      </w:r>
      <w:r>
        <w:rPr>
          <w:rFonts w:ascii="Times New Roman" w:hAnsi="Times New Roman"/>
          <w:sz w:val="24"/>
          <w:szCs w:val="24"/>
        </w:rPr>
        <w:br/>
      </w:r>
      <w:r w:rsidRPr="0025648E">
        <w:rPr>
          <w:rFonts w:ascii="Times New Roman" w:hAnsi="Times New Roman"/>
          <w:sz w:val="24"/>
          <w:szCs w:val="24"/>
        </w:rPr>
        <w:t>(art. 491</w:t>
      </w:r>
      <w:r w:rsidRPr="0025648E">
        <w:rPr>
          <w:rFonts w:ascii="Times New Roman" w:hAnsi="Times New Roman"/>
          <w:sz w:val="24"/>
          <w:szCs w:val="24"/>
          <w:vertAlign w:val="superscript"/>
        </w:rPr>
        <w:t>15</w:t>
      </w:r>
      <w:r w:rsidRPr="0025648E">
        <w:rPr>
          <w:rFonts w:ascii="Times New Roman" w:hAnsi="Times New Roman"/>
          <w:sz w:val="24"/>
          <w:szCs w:val="24"/>
        </w:rPr>
        <w:t xml:space="preserve"> ust. 1 </w:t>
      </w:r>
      <w:r>
        <w:rPr>
          <w:rFonts w:ascii="Times New Roman" w:hAnsi="Times New Roman"/>
          <w:sz w:val="24"/>
          <w:szCs w:val="24"/>
        </w:rPr>
        <w:t xml:space="preserve">pkt 1 </w:t>
      </w:r>
      <w:proofErr w:type="spellStart"/>
      <w:r w:rsidRPr="0025648E">
        <w:rPr>
          <w:rFonts w:ascii="Times New Roman" w:hAnsi="Times New Roman"/>
          <w:sz w:val="24"/>
          <w:szCs w:val="24"/>
        </w:rPr>
        <w:t>PrUp</w:t>
      </w:r>
      <w:proofErr w:type="spellEnd"/>
      <w:r w:rsidR="005959BB">
        <w:rPr>
          <w:rFonts w:ascii="Times New Roman" w:hAnsi="Times New Roman"/>
          <w:sz w:val="24"/>
          <w:szCs w:val="24"/>
        </w:rPr>
        <w:t>.</w:t>
      </w:r>
      <w:r w:rsidRPr="0025648E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Ś</w:t>
      </w:r>
      <w:r w:rsidRPr="0025648E">
        <w:rPr>
          <w:rFonts w:ascii="Times New Roman" w:hAnsi="Times New Roman"/>
          <w:sz w:val="24"/>
          <w:szCs w:val="24"/>
        </w:rPr>
        <w:t>rodkiem zaskarżenia postanowienia o ustaleniu planu spłaty wierzycieli jest zażalenie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48E">
        <w:rPr>
          <w:rFonts w:ascii="Times New Roman" w:hAnsi="Times New Roman"/>
          <w:sz w:val="24"/>
          <w:szCs w:val="24"/>
        </w:rPr>
        <w:t>(art. 491</w:t>
      </w:r>
      <w:r w:rsidRPr="0025648E">
        <w:rPr>
          <w:rFonts w:ascii="Times New Roman" w:hAnsi="Times New Roman"/>
          <w:sz w:val="24"/>
          <w:szCs w:val="24"/>
          <w:vertAlign w:val="superscript"/>
        </w:rPr>
        <w:t xml:space="preserve">14 </w:t>
      </w:r>
      <w:r>
        <w:rPr>
          <w:rFonts w:ascii="Times New Roman" w:hAnsi="Times New Roman"/>
          <w:sz w:val="24"/>
          <w:szCs w:val="24"/>
        </w:rPr>
        <w:t xml:space="preserve">ust. 7 </w:t>
      </w:r>
      <w:proofErr w:type="spellStart"/>
      <w:r>
        <w:rPr>
          <w:rFonts w:ascii="Times New Roman" w:hAnsi="Times New Roman"/>
          <w:sz w:val="24"/>
          <w:szCs w:val="24"/>
        </w:rPr>
        <w:t>PrUp</w:t>
      </w:r>
      <w:proofErr w:type="spellEnd"/>
      <w:r w:rsidR="005959BB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).</w:t>
      </w:r>
    </w:p>
    <w:p w:rsidR="00330A17" w:rsidRDefault="00330A17" w:rsidP="00330A1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30A17" w:rsidRPr="006D7532" w:rsidRDefault="00330A17" w:rsidP="00330A17">
      <w:pPr>
        <w:pStyle w:val="Akapitzlist"/>
        <w:numPr>
          <w:ilvl w:val="3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Postępowanie upadłościowe nie powinno zostać umorzone na podstawie wniosku </w:t>
      </w:r>
      <w:r>
        <w:rPr>
          <w:rFonts w:ascii="Times New Roman" w:hAnsi="Times New Roman"/>
          <w:color w:val="000000"/>
          <w:sz w:val="24"/>
          <w:szCs w:val="24"/>
        </w:rPr>
        <w:br/>
        <w:t>Jana K.</w:t>
      </w:r>
    </w:p>
    <w:p w:rsidR="00330A17" w:rsidRDefault="00330A17" w:rsidP="00330A17">
      <w:pPr>
        <w:pStyle w:val="Akapitzlist"/>
        <w:spacing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5C7835">
        <w:rPr>
          <w:rFonts w:ascii="Times New Roman" w:hAnsi="Times New Roman"/>
          <w:color w:val="000000"/>
          <w:sz w:val="24"/>
          <w:szCs w:val="24"/>
        </w:rPr>
        <w:t>Zgodnie z art. 491</w:t>
      </w:r>
      <w:r w:rsidRPr="005C7835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10 </w:t>
      </w:r>
      <w:r w:rsidRPr="005C7835">
        <w:rPr>
          <w:rFonts w:ascii="Times New Roman" w:hAnsi="Times New Roman"/>
          <w:color w:val="000000"/>
          <w:sz w:val="24"/>
          <w:szCs w:val="24"/>
        </w:rPr>
        <w:t xml:space="preserve">ust. 1 </w:t>
      </w:r>
      <w:proofErr w:type="spellStart"/>
      <w:r w:rsidRPr="005C7835">
        <w:rPr>
          <w:rFonts w:ascii="Times New Roman" w:hAnsi="Times New Roman"/>
          <w:color w:val="000000"/>
          <w:sz w:val="24"/>
          <w:szCs w:val="24"/>
        </w:rPr>
        <w:t>PrUp</w:t>
      </w:r>
      <w:proofErr w:type="spellEnd"/>
      <w:r w:rsidRPr="005C7835">
        <w:rPr>
          <w:rFonts w:ascii="Times New Roman" w:hAnsi="Times New Roman"/>
          <w:color w:val="000000"/>
          <w:sz w:val="24"/>
          <w:szCs w:val="24"/>
        </w:rPr>
        <w:t xml:space="preserve">., sąd umarza postępowanie na wniosek upadłego. W myśl </w:t>
      </w:r>
      <w:r>
        <w:rPr>
          <w:rFonts w:ascii="Times New Roman" w:hAnsi="Times New Roman"/>
          <w:color w:val="000000"/>
          <w:sz w:val="24"/>
          <w:szCs w:val="24"/>
        </w:rPr>
        <w:t xml:space="preserve">art. </w:t>
      </w:r>
      <w:r w:rsidRPr="005C7835">
        <w:rPr>
          <w:rFonts w:ascii="Times New Roman" w:hAnsi="Times New Roman"/>
          <w:color w:val="000000"/>
          <w:sz w:val="24"/>
          <w:szCs w:val="24"/>
        </w:rPr>
        <w:t>491</w:t>
      </w:r>
      <w:r w:rsidRPr="005C7835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10 </w:t>
      </w:r>
      <w:r w:rsidRPr="005C7835">
        <w:rPr>
          <w:rFonts w:ascii="Times New Roman" w:hAnsi="Times New Roman"/>
          <w:color w:val="000000"/>
          <w:sz w:val="24"/>
          <w:szCs w:val="24"/>
        </w:rPr>
        <w:t xml:space="preserve">ust. 3 </w:t>
      </w:r>
      <w:proofErr w:type="spellStart"/>
      <w:r w:rsidRPr="005C7835">
        <w:rPr>
          <w:rFonts w:ascii="Times New Roman" w:hAnsi="Times New Roman"/>
          <w:color w:val="000000"/>
          <w:sz w:val="24"/>
          <w:szCs w:val="24"/>
        </w:rPr>
        <w:t>PrUp</w:t>
      </w:r>
      <w:proofErr w:type="spellEnd"/>
      <w:r w:rsidRPr="005C7835">
        <w:rPr>
          <w:rFonts w:ascii="Times New Roman" w:hAnsi="Times New Roman"/>
          <w:color w:val="000000"/>
          <w:sz w:val="24"/>
          <w:szCs w:val="24"/>
        </w:rPr>
        <w:t>., sąd nie umarza postępowania, jeżeli umorzenie postępowania mogłoby skutkować pokrzywdzeniem wierzycieli.</w:t>
      </w:r>
    </w:p>
    <w:p w:rsidR="00330A17" w:rsidRPr="005C7835" w:rsidRDefault="00330A17" w:rsidP="00330A1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W opisanym stanie faktycznym umorzenie postępowania upadłościowego na wniosek Jana K. mogłoby skutkować pokrzywdzeniem wierzycieli, a w szczególności wierzycieli, których wierzytelności były zabezpieczone hipotekami na nieruchomości, </w:t>
      </w:r>
      <w:r>
        <w:rPr>
          <w:rFonts w:ascii="Times New Roman" w:hAnsi="Times New Roman"/>
          <w:sz w:val="24"/>
          <w:szCs w:val="24"/>
        </w:rPr>
        <w:t xml:space="preserve">dla której Sąd Rejonowy w </w:t>
      </w:r>
      <w:proofErr w:type="spellStart"/>
      <w:r>
        <w:rPr>
          <w:rFonts w:ascii="Times New Roman" w:hAnsi="Times New Roman"/>
          <w:sz w:val="24"/>
          <w:szCs w:val="24"/>
        </w:rPr>
        <w:t>W</w:t>
      </w:r>
      <w:proofErr w:type="spellEnd"/>
      <w:r>
        <w:rPr>
          <w:rFonts w:ascii="Times New Roman" w:hAnsi="Times New Roman"/>
          <w:sz w:val="24"/>
          <w:szCs w:val="24"/>
        </w:rPr>
        <w:t xml:space="preserve">. prowadzi księgę wieczystą nr WA3M/00011111/1. Wierzytelności te </w:t>
      </w:r>
      <w:r>
        <w:rPr>
          <w:rFonts w:ascii="Times New Roman" w:hAnsi="Times New Roman"/>
          <w:sz w:val="24"/>
          <w:szCs w:val="24"/>
        </w:rPr>
        <w:br/>
        <w:t>w postępowaniu upadłościowym prowadzonym wobec Jana K. powinny bowiem zostać zaspokojone z sum przekazanych do masy upadłości przez organ egzekucyjny (art. 146 ust. 2a</w:t>
      </w:r>
      <w:r w:rsidR="00120CA9">
        <w:rPr>
          <w:rFonts w:ascii="Times New Roman" w:hAnsi="Times New Roman"/>
          <w:sz w:val="24"/>
          <w:szCs w:val="24"/>
        </w:rPr>
        <w:t xml:space="preserve"> oraz art. 336 ust. 1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PrUp</w:t>
      </w:r>
      <w:proofErr w:type="spellEnd"/>
      <w:r>
        <w:rPr>
          <w:rFonts w:ascii="Times New Roman" w:hAnsi="Times New Roman"/>
          <w:sz w:val="24"/>
          <w:szCs w:val="24"/>
        </w:rPr>
        <w:t>.). Umorzenie postępowania upadłościowego mogłoby uniemożliwić zaspokojenie tych wierzytelności, zarówno w trybie egzekucji singularnej, jak i uniwersalnej.</w:t>
      </w:r>
    </w:p>
    <w:p w:rsidR="00330A17" w:rsidRPr="00F05E02" w:rsidRDefault="00330A17" w:rsidP="00330A17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:rsidR="00B6128A" w:rsidRDefault="00B6128A"/>
    <w:sectPr w:rsidR="00B61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12EF2"/>
    <w:multiLevelType w:val="multilevel"/>
    <w:tmpl w:val="F76A37B8"/>
    <w:lvl w:ilvl="0">
      <w:start w:val="1"/>
      <w:numFmt w:val="decimal"/>
      <w:lvlText w:val="%1."/>
      <w:lvlJc w:val="left"/>
      <w:pPr>
        <w:ind w:left="1271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991" w:hanging="360"/>
      </w:pPr>
    </w:lvl>
    <w:lvl w:ilvl="2">
      <w:start w:val="1"/>
      <w:numFmt w:val="lowerRoman"/>
      <w:lvlText w:val="%3."/>
      <w:lvlJc w:val="right"/>
      <w:pPr>
        <w:ind w:left="2711" w:hanging="180"/>
      </w:pPr>
    </w:lvl>
    <w:lvl w:ilvl="3">
      <w:start w:val="1"/>
      <w:numFmt w:val="decimal"/>
      <w:lvlText w:val="%4."/>
      <w:lvlJc w:val="left"/>
      <w:pPr>
        <w:ind w:left="3431" w:hanging="360"/>
      </w:pPr>
      <w:rPr>
        <w:b/>
      </w:rPr>
    </w:lvl>
    <w:lvl w:ilvl="4">
      <w:start w:val="1"/>
      <w:numFmt w:val="lowerLetter"/>
      <w:lvlText w:val="%5."/>
      <w:lvlJc w:val="left"/>
      <w:pPr>
        <w:ind w:left="4151" w:hanging="360"/>
      </w:pPr>
    </w:lvl>
    <w:lvl w:ilvl="5">
      <w:start w:val="1"/>
      <w:numFmt w:val="lowerRoman"/>
      <w:lvlText w:val="%6."/>
      <w:lvlJc w:val="right"/>
      <w:pPr>
        <w:ind w:left="4871" w:hanging="180"/>
      </w:pPr>
    </w:lvl>
    <w:lvl w:ilvl="6">
      <w:start w:val="1"/>
      <w:numFmt w:val="decimal"/>
      <w:lvlText w:val="%7."/>
      <w:lvlJc w:val="left"/>
      <w:pPr>
        <w:ind w:left="5591" w:hanging="360"/>
      </w:pPr>
    </w:lvl>
    <w:lvl w:ilvl="7">
      <w:start w:val="1"/>
      <w:numFmt w:val="lowerLetter"/>
      <w:lvlText w:val="%8."/>
      <w:lvlJc w:val="left"/>
      <w:pPr>
        <w:ind w:left="6311" w:hanging="360"/>
      </w:pPr>
    </w:lvl>
    <w:lvl w:ilvl="8">
      <w:start w:val="1"/>
      <w:numFmt w:val="lowerRoman"/>
      <w:lvlText w:val="%9."/>
      <w:lvlJc w:val="right"/>
      <w:pPr>
        <w:ind w:left="7031" w:hanging="180"/>
      </w:pPr>
    </w:lvl>
  </w:abstractNum>
  <w:abstractNum w:abstractNumId="1">
    <w:nsid w:val="7A1D746C"/>
    <w:multiLevelType w:val="hybridMultilevel"/>
    <w:tmpl w:val="44560B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251"/>
    <w:rsid w:val="00103398"/>
    <w:rsid w:val="00120CA9"/>
    <w:rsid w:val="001C1024"/>
    <w:rsid w:val="001F1A8B"/>
    <w:rsid w:val="00297F02"/>
    <w:rsid w:val="002F1CAB"/>
    <w:rsid w:val="00330A17"/>
    <w:rsid w:val="005959BB"/>
    <w:rsid w:val="007A2041"/>
    <w:rsid w:val="0086530D"/>
    <w:rsid w:val="00A42B56"/>
    <w:rsid w:val="00B6128A"/>
    <w:rsid w:val="00BA7066"/>
    <w:rsid w:val="00C35251"/>
    <w:rsid w:val="00CF4C5E"/>
    <w:rsid w:val="00D76FE1"/>
    <w:rsid w:val="00F7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4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30A17"/>
    <w:pPr>
      <w:suppressAutoHyphens/>
      <w:autoSpaceDN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30A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330A17"/>
    <w:rPr>
      <w:color w:val="0000FF"/>
      <w:u w:val="single"/>
    </w:rPr>
  </w:style>
  <w:style w:type="character" w:customStyle="1" w:styleId="tabulatory">
    <w:name w:val="tabulatory"/>
    <w:basedOn w:val="Domylnaczcionkaakapitu"/>
    <w:rsid w:val="00330A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4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30A17"/>
    <w:pPr>
      <w:suppressAutoHyphens/>
      <w:autoSpaceDN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30A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330A17"/>
    <w:rPr>
      <w:color w:val="0000FF"/>
      <w:u w:val="single"/>
    </w:rPr>
  </w:style>
  <w:style w:type="character" w:customStyle="1" w:styleId="tabulatory">
    <w:name w:val="tabulatory"/>
    <w:basedOn w:val="Domylnaczcionkaakapitu"/>
    <w:rsid w:val="00330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x.online.wolterskluwer.pl/WKPLOnline/index.rp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ex.online.wolterskluwer.pl/WKPLOnline/index.rp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x.online.wolterskluwer.pl/WKPLOnline/index.rpc" TargetMode="External"/><Relationship Id="rId11" Type="http://schemas.openxmlformats.org/officeDocument/2006/relationships/hyperlink" Target="https://lex.online.wolterskluwer.pl/WKPLOnline/index.rp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ex.online.wolterskluwer.pl/WKPLOnline/index.rp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x.online.wolterskluwer.pl/WKPLOnline/index.rp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715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2021-04-20T08:59:00Z</cp:lastPrinted>
  <dcterms:created xsi:type="dcterms:W3CDTF">2021-04-01T12:36:00Z</dcterms:created>
  <dcterms:modified xsi:type="dcterms:W3CDTF">2021-04-20T09:00:00Z</dcterms:modified>
</cp:coreProperties>
</file>