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F1B1B" w14:textId="77777777" w:rsidR="008E63DA" w:rsidRDefault="008E63DA" w:rsidP="008E63DA">
      <w:pPr>
        <w:rPr>
          <w:rFonts w:eastAsia="Times New Roman"/>
        </w:rPr>
      </w:pPr>
      <w:r>
        <w:rPr>
          <w:rFonts w:eastAsia="Times New Roman"/>
        </w:rPr>
        <w:t>Szanowni Państwo:</w:t>
      </w:r>
    </w:p>
    <w:p w14:paraId="66EFC4AE" w14:textId="77777777" w:rsidR="008E63DA" w:rsidRDefault="008E63DA" w:rsidP="008E63DA">
      <w:pPr>
        <w:rPr>
          <w:rFonts w:eastAsia="Times New Roman"/>
        </w:rPr>
      </w:pPr>
      <w:r>
        <w:rPr>
          <w:rFonts w:eastAsia="Times New Roman"/>
        </w:rPr>
        <w:t>- Ministerstwo Sprawiedliwości</w:t>
      </w:r>
    </w:p>
    <w:p w14:paraId="17593A4E" w14:textId="77777777" w:rsidR="008E63DA" w:rsidRDefault="008E63DA" w:rsidP="008E63DA">
      <w:pPr>
        <w:rPr>
          <w:rFonts w:eastAsia="Times New Roman"/>
        </w:rPr>
      </w:pPr>
    </w:p>
    <w:p w14:paraId="551E75D0" w14:textId="77777777" w:rsidR="008E63DA" w:rsidRDefault="008E63DA" w:rsidP="008E63DA">
      <w:pPr>
        <w:rPr>
          <w:rFonts w:eastAsia="Times New Roman"/>
        </w:rPr>
      </w:pPr>
      <w:r>
        <w:rPr>
          <w:rFonts w:eastAsia="Times New Roman"/>
          <w:b/>
          <w:bCs/>
          <w:u w:val="single"/>
        </w:rPr>
        <w:t>Petycja elektroniczna</w:t>
      </w:r>
    </w:p>
    <w:p w14:paraId="0C9A7E3D" w14:textId="77777777" w:rsidR="008E63DA" w:rsidRDefault="008E63DA" w:rsidP="008E63DA">
      <w:pPr>
        <w:rPr>
          <w:rFonts w:eastAsia="Times New Roman"/>
        </w:rPr>
      </w:pPr>
    </w:p>
    <w:p w14:paraId="1DE99D30" w14:textId="77777777" w:rsidR="008E63DA" w:rsidRDefault="008E63DA" w:rsidP="008E63DA">
      <w:pPr>
        <w:rPr>
          <w:rFonts w:eastAsia="Times New Roman"/>
        </w:rPr>
      </w:pPr>
      <w:r>
        <w:rPr>
          <w:rFonts w:eastAsia="Times New Roman"/>
        </w:rPr>
        <w:t>Działając w trybie Ustawy o petycjach z dnia 11 lipca 2014 roku (tj. Dz. U. 2018 poz. 870) </w:t>
      </w:r>
      <w:r>
        <w:rPr>
          <w:rFonts w:eastAsia="Times New Roman"/>
          <w:b/>
          <w:bCs/>
        </w:rPr>
        <w:t>kieruję do Państwa petycję w sprawie podjęcia inicjatywy ustawodawczej</w:t>
      </w:r>
    </w:p>
    <w:p w14:paraId="264008AA" w14:textId="77777777" w:rsidR="008E63DA" w:rsidRDefault="008E63DA" w:rsidP="008E63DA">
      <w:pPr>
        <w:rPr>
          <w:rFonts w:eastAsia="Times New Roman"/>
        </w:rPr>
      </w:pPr>
    </w:p>
    <w:p w14:paraId="01992D84" w14:textId="77777777" w:rsidR="008E63DA" w:rsidRDefault="008E63DA" w:rsidP="008E63DA">
      <w:pPr>
        <w:rPr>
          <w:rFonts w:eastAsia="Times New Roman"/>
        </w:rPr>
      </w:pPr>
      <w:r>
        <w:rPr>
          <w:rFonts w:eastAsia="Times New Roman"/>
        </w:rPr>
        <w:t>Art.  17. [Negatywne przesłanki procesowe]</w:t>
      </w:r>
    </w:p>
    <w:p w14:paraId="6C73C691" w14:textId="77777777" w:rsidR="008E63DA" w:rsidRDefault="008E63DA" w:rsidP="008E63DA">
      <w:pPr>
        <w:rPr>
          <w:rFonts w:eastAsia="Times New Roman"/>
        </w:rPr>
      </w:pPr>
      <w:r>
        <w:rPr>
          <w:rFonts w:eastAsia="Times New Roman"/>
        </w:rPr>
        <w:t>§  1. 3   Nie wszczyna się postępowania, a wszczęte umarza, gdy:</w:t>
      </w:r>
    </w:p>
    <w:p w14:paraId="3095898F" w14:textId="77777777" w:rsidR="008E63DA" w:rsidRDefault="008E63DA" w:rsidP="008E63DA">
      <w:pPr>
        <w:rPr>
          <w:rFonts w:eastAsia="Times New Roman"/>
        </w:rPr>
      </w:pPr>
      <w:r>
        <w:rPr>
          <w:rFonts w:eastAsia="Times New Roman"/>
        </w:rPr>
        <w:t>1) czynu nie popełniono albo brak jest danych dostatecznie uzasadniających podejrzenie jego popełnienia;</w:t>
      </w:r>
    </w:p>
    <w:p w14:paraId="73CB1314" w14:textId="77777777" w:rsidR="008E63DA" w:rsidRDefault="008E63DA" w:rsidP="008E63DA">
      <w:pPr>
        <w:rPr>
          <w:rFonts w:eastAsia="Times New Roman"/>
        </w:rPr>
      </w:pPr>
      <w:r>
        <w:rPr>
          <w:rFonts w:eastAsia="Times New Roman"/>
        </w:rPr>
        <w:t xml:space="preserve">2) </w:t>
      </w:r>
      <w:r>
        <w:rPr>
          <w:rFonts w:eastAsia="Times New Roman"/>
          <w:b/>
          <w:bCs/>
        </w:rPr>
        <w:t>czyn nie zawiera znamion czynu zabronionego albo ustawa stanowi, że sprawca nie popełnia przestępstwa; &lt;&lt;uchylony&gt;&gt;</w:t>
      </w:r>
    </w:p>
    <w:p w14:paraId="50A7E831" w14:textId="77777777" w:rsidR="008E63DA" w:rsidRDefault="008E63DA" w:rsidP="008E63DA">
      <w:pPr>
        <w:rPr>
          <w:rFonts w:eastAsia="Times New Roman"/>
        </w:rPr>
      </w:pPr>
      <w:r>
        <w:rPr>
          <w:rFonts w:eastAsia="Times New Roman"/>
        </w:rPr>
        <w:t xml:space="preserve">3) </w:t>
      </w:r>
      <w:r>
        <w:rPr>
          <w:rFonts w:eastAsia="Times New Roman"/>
          <w:b/>
          <w:bCs/>
        </w:rPr>
        <w:t>społeczna szkodliwość czynu jest znikoma; &lt;&lt;uchylony&gt;&gt;</w:t>
      </w:r>
    </w:p>
    <w:p w14:paraId="54837871" w14:textId="77777777" w:rsidR="008E63DA" w:rsidRDefault="008E63DA" w:rsidP="008E63DA">
      <w:pPr>
        <w:rPr>
          <w:rFonts w:eastAsia="Times New Roman"/>
        </w:rPr>
      </w:pPr>
      <w:r>
        <w:rPr>
          <w:rFonts w:eastAsia="Times New Roman"/>
        </w:rPr>
        <w:t>4) ustawa stanowi, że sprawca nie podlega karze;</w:t>
      </w:r>
    </w:p>
    <w:p w14:paraId="52B05C52" w14:textId="77777777" w:rsidR="008E63DA" w:rsidRDefault="008E63DA" w:rsidP="008E63DA">
      <w:pPr>
        <w:rPr>
          <w:rFonts w:eastAsia="Times New Roman"/>
        </w:rPr>
      </w:pPr>
      <w:r>
        <w:rPr>
          <w:rFonts w:eastAsia="Times New Roman"/>
        </w:rPr>
        <w:t>5) oskarżony zmarł;</w:t>
      </w:r>
    </w:p>
    <w:p w14:paraId="52D28463" w14:textId="77777777" w:rsidR="008E63DA" w:rsidRDefault="008E63DA" w:rsidP="008E63DA">
      <w:pPr>
        <w:rPr>
          <w:rFonts w:eastAsia="Times New Roman"/>
        </w:rPr>
      </w:pPr>
      <w:r>
        <w:rPr>
          <w:rFonts w:eastAsia="Times New Roman"/>
        </w:rPr>
        <w:t>6) nastąpiło przedawnienie karalności;</w:t>
      </w:r>
    </w:p>
    <w:p w14:paraId="712DB88E" w14:textId="77777777" w:rsidR="008E63DA" w:rsidRDefault="008E63DA" w:rsidP="008E63DA">
      <w:pPr>
        <w:rPr>
          <w:rFonts w:eastAsia="Times New Roman"/>
        </w:rPr>
      </w:pPr>
      <w:r>
        <w:rPr>
          <w:rFonts w:eastAsia="Times New Roman"/>
        </w:rPr>
        <w:t>7) postępowanie karne co do tego samego czynu tej samej osoby zostało prawomocnie zakończone albo wcześniej wszczęte toczy się;</w:t>
      </w:r>
    </w:p>
    <w:p w14:paraId="020E23B0" w14:textId="77777777" w:rsidR="008E63DA" w:rsidRDefault="008E63DA" w:rsidP="008E63DA">
      <w:pPr>
        <w:rPr>
          <w:rFonts w:eastAsia="Times New Roman"/>
        </w:rPr>
      </w:pPr>
      <w:r>
        <w:rPr>
          <w:rFonts w:eastAsia="Times New Roman"/>
        </w:rPr>
        <w:t>8) sprawca nie podlega orzecznictwu polskich sądów karnych;</w:t>
      </w:r>
    </w:p>
    <w:p w14:paraId="737BD367" w14:textId="77777777" w:rsidR="008E63DA" w:rsidRDefault="008E63DA" w:rsidP="008E63DA">
      <w:pPr>
        <w:rPr>
          <w:rFonts w:eastAsia="Times New Roman"/>
        </w:rPr>
      </w:pPr>
      <w:r>
        <w:rPr>
          <w:rFonts w:eastAsia="Times New Roman"/>
        </w:rPr>
        <w:t>9) brak skargi uprawnionego oskarżyciela;</w:t>
      </w:r>
    </w:p>
    <w:p w14:paraId="706A06A9" w14:textId="77777777" w:rsidR="008E63DA" w:rsidRDefault="008E63DA" w:rsidP="008E63DA">
      <w:pPr>
        <w:rPr>
          <w:rFonts w:eastAsia="Times New Roman"/>
        </w:rPr>
      </w:pPr>
      <w:r>
        <w:rPr>
          <w:rFonts w:eastAsia="Times New Roman"/>
        </w:rPr>
        <w:t>10) brak wymaganego zezwolenia na ściganie lub wniosku o ściganie pochodzącego od osoby uprawnionej, chyba że ustawa stanowi inaczej;</w:t>
      </w:r>
    </w:p>
    <w:p w14:paraId="2E8E760F" w14:textId="77777777" w:rsidR="008E63DA" w:rsidRDefault="008E63DA" w:rsidP="008E63DA">
      <w:pPr>
        <w:rPr>
          <w:rFonts w:eastAsia="Times New Roman"/>
        </w:rPr>
      </w:pPr>
      <w:r>
        <w:rPr>
          <w:rFonts w:eastAsia="Times New Roman"/>
        </w:rPr>
        <w:t>11) zachodzi inna okoliczność wyłączająca ściganie</w:t>
      </w:r>
    </w:p>
    <w:p w14:paraId="2A53F03F" w14:textId="77777777" w:rsidR="008E63DA" w:rsidRDefault="008E63DA" w:rsidP="008E63DA">
      <w:pPr>
        <w:rPr>
          <w:rFonts w:eastAsia="Times New Roman"/>
        </w:rPr>
      </w:pPr>
    </w:p>
    <w:p w14:paraId="71346FB5" w14:textId="77777777" w:rsidR="008E63DA" w:rsidRDefault="008E63DA" w:rsidP="008E63DA">
      <w:pPr>
        <w:rPr>
          <w:rFonts w:eastAsia="Times New Roman"/>
        </w:rPr>
      </w:pPr>
      <w:r>
        <w:rPr>
          <w:rFonts w:eastAsia="Times New Roman"/>
        </w:rPr>
        <w:t>Źródło oparcia: </w:t>
      </w:r>
    </w:p>
    <w:p w14:paraId="03AE7642" w14:textId="77777777" w:rsidR="008E63DA" w:rsidRDefault="008E63DA" w:rsidP="008E63DA">
      <w:pPr>
        <w:rPr>
          <w:rFonts w:eastAsia="Times New Roman"/>
        </w:rPr>
      </w:pPr>
      <w:r>
        <w:rPr>
          <w:rFonts w:eastAsia="Times New Roman"/>
        </w:rPr>
        <w:t>Czytaj więcej w Systemie Informacji Prawnej LEX:</w:t>
      </w:r>
    </w:p>
    <w:p w14:paraId="56FB6D0F" w14:textId="77777777" w:rsidR="008E63DA" w:rsidRDefault="008E63DA" w:rsidP="008E63DA">
      <w:pPr>
        <w:rPr>
          <w:rFonts w:eastAsia="Times New Roman"/>
        </w:rPr>
      </w:pPr>
      <w:hyperlink r:id="rId4" w:tgtFrame="_blank" w:history="1">
        <w:r>
          <w:rPr>
            <w:rStyle w:val="Hipercze"/>
            <w:rFonts w:eastAsia="Times New Roman"/>
          </w:rPr>
          <w:t>https://sip.lex.pl/akty-prawne/dzu-dziennik-ustaw/kodeks-postepowania-karnego-16798685/art-17</w:t>
        </w:r>
      </w:hyperlink>
    </w:p>
    <w:p w14:paraId="0693C34D" w14:textId="77777777" w:rsidR="008E63DA" w:rsidRDefault="008E63DA" w:rsidP="008E63DA">
      <w:pPr>
        <w:rPr>
          <w:rFonts w:eastAsia="Times New Roman"/>
        </w:rPr>
      </w:pPr>
    </w:p>
    <w:p w14:paraId="6DB81532" w14:textId="77777777" w:rsidR="008E63DA" w:rsidRDefault="008E63DA" w:rsidP="008E63DA">
      <w:pPr>
        <w:rPr>
          <w:rFonts w:eastAsia="Times New Roman"/>
        </w:rPr>
      </w:pPr>
      <w:r>
        <w:rPr>
          <w:rFonts w:eastAsia="Times New Roman"/>
        </w:rPr>
        <w:t>Czynem zabronionym nie powinien być tylko czyn zabroniony spełniający: bezprawności, winy, społeczna szkodliwość ale także zachowanie wbrew: moralności, społeczeństwa, człowieczeństwu. Obecnie może być tak, że czyn nie zawiera znamion czynu zabronionego ale nie jest godny pochwały przez środowisko przez niewłaściwe zachowanie i niemoralne oraz wbrew zasadom współżycia społecznego. Dlatego te cechy jak zasady współżycia społecznego, moralności winny również mieć znaczenie. Ponadto sprawca winien odpowiedzieć nawet za znikomą szkodliwość pod postacią np. nagany lub dozoru pisząc do sądu co się wydarzyło w danym okresie. </w:t>
      </w:r>
    </w:p>
    <w:p w14:paraId="7553FBB1" w14:textId="77777777" w:rsidR="00DC7DA1" w:rsidRDefault="00DC7DA1"/>
    <w:sectPr w:rsidR="00DC7D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DA"/>
    <w:rsid w:val="00674BA2"/>
    <w:rsid w:val="006F3CDA"/>
    <w:rsid w:val="007F0F44"/>
    <w:rsid w:val="008E63DA"/>
    <w:rsid w:val="00A53676"/>
    <w:rsid w:val="00DC2F56"/>
    <w:rsid w:val="00DC7D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31AD"/>
  <w15:chartTrackingRefBased/>
  <w15:docId w15:val="{4DF9952D-F9C7-4C2F-883F-56FF1706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before="240"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63DA"/>
    <w:pPr>
      <w:spacing w:before="0" w:after="0" w:line="240" w:lineRule="auto"/>
      <w:jc w:val="left"/>
    </w:pPr>
    <w:rPr>
      <w:rFonts w:ascii="Aptos" w:hAnsi="Aptos" w:cs="Aptos"/>
      <w:kern w:val="0"/>
      <w:sz w:val="24"/>
      <w:szCs w:val="24"/>
      <w:lang w:eastAsia="pl-PL"/>
      <w14:ligatures w14:val="none"/>
    </w:rPr>
  </w:style>
  <w:style w:type="paragraph" w:styleId="Nagwek1">
    <w:name w:val="heading 1"/>
    <w:basedOn w:val="Normalny"/>
    <w:next w:val="Normalny"/>
    <w:link w:val="Nagwek1Znak"/>
    <w:uiPriority w:val="9"/>
    <w:qFormat/>
    <w:rsid w:val="008E63DA"/>
    <w:pPr>
      <w:keepNext/>
      <w:keepLines/>
      <w:spacing w:before="360" w:after="80"/>
      <w:jc w:val="both"/>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8E63DA"/>
    <w:pPr>
      <w:keepNext/>
      <w:keepLines/>
      <w:spacing w:before="160" w:after="80"/>
      <w:jc w:val="both"/>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8E63DA"/>
    <w:pPr>
      <w:keepNext/>
      <w:keepLines/>
      <w:spacing w:before="160" w:after="80"/>
      <w:jc w:val="both"/>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8E63DA"/>
    <w:pPr>
      <w:keepNext/>
      <w:keepLines/>
      <w:spacing w:before="80" w:after="40"/>
      <w:jc w:val="both"/>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8E63DA"/>
    <w:pPr>
      <w:keepNext/>
      <w:keepLines/>
      <w:spacing w:before="80" w:after="40"/>
      <w:jc w:val="both"/>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8E63DA"/>
    <w:pPr>
      <w:keepNext/>
      <w:keepLines/>
      <w:spacing w:before="40"/>
      <w:jc w:val="both"/>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8E63DA"/>
    <w:pPr>
      <w:keepNext/>
      <w:keepLines/>
      <w:spacing w:before="40"/>
      <w:jc w:val="both"/>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8E63DA"/>
    <w:pPr>
      <w:keepNext/>
      <w:keepLines/>
      <w:jc w:val="both"/>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8E63DA"/>
    <w:pPr>
      <w:keepNext/>
      <w:keepLines/>
      <w:jc w:val="both"/>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E63D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E63D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E63D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E63D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E63D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E63D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E63D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E63D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E63DA"/>
    <w:rPr>
      <w:rFonts w:eastAsiaTheme="majorEastAsia" w:cstheme="majorBidi"/>
      <w:color w:val="272727" w:themeColor="text1" w:themeTint="D8"/>
    </w:rPr>
  </w:style>
  <w:style w:type="paragraph" w:styleId="Tytu">
    <w:name w:val="Title"/>
    <w:basedOn w:val="Normalny"/>
    <w:next w:val="Normalny"/>
    <w:link w:val="TytuZnak"/>
    <w:uiPriority w:val="10"/>
    <w:qFormat/>
    <w:rsid w:val="008E63DA"/>
    <w:pPr>
      <w:spacing w:after="80"/>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8E63D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E63DA"/>
    <w:pPr>
      <w:numPr>
        <w:ilvl w:val="1"/>
      </w:numPr>
      <w:spacing w:before="240" w:after="160"/>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8E63D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E63DA"/>
    <w:pPr>
      <w:spacing w:before="160" w:after="160"/>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8E63DA"/>
    <w:rPr>
      <w:i/>
      <w:iCs/>
      <w:color w:val="404040" w:themeColor="text1" w:themeTint="BF"/>
    </w:rPr>
  </w:style>
  <w:style w:type="paragraph" w:styleId="Akapitzlist">
    <w:name w:val="List Paragraph"/>
    <w:basedOn w:val="Normalny"/>
    <w:uiPriority w:val="34"/>
    <w:qFormat/>
    <w:rsid w:val="008E63DA"/>
    <w:pPr>
      <w:spacing w:before="240"/>
      <w:ind w:left="720"/>
      <w:contextualSpacing/>
      <w:jc w:val="both"/>
    </w:pPr>
    <w:rPr>
      <w:rFonts w:ascii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8E63DA"/>
    <w:rPr>
      <w:i/>
      <w:iCs/>
      <w:color w:val="0F4761" w:themeColor="accent1" w:themeShade="BF"/>
    </w:rPr>
  </w:style>
  <w:style w:type="paragraph" w:styleId="Cytatintensywny">
    <w:name w:val="Intense Quote"/>
    <w:basedOn w:val="Normalny"/>
    <w:next w:val="Normalny"/>
    <w:link w:val="CytatintensywnyZnak"/>
    <w:uiPriority w:val="30"/>
    <w:qFormat/>
    <w:rsid w:val="008E63D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8E63DA"/>
    <w:rPr>
      <w:i/>
      <w:iCs/>
      <w:color w:val="0F4761" w:themeColor="accent1" w:themeShade="BF"/>
    </w:rPr>
  </w:style>
  <w:style w:type="character" w:styleId="Odwoanieintensywne">
    <w:name w:val="Intense Reference"/>
    <w:basedOn w:val="Domylnaczcionkaakapitu"/>
    <w:uiPriority w:val="32"/>
    <w:qFormat/>
    <w:rsid w:val="008E63DA"/>
    <w:rPr>
      <w:b/>
      <w:bCs/>
      <w:smallCaps/>
      <w:color w:val="0F4761" w:themeColor="accent1" w:themeShade="BF"/>
      <w:spacing w:val="5"/>
    </w:rPr>
  </w:style>
  <w:style w:type="character" w:styleId="Hipercze">
    <w:name w:val="Hyperlink"/>
    <w:basedOn w:val="Domylnaczcionkaakapitu"/>
    <w:uiPriority w:val="99"/>
    <w:semiHidden/>
    <w:unhideWhenUsed/>
    <w:rsid w:val="008E63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54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ip.lex.pl/akty-prawne/dzu-dziennik-ustaw/kodeks-postepowania-karnego-16798685/art-1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1766</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Trzeciak Andrzej  (DPK)</dc:creator>
  <cp:keywords/>
  <dc:description/>
  <cp:lastModifiedBy>Trzeciak Andrzej  (DPK)</cp:lastModifiedBy>
  <cp:revision>1</cp:revision>
  <dcterms:created xsi:type="dcterms:W3CDTF">2025-07-18T09:48:00Z</dcterms:created>
  <dcterms:modified xsi:type="dcterms:W3CDTF">2025-07-18T09:49:00Z</dcterms:modified>
</cp:coreProperties>
</file>