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097A" w14:textId="46126D55" w:rsidR="00FC1FE6" w:rsidRPr="00FC1FE6" w:rsidRDefault="00FC1FE6" w:rsidP="00FC1FE6">
      <w:pPr>
        <w:pStyle w:val="OZNPROJEKTUwskazaniedatylubwersjiprojektu"/>
      </w:pPr>
      <w:r w:rsidRPr="00FC1FE6">
        <w:t xml:space="preserve">Projekt z dnia </w:t>
      </w:r>
      <w:r w:rsidR="00D064C0">
        <w:t>2</w:t>
      </w:r>
      <w:r w:rsidR="008859E0">
        <w:t>8</w:t>
      </w:r>
      <w:r w:rsidRPr="00FC1FE6">
        <w:t>.0</w:t>
      </w:r>
      <w:r w:rsidR="00C53AD7">
        <w:t>2</w:t>
      </w:r>
      <w:r w:rsidRPr="00FC1FE6">
        <w:t>.2025 r.</w:t>
      </w:r>
    </w:p>
    <w:p w14:paraId="55B67E3C" w14:textId="77777777" w:rsidR="00FC1FE6" w:rsidRPr="00FC1FE6" w:rsidRDefault="00FC1FE6" w:rsidP="00FC1FE6"/>
    <w:p w14:paraId="5515B9BC" w14:textId="77777777" w:rsidR="00FC1FE6" w:rsidRPr="00FC1FE6" w:rsidRDefault="00FC1FE6" w:rsidP="00FC1FE6">
      <w:pPr>
        <w:pStyle w:val="OZNRODZAKTUtznustawalubrozporzdzenieiorganwydajcy"/>
      </w:pPr>
      <w:r w:rsidRPr="00FC1FE6">
        <w:t xml:space="preserve">UCHWAŁA Nr………. </w:t>
      </w:r>
    </w:p>
    <w:p w14:paraId="3D833764" w14:textId="77777777" w:rsidR="00FC1FE6" w:rsidRPr="00FC1FE6" w:rsidRDefault="00FC1FE6" w:rsidP="00FC1FE6">
      <w:pPr>
        <w:pStyle w:val="OZNRODZAKTUtznustawalubrozporzdzenieiorganwydajcy"/>
      </w:pPr>
      <w:r w:rsidRPr="00FC1FE6">
        <w:t>Rady Ministrów</w:t>
      </w:r>
    </w:p>
    <w:p w14:paraId="6DF0C5DA" w14:textId="77777777" w:rsidR="00FC1FE6" w:rsidRPr="00FC1FE6" w:rsidRDefault="00FC1FE6" w:rsidP="00FC1FE6">
      <w:pPr>
        <w:pStyle w:val="DATAAKTUdatauchwalenialubwydaniaaktu"/>
      </w:pPr>
      <w:r w:rsidRPr="00FC1FE6">
        <w:t xml:space="preserve">z dnia ……………….r. </w:t>
      </w:r>
    </w:p>
    <w:p w14:paraId="17BB7AB2" w14:textId="281FADCA" w:rsidR="00FC1FE6" w:rsidRPr="00FC1FE6" w:rsidRDefault="00FC1FE6" w:rsidP="00021802">
      <w:pPr>
        <w:pStyle w:val="TYTUAKTUprzedmiotregulacjiustawylubrozporzdzenia"/>
      </w:pPr>
      <w:r w:rsidRPr="00FC1FE6">
        <w:t xml:space="preserve">zmieniająca uchwałę w sprawie ustanowienia programu inwestycyjnego pod nazwą „Modernizacja oraz doposażenie infrastruktury strategicznej w Instytucie „Pomnik </w:t>
      </w:r>
      <w:r w:rsidRPr="00FC1FE6">
        <w:sym w:font="Symbol" w:char="F02D"/>
      </w:r>
      <w:r w:rsidRPr="00FC1FE6">
        <w:t xml:space="preserve"> Centrum Zdrowia Dziecka””</w:t>
      </w:r>
    </w:p>
    <w:p w14:paraId="0E5EC0FB" w14:textId="77777777" w:rsidR="00FC1FE6" w:rsidRPr="00FC1FE6" w:rsidRDefault="00FC1FE6" w:rsidP="00FC1FE6">
      <w:pPr>
        <w:pStyle w:val="NIEARTTEKSTtekstnieartykuowanynppodstprawnarozplubpreambua"/>
      </w:pPr>
      <w:r w:rsidRPr="00FC1FE6">
        <w:t>Na podstawie art. 5 ust. 1 ustawy z dnia 7 października 2020 r. o Funduszu Medycznym (Dz. U. z 2024 r. poz. 889) Rada Ministrów uchwala, co następuje:</w:t>
      </w:r>
    </w:p>
    <w:p w14:paraId="641E0724" w14:textId="65F9F0C7" w:rsidR="00FC1FE6" w:rsidRPr="00FC1FE6" w:rsidRDefault="00FC1FE6" w:rsidP="00FC1FE6">
      <w:pPr>
        <w:pStyle w:val="ARTartustawynprozporzdzenia"/>
      </w:pPr>
      <w:r w:rsidRPr="00E55571">
        <w:rPr>
          <w:rStyle w:val="Ppogrubienie"/>
        </w:rPr>
        <w:t>§ 1.</w:t>
      </w:r>
      <w:r w:rsidRPr="00FC1FE6">
        <w:t xml:space="preserve"> W uchwale nr 125 Rady Ministrów z dnia 5 lipca 2023 r. w sprawie ustanowienia programu inwestycyjnego pod nazwą „Modernizacja oraz doposażenie infrastruktury strategicznej w Instytucie „Pomnik </w:t>
      </w:r>
      <w:r w:rsidRPr="00FC1FE6">
        <w:sym w:font="Symbol" w:char="F02D"/>
      </w:r>
      <w:r w:rsidRPr="00FC1FE6">
        <w:t xml:space="preserve"> Centrum Zdrowia Dziecka”” (M.P. poz. 772), w</w:t>
      </w:r>
      <w:r w:rsidR="00B226C4">
        <w:t> </w:t>
      </w:r>
      <w:r w:rsidRPr="00FC1FE6">
        <w:t>załącznik</w:t>
      </w:r>
      <w:r w:rsidR="009A3F85">
        <w:t>ach</w:t>
      </w:r>
      <w:r w:rsidRPr="00FC1FE6">
        <w:t xml:space="preserve"> do uchwały:</w:t>
      </w:r>
    </w:p>
    <w:p w14:paraId="6F04E57D" w14:textId="4096DCA8" w:rsidR="00FC1FE6" w:rsidRPr="00FC1FE6" w:rsidRDefault="00FC1FE6" w:rsidP="00C43F4A">
      <w:pPr>
        <w:pStyle w:val="PKTpunkt"/>
      </w:pPr>
      <w:r>
        <w:t>1)</w:t>
      </w:r>
      <w:r w:rsidR="00C43F4A">
        <w:tab/>
      </w:r>
      <w:r w:rsidRPr="00FC1FE6">
        <w:t>spis treści</w:t>
      </w:r>
      <w:r w:rsidRPr="006E3469">
        <w:t xml:space="preserve"> otrzymuje brzmienie określone w załączniku nr 1 do niniejszej uchwały;</w:t>
      </w:r>
    </w:p>
    <w:p w14:paraId="29E4DE74" w14:textId="581762CD" w:rsidR="00FC1FE6" w:rsidRPr="00FC1FE6" w:rsidRDefault="00021802" w:rsidP="00E55571">
      <w:pPr>
        <w:pStyle w:val="PKTpunkt"/>
      </w:pPr>
      <w:r>
        <w:t>2)</w:t>
      </w:r>
      <w:r w:rsidR="00C43F4A">
        <w:tab/>
      </w:r>
      <w:r w:rsidR="00FC1FE6" w:rsidRPr="00FC1FE6">
        <w:t xml:space="preserve">w rozdziale 6 „Opis inwestycji” część rozpoczynająca się wyrazami „Inwestycja pn.: „Modernizacja oraz doposażenie infrastruktury strategicznej w Instytucie „Pomnik </w:t>
      </w:r>
      <w:r w:rsidR="00FC1FE6" w:rsidRPr="00FC1FE6">
        <w:sym w:font="Symbol" w:char="F02D"/>
      </w:r>
      <w:r w:rsidR="00FC1FE6" w:rsidRPr="00FC1FE6">
        <w:t xml:space="preserve"> Centrum Zdrowia Dziecka”””, poprzedzająca podrozdział 6.1. „Cel główny inwestycji i</w:t>
      </w:r>
      <w:r w:rsidR="00B226C4">
        <w:t> </w:t>
      </w:r>
      <w:r w:rsidR="00FC1FE6" w:rsidRPr="00FC1FE6">
        <w:t>cele szczegółowe służące do realizacji celu” otrzymuje brzmienie określone w załączniku nr 2 do niniejszej uchwały;</w:t>
      </w:r>
    </w:p>
    <w:p w14:paraId="4C36CD4D" w14:textId="01B5980B" w:rsidR="00FC1FE6" w:rsidRDefault="00021802" w:rsidP="00D15D94">
      <w:pPr>
        <w:pStyle w:val="PKTpunkt"/>
      </w:pPr>
      <w:r>
        <w:t>3)</w:t>
      </w:r>
      <w:r w:rsidR="00C43F4A">
        <w:tab/>
      </w:r>
      <w:r w:rsidR="00FC1FE6" w:rsidRPr="00FC1FE6">
        <w:t xml:space="preserve">rozdział 7 </w:t>
      </w:r>
      <w:bookmarkStart w:id="0" w:name="_Hlk188364468"/>
      <w:r w:rsidR="00FC1FE6" w:rsidRPr="00FC1FE6">
        <w:t>„</w:t>
      </w:r>
      <w:bookmarkEnd w:id="0"/>
      <w:r w:rsidR="00FC1FE6" w:rsidRPr="00FC1FE6">
        <w:t>Zakres rzeczowo-finansowy inwestycji</w:t>
      </w:r>
      <w:bookmarkStart w:id="1" w:name="_Hlk188364478"/>
      <w:r w:rsidR="00FC1FE6" w:rsidRPr="00FC1FE6">
        <w:t>”</w:t>
      </w:r>
      <w:bookmarkEnd w:id="1"/>
      <w:r w:rsidR="00FC1FE6" w:rsidRPr="00FC1FE6">
        <w:t xml:space="preserve"> i rozdział 8 „Prognozowane mierniki stopnia inwestycji” otrzymują brzmienie określone w załączniku nr 3 do niniejszej uchwały</w:t>
      </w:r>
      <w:r w:rsidR="00ED6DA2">
        <w:t>;</w:t>
      </w:r>
    </w:p>
    <w:p w14:paraId="78EAF88E" w14:textId="69934309" w:rsidR="00251053" w:rsidRDefault="00D15D94" w:rsidP="00ED6DA2">
      <w:pPr>
        <w:pStyle w:val="PKTpunkt"/>
      </w:pPr>
      <w:r>
        <w:t>4)</w:t>
      </w:r>
      <w:r>
        <w:tab/>
        <w:t xml:space="preserve">w rozdziale 10 </w:t>
      </w:r>
      <w:r w:rsidRPr="00D15D94">
        <w:t>„</w:t>
      </w:r>
      <w:r w:rsidR="008F6753" w:rsidRPr="008F6753">
        <w:t>Ocena efektywności inwestycji</w:t>
      </w:r>
      <w:bookmarkStart w:id="2" w:name="_Hlk188364566"/>
      <w:r w:rsidRPr="00D15D94">
        <w:t>”</w:t>
      </w:r>
      <w:bookmarkEnd w:id="2"/>
      <w:r>
        <w:t xml:space="preserve"> </w:t>
      </w:r>
      <w:bookmarkStart w:id="3" w:name="_Hlk188365215"/>
      <w:r w:rsidR="00410523">
        <w:t xml:space="preserve">wyrazy </w:t>
      </w:r>
      <w:r w:rsidR="00C80B72" w:rsidRPr="00C80B72">
        <w:t>„</w:t>
      </w:r>
      <w:r w:rsidR="00197CC5" w:rsidRPr="00197CC5">
        <w:t xml:space="preserve">Tabela </w:t>
      </w:r>
      <w:r w:rsidR="00BF1581">
        <w:t>1</w:t>
      </w:r>
      <w:r w:rsidR="00664330">
        <w:t>0</w:t>
      </w:r>
      <w:r w:rsidR="00A274F2" w:rsidRPr="00A274F2">
        <w:t>”</w:t>
      </w:r>
      <w:r w:rsidR="00BF1581">
        <w:t xml:space="preserve"> zastępuje się wyrazami </w:t>
      </w:r>
      <w:r w:rsidR="00A274F2" w:rsidRPr="00A274F2">
        <w:t>„</w:t>
      </w:r>
      <w:r w:rsidR="00BF1581">
        <w:t>Tabela</w:t>
      </w:r>
      <w:r w:rsidR="00A274F2">
        <w:t xml:space="preserve"> </w:t>
      </w:r>
      <w:r w:rsidR="00C80B72">
        <w:t>6</w:t>
      </w:r>
      <w:bookmarkStart w:id="4" w:name="_Hlk188364611"/>
      <w:r w:rsidR="00C80B72" w:rsidRPr="00C80B72">
        <w:t>”</w:t>
      </w:r>
      <w:bookmarkEnd w:id="4"/>
      <w:r w:rsidR="00C80B72">
        <w:t>;</w:t>
      </w:r>
    </w:p>
    <w:bookmarkEnd w:id="3"/>
    <w:p w14:paraId="390F15EE" w14:textId="1F3A18CF" w:rsidR="00566183" w:rsidRDefault="00C80B72">
      <w:pPr>
        <w:pStyle w:val="PKTpunkt"/>
      </w:pPr>
      <w:r>
        <w:t>5)</w:t>
      </w:r>
      <w:r>
        <w:tab/>
        <w:t xml:space="preserve">w rozdziale 11 </w:t>
      </w:r>
      <w:r w:rsidRPr="00C80B72">
        <w:t>„</w:t>
      </w:r>
      <w:r w:rsidR="003241F5" w:rsidRPr="003241F5">
        <w:t xml:space="preserve"> Analiza celowości i możliwości wykonania inwestycji etapami</w:t>
      </w:r>
      <w:r w:rsidRPr="00C80B72">
        <w:t>”</w:t>
      </w:r>
      <w:r>
        <w:t>:</w:t>
      </w:r>
      <w:r w:rsidR="003241F5">
        <w:t xml:space="preserve"> </w:t>
      </w:r>
    </w:p>
    <w:p w14:paraId="5D1463C9" w14:textId="7AF6A620" w:rsidR="00A274F2" w:rsidRDefault="00C80B72" w:rsidP="00C80B72">
      <w:pPr>
        <w:pStyle w:val="LITlitera"/>
      </w:pPr>
      <w:r>
        <w:t>a)</w:t>
      </w:r>
      <w:r>
        <w:tab/>
      </w:r>
      <w:r w:rsidR="00A274F2" w:rsidRPr="00A274F2">
        <w:t xml:space="preserve">wyrazy „Tabela nr 11” zastępuje się wyrazami „Tabela </w:t>
      </w:r>
      <w:r w:rsidR="00FC45D8">
        <w:t>7</w:t>
      </w:r>
      <w:r w:rsidR="00A274F2" w:rsidRPr="00A274F2">
        <w:t>”</w:t>
      </w:r>
      <w:r w:rsidR="00A45957">
        <w:t>,</w:t>
      </w:r>
    </w:p>
    <w:p w14:paraId="3A78FE44" w14:textId="1B9E207B" w:rsidR="00566183" w:rsidRPr="00FC1FE6" w:rsidRDefault="00FC45D8" w:rsidP="00E55571">
      <w:pPr>
        <w:pStyle w:val="LITlitera"/>
      </w:pPr>
      <w:r>
        <w:t>b)</w:t>
      </w:r>
      <w:r>
        <w:tab/>
      </w:r>
      <w:r w:rsidR="00A274F2" w:rsidRPr="00A274F2">
        <w:t>wyrazy „Tabela nr 1</w:t>
      </w:r>
      <w:r>
        <w:t>2</w:t>
      </w:r>
      <w:r w:rsidR="00A274F2" w:rsidRPr="00A274F2">
        <w:t xml:space="preserve">” zastępuje się wyrazami „Tabela </w:t>
      </w:r>
      <w:r>
        <w:t>8</w:t>
      </w:r>
      <w:r w:rsidR="00A274F2" w:rsidRPr="00A274F2">
        <w:t>”</w:t>
      </w:r>
      <w:r w:rsidR="00664330">
        <w:t>.</w:t>
      </w:r>
    </w:p>
    <w:p w14:paraId="1891ABA7" w14:textId="77777777" w:rsidR="00B226C4" w:rsidRDefault="00B226C4" w:rsidP="00FC1FE6">
      <w:pPr>
        <w:pStyle w:val="ARTartustawynprozporzdzenia"/>
        <w:rPr>
          <w:rStyle w:val="Ppogrubienie"/>
        </w:rPr>
      </w:pPr>
    </w:p>
    <w:p w14:paraId="3BF24572" w14:textId="77777777" w:rsidR="00B226C4" w:rsidRDefault="00B226C4" w:rsidP="00FC1FE6">
      <w:pPr>
        <w:pStyle w:val="ARTartustawynprozporzdzenia"/>
        <w:rPr>
          <w:rStyle w:val="Ppogrubienie"/>
        </w:rPr>
      </w:pPr>
    </w:p>
    <w:p w14:paraId="6D6ECF8C" w14:textId="4B6D5211" w:rsidR="00FC1FE6" w:rsidRPr="00FC1FE6" w:rsidRDefault="00FC1FE6" w:rsidP="00FC1FE6">
      <w:pPr>
        <w:pStyle w:val="ARTartustawynprozporzdzenia"/>
      </w:pPr>
      <w:r w:rsidRPr="00E55571">
        <w:rPr>
          <w:rStyle w:val="Ppogrubienie"/>
        </w:rPr>
        <w:t>§ 2.</w:t>
      </w:r>
      <w:r w:rsidRPr="00FC1FE6">
        <w:t xml:space="preserve"> Uchwała wchodzi w życie z dniem następującym po dniu ogłoszenia.</w:t>
      </w:r>
    </w:p>
    <w:p w14:paraId="4F1D2020" w14:textId="77777777" w:rsidR="00FC1FE6" w:rsidRPr="00FC1FE6" w:rsidRDefault="00FC1FE6" w:rsidP="00FC1FE6">
      <w:pPr>
        <w:pStyle w:val="ARTartustawynprozporzdzenia"/>
      </w:pPr>
    </w:p>
    <w:p w14:paraId="0D8977A6" w14:textId="77777777" w:rsidR="00FC1FE6" w:rsidRPr="00FC1FE6" w:rsidRDefault="00FC1FE6" w:rsidP="00FC1FE6">
      <w:pPr>
        <w:pStyle w:val="NAZORGWYDnazwaorganuwydajcegoprojektowanyakt"/>
      </w:pPr>
      <w:r w:rsidRPr="00FC1FE6">
        <w:t>prezes rady ministrów</w:t>
      </w:r>
    </w:p>
    <w:p w14:paraId="6DBFC616" w14:textId="77777777" w:rsidR="00FC1FE6" w:rsidRPr="00FC1FE6" w:rsidRDefault="00FC1FE6" w:rsidP="00FC1FE6"/>
    <w:p w14:paraId="711F2F54" w14:textId="77777777" w:rsidR="00FC1FE6" w:rsidRPr="00FC1FE6" w:rsidRDefault="00FC1FE6" w:rsidP="00FC1FE6">
      <w:r w:rsidRPr="00FC1FE6">
        <w:br w:type="page"/>
      </w:r>
    </w:p>
    <w:p w14:paraId="24C1EDCE" w14:textId="60AC75C1" w:rsidR="00FC1FE6" w:rsidRPr="00FC1FE6" w:rsidRDefault="00FC1FE6" w:rsidP="00E46C9A">
      <w:pPr>
        <w:pStyle w:val="TYTUAKTUprzedmiotregulacjiustawylubrozporzdzenia"/>
      </w:pPr>
      <w:r w:rsidRPr="00FC1FE6">
        <w:t>UZASADNIENIE</w:t>
      </w:r>
    </w:p>
    <w:p w14:paraId="3ECCB4D4" w14:textId="3D6017C7" w:rsidR="00FC1FE6" w:rsidRPr="00FC1FE6" w:rsidRDefault="00FC1FE6" w:rsidP="00FC1FE6">
      <w:pPr>
        <w:pStyle w:val="NIEARTTEKSTtekstnieartykuowanynppodstprawnarozplubpreambua"/>
      </w:pPr>
      <w:r w:rsidRPr="00FC1FE6">
        <w:t xml:space="preserve">Celem projektowanej uchwały Rady Ministrów jest zmiana Programu inwestycyjnego pod nazwą „Modernizacja oraz doposażenie infrastruktury strategicznej w Instytucie „Pomnik </w:t>
      </w:r>
      <w:r w:rsidR="0081598C">
        <w:t>–</w:t>
      </w:r>
      <w:r w:rsidRPr="00FC1FE6">
        <w:t xml:space="preserve"> Centrum Zdrowia Dziecka””, zwanego dalej „Programem inwestycyjnym”, przyjętego uchwałą nr 125 Rady Ministrów z dnia 5 lipca 2023 r. w sprawie ustanowienia programu inwestycyjnego pod nazwą „Modernizacja oraz doposażenie infrastruktury strategicznej w</w:t>
      </w:r>
      <w:r w:rsidR="00D079F3">
        <w:t> </w:t>
      </w:r>
      <w:r w:rsidRPr="00FC1FE6">
        <w:t xml:space="preserve">Instytucie „Pomnik </w:t>
      </w:r>
      <w:r w:rsidRPr="00FC1FE6">
        <w:sym w:font="Symbol" w:char="F02D"/>
      </w:r>
      <w:r w:rsidRPr="00FC1FE6">
        <w:t xml:space="preserve"> Centrum Zdrowia Dziecka”” (M.P. poz.</w:t>
      </w:r>
      <w:r w:rsidR="0081598C">
        <w:t xml:space="preserve"> </w:t>
      </w:r>
      <w:r w:rsidRPr="00FC1FE6">
        <w:t xml:space="preserve">772), zwaną dalej „uchwałą Rady Ministrów”, </w:t>
      </w:r>
      <w:r w:rsidR="00186154" w:rsidRPr="00FC1FE6">
        <w:t xml:space="preserve">jest </w:t>
      </w:r>
      <w:r w:rsidRPr="00FC1FE6">
        <w:t>związana z koniecznością:</w:t>
      </w:r>
    </w:p>
    <w:p w14:paraId="4E41FD4F" w14:textId="4DB42E00" w:rsidR="00FC1FE6" w:rsidRPr="00FC1FE6" w:rsidRDefault="007152DB" w:rsidP="007152DB">
      <w:pPr>
        <w:pStyle w:val="PKTpunkt"/>
      </w:pPr>
      <w:r>
        <w:t>1)</w:t>
      </w:r>
      <w:r w:rsidR="00D079F3">
        <w:tab/>
      </w:r>
      <w:r>
        <w:t xml:space="preserve"> </w:t>
      </w:r>
      <w:r w:rsidR="00FC1FE6" w:rsidRPr="00FC1FE6">
        <w:t xml:space="preserve">zmiany nazw komórek organizacyjnych Instytutu „Pomnik </w:t>
      </w:r>
      <w:r w:rsidR="00FC1FE6" w:rsidRPr="00FC1FE6">
        <w:sym w:font="Symbol" w:char="F02D"/>
      </w:r>
      <w:r w:rsidR="0081598C">
        <w:t xml:space="preserve"> </w:t>
      </w:r>
      <w:r w:rsidR="00FC1FE6" w:rsidRPr="00FC1FE6">
        <w:t xml:space="preserve">Centrum Zdrowia </w:t>
      </w:r>
      <w:r>
        <w:t xml:space="preserve">    </w:t>
      </w:r>
      <w:r w:rsidR="00FC1FE6" w:rsidRPr="00FC1FE6">
        <w:t>Dziecka”, zwanego dalej „IPCZD”, objętych inwestycją:</w:t>
      </w:r>
    </w:p>
    <w:p w14:paraId="0BCEDDEB" w14:textId="5E014945" w:rsidR="00FC1FE6" w:rsidRPr="00FC1FE6" w:rsidRDefault="007152DB" w:rsidP="00E55571">
      <w:pPr>
        <w:pStyle w:val="LITlitera"/>
      </w:pPr>
      <w:r>
        <w:t>a)</w:t>
      </w:r>
      <w:r w:rsidR="00D079F3">
        <w:tab/>
      </w:r>
      <w:r w:rsidR="00FC1FE6" w:rsidRPr="00FC1FE6">
        <w:t>Pracownia Histopatologii (aktualnie – Pracownia Diagnostyki Histo i Cytopatologicznej),</w:t>
      </w:r>
    </w:p>
    <w:p w14:paraId="79C07F2F" w14:textId="1C24DCA5" w:rsidR="00FC1FE6" w:rsidRPr="00FC1FE6" w:rsidRDefault="007152DB" w:rsidP="00E55571">
      <w:pPr>
        <w:pStyle w:val="LITlitera"/>
      </w:pPr>
      <w:r>
        <w:t>b)</w:t>
      </w:r>
      <w:r w:rsidR="00D079F3">
        <w:tab/>
      </w:r>
      <w:r w:rsidR="00FC1FE6" w:rsidRPr="00FC1FE6">
        <w:t xml:space="preserve">Pracownia Immunohistochemii i Technik Specjalnych </w:t>
      </w:r>
      <w:r>
        <w:t xml:space="preserve"> </w:t>
      </w:r>
      <w:r w:rsidR="00FC1FE6" w:rsidRPr="00FC1FE6">
        <w:t>(aktualnie – Pracownia Immunologii),</w:t>
      </w:r>
    </w:p>
    <w:p w14:paraId="5E5EB433" w14:textId="33A4F8A7" w:rsidR="00FC1FE6" w:rsidRPr="00FC1FE6" w:rsidRDefault="007152DB" w:rsidP="00E55571">
      <w:pPr>
        <w:pStyle w:val="LITlitera"/>
      </w:pPr>
      <w:r>
        <w:t>c)</w:t>
      </w:r>
      <w:r w:rsidR="00D079F3">
        <w:tab/>
      </w:r>
      <w:r w:rsidR="00FC1FE6" w:rsidRPr="00FC1FE6">
        <w:t>Pracownia Onkogenetyki Dziecięcej (aktualnie – Pracownia Onkopatologii i Biostruktury Medycznej),</w:t>
      </w:r>
    </w:p>
    <w:p w14:paraId="7234020F" w14:textId="78033CCF" w:rsidR="00FC1FE6" w:rsidRPr="00FC1FE6" w:rsidRDefault="007152DB" w:rsidP="00E55571">
      <w:pPr>
        <w:pStyle w:val="LITlitera"/>
      </w:pPr>
      <w:r>
        <w:t>d)</w:t>
      </w:r>
      <w:r w:rsidR="00D079F3">
        <w:tab/>
      </w:r>
      <w:r w:rsidR="00FC1FE6" w:rsidRPr="00FC1FE6">
        <w:t>Pracownia Terapii Monitorowanej, Farmakokinetyki Klinicznej i Toksykologii</w:t>
      </w:r>
      <w:r w:rsidR="009E2E68">
        <w:t xml:space="preserve"> </w:t>
      </w:r>
      <w:r w:rsidR="00FC1FE6" w:rsidRPr="00FC1FE6">
        <w:t>(aktualnie – Pracownia Farmakokinetyki),</w:t>
      </w:r>
    </w:p>
    <w:p w14:paraId="3F2BA681" w14:textId="64F04B43" w:rsidR="00FC1FE6" w:rsidRPr="00FC1FE6" w:rsidRDefault="007152DB" w:rsidP="00E55571">
      <w:pPr>
        <w:pStyle w:val="LITlitera"/>
      </w:pPr>
      <w:r>
        <w:t>e)</w:t>
      </w:r>
      <w:r w:rsidR="009E2E68">
        <w:tab/>
      </w:r>
      <w:r w:rsidR="00FC1FE6" w:rsidRPr="00FC1FE6">
        <w:t>Pracownia Diagnostyki Zaburzeń Metabolizmu i Steroidogenezy (aktualnie – Pracownia Hormonów Steroidowych i Zaburzeń Metabolizmu),</w:t>
      </w:r>
    </w:p>
    <w:p w14:paraId="698E366A" w14:textId="7A56D30E" w:rsidR="00FC1FE6" w:rsidRPr="00FC1FE6" w:rsidRDefault="007152DB" w:rsidP="00E55571">
      <w:pPr>
        <w:pStyle w:val="LITlitera"/>
      </w:pPr>
      <w:r>
        <w:t>f)</w:t>
      </w:r>
      <w:r w:rsidR="009E2E68">
        <w:tab/>
      </w:r>
      <w:r w:rsidR="00FC1FE6" w:rsidRPr="00FC1FE6">
        <w:t>Pracownia Immunochemii i Alergologii Klinicznej (aktualnie – Pracownia Radioimmunologii i Medycyny Doświadczalnej),</w:t>
      </w:r>
    </w:p>
    <w:p w14:paraId="6390DC21" w14:textId="0E6439C6" w:rsidR="00FC1FE6" w:rsidRPr="00FC1FE6" w:rsidRDefault="007152DB" w:rsidP="00E55571">
      <w:pPr>
        <w:pStyle w:val="LITlitera"/>
      </w:pPr>
      <w:r>
        <w:t>g)</w:t>
      </w:r>
      <w:r w:rsidR="009E2E68">
        <w:tab/>
      </w:r>
      <w:r w:rsidR="00FC1FE6" w:rsidRPr="00FC1FE6">
        <w:t>Oddział Otolaryngologii, Audiologii i Foniatrii (aktualnie – Oddział Audiologii i</w:t>
      </w:r>
      <w:r w:rsidR="00E55571">
        <w:t> </w:t>
      </w:r>
      <w:r w:rsidR="00FC1FE6" w:rsidRPr="00FC1FE6">
        <w:t>Foniatrii; Oddział Otolaryngologii);</w:t>
      </w:r>
    </w:p>
    <w:p w14:paraId="4759BE7F" w14:textId="1387C75D" w:rsidR="00FC1FE6" w:rsidRPr="00FC1FE6" w:rsidRDefault="007152DB" w:rsidP="009E2E68">
      <w:pPr>
        <w:pStyle w:val="PKTpunkt"/>
      </w:pPr>
      <w:r>
        <w:t>2)</w:t>
      </w:r>
      <w:r w:rsidR="009E2E68">
        <w:tab/>
      </w:r>
      <w:r w:rsidR="00FC1FE6" w:rsidRPr="00FC1FE6">
        <w:t>zmiany harmonogramu finansowania ze środków Funduszu Medycznego w</w:t>
      </w:r>
      <w:r w:rsidR="009E2E68">
        <w:t> </w:t>
      </w:r>
      <w:r w:rsidR="00FC1FE6" w:rsidRPr="00FC1FE6">
        <w:t>poszczególnych latach (bez zmiany łącznej wysokości dofinansowania Programu inwestycyjnego 295 311 890 zł) w:</w:t>
      </w:r>
    </w:p>
    <w:p w14:paraId="58EDE62D" w14:textId="5296659B" w:rsidR="00FC1FE6" w:rsidRPr="00FC1FE6" w:rsidRDefault="007152DB" w:rsidP="00E55571">
      <w:pPr>
        <w:pStyle w:val="LITlitera"/>
      </w:pPr>
      <w:r>
        <w:t>a)</w:t>
      </w:r>
      <w:r w:rsidR="009E2E68">
        <w:tab/>
      </w:r>
      <w:r w:rsidR="00FC1FE6" w:rsidRPr="00FC1FE6">
        <w:t>2023 r. – 0 zł (aktualnie 15 011 065 zł – zmniejszenie o 15 011 065 zł),</w:t>
      </w:r>
    </w:p>
    <w:p w14:paraId="39A43699" w14:textId="0C846339" w:rsidR="00FC1FE6" w:rsidRPr="00FC1FE6" w:rsidRDefault="007152DB" w:rsidP="00E55571">
      <w:pPr>
        <w:pStyle w:val="LITlitera"/>
      </w:pPr>
      <w:r>
        <w:t>b)</w:t>
      </w:r>
      <w:r w:rsidR="009E2E68">
        <w:tab/>
      </w:r>
      <w:r w:rsidR="009E2E68">
        <w:tab/>
      </w:r>
      <w:r w:rsidR="00FC1FE6" w:rsidRPr="00FC1FE6">
        <w:t>2024 r. – 46 510 423,69 zł (aktualnie 107 040 219 zł – zmniejszenie o 60 529 795,31 zł),</w:t>
      </w:r>
    </w:p>
    <w:p w14:paraId="6BCF54C9" w14:textId="0E6BA4A9" w:rsidR="00FC1FE6" w:rsidRPr="00FC1FE6" w:rsidRDefault="007152DB" w:rsidP="00E55571">
      <w:pPr>
        <w:pStyle w:val="LITlitera"/>
      </w:pPr>
      <w:r>
        <w:t>c)</w:t>
      </w:r>
      <w:r w:rsidR="00343055">
        <w:tab/>
      </w:r>
      <w:r w:rsidR="00FC1FE6" w:rsidRPr="00FC1FE6">
        <w:t>2025 r. – 113 501 992,03 zł (aktualnie 86 769 504 zł – zwiększenie o 26 732 488,03 zł),</w:t>
      </w:r>
    </w:p>
    <w:p w14:paraId="0BF48E9F" w14:textId="4965D4C8" w:rsidR="00FC1FE6" w:rsidRPr="00FC1FE6" w:rsidRDefault="007152DB" w:rsidP="00E55571">
      <w:pPr>
        <w:pStyle w:val="LITlitera"/>
      </w:pPr>
      <w:r>
        <w:t>d)</w:t>
      </w:r>
      <w:r w:rsidR="00343055">
        <w:tab/>
      </w:r>
      <w:r w:rsidR="00FC1FE6" w:rsidRPr="00FC1FE6">
        <w:t>2026 r. – 108 213 341 zł (aktualnie 65 719 866 zł – zwiększenie o 42 493 475 zł),</w:t>
      </w:r>
    </w:p>
    <w:p w14:paraId="401016F2" w14:textId="62A0CB68" w:rsidR="00FC1FE6" w:rsidRPr="00FC1FE6" w:rsidRDefault="007152DB" w:rsidP="00E55571">
      <w:pPr>
        <w:pStyle w:val="LITlitera"/>
      </w:pPr>
      <w:r>
        <w:t>e)</w:t>
      </w:r>
      <w:r w:rsidR="00343055">
        <w:tab/>
      </w:r>
      <w:r w:rsidR="00FC1FE6" w:rsidRPr="00FC1FE6">
        <w:t>2027 r. – 27 086 133,28 zł (aktualnie 20 771 236 zł – zwiększenie o 6 314 897,28 zł);</w:t>
      </w:r>
    </w:p>
    <w:p w14:paraId="444D09B2" w14:textId="6C821A08" w:rsidR="00FC1FE6" w:rsidRPr="00FC1FE6" w:rsidRDefault="007152DB" w:rsidP="006F3307">
      <w:pPr>
        <w:pStyle w:val="PKTpunkt"/>
      </w:pPr>
      <w:r>
        <w:t>3)</w:t>
      </w:r>
      <w:r w:rsidR="00343055">
        <w:tab/>
      </w:r>
      <w:r w:rsidR="00FC1FE6" w:rsidRPr="006F3307">
        <w:t>usprawnienia</w:t>
      </w:r>
      <w:r w:rsidR="00FC1FE6" w:rsidRPr="00FC1FE6">
        <w:t xml:space="preserve"> realizacji Programu inwestycyjnego.</w:t>
      </w:r>
    </w:p>
    <w:p w14:paraId="5A79CBF4" w14:textId="562D96B9" w:rsidR="00FC1FE6" w:rsidRPr="00FC1FE6" w:rsidRDefault="00FC1FE6" w:rsidP="00FC1FE6">
      <w:pPr>
        <w:pStyle w:val="NIEARTTEKSTtekstnieartykuowanynppodstprawnarozplubpreambua"/>
      </w:pPr>
      <w:r w:rsidRPr="00FC1FE6">
        <w:t>Zmiany nazw komórek organizacyjnych w IPCZD, wynikają z obowiązujących zarządzeń Dyrektora IPCZD. Zmiany te mają charakter porządkowy i nie wpływają na żadne ograniczenia w prowadzonej przez IPCZD działalności. Z punktu widzenia Programu inwestycyjnego również nie zachodzą żadne zmiany dotyczące zakresu projektu zarówno w</w:t>
      </w:r>
      <w:r w:rsidR="00756D6D">
        <w:t> </w:t>
      </w:r>
      <w:r w:rsidRPr="00FC1FE6">
        <w:t>ujęciu zakresu rzeczowego prac remontowo-budowlanych, jak i planowanego do wymiany wyposażenia.</w:t>
      </w:r>
    </w:p>
    <w:p w14:paraId="0D9224C3" w14:textId="3CD10D3B" w:rsidR="00FC1FE6" w:rsidRPr="00FC1FE6" w:rsidRDefault="00FC1FE6" w:rsidP="00FC1FE6">
      <w:pPr>
        <w:pStyle w:val="NIEARTTEKSTtekstnieartykuowanynppodstprawnarozplubpreambua"/>
      </w:pPr>
      <w:r w:rsidRPr="00FC1FE6">
        <w:t xml:space="preserve">Zmiana </w:t>
      </w:r>
      <w:r w:rsidR="00756D6D">
        <w:t xml:space="preserve">harmonogramu </w:t>
      </w:r>
      <w:r w:rsidRPr="00FC1FE6">
        <w:t>finansowania Programu inwestycyjnego wynika z</w:t>
      </w:r>
      <w:r w:rsidR="00756D6D">
        <w:t> </w:t>
      </w:r>
      <w:r w:rsidRPr="00FC1FE6">
        <w:t xml:space="preserve">niewykorzystania środków udzielonej w 2023 r. dotacji celowej w wysokości 15 011 065 zł, spowodowanego m. in.  przedłużającą się procedurą związaną z postępowaniem przetargowym, </w:t>
      </w:r>
      <w:bookmarkStart w:id="5" w:name="_Hlk184819373"/>
      <w:r w:rsidRPr="00FC1FE6">
        <w:t xml:space="preserve"> zgodnym z ustawą z dnia 11 września 2019 r. </w:t>
      </w:r>
      <w:r w:rsidRPr="00FC1FE6">
        <w:sym w:font="Symbol" w:char="F02D"/>
      </w:r>
      <w:r w:rsidRPr="00FC1FE6">
        <w:t xml:space="preserve"> Prawo zamówień publicznych (Dz. U. z 2024</w:t>
      </w:r>
      <w:r w:rsidR="0096048F">
        <w:t> </w:t>
      </w:r>
      <w:r w:rsidRPr="00FC1FE6">
        <w:t xml:space="preserve">r. poz. 1320), </w:t>
      </w:r>
      <w:bookmarkEnd w:id="5"/>
      <w:r w:rsidRPr="00FC1FE6">
        <w:t>na wykończenie i wyposażenie Centrum Psychiatrii i Onkologii. Z uwagi na procedury wyłonienie wykonawcy możliwe było dopiero w styczniu 2024 r.</w:t>
      </w:r>
    </w:p>
    <w:p w14:paraId="3A990D81" w14:textId="77777777" w:rsidR="00FC1FE6" w:rsidRPr="00FC1FE6" w:rsidRDefault="00FC1FE6" w:rsidP="00FC1FE6">
      <w:pPr>
        <w:pStyle w:val="NIEARTTEKSTtekstnieartykuowanynppodstprawnarozplubpreambua"/>
      </w:pPr>
      <w:r w:rsidRPr="00FC1FE6">
        <w:t xml:space="preserve">Powyższe problemy dotyczą również realizacji zadania nr 1 </w:t>
      </w:r>
      <w:r w:rsidRPr="00FC1FE6">
        <w:sym w:font="Symbol" w:char="F02D"/>
      </w:r>
      <w:r w:rsidRPr="00FC1FE6">
        <w:t xml:space="preserve"> Modernizacja i doposażenie infrastruktury strategicznej IPCZD w 10 budynkach podmiotu leczniczego. Przedłużające się postępowania przetargowe wpłynęły na brak możliwości wydatkowania pełnej kwoty zaplanowanej na 2024 r., tj. 107 040 219 zł.</w:t>
      </w:r>
    </w:p>
    <w:p w14:paraId="1CA7DE57" w14:textId="178A2495" w:rsidR="00FC1FE6" w:rsidRPr="00FC1FE6" w:rsidRDefault="00FC1FE6" w:rsidP="00FC1FE6">
      <w:pPr>
        <w:pStyle w:val="NIEARTTEKSTtekstnieartykuowanynppodstprawnarozplubpreambua"/>
      </w:pPr>
      <w:r w:rsidRPr="00FC1FE6">
        <w:t xml:space="preserve">W celu zapewnienia ciągłości realizacji prac ujętych w Programie inwestycyjnym </w:t>
      </w:r>
      <w:r w:rsidR="00186154" w:rsidRPr="00FC1FE6">
        <w:t xml:space="preserve">jest </w:t>
      </w:r>
      <w:r w:rsidRPr="00FC1FE6">
        <w:t>konieczna zmiana harmonogramu finansowania ze środków Funduszu Medycznego w</w:t>
      </w:r>
      <w:r w:rsidR="0094108D">
        <w:t> </w:t>
      </w:r>
      <w:r w:rsidRPr="00FC1FE6">
        <w:t xml:space="preserve"> latach 2023</w:t>
      </w:r>
      <w:r w:rsidRPr="00FC1FE6">
        <w:sym w:font="Symbol" w:char="F02D"/>
      </w:r>
      <w:r w:rsidRPr="00FC1FE6">
        <w:t xml:space="preserve">2027. </w:t>
      </w:r>
    </w:p>
    <w:p w14:paraId="6F09663A" w14:textId="77777777" w:rsidR="00FC1FE6" w:rsidRPr="00FC1FE6" w:rsidRDefault="00FC1FE6" w:rsidP="00FC1FE6">
      <w:pPr>
        <w:pStyle w:val="NIEARTTEKSTtekstnieartykuowanynppodstprawnarozplubpreambua"/>
      </w:pPr>
      <w:r w:rsidRPr="00FC1FE6">
        <w:t>Całkowita wartość inwestycji nie ulegnie zmianie i wynosi 295 311 890 zł.</w:t>
      </w:r>
    </w:p>
    <w:p w14:paraId="56A3A8DE" w14:textId="742E8EC5" w:rsidR="00FC1FE6" w:rsidRPr="00FC1FE6" w:rsidRDefault="00FC1FE6" w:rsidP="00FC1FE6">
      <w:pPr>
        <w:pStyle w:val="NIEARTTEKSTtekstnieartykuowanynppodstprawnarozplubpreambua"/>
      </w:pPr>
      <w:r w:rsidRPr="00FC1FE6">
        <w:t>Opóźnienia w realizacji prac względem założonego harmonogramu powodują konieczność zmiany w harmonogramie osiągnięcia miernika realizacji inwestycji w</w:t>
      </w:r>
      <w:r w:rsidR="0094108D">
        <w:t> </w:t>
      </w:r>
      <w:r w:rsidRPr="00FC1FE6">
        <w:t>poszczególnych latach.</w:t>
      </w:r>
    </w:p>
    <w:p w14:paraId="5F9238C5" w14:textId="77777777" w:rsidR="00FC1FE6" w:rsidRPr="00FC1FE6" w:rsidRDefault="00FC1FE6" w:rsidP="00FC1FE6">
      <w:pPr>
        <w:pStyle w:val="NIEARTTEKSTtekstnieartykuowanynppodstprawnarozplubpreambua"/>
      </w:pPr>
      <w:r w:rsidRPr="00FC1FE6">
        <w:t xml:space="preserve">Ponadto w ramach zmiany uchwały Rady Ministrów, w celu usprawnienia realizacji inwestycji, zostaną zmienione tabele dotyczące harmonogramu rzeczowo-finansowego oraz mierników. Zmiany polegają na rezygnacji wyodrębniania kosztów inwestycji w poszczególnych grupach kosztów. </w:t>
      </w:r>
    </w:p>
    <w:p w14:paraId="0798BB88" w14:textId="3181F207" w:rsidR="00FC1FE6" w:rsidRPr="00FC1FE6" w:rsidRDefault="00FC1FE6" w:rsidP="00FC1FE6">
      <w:pPr>
        <w:pStyle w:val="NIEARTTEKSTtekstnieartykuowanynppodstprawnarozplubpreambua"/>
      </w:pPr>
      <w:r w:rsidRPr="00FC1FE6">
        <w:t xml:space="preserve">Odejście od takiej szczegółowości w Programie inwestycyjnym jest możliwe dzięki dokumentom stanowiącym załączniki do podpisanej umowy </w:t>
      </w:r>
      <w:r w:rsidR="00A576C0" w:rsidRPr="00A576C0">
        <w:t>nr DOI/FM/SIS/7/100/1156/2023</w:t>
      </w:r>
      <w:r w:rsidR="00A576C0">
        <w:t xml:space="preserve"> </w:t>
      </w:r>
      <w:r w:rsidRPr="00FC1FE6">
        <w:t xml:space="preserve">na udzielenie dotacji celowej na finansowanie Programu inwestycyjnego pn. „Modernizacja oraz doposażenie infrastruktury strategicznej w Instytucie „Pomnik-Centrum Zdrowia Dziecka”, pomiędzy Ministrem Zdrowia a IPCZD. Załączniki zawierają dane w podziale na poszczególne zadania i grupy kosztów. </w:t>
      </w:r>
      <w:r w:rsidR="00186154" w:rsidRPr="00186154">
        <w:t xml:space="preserve">IPCZD </w:t>
      </w:r>
      <w:r w:rsidRPr="00FC1FE6">
        <w:t xml:space="preserve">jest zobowiązany do aktualizacji  informacji okresowych w zakresie zaawansowania inwestycji (raz na kwartał), co umożliwia Ministerstwu Zdrowia szczegółowy i bieżący nadzór nad realizacją Programu inwestycyjnego. </w:t>
      </w:r>
    </w:p>
    <w:p w14:paraId="095EFB58" w14:textId="5638B0B6" w:rsidR="00FC1FE6" w:rsidRPr="00FC1FE6" w:rsidRDefault="00FC1FE6" w:rsidP="00FC1FE6">
      <w:pPr>
        <w:pStyle w:val="NIEARTTEKSTtekstnieartykuowanynppodstprawnarozplubpreambua"/>
      </w:pPr>
      <w:r w:rsidRPr="00FC1FE6">
        <w:t>Takie rozwiązania umożliwią podpisywanie ewentualnych aneksów do umowy nr</w:t>
      </w:r>
      <w:r w:rsidR="00E55571">
        <w:t> </w:t>
      </w:r>
      <w:r w:rsidRPr="00FC1FE6">
        <w:t>DOI/FM/SIS/7/100/1156/2023 na udzielenie dotacji celowej na finansowanie realizacji programu inwestycyjnego pn. „Modernizacja oraz doposażenie infrastruktury strategicznej w</w:t>
      </w:r>
      <w:r w:rsidR="00E55571">
        <w:t> </w:t>
      </w:r>
      <w:r w:rsidRPr="00FC1FE6">
        <w:t xml:space="preserve"> Instytucie „Pomnik</w:t>
      </w:r>
      <w:r w:rsidR="0081598C">
        <w:t xml:space="preserve"> – </w:t>
      </w:r>
      <w:r w:rsidRPr="00FC1FE6">
        <w:t xml:space="preserve">Centrum Zdrowia Dziecka””, zawartej </w:t>
      </w:r>
      <w:r w:rsidR="00230DAB">
        <w:t>w dniu</w:t>
      </w:r>
      <w:r w:rsidR="00230DAB" w:rsidRPr="00FC1FE6">
        <w:t xml:space="preserve"> </w:t>
      </w:r>
      <w:r w:rsidRPr="00FC1FE6">
        <w:t xml:space="preserve">25 września 2023 r., pomiędzy Skarbem Państwa - Ministrem Zdrowia, a IPCZD, w zakresie dotyczących przenoszenia kwot pomiędzy grupami kosztów i pomiędzy zadaniami realizowanymi w Programie inwestycyjnym bez konieczności uruchamiania procesu legislacyjnego zmiany uchwały Rady Ministrów. Przyspieszy to bieżące zarządzanie realizacją inwestycji. W dalszym ciągu </w:t>
      </w:r>
      <w:r w:rsidR="00186154" w:rsidRPr="00FC1FE6">
        <w:t xml:space="preserve">będzie </w:t>
      </w:r>
      <w:r w:rsidRPr="00FC1FE6">
        <w:t>wymagane przeprowadzenie procesu legislacyjnego w sytuacji zmiany źródeł finansowania, zmiany zakresu rzeczowego oraz terminu realizacji Programu inwestycyjnego.</w:t>
      </w:r>
    </w:p>
    <w:p w14:paraId="0B8F4BC9" w14:textId="77777777" w:rsidR="00FC1FE6" w:rsidRPr="00FC1FE6" w:rsidRDefault="00FC1FE6" w:rsidP="00FC1FE6">
      <w:pPr>
        <w:pStyle w:val="NIEARTTEKSTtekstnieartykuowanynppodstprawnarozplubpreambua"/>
      </w:pPr>
      <w:r w:rsidRPr="00FC1FE6">
        <w:t xml:space="preserve">Projektowane zmiany są niezbędne dla prawidłowej realizacji inwestycji oraz osiągnięcia zamierzonych celów, które dla realizacji Programu inwestycyjnego zostały określone jako rozwój i doskonalenie systemu opieki zdrowotnej przez: </w:t>
      </w:r>
    </w:p>
    <w:p w14:paraId="135B27E7" w14:textId="09E4733B" w:rsidR="00FC1FE6" w:rsidRPr="00FC1FE6" w:rsidRDefault="00031BB1" w:rsidP="00E55571">
      <w:pPr>
        <w:pStyle w:val="PKTpunkt"/>
      </w:pPr>
      <w:r>
        <w:t>1)</w:t>
      </w:r>
      <w:r>
        <w:tab/>
      </w:r>
      <w:r w:rsidR="00FC1FE6" w:rsidRPr="00FC1FE6">
        <w:t>zapewnienie wielozakresowej kompleksowej opieki zachowawczo-zabiegowej dla dzieci i młodzieży;</w:t>
      </w:r>
    </w:p>
    <w:p w14:paraId="2B168024" w14:textId="0907D95C" w:rsidR="00FC1FE6" w:rsidRPr="00FC1FE6" w:rsidRDefault="00031BB1" w:rsidP="00E55571">
      <w:pPr>
        <w:pStyle w:val="PKTpunkt"/>
      </w:pPr>
      <w:r>
        <w:t>2)</w:t>
      </w:r>
      <w:r>
        <w:tab/>
      </w:r>
      <w:r w:rsidR="00FC1FE6" w:rsidRPr="00FC1FE6">
        <w:t>zwiększenie dostępności do świadczeń wysokospecjalistycznych w podmiocie leczniczym o  odpowiednim zapleczu kadrowo-diagnostyczno-terapeutycznym;</w:t>
      </w:r>
    </w:p>
    <w:p w14:paraId="193EB9E6" w14:textId="04BC5BB0" w:rsidR="00FC1FE6" w:rsidRPr="00FC1FE6" w:rsidRDefault="00031BB1" w:rsidP="00E55571">
      <w:pPr>
        <w:pStyle w:val="PKTpunkt"/>
      </w:pPr>
      <w:r>
        <w:t>3)</w:t>
      </w:r>
      <w:r>
        <w:tab/>
      </w:r>
      <w:r w:rsidR="00FC1FE6" w:rsidRPr="00FC1FE6">
        <w:t>poprawę warunków lokalowych i rozbudowę bazy dla pediatrii co przyczyni się do skrócenia kolejek na świadczenia opieki zdrowotnej u dzieci z zakresu ambulatoryjnej opieki specjalistycznej, jak i leczenia szpitalnego oraz zapewni szybką i pełną diagnostykę.</w:t>
      </w:r>
    </w:p>
    <w:p w14:paraId="166E77B6" w14:textId="05F4B87C" w:rsidR="00FC1FE6" w:rsidRPr="00FC1FE6" w:rsidRDefault="00FC1FE6" w:rsidP="00FC1FE6">
      <w:pPr>
        <w:pStyle w:val="NIEARTTEKSTtekstnieartykuowanynppodstprawnarozplubpreambua"/>
      </w:pPr>
      <w:r w:rsidRPr="00FC1FE6">
        <w:t>Przewiduje się, że uchwała wejdzie w życie z dniem następującym po dniu ogłoszenia.</w:t>
      </w:r>
      <w:r w:rsidR="00E46C9A">
        <w:t xml:space="preserve"> </w:t>
      </w:r>
      <w:r w:rsidR="00E46C9A" w:rsidRPr="00E46C9A">
        <w:t>Zgodnie z art. 4 ust. 2 ustawy z dnia 20 lipca 2000 r. o ogłaszaniu aktów normatywnych i</w:t>
      </w:r>
      <w:r w:rsidR="00F4544E">
        <w:t> </w:t>
      </w:r>
      <w:r w:rsidR="00E46C9A" w:rsidRPr="00E46C9A">
        <w:t>niektórych innych aktów prawnych (Dz. U. z 2019 r. poz. 1461), w uzasadnionych przypadkach akty normatywne mogą wchodzić w życie w terminie krótszym niż czternaście dni, a jeżeli ważny interes państwa wymaga natychmiastowego wejścia w życie aktu normatywnego i zasady demokratycznego państwa prawnego nie stoją temu na przeszkodzie, dniem wejścia w życie może być dzień ogłoszenia tego aktu w dzienniku urzędowym. Skrócenie terminu wejścia w życie projektowanej regulacji jest niezbędne w celu umożliwienia osiągniecia celów Programu inwestycyjnego. Projektowana uchwała nie nakłada jednocześnie żadnych obowiązków lub ciężarów na obywateli ani na podmioty gospodarcze. Zasady demokratycznego państwa prawnego nie stoją na przeszkodzie takiemu rozwiązaniu.</w:t>
      </w:r>
    </w:p>
    <w:p w14:paraId="57B1E94A" w14:textId="77777777" w:rsidR="00F4544E" w:rsidRPr="00FC1FE6" w:rsidRDefault="00F4544E" w:rsidP="00F4544E">
      <w:pPr>
        <w:pStyle w:val="NIEARTTEKSTtekstnieartykuowanynppodstprawnarozplubpreambua"/>
      </w:pPr>
      <w:r w:rsidRPr="00FC1FE6">
        <w:t xml:space="preserve">Projekt uchwały nie jest sprzeczny z prawem Unii Europejskiej. </w:t>
      </w:r>
    </w:p>
    <w:p w14:paraId="5F4FA35B" w14:textId="77777777" w:rsidR="00F4544E" w:rsidRPr="00FC1FE6" w:rsidRDefault="00F4544E" w:rsidP="00F4544E">
      <w:pPr>
        <w:pStyle w:val="NIEARTTEKSTtekstnieartykuowanynppodstprawnarozplubpreambua"/>
      </w:pPr>
      <w:r w:rsidRPr="00FC1FE6">
        <w:t xml:space="preserve">Projektowana uchwała nie wymaga przedstawienia właściwym organom i instytucjom Unii Europejskiej, w tym Europejskiemu Bankowi Centralnemu, w celu uzyskania opinii, dokonania powiadomienia, konsultacji albo uzgodnienia. </w:t>
      </w:r>
    </w:p>
    <w:p w14:paraId="26F33BB7" w14:textId="77777777" w:rsidR="00FC1FE6" w:rsidRPr="00FC1FE6" w:rsidRDefault="00FC1FE6" w:rsidP="00FC1FE6">
      <w:pPr>
        <w:pStyle w:val="NIEARTTEKSTtekstnieartykuowanynppodstprawnarozplubpreambua"/>
      </w:pPr>
      <w:r w:rsidRPr="00FC1FE6">
        <w:t>Projekt uchwały nie będzie miał wpływu na działalność mikro-, małych i średnich przedsiębiorców.</w:t>
      </w:r>
    </w:p>
    <w:p w14:paraId="5C46909A" w14:textId="77777777" w:rsidR="00FC1FE6" w:rsidRPr="00FC1FE6" w:rsidRDefault="00FC1FE6" w:rsidP="00FC1FE6">
      <w:pPr>
        <w:pStyle w:val="NIEARTTEKSTtekstnieartykuowanynppodstprawnarozplubpreambua"/>
      </w:pPr>
      <w:r w:rsidRPr="00FC1FE6">
        <w:t>Projektowana uchwała nie zawiera przepisów technicznych w rozumieniu przepisów rozporządzenia Rady Ministrów z dnia 23 grudnia 2002 r. w sprawie sposobu funkcjonowania krajowego systemu notyfikacji norm i aktów prawnych (Dz. U. poz. 2039 oraz z 2004 r. poz. 597), w związku z czym nie podlega procedurze notyfikacji.</w:t>
      </w:r>
    </w:p>
    <w:p w14:paraId="1A265BD5" w14:textId="77777777" w:rsidR="00FC1FE6" w:rsidRPr="00FC1FE6" w:rsidRDefault="00FC1FE6" w:rsidP="00FC1FE6">
      <w:pPr>
        <w:pStyle w:val="NIEARTTEKSTtekstnieartykuowanynppodstprawnarozplubpreambua"/>
      </w:pPr>
      <w:r w:rsidRPr="00FC1FE6">
        <w:t xml:space="preserve">Projekt uchwały nie zawiera wymogów nakładanych na usługodawców podlegających notyfikacji, o której mowa w art. 15 ust. 7 i art. 39 ust. 5 dyrektywy 2006/123/WE Parlamentu Europejskiego i Rady z dnia 12 grudnia 2006 r. dotyczącej usług na rynku wewnętrznym (Dz. Urz. UE L 376 z 27.12.2006, str. 36). </w:t>
      </w:r>
    </w:p>
    <w:p w14:paraId="4C9DC5D5" w14:textId="77777777" w:rsidR="00FC1FE6" w:rsidRPr="00FC1FE6" w:rsidRDefault="00FC1FE6" w:rsidP="00FC1FE6">
      <w:pPr>
        <w:pStyle w:val="NIEARTTEKSTtekstnieartykuowanynppodstprawnarozplubpreambua"/>
      </w:pPr>
      <w:r w:rsidRPr="00FC1FE6">
        <w:t>Projekt uchwały nie wywiera wpływu na obszar danych osobowych. W związku z tym, nie przeprowadzono oceny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09017A63" w14:textId="2B4F4147" w:rsidR="00261A16" w:rsidRPr="00737F6A" w:rsidRDefault="00FC1FE6" w:rsidP="00FC1FE6">
      <w:pPr>
        <w:pStyle w:val="NIEARTTEKSTtekstnieartykuowanynppodstprawnarozplubpreambua"/>
      </w:pPr>
      <w:r w:rsidRPr="00FC1FE6">
        <w:t>Jednocześnie należy wskazać, że nie ma możliwości podjęcia alternatywnych, w stosunku do projektu uchwały, środków umożliwiających osiągnięcie zamierzonego celu.</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5A0B" w14:textId="77777777" w:rsidR="001070B0" w:rsidRDefault="001070B0">
      <w:r>
        <w:separator/>
      </w:r>
    </w:p>
  </w:endnote>
  <w:endnote w:type="continuationSeparator" w:id="0">
    <w:p w14:paraId="42AED1A2" w14:textId="77777777" w:rsidR="001070B0" w:rsidRDefault="0010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416B" w14:textId="77777777" w:rsidR="001070B0" w:rsidRDefault="001070B0">
      <w:r>
        <w:separator/>
      </w:r>
    </w:p>
  </w:footnote>
  <w:footnote w:type="continuationSeparator" w:id="0">
    <w:p w14:paraId="23D8C7D6" w14:textId="77777777" w:rsidR="001070B0" w:rsidRDefault="00107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E3FD"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6E667C6"/>
    <w:multiLevelType w:val="hybridMultilevel"/>
    <w:tmpl w:val="2950399E"/>
    <w:lvl w:ilvl="0" w:tplc="FFFFFFFF">
      <w:start w:val="1"/>
      <w:numFmt w:val="decimal"/>
      <w:lvlText w:val="%1)"/>
      <w:lvlJc w:val="left"/>
      <w:pPr>
        <w:ind w:left="360" w:hanging="360"/>
      </w:pPr>
      <w:rPr>
        <w:rFonts w:hint="default"/>
      </w:rPr>
    </w:lvl>
    <w:lvl w:ilvl="1" w:tplc="FFFFFFFF">
      <w:start w:val="1"/>
      <w:numFmt w:val="lowerLetter"/>
      <w:lvlText w:val="%2."/>
      <w:lvlJc w:val="left"/>
      <w:pPr>
        <w:ind w:left="1418"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8054AC8"/>
    <w:multiLevelType w:val="hybridMultilevel"/>
    <w:tmpl w:val="2950399E"/>
    <w:lvl w:ilvl="0" w:tplc="04150011">
      <w:start w:val="1"/>
      <w:numFmt w:val="decimal"/>
      <w:lvlText w:val="%1)"/>
      <w:lvlJc w:val="left"/>
      <w:pPr>
        <w:ind w:left="786" w:hanging="360"/>
      </w:pPr>
      <w:rPr>
        <w:rFonts w:hint="default"/>
      </w:rPr>
    </w:lvl>
    <w:lvl w:ilvl="1" w:tplc="04150019">
      <w:start w:val="1"/>
      <w:numFmt w:val="lowerLetter"/>
      <w:lvlText w:val="%2."/>
      <w:lvlJc w:val="left"/>
      <w:pPr>
        <w:ind w:left="1844"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D6466D6"/>
    <w:multiLevelType w:val="hybridMultilevel"/>
    <w:tmpl w:val="4C1E806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576B27"/>
    <w:multiLevelType w:val="hybridMultilevel"/>
    <w:tmpl w:val="4168C25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45011C3"/>
    <w:multiLevelType w:val="hybridMultilevel"/>
    <w:tmpl w:val="C7D256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2283762">
    <w:abstractNumId w:val="25"/>
  </w:num>
  <w:num w:numId="2" w16cid:durableId="917252264">
    <w:abstractNumId w:val="25"/>
  </w:num>
  <w:num w:numId="3" w16cid:durableId="1451626447">
    <w:abstractNumId w:val="20"/>
  </w:num>
  <w:num w:numId="4" w16cid:durableId="1545752193">
    <w:abstractNumId w:val="20"/>
  </w:num>
  <w:num w:numId="5" w16cid:durableId="39938075">
    <w:abstractNumId w:val="40"/>
  </w:num>
  <w:num w:numId="6" w16cid:durableId="422919387">
    <w:abstractNumId w:val="35"/>
  </w:num>
  <w:num w:numId="7" w16cid:durableId="1451242694">
    <w:abstractNumId w:val="40"/>
  </w:num>
  <w:num w:numId="8" w16cid:durableId="353118206">
    <w:abstractNumId w:val="35"/>
  </w:num>
  <w:num w:numId="9" w16cid:durableId="644704667">
    <w:abstractNumId w:val="40"/>
  </w:num>
  <w:num w:numId="10" w16cid:durableId="1882013073">
    <w:abstractNumId w:val="35"/>
  </w:num>
  <w:num w:numId="11" w16cid:durableId="1307130692">
    <w:abstractNumId w:val="16"/>
  </w:num>
  <w:num w:numId="12" w16cid:durableId="1021861884">
    <w:abstractNumId w:val="10"/>
  </w:num>
  <w:num w:numId="13" w16cid:durableId="191001214">
    <w:abstractNumId w:val="17"/>
  </w:num>
  <w:num w:numId="14" w16cid:durableId="922567520">
    <w:abstractNumId w:val="29"/>
  </w:num>
  <w:num w:numId="15" w16cid:durableId="1423598635">
    <w:abstractNumId w:val="16"/>
  </w:num>
  <w:num w:numId="16" w16cid:durableId="1116369684">
    <w:abstractNumId w:val="18"/>
  </w:num>
  <w:num w:numId="17" w16cid:durableId="1124426192">
    <w:abstractNumId w:val="8"/>
  </w:num>
  <w:num w:numId="18" w16cid:durableId="450829505">
    <w:abstractNumId w:val="3"/>
  </w:num>
  <w:num w:numId="19" w16cid:durableId="862282871">
    <w:abstractNumId w:val="2"/>
  </w:num>
  <w:num w:numId="20" w16cid:durableId="1595867221">
    <w:abstractNumId w:val="1"/>
  </w:num>
  <w:num w:numId="21" w16cid:durableId="1419865521">
    <w:abstractNumId w:val="0"/>
  </w:num>
  <w:num w:numId="22" w16cid:durableId="1630739216">
    <w:abstractNumId w:val="9"/>
  </w:num>
  <w:num w:numId="23" w16cid:durableId="1973707744">
    <w:abstractNumId w:val="7"/>
  </w:num>
  <w:num w:numId="24" w16cid:durableId="2037072650">
    <w:abstractNumId w:val="6"/>
  </w:num>
  <w:num w:numId="25" w16cid:durableId="1897010139">
    <w:abstractNumId w:val="5"/>
  </w:num>
  <w:num w:numId="26" w16cid:durableId="1295138768">
    <w:abstractNumId w:val="4"/>
  </w:num>
  <w:num w:numId="27" w16cid:durableId="1260139751">
    <w:abstractNumId w:val="38"/>
  </w:num>
  <w:num w:numId="28" w16cid:durableId="1825706710">
    <w:abstractNumId w:val="28"/>
  </w:num>
  <w:num w:numId="29" w16cid:durableId="314720808">
    <w:abstractNumId w:val="41"/>
  </w:num>
  <w:num w:numId="30" w16cid:durableId="2076970249">
    <w:abstractNumId w:val="37"/>
  </w:num>
  <w:num w:numId="31" w16cid:durableId="196353957">
    <w:abstractNumId w:val="21"/>
  </w:num>
  <w:num w:numId="32" w16cid:durableId="1819226951">
    <w:abstractNumId w:val="13"/>
  </w:num>
  <w:num w:numId="33" w16cid:durableId="200020741">
    <w:abstractNumId w:val="34"/>
  </w:num>
  <w:num w:numId="34" w16cid:durableId="167066577">
    <w:abstractNumId w:val="22"/>
  </w:num>
  <w:num w:numId="35" w16cid:durableId="1948728807">
    <w:abstractNumId w:val="19"/>
  </w:num>
  <w:num w:numId="36" w16cid:durableId="1944728580">
    <w:abstractNumId w:val="24"/>
  </w:num>
  <w:num w:numId="37" w16cid:durableId="1139222613">
    <w:abstractNumId w:val="30"/>
  </w:num>
  <w:num w:numId="38" w16cid:durableId="238298671">
    <w:abstractNumId w:val="26"/>
  </w:num>
  <w:num w:numId="39" w16cid:durableId="1480418638">
    <w:abstractNumId w:val="15"/>
  </w:num>
  <w:num w:numId="40" w16cid:durableId="3090927">
    <w:abstractNumId w:val="33"/>
  </w:num>
  <w:num w:numId="41" w16cid:durableId="1836190328">
    <w:abstractNumId w:val="31"/>
  </w:num>
  <w:num w:numId="42" w16cid:durableId="1143346518">
    <w:abstractNumId w:val="23"/>
  </w:num>
  <w:num w:numId="43" w16cid:durableId="701322734">
    <w:abstractNumId w:val="39"/>
  </w:num>
  <w:num w:numId="44" w16cid:durableId="1680112042">
    <w:abstractNumId w:val="14"/>
  </w:num>
  <w:num w:numId="45" w16cid:durableId="2019690468">
    <w:abstractNumId w:val="12"/>
  </w:num>
  <w:num w:numId="46" w16cid:durableId="1980841442">
    <w:abstractNumId w:val="32"/>
  </w:num>
  <w:num w:numId="47" w16cid:durableId="546795573">
    <w:abstractNumId w:val="36"/>
  </w:num>
  <w:num w:numId="48" w16cid:durableId="1530728314">
    <w:abstractNumId w:val="11"/>
  </w:num>
  <w:num w:numId="49" w16cid:durableId="3237034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E6"/>
    <w:rsid w:val="000012DA"/>
    <w:rsid w:val="0000246E"/>
    <w:rsid w:val="00003862"/>
    <w:rsid w:val="00012A35"/>
    <w:rsid w:val="00016099"/>
    <w:rsid w:val="00017DC2"/>
    <w:rsid w:val="00021522"/>
    <w:rsid w:val="00021802"/>
    <w:rsid w:val="00023471"/>
    <w:rsid w:val="00023F13"/>
    <w:rsid w:val="00023F30"/>
    <w:rsid w:val="00030634"/>
    <w:rsid w:val="000319C1"/>
    <w:rsid w:val="00031A8B"/>
    <w:rsid w:val="00031BB1"/>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C5B1A"/>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070B0"/>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154"/>
    <w:rsid w:val="00186EC1"/>
    <w:rsid w:val="00190EF8"/>
    <w:rsid w:val="00191E1F"/>
    <w:rsid w:val="0019473B"/>
    <w:rsid w:val="001952B1"/>
    <w:rsid w:val="00196E39"/>
    <w:rsid w:val="00197649"/>
    <w:rsid w:val="00197CC5"/>
    <w:rsid w:val="001A01FB"/>
    <w:rsid w:val="001A10E9"/>
    <w:rsid w:val="001A183D"/>
    <w:rsid w:val="001A2B65"/>
    <w:rsid w:val="001A3CD3"/>
    <w:rsid w:val="001A5BEF"/>
    <w:rsid w:val="001A7F15"/>
    <w:rsid w:val="001B342E"/>
    <w:rsid w:val="001C1832"/>
    <w:rsid w:val="001C188C"/>
    <w:rsid w:val="001C5B87"/>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0DAB"/>
    <w:rsid w:val="0023727E"/>
    <w:rsid w:val="002408B9"/>
    <w:rsid w:val="00240F4B"/>
    <w:rsid w:val="00242081"/>
    <w:rsid w:val="00243777"/>
    <w:rsid w:val="002441CD"/>
    <w:rsid w:val="002501A3"/>
    <w:rsid w:val="00251053"/>
    <w:rsid w:val="0025166C"/>
    <w:rsid w:val="002555D4"/>
    <w:rsid w:val="00261A16"/>
    <w:rsid w:val="00263522"/>
    <w:rsid w:val="00264EC6"/>
    <w:rsid w:val="00271013"/>
    <w:rsid w:val="00273FE4"/>
    <w:rsid w:val="002765B4"/>
    <w:rsid w:val="00276A94"/>
    <w:rsid w:val="002829FC"/>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41F5"/>
    <w:rsid w:val="0032569A"/>
    <w:rsid w:val="00325A1F"/>
    <w:rsid w:val="003268F9"/>
    <w:rsid w:val="00330BAF"/>
    <w:rsid w:val="00334E3A"/>
    <w:rsid w:val="003361DD"/>
    <w:rsid w:val="00341A6A"/>
    <w:rsid w:val="00343055"/>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97678"/>
    <w:rsid w:val="003A306E"/>
    <w:rsid w:val="003A60DC"/>
    <w:rsid w:val="003A6999"/>
    <w:rsid w:val="003A6A46"/>
    <w:rsid w:val="003A7A63"/>
    <w:rsid w:val="003B000C"/>
    <w:rsid w:val="003B0F1D"/>
    <w:rsid w:val="003B4A57"/>
    <w:rsid w:val="003C0AD9"/>
    <w:rsid w:val="003C0ED0"/>
    <w:rsid w:val="003C1D49"/>
    <w:rsid w:val="003C35C4"/>
    <w:rsid w:val="003D12C2"/>
    <w:rsid w:val="003D31B9"/>
    <w:rsid w:val="003D3867"/>
    <w:rsid w:val="003E0D1A"/>
    <w:rsid w:val="003E2BE4"/>
    <w:rsid w:val="003E2DA3"/>
    <w:rsid w:val="003F020D"/>
    <w:rsid w:val="003F03D9"/>
    <w:rsid w:val="003F2FBE"/>
    <w:rsid w:val="003F318D"/>
    <w:rsid w:val="003F5BAE"/>
    <w:rsid w:val="003F6ED7"/>
    <w:rsid w:val="00401C84"/>
    <w:rsid w:val="00403210"/>
    <w:rsid w:val="004035BB"/>
    <w:rsid w:val="004035EB"/>
    <w:rsid w:val="00407332"/>
    <w:rsid w:val="00407828"/>
    <w:rsid w:val="00410523"/>
    <w:rsid w:val="00413D8E"/>
    <w:rsid w:val="004140F2"/>
    <w:rsid w:val="00417B22"/>
    <w:rsid w:val="00421085"/>
    <w:rsid w:val="0042465E"/>
    <w:rsid w:val="00424DF7"/>
    <w:rsid w:val="00431ED9"/>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1325"/>
    <w:rsid w:val="004B25E2"/>
    <w:rsid w:val="004B34D7"/>
    <w:rsid w:val="004B5037"/>
    <w:rsid w:val="004B5B2F"/>
    <w:rsid w:val="004B626A"/>
    <w:rsid w:val="004B660E"/>
    <w:rsid w:val="004C05BD"/>
    <w:rsid w:val="004C3B06"/>
    <w:rsid w:val="004C3F97"/>
    <w:rsid w:val="004C7EE7"/>
    <w:rsid w:val="004D2DEE"/>
    <w:rsid w:val="004D2E1F"/>
    <w:rsid w:val="004D6B24"/>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6618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FC4"/>
    <w:rsid w:val="005E4F04"/>
    <w:rsid w:val="005E62C2"/>
    <w:rsid w:val="005E6C71"/>
    <w:rsid w:val="005F0963"/>
    <w:rsid w:val="005F2824"/>
    <w:rsid w:val="005F2EBA"/>
    <w:rsid w:val="005F35ED"/>
    <w:rsid w:val="005F7812"/>
    <w:rsid w:val="005F7A88"/>
    <w:rsid w:val="006021A3"/>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464"/>
    <w:rsid w:val="006608DF"/>
    <w:rsid w:val="006623AC"/>
    <w:rsid w:val="00664330"/>
    <w:rsid w:val="006678AF"/>
    <w:rsid w:val="006701EF"/>
    <w:rsid w:val="00673BA5"/>
    <w:rsid w:val="00680058"/>
    <w:rsid w:val="00681434"/>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3307"/>
    <w:rsid w:val="006F482B"/>
    <w:rsid w:val="006F6311"/>
    <w:rsid w:val="00701952"/>
    <w:rsid w:val="00702556"/>
    <w:rsid w:val="0070277E"/>
    <w:rsid w:val="00704156"/>
    <w:rsid w:val="007069FC"/>
    <w:rsid w:val="00711221"/>
    <w:rsid w:val="00712675"/>
    <w:rsid w:val="00713808"/>
    <w:rsid w:val="007151B6"/>
    <w:rsid w:val="0071520D"/>
    <w:rsid w:val="007152DB"/>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3F06"/>
    <w:rsid w:val="00756629"/>
    <w:rsid w:val="00756D6D"/>
    <w:rsid w:val="007575D2"/>
    <w:rsid w:val="00757B4F"/>
    <w:rsid w:val="00757B6A"/>
    <w:rsid w:val="007610E0"/>
    <w:rsid w:val="007621AA"/>
    <w:rsid w:val="0076260A"/>
    <w:rsid w:val="00764A67"/>
    <w:rsid w:val="00770F6B"/>
    <w:rsid w:val="00771883"/>
    <w:rsid w:val="00774862"/>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04B33"/>
    <w:rsid w:val="00812BE5"/>
    <w:rsid w:val="0081598C"/>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9E0"/>
    <w:rsid w:val="00885AE7"/>
    <w:rsid w:val="00886B60"/>
    <w:rsid w:val="00887889"/>
    <w:rsid w:val="008920FF"/>
    <w:rsid w:val="008926E8"/>
    <w:rsid w:val="00894F19"/>
    <w:rsid w:val="00896A10"/>
    <w:rsid w:val="008971B5"/>
    <w:rsid w:val="008A5761"/>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8F6753"/>
    <w:rsid w:val="0090293D"/>
    <w:rsid w:val="009034DE"/>
    <w:rsid w:val="00905396"/>
    <w:rsid w:val="0090605D"/>
    <w:rsid w:val="00906419"/>
    <w:rsid w:val="00912889"/>
    <w:rsid w:val="00913A42"/>
    <w:rsid w:val="00914167"/>
    <w:rsid w:val="009143DB"/>
    <w:rsid w:val="00915065"/>
    <w:rsid w:val="00917CE5"/>
    <w:rsid w:val="009217C0"/>
    <w:rsid w:val="00922EFC"/>
    <w:rsid w:val="00925241"/>
    <w:rsid w:val="00925CEC"/>
    <w:rsid w:val="00926A3F"/>
    <w:rsid w:val="0092794E"/>
    <w:rsid w:val="00930D30"/>
    <w:rsid w:val="009332A2"/>
    <w:rsid w:val="00937598"/>
    <w:rsid w:val="0093790B"/>
    <w:rsid w:val="0094108D"/>
    <w:rsid w:val="00943751"/>
    <w:rsid w:val="00946DD0"/>
    <w:rsid w:val="009509E6"/>
    <w:rsid w:val="00952018"/>
    <w:rsid w:val="00952800"/>
    <w:rsid w:val="0095300D"/>
    <w:rsid w:val="00956812"/>
    <w:rsid w:val="0095719A"/>
    <w:rsid w:val="0096048F"/>
    <w:rsid w:val="009623E9"/>
    <w:rsid w:val="00963EEB"/>
    <w:rsid w:val="009648BC"/>
    <w:rsid w:val="00964C2F"/>
    <w:rsid w:val="00965F88"/>
    <w:rsid w:val="00984E03"/>
    <w:rsid w:val="00987E85"/>
    <w:rsid w:val="009A0D12"/>
    <w:rsid w:val="009A1987"/>
    <w:rsid w:val="009A2BEE"/>
    <w:rsid w:val="009A3F85"/>
    <w:rsid w:val="009A5289"/>
    <w:rsid w:val="009A7A53"/>
    <w:rsid w:val="009B0402"/>
    <w:rsid w:val="009B0B75"/>
    <w:rsid w:val="009B16DF"/>
    <w:rsid w:val="009B4CB2"/>
    <w:rsid w:val="009B6701"/>
    <w:rsid w:val="009B6EF7"/>
    <w:rsid w:val="009B7000"/>
    <w:rsid w:val="009B739C"/>
    <w:rsid w:val="009C04EC"/>
    <w:rsid w:val="009C328C"/>
    <w:rsid w:val="009C4444"/>
    <w:rsid w:val="009C55CF"/>
    <w:rsid w:val="009C79AD"/>
    <w:rsid w:val="009C7CA6"/>
    <w:rsid w:val="009D3316"/>
    <w:rsid w:val="009D55AA"/>
    <w:rsid w:val="009E2E68"/>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274F2"/>
    <w:rsid w:val="00A30E4F"/>
    <w:rsid w:val="00A32253"/>
    <w:rsid w:val="00A3310E"/>
    <w:rsid w:val="00A333A0"/>
    <w:rsid w:val="00A37E70"/>
    <w:rsid w:val="00A437E1"/>
    <w:rsid w:val="00A45957"/>
    <w:rsid w:val="00A4685E"/>
    <w:rsid w:val="00A50CD4"/>
    <w:rsid w:val="00A51191"/>
    <w:rsid w:val="00A56D62"/>
    <w:rsid w:val="00A56F07"/>
    <w:rsid w:val="00A5762C"/>
    <w:rsid w:val="00A576C0"/>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5FD1"/>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26C4"/>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56EFC"/>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0709"/>
    <w:rsid w:val="00BD1040"/>
    <w:rsid w:val="00BD34AA"/>
    <w:rsid w:val="00BE0C44"/>
    <w:rsid w:val="00BE1B8B"/>
    <w:rsid w:val="00BE2A18"/>
    <w:rsid w:val="00BE2C01"/>
    <w:rsid w:val="00BE41EC"/>
    <w:rsid w:val="00BE56FB"/>
    <w:rsid w:val="00BF1581"/>
    <w:rsid w:val="00BF3DDE"/>
    <w:rsid w:val="00BF6589"/>
    <w:rsid w:val="00BF6F7F"/>
    <w:rsid w:val="00C00647"/>
    <w:rsid w:val="00C02764"/>
    <w:rsid w:val="00C04CEF"/>
    <w:rsid w:val="00C0662F"/>
    <w:rsid w:val="00C11943"/>
    <w:rsid w:val="00C11E44"/>
    <w:rsid w:val="00C12E96"/>
    <w:rsid w:val="00C14763"/>
    <w:rsid w:val="00C16141"/>
    <w:rsid w:val="00C2363F"/>
    <w:rsid w:val="00C236C8"/>
    <w:rsid w:val="00C260B1"/>
    <w:rsid w:val="00C26E56"/>
    <w:rsid w:val="00C31406"/>
    <w:rsid w:val="00C37194"/>
    <w:rsid w:val="00C40637"/>
    <w:rsid w:val="00C40F6C"/>
    <w:rsid w:val="00C43F4A"/>
    <w:rsid w:val="00C44426"/>
    <w:rsid w:val="00C445F3"/>
    <w:rsid w:val="00C451F4"/>
    <w:rsid w:val="00C45EB1"/>
    <w:rsid w:val="00C53AD7"/>
    <w:rsid w:val="00C54A3A"/>
    <w:rsid w:val="00C55566"/>
    <w:rsid w:val="00C56448"/>
    <w:rsid w:val="00C667BE"/>
    <w:rsid w:val="00C6766B"/>
    <w:rsid w:val="00C72223"/>
    <w:rsid w:val="00C76417"/>
    <w:rsid w:val="00C7726F"/>
    <w:rsid w:val="00C80B72"/>
    <w:rsid w:val="00C81ED5"/>
    <w:rsid w:val="00C823DA"/>
    <w:rsid w:val="00C8259F"/>
    <w:rsid w:val="00C82746"/>
    <w:rsid w:val="00C8312F"/>
    <w:rsid w:val="00C84C47"/>
    <w:rsid w:val="00C858A4"/>
    <w:rsid w:val="00C86AFA"/>
    <w:rsid w:val="00CA257C"/>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64C0"/>
    <w:rsid w:val="00D079F3"/>
    <w:rsid w:val="00D07A7B"/>
    <w:rsid w:val="00D10E06"/>
    <w:rsid w:val="00D15197"/>
    <w:rsid w:val="00D15D94"/>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7DE"/>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27F5"/>
    <w:rsid w:val="00E2396E"/>
    <w:rsid w:val="00E24728"/>
    <w:rsid w:val="00E276AC"/>
    <w:rsid w:val="00E34320"/>
    <w:rsid w:val="00E34A35"/>
    <w:rsid w:val="00E37C2F"/>
    <w:rsid w:val="00E41C28"/>
    <w:rsid w:val="00E46308"/>
    <w:rsid w:val="00E46C9A"/>
    <w:rsid w:val="00E51E17"/>
    <w:rsid w:val="00E52DAB"/>
    <w:rsid w:val="00E539B0"/>
    <w:rsid w:val="00E55571"/>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DA2"/>
    <w:rsid w:val="00EF0B96"/>
    <w:rsid w:val="00EF3486"/>
    <w:rsid w:val="00EF47AF"/>
    <w:rsid w:val="00EF53B6"/>
    <w:rsid w:val="00EF7075"/>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44E"/>
    <w:rsid w:val="00F458D8"/>
    <w:rsid w:val="00F50237"/>
    <w:rsid w:val="00F506E9"/>
    <w:rsid w:val="00F53596"/>
    <w:rsid w:val="00F55BA8"/>
    <w:rsid w:val="00F55DB1"/>
    <w:rsid w:val="00F55FED"/>
    <w:rsid w:val="00F56ACA"/>
    <w:rsid w:val="00F600FE"/>
    <w:rsid w:val="00F62E4D"/>
    <w:rsid w:val="00F66B34"/>
    <w:rsid w:val="00F675B9"/>
    <w:rsid w:val="00F711C9"/>
    <w:rsid w:val="00F74486"/>
    <w:rsid w:val="00F74C59"/>
    <w:rsid w:val="00F75C3A"/>
    <w:rsid w:val="00F82E30"/>
    <w:rsid w:val="00F831CB"/>
    <w:rsid w:val="00F848A3"/>
    <w:rsid w:val="00F84ACF"/>
    <w:rsid w:val="00F85742"/>
    <w:rsid w:val="00F85BF8"/>
    <w:rsid w:val="00F871CE"/>
    <w:rsid w:val="00F87802"/>
    <w:rsid w:val="00F91E37"/>
    <w:rsid w:val="00F92C0A"/>
    <w:rsid w:val="00F9415B"/>
    <w:rsid w:val="00FA13C2"/>
    <w:rsid w:val="00FA7F91"/>
    <w:rsid w:val="00FB121C"/>
    <w:rsid w:val="00FB1CDD"/>
    <w:rsid w:val="00FB1FBF"/>
    <w:rsid w:val="00FB2C2F"/>
    <w:rsid w:val="00FB305C"/>
    <w:rsid w:val="00FC1FE6"/>
    <w:rsid w:val="00FC2E3D"/>
    <w:rsid w:val="00FC3BDE"/>
    <w:rsid w:val="00FC45D8"/>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BE01C2"/>
  <w15:docId w15:val="{B0D3E1CF-674C-485C-88BD-682751AB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1FE6"/>
    <w:pPr>
      <w:spacing w:after="160" w:line="278" w:lineRule="auto"/>
    </w:pPr>
    <w:rPr>
      <w:rFonts w:asciiTheme="minorHAnsi" w:eastAsiaTheme="minorHAnsi" w:hAnsiTheme="minorHAnsi" w:cstheme="minorBidi"/>
      <w:kern w:val="2"/>
      <w:lang w:eastAsia="en-US"/>
      <w14:ligatures w14:val="standardContextual"/>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eastAsia="Times New Roman" w:hAnsi="Times" w:cs="Times New Roman"/>
      <w:kern w:val="1"/>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eastAsia="Times New Roman" w:hAnsi="Times" w:cs="Times New Roman"/>
      <w:kern w:val="1"/>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660464"/>
    <w:pPr>
      <w:spacing w:line="240" w:lineRule="auto"/>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1.3.%20UCHWA&#321;Y%20ZMIENIAJ&#260;CE%20SIS%20PED%202024\7.%20IPCZD%20w%20Warszawie\!!%20ZMIANA%20Uchwa&#322;y\!!!%20AKTUALNE%202025\PO%20UWAGACH%20DP\WERSJA%20CZYSTA\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8</TotalTime>
  <Pages>1</Pages>
  <Words>1520</Words>
  <Characters>9123</Characters>
  <Application>Microsoft Office Word</Application>
  <DocSecurity>0</DocSecurity>
  <Lines>76</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Sosnowska Agnieszka</dc:creator>
  <cp:lastModifiedBy>Budziszewska-Makulska Alina</cp:lastModifiedBy>
  <cp:revision>8</cp:revision>
  <cp:lastPrinted>2012-04-23T06:39:00Z</cp:lastPrinted>
  <dcterms:created xsi:type="dcterms:W3CDTF">2025-02-27T13:57:00Z</dcterms:created>
  <dcterms:modified xsi:type="dcterms:W3CDTF">2025-02-28T08:22:00Z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