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354BD" w14:textId="6EFF08E0" w:rsidR="002055A8" w:rsidRPr="003B1B65" w:rsidRDefault="00064285" w:rsidP="003B1B65">
      <w:pPr>
        <w:jc w:val="center"/>
        <w:rPr>
          <w:rFonts w:cstheme="minorHAnsi"/>
          <w:b/>
          <w:color w:val="0070C0"/>
        </w:rPr>
      </w:pPr>
      <w:r w:rsidRPr="003B1B65">
        <w:rPr>
          <w:rFonts w:cstheme="minorHAnsi"/>
          <w:b/>
          <w:color w:val="0070C0"/>
          <w:sz w:val="24"/>
          <w:szCs w:val="24"/>
        </w:rPr>
        <w:t>Podstawowe dane statystyczne dotyczące wyroków Europejskiego Trybunału Praw Człowieka w sprawach polskich – 202</w:t>
      </w:r>
      <w:r w:rsidR="001566A2" w:rsidRPr="003B1B65">
        <w:rPr>
          <w:rFonts w:cstheme="minorHAnsi"/>
          <w:b/>
          <w:color w:val="0070C0"/>
          <w:sz w:val="24"/>
          <w:szCs w:val="24"/>
        </w:rPr>
        <w:t>5</w:t>
      </w:r>
      <w:r w:rsidRPr="003B1B65">
        <w:rPr>
          <w:rFonts w:cstheme="minorHAnsi"/>
          <w:b/>
          <w:color w:val="0070C0"/>
          <w:sz w:val="24"/>
          <w:szCs w:val="24"/>
        </w:rPr>
        <w:t xml:space="preserve"> r</w:t>
      </w:r>
      <w:r w:rsidR="00BB4784" w:rsidRPr="003B1B65">
        <w:rPr>
          <w:rFonts w:cstheme="minorHAnsi"/>
          <w:b/>
          <w:color w:val="0070C0"/>
          <w:sz w:val="24"/>
          <w:szCs w:val="24"/>
        </w:rPr>
        <w:t>.</w:t>
      </w:r>
    </w:p>
    <w:p w14:paraId="7F9B4636" w14:textId="0616A1C1" w:rsidR="002055A8" w:rsidRPr="003B1B65" w:rsidRDefault="002055A8" w:rsidP="003B1B65">
      <w:pPr>
        <w:tabs>
          <w:tab w:val="left" w:pos="540"/>
        </w:tabs>
        <w:spacing w:after="0"/>
        <w:jc w:val="both"/>
        <w:rPr>
          <w:rFonts w:cstheme="minorHAnsi"/>
          <w:b/>
          <w:bCs/>
        </w:rPr>
      </w:pPr>
    </w:p>
    <w:p w14:paraId="1F36CDDE" w14:textId="336C70ED" w:rsidR="002055A8" w:rsidRPr="003B1B65" w:rsidRDefault="002055A8" w:rsidP="003B1B65">
      <w:pPr>
        <w:tabs>
          <w:tab w:val="left" w:pos="540"/>
        </w:tabs>
        <w:spacing w:after="0"/>
        <w:jc w:val="both"/>
        <w:rPr>
          <w:rFonts w:cstheme="minorHAnsi"/>
        </w:rPr>
      </w:pPr>
      <w:r w:rsidRPr="003B1B65">
        <w:rPr>
          <w:rFonts w:cstheme="minorHAnsi"/>
        </w:rPr>
        <w:t>W 202</w:t>
      </w:r>
      <w:r w:rsidR="001566A2" w:rsidRPr="003B1B65">
        <w:rPr>
          <w:rFonts w:cstheme="minorHAnsi"/>
        </w:rPr>
        <w:t>5</w:t>
      </w:r>
      <w:r w:rsidRPr="003B1B65">
        <w:rPr>
          <w:rFonts w:cstheme="minorHAnsi"/>
        </w:rPr>
        <w:t xml:space="preserve"> r</w:t>
      </w:r>
      <w:r w:rsidR="004A0A35" w:rsidRPr="003B1B65">
        <w:rPr>
          <w:rFonts w:cstheme="minorHAnsi"/>
        </w:rPr>
        <w:t>.</w:t>
      </w:r>
      <w:r w:rsidRPr="003B1B65">
        <w:rPr>
          <w:rFonts w:cstheme="minorHAnsi"/>
        </w:rPr>
        <w:t xml:space="preserve"> </w:t>
      </w:r>
      <w:r w:rsidR="005D4A62" w:rsidRPr="003B1B65">
        <w:rPr>
          <w:rFonts w:cstheme="minorHAnsi"/>
        </w:rPr>
        <w:t xml:space="preserve">Europejski Trybunał Praw Człowieka </w:t>
      </w:r>
      <w:r w:rsidR="0024613A" w:rsidRPr="003B1B65">
        <w:rPr>
          <w:rFonts w:cstheme="minorHAnsi"/>
        </w:rPr>
        <w:t>(dalej: ETPC</w:t>
      </w:r>
      <w:r w:rsidR="00117804" w:rsidRPr="003B1B65">
        <w:rPr>
          <w:rFonts w:cstheme="minorHAnsi"/>
        </w:rPr>
        <w:t xml:space="preserve"> lub Trybunał</w:t>
      </w:r>
      <w:r w:rsidR="0024613A" w:rsidRPr="003B1B65">
        <w:rPr>
          <w:rFonts w:cstheme="minorHAnsi"/>
        </w:rPr>
        <w:t xml:space="preserve">) </w:t>
      </w:r>
      <w:r w:rsidR="005D4A62" w:rsidRPr="003B1B65">
        <w:rPr>
          <w:rFonts w:cstheme="minorHAnsi"/>
        </w:rPr>
        <w:t xml:space="preserve">wydał łącznie </w:t>
      </w:r>
      <w:r w:rsidR="00E9318B" w:rsidRPr="003B1B65">
        <w:rPr>
          <w:rFonts w:cstheme="minorHAnsi"/>
        </w:rPr>
        <w:t xml:space="preserve">17 </w:t>
      </w:r>
      <w:r w:rsidR="005D4A62" w:rsidRPr="003B1B65">
        <w:rPr>
          <w:rFonts w:cstheme="minorHAnsi"/>
        </w:rPr>
        <w:t>wyrok</w:t>
      </w:r>
      <w:r w:rsidR="00DB64F9" w:rsidRPr="003B1B65">
        <w:rPr>
          <w:rFonts w:cstheme="minorHAnsi"/>
        </w:rPr>
        <w:t>ów</w:t>
      </w:r>
      <w:r w:rsidR="005D4A62" w:rsidRPr="003B1B65">
        <w:rPr>
          <w:rFonts w:cstheme="minorHAnsi"/>
        </w:rPr>
        <w:t xml:space="preserve"> w</w:t>
      </w:r>
      <w:r w:rsidR="00EC1336" w:rsidRPr="003B1B65">
        <w:rPr>
          <w:rFonts w:cstheme="minorHAnsi"/>
        </w:rPr>
        <w:t> </w:t>
      </w:r>
      <w:r w:rsidR="005D4A62" w:rsidRPr="003B1B65">
        <w:rPr>
          <w:rFonts w:cstheme="minorHAnsi"/>
        </w:rPr>
        <w:t xml:space="preserve">sprawach dotyczących Polski, z czego w </w:t>
      </w:r>
      <w:r w:rsidR="00A533EC" w:rsidRPr="003B1B65">
        <w:rPr>
          <w:rFonts w:cstheme="minorHAnsi"/>
        </w:rPr>
        <w:t>każdym</w:t>
      </w:r>
      <w:r w:rsidR="005D4A62" w:rsidRPr="003B1B65">
        <w:rPr>
          <w:rFonts w:cstheme="minorHAnsi"/>
        </w:rPr>
        <w:t xml:space="preserve"> z nich stwierdzone zostało naruszenie praw </w:t>
      </w:r>
      <w:r w:rsidR="00EC1336" w:rsidRPr="003B1B65">
        <w:rPr>
          <w:rFonts w:cstheme="minorHAnsi"/>
        </w:rPr>
        <w:t xml:space="preserve">i wolności </w:t>
      </w:r>
      <w:r w:rsidR="005D4A62" w:rsidRPr="003B1B65">
        <w:rPr>
          <w:rFonts w:cstheme="minorHAnsi"/>
        </w:rPr>
        <w:t>gwarantowanych przez Konwencję</w:t>
      </w:r>
      <w:r w:rsidR="00EC1336" w:rsidRPr="003B1B65">
        <w:rPr>
          <w:rFonts w:cstheme="minorHAnsi"/>
        </w:rPr>
        <w:t xml:space="preserve"> o ochronie praw człowieka i</w:t>
      </w:r>
      <w:r w:rsidR="003025FD" w:rsidRPr="003B1B65">
        <w:rPr>
          <w:rFonts w:cstheme="minorHAnsi"/>
        </w:rPr>
        <w:t> </w:t>
      </w:r>
      <w:r w:rsidR="00EC1336" w:rsidRPr="003B1B65">
        <w:rPr>
          <w:rFonts w:cstheme="minorHAnsi"/>
        </w:rPr>
        <w:t>podstawowych wolności (dalej: Konwencja):</w:t>
      </w:r>
    </w:p>
    <w:p w14:paraId="515A3505" w14:textId="77777777" w:rsidR="00884454" w:rsidRPr="003B1B65" w:rsidRDefault="00884454" w:rsidP="003B1B65">
      <w:pPr>
        <w:tabs>
          <w:tab w:val="left" w:pos="540"/>
        </w:tabs>
        <w:spacing w:after="0"/>
        <w:jc w:val="both"/>
        <w:rPr>
          <w:rFonts w:cstheme="minorHAnsi"/>
        </w:rPr>
      </w:pPr>
    </w:p>
    <w:p w14:paraId="30E21129" w14:textId="70AF73B4" w:rsidR="00511C66" w:rsidRPr="003B1B65" w:rsidRDefault="00EC1336" w:rsidP="003B1B65">
      <w:pPr>
        <w:tabs>
          <w:tab w:val="left" w:pos="540"/>
        </w:tabs>
        <w:spacing w:after="0"/>
        <w:jc w:val="both"/>
        <w:rPr>
          <w:rFonts w:cstheme="minorHAnsi"/>
        </w:rPr>
      </w:pPr>
      <w:r w:rsidRPr="003B1B65">
        <w:rPr>
          <w:rFonts w:cstheme="minorHAnsi"/>
        </w:rPr>
        <w:t>W I półroczu 202</w:t>
      </w:r>
      <w:r w:rsidR="001566A2" w:rsidRPr="003B1B65">
        <w:rPr>
          <w:rFonts w:cstheme="minorHAnsi"/>
        </w:rPr>
        <w:t>5</w:t>
      </w:r>
      <w:r w:rsidRPr="003B1B65">
        <w:rPr>
          <w:rFonts w:cstheme="minorHAnsi"/>
        </w:rPr>
        <w:t xml:space="preserve"> r</w:t>
      </w:r>
      <w:r w:rsidR="004A0A35" w:rsidRPr="003B1B65">
        <w:rPr>
          <w:rFonts w:cstheme="minorHAnsi"/>
        </w:rPr>
        <w:t>.</w:t>
      </w:r>
      <w:r w:rsidRPr="003B1B65">
        <w:rPr>
          <w:rFonts w:cstheme="minorHAnsi"/>
        </w:rPr>
        <w:t xml:space="preserve"> wydano </w:t>
      </w:r>
      <w:r w:rsidR="00E9318B" w:rsidRPr="003B1B65">
        <w:rPr>
          <w:rFonts w:cstheme="minorHAnsi"/>
        </w:rPr>
        <w:t>10</w:t>
      </w:r>
      <w:r w:rsidRPr="003B1B65">
        <w:rPr>
          <w:rFonts w:cstheme="minorHAnsi"/>
        </w:rPr>
        <w:t xml:space="preserve"> wyroków</w:t>
      </w:r>
      <w:r w:rsidR="003025FD" w:rsidRPr="003B1B65">
        <w:rPr>
          <w:rFonts w:cstheme="minorHAnsi"/>
        </w:rPr>
        <w:t>, natomiast w I</w:t>
      </w:r>
      <w:r w:rsidRPr="003B1B65">
        <w:rPr>
          <w:rFonts w:cstheme="minorHAnsi"/>
        </w:rPr>
        <w:t>I półroczu 202</w:t>
      </w:r>
      <w:r w:rsidR="001566A2" w:rsidRPr="003B1B65">
        <w:rPr>
          <w:rFonts w:cstheme="minorHAnsi"/>
        </w:rPr>
        <w:t>5</w:t>
      </w:r>
      <w:r w:rsidRPr="003B1B65">
        <w:rPr>
          <w:rFonts w:cstheme="minorHAnsi"/>
        </w:rPr>
        <w:t xml:space="preserve"> r</w:t>
      </w:r>
      <w:r w:rsidR="00CC4ECB" w:rsidRPr="003B1B65">
        <w:rPr>
          <w:rFonts w:cstheme="minorHAnsi"/>
        </w:rPr>
        <w:t>.</w:t>
      </w:r>
      <w:r w:rsidRPr="003B1B65">
        <w:rPr>
          <w:rFonts w:cstheme="minorHAnsi"/>
        </w:rPr>
        <w:t xml:space="preserve"> wydano </w:t>
      </w:r>
      <w:r w:rsidR="00E9318B" w:rsidRPr="003B1B65">
        <w:rPr>
          <w:rFonts w:cstheme="minorHAnsi"/>
        </w:rPr>
        <w:t>7</w:t>
      </w:r>
      <w:r w:rsidR="003025FD" w:rsidRPr="003B1B65">
        <w:rPr>
          <w:rFonts w:cstheme="minorHAnsi"/>
        </w:rPr>
        <w:t> </w:t>
      </w:r>
      <w:r w:rsidRPr="003B1B65">
        <w:rPr>
          <w:rFonts w:cstheme="minorHAnsi"/>
        </w:rPr>
        <w:t>wyroków</w:t>
      </w:r>
      <w:r w:rsidR="003025FD" w:rsidRPr="003B1B65">
        <w:rPr>
          <w:rFonts w:cstheme="minorHAnsi"/>
        </w:rPr>
        <w:t>.</w:t>
      </w:r>
    </w:p>
    <w:p w14:paraId="3DF19563" w14:textId="269357FF" w:rsidR="00EC1336" w:rsidRPr="003B1B65" w:rsidRDefault="00064285" w:rsidP="003B1B65">
      <w:pPr>
        <w:tabs>
          <w:tab w:val="left" w:pos="540"/>
        </w:tabs>
        <w:spacing w:after="0"/>
        <w:jc w:val="both"/>
        <w:rPr>
          <w:rFonts w:cstheme="minorHAnsi"/>
        </w:rPr>
      </w:pPr>
      <w:r w:rsidRPr="003B1B65">
        <w:rPr>
          <w:rFonts w:cstheme="minorHAnsi"/>
          <w:noProof/>
        </w:rPr>
        <w:drawing>
          <wp:anchor distT="0" distB="0" distL="114300" distR="114300" simplePos="0" relativeHeight="251663360" behindDoc="0" locked="0" layoutInCell="1" allowOverlap="1" wp14:anchorId="0349391F" wp14:editId="3913806D">
            <wp:simplePos x="0" y="0"/>
            <wp:positionH relativeFrom="column">
              <wp:posOffset>1919605</wp:posOffset>
            </wp:positionH>
            <wp:positionV relativeFrom="paragraph">
              <wp:posOffset>205105</wp:posOffset>
            </wp:positionV>
            <wp:extent cx="5039360" cy="2939415"/>
            <wp:effectExtent l="0" t="0" r="8890" b="13335"/>
            <wp:wrapTopAndBottom/>
            <wp:docPr id="576789607"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B15BD9A" w14:textId="77777777" w:rsidR="00064285" w:rsidRPr="003B1B65" w:rsidRDefault="00064285" w:rsidP="003B1B65">
      <w:pPr>
        <w:tabs>
          <w:tab w:val="left" w:pos="540"/>
        </w:tabs>
        <w:spacing w:after="0"/>
        <w:jc w:val="both"/>
        <w:rPr>
          <w:rFonts w:cstheme="minorHAnsi"/>
        </w:rPr>
      </w:pPr>
    </w:p>
    <w:p w14:paraId="1D941A86" w14:textId="402139C2" w:rsidR="008C3856" w:rsidRPr="003B1B65" w:rsidRDefault="005D4A62" w:rsidP="003B1B65">
      <w:pPr>
        <w:tabs>
          <w:tab w:val="left" w:pos="540"/>
        </w:tabs>
        <w:spacing w:after="0"/>
        <w:jc w:val="both"/>
        <w:rPr>
          <w:rFonts w:cstheme="minorHAnsi"/>
          <w:b/>
          <w:bCs/>
        </w:rPr>
      </w:pPr>
      <w:bookmarkStart w:id="0" w:name="_Hlk188868195"/>
      <w:r w:rsidRPr="003B1B65">
        <w:rPr>
          <w:rFonts w:cstheme="minorHAnsi"/>
          <w:b/>
          <w:bCs/>
        </w:rPr>
        <w:t xml:space="preserve">W </w:t>
      </w:r>
      <w:r w:rsidR="008C3856" w:rsidRPr="003B1B65">
        <w:rPr>
          <w:rFonts w:cstheme="minorHAnsi"/>
          <w:b/>
          <w:bCs/>
        </w:rPr>
        <w:t>wydanych wyrokach stwierdzone zostały naruszenia następujących praw i wolności gwarantowanych przez Konwencję:</w:t>
      </w:r>
    </w:p>
    <w:p w14:paraId="55CA46F8" w14:textId="59F5D115" w:rsidR="008C3856" w:rsidRPr="003B1B65" w:rsidRDefault="008C3856" w:rsidP="003B1B65">
      <w:pPr>
        <w:pStyle w:val="Akapitzlist"/>
        <w:numPr>
          <w:ilvl w:val="0"/>
          <w:numId w:val="10"/>
        </w:numPr>
        <w:jc w:val="both"/>
        <w:rPr>
          <w:rFonts w:cstheme="minorHAnsi"/>
        </w:rPr>
      </w:pPr>
      <w:r w:rsidRPr="003B1B65">
        <w:rPr>
          <w:rFonts w:cstheme="minorHAnsi"/>
        </w:rPr>
        <w:t>zakaz tortur</w:t>
      </w:r>
      <w:r w:rsidR="00476DD7" w:rsidRPr="003B1B65">
        <w:rPr>
          <w:rFonts w:cstheme="minorHAnsi"/>
        </w:rPr>
        <w:t xml:space="preserve"> – art. 3 Konwencji</w:t>
      </w:r>
      <w:r w:rsidRPr="003B1B65">
        <w:rPr>
          <w:rFonts w:cstheme="minorHAnsi"/>
        </w:rPr>
        <w:t xml:space="preserve"> (</w:t>
      </w:r>
      <w:r w:rsidR="00287546" w:rsidRPr="003B1B65">
        <w:rPr>
          <w:rFonts w:cstheme="minorHAnsi"/>
        </w:rPr>
        <w:t>2</w:t>
      </w:r>
      <w:r w:rsidRPr="003B1B65">
        <w:rPr>
          <w:rFonts w:cstheme="minorHAnsi"/>
        </w:rPr>
        <w:t xml:space="preserve"> naruszeni</w:t>
      </w:r>
      <w:r w:rsidR="00287546" w:rsidRPr="003B1B65">
        <w:rPr>
          <w:rFonts w:cstheme="minorHAnsi"/>
        </w:rPr>
        <w:t>a</w:t>
      </w:r>
      <w:r w:rsidRPr="003B1B65">
        <w:rPr>
          <w:rFonts w:cstheme="minorHAnsi"/>
        </w:rPr>
        <w:t>)</w:t>
      </w:r>
      <w:r w:rsidR="00476DD7" w:rsidRPr="003B1B65">
        <w:rPr>
          <w:rFonts w:cstheme="minorHAnsi"/>
        </w:rPr>
        <w:t>,</w:t>
      </w:r>
    </w:p>
    <w:p w14:paraId="4C116C17" w14:textId="1F2D7255" w:rsidR="008C3856" w:rsidRPr="003B1B65" w:rsidRDefault="008C3856" w:rsidP="003B1B65">
      <w:pPr>
        <w:pStyle w:val="Akapitzlist"/>
        <w:numPr>
          <w:ilvl w:val="0"/>
          <w:numId w:val="10"/>
        </w:numPr>
        <w:jc w:val="both"/>
        <w:rPr>
          <w:rFonts w:cstheme="minorHAnsi"/>
        </w:rPr>
      </w:pPr>
      <w:r w:rsidRPr="003B1B65">
        <w:rPr>
          <w:rFonts w:cstheme="minorHAnsi"/>
        </w:rPr>
        <w:t xml:space="preserve">prawo do wolności i bezpieczeństwa osobistego </w:t>
      </w:r>
      <w:r w:rsidR="00476DD7" w:rsidRPr="003B1B65">
        <w:rPr>
          <w:rFonts w:cstheme="minorHAnsi"/>
        </w:rPr>
        <w:t xml:space="preserve">– art. 5 Konwencji </w:t>
      </w:r>
      <w:r w:rsidRPr="003B1B65">
        <w:rPr>
          <w:rFonts w:cstheme="minorHAnsi"/>
        </w:rPr>
        <w:t>(</w:t>
      </w:r>
      <w:r w:rsidR="00287546" w:rsidRPr="003B1B65">
        <w:rPr>
          <w:rFonts w:cstheme="minorHAnsi"/>
        </w:rPr>
        <w:t>2</w:t>
      </w:r>
      <w:r w:rsidRPr="003B1B65">
        <w:rPr>
          <w:rFonts w:cstheme="minorHAnsi"/>
        </w:rPr>
        <w:t xml:space="preserve"> narusze</w:t>
      </w:r>
      <w:r w:rsidR="00287546" w:rsidRPr="003B1B65">
        <w:rPr>
          <w:rFonts w:cstheme="minorHAnsi"/>
        </w:rPr>
        <w:t>nia</w:t>
      </w:r>
      <w:r w:rsidRPr="003B1B65">
        <w:rPr>
          <w:rFonts w:cstheme="minorHAnsi"/>
        </w:rPr>
        <w:t>)</w:t>
      </w:r>
      <w:r w:rsidR="00476DD7" w:rsidRPr="003B1B65">
        <w:rPr>
          <w:rFonts w:cstheme="minorHAnsi"/>
        </w:rPr>
        <w:t>,</w:t>
      </w:r>
    </w:p>
    <w:p w14:paraId="536C7995" w14:textId="7B874F3F" w:rsidR="008C3856" w:rsidRPr="003B1B65" w:rsidRDefault="008C3856" w:rsidP="003B1B65">
      <w:pPr>
        <w:pStyle w:val="Akapitzlist"/>
        <w:numPr>
          <w:ilvl w:val="0"/>
          <w:numId w:val="10"/>
        </w:numPr>
        <w:jc w:val="both"/>
        <w:rPr>
          <w:rFonts w:cstheme="minorHAnsi"/>
        </w:rPr>
      </w:pPr>
      <w:r w:rsidRPr="003B1B65">
        <w:rPr>
          <w:rFonts w:cstheme="minorHAnsi"/>
        </w:rPr>
        <w:t>prawo do rzetelnego procesu</w:t>
      </w:r>
      <w:r w:rsidR="00476DD7" w:rsidRPr="003B1B65">
        <w:rPr>
          <w:rFonts w:cstheme="minorHAnsi"/>
        </w:rPr>
        <w:t xml:space="preserve">– art. 6 Konwencji </w:t>
      </w:r>
      <w:r w:rsidRPr="003B1B65">
        <w:rPr>
          <w:rFonts w:cstheme="minorHAnsi"/>
        </w:rPr>
        <w:t>(</w:t>
      </w:r>
      <w:r w:rsidR="00287546" w:rsidRPr="003B1B65">
        <w:rPr>
          <w:rFonts w:cstheme="minorHAnsi"/>
        </w:rPr>
        <w:t>4</w:t>
      </w:r>
      <w:r w:rsidRPr="003B1B65">
        <w:rPr>
          <w:rFonts w:cstheme="minorHAnsi"/>
        </w:rPr>
        <w:t xml:space="preserve"> narusze</w:t>
      </w:r>
      <w:r w:rsidR="00287546" w:rsidRPr="003B1B65">
        <w:rPr>
          <w:rFonts w:cstheme="minorHAnsi"/>
        </w:rPr>
        <w:t>nia</w:t>
      </w:r>
      <w:r w:rsidRPr="003B1B65">
        <w:rPr>
          <w:rFonts w:cstheme="minorHAnsi"/>
        </w:rPr>
        <w:t>),</w:t>
      </w:r>
    </w:p>
    <w:p w14:paraId="0381310F" w14:textId="097BE70F" w:rsidR="008C3856" w:rsidRPr="003B1B65" w:rsidRDefault="00287546" w:rsidP="003B1B65">
      <w:pPr>
        <w:pStyle w:val="Akapitzlist"/>
        <w:numPr>
          <w:ilvl w:val="0"/>
          <w:numId w:val="10"/>
        </w:numPr>
        <w:jc w:val="both"/>
        <w:rPr>
          <w:rFonts w:cstheme="minorHAnsi"/>
        </w:rPr>
      </w:pPr>
      <w:r w:rsidRPr="003B1B65">
        <w:rPr>
          <w:rFonts w:cstheme="minorHAnsi"/>
        </w:rPr>
        <w:t>prawo do poszanowania życia prywatnego i rodzinnego – art. 8 Konwencji (9 naruszeń)</w:t>
      </w:r>
      <w:r w:rsidR="00BB4784" w:rsidRPr="003B1B65">
        <w:rPr>
          <w:rFonts w:cstheme="minorHAnsi"/>
        </w:rPr>
        <w:t>,</w:t>
      </w:r>
    </w:p>
    <w:p w14:paraId="57C7DD09" w14:textId="75698514" w:rsidR="008C3856" w:rsidRPr="003B1B65" w:rsidRDefault="008C3856" w:rsidP="003B1B65">
      <w:pPr>
        <w:pStyle w:val="Akapitzlist"/>
        <w:numPr>
          <w:ilvl w:val="0"/>
          <w:numId w:val="10"/>
        </w:numPr>
        <w:jc w:val="both"/>
        <w:rPr>
          <w:rFonts w:cstheme="minorHAnsi"/>
        </w:rPr>
      </w:pPr>
      <w:r w:rsidRPr="003B1B65">
        <w:rPr>
          <w:rFonts w:cstheme="minorHAnsi"/>
        </w:rPr>
        <w:lastRenderedPageBreak/>
        <w:t>wolność wyrażania opinii</w:t>
      </w:r>
      <w:r w:rsidR="00476DD7" w:rsidRPr="003B1B65">
        <w:rPr>
          <w:rFonts w:cstheme="minorHAnsi"/>
        </w:rPr>
        <w:t xml:space="preserve"> </w:t>
      </w:r>
      <w:r w:rsidRPr="003B1B65">
        <w:rPr>
          <w:rFonts w:cstheme="minorHAnsi"/>
        </w:rPr>
        <w:t>– art. 10 Konwencji</w:t>
      </w:r>
      <w:r w:rsidR="00476DD7" w:rsidRPr="003B1B65">
        <w:rPr>
          <w:rFonts w:cstheme="minorHAnsi"/>
        </w:rPr>
        <w:t xml:space="preserve"> (</w:t>
      </w:r>
      <w:r w:rsidR="00287546" w:rsidRPr="003B1B65">
        <w:rPr>
          <w:rFonts w:cstheme="minorHAnsi"/>
        </w:rPr>
        <w:t>1</w:t>
      </w:r>
      <w:r w:rsidR="00476DD7" w:rsidRPr="003B1B65">
        <w:rPr>
          <w:rFonts w:cstheme="minorHAnsi"/>
        </w:rPr>
        <w:t xml:space="preserve"> narusze</w:t>
      </w:r>
      <w:r w:rsidR="00287546" w:rsidRPr="003B1B65">
        <w:rPr>
          <w:rFonts w:cstheme="minorHAnsi"/>
        </w:rPr>
        <w:t>nie</w:t>
      </w:r>
      <w:r w:rsidR="00476DD7" w:rsidRPr="003B1B65">
        <w:rPr>
          <w:rFonts w:cstheme="minorHAnsi"/>
        </w:rPr>
        <w:t>),</w:t>
      </w:r>
      <w:r w:rsidR="00287546" w:rsidRPr="003B1B65">
        <w:rPr>
          <w:rFonts w:cstheme="minorHAnsi"/>
        </w:rPr>
        <w:t xml:space="preserve"> </w:t>
      </w:r>
    </w:p>
    <w:p w14:paraId="29779091" w14:textId="7233660C" w:rsidR="008C3856" w:rsidRPr="003B1B65" w:rsidRDefault="008C3856" w:rsidP="003B1B65">
      <w:pPr>
        <w:pStyle w:val="Akapitzlist"/>
        <w:numPr>
          <w:ilvl w:val="0"/>
          <w:numId w:val="10"/>
        </w:numPr>
        <w:jc w:val="both"/>
        <w:rPr>
          <w:rFonts w:cstheme="minorHAnsi"/>
        </w:rPr>
      </w:pPr>
      <w:r w:rsidRPr="003B1B65">
        <w:rPr>
          <w:rFonts w:cstheme="minorHAnsi"/>
        </w:rPr>
        <w:t>prawo do skutecznego środka odwoławczego</w:t>
      </w:r>
      <w:r w:rsidR="00476DD7" w:rsidRPr="003B1B65">
        <w:rPr>
          <w:rFonts w:cstheme="minorHAnsi"/>
        </w:rPr>
        <w:t xml:space="preserve"> - art. 13 Konwencji</w:t>
      </w:r>
      <w:r w:rsidRPr="003B1B65">
        <w:rPr>
          <w:rFonts w:cstheme="minorHAnsi"/>
        </w:rPr>
        <w:t xml:space="preserve"> (</w:t>
      </w:r>
      <w:r w:rsidR="00287546" w:rsidRPr="003B1B65">
        <w:rPr>
          <w:rFonts w:cstheme="minorHAnsi"/>
        </w:rPr>
        <w:t>2</w:t>
      </w:r>
      <w:r w:rsidRPr="003B1B65">
        <w:rPr>
          <w:rFonts w:cstheme="minorHAnsi"/>
        </w:rPr>
        <w:t xml:space="preserve"> narusze</w:t>
      </w:r>
      <w:r w:rsidR="00287546" w:rsidRPr="003B1B65">
        <w:rPr>
          <w:rFonts w:cstheme="minorHAnsi"/>
        </w:rPr>
        <w:t>nia</w:t>
      </w:r>
      <w:r w:rsidRPr="003B1B65">
        <w:rPr>
          <w:rFonts w:cstheme="minorHAnsi"/>
        </w:rPr>
        <w:t>)</w:t>
      </w:r>
      <w:r w:rsidR="00476DD7" w:rsidRPr="003B1B65">
        <w:rPr>
          <w:rFonts w:cstheme="minorHAnsi"/>
        </w:rPr>
        <w:t>,</w:t>
      </w:r>
    </w:p>
    <w:p w14:paraId="59409702" w14:textId="6DB006F3" w:rsidR="008C3856" w:rsidRPr="003B1B65" w:rsidRDefault="008C3856" w:rsidP="003B1B65">
      <w:pPr>
        <w:pStyle w:val="Akapitzlist"/>
        <w:numPr>
          <w:ilvl w:val="0"/>
          <w:numId w:val="10"/>
        </w:numPr>
        <w:jc w:val="both"/>
        <w:rPr>
          <w:rFonts w:cstheme="minorHAnsi"/>
        </w:rPr>
      </w:pPr>
      <w:r w:rsidRPr="003B1B65">
        <w:rPr>
          <w:rFonts w:cstheme="minorHAnsi"/>
        </w:rPr>
        <w:t xml:space="preserve">zakaz </w:t>
      </w:r>
      <w:r w:rsidR="00341451" w:rsidRPr="003B1B65">
        <w:rPr>
          <w:rFonts w:cstheme="minorHAnsi"/>
        </w:rPr>
        <w:t>dyskryminacji</w:t>
      </w:r>
      <w:r w:rsidRPr="003B1B65">
        <w:rPr>
          <w:rFonts w:cstheme="minorHAnsi"/>
        </w:rPr>
        <w:t xml:space="preserve"> </w:t>
      </w:r>
      <w:r w:rsidR="00476DD7" w:rsidRPr="003B1B65">
        <w:rPr>
          <w:rFonts w:cstheme="minorHAnsi"/>
        </w:rPr>
        <w:t xml:space="preserve">- art. </w:t>
      </w:r>
      <w:r w:rsidR="00341451" w:rsidRPr="003B1B65">
        <w:rPr>
          <w:rFonts w:cstheme="minorHAnsi"/>
        </w:rPr>
        <w:t>14</w:t>
      </w:r>
      <w:r w:rsidR="00476DD7" w:rsidRPr="003B1B65">
        <w:rPr>
          <w:rFonts w:cstheme="minorHAnsi"/>
        </w:rPr>
        <w:t xml:space="preserve"> Konwencji </w:t>
      </w:r>
      <w:r w:rsidRPr="003B1B65">
        <w:rPr>
          <w:rFonts w:cstheme="minorHAnsi"/>
        </w:rPr>
        <w:t>(</w:t>
      </w:r>
      <w:r w:rsidR="002A37F6" w:rsidRPr="003B1B65">
        <w:rPr>
          <w:rFonts w:cstheme="minorHAnsi"/>
        </w:rPr>
        <w:t>1</w:t>
      </w:r>
      <w:r w:rsidRPr="003B1B65">
        <w:rPr>
          <w:rFonts w:cstheme="minorHAnsi"/>
        </w:rPr>
        <w:t xml:space="preserve"> naruszenie)</w:t>
      </w:r>
      <w:r w:rsidR="00476DD7" w:rsidRPr="003B1B65">
        <w:rPr>
          <w:rFonts w:cstheme="minorHAnsi"/>
        </w:rPr>
        <w:t>.</w:t>
      </w:r>
    </w:p>
    <w:p w14:paraId="50DB5109" w14:textId="70F87B7E" w:rsidR="008C3856" w:rsidRPr="003B1B65" w:rsidRDefault="008C3856" w:rsidP="003B1B65">
      <w:pPr>
        <w:tabs>
          <w:tab w:val="left" w:pos="540"/>
        </w:tabs>
        <w:spacing w:after="0"/>
        <w:jc w:val="both"/>
        <w:rPr>
          <w:rFonts w:cstheme="minorHAnsi"/>
        </w:rPr>
      </w:pPr>
      <w:r w:rsidRPr="003B1B65">
        <w:rPr>
          <w:rFonts w:cstheme="minorHAnsi"/>
        </w:rPr>
        <w:t xml:space="preserve">Najwięcej wyroków dotyczyło naruszenia art. </w:t>
      </w:r>
      <w:r w:rsidR="00BB4784" w:rsidRPr="003B1B65">
        <w:rPr>
          <w:rFonts w:cstheme="minorHAnsi"/>
        </w:rPr>
        <w:t>8</w:t>
      </w:r>
      <w:r w:rsidRPr="003B1B65">
        <w:rPr>
          <w:rFonts w:cstheme="minorHAnsi"/>
        </w:rPr>
        <w:t xml:space="preserve"> Konwencji. </w:t>
      </w:r>
    </w:p>
    <w:p w14:paraId="08C0982B" w14:textId="77777777" w:rsidR="008C3856" w:rsidRPr="003B1B65" w:rsidRDefault="008C3856" w:rsidP="003B1B65">
      <w:pPr>
        <w:tabs>
          <w:tab w:val="left" w:pos="540"/>
        </w:tabs>
        <w:spacing w:after="0"/>
        <w:jc w:val="both"/>
        <w:rPr>
          <w:rFonts w:cstheme="minorHAnsi"/>
        </w:rPr>
      </w:pPr>
    </w:p>
    <w:p w14:paraId="48D33644" w14:textId="4F923372" w:rsidR="005D4A62" w:rsidRPr="003B1B65" w:rsidRDefault="008C3856" w:rsidP="003B1B65">
      <w:pPr>
        <w:tabs>
          <w:tab w:val="left" w:pos="540"/>
        </w:tabs>
        <w:spacing w:after="0"/>
        <w:jc w:val="both"/>
        <w:rPr>
          <w:rFonts w:cstheme="minorHAnsi"/>
        </w:rPr>
      </w:pPr>
      <w:r w:rsidRPr="003B1B65">
        <w:rPr>
          <w:rFonts w:cstheme="minorHAnsi"/>
          <w:noProof/>
          <w14:ligatures w14:val="standardContextual"/>
        </w:rPr>
        <w:drawing>
          <wp:anchor distT="0" distB="0" distL="114300" distR="114300" simplePos="0" relativeHeight="251657216" behindDoc="0" locked="0" layoutInCell="1" allowOverlap="1" wp14:anchorId="36CC7655" wp14:editId="2A2950C3">
            <wp:simplePos x="0" y="0"/>
            <wp:positionH relativeFrom="margin">
              <wp:posOffset>0</wp:posOffset>
            </wp:positionH>
            <wp:positionV relativeFrom="paragraph">
              <wp:posOffset>151765</wp:posOffset>
            </wp:positionV>
            <wp:extent cx="8884920" cy="3345180"/>
            <wp:effectExtent l="0" t="0" r="11430" b="7620"/>
            <wp:wrapTopAndBottom/>
            <wp:docPr id="1164985805"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5E5AA50C" w14:textId="77777777" w:rsidR="003B1B65" w:rsidRDefault="003B1B65" w:rsidP="003B1B65">
      <w:pPr>
        <w:jc w:val="both"/>
        <w:rPr>
          <w:rFonts w:cstheme="minorHAnsi"/>
          <w:b/>
        </w:rPr>
      </w:pPr>
    </w:p>
    <w:p w14:paraId="3C76BE1E" w14:textId="77777777" w:rsidR="003B1B65" w:rsidRDefault="003B1B65" w:rsidP="003B1B65">
      <w:pPr>
        <w:jc w:val="both"/>
        <w:rPr>
          <w:rFonts w:cstheme="minorHAnsi"/>
          <w:b/>
        </w:rPr>
      </w:pPr>
    </w:p>
    <w:p w14:paraId="667AC7B0" w14:textId="77777777" w:rsidR="003B1B65" w:rsidRDefault="003B1B65" w:rsidP="003B1B65">
      <w:pPr>
        <w:jc w:val="both"/>
        <w:rPr>
          <w:rFonts w:cstheme="minorHAnsi"/>
          <w:b/>
        </w:rPr>
      </w:pPr>
    </w:p>
    <w:p w14:paraId="480F4789" w14:textId="32684DBB" w:rsidR="0092344C" w:rsidRPr="003B1B65" w:rsidRDefault="003025FD" w:rsidP="003B1B65">
      <w:pPr>
        <w:jc w:val="both"/>
        <w:rPr>
          <w:rFonts w:cstheme="minorHAnsi"/>
        </w:rPr>
      </w:pPr>
      <w:r w:rsidRPr="003B1B65">
        <w:rPr>
          <w:rFonts w:cstheme="minorHAnsi"/>
          <w:b/>
        </w:rPr>
        <w:lastRenderedPageBreak/>
        <w:t>Wyroki</w:t>
      </w:r>
      <w:r w:rsidR="002E4780" w:rsidRPr="003B1B65">
        <w:rPr>
          <w:rFonts w:cstheme="minorHAnsi"/>
          <w:b/>
        </w:rPr>
        <w:t xml:space="preserve"> wydane przez ETPC w 2025 r. </w:t>
      </w:r>
      <w:r w:rsidR="00476DD7" w:rsidRPr="003B1B65">
        <w:rPr>
          <w:rFonts w:cstheme="minorHAnsi"/>
          <w:b/>
        </w:rPr>
        <w:t>(w porządku chronologicznym)</w:t>
      </w:r>
      <w:r w:rsidR="002D7766" w:rsidRPr="003B1B65">
        <w:rPr>
          <w:rFonts w:cstheme="minorHAnsi"/>
          <w:b/>
        </w:rPr>
        <w:t>:</w:t>
      </w:r>
    </w:p>
    <w:p w14:paraId="5140F625" w14:textId="270D11C0" w:rsidR="00A86B88" w:rsidRPr="003B1B65" w:rsidRDefault="00A86B88" w:rsidP="003B1B65">
      <w:pPr>
        <w:numPr>
          <w:ilvl w:val="0"/>
          <w:numId w:val="9"/>
        </w:numPr>
        <w:spacing w:before="195" w:after="0"/>
        <w:jc w:val="both"/>
        <w:rPr>
          <w:rFonts w:cstheme="minorHAnsi"/>
        </w:rPr>
      </w:pPr>
      <w:proofErr w:type="spellStart"/>
      <w:r w:rsidRPr="003B1B65">
        <w:rPr>
          <w:rFonts w:cstheme="minorHAnsi"/>
          <w:b/>
          <w:bCs/>
          <w:i/>
          <w:iCs/>
        </w:rPr>
        <w:t>Ręcławowicz</w:t>
      </w:r>
      <w:proofErr w:type="spellEnd"/>
      <w:r w:rsidRPr="003B1B65">
        <w:rPr>
          <w:rFonts w:cstheme="minorHAnsi"/>
          <w:b/>
          <w:bCs/>
          <w:i/>
          <w:iCs/>
        </w:rPr>
        <w:t xml:space="preserve"> przeciwko Polsce</w:t>
      </w:r>
      <w:r w:rsidRPr="003B1B65">
        <w:rPr>
          <w:rFonts w:cstheme="minorHAnsi"/>
          <w:b/>
          <w:bCs/>
        </w:rPr>
        <w:t xml:space="preserve"> (wyrok z 16 stycznia 2025 r., skarga nr 10911/23)</w:t>
      </w:r>
      <w:r w:rsidRPr="003B1B65">
        <w:rPr>
          <w:rFonts w:cstheme="minorHAnsi"/>
        </w:rPr>
        <w:t xml:space="preserve"> – </w:t>
      </w:r>
      <w:r w:rsidR="00400801" w:rsidRPr="003B1B65">
        <w:rPr>
          <w:rFonts w:cstheme="minorHAnsi"/>
        </w:rPr>
        <w:t>stwierdz</w:t>
      </w:r>
      <w:r w:rsidR="00FD097F" w:rsidRPr="003B1B65">
        <w:rPr>
          <w:rFonts w:cstheme="minorHAnsi"/>
        </w:rPr>
        <w:t>o</w:t>
      </w:r>
      <w:r w:rsidR="00400801" w:rsidRPr="003B1B65">
        <w:rPr>
          <w:rFonts w:cstheme="minorHAnsi"/>
        </w:rPr>
        <w:t>n</w:t>
      </w:r>
      <w:r w:rsidR="00FD097F" w:rsidRPr="003B1B65">
        <w:rPr>
          <w:rFonts w:cstheme="minorHAnsi"/>
        </w:rPr>
        <w:t>o</w:t>
      </w:r>
      <w:r w:rsidR="00400801" w:rsidRPr="003B1B65">
        <w:rPr>
          <w:rFonts w:cstheme="minorHAnsi"/>
        </w:rPr>
        <w:t xml:space="preserve"> </w:t>
      </w:r>
      <w:r w:rsidRPr="003B1B65">
        <w:rPr>
          <w:rFonts w:cstheme="minorHAnsi"/>
        </w:rPr>
        <w:t>naruszeni</w:t>
      </w:r>
      <w:r w:rsidR="00FD097F" w:rsidRPr="003B1B65">
        <w:rPr>
          <w:rFonts w:cstheme="minorHAnsi"/>
        </w:rPr>
        <w:t>e</w:t>
      </w:r>
      <w:r w:rsidRPr="003B1B65">
        <w:rPr>
          <w:rFonts w:cstheme="minorHAnsi"/>
        </w:rPr>
        <w:t xml:space="preserve"> art. 6 ust. 1 i art. 13 Konwencji</w:t>
      </w:r>
      <w:r w:rsidR="000D6C19" w:rsidRPr="003B1B65">
        <w:rPr>
          <w:rFonts w:cstheme="minorHAnsi"/>
        </w:rPr>
        <w:t>,</w:t>
      </w:r>
    </w:p>
    <w:p w14:paraId="442FDCC2" w14:textId="3B6EAA59" w:rsidR="00A86B88" w:rsidRPr="003B1B65" w:rsidRDefault="00A86B88" w:rsidP="003B1B65">
      <w:pPr>
        <w:numPr>
          <w:ilvl w:val="0"/>
          <w:numId w:val="9"/>
        </w:numPr>
        <w:spacing w:before="195" w:after="0"/>
        <w:jc w:val="both"/>
        <w:rPr>
          <w:rFonts w:cstheme="minorHAnsi"/>
        </w:rPr>
      </w:pPr>
      <w:proofErr w:type="spellStart"/>
      <w:r w:rsidRPr="003B1B65">
        <w:rPr>
          <w:rFonts w:cstheme="minorHAnsi"/>
          <w:b/>
          <w:bCs/>
          <w:i/>
          <w:iCs/>
        </w:rPr>
        <w:t>Tobijański</w:t>
      </w:r>
      <w:proofErr w:type="spellEnd"/>
      <w:r w:rsidRPr="003B1B65">
        <w:rPr>
          <w:rFonts w:cstheme="minorHAnsi"/>
          <w:b/>
          <w:bCs/>
          <w:i/>
          <w:iCs/>
        </w:rPr>
        <w:t xml:space="preserve"> przeciwko Polsce</w:t>
      </w:r>
      <w:r w:rsidRPr="003B1B65">
        <w:rPr>
          <w:rFonts w:cstheme="minorHAnsi"/>
          <w:b/>
          <w:bCs/>
        </w:rPr>
        <w:t xml:space="preserve"> (wyrok</w:t>
      </w:r>
      <w:r w:rsidRPr="003B1B65">
        <w:rPr>
          <w:rFonts w:cstheme="minorHAnsi"/>
          <w:b/>
          <w:bCs/>
          <w:i/>
          <w:iCs/>
        </w:rPr>
        <w:t xml:space="preserve"> </w:t>
      </w:r>
      <w:r w:rsidRPr="003B1B65">
        <w:rPr>
          <w:rFonts w:cstheme="minorHAnsi"/>
          <w:b/>
          <w:bCs/>
        </w:rPr>
        <w:t>z 23 stycznia 2025 r., skarga nr 72520/17)</w:t>
      </w:r>
      <w:r w:rsidR="000D6C19" w:rsidRPr="003B1B65">
        <w:rPr>
          <w:rFonts w:cstheme="minorHAnsi"/>
        </w:rPr>
        <w:t xml:space="preserve"> –</w:t>
      </w:r>
      <w:r w:rsidR="00400801" w:rsidRPr="003B1B65">
        <w:rPr>
          <w:rFonts w:cstheme="minorHAnsi"/>
        </w:rPr>
        <w:t xml:space="preserve"> </w:t>
      </w:r>
      <w:r w:rsidR="00FD097F" w:rsidRPr="003B1B65">
        <w:rPr>
          <w:rFonts w:cstheme="minorHAnsi"/>
        </w:rPr>
        <w:t xml:space="preserve">stwierdzono naruszenie </w:t>
      </w:r>
      <w:r w:rsidRPr="003B1B65">
        <w:rPr>
          <w:rFonts w:cstheme="minorHAnsi"/>
        </w:rPr>
        <w:t>art. 6 ust. 1 i 3 lit. c</w:t>
      </w:r>
      <w:r w:rsidR="00A05783" w:rsidRPr="003B1B65">
        <w:rPr>
          <w:rFonts w:cstheme="minorHAnsi"/>
        </w:rPr>
        <w:t>)</w:t>
      </w:r>
      <w:r w:rsidRPr="003B1B65">
        <w:rPr>
          <w:rFonts w:cstheme="minorHAnsi"/>
        </w:rPr>
        <w:t xml:space="preserve"> Konwencji</w:t>
      </w:r>
      <w:r w:rsidR="000D6C19" w:rsidRPr="003B1B65">
        <w:rPr>
          <w:rFonts w:cstheme="minorHAnsi"/>
        </w:rPr>
        <w:t>,</w:t>
      </w:r>
    </w:p>
    <w:p w14:paraId="63F2DB3B" w14:textId="5C6DF2D3" w:rsidR="000D6C19" w:rsidRPr="003B1B65" w:rsidRDefault="000D6C19" w:rsidP="003B1B65">
      <w:pPr>
        <w:numPr>
          <w:ilvl w:val="0"/>
          <w:numId w:val="9"/>
        </w:numPr>
        <w:spacing w:before="195" w:after="0"/>
        <w:jc w:val="both"/>
        <w:rPr>
          <w:rFonts w:cstheme="minorHAnsi"/>
        </w:rPr>
      </w:pPr>
      <w:proofErr w:type="spellStart"/>
      <w:r w:rsidRPr="003B1B65">
        <w:rPr>
          <w:rFonts w:cstheme="minorHAnsi"/>
          <w:b/>
          <w:bCs/>
          <w:i/>
          <w:iCs/>
        </w:rPr>
        <w:t>Caldarar</w:t>
      </w:r>
      <w:proofErr w:type="spellEnd"/>
      <w:r w:rsidRPr="003B1B65">
        <w:rPr>
          <w:rFonts w:cstheme="minorHAnsi"/>
          <w:b/>
          <w:bCs/>
          <w:i/>
          <w:iCs/>
        </w:rPr>
        <w:t xml:space="preserve"> i Inni przeciwko Polsce</w:t>
      </w:r>
      <w:r w:rsidRPr="003B1B65">
        <w:rPr>
          <w:rFonts w:cstheme="minorHAnsi"/>
        </w:rPr>
        <w:t xml:space="preserve"> </w:t>
      </w:r>
      <w:r w:rsidRPr="003B1B65">
        <w:rPr>
          <w:rFonts w:cstheme="minorHAnsi"/>
          <w:b/>
          <w:bCs/>
        </w:rPr>
        <w:t>(wyrok z 6 lutego 2025 r., skarga nr 6142/16)</w:t>
      </w:r>
      <w:r w:rsidRPr="003B1B65">
        <w:rPr>
          <w:rFonts w:cstheme="minorHAnsi"/>
        </w:rPr>
        <w:t xml:space="preserve"> – </w:t>
      </w:r>
      <w:r w:rsidR="00FD097F" w:rsidRPr="003B1B65">
        <w:rPr>
          <w:rFonts w:cstheme="minorHAnsi"/>
        </w:rPr>
        <w:t xml:space="preserve">stwierdzono naruszenie </w:t>
      </w:r>
      <w:r w:rsidRPr="003B1B65">
        <w:rPr>
          <w:rFonts w:cstheme="minorHAnsi"/>
        </w:rPr>
        <w:t>art.</w:t>
      </w:r>
      <w:r w:rsidR="00791636" w:rsidRPr="003B1B65">
        <w:rPr>
          <w:rFonts w:cstheme="minorHAnsi"/>
        </w:rPr>
        <w:t xml:space="preserve"> 8 Konwencji</w:t>
      </w:r>
      <w:r w:rsidR="00400801" w:rsidRPr="003B1B65">
        <w:rPr>
          <w:rFonts w:cstheme="minorHAnsi"/>
        </w:rPr>
        <w:t>,</w:t>
      </w:r>
    </w:p>
    <w:p w14:paraId="7B34C6DB" w14:textId="3BE7C4FD" w:rsidR="00A86B88" w:rsidRPr="003B1B65" w:rsidRDefault="00A86B88" w:rsidP="003B1B65">
      <w:pPr>
        <w:numPr>
          <w:ilvl w:val="0"/>
          <w:numId w:val="9"/>
        </w:numPr>
        <w:spacing w:before="195" w:after="0"/>
        <w:jc w:val="both"/>
        <w:rPr>
          <w:rFonts w:cstheme="minorHAnsi"/>
        </w:rPr>
      </w:pPr>
      <w:r w:rsidRPr="003B1B65">
        <w:rPr>
          <w:rFonts w:cstheme="minorHAnsi"/>
          <w:b/>
          <w:bCs/>
          <w:i/>
          <w:iCs/>
        </w:rPr>
        <w:t>Bona przeciwko Polsce</w:t>
      </w:r>
      <w:r w:rsidRPr="003B1B65">
        <w:rPr>
          <w:rFonts w:cstheme="minorHAnsi"/>
        </w:rPr>
        <w:t xml:space="preserve"> </w:t>
      </w:r>
      <w:r w:rsidRPr="003B1B65">
        <w:rPr>
          <w:rFonts w:cstheme="minorHAnsi"/>
          <w:b/>
          <w:bCs/>
        </w:rPr>
        <w:t>(wyrok z 13 lutego 2025 r.</w:t>
      </w:r>
      <w:r w:rsidR="00242FBB" w:rsidRPr="003B1B65">
        <w:rPr>
          <w:rFonts w:cstheme="minorHAnsi"/>
          <w:b/>
          <w:bCs/>
        </w:rPr>
        <w:t>,</w:t>
      </w:r>
      <w:r w:rsidRPr="003B1B65">
        <w:rPr>
          <w:rFonts w:cstheme="minorHAnsi"/>
          <w:b/>
          <w:bCs/>
        </w:rPr>
        <w:t xml:space="preserve"> skarga nr 10708/23)</w:t>
      </w:r>
      <w:r w:rsidRPr="003B1B65">
        <w:rPr>
          <w:rFonts w:cstheme="minorHAnsi"/>
        </w:rPr>
        <w:t xml:space="preserve"> – </w:t>
      </w:r>
      <w:r w:rsidR="00FD097F" w:rsidRPr="003B1B65">
        <w:rPr>
          <w:rFonts w:cstheme="minorHAnsi"/>
        </w:rPr>
        <w:t xml:space="preserve">stwierdzono naruszenie </w:t>
      </w:r>
      <w:r w:rsidRPr="003B1B65">
        <w:rPr>
          <w:rFonts w:cstheme="minorHAnsi"/>
        </w:rPr>
        <w:t>art. 6 ust. 1 i art. 13 Konwencji,</w:t>
      </w:r>
    </w:p>
    <w:p w14:paraId="32BDAB3B" w14:textId="0935644C"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P. przeciwko Polsce</w:t>
      </w:r>
      <w:r w:rsidRPr="003B1B65">
        <w:rPr>
          <w:rFonts w:cstheme="minorHAnsi"/>
          <w:b/>
          <w:bCs/>
        </w:rPr>
        <w:t xml:space="preserve"> (wyrok z 13 lutego 2025 r.</w:t>
      </w:r>
      <w:r w:rsidR="00242FBB" w:rsidRPr="003B1B65">
        <w:rPr>
          <w:rFonts w:cstheme="minorHAnsi"/>
          <w:b/>
          <w:bCs/>
        </w:rPr>
        <w:t>,</w:t>
      </w:r>
      <w:r w:rsidRPr="003B1B65">
        <w:rPr>
          <w:rFonts w:cstheme="minorHAnsi"/>
          <w:b/>
          <w:bCs/>
        </w:rPr>
        <w:t xml:space="preserve"> skarga nr 56310/15) </w:t>
      </w:r>
      <w:r w:rsidRPr="003B1B65">
        <w:rPr>
          <w:rFonts w:cstheme="minorHAnsi"/>
        </w:rPr>
        <w:t xml:space="preserve">– </w:t>
      </w:r>
      <w:r w:rsidR="00FD097F" w:rsidRPr="003B1B65">
        <w:rPr>
          <w:rFonts w:cstheme="minorHAnsi"/>
        </w:rPr>
        <w:t xml:space="preserve">stwierdzono naruszenie </w:t>
      </w:r>
      <w:r w:rsidRPr="003B1B65">
        <w:rPr>
          <w:rFonts w:cstheme="minorHAnsi"/>
        </w:rPr>
        <w:t>art. 10 Konwencji,</w:t>
      </w:r>
    </w:p>
    <w:p w14:paraId="315ED106" w14:textId="47FE245F"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L.D. przeciwko Polsce</w:t>
      </w:r>
      <w:r w:rsidRPr="003B1B65">
        <w:rPr>
          <w:rFonts w:cstheme="minorHAnsi"/>
          <w:b/>
          <w:bCs/>
        </w:rPr>
        <w:t xml:space="preserve"> (wyrok z 13 lutego 2025 r.</w:t>
      </w:r>
      <w:r w:rsidR="00242FBB" w:rsidRPr="003B1B65">
        <w:rPr>
          <w:rFonts w:cstheme="minorHAnsi"/>
          <w:b/>
          <w:bCs/>
        </w:rPr>
        <w:t>,</w:t>
      </w:r>
      <w:r w:rsidRPr="003B1B65">
        <w:rPr>
          <w:rFonts w:cstheme="minorHAnsi"/>
          <w:b/>
          <w:bCs/>
        </w:rPr>
        <w:t xml:space="preserve"> skarga nr 12119/14) </w:t>
      </w:r>
      <w:r w:rsidRPr="003B1B65">
        <w:rPr>
          <w:rFonts w:cstheme="minorHAnsi"/>
        </w:rPr>
        <w:t xml:space="preserve">– </w:t>
      </w:r>
      <w:r w:rsidR="00FD097F" w:rsidRPr="003B1B65">
        <w:rPr>
          <w:rFonts w:cstheme="minorHAnsi"/>
        </w:rPr>
        <w:t xml:space="preserve">stwierdzono naruszenie </w:t>
      </w:r>
      <w:r w:rsidRPr="003B1B65">
        <w:rPr>
          <w:rFonts w:cstheme="minorHAnsi"/>
        </w:rPr>
        <w:t>art. 8 Konwencji,</w:t>
      </w:r>
    </w:p>
    <w:p w14:paraId="1D859DD0" w14:textId="6F7EF295"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Szypuła i Inni przeciwko Polsce</w:t>
      </w:r>
      <w:r w:rsidRPr="003B1B65">
        <w:rPr>
          <w:rFonts w:cstheme="minorHAnsi"/>
          <w:b/>
          <w:bCs/>
        </w:rPr>
        <w:t xml:space="preserve"> (wyrok z 27 lutego 2025 r.</w:t>
      </w:r>
      <w:r w:rsidR="00242FBB" w:rsidRPr="003B1B65">
        <w:rPr>
          <w:rFonts w:cstheme="minorHAnsi"/>
          <w:b/>
          <w:bCs/>
        </w:rPr>
        <w:t>,</w:t>
      </w:r>
      <w:r w:rsidRPr="003B1B65">
        <w:rPr>
          <w:rFonts w:cstheme="minorHAnsi"/>
          <w:b/>
          <w:bCs/>
        </w:rPr>
        <w:t xml:space="preserve"> skarg</w:t>
      </w:r>
      <w:r w:rsidR="007F5E0C" w:rsidRPr="003B1B65">
        <w:rPr>
          <w:rFonts w:cstheme="minorHAnsi"/>
          <w:b/>
          <w:bCs/>
        </w:rPr>
        <w:t>i</w:t>
      </w:r>
      <w:r w:rsidRPr="003B1B65">
        <w:rPr>
          <w:rFonts w:cstheme="minorHAnsi"/>
          <w:b/>
          <w:bCs/>
        </w:rPr>
        <w:t xml:space="preserve"> nr </w:t>
      </w:r>
      <w:r w:rsidR="007F5E0C" w:rsidRPr="003B1B65">
        <w:rPr>
          <w:rFonts w:cstheme="minorHAnsi"/>
          <w:b/>
          <w:bCs/>
        </w:rPr>
        <w:t>78030/14 i 23669/16)</w:t>
      </w:r>
      <w:r w:rsidRPr="003B1B65">
        <w:rPr>
          <w:rFonts w:cstheme="minorHAnsi"/>
          <w:b/>
          <w:bCs/>
        </w:rPr>
        <w:t xml:space="preserve"> </w:t>
      </w:r>
      <w:r w:rsidRPr="003B1B65">
        <w:rPr>
          <w:rFonts w:cstheme="minorHAnsi"/>
        </w:rPr>
        <w:t xml:space="preserve">– </w:t>
      </w:r>
      <w:r w:rsidR="00FD097F" w:rsidRPr="003B1B65">
        <w:rPr>
          <w:rFonts w:cstheme="minorHAnsi"/>
        </w:rPr>
        <w:t xml:space="preserve">stwierdzono naruszenie </w:t>
      </w:r>
      <w:r w:rsidRPr="003B1B65">
        <w:rPr>
          <w:rFonts w:cstheme="minorHAnsi"/>
        </w:rPr>
        <w:t>art. 8 Konwencji,</w:t>
      </w:r>
    </w:p>
    <w:p w14:paraId="2A03E4BE" w14:textId="0555C4DF"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Andersen przeciwko Polsce</w:t>
      </w:r>
      <w:r w:rsidRPr="003B1B65">
        <w:rPr>
          <w:rFonts w:cstheme="minorHAnsi"/>
          <w:b/>
          <w:bCs/>
        </w:rPr>
        <w:t xml:space="preserve"> (wyrok z 24 kwietnia 2025 r.</w:t>
      </w:r>
      <w:r w:rsidR="00242FBB" w:rsidRPr="003B1B65">
        <w:rPr>
          <w:rFonts w:cstheme="minorHAnsi"/>
          <w:b/>
          <w:bCs/>
        </w:rPr>
        <w:t>,</w:t>
      </w:r>
      <w:r w:rsidRPr="003B1B65">
        <w:rPr>
          <w:rFonts w:cstheme="minorHAnsi"/>
          <w:b/>
          <w:bCs/>
        </w:rPr>
        <w:t xml:space="preserve"> skarga nr 53662/20) </w:t>
      </w:r>
      <w:r w:rsidRPr="003B1B65">
        <w:rPr>
          <w:rFonts w:cstheme="minorHAnsi"/>
        </w:rPr>
        <w:t xml:space="preserve">– </w:t>
      </w:r>
      <w:r w:rsidR="00FD097F" w:rsidRPr="003B1B65">
        <w:rPr>
          <w:rFonts w:cstheme="minorHAnsi"/>
        </w:rPr>
        <w:t xml:space="preserve">stwierdzono naruszenie </w:t>
      </w:r>
      <w:r w:rsidRPr="003B1B65">
        <w:rPr>
          <w:rFonts w:cstheme="minorHAnsi"/>
        </w:rPr>
        <w:t>art. 8 Konwencji</w:t>
      </w:r>
      <w:r w:rsidR="00803C5E" w:rsidRPr="003B1B65">
        <w:rPr>
          <w:rFonts w:cstheme="minorHAnsi"/>
        </w:rPr>
        <w:t xml:space="preserve">, </w:t>
      </w:r>
    </w:p>
    <w:p w14:paraId="726B1EFE" w14:textId="715BD95A" w:rsidR="00A86B88" w:rsidRPr="003B1B65" w:rsidRDefault="00A86B88" w:rsidP="003B1B65">
      <w:pPr>
        <w:numPr>
          <w:ilvl w:val="0"/>
          <w:numId w:val="9"/>
        </w:numPr>
        <w:spacing w:before="195" w:after="0"/>
        <w:jc w:val="both"/>
        <w:rPr>
          <w:rFonts w:cstheme="minorHAnsi"/>
          <w:b/>
          <w:bCs/>
        </w:rPr>
      </w:pPr>
      <w:proofErr w:type="spellStart"/>
      <w:r w:rsidRPr="003B1B65">
        <w:rPr>
          <w:rFonts w:cstheme="minorHAnsi"/>
          <w:b/>
          <w:bCs/>
          <w:i/>
          <w:iCs/>
        </w:rPr>
        <w:t>Sadomski</w:t>
      </w:r>
      <w:proofErr w:type="spellEnd"/>
      <w:r w:rsidRPr="003B1B65">
        <w:rPr>
          <w:rFonts w:cstheme="minorHAnsi"/>
          <w:b/>
          <w:bCs/>
          <w:i/>
          <w:iCs/>
        </w:rPr>
        <w:t xml:space="preserve"> przeciwko Polsce</w:t>
      </w:r>
      <w:r w:rsidRPr="003B1B65">
        <w:rPr>
          <w:rFonts w:cstheme="minorHAnsi"/>
        </w:rPr>
        <w:t xml:space="preserve"> </w:t>
      </w:r>
      <w:r w:rsidRPr="003B1B65">
        <w:rPr>
          <w:rFonts w:cstheme="minorHAnsi"/>
          <w:b/>
          <w:bCs/>
        </w:rPr>
        <w:t>(wyrok z 9 maja 2025 r.</w:t>
      </w:r>
      <w:r w:rsidR="00242FBB" w:rsidRPr="003B1B65">
        <w:rPr>
          <w:rFonts w:cstheme="minorHAnsi"/>
          <w:b/>
          <w:bCs/>
        </w:rPr>
        <w:t>,</w:t>
      </w:r>
      <w:r w:rsidRPr="003B1B65">
        <w:rPr>
          <w:rFonts w:cstheme="minorHAnsi"/>
          <w:b/>
          <w:bCs/>
        </w:rPr>
        <w:t xml:space="preserve"> skarga nr 56297/21)</w:t>
      </w:r>
      <w:r w:rsidRPr="003B1B65">
        <w:rPr>
          <w:rFonts w:cstheme="minorHAnsi"/>
        </w:rPr>
        <w:t xml:space="preserve"> – </w:t>
      </w:r>
      <w:r w:rsidR="00FD097F" w:rsidRPr="003B1B65">
        <w:rPr>
          <w:rFonts w:cstheme="minorHAnsi"/>
        </w:rPr>
        <w:t xml:space="preserve">stwierdzono naruszenie </w:t>
      </w:r>
      <w:r w:rsidRPr="003B1B65">
        <w:rPr>
          <w:rFonts w:cstheme="minorHAnsi"/>
        </w:rPr>
        <w:t>art.</w:t>
      </w:r>
      <w:r w:rsidR="00803C5E" w:rsidRPr="003B1B65">
        <w:rPr>
          <w:rFonts w:cstheme="minorHAnsi"/>
        </w:rPr>
        <w:t> 6 ust. 1 </w:t>
      </w:r>
      <w:r w:rsidRPr="003B1B65">
        <w:rPr>
          <w:rFonts w:cstheme="minorHAnsi"/>
        </w:rPr>
        <w:t xml:space="preserve">Konwencji, </w:t>
      </w:r>
    </w:p>
    <w:p w14:paraId="1290EB8A" w14:textId="4E6A6955" w:rsidR="00A86B88" w:rsidRPr="003B1B65" w:rsidRDefault="00A86B88" w:rsidP="003B1B65">
      <w:pPr>
        <w:numPr>
          <w:ilvl w:val="0"/>
          <w:numId w:val="9"/>
        </w:numPr>
        <w:spacing w:before="195" w:after="120"/>
        <w:jc w:val="both"/>
        <w:rPr>
          <w:rFonts w:cstheme="minorHAnsi"/>
        </w:rPr>
      </w:pPr>
      <w:r w:rsidRPr="003B1B65">
        <w:rPr>
          <w:rFonts w:cstheme="minorHAnsi"/>
          <w:b/>
          <w:bCs/>
          <w:i/>
          <w:iCs/>
        </w:rPr>
        <w:t>Orłowski przeciwko Polsce</w:t>
      </w:r>
      <w:r w:rsidRPr="003B1B65">
        <w:rPr>
          <w:rFonts w:cstheme="minorHAnsi"/>
          <w:b/>
          <w:bCs/>
        </w:rPr>
        <w:t xml:space="preserve"> (wyrok z 26 czerwca 2025 r.</w:t>
      </w:r>
      <w:r w:rsidR="00242FBB" w:rsidRPr="003B1B65">
        <w:rPr>
          <w:rFonts w:cstheme="minorHAnsi"/>
          <w:b/>
          <w:bCs/>
        </w:rPr>
        <w:t>,</w:t>
      </w:r>
      <w:r w:rsidRPr="003B1B65">
        <w:rPr>
          <w:rFonts w:cstheme="minorHAnsi"/>
          <w:b/>
          <w:bCs/>
        </w:rPr>
        <w:t xml:space="preserve"> skarga nr 5648/21) </w:t>
      </w:r>
      <w:r w:rsidRPr="003B1B65">
        <w:rPr>
          <w:rFonts w:cstheme="minorHAnsi"/>
        </w:rPr>
        <w:t xml:space="preserve">– </w:t>
      </w:r>
      <w:r w:rsidR="00FD097F" w:rsidRPr="003B1B65">
        <w:rPr>
          <w:rFonts w:cstheme="minorHAnsi"/>
        </w:rPr>
        <w:t xml:space="preserve">stwierdzono naruszenie </w:t>
      </w:r>
      <w:r w:rsidRPr="003B1B65">
        <w:rPr>
          <w:rFonts w:cstheme="minorHAnsi"/>
        </w:rPr>
        <w:t>art. 3</w:t>
      </w:r>
      <w:r w:rsidRPr="003B1B65">
        <w:rPr>
          <w:rFonts w:cstheme="minorHAnsi"/>
          <w:b/>
          <w:bCs/>
        </w:rPr>
        <w:t xml:space="preserve"> </w:t>
      </w:r>
      <w:r w:rsidRPr="003B1B65">
        <w:rPr>
          <w:rFonts w:cstheme="minorHAnsi"/>
        </w:rPr>
        <w:t>Konwencji</w:t>
      </w:r>
      <w:r w:rsidR="002E4780" w:rsidRPr="003B1B65">
        <w:rPr>
          <w:rFonts w:cstheme="minorHAnsi"/>
        </w:rPr>
        <w:t>,</w:t>
      </w:r>
    </w:p>
    <w:p w14:paraId="7449F040" w14:textId="271FC8F0"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Bednarek i Inni przeciwko Polsce</w:t>
      </w:r>
      <w:r w:rsidRPr="003B1B65">
        <w:rPr>
          <w:rFonts w:cstheme="minorHAnsi"/>
          <w:b/>
          <w:bCs/>
        </w:rPr>
        <w:t xml:space="preserve"> (wyrok z 10 lipca 2025 r.</w:t>
      </w:r>
      <w:r w:rsidR="00242FBB" w:rsidRPr="003B1B65">
        <w:rPr>
          <w:rFonts w:cstheme="minorHAnsi"/>
          <w:b/>
          <w:bCs/>
        </w:rPr>
        <w:t>,</w:t>
      </w:r>
      <w:r w:rsidRPr="003B1B65">
        <w:rPr>
          <w:rFonts w:cstheme="minorHAnsi"/>
          <w:b/>
          <w:bCs/>
        </w:rPr>
        <w:t xml:space="preserve"> skarga nr 58207/14) </w:t>
      </w:r>
      <w:r w:rsidRPr="003B1B65">
        <w:rPr>
          <w:rFonts w:cstheme="minorHAnsi"/>
        </w:rPr>
        <w:t>–</w:t>
      </w:r>
      <w:r w:rsidR="00242FBB" w:rsidRPr="003B1B65">
        <w:rPr>
          <w:rFonts w:cstheme="minorHAnsi"/>
        </w:rPr>
        <w:t xml:space="preserve"> </w:t>
      </w:r>
      <w:r w:rsidR="00FD097F" w:rsidRPr="003B1B65">
        <w:rPr>
          <w:rFonts w:cstheme="minorHAnsi"/>
        </w:rPr>
        <w:t xml:space="preserve">stwierdzono naruszenie </w:t>
      </w:r>
      <w:r w:rsidRPr="003B1B65">
        <w:rPr>
          <w:rFonts w:cstheme="minorHAnsi"/>
        </w:rPr>
        <w:t>art. 3</w:t>
      </w:r>
      <w:r w:rsidR="003B1B65">
        <w:rPr>
          <w:rFonts w:cstheme="minorHAnsi"/>
        </w:rPr>
        <w:t xml:space="preserve"> </w:t>
      </w:r>
      <w:r w:rsidRPr="003B1B65">
        <w:rPr>
          <w:rFonts w:cstheme="minorHAnsi"/>
        </w:rPr>
        <w:t>w związku z art. 14 Konwencji,</w:t>
      </w:r>
    </w:p>
    <w:p w14:paraId="5392C0A2" w14:textId="1915DD46" w:rsidR="00A86B88" w:rsidRPr="003B1B65" w:rsidRDefault="00A86B88" w:rsidP="003B1B65">
      <w:pPr>
        <w:numPr>
          <w:ilvl w:val="0"/>
          <w:numId w:val="9"/>
        </w:numPr>
        <w:spacing w:before="195" w:after="0"/>
        <w:jc w:val="both"/>
        <w:rPr>
          <w:rFonts w:cstheme="minorHAnsi"/>
        </w:rPr>
      </w:pPr>
      <w:r w:rsidRPr="003B1B65">
        <w:rPr>
          <w:rFonts w:cstheme="minorHAnsi"/>
          <w:b/>
          <w:bCs/>
          <w:i/>
          <w:iCs/>
        </w:rPr>
        <w:t>Siedlecka przeciwko Polsce</w:t>
      </w:r>
      <w:r w:rsidRPr="003B1B65">
        <w:rPr>
          <w:rFonts w:cstheme="minorHAnsi"/>
          <w:b/>
          <w:bCs/>
        </w:rPr>
        <w:t xml:space="preserve"> (wyrok z 31 lipca 2025 r.,</w:t>
      </w:r>
      <w:r w:rsidR="000D6C19" w:rsidRPr="003B1B65">
        <w:rPr>
          <w:rFonts w:cstheme="minorHAnsi"/>
          <w:b/>
          <w:bCs/>
        </w:rPr>
        <w:t xml:space="preserve"> </w:t>
      </w:r>
      <w:r w:rsidRPr="003B1B65">
        <w:rPr>
          <w:rFonts w:cstheme="minorHAnsi"/>
          <w:b/>
          <w:bCs/>
        </w:rPr>
        <w:t xml:space="preserve">skarga nr 13375/18) </w:t>
      </w:r>
      <w:r w:rsidRPr="003B1B65">
        <w:rPr>
          <w:rFonts w:cstheme="minorHAnsi"/>
        </w:rPr>
        <w:t>–</w:t>
      </w:r>
      <w:r w:rsidRPr="003B1B65">
        <w:rPr>
          <w:rFonts w:cstheme="minorHAnsi"/>
          <w:b/>
          <w:bCs/>
        </w:rPr>
        <w:t xml:space="preserve"> </w:t>
      </w:r>
      <w:r w:rsidR="00FD097F" w:rsidRPr="003B1B65">
        <w:rPr>
          <w:rFonts w:cstheme="minorHAnsi"/>
        </w:rPr>
        <w:t xml:space="preserve">stwierdzono naruszenie </w:t>
      </w:r>
      <w:r w:rsidR="000D6C19" w:rsidRPr="003B1B65">
        <w:rPr>
          <w:rFonts w:cstheme="minorHAnsi"/>
        </w:rPr>
        <w:t>art.</w:t>
      </w:r>
      <w:r w:rsidR="00E44329" w:rsidRPr="003B1B65">
        <w:rPr>
          <w:rFonts w:cstheme="minorHAnsi"/>
        </w:rPr>
        <w:t xml:space="preserve"> 5 ust. 1 Konwencji, </w:t>
      </w:r>
    </w:p>
    <w:p w14:paraId="186E2A45" w14:textId="20EC5E78" w:rsidR="00E9318B" w:rsidRPr="003B1B65" w:rsidRDefault="00E9318B" w:rsidP="003B1B65">
      <w:pPr>
        <w:numPr>
          <w:ilvl w:val="0"/>
          <w:numId w:val="9"/>
        </w:numPr>
        <w:spacing w:before="195" w:after="0"/>
        <w:jc w:val="both"/>
        <w:rPr>
          <w:rFonts w:cstheme="minorHAnsi"/>
        </w:rPr>
      </w:pPr>
      <w:r w:rsidRPr="003B1B65">
        <w:rPr>
          <w:rFonts w:cstheme="minorHAnsi"/>
          <w:b/>
          <w:bCs/>
          <w:i/>
          <w:iCs/>
        </w:rPr>
        <w:t>A.W. przeciwko Polsce</w:t>
      </w:r>
      <w:r w:rsidRPr="003B1B65">
        <w:rPr>
          <w:rFonts w:cstheme="minorHAnsi"/>
          <w:b/>
          <w:bCs/>
        </w:rPr>
        <w:t xml:space="preserve"> (wyrok z 9 października 2025 r., skarga nr 1307/21)</w:t>
      </w:r>
      <w:r w:rsidRPr="003B1B65">
        <w:rPr>
          <w:rFonts w:cstheme="minorHAnsi"/>
        </w:rPr>
        <w:t xml:space="preserve"> –</w:t>
      </w:r>
      <w:r w:rsidRPr="003B1B65">
        <w:rPr>
          <w:rFonts w:cstheme="minorHAnsi"/>
          <w:b/>
          <w:bCs/>
        </w:rPr>
        <w:t xml:space="preserve"> </w:t>
      </w:r>
      <w:r w:rsidR="00FD097F" w:rsidRPr="003B1B65">
        <w:rPr>
          <w:rFonts w:cstheme="minorHAnsi"/>
        </w:rPr>
        <w:t xml:space="preserve">stwierdzono naruszenie </w:t>
      </w:r>
      <w:r w:rsidRPr="003B1B65">
        <w:rPr>
          <w:rFonts w:cstheme="minorHAnsi"/>
        </w:rPr>
        <w:t>art.</w:t>
      </w:r>
      <w:r w:rsidR="00E44329" w:rsidRPr="003B1B65">
        <w:rPr>
          <w:rFonts w:cstheme="minorHAnsi"/>
        </w:rPr>
        <w:t xml:space="preserve"> 8 Konwencji,</w:t>
      </w:r>
    </w:p>
    <w:p w14:paraId="31D826E7" w14:textId="006462A1"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T.T. przeciwko Polsce</w:t>
      </w:r>
      <w:r w:rsidRPr="003B1B65">
        <w:rPr>
          <w:rFonts w:cstheme="minorHAnsi"/>
          <w:b/>
          <w:bCs/>
        </w:rPr>
        <w:t xml:space="preserve"> (wyrok z 16 października 2025 r.,</w:t>
      </w:r>
      <w:r w:rsidR="000D6C19" w:rsidRPr="003B1B65">
        <w:rPr>
          <w:rFonts w:cstheme="minorHAnsi"/>
          <w:b/>
          <w:bCs/>
        </w:rPr>
        <w:t xml:space="preserve"> </w:t>
      </w:r>
      <w:r w:rsidRPr="003B1B65">
        <w:rPr>
          <w:rFonts w:cstheme="minorHAnsi"/>
          <w:b/>
          <w:bCs/>
        </w:rPr>
        <w:t>skarga nr 51505 /20)</w:t>
      </w:r>
      <w:r w:rsidRPr="003B1B65">
        <w:rPr>
          <w:rFonts w:cstheme="minorHAnsi"/>
        </w:rPr>
        <w:t xml:space="preserve"> –</w:t>
      </w:r>
      <w:r w:rsidRPr="003B1B65">
        <w:rPr>
          <w:rFonts w:cstheme="minorHAnsi"/>
          <w:b/>
          <w:bCs/>
        </w:rPr>
        <w:t xml:space="preserve"> </w:t>
      </w:r>
      <w:r w:rsidR="00FD097F" w:rsidRPr="003B1B65">
        <w:rPr>
          <w:rFonts w:cstheme="minorHAnsi"/>
        </w:rPr>
        <w:t xml:space="preserve">stwierdzono naruszenie </w:t>
      </w:r>
      <w:r w:rsidR="000D6C19" w:rsidRPr="003B1B65">
        <w:rPr>
          <w:rFonts w:cstheme="minorHAnsi"/>
        </w:rPr>
        <w:t>art.</w:t>
      </w:r>
      <w:r w:rsidR="006C3D65" w:rsidRPr="003B1B65">
        <w:rPr>
          <w:rFonts w:cstheme="minorHAnsi"/>
        </w:rPr>
        <w:t xml:space="preserve"> 8 Konwencji,</w:t>
      </w:r>
    </w:p>
    <w:p w14:paraId="4C593E6A" w14:textId="7723B901"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A.G.-Ś. przeciwko Polsce</w:t>
      </w:r>
      <w:r w:rsidRPr="003B1B65">
        <w:rPr>
          <w:rFonts w:cstheme="minorHAnsi"/>
          <w:b/>
          <w:bCs/>
        </w:rPr>
        <w:t xml:space="preserve"> (wyrok z 13 listopada 2025 r.,</w:t>
      </w:r>
      <w:r w:rsidR="000D6C19" w:rsidRPr="003B1B65">
        <w:rPr>
          <w:rFonts w:cstheme="minorHAnsi"/>
          <w:b/>
          <w:bCs/>
        </w:rPr>
        <w:t xml:space="preserve"> </w:t>
      </w:r>
      <w:r w:rsidRPr="003B1B65">
        <w:rPr>
          <w:rFonts w:cstheme="minorHAnsi"/>
          <w:b/>
          <w:bCs/>
        </w:rPr>
        <w:t>skarga nr 10685/18)</w:t>
      </w:r>
      <w:r w:rsidRPr="003B1B65">
        <w:rPr>
          <w:rFonts w:cstheme="minorHAnsi"/>
        </w:rPr>
        <w:t xml:space="preserve"> – </w:t>
      </w:r>
      <w:r w:rsidR="00FD097F" w:rsidRPr="003B1B65">
        <w:rPr>
          <w:rFonts w:cstheme="minorHAnsi"/>
        </w:rPr>
        <w:t xml:space="preserve">stwierdzono naruszenie </w:t>
      </w:r>
      <w:r w:rsidR="000D6C19" w:rsidRPr="003B1B65">
        <w:rPr>
          <w:rFonts w:cstheme="minorHAnsi"/>
        </w:rPr>
        <w:t>art.</w:t>
      </w:r>
      <w:r w:rsidR="006C3D65" w:rsidRPr="003B1B65">
        <w:rPr>
          <w:rFonts w:cstheme="minorHAnsi"/>
        </w:rPr>
        <w:t xml:space="preserve"> 8 Konwencji,</w:t>
      </w:r>
    </w:p>
    <w:p w14:paraId="16BC41D3" w14:textId="552B900A" w:rsidR="00A86B88" w:rsidRPr="003B1B65" w:rsidRDefault="00A86B88" w:rsidP="003B1B65">
      <w:pPr>
        <w:numPr>
          <w:ilvl w:val="0"/>
          <w:numId w:val="9"/>
        </w:numPr>
        <w:spacing w:before="195" w:after="0"/>
        <w:jc w:val="both"/>
        <w:rPr>
          <w:rFonts w:cstheme="minorHAnsi"/>
        </w:rPr>
      </w:pPr>
      <w:r w:rsidRPr="003B1B65">
        <w:rPr>
          <w:rFonts w:cstheme="minorHAnsi"/>
          <w:b/>
          <w:bCs/>
          <w:i/>
          <w:iCs/>
        </w:rPr>
        <w:t>A.R. przeciwko Polsce</w:t>
      </w:r>
      <w:r w:rsidRPr="003B1B65">
        <w:rPr>
          <w:rFonts w:cstheme="minorHAnsi"/>
          <w:b/>
          <w:bCs/>
        </w:rPr>
        <w:t xml:space="preserve"> (wyrok 13 listopada 2025 r.,</w:t>
      </w:r>
      <w:r w:rsidR="000D6C19" w:rsidRPr="003B1B65">
        <w:rPr>
          <w:rFonts w:cstheme="minorHAnsi"/>
          <w:b/>
          <w:bCs/>
        </w:rPr>
        <w:t xml:space="preserve"> </w:t>
      </w:r>
      <w:r w:rsidRPr="003B1B65">
        <w:rPr>
          <w:rFonts w:cstheme="minorHAnsi"/>
          <w:b/>
          <w:bCs/>
        </w:rPr>
        <w:t>skarga nr 6030/21)</w:t>
      </w:r>
      <w:r w:rsidRPr="003B1B65">
        <w:rPr>
          <w:rFonts w:cstheme="minorHAnsi"/>
        </w:rPr>
        <w:t xml:space="preserve"> </w:t>
      </w:r>
      <w:r w:rsidR="00242FBB" w:rsidRPr="003B1B65">
        <w:rPr>
          <w:rFonts w:cstheme="minorHAnsi"/>
        </w:rPr>
        <w:t>–</w:t>
      </w:r>
      <w:r w:rsidRPr="003B1B65">
        <w:rPr>
          <w:rFonts w:cstheme="minorHAnsi"/>
        </w:rPr>
        <w:t xml:space="preserve"> </w:t>
      </w:r>
      <w:r w:rsidR="00FD097F" w:rsidRPr="003B1B65">
        <w:rPr>
          <w:rFonts w:cstheme="minorHAnsi"/>
        </w:rPr>
        <w:t xml:space="preserve">stwierdzono naruszenie </w:t>
      </w:r>
      <w:r w:rsidR="000D6C19" w:rsidRPr="003B1B65">
        <w:rPr>
          <w:rFonts w:cstheme="minorHAnsi"/>
        </w:rPr>
        <w:t>art.</w:t>
      </w:r>
      <w:r w:rsidR="00400801" w:rsidRPr="003B1B65">
        <w:rPr>
          <w:rFonts w:cstheme="minorHAnsi"/>
        </w:rPr>
        <w:t xml:space="preserve"> 8 Konwencji,</w:t>
      </w:r>
    </w:p>
    <w:p w14:paraId="3207CFFB" w14:textId="0D2E492B" w:rsidR="00A86B88" w:rsidRPr="003B1B65" w:rsidRDefault="00A86B88" w:rsidP="003B1B65">
      <w:pPr>
        <w:numPr>
          <w:ilvl w:val="0"/>
          <w:numId w:val="9"/>
        </w:numPr>
        <w:spacing w:before="195" w:after="0"/>
        <w:jc w:val="both"/>
        <w:rPr>
          <w:rFonts w:cstheme="minorHAnsi"/>
          <w:b/>
          <w:bCs/>
        </w:rPr>
      </w:pPr>
      <w:r w:rsidRPr="003B1B65">
        <w:rPr>
          <w:rFonts w:cstheme="minorHAnsi"/>
          <w:b/>
          <w:bCs/>
          <w:i/>
          <w:iCs/>
        </w:rPr>
        <w:t>K.G. i S.G. przeciwko Polsce</w:t>
      </w:r>
      <w:r w:rsidRPr="003B1B65">
        <w:rPr>
          <w:rFonts w:cstheme="minorHAnsi"/>
          <w:b/>
          <w:bCs/>
        </w:rPr>
        <w:t xml:space="preserve"> (wyrok z 27 listopada 2025 r., skarga nr 62466/19)</w:t>
      </w:r>
      <w:r w:rsidRPr="003B1B65">
        <w:rPr>
          <w:rFonts w:cstheme="minorHAnsi"/>
        </w:rPr>
        <w:t xml:space="preserve"> – </w:t>
      </w:r>
      <w:r w:rsidR="00FD097F" w:rsidRPr="003B1B65">
        <w:rPr>
          <w:rFonts w:cstheme="minorHAnsi"/>
        </w:rPr>
        <w:t xml:space="preserve">stwierdzono naruszenie </w:t>
      </w:r>
      <w:r w:rsidR="000D6C19" w:rsidRPr="003B1B65">
        <w:rPr>
          <w:rFonts w:cstheme="minorHAnsi"/>
        </w:rPr>
        <w:t>art.</w:t>
      </w:r>
      <w:r w:rsidR="00400801" w:rsidRPr="003B1B65">
        <w:rPr>
          <w:rFonts w:cstheme="minorHAnsi"/>
          <w:color w:val="1B1B1B"/>
          <w:shd w:val="clear" w:color="auto" w:fill="FFFFFF"/>
        </w:rPr>
        <w:t xml:space="preserve"> </w:t>
      </w:r>
      <w:r w:rsidR="00400801" w:rsidRPr="003B1B65">
        <w:rPr>
          <w:rFonts w:cstheme="minorHAnsi"/>
        </w:rPr>
        <w:t>5 ust. 1 lit. f) i art. 8 Konwencji.</w:t>
      </w:r>
    </w:p>
    <w:p w14:paraId="6BA7907C" w14:textId="5CA8CAF2" w:rsidR="00076740" w:rsidRPr="003B1B65" w:rsidRDefault="00076740" w:rsidP="003B1B65">
      <w:pPr>
        <w:jc w:val="both"/>
        <w:rPr>
          <w:rFonts w:eastAsiaTheme="minorHAnsi" w:cstheme="minorHAnsi"/>
          <w:b/>
          <w:lang w:eastAsia="en-US"/>
        </w:rPr>
      </w:pPr>
    </w:p>
    <w:p w14:paraId="328BDBF6" w14:textId="139C3B9C" w:rsidR="002055A8" w:rsidRPr="003B1B65" w:rsidRDefault="0092344C" w:rsidP="003B1B65">
      <w:pPr>
        <w:tabs>
          <w:tab w:val="left" w:pos="540"/>
        </w:tabs>
        <w:spacing w:after="0"/>
        <w:jc w:val="both"/>
        <w:rPr>
          <w:rFonts w:eastAsiaTheme="minorHAnsi" w:cstheme="minorHAnsi"/>
          <w:b/>
          <w:color w:val="FF0000"/>
          <w:lang w:eastAsia="en-US"/>
        </w:rPr>
      </w:pPr>
      <w:r w:rsidRPr="003B1B65">
        <w:rPr>
          <w:rFonts w:eastAsiaTheme="minorHAnsi" w:cstheme="minorHAnsi"/>
          <w:b/>
          <w:color w:val="FF0000"/>
          <w:lang w:eastAsia="en-US"/>
        </w:rPr>
        <w:t>Omówienie wyroków ETPC, w których stwierdzono naruszenie praw konwencyjnych:</w:t>
      </w:r>
    </w:p>
    <w:p w14:paraId="23BB6BDC" w14:textId="77777777" w:rsidR="00A86B88" w:rsidRPr="003B1B65" w:rsidRDefault="00A86B88" w:rsidP="003B1B65">
      <w:pPr>
        <w:tabs>
          <w:tab w:val="left" w:pos="540"/>
        </w:tabs>
        <w:spacing w:after="0"/>
        <w:jc w:val="both"/>
        <w:rPr>
          <w:rFonts w:eastAsiaTheme="minorHAnsi" w:cstheme="minorHAnsi"/>
          <w:b/>
          <w:lang w:eastAsia="en-US"/>
        </w:rPr>
      </w:pPr>
    </w:p>
    <w:p w14:paraId="320FF031" w14:textId="077A2532" w:rsidR="00A86B88" w:rsidRPr="003B1B65" w:rsidRDefault="00A86B88" w:rsidP="003B1B65">
      <w:pPr>
        <w:spacing w:after="120"/>
        <w:jc w:val="both"/>
        <w:rPr>
          <w:rFonts w:cstheme="minorHAnsi"/>
        </w:rPr>
      </w:pPr>
      <w:r w:rsidRPr="003B1B65">
        <w:rPr>
          <w:rFonts w:cstheme="minorHAnsi"/>
        </w:rPr>
        <w:t xml:space="preserve">W sprawie </w:t>
      </w:r>
      <w:proofErr w:type="spellStart"/>
      <w:r w:rsidRPr="003B1B65">
        <w:rPr>
          <w:rFonts w:cstheme="minorHAnsi"/>
          <w:b/>
          <w:bCs/>
          <w:i/>
          <w:iCs/>
        </w:rPr>
        <w:t>Ręcławowicz</w:t>
      </w:r>
      <w:proofErr w:type="spellEnd"/>
      <w:r w:rsidRPr="003B1B65">
        <w:rPr>
          <w:rFonts w:cstheme="minorHAnsi"/>
          <w:b/>
          <w:bCs/>
          <w:i/>
          <w:iCs/>
        </w:rPr>
        <w:t xml:space="preserve"> przeciwko Polsce</w:t>
      </w:r>
      <w:r w:rsidRPr="003B1B65">
        <w:rPr>
          <w:rFonts w:cstheme="minorHAnsi"/>
          <w:b/>
          <w:bCs/>
        </w:rPr>
        <w:t> (skarga nr 10911/23)</w:t>
      </w:r>
      <w:r w:rsidRPr="003B1B65">
        <w:rPr>
          <w:rFonts w:cstheme="minorHAnsi"/>
        </w:rPr>
        <w:t xml:space="preserve"> skarżący: Paulina </w:t>
      </w:r>
      <w:proofErr w:type="spellStart"/>
      <w:r w:rsidRPr="003B1B65">
        <w:rPr>
          <w:rFonts w:cstheme="minorHAnsi"/>
        </w:rPr>
        <w:t>Ręcławowicz</w:t>
      </w:r>
      <w:proofErr w:type="spellEnd"/>
      <w:r w:rsidRPr="003B1B65">
        <w:rPr>
          <w:rFonts w:cstheme="minorHAnsi"/>
        </w:rPr>
        <w:t xml:space="preserve"> oraz</w:t>
      </w:r>
      <w:r w:rsidR="002A12C9">
        <w:rPr>
          <w:rFonts w:cstheme="minorHAnsi"/>
        </w:rPr>
        <w:t xml:space="preserve"> </w:t>
      </w:r>
      <w:r w:rsidRPr="003B1B65">
        <w:rPr>
          <w:rFonts w:cstheme="minorHAnsi"/>
        </w:rPr>
        <w:t xml:space="preserve">Jacek </w:t>
      </w:r>
      <w:proofErr w:type="spellStart"/>
      <w:r w:rsidRPr="003B1B65">
        <w:rPr>
          <w:rFonts w:cstheme="minorHAnsi"/>
        </w:rPr>
        <w:t>Ręcławowicz</w:t>
      </w:r>
      <w:proofErr w:type="spellEnd"/>
      <w:r w:rsidRPr="003B1B65">
        <w:rPr>
          <w:rFonts w:cstheme="minorHAnsi"/>
        </w:rPr>
        <w:t xml:space="preserve"> w skardze złożonej do</w:t>
      </w:r>
      <w:r w:rsidR="00B62872" w:rsidRPr="003B1B65">
        <w:rPr>
          <w:rFonts w:cstheme="minorHAnsi"/>
        </w:rPr>
        <w:t> </w:t>
      </w:r>
      <w:r w:rsidRPr="003B1B65">
        <w:rPr>
          <w:rFonts w:cstheme="minorHAnsi"/>
        </w:rPr>
        <w:t>Trybunału zarzucili naruszenie art. 6 ust. 1 i art. 13 Konwencji ze względu na przewlekłość postępowania cywilnego oraz brak skutecznego środka odwoławczego w prawie krajowym. Rząd podniósł wstępny zarzut, że skarżących - zgodnie z art. 34 Konwencji - nie można już uważać za ,,ofiary” naruszenia ich prawa do rozpoznania sprawy w rozsądnym terminie, ponieważ każdemu z nich przyznano 2000 zł z tytułu częściowo uwzględnionej skargi na przewlekłość postępowania. Skarżący nie zgodzili się z tym, argumentując, że uzyskane zadośćuczynienie nie było odpowiednie i że skarga na przewlekłość nie doprowadziła do przyspieszenia postępowania krajowego. Trybunał zauważył, że kwestię tę należy rozstrzygnąć w świetle zasad ustanowionych na mocy orzecznictwa Trybunału (zob. </w:t>
      </w:r>
      <w:proofErr w:type="spellStart"/>
      <w:r w:rsidRPr="003B1B65">
        <w:rPr>
          <w:rFonts w:cstheme="minorHAnsi"/>
          <w:i/>
          <w:iCs/>
        </w:rPr>
        <w:t>Cocchiarella</w:t>
      </w:r>
      <w:proofErr w:type="spellEnd"/>
      <w:r w:rsidRPr="003B1B65">
        <w:rPr>
          <w:rFonts w:cstheme="minorHAnsi"/>
          <w:i/>
          <w:iCs/>
        </w:rPr>
        <w:t xml:space="preserve"> przeciwko Włochom</w:t>
      </w:r>
      <w:r w:rsidRPr="003B1B65">
        <w:rPr>
          <w:rFonts w:cstheme="minorHAnsi"/>
        </w:rPr>
        <w:t> [WI], nr 64886/01, §§ 69-107, ETPC 2006-V oraz </w:t>
      </w:r>
      <w:proofErr w:type="spellStart"/>
      <w:r w:rsidRPr="003B1B65">
        <w:rPr>
          <w:rFonts w:cstheme="minorHAnsi"/>
          <w:i/>
          <w:iCs/>
        </w:rPr>
        <w:t>Scordino</w:t>
      </w:r>
      <w:proofErr w:type="spellEnd"/>
      <w:r w:rsidRPr="003B1B65">
        <w:rPr>
          <w:rFonts w:cstheme="minorHAnsi"/>
          <w:i/>
          <w:iCs/>
        </w:rPr>
        <w:t xml:space="preserve"> przeciwko Włochom</w:t>
      </w:r>
      <w:r w:rsidRPr="003B1B65">
        <w:rPr>
          <w:rFonts w:cstheme="minorHAnsi"/>
        </w:rPr>
        <w:t> (nr 1) [WI], nr</w:t>
      </w:r>
      <w:r w:rsidR="00B62872" w:rsidRPr="003B1B65">
        <w:rPr>
          <w:rFonts w:cstheme="minorHAnsi"/>
        </w:rPr>
        <w:t> </w:t>
      </w:r>
      <w:r w:rsidRPr="003B1B65">
        <w:rPr>
          <w:rFonts w:cstheme="minorHAnsi"/>
        </w:rPr>
        <w:t>36813/97, §§ 178-213, ETPC 2006-V). Trybunał zwrócił uwagę na to, że Sąd Apelacyjny w Warszawie przeanalizował przebieg zaskarżonego postępowania w świetle kryteriów stosowanych przez ETPC. Sąd Apelacyjny w Warszawie stwierdził, że doszło do opóźnień, za które władze krajowe powinny ponieść odpowiedzialność, jak również uznał, że prawo skarżących do rozpoznania sprawy bez nieuzasadnionej zwłoki zostało naruszone i przyznał im łącznie równowartość 820 euro tytułem zadośćuczynienia za nadmierną długość postępowania. Trybunał stwierdził, że zadośćuczynienie przyznane skarżącym na poziomie krajowym, badane w świetle faktów, których dotyczą ich skargi do Trybunału, było niewystarczające (zob. </w:t>
      </w:r>
      <w:proofErr w:type="spellStart"/>
      <w:r w:rsidRPr="003B1B65">
        <w:rPr>
          <w:rFonts w:cstheme="minorHAnsi"/>
          <w:i/>
          <w:iCs/>
        </w:rPr>
        <w:t>Janulis</w:t>
      </w:r>
      <w:proofErr w:type="spellEnd"/>
      <w:r w:rsidRPr="003B1B65">
        <w:rPr>
          <w:rFonts w:cstheme="minorHAnsi"/>
          <w:i/>
          <w:iCs/>
        </w:rPr>
        <w:t xml:space="preserve"> przeciwko Polsce</w:t>
      </w:r>
      <w:r w:rsidRPr="003B1B65">
        <w:rPr>
          <w:rFonts w:cstheme="minorHAnsi"/>
        </w:rPr>
        <w:t>, nr</w:t>
      </w:r>
      <w:r w:rsidR="00B62872" w:rsidRPr="003B1B65">
        <w:rPr>
          <w:rFonts w:cstheme="minorHAnsi"/>
        </w:rPr>
        <w:t> </w:t>
      </w:r>
      <w:r w:rsidRPr="003B1B65">
        <w:rPr>
          <w:rFonts w:cstheme="minorHAnsi"/>
        </w:rPr>
        <w:t>31792/15, § 21, 16 stycznia 2020 r.). Wskazał, że w okolicznościach niniejszej sprawy argument, że skarżący utracili status ofiary, nie mógł być uwzględniony. Trybunał powtórzył, że zasadność długości postępowania musi być oceniana w świetle okoliczności sprawy i w odniesieniu do następujących kryteriów: złożoność sprawy, postępowanie skarżących i odpowiednich władz oraz wagi przedmiotu sporu dla skarżących (zob. </w:t>
      </w:r>
      <w:proofErr w:type="spellStart"/>
      <w:r w:rsidRPr="003B1B65">
        <w:rPr>
          <w:rFonts w:cstheme="minorHAnsi"/>
          <w:i/>
          <w:iCs/>
        </w:rPr>
        <w:t>Frydlender</w:t>
      </w:r>
      <w:proofErr w:type="spellEnd"/>
      <w:r w:rsidRPr="003B1B65">
        <w:rPr>
          <w:rFonts w:cstheme="minorHAnsi"/>
          <w:i/>
          <w:iCs/>
        </w:rPr>
        <w:t xml:space="preserve"> przeciwko Francji</w:t>
      </w:r>
      <w:r w:rsidRPr="003B1B65">
        <w:rPr>
          <w:rFonts w:cstheme="minorHAnsi"/>
        </w:rPr>
        <w:t> [WI], nr 30979/96, § 43, ETPC 2000-VII). W wiodącej sprawie </w:t>
      </w:r>
      <w:r w:rsidRPr="003B1B65">
        <w:rPr>
          <w:rFonts w:cstheme="minorHAnsi"/>
          <w:i/>
          <w:iCs/>
        </w:rPr>
        <w:t>Rutkowski i Inni przeciwko Polsce</w:t>
      </w:r>
      <w:r w:rsidRPr="003B1B65">
        <w:rPr>
          <w:rFonts w:cstheme="minorHAnsi"/>
        </w:rPr>
        <w:t>, nr 72287/10 i 2 innych, z dnia 7 lipca 2015 r., Trybunał stwierdził już naruszenie art. 6 Konwencji w związku z długością postępowania sądowego. Po przeanalizowaniu wszystkich przedłożonych mu materiałów, Trybunał nie znalazł żadnych faktów ani argumentów mogących uzasadnić ogólną długość postępowania na szczeblu krajowym. Uwzględniając swoje orzecznictwo w tym zakresie, Trybunał uznał, że w niniejszej sprawie czas trwania postępowania był nadmierny i nie spełniał wymogu „rozsądnego terminu”. Trybunał zauważył ponadto, że skarżący nie mieli do dyspozycji skutecznego środka odwoławczego. Z powyższych względów Trybunał jednogłośnie uznał skargi za dopuszczalne i stwierdził naruszenie art. 6 ust. 1 i art. 13 Konwencji ze względu na nadmierną długość postępowania cywilnego oraz brak jakiegokolwiek skutecznego środka odwoławczego w prawie krajowym. Z tych też względów Trybunał na podstawie art. 41 Konwencji przyznał skarżącym łącznie kwotę 1800 euro, powiększoną o wszelkie należne podatki, tytułem zadośćuczynienia za szkodę majątkową i szkodę niemajątkową, jak również kwotę 250 euro, powiększoną o wszelkie należne od skarżącego podatki, tytułem zwrotu poniesionych kosztów i wydatków.</w:t>
      </w:r>
    </w:p>
    <w:p w14:paraId="1301A76D" w14:textId="27BFA28E" w:rsidR="00A86B88" w:rsidRPr="003B1B65" w:rsidRDefault="00A86B88" w:rsidP="003B1B65">
      <w:pPr>
        <w:jc w:val="both"/>
        <w:rPr>
          <w:rFonts w:cstheme="minorHAnsi"/>
        </w:rPr>
      </w:pPr>
      <w:r w:rsidRPr="003B1B65">
        <w:rPr>
          <w:rFonts w:cstheme="minorHAnsi"/>
        </w:rPr>
        <w:lastRenderedPageBreak/>
        <w:t>W sprawie </w:t>
      </w:r>
      <w:proofErr w:type="spellStart"/>
      <w:r w:rsidRPr="003B1B65">
        <w:rPr>
          <w:rFonts w:cstheme="minorHAnsi"/>
          <w:b/>
          <w:bCs/>
          <w:i/>
          <w:iCs/>
        </w:rPr>
        <w:t>Tobijański</w:t>
      </w:r>
      <w:proofErr w:type="spellEnd"/>
      <w:r w:rsidRPr="003B1B65">
        <w:rPr>
          <w:rFonts w:cstheme="minorHAnsi"/>
          <w:b/>
          <w:bCs/>
          <w:i/>
          <w:iCs/>
        </w:rPr>
        <w:t xml:space="preserve"> przeciwko Polsce</w:t>
      </w:r>
      <w:r w:rsidRPr="003B1B65">
        <w:rPr>
          <w:rFonts w:cstheme="minorHAnsi"/>
          <w:b/>
          <w:bCs/>
        </w:rPr>
        <w:t xml:space="preserve"> (skarga nr 72520/17) </w:t>
      </w:r>
      <w:r w:rsidRPr="003B1B65">
        <w:rPr>
          <w:rFonts w:cstheme="minorHAnsi"/>
        </w:rPr>
        <w:t>skarżący zarzucił naruszenie art. 6 ust. 1 i 3 lit. </w:t>
      </w:r>
      <w:r w:rsidR="00A75720" w:rsidRPr="003B1B65">
        <w:rPr>
          <w:rFonts w:cstheme="minorHAnsi"/>
        </w:rPr>
        <w:t>c)</w:t>
      </w:r>
      <w:r w:rsidRPr="003B1B65">
        <w:rPr>
          <w:rFonts w:cstheme="minorHAnsi"/>
        </w:rPr>
        <w:t xml:space="preserve"> Konwencji ze względu na rozpoznanie apelacji przez sąd II instancji pod jego nieobecność. 29 czerwca 2010 r. skarżący wraz z trzema innymi osobami został oskarżony o oszustwo dotyczące przedmiotu o</w:t>
      </w:r>
      <w:r w:rsidR="00B62872" w:rsidRPr="003B1B65">
        <w:rPr>
          <w:rFonts w:cstheme="minorHAnsi"/>
        </w:rPr>
        <w:t> </w:t>
      </w:r>
      <w:r w:rsidRPr="003B1B65">
        <w:rPr>
          <w:rFonts w:cstheme="minorHAnsi"/>
        </w:rPr>
        <w:t xml:space="preserve">znacznej wartości. 12 marca 2015 r. Sąd Okręgowy w Częstochowie rozpoznając sporawe po uchyleniu poprzednio wydanego wyroku w sprawie uznał skarżącego za winnego zarzucanych mu czynów i skazał go na grzywnę w łącznej wysokości 20000 zł. (około 5000 euro). 14 kwietnia 2015 r. obrońca skarżącego złożył apelację. Rozprawa przed Sądem Apelacyjnym w Katowicach została wyznaczona na 2 października 2015 r., o czym strony zostały powiadomione. 14 września 2015 r. obrońca skarżącego poinformował sąd, że nie jest upoważniony do reprezentowania skarżącego na rozprawie apelacyjnej. 1 października 2015 r. skarżący wysłał pismo do Sądu Apelacyjnego w Katowicach z prośbą o odroczenie </w:t>
      </w:r>
      <w:r w:rsidR="00E46FF2" w:rsidRPr="003B1B65">
        <w:rPr>
          <w:rFonts w:cstheme="minorHAnsi"/>
        </w:rPr>
        <w:t>rozprawy,</w:t>
      </w:r>
      <w:r w:rsidRPr="003B1B65">
        <w:rPr>
          <w:rFonts w:cstheme="minorHAnsi"/>
        </w:rPr>
        <w:t xml:space="preserve"> ponieważ dzień wcześniej został pilnie przyjęty do szpitala, a przewidywany okres jego pobytu w szpitalu to 7 dni. Podkreślił również, że w postępowaniu odwoławczym nie był reprezentowany przez obrońcę. Do wniosku dołączył zaświadczenie wydane przez szpital i oświadczenie konsultanta medycznego. Przewodniczący Wydziału Karnego Sądu Apelacyjnego w Katowicach wysłał faks do szpitala z prośbą o udzielenie informacji na temat choroby skarżącego. W odpowiedzi, tego samego dnia, ordynator oddziału internistycznego Szpitala w Częstochowie oświadczył, że skarżący nie może stawić się na rozprawę 2 października 2015 r. Podczas rozprawy 2 października 2015 r. sędzia odczytał pismo skarżącego. Prokurator wniósł o oddalenie wniosku skarżącego, ponieważ nie usprawiedliwił on swojej nieobecności zgodnie z prawem. Następnie sąd oddalił wniosek </w:t>
      </w:r>
      <w:r w:rsidR="00E46FF2" w:rsidRPr="003B1B65">
        <w:rPr>
          <w:rFonts w:cstheme="minorHAnsi"/>
        </w:rPr>
        <w:t>skarżącego,</w:t>
      </w:r>
      <w:r w:rsidRPr="003B1B65">
        <w:rPr>
          <w:rFonts w:cstheme="minorHAnsi"/>
        </w:rPr>
        <w:t xml:space="preserve"> gdyż nie przedłożył on zaświadczenia sporządzonego przez lekarza wyznaczonego przez sąd (art. 117 § 2a k.p.k.) i stwierdził, że nie wydaje się, aby niestawiennictwo skarżącego było spowodowane nadzwyczajną przeszkodą. Ponadto utrzymał w mocy wyrok pierwszej instancji, zmieniając jedynie kwalifikację prawną przedmiotowego przestępstwa. Od wyroku kasację złożył Rzecznik Praw Obywatelskich (dalej: RPO), zarzucając rażące naruszenie przepisów postępowania karnego, ponieważ sąd II instancji przeprowadził rozprawę odwoławczą pod nieobecność skarżącego, pomimo faktu, że był hospitalizowany i wyraził chęć złożenia dodatkowych wyjaśnień. Kasacja została oddalona przez S</w:t>
      </w:r>
      <w:r w:rsidR="00FC4682">
        <w:rPr>
          <w:rFonts w:cstheme="minorHAnsi"/>
        </w:rPr>
        <w:t xml:space="preserve">ąd </w:t>
      </w:r>
      <w:r w:rsidRPr="003B1B65">
        <w:rPr>
          <w:rFonts w:cstheme="minorHAnsi"/>
        </w:rPr>
        <w:t>N</w:t>
      </w:r>
      <w:r w:rsidR="00FC4682">
        <w:rPr>
          <w:rFonts w:cstheme="minorHAnsi"/>
        </w:rPr>
        <w:t>ajwyższy</w:t>
      </w:r>
      <w:r w:rsidRPr="003B1B65">
        <w:rPr>
          <w:rFonts w:cstheme="minorHAnsi"/>
        </w:rPr>
        <w:t xml:space="preserve"> </w:t>
      </w:r>
      <w:r w:rsidR="00FC4682">
        <w:rPr>
          <w:rFonts w:cstheme="minorHAnsi"/>
        </w:rPr>
        <w:t xml:space="preserve">(dalej: SN) </w:t>
      </w:r>
      <w:r w:rsidRPr="003B1B65">
        <w:rPr>
          <w:rFonts w:cstheme="minorHAnsi"/>
        </w:rPr>
        <w:t>29 marca 2017 r. Zgodnie z przepisami kodeksu postępowania karnego postanowienie to nie zawierało pisemnego uzasadnienia. Rząd argumentował, że skarga do Trybunału została złożona z przekroczeniem sześciomiesięcznego terminu, wskazując, że ostateczny wyrok został wydany 2 października 2015 r., podczas gdy skarga została złożona 29 września 2017 r. Postępowanie kasacyjne wszczęte przez RPO powinno być traktowane jako postępowanie nadzwyczajne, którego skarżący nie musiał wyczerpać. Skarżący nie zgodził się z tym, zauważając, że RPO wniósł kasację w</w:t>
      </w:r>
      <w:r w:rsidR="003B47AC">
        <w:rPr>
          <w:rFonts w:cstheme="minorHAnsi"/>
        </w:rPr>
        <w:t> </w:t>
      </w:r>
      <w:r w:rsidRPr="003B1B65">
        <w:rPr>
          <w:rFonts w:cstheme="minorHAnsi"/>
        </w:rPr>
        <w:t>jego imieniu zarzucając poważne naruszenie jego praw spowodowane faktem przeprowadzenia rozprawy apelacyjnej bez udziału skarżącego. Trybunał powtórzył, że dla celów art. 35 ust. 1 Konwencji sześciomiesięczny termin biegnie od daty ostatecznej decyzji w procesie wyczerpania krajowych środków odwoławczych (zob. </w:t>
      </w:r>
      <w:proofErr w:type="spellStart"/>
      <w:r w:rsidRPr="003B1B65">
        <w:rPr>
          <w:rFonts w:cstheme="minorHAnsi"/>
          <w:i/>
          <w:iCs/>
        </w:rPr>
        <w:t>Blokhin</w:t>
      </w:r>
      <w:proofErr w:type="spellEnd"/>
      <w:r w:rsidRPr="003B1B65">
        <w:rPr>
          <w:rFonts w:cstheme="minorHAnsi"/>
          <w:i/>
          <w:iCs/>
        </w:rPr>
        <w:t xml:space="preserve"> przeciwko Rosji</w:t>
      </w:r>
      <w:r w:rsidRPr="003B1B65">
        <w:rPr>
          <w:rFonts w:cstheme="minorHAnsi"/>
        </w:rPr>
        <w:t> [WI], nr 47152/06, § 106, ETPC 2016) oraz, że co do zasady środki odwoławcze o charakterze uznaniowym nie mogą być uznane za skuteczne i nie mogą wznawiać biegu sześciomiesięcznego terminu (zob. </w:t>
      </w:r>
      <w:proofErr w:type="spellStart"/>
      <w:r w:rsidRPr="003B1B65">
        <w:rPr>
          <w:rFonts w:cstheme="minorHAnsi"/>
          <w:i/>
          <w:iCs/>
        </w:rPr>
        <w:t>Petrović</w:t>
      </w:r>
      <w:proofErr w:type="spellEnd"/>
      <w:r w:rsidRPr="003B1B65">
        <w:rPr>
          <w:rFonts w:cstheme="minorHAnsi"/>
          <w:i/>
          <w:iCs/>
        </w:rPr>
        <w:t xml:space="preserve"> przeciwko Serbii</w:t>
      </w:r>
      <w:r w:rsidRPr="003B1B65">
        <w:rPr>
          <w:rFonts w:cstheme="minorHAnsi"/>
        </w:rPr>
        <w:t>, nr 40485/08, § 59, 15 lipca 2014 r.), jednakże sytuacje, w których wniosek o wznowienie postępowania faktycznie skutkuje wznowieniem lub w których wniosek o rewizję nadzwyczajną jest skuteczny, to mogą one stanowić wyjątek od tej zasady (zob. </w:t>
      </w:r>
      <w:proofErr w:type="spellStart"/>
      <w:r w:rsidRPr="003B1B65">
        <w:rPr>
          <w:rFonts w:cstheme="minorHAnsi"/>
          <w:i/>
          <w:iCs/>
        </w:rPr>
        <w:t>Gasparyan</w:t>
      </w:r>
      <w:proofErr w:type="spellEnd"/>
      <w:r w:rsidRPr="003B1B65">
        <w:rPr>
          <w:rFonts w:cstheme="minorHAnsi"/>
          <w:i/>
          <w:iCs/>
        </w:rPr>
        <w:t xml:space="preserve"> przeciwko Armenii</w:t>
      </w:r>
      <w:r w:rsidRPr="003B1B65">
        <w:rPr>
          <w:rFonts w:cstheme="minorHAnsi"/>
        </w:rPr>
        <w:t xml:space="preserve"> (nr 1), nr 35944/03, § 30, 13 stycznia 2009 r. z dalszymi odniesieniami oraz </w:t>
      </w:r>
      <w:proofErr w:type="spellStart"/>
      <w:r w:rsidRPr="003B1B65">
        <w:rPr>
          <w:rFonts w:cstheme="minorHAnsi"/>
        </w:rPr>
        <w:t>Petrović</w:t>
      </w:r>
      <w:proofErr w:type="spellEnd"/>
      <w:r w:rsidRPr="003B1B65">
        <w:rPr>
          <w:rFonts w:cstheme="minorHAnsi"/>
        </w:rPr>
        <w:t>, § 59, cytowany powyżej). Trybunał uznał, że sytuacja przedstawiona w sprawie należała do kategorii przypadków wyjątkowych i</w:t>
      </w:r>
      <w:r w:rsidR="003B47AC">
        <w:rPr>
          <w:rFonts w:cstheme="minorHAnsi"/>
        </w:rPr>
        <w:t> </w:t>
      </w:r>
      <w:r w:rsidRPr="003B1B65">
        <w:rPr>
          <w:rFonts w:cstheme="minorHAnsi"/>
        </w:rPr>
        <w:t>w związku z tym art.</w:t>
      </w:r>
      <w:r w:rsidR="00B62872" w:rsidRPr="003B1B65">
        <w:rPr>
          <w:rFonts w:cstheme="minorHAnsi"/>
        </w:rPr>
        <w:t> </w:t>
      </w:r>
      <w:r w:rsidRPr="003B1B65">
        <w:rPr>
          <w:rFonts w:cstheme="minorHAnsi"/>
        </w:rPr>
        <w:t xml:space="preserve">35 ust. 1 nie może być interpretowany w sposób, który wymagałby od skarżącego złożenia skargi do Trybunału przed ostatecznym </w:t>
      </w:r>
      <w:r w:rsidRPr="003B1B65">
        <w:rPr>
          <w:rFonts w:cstheme="minorHAnsi"/>
        </w:rPr>
        <w:lastRenderedPageBreak/>
        <w:t>rozstrzygnięciem sprawy na szczeblu krajowym. Trybunał podkreślił, że RPO złożył kasację w imieniu skarżącego niezwłocznie po wydaniu wyroku przez Sąd Apelacyjny w Katowicach. Co więcej, w swojej kasacji RPO skrytykował fakt, że rozprawa apelacyjna odbyła się pod nieobecność skarżącego, zauważając wyraźnie, że stanowiło to poważne naruszenie zasad postępowania karnego. Było zatem całkowicie uzasadnione, aby skarżący oczekiwał na decyzję SN w</w:t>
      </w:r>
      <w:r w:rsidR="003B47AC">
        <w:rPr>
          <w:rFonts w:cstheme="minorHAnsi"/>
        </w:rPr>
        <w:t> </w:t>
      </w:r>
      <w:r w:rsidRPr="003B1B65">
        <w:rPr>
          <w:rFonts w:cstheme="minorHAnsi"/>
        </w:rPr>
        <w:t>sprawie kasacji RPO. W</w:t>
      </w:r>
      <w:r w:rsidR="00B62872" w:rsidRPr="003B1B65">
        <w:rPr>
          <w:rFonts w:cstheme="minorHAnsi"/>
        </w:rPr>
        <w:t> </w:t>
      </w:r>
      <w:r w:rsidRPr="003B1B65">
        <w:rPr>
          <w:rFonts w:cstheme="minorHAnsi"/>
        </w:rPr>
        <w:t>konsekwencji, w szczególnych okolicznościach niniejszej sprawy, decyzja SN z 29 marca 2017 r. była decyzją ostateczną dla celów art. 35 ust. 1 Konwencji. W związku z powyższym Trybunał nie uznał skargi za oczywiście bezzasadną w rozumieniu art. 35 ust. 3 lit. a</w:t>
      </w:r>
      <w:r w:rsidR="00A75720" w:rsidRPr="003B1B65">
        <w:rPr>
          <w:rFonts w:cstheme="minorHAnsi"/>
        </w:rPr>
        <w:t>)</w:t>
      </w:r>
      <w:r w:rsidRPr="003B1B65">
        <w:rPr>
          <w:rFonts w:cstheme="minorHAnsi"/>
        </w:rPr>
        <w:t xml:space="preserve"> Konwencji. Ogólne zasady dotyczące osobistej obecności oskarżonego przed sądami odwoławczymi Trybunał podsumował w sprawach </w:t>
      </w:r>
      <w:proofErr w:type="spellStart"/>
      <w:r w:rsidRPr="003B1B65">
        <w:rPr>
          <w:rFonts w:cstheme="minorHAnsi"/>
          <w:i/>
          <w:iCs/>
        </w:rPr>
        <w:t>Mtchedlishvili</w:t>
      </w:r>
      <w:proofErr w:type="spellEnd"/>
      <w:r w:rsidRPr="003B1B65">
        <w:rPr>
          <w:rFonts w:cstheme="minorHAnsi"/>
          <w:i/>
          <w:iCs/>
        </w:rPr>
        <w:t xml:space="preserve"> przeciwko Gruzji</w:t>
      </w:r>
      <w:r w:rsidRPr="003B1B65">
        <w:rPr>
          <w:rFonts w:cstheme="minorHAnsi"/>
        </w:rPr>
        <w:t>, nr</w:t>
      </w:r>
      <w:r w:rsidR="003B47AC">
        <w:rPr>
          <w:rFonts w:cstheme="minorHAnsi"/>
        </w:rPr>
        <w:t> </w:t>
      </w:r>
      <w:r w:rsidRPr="003B1B65">
        <w:rPr>
          <w:rFonts w:cstheme="minorHAnsi"/>
        </w:rPr>
        <w:t>894/12, §§ 30-33, 25 lutego 2021</w:t>
      </w:r>
      <w:r w:rsidR="00B62872" w:rsidRPr="003B1B65">
        <w:rPr>
          <w:rFonts w:cstheme="minorHAnsi"/>
        </w:rPr>
        <w:t> </w:t>
      </w:r>
      <w:r w:rsidRPr="003B1B65">
        <w:rPr>
          <w:rFonts w:cstheme="minorHAnsi"/>
        </w:rPr>
        <w:t>r. oraz </w:t>
      </w:r>
      <w:proofErr w:type="spellStart"/>
      <w:r w:rsidRPr="003B1B65">
        <w:rPr>
          <w:rFonts w:cstheme="minorHAnsi"/>
          <w:i/>
          <w:iCs/>
        </w:rPr>
        <w:t>Seliwiak</w:t>
      </w:r>
      <w:proofErr w:type="spellEnd"/>
      <w:r w:rsidRPr="003B1B65">
        <w:rPr>
          <w:rFonts w:cstheme="minorHAnsi"/>
          <w:i/>
          <w:iCs/>
        </w:rPr>
        <w:t xml:space="preserve"> przeciwko Polsce</w:t>
      </w:r>
      <w:r w:rsidRPr="003B1B65">
        <w:rPr>
          <w:rFonts w:cstheme="minorHAnsi"/>
        </w:rPr>
        <w:t>, nr 3818/04, §§ 54-59, 21 lipca 2009 r. W niniejszej zaś sprawie Trybunał zauważył, że</w:t>
      </w:r>
      <w:r w:rsidR="003B47AC">
        <w:rPr>
          <w:rFonts w:cstheme="minorHAnsi"/>
        </w:rPr>
        <w:t> </w:t>
      </w:r>
      <w:r w:rsidRPr="003B1B65">
        <w:rPr>
          <w:rFonts w:cstheme="minorHAnsi"/>
        </w:rPr>
        <w:t>zgodnie z przepisami proceduralnymi wówczas obowiązującymi, sąd odwoławczy był uprawniony do przeprowadzenia pełnego ponownego rozpatrzenia sprawy zarówno pod względem prawnym, jak i faktycznym oraz dokonania pełnej oceny co do winy lub niewinności skarżącego. Trybunał stwierdził też, że</w:t>
      </w:r>
      <w:r w:rsidR="003B47AC">
        <w:rPr>
          <w:rFonts w:cstheme="minorHAnsi"/>
        </w:rPr>
        <w:t> </w:t>
      </w:r>
      <w:r w:rsidRPr="003B1B65">
        <w:rPr>
          <w:rFonts w:cstheme="minorHAnsi"/>
        </w:rPr>
        <w:t>skarżący nie był reprezentowany przez obrońcę w postępowaniu odwoławczym i wyraźnie żądał odroczenia rozprawy ze względu na swój stan zdrowia. Trybunał musiał zatem zbadać, czy Sąd Apelacyjny w Katowicach mógł uznać, że powody te nie były uzasadnione. Rząd argumentował, że skarżący nie skorzystał z prawa do</w:t>
      </w:r>
      <w:r w:rsidR="00B62872" w:rsidRPr="003B1B65">
        <w:rPr>
          <w:rFonts w:cstheme="minorHAnsi"/>
        </w:rPr>
        <w:t> </w:t>
      </w:r>
      <w:r w:rsidRPr="003B1B65">
        <w:rPr>
          <w:rFonts w:cstheme="minorHAnsi"/>
        </w:rPr>
        <w:t>osobistego udziału w rozprawie apelacyjnej z powodu własnego zaniedbania, ponieważ mimo tego, że poinformował sąd o swojej niezdolności do udziału w rozprawie, nie przedłożył zaświadczenia od lekarza sądowego wymaganego przez prawo (art. 117 § 2a k.p.k., który stanowił, że niestawiennictwo z</w:t>
      </w:r>
      <w:r w:rsidR="00B62872" w:rsidRPr="003B1B65">
        <w:rPr>
          <w:rFonts w:cstheme="minorHAnsi"/>
        </w:rPr>
        <w:t> </w:t>
      </w:r>
      <w:r w:rsidRPr="003B1B65">
        <w:rPr>
          <w:rFonts w:cstheme="minorHAnsi"/>
        </w:rPr>
        <w:t>powodu choroby oskarżonych, świadków, obrońców, pełnomocników i innych uczestników postępowania, których obecność była obowiązkowa lub którzy domagali się obecności, wymaga przedstawienia zaświadczenia wydanego przez lekarza sądowego). Podkreślono, że skarżący był wyraźnie świadomy odpowiednich zasad, ponieważ w trakcie postępowania w swojej sprawie złożył trzy wnioski o odroczenie rozprawy, które za każdym razem poparte były zaświadczeniem wydanym przez lekarza sądowego. Skarżący nie zgodził się zauważając, że nie mógł przedstawić zaświadczenia wydanego przez lekarza sądowego z uwagi na fakt, że został pilnie przyjęty do szpitala. Podniósł, że przedstawił zaświadczenie lekarskie stwierdzające, że nie mógł uczestniczyć w</w:t>
      </w:r>
      <w:r w:rsidR="00B62872" w:rsidRPr="003B1B65">
        <w:rPr>
          <w:rFonts w:cstheme="minorHAnsi"/>
        </w:rPr>
        <w:t> </w:t>
      </w:r>
      <w:r w:rsidRPr="003B1B65">
        <w:rPr>
          <w:rFonts w:cstheme="minorHAnsi"/>
        </w:rPr>
        <w:t>rozprawie. Zostało to również wyraźnie potwierdzone przez lekarzy szpitala w Częstochowie. Skarżący powołał się także na</w:t>
      </w:r>
      <w:r w:rsidR="00D2747C">
        <w:rPr>
          <w:rFonts w:cstheme="minorHAnsi"/>
        </w:rPr>
        <w:t> </w:t>
      </w:r>
      <w:r w:rsidRPr="003B1B65">
        <w:rPr>
          <w:rFonts w:cstheme="minorHAnsi"/>
        </w:rPr>
        <w:t>orzecznictwo SN, który już w niektórych sprawach w kontekście art. 117 § 2a k.p.k. uznał, że brak formalnego zaświadczenia lekarskiego o niezdolności do</w:t>
      </w:r>
      <w:r w:rsidR="00D2747C">
        <w:rPr>
          <w:rFonts w:cstheme="minorHAnsi"/>
        </w:rPr>
        <w:t> </w:t>
      </w:r>
      <w:r w:rsidRPr="003B1B65">
        <w:rPr>
          <w:rFonts w:cstheme="minorHAnsi"/>
        </w:rPr>
        <w:t>stawiennictwa w sądzie może być usprawiedliwiony okolicznościami losowymi, tj. nagłą chorobą. Ponadto stwierdził również, że czasami nawet jeśli zaświadczenie lekarskie nie spełniało odpowiednich wymogów, mogło wyraźnie wskazywać, że ze względu na charakter stanu zdrowia dana osoba nie była w stanie stawić się na rozprawie (np.: wyr. z 24 października 2018 r., VKK 483/18, wyr. z 18 maja 2021 r., IIIK 121/21 i wyr. z 1 września 2020 r., VKK 241/19). Trybunał zauważył w</w:t>
      </w:r>
      <w:r w:rsidR="00B62872" w:rsidRPr="003B1B65">
        <w:rPr>
          <w:rFonts w:cstheme="minorHAnsi"/>
        </w:rPr>
        <w:t> </w:t>
      </w:r>
      <w:r w:rsidRPr="003B1B65">
        <w:rPr>
          <w:rFonts w:cstheme="minorHAnsi"/>
        </w:rPr>
        <w:t>tym względzie, że sąd II instancji oddalając wniosek skarżącego, nie przeanalizował zaświadczeń lekarskich znajdujących się w aktach sprawy w celu ustalenia, czy skarżący rzeczywiście nie był w stanie uczestniczyć w rozprawie, jak również czy jego choroba była nagła. Trybunał rozstrzygał już, że do władz krajowych należy ocena, czy oskarżony wykazał uzasadniony powód swojej nieobecności lub czy w aktach sprawy znajdował się jakikolwiek dokument, który uzasadniałby stwierdzenie, że był on nieobecny z przyczyn od niego niezależnych (zob. </w:t>
      </w:r>
      <w:proofErr w:type="spellStart"/>
      <w:r w:rsidRPr="003B1B65">
        <w:rPr>
          <w:rFonts w:cstheme="minorHAnsi"/>
          <w:i/>
          <w:iCs/>
        </w:rPr>
        <w:t>Sejdovic</w:t>
      </w:r>
      <w:proofErr w:type="spellEnd"/>
      <w:r w:rsidRPr="003B1B65">
        <w:rPr>
          <w:rFonts w:cstheme="minorHAnsi"/>
          <w:i/>
          <w:iCs/>
        </w:rPr>
        <w:t xml:space="preserve"> przeciwko Włochom</w:t>
      </w:r>
      <w:r w:rsidRPr="003B1B65">
        <w:rPr>
          <w:rFonts w:cstheme="minorHAnsi"/>
        </w:rPr>
        <w:t> [WI], nr 56581/00, §</w:t>
      </w:r>
      <w:r w:rsidR="003B47AC">
        <w:rPr>
          <w:rFonts w:cstheme="minorHAnsi"/>
        </w:rPr>
        <w:t> </w:t>
      </w:r>
      <w:r w:rsidRPr="003B1B65">
        <w:rPr>
          <w:rFonts w:cstheme="minorHAnsi"/>
        </w:rPr>
        <w:t>88, ETPC 2006-II), niemniej jednak w niniejszej sprawie w ocenie Trybunału Sąd Apelacyjny w Katowicach nie rozważył zasadności usprawiedliwienia przedstawionego przez skarżącego, a jedynie zauważył, że zaświadczenie powinno zostać wydane przez lekarza sądowego (porównaj </w:t>
      </w:r>
      <w:r w:rsidRPr="003B1B65">
        <w:rPr>
          <w:rFonts w:cstheme="minorHAnsi"/>
          <w:i/>
          <w:iCs/>
        </w:rPr>
        <w:t xml:space="preserve">Henri </w:t>
      </w:r>
      <w:proofErr w:type="spellStart"/>
      <w:r w:rsidRPr="003B1B65">
        <w:rPr>
          <w:rFonts w:cstheme="minorHAnsi"/>
          <w:i/>
          <w:iCs/>
        </w:rPr>
        <w:t>Rivière</w:t>
      </w:r>
      <w:proofErr w:type="spellEnd"/>
      <w:r w:rsidRPr="003B1B65">
        <w:rPr>
          <w:rFonts w:cstheme="minorHAnsi"/>
          <w:i/>
          <w:iCs/>
        </w:rPr>
        <w:t xml:space="preserve"> i Inni </w:t>
      </w:r>
      <w:r w:rsidRPr="003B1B65">
        <w:rPr>
          <w:rFonts w:cstheme="minorHAnsi"/>
          <w:i/>
          <w:iCs/>
        </w:rPr>
        <w:lastRenderedPageBreak/>
        <w:t>przeciwko Francji</w:t>
      </w:r>
      <w:r w:rsidRPr="003B1B65">
        <w:rPr>
          <w:rFonts w:cstheme="minorHAnsi"/>
        </w:rPr>
        <w:t>, nr</w:t>
      </w:r>
      <w:r w:rsidR="00B62872" w:rsidRPr="003B1B65">
        <w:rPr>
          <w:rFonts w:cstheme="minorHAnsi"/>
        </w:rPr>
        <w:t> </w:t>
      </w:r>
      <w:r w:rsidRPr="003B1B65">
        <w:rPr>
          <w:rFonts w:cstheme="minorHAnsi"/>
        </w:rPr>
        <w:t>46460/10, §§ 32-33, 25 lipca 2013 r.). W świetle powyższych okoliczności Trybunał stwierdził, że Sąd Apelacyjny w Katowicach w rzeczywistości nie rozważył kwestii, czy usprawiedliwienie przedstawione przez skarżącego było ważne i czy wykazał on wystarczający powód swojej nieobecności. Biorąc powyższe pod uwagę Trybunał uznał, że postępowanie nie spełniało wymogów rzetelności, w związku z czym doszło do naruszenia art.</w:t>
      </w:r>
      <w:r w:rsidR="003B47AC">
        <w:rPr>
          <w:rFonts w:cstheme="minorHAnsi"/>
        </w:rPr>
        <w:t> </w:t>
      </w:r>
      <w:r w:rsidRPr="003B1B65">
        <w:rPr>
          <w:rFonts w:cstheme="minorHAnsi"/>
        </w:rPr>
        <w:t>6 ust. 1 i 3 lit. c</w:t>
      </w:r>
      <w:r w:rsidR="00A75720" w:rsidRPr="003B1B65">
        <w:rPr>
          <w:rFonts w:cstheme="minorHAnsi"/>
        </w:rPr>
        <w:t>)</w:t>
      </w:r>
      <w:r w:rsidRPr="003B1B65">
        <w:rPr>
          <w:rFonts w:cstheme="minorHAnsi"/>
        </w:rPr>
        <w:t xml:space="preserve"> Konwencji. Skarżący domagał się kwoty 24767,60 zł (około 6000 euro) z tytułu szkody majątkowej. Na kwotę tą składały się grzywna wymierzona przez sąd I</w:t>
      </w:r>
      <w:r w:rsidR="00FC4682">
        <w:rPr>
          <w:rFonts w:cstheme="minorHAnsi"/>
        </w:rPr>
        <w:t> </w:t>
      </w:r>
      <w:r w:rsidRPr="003B1B65">
        <w:rPr>
          <w:rFonts w:cstheme="minorHAnsi"/>
        </w:rPr>
        <w:t xml:space="preserve">instancji i zapłaconą przez skarżącego w wysokości 20000 zł i koszty sądowe związane z postępowaniem w I </w:t>
      </w:r>
      <w:proofErr w:type="spellStart"/>
      <w:r w:rsidRPr="003B1B65">
        <w:rPr>
          <w:rFonts w:cstheme="minorHAnsi"/>
        </w:rPr>
        <w:t>i</w:t>
      </w:r>
      <w:proofErr w:type="spellEnd"/>
      <w:r w:rsidRPr="003B1B65">
        <w:rPr>
          <w:rFonts w:cstheme="minorHAnsi"/>
        </w:rPr>
        <w:t xml:space="preserve"> II instancji. Skarżący domagał się również 8610</w:t>
      </w:r>
      <w:r w:rsidR="00A4044E" w:rsidRPr="003B1B65">
        <w:rPr>
          <w:rFonts w:cstheme="minorHAnsi"/>
        </w:rPr>
        <w:t> </w:t>
      </w:r>
      <w:r w:rsidRPr="003B1B65">
        <w:rPr>
          <w:rFonts w:cstheme="minorHAnsi"/>
        </w:rPr>
        <w:t>zł (około 2000 euro) tytułem zwrotu kosztów i wydatków poniesionych przed Trybunałem. Skarżący nie przedłożył żadnych dokumentów na poparcie tego ostatniego roszczenia. Rząd utrzymywał, że roszczenia były bezpodstawne. Trybunał nie dostrzegł żadnego związku przyczynowego pomiędzy naruszeniem art. 6 Konwencji a</w:t>
      </w:r>
      <w:r w:rsidR="000D6C19" w:rsidRPr="003B1B65">
        <w:rPr>
          <w:rFonts w:cstheme="minorHAnsi"/>
        </w:rPr>
        <w:t> </w:t>
      </w:r>
      <w:r w:rsidRPr="003B1B65">
        <w:rPr>
          <w:rFonts w:cstheme="minorHAnsi"/>
        </w:rPr>
        <w:t>zarzucaną szkodą majątkową, dlatego też odrzucił to roszczenie (por. </w:t>
      </w:r>
      <w:proofErr w:type="spellStart"/>
      <w:r w:rsidRPr="003B1B65">
        <w:rPr>
          <w:rFonts w:cstheme="minorHAnsi"/>
          <w:i/>
          <w:iCs/>
        </w:rPr>
        <w:t>Gerovska</w:t>
      </w:r>
      <w:proofErr w:type="spellEnd"/>
      <w:r w:rsidRPr="003B1B65">
        <w:rPr>
          <w:rFonts w:cstheme="minorHAnsi"/>
          <w:i/>
          <w:iCs/>
        </w:rPr>
        <w:t xml:space="preserve"> </w:t>
      </w:r>
      <w:proofErr w:type="spellStart"/>
      <w:r w:rsidRPr="003B1B65">
        <w:rPr>
          <w:rFonts w:cstheme="minorHAnsi"/>
          <w:i/>
          <w:iCs/>
        </w:rPr>
        <w:t>Popčevska</w:t>
      </w:r>
      <w:proofErr w:type="spellEnd"/>
      <w:r w:rsidRPr="003B1B65">
        <w:rPr>
          <w:rFonts w:cstheme="minorHAnsi"/>
          <w:i/>
          <w:iCs/>
        </w:rPr>
        <w:t xml:space="preserve"> przeciwko Byłej Jugosłowiańskiej Republice Macedonii</w:t>
      </w:r>
      <w:r w:rsidRPr="003B1B65">
        <w:rPr>
          <w:rFonts w:cstheme="minorHAnsi"/>
        </w:rPr>
        <w:t>, nr 48783/07, § 65, 7 stycznia 2016 r.). Trybunał zauważył również, że skarżący nie zgłosił żadnych roszczeń z tytułu szkody niemajątkowej, w</w:t>
      </w:r>
      <w:r w:rsidR="00B62872" w:rsidRPr="003B1B65">
        <w:rPr>
          <w:rFonts w:cstheme="minorHAnsi"/>
        </w:rPr>
        <w:t> </w:t>
      </w:r>
      <w:r w:rsidRPr="003B1B65">
        <w:rPr>
          <w:rFonts w:cstheme="minorHAnsi"/>
        </w:rPr>
        <w:t>związku z czym uznał, że stwierdzenie naruszenia na podstawie art. 6 Konwencji samo w sobie stanowi wystarczające zadośćuczynienie za wszelkie szkody niepieniężne poniesione przez skarżącego. Trybunał zauważył ponadto, że skarżący nie uzasadnił swojego roszczenia dotyczącego kosztów usług prawnych żadnymi istotnymi dowodami. Z tych powodów Trybunał jednomyślnie uznał skargę za dopuszczalną, stwierdził, że doszło do naruszenia art. 6 ust. 1 i 3 lit. c</w:t>
      </w:r>
      <w:r w:rsidR="00B62872" w:rsidRPr="003B1B65">
        <w:rPr>
          <w:rFonts w:cstheme="minorHAnsi"/>
        </w:rPr>
        <w:t>)</w:t>
      </w:r>
      <w:r w:rsidRPr="003B1B65">
        <w:rPr>
          <w:rFonts w:cstheme="minorHAnsi"/>
        </w:rPr>
        <w:t xml:space="preserve"> Konwencji oraz uznał, że stwierdzenie naruszenia samo w sobie stanowi wystarczające słuszne zadośćuczynienie za wszelkie szkody niemajątkowe poniesione przez skarżącego, wobec czego oddalił roszczenie skarżącego o słuszne zadośćuczynienie.</w:t>
      </w:r>
    </w:p>
    <w:p w14:paraId="0470129A" w14:textId="49C07DB2" w:rsidR="000D6C19" w:rsidRPr="003B1B65" w:rsidRDefault="000D6C19" w:rsidP="003B1B65">
      <w:pPr>
        <w:tabs>
          <w:tab w:val="left" w:pos="540"/>
        </w:tabs>
        <w:spacing w:after="0"/>
        <w:jc w:val="both"/>
        <w:rPr>
          <w:rFonts w:cstheme="minorHAnsi"/>
        </w:rPr>
      </w:pPr>
      <w:r w:rsidRPr="003B1B65">
        <w:rPr>
          <w:rFonts w:cstheme="minorHAnsi"/>
        </w:rPr>
        <w:t xml:space="preserve">ETPC wydał 6 lutego 2025 r. wyrok w sprawie skargi </w:t>
      </w:r>
      <w:proofErr w:type="spellStart"/>
      <w:r w:rsidRPr="003B1B65">
        <w:rPr>
          <w:rFonts w:cstheme="minorHAnsi"/>
          <w:b/>
          <w:bCs/>
          <w:i/>
          <w:iCs/>
        </w:rPr>
        <w:t>Caldarar</w:t>
      </w:r>
      <w:proofErr w:type="spellEnd"/>
      <w:r w:rsidRPr="003B1B65">
        <w:rPr>
          <w:rFonts w:cstheme="minorHAnsi"/>
          <w:b/>
          <w:bCs/>
          <w:i/>
          <w:iCs/>
        </w:rPr>
        <w:t xml:space="preserve"> i Inni przeciwko Polsce</w:t>
      </w:r>
      <w:r w:rsidRPr="003B1B65">
        <w:rPr>
          <w:rFonts w:cstheme="minorHAnsi"/>
          <w:b/>
          <w:bCs/>
        </w:rPr>
        <w:t xml:space="preserve"> (skarga nr 6142/16),</w:t>
      </w:r>
      <w:r w:rsidRPr="003B1B65">
        <w:rPr>
          <w:rFonts w:cstheme="minorHAnsi"/>
        </w:rPr>
        <w:t xml:space="preserve"> dotyczącej zarzutu naruszenia art. 8, art. 13 i art. 14 Konwencji oraz art. 1 Protokołu nr 1 do Konwencji, w związku z rozbiórką w 2015 r. obozowiska, które zbudowało bez pozwolenia na budowę pięć rodzin składających się z 16 obywateli rumuńskich pochodzenia romskiego na działce przy ulicy Paprotnej we Wrocławiu. Skarżący skarżyli się, że władze publiczne zburzyły ich obozowisko w następstwie postępowania administracyjnego, w którym skarżący nie byli stroną i o którym nie zostali formalnie poinformowani. Rząd zgłosił wstępne zastrzeżenia, że w niniejszej sprawie nie doszło do ingerencji, ponieważ skarżący nie wykazali wystarczającego związku z miejscem swojego osiedlenia. Ponadto, rząd argumentował również, że ingerencja była zgodna z prawem i uzasadniona w rozumieniu art. 8 ust. 2 Konwencji. W tym celu podkreślił, że obozowisko skarżących było nielegalne i niebezpieczne.</w:t>
      </w:r>
      <w:r w:rsidR="00A4044E" w:rsidRPr="003B1B65">
        <w:rPr>
          <w:rFonts w:cstheme="minorHAnsi"/>
        </w:rPr>
        <w:t xml:space="preserve"> </w:t>
      </w:r>
      <w:r w:rsidRPr="003B1B65">
        <w:rPr>
          <w:rFonts w:cstheme="minorHAnsi"/>
        </w:rPr>
        <w:t xml:space="preserve">Trybunał wskazał, że rozbiórki dokonano zgodnie z prawem krajowym, a objęte nią budowle nie spełniały odpowiednich wymogów bezpieczeństwa, sanitarnych lub budowlanych. Nakazy rozbiórki realizowały także uzasadnione cele zapewnienia przede wszystkim porządku publicznego, w sensie zapewnienia zgodności z planowaniem urbanistycznym i zwalczania bezprawnej budowy, oraz ochrony praw innych osób, w sensie zapewnienia bezpieczeństwa osobistego wszystkich osób przebywających na terenie i w jego pobliżu. Niemniej jednak ETPC uznał pięcioma głosami do dwóch, że doszło do naruszenia art. 8 </w:t>
      </w:r>
      <w:r w:rsidR="00DF6585">
        <w:rPr>
          <w:rFonts w:cstheme="minorHAnsi"/>
        </w:rPr>
        <w:t>Konwencji</w:t>
      </w:r>
      <w:r w:rsidRPr="003B1B65">
        <w:rPr>
          <w:rFonts w:cstheme="minorHAnsi"/>
        </w:rPr>
        <w:t>. Zdaniem Trybunału, wyburzenie nielegalnego osiedla skarżących przy ulicy Paprotnej przez władze lokalne w dniu 22 lipca 2015</w:t>
      </w:r>
      <w:r w:rsidR="00B62872" w:rsidRPr="003B1B65">
        <w:rPr>
          <w:rFonts w:cstheme="minorHAnsi"/>
        </w:rPr>
        <w:t> </w:t>
      </w:r>
      <w:r w:rsidRPr="003B1B65">
        <w:rPr>
          <w:rFonts w:cstheme="minorHAnsi"/>
        </w:rPr>
        <w:t>r</w:t>
      </w:r>
      <w:r w:rsidR="00B62872" w:rsidRPr="003B1B65">
        <w:rPr>
          <w:rFonts w:cstheme="minorHAnsi"/>
        </w:rPr>
        <w:t>.</w:t>
      </w:r>
      <w:r w:rsidRPr="003B1B65">
        <w:rPr>
          <w:rFonts w:cstheme="minorHAnsi"/>
        </w:rPr>
        <w:t xml:space="preserve"> stanowiło ingerencję w ich prawo do poszanowania życia prywatnego i</w:t>
      </w:r>
      <w:r w:rsidR="00A4044E" w:rsidRPr="003B1B65">
        <w:rPr>
          <w:rFonts w:cstheme="minorHAnsi"/>
        </w:rPr>
        <w:t> </w:t>
      </w:r>
      <w:r w:rsidRPr="003B1B65">
        <w:rPr>
          <w:rFonts w:cstheme="minorHAnsi"/>
        </w:rPr>
        <w:t xml:space="preserve">rodzinnego. W ocenie ETPC, ingerencja w prawa skarżących nie była jednak „konieczna w demokratycznym społeczeństwie” w rozumieniu art. 8 ust. 2 </w:t>
      </w:r>
      <w:r w:rsidR="00DF6585">
        <w:rPr>
          <w:rFonts w:cstheme="minorHAnsi"/>
        </w:rPr>
        <w:t>Konwencji</w:t>
      </w:r>
      <w:r w:rsidRPr="003B1B65">
        <w:rPr>
          <w:rFonts w:cstheme="minorHAnsi"/>
        </w:rPr>
        <w:t>. W tym kontekście Trybunał podkreślił,</w:t>
      </w:r>
      <w:r w:rsidR="00791636" w:rsidRPr="003B1B65">
        <w:rPr>
          <w:rFonts w:cstheme="minorHAnsi"/>
        </w:rPr>
        <w:t xml:space="preserve"> </w:t>
      </w:r>
      <w:r w:rsidRPr="003B1B65">
        <w:rPr>
          <w:rFonts w:cstheme="minorHAnsi"/>
        </w:rPr>
        <w:t xml:space="preserve">że skarżącym nie przyznano statusu strony w postępowaniu krajowym, nie zostali poinformowani </w:t>
      </w:r>
      <w:r w:rsidRPr="003B1B65">
        <w:rPr>
          <w:rFonts w:cstheme="minorHAnsi"/>
        </w:rPr>
        <w:lastRenderedPageBreak/>
        <w:t>o</w:t>
      </w:r>
      <w:r w:rsidR="00680732">
        <w:rPr>
          <w:rFonts w:cstheme="minorHAnsi"/>
        </w:rPr>
        <w:t> </w:t>
      </w:r>
      <w:r w:rsidRPr="003B1B65">
        <w:rPr>
          <w:rFonts w:cstheme="minorHAnsi"/>
        </w:rPr>
        <w:t>decyzjach podjętych w ich sprawie i zostali pozbawieni możliwości dochodzenia swoich praw i korzystania ze zwykłych środków odwoławczych przeciwko podjętym działaniom. W konsekwencji nie mogli dążyć do tego, aby władze administracyjne lub sądy dokonały oceny proporcjonalności przed wydaniem nakazu rozbiórki. W rezultacie skarżący nie mogli uzyskać od władz skutecznego rozpatrzenia ich argumentów dotyczących ryzyka bezdomności i jej reperkusji dla ich życia prywatnego i rodzinnego dla celów jakiejkolwiek oceny proporcjonalności.</w:t>
      </w:r>
      <w:r w:rsidR="00A4044E" w:rsidRPr="003B1B65">
        <w:rPr>
          <w:rFonts w:cstheme="minorHAnsi"/>
        </w:rPr>
        <w:t xml:space="preserve"> </w:t>
      </w:r>
      <w:r w:rsidRPr="003B1B65">
        <w:rPr>
          <w:rFonts w:cstheme="minorHAnsi"/>
        </w:rPr>
        <w:t>Jak wskazał ETPC, inną istotną kwestią w niniejszej sprawie jest to, czy władze złagodziły skutki zarządzonego przez siebie środka. Dotyczy ona zarówno sposobu, w jaki zaplanowano i przeprowadzono rozbiórkę, jak</w:t>
      </w:r>
      <w:r w:rsidR="00A8417E">
        <w:rPr>
          <w:rFonts w:cstheme="minorHAnsi"/>
        </w:rPr>
        <w:t> </w:t>
      </w:r>
      <w:r w:rsidRPr="003B1B65">
        <w:rPr>
          <w:rFonts w:cstheme="minorHAnsi"/>
        </w:rPr>
        <w:t>i</w:t>
      </w:r>
      <w:r w:rsidR="00A8417E">
        <w:rPr>
          <w:rFonts w:cstheme="minorHAnsi"/>
        </w:rPr>
        <w:t> </w:t>
      </w:r>
      <w:r w:rsidRPr="003B1B65">
        <w:rPr>
          <w:rFonts w:cstheme="minorHAnsi"/>
        </w:rPr>
        <w:t>możliwości wcześniejszego przeniesienia skarżących. W tym kontekście Trybunał stwierdził, że udział skarżących w postępowaniu dotyczącym bezprawnej budowy mógł umożliwić im dopilnowanie, aby rozbiórka została zaplanowana w sposób dający im rozsądną ilość czasu na spakowanie się i</w:t>
      </w:r>
      <w:r w:rsidR="00A8417E">
        <w:rPr>
          <w:rFonts w:cstheme="minorHAnsi"/>
        </w:rPr>
        <w:t> </w:t>
      </w:r>
      <w:r w:rsidRPr="003B1B65">
        <w:rPr>
          <w:rFonts w:cstheme="minorHAnsi"/>
        </w:rPr>
        <w:t>przeniesienie w</w:t>
      </w:r>
      <w:r w:rsidR="00A8417E">
        <w:rPr>
          <w:rFonts w:cstheme="minorHAnsi"/>
        </w:rPr>
        <w:t> </w:t>
      </w:r>
      <w:r w:rsidRPr="003B1B65">
        <w:rPr>
          <w:rFonts w:cstheme="minorHAnsi"/>
        </w:rPr>
        <w:t>inne miejsce, a</w:t>
      </w:r>
      <w:r w:rsidR="00A4044E" w:rsidRPr="003B1B65">
        <w:rPr>
          <w:rFonts w:cstheme="minorHAnsi"/>
        </w:rPr>
        <w:t> </w:t>
      </w:r>
      <w:r w:rsidRPr="003B1B65">
        <w:rPr>
          <w:rFonts w:cstheme="minorHAnsi"/>
        </w:rPr>
        <w:t>także możliwość przygotowania się do rozbiórki, co złagodziłoby napięcia i</w:t>
      </w:r>
      <w:r w:rsidR="00B62872" w:rsidRPr="003B1B65">
        <w:rPr>
          <w:rFonts w:cstheme="minorHAnsi"/>
        </w:rPr>
        <w:t> </w:t>
      </w:r>
      <w:r w:rsidRPr="003B1B65">
        <w:rPr>
          <w:rFonts w:cstheme="minorHAnsi"/>
        </w:rPr>
        <w:t>zminimalizowało straty materialne. W</w:t>
      </w:r>
      <w:r w:rsidR="00A8417E">
        <w:rPr>
          <w:rFonts w:cstheme="minorHAnsi"/>
        </w:rPr>
        <w:t> </w:t>
      </w:r>
      <w:r w:rsidRPr="003B1B65">
        <w:rPr>
          <w:rFonts w:cstheme="minorHAnsi"/>
        </w:rPr>
        <w:t>szczególności skarżącym nie zostało przekazane jakiekolwiek formalne lub pisemne powiadomienie o planowanej rozbiórce. W rezultacie rozbiórka była dla nich pewnym zaskoczeniem, spowodowała ich niepokój i dalsze poczucie marginalizacji. Ponadto, w odniesieniu do sposobu, w jaki przeprowadzono rozbiórkę, Trybunał zauważył, że</w:t>
      </w:r>
      <w:r w:rsidR="00A4044E" w:rsidRPr="003B1B65">
        <w:rPr>
          <w:rFonts w:cstheme="minorHAnsi"/>
        </w:rPr>
        <w:t> </w:t>
      </w:r>
      <w:r w:rsidRPr="003B1B65">
        <w:rPr>
          <w:rFonts w:cstheme="minorHAnsi"/>
        </w:rPr>
        <w:t>zgodnie z twierdzeniami skarżących, które nie zostały zakwestionowane przez Rząd, rzeczy osobiste skarżących, zwierzęta domowe oraz przedmioty o</w:t>
      </w:r>
      <w:r w:rsidR="00A4044E" w:rsidRPr="003B1B65">
        <w:rPr>
          <w:rFonts w:cstheme="minorHAnsi"/>
        </w:rPr>
        <w:t> </w:t>
      </w:r>
      <w:r w:rsidRPr="003B1B65">
        <w:rPr>
          <w:rFonts w:cstheme="minorHAnsi"/>
        </w:rPr>
        <w:t>istotnej wartości lub niezbędne (takie jak leki) zostały zniszczone lub przewiezione do</w:t>
      </w:r>
      <w:r w:rsidR="00B62872" w:rsidRPr="003B1B65">
        <w:rPr>
          <w:rFonts w:cstheme="minorHAnsi"/>
        </w:rPr>
        <w:t> </w:t>
      </w:r>
      <w:r w:rsidRPr="003B1B65">
        <w:rPr>
          <w:rFonts w:cstheme="minorHAnsi"/>
        </w:rPr>
        <w:t>miejsca, o którym skarżący nie zostali powiadomieni.</w:t>
      </w:r>
      <w:r w:rsidR="00A4044E" w:rsidRPr="003B1B65">
        <w:rPr>
          <w:rFonts w:cstheme="minorHAnsi"/>
        </w:rPr>
        <w:t xml:space="preserve"> </w:t>
      </w:r>
      <w:r w:rsidRPr="003B1B65">
        <w:rPr>
          <w:rFonts w:cstheme="minorHAnsi"/>
        </w:rPr>
        <w:t>Odnosząc się do możliwości relokacji skarżących ETPC stwierdził, że otrzymali oni w odpowiednim czasie oferty alternatywnego i</w:t>
      </w:r>
      <w:r w:rsidR="00A8417E">
        <w:rPr>
          <w:rFonts w:cstheme="minorHAnsi"/>
        </w:rPr>
        <w:t> </w:t>
      </w:r>
      <w:r w:rsidRPr="003B1B65">
        <w:rPr>
          <w:rFonts w:cstheme="minorHAnsi"/>
        </w:rPr>
        <w:t>odpowiedniego zakwaterowania oraz pomocy finansowej. Skarżący otrzymali ogólną pomoc i zostali zachęceni do poprawy swoich warunków socjalnych poprzez podjęcie nauki języka i</w:t>
      </w:r>
      <w:r w:rsidR="00A4044E" w:rsidRPr="003B1B65">
        <w:rPr>
          <w:rFonts w:cstheme="minorHAnsi"/>
        </w:rPr>
        <w:t> </w:t>
      </w:r>
      <w:r w:rsidRPr="003B1B65">
        <w:rPr>
          <w:rFonts w:cstheme="minorHAnsi"/>
        </w:rPr>
        <w:t>zarejestrowanie się w ośrodku dla bezrobotnych. Trybunał uznał zatem, że niechęć skarżących do skorzystania z tych ofert przyczyniła się do</w:t>
      </w:r>
      <w:r w:rsidR="00B62872" w:rsidRPr="003B1B65">
        <w:rPr>
          <w:rFonts w:cstheme="minorHAnsi"/>
        </w:rPr>
        <w:t> </w:t>
      </w:r>
      <w:r w:rsidRPr="003B1B65">
        <w:rPr>
          <w:rFonts w:cstheme="minorHAnsi"/>
        </w:rPr>
        <w:t>ich bezdomności bezpośrednio po wyburzeniu. Trybunał zauważył również, że przynajmniej kilku skarżących ostatecznie zdecydowało się skorzystać z</w:t>
      </w:r>
      <w:r w:rsidR="00B62872" w:rsidRPr="003B1B65">
        <w:rPr>
          <w:rFonts w:cstheme="minorHAnsi"/>
        </w:rPr>
        <w:t> </w:t>
      </w:r>
      <w:r w:rsidRPr="003B1B65">
        <w:rPr>
          <w:rFonts w:cstheme="minorHAnsi"/>
        </w:rPr>
        <w:t>długoterminowego programu mieszkaniowego ustanowionego w ramach współpracy między władzami lokalnymi a organizacjami pozarządowymi.</w:t>
      </w:r>
      <w:r w:rsidR="00D2747C">
        <w:rPr>
          <w:rFonts w:cstheme="minorHAnsi"/>
        </w:rPr>
        <w:t xml:space="preserve"> </w:t>
      </w:r>
      <w:r w:rsidRPr="003B1B65">
        <w:rPr>
          <w:rFonts w:cstheme="minorHAnsi"/>
        </w:rPr>
        <w:t>Trybunał uznał, że władze w niniejszej sprawie nie zapewniły zgodności procesu decyzyjnego ze standardami Konwencji. W szczególności Trybunał podkreślił, że trudna sytuacja Romów jako mniejszości oznacza, że należy zwrócić szczególną uwagę na ich potrzeby i odmienny styl życia zarówno w</w:t>
      </w:r>
      <w:r w:rsidR="00B62872" w:rsidRPr="003B1B65">
        <w:rPr>
          <w:rFonts w:cstheme="minorHAnsi"/>
        </w:rPr>
        <w:t> </w:t>
      </w:r>
      <w:r w:rsidRPr="003B1B65">
        <w:rPr>
          <w:rFonts w:cstheme="minorHAnsi"/>
        </w:rPr>
        <w:t>odpowiednich ramach regulacyjnych, jak i przy podejmowaniu decyzji w konkretnych sprawach.</w:t>
      </w:r>
      <w:r w:rsidR="00A4044E" w:rsidRPr="003B1B65">
        <w:rPr>
          <w:rFonts w:cstheme="minorHAnsi"/>
        </w:rPr>
        <w:t xml:space="preserve"> </w:t>
      </w:r>
      <w:r w:rsidRPr="003B1B65">
        <w:rPr>
          <w:rFonts w:cstheme="minorHAnsi"/>
        </w:rPr>
        <w:t>Skarżących podzielono na pięć gospodarstw domowych i</w:t>
      </w:r>
      <w:r w:rsidR="00D2747C">
        <w:rPr>
          <w:rFonts w:cstheme="minorHAnsi"/>
        </w:rPr>
        <w:t> </w:t>
      </w:r>
      <w:r w:rsidRPr="003B1B65">
        <w:rPr>
          <w:rFonts w:cstheme="minorHAnsi"/>
        </w:rPr>
        <w:t xml:space="preserve">zasądzono na rzecz każdego z tych gospodarstw zadośćuczynienie w wysokości 5000 </w:t>
      </w:r>
      <w:r w:rsidR="002E4780" w:rsidRPr="003B1B65">
        <w:rPr>
          <w:rFonts w:cstheme="minorHAnsi"/>
        </w:rPr>
        <w:t>euro</w:t>
      </w:r>
      <w:r w:rsidRPr="003B1B65">
        <w:rPr>
          <w:rFonts w:cstheme="minorHAnsi"/>
        </w:rPr>
        <w:t xml:space="preserve"> (pięć tysięcy euro). Trybunał stwierdził, </w:t>
      </w:r>
      <w:r w:rsidR="00E46FF2" w:rsidRPr="003B1B65">
        <w:rPr>
          <w:rFonts w:cstheme="minorHAnsi"/>
        </w:rPr>
        <w:t>jednocześnie,</w:t>
      </w:r>
      <w:r w:rsidRPr="003B1B65">
        <w:rPr>
          <w:rFonts w:cstheme="minorHAnsi"/>
        </w:rPr>
        <w:t xml:space="preserve"> że nie ma potrzeby badania skarg na podstawie art. 13 lub art. 14 w związku z art. 8 Konwencji.</w:t>
      </w:r>
    </w:p>
    <w:p w14:paraId="17595357" w14:textId="77777777" w:rsidR="000D6C19" w:rsidRPr="003B1B65" w:rsidRDefault="000D6C19" w:rsidP="003B1B65">
      <w:pPr>
        <w:tabs>
          <w:tab w:val="left" w:pos="540"/>
        </w:tabs>
        <w:spacing w:after="0"/>
        <w:jc w:val="both"/>
        <w:rPr>
          <w:rFonts w:cstheme="minorHAnsi"/>
        </w:rPr>
      </w:pPr>
    </w:p>
    <w:p w14:paraId="4180BF03" w14:textId="2FAA0F74" w:rsidR="00A86B88" w:rsidRPr="003B1B65" w:rsidRDefault="00A86B88" w:rsidP="003B1B65">
      <w:pPr>
        <w:jc w:val="both"/>
        <w:rPr>
          <w:rFonts w:cstheme="minorHAnsi"/>
        </w:rPr>
      </w:pPr>
      <w:r w:rsidRPr="003B1B65">
        <w:rPr>
          <w:rFonts w:cstheme="minorHAnsi"/>
        </w:rPr>
        <w:t>W sprawie </w:t>
      </w:r>
      <w:r w:rsidRPr="003B1B65">
        <w:rPr>
          <w:rFonts w:cstheme="minorHAnsi"/>
          <w:b/>
          <w:bCs/>
          <w:i/>
          <w:iCs/>
        </w:rPr>
        <w:t>Bona przeciwko Polsce</w:t>
      </w:r>
      <w:r w:rsidRPr="003B1B65">
        <w:rPr>
          <w:rFonts w:cstheme="minorHAnsi"/>
          <w:b/>
          <w:bCs/>
        </w:rPr>
        <w:t> (</w:t>
      </w:r>
      <w:r w:rsidR="00A9638F" w:rsidRPr="003B1B65">
        <w:rPr>
          <w:rFonts w:cstheme="minorHAnsi"/>
          <w:b/>
          <w:bCs/>
        </w:rPr>
        <w:t xml:space="preserve">skarga </w:t>
      </w:r>
      <w:r w:rsidRPr="003B1B65">
        <w:rPr>
          <w:rFonts w:cstheme="minorHAnsi"/>
          <w:b/>
          <w:bCs/>
        </w:rPr>
        <w:t>nr 10708/23)</w:t>
      </w:r>
      <w:r w:rsidRPr="003B1B65">
        <w:rPr>
          <w:rFonts w:cstheme="minorHAnsi"/>
        </w:rPr>
        <w:t xml:space="preserve"> skarga dotyczyła zarzutu naruszenie art. 6 ust. 1 oraz art. 13 Konwencji ze względu na przewlekłość postępowania cywilnego oraz brak skutecznego środka odwoławczego w prawie krajowym. W niniejszej sprawie Trybunał - mając na względzie swoje dotychczasowe orzecznictwo – uznał, że długość postępowania była nadmierna i nie spełniała wymogu „rozsądnego terminu” oraz że skarżąca nie dysponowała skutecznym krajowym środkiem odwoławczym. Stwierdzając zatem, że doszło do naruszenia art. 6 ust. 1 i art. 13 Konwencji, Trybunał przyznał skarżącej kwotę 4200 euro tytułem zadośćuczynienia oraz kwotę 250 euro z tytułu poniesionych kosztów.</w:t>
      </w:r>
    </w:p>
    <w:p w14:paraId="032CBBB2" w14:textId="14BDCB6E" w:rsidR="00A86B88" w:rsidRPr="003B1B65" w:rsidRDefault="00A86B88" w:rsidP="003B1B65">
      <w:pPr>
        <w:jc w:val="both"/>
        <w:rPr>
          <w:rFonts w:cstheme="minorHAnsi"/>
          <w:b/>
          <w:bCs/>
        </w:rPr>
      </w:pPr>
      <w:r w:rsidRPr="003B1B65">
        <w:rPr>
          <w:rFonts w:cstheme="minorHAnsi"/>
        </w:rPr>
        <w:lastRenderedPageBreak/>
        <w:t xml:space="preserve">W sprawie </w:t>
      </w:r>
      <w:r w:rsidRPr="003B1B65">
        <w:rPr>
          <w:rFonts w:cstheme="minorHAnsi"/>
          <w:b/>
          <w:bCs/>
          <w:i/>
          <w:iCs/>
        </w:rPr>
        <w:t>P. przeciwko Polsce</w:t>
      </w:r>
      <w:r w:rsidRPr="003B1B65">
        <w:rPr>
          <w:rFonts w:cstheme="minorHAnsi"/>
          <w:b/>
          <w:bCs/>
        </w:rPr>
        <w:t xml:space="preserve"> (skarga nr 56310/15) </w:t>
      </w:r>
      <w:r w:rsidRPr="003B1B65">
        <w:rPr>
          <w:rFonts w:cstheme="minorHAnsi"/>
        </w:rPr>
        <w:t>skarżący K.P. zarzucił Polsce naruszenie art. 8, 10 i 14 Konwencji w związku ze zwolnieniem dyscyplinarnym z pracy. Sprawa dotyczyła zwolnienia nauczyciela szkoły średniej za m.in. pisanie bloga internetowego dla dorosłych zawierającego treści o</w:t>
      </w:r>
      <w:r w:rsidR="00B62872" w:rsidRPr="003B1B65">
        <w:rPr>
          <w:rFonts w:cstheme="minorHAnsi"/>
        </w:rPr>
        <w:t> </w:t>
      </w:r>
      <w:r w:rsidRPr="003B1B65">
        <w:rPr>
          <w:rFonts w:cstheme="minorHAnsi"/>
        </w:rPr>
        <w:t>charakterze jednoznacznie seksualnym. Strony nie kwestionowały, że zwolnienie skarżącego ze stanowiska nauczyciela w szkole średniej za publikowanie bloga stanowiło ingerencję w jego prawo do wolności wyrażania opinii. Podstawą prawną ingerencji w niniejszej sprawie, jak wskazały władze, był art. 6 ustawy Karta Nauczyciela. Rząd i władze krajowe wskazywały na ochronę moralności oraz praw i wolności innych osób jako uzasadnionych celów, które miały usprawiedliwiać kwestionowaną ingerencję. Trybunał zauważył, że ustawowy obowiązek, określony we wspomnianym art. 6 ust. 5 ustawy Karta Nauczyciela, stanowiący o tym, że nauczyciel powinien „dbać o kształtowanie” postaw moralnych uczniów z natury zakłada zakaz przekazywania im nieodpowiednich materiałów. Ponadto Trybunał dostrzegł, że zgodnie z art. 9 Karty Nauczyciela nauczyciel powinien „przestrzegać podstawowych zasad moralnych”. Przepis ten może być postrzegany jako wskazujący na interes w ochronie moralności w bardziej ogólnym sensie, który może być postrzegany jako rozciągający się na sferę życia prywatnego nauczyciela (zob., </w:t>
      </w:r>
      <w:r w:rsidRPr="003B1B65">
        <w:rPr>
          <w:rFonts w:cstheme="minorHAnsi"/>
          <w:i/>
          <w:iCs/>
        </w:rPr>
        <w:t>mutatis mutandis</w:t>
      </w:r>
      <w:r w:rsidRPr="003B1B65">
        <w:rPr>
          <w:rFonts w:cstheme="minorHAnsi"/>
        </w:rPr>
        <w:t>, </w:t>
      </w:r>
      <w:proofErr w:type="spellStart"/>
      <w:r w:rsidRPr="003B1B65">
        <w:rPr>
          <w:rFonts w:cstheme="minorHAnsi"/>
          <w:i/>
          <w:iCs/>
        </w:rPr>
        <w:t>Chocholáč</w:t>
      </w:r>
      <w:proofErr w:type="spellEnd"/>
      <w:r w:rsidRPr="003B1B65">
        <w:rPr>
          <w:rFonts w:cstheme="minorHAnsi"/>
          <w:i/>
          <w:iCs/>
        </w:rPr>
        <w:t xml:space="preserve"> przeciwko Słowacji</w:t>
      </w:r>
      <w:r w:rsidRPr="003B1B65">
        <w:rPr>
          <w:rFonts w:cstheme="minorHAnsi"/>
        </w:rPr>
        <w:t>, nr 81292/17, § 61, 7 lipca 2022 r.). Władze w niniejszej sprawie nie powołały się na art. 9 Karty Nauczyciela w postępowaniu dyscyplinarnym przeciwko skarżącemu. Trybunał podkreślił, że według władz i Rządu blog skarżącego stanowił obrazę obyczajów społecznych panujących w Polsce, ponieważ mówił w sposób wyraźny o seksualności samej w sobie, a nie dlatego, że opisywany przez niego rodzaj seksualności był homoseksualny (zob., </w:t>
      </w:r>
      <w:r w:rsidRPr="003B1B65">
        <w:rPr>
          <w:rFonts w:cstheme="minorHAnsi"/>
          <w:i/>
          <w:iCs/>
        </w:rPr>
        <w:t xml:space="preserve">mutatis mutandis, </w:t>
      </w:r>
      <w:proofErr w:type="spellStart"/>
      <w:r w:rsidRPr="003B1B65">
        <w:rPr>
          <w:rFonts w:cstheme="minorHAnsi"/>
          <w:i/>
          <w:iCs/>
        </w:rPr>
        <w:t>Bayev</w:t>
      </w:r>
      <w:proofErr w:type="spellEnd"/>
      <w:r w:rsidRPr="003B1B65">
        <w:rPr>
          <w:rFonts w:cstheme="minorHAnsi"/>
          <w:i/>
          <w:iCs/>
        </w:rPr>
        <w:t xml:space="preserve"> i inni przeciwko Rosji,</w:t>
      </w:r>
      <w:r w:rsidRPr="003B1B65">
        <w:rPr>
          <w:rFonts w:cstheme="minorHAnsi"/>
        </w:rPr>
        <w:t> nr 67667/09 i 2 inne, §§ 65, 67, 69 i 74, 20 czerwca 2017 r.). Trybunał powtórzył, że nie jest możliwe znalezienie w porządkach prawnych i społecznych Umawiających się Państw jednolitej europejskiej koncepcji moralności. Poglądy dotyczące wymogów moralności różnią się w zależności od czasu i miejsca, zwłaszcza w naszej epoce, charakteryzującej się daleko idącą ewolucją opinii na ten temat (zob. </w:t>
      </w:r>
      <w:proofErr w:type="spellStart"/>
      <w:r w:rsidRPr="003B1B65">
        <w:rPr>
          <w:rFonts w:cstheme="minorHAnsi"/>
          <w:i/>
          <w:iCs/>
        </w:rPr>
        <w:t>Pryanishnikov</w:t>
      </w:r>
      <w:proofErr w:type="spellEnd"/>
      <w:r w:rsidRPr="003B1B65">
        <w:rPr>
          <w:rFonts w:cstheme="minorHAnsi"/>
          <w:i/>
          <w:iCs/>
        </w:rPr>
        <w:t xml:space="preserve"> przeciwko Rosji</w:t>
      </w:r>
      <w:r w:rsidRPr="003B1B65">
        <w:rPr>
          <w:rFonts w:cstheme="minorHAnsi"/>
        </w:rPr>
        <w:t>, nr 25047/05, § 53, 10</w:t>
      </w:r>
      <w:r w:rsidR="00D2747C">
        <w:rPr>
          <w:rFonts w:cstheme="minorHAnsi"/>
        </w:rPr>
        <w:t> </w:t>
      </w:r>
      <w:r w:rsidRPr="003B1B65">
        <w:rPr>
          <w:rFonts w:cstheme="minorHAnsi"/>
        </w:rPr>
        <w:t>września 2019 r.). Ze względu na swój bezpośredni i stały kontakt z siłami witalnymi swoich krajów, władze państwowe są zasadniczo w lepszej sytuacji niż sędzia międzynarodowy, aby wydać opinię na temat dokładnej treści tych wymogów, a także na temat „konieczności” „ograniczenia” lub „kary” mających na celu spełnienie tych wymogów (zob. </w:t>
      </w:r>
      <w:r w:rsidRPr="003B1B65">
        <w:rPr>
          <w:rFonts w:cstheme="minorHAnsi"/>
          <w:i/>
          <w:iCs/>
        </w:rPr>
        <w:t>Müller i Inni przeciwko Szwajcarii,</w:t>
      </w:r>
      <w:r w:rsidRPr="003B1B65">
        <w:rPr>
          <w:rFonts w:cstheme="minorHAnsi"/>
        </w:rPr>
        <w:t> 24 maja 1988 r., § 35, Seria A nr 133, </w:t>
      </w:r>
      <w:proofErr w:type="spellStart"/>
      <w:r w:rsidRPr="003B1B65">
        <w:rPr>
          <w:rFonts w:cstheme="minorHAnsi"/>
          <w:i/>
          <w:iCs/>
        </w:rPr>
        <w:t>Kaos</w:t>
      </w:r>
      <w:proofErr w:type="spellEnd"/>
      <w:r w:rsidRPr="003B1B65">
        <w:rPr>
          <w:rFonts w:cstheme="minorHAnsi"/>
          <w:i/>
          <w:iCs/>
        </w:rPr>
        <w:t xml:space="preserve"> GL przeciwko Turcji,</w:t>
      </w:r>
      <w:r w:rsidRPr="003B1B65">
        <w:rPr>
          <w:rFonts w:cstheme="minorHAnsi"/>
        </w:rPr>
        <w:t> nr 4982/07, § 49, 22 listopada 2016 r., </w:t>
      </w:r>
      <w:proofErr w:type="spellStart"/>
      <w:r w:rsidRPr="003B1B65">
        <w:rPr>
          <w:rFonts w:cstheme="minorHAnsi"/>
          <w:i/>
          <w:iCs/>
        </w:rPr>
        <w:t>Pryanishnikov</w:t>
      </w:r>
      <w:proofErr w:type="spellEnd"/>
      <w:r w:rsidRPr="003B1B65">
        <w:rPr>
          <w:rFonts w:cstheme="minorHAnsi"/>
        </w:rPr>
        <w:t>, § 53 oraz </w:t>
      </w:r>
      <w:proofErr w:type="spellStart"/>
      <w:r w:rsidRPr="003B1B65">
        <w:rPr>
          <w:rFonts w:cstheme="minorHAnsi"/>
          <w:i/>
          <w:iCs/>
        </w:rPr>
        <w:t>Chocholáč</w:t>
      </w:r>
      <w:proofErr w:type="spellEnd"/>
      <w:r w:rsidRPr="003B1B65">
        <w:rPr>
          <w:rFonts w:cstheme="minorHAnsi"/>
          <w:i/>
          <w:iCs/>
        </w:rPr>
        <w:t>,</w:t>
      </w:r>
      <w:r w:rsidRPr="003B1B65">
        <w:rPr>
          <w:rFonts w:cstheme="minorHAnsi"/>
        </w:rPr>
        <w:t> § 70). Na pozwanym państwie spoczywa jednak obowiązek wykazania istnienia pilnej potrzeby społecznej uzasadniającej ingerencję (zob. </w:t>
      </w:r>
      <w:proofErr w:type="spellStart"/>
      <w:r w:rsidRPr="003B1B65">
        <w:rPr>
          <w:rFonts w:cstheme="minorHAnsi"/>
          <w:i/>
          <w:iCs/>
        </w:rPr>
        <w:t>Khoroshenko</w:t>
      </w:r>
      <w:proofErr w:type="spellEnd"/>
      <w:r w:rsidRPr="003B1B65">
        <w:rPr>
          <w:rFonts w:cstheme="minorHAnsi"/>
          <w:i/>
          <w:iCs/>
        </w:rPr>
        <w:t xml:space="preserve"> przeciwko Rosji</w:t>
      </w:r>
      <w:r w:rsidRPr="003B1B65">
        <w:rPr>
          <w:rFonts w:cstheme="minorHAnsi"/>
        </w:rPr>
        <w:t> [WI], nr 41418/04, § 118, ETPC 2015 oraz </w:t>
      </w:r>
      <w:proofErr w:type="spellStart"/>
      <w:r w:rsidRPr="003B1B65">
        <w:rPr>
          <w:rFonts w:cstheme="minorHAnsi"/>
          <w:i/>
          <w:iCs/>
        </w:rPr>
        <w:t>Chocholáč</w:t>
      </w:r>
      <w:proofErr w:type="spellEnd"/>
      <w:r w:rsidRPr="003B1B65">
        <w:rPr>
          <w:rFonts w:cstheme="minorHAnsi"/>
        </w:rPr>
        <w:t>, § 64). W niniejszej sprawie Trybunał nie uznał za konieczne zajmowanie ostatecznego stanowiska co do tego, czy kwestionowany środek w rzeczywistości realizował którykolwiek ze</w:t>
      </w:r>
      <w:r w:rsidR="00D2747C">
        <w:rPr>
          <w:rFonts w:cstheme="minorHAnsi"/>
        </w:rPr>
        <w:t> </w:t>
      </w:r>
      <w:r w:rsidRPr="003B1B65">
        <w:rPr>
          <w:rFonts w:cstheme="minorHAnsi"/>
        </w:rPr>
        <w:t>wskazanych uzasadnionych celów, ponieważ uważał, że w każdym razie nie był on konieczny w demokratycznym społeczeństwie, z powodów przedstawionych poniżej (zob., </w:t>
      </w:r>
      <w:r w:rsidRPr="003B1B65">
        <w:rPr>
          <w:rFonts w:cstheme="minorHAnsi"/>
          <w:i/>
          <w:iCs/>
        </w:rPr>
        <w:t>mutatis mutandis,</w:t>
      </w:r>
      <w:r w:rsidRPr="003B1B65">
        <w:rPr>
          <w:rFonts w:cstheme="minorHAnsi"/>
        </w:rPr>
        <w:t> </w:t>
      </w:r>
      <w:proofErr w:type="spellStart"/>
      <w:r w:rsidRPr="003B1B65">
        <w:rPr>
          <w:rFonts w:cstheme="minorHAnsi"/>
          <w:i/>
          <w:iCs/>
        </w:rPr>
        <w:t>Biržietis</w:t>
      </w:r>
      <w:proofErr w:type="spellEnd"/>
      <w:r w:rsidRPr="003B1B65">
        <w:rPr>
          <w:rFonts w:cstheme="minorHAnsi"/>
          <w:i/>
          <w:iCs/>
        </w:rPr>
        <w:t xml:space="preserve"> przeciwko Litwie</w:t>
      </w:r>
      <w:r w:rsidRPr="003B1B65">
        <w:rPr>
          <w:rFonts w:cstheme="minorHAnsi"/>
        </w:rPr>
        <w:t>, nr 49304/09, § 54, 14 czerwca 2016 r. oraz </w:t>
      </w:r>
      <w:proofErr w:type="spellStart"/>
      <w:r w:rsidRPr="003B1B65">
        <w:rPr>
          <w:rFonts w:cstheme="minorHAnsi"/>
          <w:i/>
          <w:iCs/>
        </w:rPr>
        <w:t>Chocholáč</w:t>
      </w:r>
      <w:proofErr w:type="spellEnd"/>
      <w:r w:rsidRPr="003B1B65">
        <w:rPr>
          <w:rFonts w:cstheme="minorHAnsi"/>
        </w:rPr>
        <w:t>, § 63). W odniesieniu do</w:t>
      </w:r>
      <w:r w:rsidR="00D2747C">
        <w:rPr>
          <w:rFonts w:cstheme="minorHAnsi"/>
        </w:rPr>
        <w:t> </w:t>
      </w:r>
      <w:r w:rsidRPr="003B1B65">
        <w:rPr>
          <w:rFonts w:cstheme="minorHAnsi"/>
        </w:rPr>
        <w:t>konieczności ingerencji, Trybunał powtórzył, że zakres marginesu oceny pozostawionego władzom krajowym różni się w zależności od szeregu czynników, wśród których szczególne znaczenie ma rodzaj przedmiotowej wypowiedzi. Podczas gdy na mocy art. 10 ust. 2 Konwencji istnieje niewielki zakres ograniczeń dotyczących wypowiedzi politycznych, szerszy margines oceny jest ogólnie dostępny dla Umawiających się Państw w przypadku regulowania wolności wypowiedzi w odniesieniu do spraw, które mogą obrażać intymne osobiste przekonania w sferze moralności lub, w szczególności, religii (zob. </w:t>
      </w:r>
      <w:proofErr w:type="spellStart"/>
      <w:r w:rsidRPr="003B1B65">
        <w:rPr>
          <w:rFonts w:cstheme="minorHAnsi"/>
          <w:i/>
          <w:iCs/>
        </w:rPr>
        <w:t>Mouvement</w:t>
      </w:r>
      <w:proofErr w:type="spellEnd"/>
      <w:r w:rsidRPr="003B1B65">
        <w:rPr>
          <w:rFonts w:cstheme="minorHAnsi"/>
          <w:i/>
          <w:iCs/>
        </w:rPr>
        <w:t xml:space="preserve"> </w:t>
      </w:r>
      <w:proofErr w:type="spellStart"/>
      <w:r w:rsidRPr="003B1B65">
        <w:rPr>
          <w:rFonts w:cstheme="minorHAnsi"/>
          <w:i/>
          <w:iCs/>
        </w:rPr>
        <w:t>Raëlien</w:t>
      </w:r>
      <w:proofErr w:type="spellEnd"/>
      <w:r w:rsidRPr="003B1B65">
        <w:rPr>
          <w:rFonts w:cstheme="minorHAnsi"/>
          <w:i/>
          <w:iCs/>
        </w:rPr>
        <w:t xml:space="preserve"> Suisse przeciwko Szwajcarii</w:t>
      </w:r>
      <w:r w:rsidRPr="003B1B65">
        <w:rPr>
          <w:rFonts w:cstheme="minorHAnsi"/>
        </w:rPr>
        <w:t xml:space="preserve"> [WI], nr 16354/06, § 61, ETPC 2012). Trybunał wskazał, że w okolicznościach niniejszej sprawy przede wszystkim musi </w:t>
      </w:r>
      <w:r w:rsidRPr="003B1B65">
        <w:rPr>
          <w:rFonts w:cstheme="minorHAnsi"/>
        </w:rPr>
        <w:lastRenderedPageBreak/>
        <w:t>zbadać rozumowanie przyjęte przez władze krajowe, które prowadziły postępowanie dyscyplinarne przeciwko skarżącemu, aby ocenić, czy jego zwolnienie ze stanowiska nauczyciela w szkole średniej było uzasadnione odpowiednimi i wystarczającymi powodami (zob. </w:t>
      </w:r>
      <w:proofErr w:type="spellStart"/>
      <w:r w:rsidRPr="003B1B65">
        <w:rPr>
          <w:rFonts w:cstheme="minorHAnsi"/>
          <w:i/>
          <w:iCs/>
        </w:rPr>
        <w:t>Pryanishnikov</w:t>
      </w:r>
      <w:proofErr w:type="spellEnd"/>
      <w:r w:rsidRPr="003B1B65">
        <w:rPr>
          <w:rFonts w:cstheme="minorHAnsi"/>
        </w:rPr>
        <w:t>, § 56, oraz </w:t>
      </w:r>
      <w:proofErr w:type="spellStart"/>
      <w:r w:rsidRPr="003B1B65">
        <w:rPr>
          <w:rFonts w:cstheme="minorHAnsi"/>
          <w:i/>
          <w:iCs/>
        </w:rPr>
        <w:t>Kaos</w:t>
      </w:r>
      <w:proofErr w:type="spellEnd"/>
      <w:r w:rsidRPr="003B1B65">
        <w:rPr>
          <w:rFonts w:cstheme="minorHAnsi"/>
          <w:i/>
          <w:iCs/>
        </w:rPr>
        <w:t xml:space="preserve"> GL</w:t>
      </w:r>
      <w:r w:rsidRPr="003B1B65">
        <w:rPr>
          <w:rFonts w:cstheme="minorHAnsi"/>
        </w:rPr>
        <w:t>, § 57). Trybunał zauważył, że skarżący nie podniósł żadnego wyraźnego argumentu przed władzami krajowymi w odniesieniu do jego prawa do wolności wypowiedzi i przyznał, że pisanie bloga było nagannym zachowaniem. Jednocześnie jednak skarżący argumentował, że władze niesłusznie postrzegały jego działalność blogową jako świadczącą o jego braku moralności i stanowiącą zagrożenie dla edukacji etycznej jego uczniów, a sankcja nałożona na niego była nieproporcjonalna w okolicznościach sprawy. W tym kontekście Trybunał uznał, że Komisja Dyscyplinarna zauważyła, że nauczyciele, ciesząc się swobodą wypowiedzi, musieli wykazać się powściągliwością ze względu na ich misję jako wychowawców. Trybunał uznał, że pomimo jedynie dorozumianej i nieco sprzecznej formy argumentów skarżącego przedstawionych na rozprawie przed Komisją Dyscyplinarną i w jego odwołaniu, postępowanie dyscyplinarne przeciwko niemu było częściowo wyraźnie ukierunkowane na działania wchodzące w zakres wolności wypowiedzi, a skarżący został ukarany za angażowanie się w takie działania (zob. </w:t>
      </w:r>
      <w:r w:rsidRPr="003B1B65">
        <w:rPr>
          <w:rFonts w:cstheme="minorHAnsi"/>
          <w:i/>
          <w:iCs/>
        </w:rPr>
        <w:t xml:space="preserve">mutatis mutandis, </w:t>
      </w:r>
      <w:proofErr w:type="spellStart"/>
      <w:r w:rsidRPr="003B1B65">
        <w:rPr>
          <w:rFonts w:cstheme="minorHAnsi"/>
          <w:i/>
          <w:iCs/>
        </w:rPr>
        <w:t>Müdür</w:t>
      </w:r>
      <w:proofErr w:type="spellEnd"/>
      <w:r w:rsidRPr="003B1B65">
        <w:rPr>
          <w:rFonts w:cstheme="minorHAnsi"/>
          <w:i/>
          <w:iCs/>
        </w:rPr>
        <w:t xml:space="preserve"> </w:t>
      </w:r>
      <w:proofErr w:type="spellStart"/>
      <w:r w:rsidRPr="003B1B65">
        <w:rPr>
          <w:rFonts w:cstheme="minorHAnsi"/>
          <w:i/>
          <w:iCs/>
        </w:rPr>
        <w:t>Duman</w:t>
      </w:r>
      <w:proofErr w:type="spellEnd"/>
      <w:r w:rsidRPr="003B1B65">
        <w:rPr>
          <w:rFonts w:cstheme="minorHAnsi"/>
          <w:i/>
          <w:iCs/>
        </w:rPr>
        <w:t xml:space="preserve"> przeciwko Turcji</w:t>
      </w:r>
      <w:r w:rsidRPr="003B1B65">
        <w:rPr>
          <w:rFonts w:cstheme="minorHAnsi"/>
        </w:rPr>
        <w:t>, nr 15450/03, § 30, 6 października 2015 r.). Trybunał zauważył, że w postępowaniu prowadzonym na trzech poziomach jurysdykcji w sprawie skarżącego, dopiero na ostatnim poziomie - przed Sądem Apelacyjnym w Szczecinie - uzasadnienie odnosiło się do konkretnych przykładów treści z bloga skarżącego, a mianowicie szeregu zdjęć i wypowiedzi. Poza opisaniem tych treści jako „bluźnierczych”, „obscenicznych” i „seksualnych”, sąd nie rozwinął jednak, dlaczego jego zdaniem te konkretne teksty i obrazy naruszały obyczaje społeczne panujące w Polsce (zob., </w:t>
      </w:r>
      <w:r w:rsidRPr="003B1B65">
        <w:rPr>
          <w:rFonts w:cstheme="minorHAnsi"/>
          <w:i/>
          <w:iCs/>
        </w:rPr>
        <w:t>mutatis mutandis</w:t>
      </w:r>
      <w:r w:rsidRPr="003B1B65">
        <w:rPr>
          <w:rFonts w:cstheme="minorHAnsi"/>
        </w:rPr>
        <w:t>, </w:t>
      </w:r>
      <w:proofErr w:type="spellStart"/>
      <w:r w:rsidRPr="003B1B65">
        <w:rPr>
          <w:rFonts w:cstheme="minorHAnsi"/>
          <w:i/>
          <w:iCs/>
        </w:rPr>
        <w:t>Pryanishnikov</w:t>
      </w:r>
      <w:proofErr w:type="spellEnd"/>
      <w:r w:rsidRPr="003B1B65">
        <w:rPr>
          <w:rFonts w:cstheme="minorHAnsi"/>
        </w:rPr>
        <w:t>, § 58 i </w:t>
      </w:r>
      <w:proofErr w:type="spellStart"/>
      <w:r w:rsidRPr="003B1B65">
        <w:rPr>
          <w:rFonts w:cstheme="minorHAnsi"/>
          <w:i/>
          <w:iCs/>
        </w:rPr>
        <w:t>Kaos</w:t>
      </w:r>
      <w:proofErr w:type="spellEnd"/>
      <w:r w:rsidRPr="003B1B65">
        <w:rPr>
          <w:rFonts w:cstheme="minorHAnsi"/>
          <w:i/>
          <w:iCs/>
        </w:rPr>
        <w:t xml:space="preserve"> GL</w:t>
      </w:r>
      <w:r w:rsidRPr="003B1B65">
        <w:rPr>
          <w:rFonts w:cstheme="minorHAnsi"/>
        </w:rPr>
        <w:t>, § 57). W tym kontekście Trybunał podkreślił, że postępowanie krajowe dotyczące bloga skarżącego nie koncentrowało się na komentarzach, które zostały uznane za obraźliwe dla studentów i kolegów skarżącego, ani na stwierdzeniach, które zostały uznane za bluźniercze, ale raczej na erotycznych i seksualnych treściach bloga, które zostały uznane za obsceniczne. Sąd Apelacyjny w Szczecinie w szczególności nie odniósł się w żaden sposób do aktywności skarżącego na Facebooku. Przywiązał wagę do publicznego charakteru bloga skarżącego i stwierdził, że ujawnił on swój zawód i zdyskredytował swoich kolegów, przełożonych i studentów. Sąd Apelacyjny w Szczecinie nie uwzględnił faktu, że dostęp do bloga był ograniczony do dorosłych czytelników, a także że skarżący go usunął, jak również nie wykazano, że działalność skarżącego miała jakikolwiek negatywny wpływ na uczniów. Trybunał podkreślił, że władze krajowe nie wzięły pod uwagę faktu, że skarżący nie angażował się w aktywne przekazywanie rzekomo niemoralnych treści uczniom (zob. </w:t>
      </w:r>
      <w:r w:rsidRPr="003B1B65">
        <w:rPr>
          <w:rFonts w:cstheme="minorHAnsi"/>
          <w:i/>
          <w:iCs/>
        </w:rPr>
        <w:t>mutatis mutandis, X. przeciwko Zjednoczonemu Królestwu</w:t>
      </w:r>
      <w:r w:rsidRPr="003B1B65">
        <w:rPr>
          <w:rFonts w:cstheme="minorHAnsi"/>
        </w:rPr>
        <w:t>, nr 8010/77, decyzja Komisji z 1 marca 1979 r., Decyzje i Raporty 16, s. 101), ale w pisanie bloga, który nie był w żaden sposób powiązany ze szkołą. Podczas gdy skarżący twierdził, że jego blog służył wyłącznie prywatnym celom, był on jednak prowadzony na publicznej stronie internetowej i czytany przez wiele tysięcy czytelników, wśród których mogli znajdować się, i najwyraźniej znajdowali się, niektórzy z jego uczniów i kolegów. Chociaż blog był anonimowy, można go było prześledzić wstecz. Trybunał uznał, że zachowanie skarżącego nie stanowiło ingerencji w politykę edukacyjną lub wybory rodzicielskie dotyczące etyki lub seksualności. Nic w jego działaniach nie umniejszało prawa rodziców do edukowania i doradzania swoim dzieciom, do wykonywania w stosunku do swoich dzieci ich naturalnych funkcji rodzicielskich jako wychowawców lub do kierowania swoich dzieci na ścieżkę zgodną z własnymi przekonaniami religijnymi lub filozoficznymi rodziców (zob. </w:t>
      </w:r>
      <w:r w:rsidRPr="003B1B65">
        <w:rPr>
          <w:rFonts w:cstheme="minorHAnsi"/>
          <w:i/>
          <w:iCs/>
        </w:rPr>
        <w:t>mutatis mutandis</w:t>
      </w:r>
      <w:r w:rsidRPr="003B1B65">
        <w:rPr>
          <w:rFonts w:cstheme="minorHAnsi"/>
        </w:rPr>
        <w:t>, </w:t>
      </w:r>
      <w:proofErr w:type="spellStart"/>
      <w:r w:rsidRPr="003B1B65">
        <w:rPr>
          <w:rFonts w:cstheme="minorHAnsi"/>
          <w:i/>
          <w:iCs/>
        </w:rPr>
        <w:t>Bayev</w:t>
      </w:r>
      <w:proofErr w:type="spellEnd"/>
      <w:r w:rsidRPr="003B1B65">
        <w:rPr>
          <w:rFonts w:cstheme="minorHAnsi"/>
          <w:i/>
          <w:iCs/>
        </w:rPr>
        <w:t xml:space="preserve"> i Inni</w:t>
      </w:r>
      <w:r w:rsidRPr="003B1B65">
        <w:rPr>
          <w:rFonts w:cstheme="minorHAnsi"/>
        </w:rPr>
        <w:t>, § 82). W tym kontekście Trybunał zauważył, że nie odnotowano, aby</w:t>
      </w:r>
      <w:r w:rsidR="00D2747C">
        <w:rPr>
          <w:rFonts w:cstheme="minorHAnsi"/>
        </w:rPr>
        <w:t> </w:t>
      </w:r>
      <w:r w:rsidRPr="003B1B65">
        <w:rPr>
          <w:rFonts w:cstheme="minorHAnsi"/>
        </w:rPr>
        <w:t xml:space="preserve">postępowanie dyscyplinarne zostało wszczęte przez uczniów czy rodziców obawiających się o integralność moralną lub bezpieczeństwo swoich dzieci </w:t>
      </w:r>
      <w:r w:rsidRPr="003B1B65">
        <w:rPr>
          <w:rFonts w:cstheme="minorHAnsi"/>
        </w:rPr>
        <w:lastRenderedPageBreak/>
        <w:t>(zob. </w:t>
      </w:r>
      <w:r w:rsidRPr="003B1B65">
        <w:rPr>
          <w:rFonts w:cstheme="minorHAnsi"/>
          <w:i/>
          <w:iCs/>
        </w:rPr>
        <w:t>mutatis mutandis</w:t>
      </w:r>
      <w:r w:rsidRPr="003B1B65">
        <w:rPr>
          <w:rFonts w:cstheme="minorHAnsi"/>
        </w:rPr>
        <w:t>, </w:t>
      </w:r>
      <w:r w:rsidRPr="003B1B65">
        <w:rPr>
          <w:rFonts w:cstheme="minorHAnsi"/>
          <w:i/>
          <w:iCs/>
        </w:rPr>
        <w:t>Klein przeciwko Słowacji</w:t>
      </w:r>
      <w:r w:rsidRPr="003B1B65">
        <w:rPr>
          <w:rFonts w:cstheme="minorHAnsi"/>
        </w:rPr>
        <w:t>, nr 72208/01, § 53, 31 października 2006 r. oraz </w:t>
      </w:r>
      <w:r w:rsidRPr="003B1B65">
        <w:rPr>
          <w:rFonts w:cstheme="minorHAnsi"/>
          <w:i/>
          <w:iCs/>
        </w:rPr>
        <w:t>Müller i Inni</w:t>
      </w:r>
      <w:r w:rsidRPr="003B1B65">
        <w:rPr>
          <w:rFonts w:cstheme="minorHAnsi"/>
        </w:rPr>
        <w:t>, § 12). Jeśli chodzi o tę ostatnią kwestię, Trybunał podkreślił, że nic nie wskazywało, aby skarżący kiedykolwiek został skazany za przestępstwo na tle seksualnym lub że cierpiał na jakąkolwiek chorobę, z powodu której przedmiotowy materiał mógłby wywołać gwałtowne lub w inny sposób niewłaściwe zachowanie (zob. </w:t>
      </w:r>
      <w:r w:rsidRPr="003B1B65">
        <w:rPr>
          <w:rFonts w:cstheme="minorHAnsi"/>
          <w:i/>
          <w:iCs/>
        </w:rPr>
        <w:t>mutatis mutandis</w:t>
      </w:r>
      <w:r w:rsidRPr="003B1B65">
        <w:rPr>
          <w:rFonts w:cstheme="minorHAnsi"/>
        </w:rPr>
        <w:t>, </w:t>
      </w:r>
      <w:proofErr w:type="spellStart"/>
      <w:r w:rsidRPr="003B1B65">
        <w:rPr>
          <w:rFonts w:cstheme="minorHAnsi"/>
          <w:i/>
          <w:iCs/>
        </w:rPr>
        <w:t>Chocholáč</w:t>
      </w:r>
      <w:proofErr w:type="spellEnd"/>
      <w:r w:rsidRPr="003B1B65">
        <w:rPr>
          <w:rFonts w:cstheme="minorHAnsi"/>
        </w:rPr>
        <w:t>, § 68). Trybunał zauważył, że władze krajowe nie wzięły pod uwagę faktu, że działalność skarżącego nie została uznana za nielegalną w</w:t>
      </w:r>
      <w:r w:rsidR="00D2747C">
        <w:rPr>
          <w:rFonts w:cstheme="minorHAnsi"/>
        </w:rPr>
        <w:t> </w:t>
      </w:r>
      <w:r w:rsidRPr="003B1B65">
        <w:rPr>
          <w:rFonts w:cstheme="minorHAnsi"/>
        </w:rPr>
        <w:t>tym sensie, że nie wszczęto przeciwko niemu żadnego postępowania cywilnego lub karnego w związku z rzekomo wulgarnym lub obraźliwym językiem, którego używał. Nie wzięto również pod uwagę faktu, że platforma internetowa, na której pisał, przestrzegała przepisów, zgodnie z którymi zaznaczenie przez potencjalnego czytelnika pola potwierdzającego, że jest osobą dorosłą, było uważane za wystarczające do celów prowadzenia stron internetowych z</w:t>
      </w:r>
      <w:r w:rsidR="00D2747C">
        <w:rPr>
          <w:rFonts w:cstheme="minorHAnsi"/>
        </w:rPr>
        <w:t> </w:t>
      </w:r>
      <w:r w:rsidRPr="003B1B65">
        <w:rPr>
          <w:rFonts w:cstheme="minorHAnsi"/>
        </w:rPr>
        <w:t>treściami dla dorosłych. Trybunał zauważył również, że podobne i jeszcze bardziej jednoznaczne - w istocie pornograficzne - materiały są powszechnie dostępne w Internecie, a także za pośrednictwem prasy dla osób dorosłych w pozwanym państwie i poza nim (zob. </w:t>
      </w:r>
      <w:r w:rsidRPr="003B1B65">
        <w:rPr>
          <w:rFonts w:cstheme="minorHAnsi"/>
          <w:i/>
          <w:iCs/>
        </w:rPr>
        <w:t>mutatis mutandis</w:t>
      </w:r>
      <w:r w:rsidRPr="003B1B65">
        <w:rPr>
          <w:rFonts w:cstheme="minorHAnsi"/>
        </w:rPr>
        <w:t>, </w:t>
      </w:r>
      <w:proofErr w:type="spellStart"/>
      <w:r w:rsidRPr="003B1B65">
        <w:rPr>
          <w:rFonts w:cstheme="minorHAnsi"/>
          <w:i/>
          <w:iCs/>
        </w:rPr>
        <w:t>Chocholáč</w:t>
      </w:r>
      <w:proofErr w:type="spellEnd"/>
      <w:r w:rsidRPr="003B1B65">
        <w:rPr>
          <w:rFonts w:cstheme="minorHAnsi"/>
        </w:rPr>
        <w:t>, § 68). Trybunał nie zgodził się z argumentem, że celem zwolnienia skarżącego ze stanowiska była m.in. ochrona jego uczniów przed materiałami o charakterze jednoznacznie seksualnym (zob. </w:t>
      </w:r>
      <w:r w:rsidRPr="003B1B65">
        <w:rPr>
          <w:rFonts w:cstheme="minorHAnsi"/>
          <w:i/>
          <w:iCs/>
        </w:rPr>
        <w:t>mutatis mutandis</w:t>
      </w:r>
      <w:r w:rsidRPr="003B1B65">
        <w:rPr>
          <w:rFonts w:cstheme="minorHAnsi"/>
        </w:rPr>
        <w:t>, </w:t>
      </w:r>
      <w:proofErr w:type="spellStart"/>
      <w:r w:rsidRPr="003B1B65">
        <w:rPr>
          <w:rFonts w:cstheme="minorHAnsi"/>
          <w:i/>
          <w:iCs/>
        </w:rPr>
        <w:t>Pryanishnikov</w:t>
      </w:r>
      <w:proofErr w:type="spellEnd"/>
      <w:r w:rsidRPr="003B1B65">
        <w:rPr>
          <w:rFonts w:cstheme="minorHAnsi"/>
        </w:rPr>
        <w:t>, § 61). Trybunał wskazał, że twórcy treści internetowych, podobnie jak artyści i pisarze, z</w:t>
      </w:r>
      <w:r w:rsidR="00D2747C">
        <w:rPr>
          <w:rFonts w:cstheme="minorHAnsi"/>
        </w:rPr>
        <w:t> </w:t>
      </w:r>
      <w:r w:rsidRPr="003B1B65">
        <w:rPr>
          <w:rFonts w:cstheme="minorHAnsi"/>
        </w:rPr>
        <w:t>pewnością nie są wolni od ograniczeń przewidzianych w art. 10 ust. 2 Konwencji. Zgodnie z tym ustępem, każdy, kto korzysta z wolności wyrażania opinii, przyjmuje na siebie „obowiązki i odpowiedzialność”, a zakres tych obowiązków i odpowiedzialności będzie zależał od jego sytuacji i użytych środków (zob. </w:t>
      </w:r>
      <w:proofErr w:type="spellStart"/>
      <w:r w:rsidRPr="003B1B65">
        <w:rPr>
          <w:rFonts w:cstheme="minorHAnsi"/>
          <w:i/>
          <w:iCs/>
        </w:rPr>
        <w:t>Vereinigung</w:t>
      </w:r>
      <w:proofErr w:type="spellEnd"/>
      <w:r w:rsidRPr="003B1B65">
        <w:rPr>
          <w:rFonts w:cstheme="minorHAnsi"/>
          <w:i/>
          <w:iCs/>
        </w:rPr>
        <w:t xml:space="preserve"> </w:t>
      </w:r>
      <w:proofErr w:type="spellStart"/>
      <w:r w:rsidRPr="003B1B65">
        <w:rPr>
          <w:rFonts w:cstheme="minorHAnsi"/>
          <w:i/>
          <w:iCs/>
        </w:rPr>
        <w:t>Bildender</w:t>
      </w:r>
      <w:proofErr w:type="spellEnd"/>
      <w:r w:rsidRPr="003B1B65">
        <w:rPr>
          <w:rFonts w:cstheme="minorHAnsi"/>
          <w:i/>
          <w:iCs/>
        </w:rPr>
        <w:t xml:space="preserve"> </w:t>
      </w:r>
      <w:proofErr w:type="spellStart"/>
      <w:r w:rsidRPr="003B1B65">
        <w:rPr>
          <w:rFonts w:cstheme="minorHAnsi"/>
          <w:i/>
          <w:iCs/>
        </w:rPr>
        <w:t>Künstler</w:t>
      </w:r>
      <w:proofErr w:type="spellEnd"/>
      <w:r w:rsidRPr="003B1B65">
        <w:rPr>
          <w:rFonts w:cstheme="minorHAnsi"/>
          <w:i/>
          <w:iCs/>
        </w:rPr>
        <w:t xml:space="preserve"> przeciwko Austrii</w:t>
      </w:r>
      <w:r w:rsidRPr="003B1B65">
        <w:rPr>
          <w:rFonts w:cstheme="minorHAnsi"/>
        </w:rPr>
        <w:t>, nr 68354/01, § 26, 25 stycznia 2007 r., </w:t>
      </w:r>
      <w:proofErr w:type="spellStart"/>
      <w:r w:rsidRPr="003B1B65">
        <w:rPr>
          <w:rFonts w:cstheme="minorHAnsi"/>
          <w:i/>
          <w:iCs/>
        </w:rPr>
        <w:t>Akdaş</w:t>
      </w:r>
      <w:proofErr w:type="spellEnd"/>
      <w:r w:rsidRPr="003B1B65">
        <w:rPr>
          <w:rFonts w:cstheme="minorHAnsi"/>
          <w:i/>
          <w:iCs/>
        </w:rPr>
        <w:t xml:space="preserve"> przeciwko Turcji</w:t>
      </w:r>
      <w:r w:rsidRPr="003B1B65">
        <w:rPr>
          <w:rFonts w:cstheme="minorHAnsi"/>
        </w:rPr>
        <w:t>, nr 41056/04, § 26, 16 lutego 2010 r. oraz </w:t>
      </w:r>
      <w:proofErr w:type="spellStart"/>
      <w:r w:rsidRPr="003B1B65">
        <w:rPr>
          <w:rFonts w:cstheme="minorHAnsi"/>
          <w:i/>
          <w:iCs/>
        </w:rPr>
        <w:t>Pryanishnikov</w:t>
      </w:r>
      <w:proofErr w:type="spellEnd"/>
      <w:r w:rsidRPr="003B1B65">
        <w:rPr>
          <w:rFonts w:cstheme="minorHAnsi"/>
        </w:rPr>
        <w:t>, § 51). Trybunał wskazał, że nauczyciele wykonują zawód zaufania publicznego i świadczą ważną usługę publiczną (zob. </w:t>
      </w:r>
      <w:r w:rsidRPr="003B1B65">
        <w:rPr>
          <w:rFonts w:cstheme="minorHAnsi"/>
          <w:i/>
          <w:iCs/>
        </w:rPr>
        <w:t>Grzelak przeciwko Polsce</w:t>
      </w:r>
      <w:r w:rsidRPr="003B1B65">
        <w:rPr>
          <w:rFonts w:cstheme="minorHAnsi"/>
        </w:rPr>
        <w:t>, nr 7710/02, § 87 in fine, 15 czerwca 2010 r.). Z racji tego, że nauczyciele są autorytetami dla swoich uczniów, ich szczególne obowiązki i</w:t>
      </w:r>
      <w:r w:rsidR="00D2747C">
        <w:rPr>
          <w:rFonts w:cstheme="minorHAnsi"/>
        </w:rPr>
        <w:t> </w:t>
      </w:r>
      <w:r w:rsidRPr="003B1B65">
        <w:rPr>
          <w:rFonts w:cstheme="minorHAnsi"/>
        </w:rPr>
        <w:t>odpowiedzialność w pewnym zakresie odnoszą się również do ich działalności poza szkołą (zob. </w:t>
      </w:r>
      <w:r w:rsidRPr="003B1B65">
        <w:rPr>
          <w:rFonts w:cstheme="minorHAnsi"/>
          <w:i/>
          <w:iCs/>
        </w:rPr>
        <w:t>Vogt przeciwko Niemcom</w:t>
      </w:r>
      <w:r w:rsidRPr="003B1B65">
        <w:rPr>
          <w:rFonts w:cstheme="minorHAnsi"/>
        </w:rPr>
        <w:t>, 26 września 1995 r., § 60, Seria A, nr 323). Trybunał podkreślił potrzebę uwzględniania wrażliwości i podatności nieletnich na wpływy (zob. </w:t>
      </w:r>
      <w:proofErr w:type="spellStart"/>
      <w:r w:rsidRPr="003B1B65">
        <w:rPr>
          <w:rFonts w:cstheme="minorHAnsi"/>
          <w:i/>
          <w:iCs/>
        </w:rPr>
        <w:t>Macatė</w:t>
      </w:r>
      <w:proofErr w:type="spellEnd"/>
      <w:r w:rsidRPr="003B1B65">
        <w:rPr>
          <w:rFonts w:cstheme="minorHAnsi"/>
          <w:i/>
          <w:iCs/>
        </w:rPr>
        <w:t xml:space="preserve"> przeciwko Litwie</w:t>
      </w:r>
      <w:r w:rsidRPr="003B1B65">
        <w:rPr>
          <w:rFonts w:cstheme="minorHAnsi"/>
        </w:rPr>
        <w:t>, § 205, oraz </w:t>
      </w:r>
      <w:r w:rsidRPr="003B1B65">
        <w:rPr>
          <w:rFonts w:cstheme="minorHAnsi"/>
          <w:i/>
          <w:iCs/>
        </w:rPr>
        <w:t>F.O. przeciwko Chorwacji</w:t>
      </w:r>
      <w:r w:rsidRPr="003B1B65">
        <w:rPr>
          <w:rFonts w:cstheme="minorHAnsi"/>
        </w:rPr>
        <w:t>, nr 29555/13, § 58, 22 kwietnia 2021 r.), zauważył jednak, że Sąd Apelacyjny w Szczecinie, stwierdzając, że skarżący naruszył swój obowiązek wynikający z art. 6 ust. 5 Karty Nauczyciela w zakresie kształtowania postaw moralnych i obywatelskich swoich uczniów nie uznał za przekonujący argumentu, że skarżący nie próbował nawiązać interakcji ze swoimi uczniami za pośrednictwem swojego bloga ani nie ingerował w ich prywatną przestrzeń (zob. </w:t>
      </w:r>
      <w:r w:rsidRPr="003B1B65">
        <w:rPr>
          <w:rFonts w:cstheme="minorHAnsi"/>
          <w:i/>
          <w:iCs/>
        </w:rPr>
        <w:t>mutatis mutandis</w:t>
      </w:r>
      <w:r w:rsidRPr="003B1B65">
        <w:rPr>
          <w:rFonts w:cstheme="minorHAnsi"/>
        </w:rPr>
        <w:t>, </w:t>
      </w:r>
      <w:proofErr w:type="spellStart"/>
      <w:r w:rsidRPr="003B1B65">
        <w:rPr>
          <w:rFonts w:cstheme="minorHAnsi"/>
          <w:i/>
          <w:iCs/>
        </w:rPr>
        <w:t>Bayev</w:t>
      </w:r>
      <w:proofErr w:type="spellEnd"/>
      <w:r w:rsidRPr="003B1B65">
        <w:rPr>
          <w:rFonts w:cstheme="minorHAnsi"/>
          <w:i/>
          <w:iCs/>
        </w:rPr>
        <w:t xml:space="preserve"> i Inni</w:t>
      </w:r>
      <w:r w:rsidRPr="003B1B65">
        <w:rPr>
          <w:rFonts w:cstheme="minorHAnsi"/>
        </w:rPr>
        <w:t>, § 80, oraz przeciwnie, </w:t>
      </w:r>
      <w:r w:rsidRPr="003B1B65">
        <w:rPr>
          <w:rFonts w:cstheme="minorHAnsi"/>
          <w:i/>
          <w:iCs/>
        </w:rPr>
        <w:t>mutatis mutandis</w:t>
      </w:r>
      <w:r w:rsidRPr="003B1B65">
        <w:rPr>
          <w:rFonts w:cstheme="minorHAnsi"/>
        </w:rPr>
        <w:t>, </w:t>
      </w:r>
      <w:proofErr w:type="spellStart"/>
      <w:r w:rsidRPr="003B1B65">
        <w:rPr>
          <w:rFonts w:cstheme="minorHAnsi"/>
          <w:i/>
          <w:iCs/>
        </w:rPr>
        <w:t>Vejdeland</w:t>
      </w:r>
      <w:proofErr w:type="spellEnd"/>
      <w:r w:rsidRPr="003B1B65">
        <w:rPr>
          <w:rFonts w:cstheme="minorHAnsi"/>
          <w:i/>
          <w:iCs/>
        </w:rPr>
        <w:t xml:space="preserve"> i Inni</w:t>
      </w:r>
      <w:r w:rsidRPr="003B1B65">
        <w:rPr>
          <w:rFonts w:cstheme="minorHAnsi"/>
        </w:rPr>
        <w:t> </w:t>
      </w:r>
      <w:r w:rsidRPr="003B1B65">
        <w:rPr>
          <w:rFonts w:cstheme="minorHAnsi"/>
          <w:i/>
          <w:iCs/>
        </w:rPr>
        <w:t>przeciwko Szwecji, </w:t>
      </w:r>
      <w:r w:rsidRPr="003B1B65">
        <w:rPr>
          <w:rFonts w:cstheme="minorHAnsi"/>
        </w:rPr>
        <w:t>§§ 56 i 57). W zakresie, w jakim uczniowie, którzy czytali bloga skarżącego, byli narażeni na jego poglądy dotyczące seksualności, Trybunał przywiązał wagę do faktu, że ci uczniowie aktywnie poszukiwali dostępu do bloga przeznaczonego wyłącznie dla dorosłych czytelników. Trybunał podkreślił również, że skarżący był zatrudniony w ramach neutralnego stosunku prawnego między organem a osobą fizyczną. Innymi słowy, nie był zatrudniony w szkole religijnej i nie nauczał religii ani etyki. Taki status może rzeczywiście wymagać lojalności wobec szczególnej wizji moralności lub tworzyć między nauczycielami religii a ich uczniami szczególną więź zaufania, naznaczoną pewnymi szczególnymi cechami, rozciągającymi się na prywatne zachowanie i styl życia nauczycieli (zob. </w:t>
      </w:r>
      <w:proofErr w:type="spellStart"/>
      <w:r w:rsidRPr="003B1B65">
        <w:rPr>
          <w:rFonts w:cstheme="minorHAnsi"/>
          <w:i/>
          <w:iCs/>
        </w:rPr>
        <w:t>Travaš</w:t>
      </w:r>
      <w:proofErr w:type="spellEnd"/>
      <w:r w:rsidRPr="003B1B65">
        <w:rPr>
          <w:rFonts w:cstheme="minorHAnsi"/>
        </w:rPr>
        <w:t>, §§ 97 i 98 oraz </w:t>
      </w:r>
      <w:proofErr w:type="spellStart"/>
      <w:r w:rsidRPr="003B1B65">
        <w:rPr>
          <w:rFonts w:cstheme="minorHAnsi"/>
          <w:i/>
          <w:iCs/>
        </w:rPr>
        <w:t>Ţîmpău</w:t>
      </w:r>
      <w:proofErr w:type="spellEnd"/>
      <w:r w:rsidRPr="003B1B65">
        <w:rPr>
          <w:rFonts w:cstheme="minorHAnsi"/>
        </w:rPr>
        <w:t>, § 197). W niniejszej sprawie nierozsądne było nałożenie na skarżącego zwiększonego obowiązku lojalności, który uniemożliwiałby mu wyrażanie swojej seksualności w kontekście legalnie działającego bloga internetowego dla dorosłych (w przeciwieństwie do </w:t>
      </w:r>
      <w:proofErr w:type="spellStart"/>
      <w:r w:rsidRPr="003B1B65">
        <w:rPr>
          <w:rFonts w:cstheme="minorHAnsi"/>
          <w:i/>
          <w:iCs/>
        </w:rPr>
        <w:t>Fernández</w:t>
      </w:r>
      <w:proofErr w:type="spellEnd"/>
      <w:r w:rsidRPr="003B1B65">
        <w:rPr>
          <w:rFonts w:cstheme="minorHAnsi"/>
          <w:i/>
          <w:iCs/>
        </w:rPr>
        <w:t xml:space="preserve"> </w:t>
      </w:r>
      <w:proofErr w:type="spellStart"/>
      <w:r w:rsidRPr="003B1B65">
        <w:rPr>
          <w:rFonts w:cstheme="minorHAnsi"/>
          <w:i/>
          <w:iCs/>
        </w:rPr>
        <w:t>Martínez</w:t>
      </w:r>
      <w:proofErr w:type="spellEnd"/>
      <w:r w:rsidRPr="003B1B65">
        <w:rPr>
          <w:rFonts w:cstheme="minorHAnsi"/>
          <w:i/>
          <w:iCs/>
        </w:rPr>
        <w:t xml:space="preserve"> przeciwko </w:t>
      </w:r>
      <w:r w:rsidRPr="003B1B65">
        <w:rPr>
          <w:rFonts w:cstheme="minorHAnsi"/>
          <w:i/>
          <w:iCs/>
        </w:rPr>
        <w:lastRenderedPageBreak/>
        <w:t>Hiszpanii</w:t>
      </w:r>
      <w:r w:rsidRPr="003B1B65">
        <w:rPr>
          <w:rFonts w:cstheme="minorHAnsi"/>
        </w:rPr>
        <w:t> [WI], no. 56030/07, § 85). Pomimo tego, iż Trybunał miał na uwadze, że prawdziwym powodem zwolnienia skarżącego nie była jego orientacja seksualna, to nadmienił, że nie może pominąć faktu, że blog skarżącego przedstawiał relacje homoseksualne, jak również to, że Komisarz Praw Człowieka Rady Europy i Agencja Praw Podstawowych Unii Europejskiej poinformowały, że dominujące nastawienie społeczne do osób LGBTI w Polsce było negatywne. W związku z tym Trybunał uznał za istotne odniesienie się do uwag poczynionych w niedawnym wyroku Wielkiej Izby w sprawie </w:t>
      </w:r>
      <w:proofErr w:type="spellStart"/>
      <w:r w:rsidRPr="003B1B65">
        <w:rPr>
          <w:rFonts w:cstheme="minorHAnsi"/>
          <w:i/>
          <w:iCs/>
        </w:rPr>
        <w:t>Macatė</w:t>
      </w:r>
      <w:proofErr w:type="spellEnd"/>
      <w:r w:rsidRPr="003B1B65">
        <w:rPr>
          <w:rFonts w:cstheme="minorHAnsi"/>
          <w:i/>
          <w:iCs/>
        </w:rPr>
        <w:t> </w:t>
      </w:r>
      <w:r w:rsidRPr="003B1B65">
        <w:rPr>
          <w:rFonts w:cstheme="minorHAnsi"/>
        </w:rPr>
        <w:t>(§§ 210, 212-13 i</w:t>
      </w:r>
      <w:r w:rsidR="00D2747C">
        <w:rPr>
          <w:rFonts w:cstheme="minorHAnsi"/>
        </w:rPr>
        <w:t> </w:t>
      </w:r>
      <w:r w:rsidRPr="003B1B65">
        <w:rPr>
          <w:rFonts w:cstheme="minorHAnsi"/>
        </w:rPr>
        <w:t>215, dotyczącej ograniczeń w dystrybucji książki przedstawiającej małżeństwo między osobami tej samej płci, które miały na celu ograniczenie dostępu dzieci do informacji przedstawiających związki osób tej samej płci jako zasadniczo równoważne związkom osób różnej płci i określiła takie informacje jako szkodliwe). W odniesieniu do surowości sankcji dyscyplinarnej zastosowanej wobec skarżącego Trybunał zauważył, że jego zwolnienie opierało się na dwóch podstawach, a mianowicie na jego działalności blogerskiej oraz na fakcie, że zabrał on na wycieczkę szkolną nieupoważnioną osobę trzecią. Chociaż sankcja ta nie była najsurowsza w świetle obowiązującego prawa, była jednak surowsza niż ta, o którą wnioskował rzecznik dyscyplinarny przy Wojewodzie Zachodniopomorskim, a mianowicie nagana z ostrzeżeniem. W miarę rozwoju postępowania interweniujący rzecznik dyscyplinarny na szczeblu ministerstwa uznał sankcję zwolnienia za odpowiednią. Natomiast Sąd Apelacyjny w Szczecinie uznał ją za proporcjonalną, wziąwszy pod uwagę skruchę skarżącego i jego bardzo dobre wyniki jako nauczyciela. Sąd Apelacyjny w Szczecinie stwierdził, że sankcja ta nie odebrała mu możliwości kariery w innych szkołach. Trybunał zauważył jednak, że Sąd Apelacyjny w Szczecinie nie wziął pod uwagę faktu, że skarżący, jak wynika z materiałów sprawy, nie był wcześniej karany dyscyplinarnie. Trybunał nie zgodził się z wnioskiem władz krajowych i uznał, że kara nałożona na skarżącego była nieproporcjonalna do rzekomo realizowanych uzasadnionych celów (zob. </w:t>
      </w:r>
      <w:r w:rsidRPr="003B1B65">
        <w:rPr>
          <w:rFonts w:cstheme="minorHAnsi"/>
          <w:i/>
          <w:iCs/>
        </w:rPr>
        <w:t xml:space="preserve">mutatis mutandis, </w:t>
      </w:r>
      <w:proofErr w:type="spellStart"/>
      <w:r w:rsidRPr="003B1B65">
        <w:rPr>
          <w:rFonts w:cstheme="minorHAnsi"/>
          <w:i/>
          <w:iCs/>
        </w:rPr>
        <w:t>Gülcü</w:t>
      </w:r>
      <w:proofErr w:type="spellEnd"/>
      <w:r w:rsidRPr="003B1B65">
        <w:rPr>
          <w:rFonts w:cstheme="minorHAnsi"/>
          <w:i/>
          <w:iCs/>
        </w:rPr>
        <w:t xml:space="preserve"> p</w:t>
      </w:r>
      <w:r w:rsidR="002A12C9">
        <w:rPr>
          <w:rFonts w:cstheme="minorHAnsi"/>
          <w:i/>
          <w:iCs/>
        </w:rPr>
        <w:t>rzeciwko</w:t>
      </w:r>
      <w:r w:rsidRPr="003B1B65">
        <w:rPr>
          <w:rFonts w:cstheme="minorHAnsi"/>
          <w:i/>
          <w:iCs/>
        </w:rPr>
        <w:t xml:space="preserve"> Turcji</w:t>
      </w:r>
      <w:r w:rsidRPr="003B1B65">
        <w:rPr>
          <w:rFonts w:cstheme="minorHAnsi"/>
        </w:rPr>
        <w:t>, nr 17526/10, § 116, 19 stycznia 2016 r.). W okolicznościach niniejszej sprawy Trybunał stwierdził, że władze krajowe nie przedstawiły „istotnych i wystarczających powodów” zwolnienia skarżącego z zajmowanego stanowiska i</w:t>
      </w:r>
      <w:r w:rsidR="00D2747C">
        <w:rPr>
          <w:rFonts w:cstheme="minorHAnsi"/>
        </w:rPr>
        <w:t> </w:t>
      </w:r>
      <w:r w:rsidRPr="003B1B65">
        <w:rPr>
          <w:rFonts w:cstheme="minorHAnsi"/>
        </w:rPr>
        <w:t>uznał, że</w:t>
      </w:r>
      <w:r w:rsidR="00F64D00">
        <w:rPr>
          <w:rFonts w:cstheme="minorHAnsi"/>
        </w:rPr>
        <w:t> </w:t>
      </w:r>
      <w:r w:rsidRPr="003B1B65">
        <w:rPr>
          <w:rFonts w:cstheme="minorHAnsi"/>
        </w:rPr>
        <w:t>nawet dopuszczając pewien margines oceny, nie można uznać, że osobista działalność blogerska skarżącego zagrażała ochronie moralności nieletnich w</w:t>
      </w:r>
      <w:r w:rsidR="00F64D00">
        <w:rPr>
          <w:rFonts w:cstheme="minorHAnsi"/>
        </w:rPr>
        <w:t> </w:t>
      </w:r>
      <w:r w:rsidRPr="003B1B65">
        <w:rPr>
          <w:rFonts w:cstheme="minorHAnsi"/>
        </w:rPr>
        <w:t>sposób uzasadniający nałożoną na niego sankcję. W związku z tym ingerencja w jego prawo do wolności wypowiedzi nie odpowiadała ani pilnej potrzebie społecznej, ani nie była proporcjonalna do rzekomo realizowanego uzasadnionego celu. W ocenie Trybunału nie była zatem „konieczna w demokratycznym społeczeństwie”. Trybunał uznał jednogłośnie skargę na podstawie art. 10 Konwencji w zw. z art. 14 Konwencji za dopuszczalną, a</w:t>
      </w:r>
      <w:r w:rsidR="00D2747C">
        <w:rPr>
          <w:rFonts w:cstheme="minorHAnsi"/>
        </w:rPr>
        <w:t> </w:t>
      </w:r>
      <w:r w:rsidRPr="003B1B65">
        <w:rPr>
          <w:rFonts w:cstheme="minorHAnsi"/>
        </w:rPr>
        <w:t>pozostałą część skargi za</w:t>
      </w:r>
      <w:r w:rsidR="00F64D00">
        <w:rPr>
          <w:rFonts w:cstheme="minorHAnsi"/>
        </w:rPr>
        <w:t> </w:t>
      </w:r>
      <w:r w:rsidRPr="003B1B65">
        <w:rPr>
          <w:rFonts w:cstheme="minorHAnsi"/>
        </w:rPr>
        <w:t>niedopuszczalną. Stwierdził, stosunkiem głosów 4 do 3, że doszło do naruszenia art. 10 Konwencji. Uznał jednogłośnie, że nie powstaje odrębna kwestia z</w:t>
      </w:r>
      <w:r w:rsidR="00F64D00">
        <w:rPr>
          <w:rFonts w:cstheme="minorHAnsi"/>
        </w:rPr>
        <w:t> </w:t>
      </w:r>
      <w:r w:rsidRPr="003B1B65">
        <w:rPr>
          <w:rFonts w:cstheme="minorHAnsi"/>
        </w:rPr>
        <w:t xml:space="preserve">art. 14 Konwencji w zw. z art. 10 Konwencji. Trybunał orzekł, stosunkiem głosów 4 do 3, że pozwane Państwo ma zapłacić skarżącemu kwotę 2600 euro powiększoną o wszelkie podatki, które mogą być naliczone, z tytułu szkody niemajątkowej. Ponadto oddalił jednogłośnie pozostałą część roszczenia skarżącego o słuszne zadośćuczynienie. Sędziowie </w:t>
      </w:r>
      <w:proofErr w:type="spellStart"/>
      <w:r w:rsidRPr="003B1B65">
        <w:rPr>
          <w:rFonts w:cstheme="minorHAnsi"/>
        </w:rPr>
        <w:t>Wojtyczek</w:t>
      </w:r>
      <w:proofErr w:type="spellEnd"/>
      <w:r w:rsidRPr="003B1B65">
        <w:rPr>
          <w:rFonts w:cstheme="minorHAnsi"/>
        </w:rPr>
        <w:t xml:space="preserve">, </w:t>
      </w:r>
      <w:proofErr w:type="spellStart"/>
      <w:r w:rsidRPr="003B1B65">
        <w:rPr>
          <w:rFonts w:cstheme="minorHAnsi"/>
        </w:rPr>
        <w:t>Paczolay</w:t>
      </w:r>
      <w:proofErr w:type="spellEnd"/>
      <w:r w:rsidRPr="003B1B65">
        <w:rPr>
          <w:rFonts w:cstheme="minorHAnsi"/>
        </w:rPr>
        <w:t xml:space="preserve"> I </w:t>
      </w:r>
      <w:proofErr w:type="spellStart"/>
      <w:r w:rsidRPr="003B1B65">
        <w:rPr>
          <w:rFonts w:cstheme="minorHAnsi"/>
        </w:rPr>
        <w:t>Poláčková</w:t>
      </w:r>
      <w:proofErr w:type="spellEnd"/>
      <w:r w:rsidRPr="003B1B65">
        <w:rPr>
          <w:rFonts w:cstheme="minorHAnsi"/>
        </w:rPr>
        <w:t xml:space="preserve"> złożyli wspólne zdanie odrębne, w którym nie zgodzili się z poglądem, aby w okolicznościach niniejszej sprawy doszło do naruszenia art. 10 Konwencji. Wskazali, że ocena sprawy dokonana przez większość opiera się na błędnych ustaleniach faktycznych i problematycznej analizie sposobu funkcjonowania krajowych środków odwoławczych. W przeciwieństwie do art. 8, art. 10 Konwencji ma zastosowanie do zarzucanej ingerencji, ale biorąc pod uwagę ograniczony wpływ sankcji na życie skarżącego, ingerencja w jego wolność wypowiedzi nie może być uznana za nieproporcjonalną.</w:t>
      </w:r>
    </w:p>
    <w:p w14:paraId="66295AD4" w14:textId="336BB491" w:rsidR="00A86B88" w:rsidRPr="003B1B65" w:rsidRDefault="00A86B88" w:rsidP="003B1B65">
      <w:pPr>
        <w:jc w:val="both"/>
        <w:rPr>
          <w:rFonts w:cstheme="minorHAnsi"/>
        </w:rPr>
      </w:pPr>
      <w:r w:rsidRPr="003B1B65">
        <w:rPr>
          <w:rFonts w:cstheme="minorHAnsi"/>
        </w:rPr>
        <w:lastRenderedPageBreak/>
        <w:t xml:space="preserve">W sprawie </w:t>
      </w:r>
      <w:r w:rsidRPr="003B1B65">
        <w:rPr>
          <w:rFonts w:cstheme="minorHAnsi"/>
          <w:b/>
          <w:bCs/>
          <w:i/>
          <w:iCs/>
        </w:rPr>
        <w:t xml:space="preserve">L.D. przeciwko Polsce </w:t>
      </w:r>
      <w:r w:rsidRPr="003B1B65">
        <w:rPr>
          <w:rFonts w:cstheme="minorHAnsi"/>
          <w:b/>
          <w:bCs/>
        </w:rPr>
        <w:t xml:space="preserve">(skarga nr 12119/14) </w:t>
      </w:r>
      <w:r w:rsidRPr="003B1B65">
        <w:rPr>
          <w:rFonts w:cstheme="minorHAnsi"/>
        </w:rPr>
        <w:t xml:space="preserve">skarga dotyczyła naruszenia art. 8 Konwencji ze względu na naruszenie prawa do poszanowania życia rodzinnego i prywatnego ze względu na brak podjęcia przez polskie władze wszelkich niezbędnych kroków w celu zapewnienia skarżącej dostępu do dziecka. Skarżąca urodziła dziecko w 2006 r. w związku z mężczyzną, z którym była związana do 2011 r. Po separacji oboje rodzice zachowali pełną władzę rodzicielską nad dzieckiem, a ojciec korzystał z prawa do kontaktów z dzieckiem zgodnie z decyzją sądu. Jednakże w marcu 2011 r. ojciec nie zwrócił dziecka skarżącej. Sprawa dotyczy późniejszego postępowania, które doprowadziło do utraty przez L.D. prawa do opieki nad dzieckiem w wyniku prawomocnego orzeczenia Sądu Rejonowego w Zduńskiej Woli w marcu 2019 r. Trybunał przyznał, że trudności w ochronie prawa skarżącej do poszanowania jej życia rodzinnego wynikały w dużej mierze z niechęci między skarżącą a ojcem dziecka, działań tego ostatniego w stosunku do dziecka oraz nieprzestrzegania lub częściowego przestrzegania przez niego nakazów sądowych. Trybunał zwrócił uwagę na fakt, że spory dotyczące opieki nad dziećmi ze swej natury są niezwykle delikatne dla wszystkich zainteresowanych stron i niekoniecznie łatwym zadaniem dla władz krajowych jest zapewnienie wykonania orzeczenia sądowego w takim sporze, w którym zachowanie jednego lub obojga rodziców jest dalekie od konstruktywnego. Równocześnie stwierdził jednak, że brak współpracy między rodzicami, którzy się rozstali, nie jest okolicznością, która sama w sobie może zwolnić władze z ich pozytywnych obowiązków wynikających z art. 8 </w:t>
      </w:r>
      <w:r w:rsidR="00DF6585">
        <w:rPr>
          <w:rFonts w:cstheme="minorHAnsi"/>
        </w:rPr>
        <w:t>Konwencji</w:t>
      </w:r>
      <w:r w:rsidRPr="003B1B65">
        <w:rPr>
          <w:rFonts w:cstheme="minorHAnsi"/>
        </w:rPr>
        <w:t>. Nakłada on na władze obowiązek podjęcia środków, które pogodziłyby sprzeczne interesy stron, mając na uwadze nadrzędne interesy dziecka. Władze krajowe miały obowiązek zapewnić skuteczne wykonanie powrotu dziecka, a następnie ustaleń dotyczących kontaktów, ponieważ to one sprawują władzę publiczną i dysponują środkami umożliwiającymi przezwyciężenie problemów utrudniających wykonanie. ETPC stwierdził, że nie można powiedzieć, że władze były bezczynne w wykonywaniu swoich obowiązków, niemniej jednak postępowanie charakteryzowało się brakiem staranności, a także długimi i powtarzającymi się opóźnieniami, które miały znaczące konsekwencje dla sytuacji rodzinnej. Uwzględniając okoliczności faktyczne sprawy, w szczególności upływ czasu, oraz kryteria określone w jego własnym orzecznictwie, Trybunał stwierdził, że niezależnie od przysługującego państwu marginesu oceny, polskie władze nie podjęły odpowiednich i skutecznych wysiłków w celu ochrony prawa skarżącej do poszanowania jej życia rodzinnego. Skarżącej przyznano zadośćuczynienie w wysokości 10000 euro oraz 2469 euro tytułem zwrotu kosztów postępowania.</w:t>
      </w:r>
    </w:p>
    <w:p w14:paraId="5B8E5593" w14:textId="21859B77" w:rsidR="00A86B88" w:rsidRPr="003B1B65" w:rsidRDefault="00A86B88" w:rsidP="003B1B65">
      <w:pPr>
        <w:jc w:val="both"/>
        <w:rPr>
          <w:rFonts w:cstheme="minorHAnsi"/>
        </w:rPr>
      </w:pPr>
      <w:r w:rsidRPr="003B1B65">
        <w:rPr>
          <w:rFonts w:cstheme="minorHAnsi"/>
        </w:rPr>
        <w:t>W sprawie </w:t>
      </w:r>
      <w:r w:rsidRPr="003B1B65">
        <w:rPr>
          <w:rFonts w:cstheme="minorHAnsi"/>
          <w:b/>
          <w:bCs/>
          <w:i/>
          <w:iCs/>
        </w:rPr>
        <w:t>Szypuła i Inni przeciwko Polsce </w:t>
      </w:r>
      <w:r w:rsidRPr="003B1B65">
        <w:rPr>
          <w:rFonts w:cstheme="minorHAnsi"/>
          <w:b/>
          <w:bCs/>
        </w:rPr>
        <w:t>(skarga nr 78030/14)</w:t>
      </w:r>
      <w:r w:rsidRPr="003B1B65">
        <w:rPr>
          <w:rFonts w:cstheme="minorHAnsi"/>
          <w:b/>
          <w:bCs/>
          <w:i/>
          <w:iCs/>
        </w:rPr>
        <w:t xml:space="preserve">, </w:t>
      </w:r>
      <w:r w:rsidRPr="003B1B65">
        <w:rPr>
          <w:rFonts w:cstheme="minorHAnsi"/>
        </w:rPr>
        <w:t>mając na uwadze podobny przedmiot skarg, Trybunał rozpoznał łącznie sprawę ze skargi: Urbanika i Alonso Rodrigueza przeciwko Polsce (skarga nr 23669/16). Obie skargi dotyczyły zarzutu naruszenia art. 8, 12 i 14 Konwencji w zw. z art. 8 Konwencji, ze względu na odmowę wydania skarżącym zaświadczeń stwierdzających brak okoliczności wyłączających zawarcie związku małżeńskiego za</w:t>
      </w:r>
      <w:r w:rsidR="00D2747C">
        <w:rPr>
          <w:rFonts w:cstheme="minorHAnsi"/>
        </w:rPr>
        <w:t> </w:t>
      </w:r>
      <w:r w:rsidRPr="003B1B65">
        <w:rPr>
          <w:rFonts w:cstheme="minorHAnsi"/>
        </w:rPr>
        <w:t>granicą. Rząd wniósł wstępne zastrzeżenie dotyczące tego, że skarżący nie ponieśli żadnej znaczącej szkody, ponieważ nadal żyli razem w swoich związkach i</w:t>
      </w:r>
      <w:r w:rsidR="00D2747C">
        <w:rPr>
          <w:rFonts w:cstheme="minorHAnsi"/>
        </w:rPr>
        <w:t> </w:t>
      </w:r>
      <w:r w:rsidRPr="003B1B65">
        <w:rPr>
          <w:rFonts w:cstheme="minorHAnsi"/>
        </w:rPr>
        <w:t xml:space="preserve">nie ponieśli żadnej szkody z powodu decyzji krajowych. Trybunał stwierdził, że nie zapewniając skarżącym konkretnych ram prawnych przewidujących uznanie i ochronę, władze polskie pozostawiły ich w próżni prawnej i nie zapewniły podstawowych potrzeb w zakresie uznania i ochrony par osób tej samej płci pozostających w stabilnym i zaangażowanym związku. Stwierdził również, że żadna z przesłanek interesu publicznego przedstawionych przez Rząd nie przeważa nad interesem skarżących w odpowiednim uznaniu i ochronie prawnej ich związków. ETPC dodał, że państwa członkowskie mają szerszy margines oceny przy określaniu dokładnego charakteru systemu prawnego, który ma być dostępny dla par tej samej płci. Zwrócił uwagę, że ważne </w:t>
      </w:r>
      <w:r w:rsidRPr="003B1B65">
        <w:rPr>
          <w:rFonts w:cstheme="minorHAnsi"/>
        </w:rPr>
        <w:lastRenderedPageBreak/>
        <w:t>jest jednak, aby ochrona przyznana przez państwa parom tej samej płci była odpowiednia. Trybunał stwierdził ponadto, że pozwane państwo przekroczyło swój margines oceny i nie wywiązało się ze swojego pozytywnego obowiązku zapewnienia skarżącym konkretnych ram prawnych przewidujących uznanie i</w:t>
      </w:r>
      <w:r w:rsidR="00D2747C">
        <w:rPr>
          <w:rFonts w:cstheme="minorHAnsi"/>
        </w:rPr>
        <w:t> </w:t>
      </w:r>
      <w:r w:rsidRPr="003B1B65">
        <w:rPr>
          <w:rFonts w:cstheme="minorHAnsi"/>
        </w:rPr>
        <w:t xml:space="preserve">ochronę ich związków jednopłciowych. Stanowiło to, zdaniem Trybunału, naruszenie prawa skarżących do poszanowania ich życia prywatnego i rodzinnego. Trybunał orzekając w przedmiotowych sprawach opierał się na swoim ugruntowanym w tym zakresie orzecznictwie, m.in. w sprawach przeciwko Polsce: </w:t>
      </w:r>
      <w:r w:rsidRPr="003B1B65">
        <w:rPr>
          <w:rFonts w:cstheme="minorHAnsi"/>
          <w:i/>
          <w:iCs/>
        </w:rPr>
        <w:t>Przybyszewska i Inni przeciwko Polsce</w:t>
      </w:r>
      <w:r w:rsidRPr="003B1B65">
        <w:rPr>
          <w:rFonts w:cstheme="minorHAnsi"/>
        </w:rPr>
        <w:t xml:space="preserve">, skarga nr 11454/17 i </w:t>
      </w:r>
      <w:proofErr w:type="spellStart"/>
      <w:r w:rsidRPr="003B1B65">
        <w:rPr>
          <w:rFonts w:cstheme="minorHAnsi"/>
          <w:i/>
          <w:iCs/>
        </w:rPr>
        <w:t>Formela</w:t>
      </w:r>
      <w:proofErr w:type="spellEnd"/>
      <w:r w:rsidRPr="003B1B65">
        <w:rPr>
          <w:rFonts w:cstheme="minorHAnsi"/>
          <w:i/>
          <w:iCs/>
        </w:rPr>
        <w:t xml:space="preserve"> i Inni przeciwko Polsce</w:t>
      </w:r>
      <w:r w:rsidRPr="003B1B65">
        <w:rPr>
          <w:rFonts w:cstheme="minorHAnsi"/>
        </w:rPr>
        <w:t>, skarga nr 58828/12. Trybunał uznał, że nie ma potrzeby badania pozostałych zarzutów skarżących (art. 8, 12 i 14 w zw. z art. 8 Konwencji). Odnośnie do zadośćuczynienia, ETPC stwierdził, że stwierdzenie naruszenia samo w sobie stanowi wystarczające zadośćuczynienie za wszelkie szkody niemajątkowe poniesione przez skarżących i oddalił roszczenia skarżących o słuszne zadośćuczynienie.</w:t>
      </w:r>
    </w:p>
    <w:p w14:paraId="7E75E215" w14:textId="2BAB5FD4" w:rsidR="00A86B88" w:rsidRPr="003B1B65" w:rsidRDefault="00A86B88" w:rsidP="003B1B65">
      <w:pPr>
        <w:jc w:val="both"/>
        <w:rPr>
          <w:rFonts w:cstheme="minorHAnsi"/>
        </w:rPr>
      </w:pPr>
      <w:r w:rsidRPr="003B1B65">
        <w:rPr>
          <w:rFonts w:cstheme="minorHAnsi"/>
        </w:rPr>
        <w:t xml:space="preserve">W sprawie </w:t>
      </w:r>
      <w:r w:rsidRPr="003B1B65">
        <w:rPr>
          <w:rFonts w:cstheme="minorHAnsi"/>
          <w:b/>
          <w:bCs/>
          <w:i/>
          <w:iCs/>
        </w:rPr>
        <w:t>Andersen przeciwko Polsce</w:t>
      </w:r>
      <w:r w:rsidRPr="003B1B65">
        <w:rPr>
          <w:rFonts w:cstheme="minorHAnsi"/>
          <w:b/>
          <w:bCs/>
        </w:rPr>
        <w:t xml:space="preserve"> (skarga nr 53662/20)</w:t>
      </w:r>
      <w:r w:rsidRPr="003B1B65">
        <w:rPr>
          <w:rFonts w:cstheme="minorHAnsi"/>
        </w:rPr>
        <w:t xml:space="preserve"> skarżący zarzucił na podstawie art. 8 Konwencji, że jego małżeństwo z partnerem tej samej płci, zawarte za granicą, nie zostało zarejestrowane w Polsce, gdzie jednocześnie nie mógł zawrzeć żadnego prawnie uznanego i chronionego związku ze swoim partnerem. Rząd krajowy zarzucił, że skarżący w niniejszej sprawie nie mógł twierdzić, że jest ofiarą domniemanych naruszeń Konwencji, ponieważ mimo niekorzystnej decyzji władz polskich, nadal mieszkał z mężem w Wielkiej Brytanii i nie poniósł żadnej szkody. Skarżący argumentował natomiast, że</w:t>
      </w:r>
      <w:r w:rsidR="00D2747C">
        <w:rPr>
          <w:rFonts w:cstheme="minorHAnsi"/>
        </w:rPr>
        <w:t> </w:t>
      </w:r>
      <w:r w:rsidRPr="003B1B65">
        <w:rPr>
          <w:rFonts w:cstheme="minorHAnsi"/>
        </w:rPr>
        <w:t>to</w:t>
      </w:r>
      <w:r w:rsidR="00D2747C">
        <w:rPr>
          <w:rFonts w:cstheme="minorHAnsi"/>
        </w:rPr>
        <w:t> </w:t>
      </w:r>
      <w:r w:rsidRPr="003B1B65">
        <w:rPr>
          <w:rFonts w:cstheme="minorHAnsi"/>
        </w:rPr>
        <w:t>właśnie brak ochrony podstawowych praw był powodem jego pozostawania za granicą. Skarżący złożył wniosek o rejestrację swojego małżeństwa, ponieważ chciał studiować w Polsce, ale po odmowie rejestracji był zmuszony do porzucenia planów i pozostania za granicą, co spowodowało u niego stres i</w:t>
      </w:r>
      <w:r w:rsidR="00D2747C">
        <w:rPr>
          <w:rFonts w:cstheme="minorHAnsi"/>
        </w:rPr>
        <w:t> </w:t>
      </w:r>
      <w:r w:rsidRPr="003B1B65">
        <w:rPr>
          <w:rFonts w:cstheme="minorHAnsi"/>
        </w:rPr>
        <w:t>niepokój, które wpłynęły na jego życie prywatne i rodzinne. Trybunał zauważył, że w Polsce pary osób tej samej płci, ze względu na brak ich oficjalnego uznania, są jedynie związkami faktycznymi, nawet jeśli – tak jak w przypadku skarżącego w niniejszej sprawie – ważne małżeństwo zostało zawarte za</w:t>
      </w:r>
      <w:r w:rsidR="00D2747C">
        <w:rPr>
          <w:rFonts w:cstheme="minorHAnsi"/>
        </w:rPr>
        <w:t> </w:t>
      </w:r>
      <w:r w:rsidRPr="003B1B65">
        <w:rPr>
          <w:rFonts w:cstheme="minorHAnsi"/>
        </w:rPr>
        <w:t>granicą. Trybunał powtórzył, że konieczność ubiegania się do sądów krajowych o ochronę zwykłych potrzeb par jest sama w sobie przeszkodą w</w:t>
      </w:r>
      <w:r w:rsidR="00D2747C">
        <w:rPr>
          <w:rFonts w:cstheme="minorHAnsi"/>
        </w:rPr>
        <w:t> </w:t>
      </w:r>
      <w:r w:rsidRPr="003B1B65">
        <w:rPr>
          <w:rFonts w:cstheme="minorHAnsi"/>
        </w:rPr>
        <w:t>poszanowaniu ich życia prywatnego i rodzinnego. Stwierdził ponadto, że nie ustanawiając konkretnych ram prawnych, polskie władze pozostawiły skarżącego w próżni prawnej i nie zapewniły jego podstawowych potrzeb w zakresie uznania i ochrony par osób tej samej płci pozostających w stabilnym i zaangażowanym związku. Trybunał podkreślił, że żadna z przesłanek interesu publicznego przedstawionych przez Rząd nie przeważała nad interesem skarżącego w odpowiednim uznaniu i ochronie prawnej jego związku. W tym aspekcie Trybunał zauważył, że skarżący może być zaliczany do grupy osób, na</w:t>
      </w:r>
      <w:r w:rsidR="00D2747C">
        <w:rPr>
          <w:rFonts w:cstheme="minorHAnsi"/>
        </w:rPr>
        <w:t> </w:t>
      </w:r>
      <w:r w:rsidRPr="003B1B65">
        <w:rPr>
          <w:rFonts w:cstheme="minorHAnsi"/>
        </w:rPr>
        <w:t xml:space="preserve">które polskie ustawodawstwo – nieoferujące uznania i ochrony par tej samej płci – może mieć bezpośredni wpływ. Przychylił się do argumentacji skarżącego, wskazując, że był on zmuszony do zmiany swojego postępowania i znalezienia alternatywnego sposobu uzyskania ochrony prawnej i uznania dla swojego związku. Trybunał podkreślił, że zaniechanie ze strony Polski w zakresie zapewnienia uznania i ochrony związków jednopłciowych nadal dotyka skarżącego jako obywatela polskiego, mimo że jego obecne miejsce zamieszkania nie znajduje się w Polsce, skutkując utrzymaniem statusu ofiary. W niniejszej sprawie Trybunał doszedł do wniosku, że Polska przekroczyła swój margines oceny i nie wywiązała się ze swojego pozytywnego obowiązku zapewnienia skarżącemu konkretnych ram prawnych przewidujących uznanie i ochronę jego związku osób tej samej płci. Stanowi to naruszenie prawa </w:t>
      </w:r>
      <w:r w:rsidRPr="003B1B65">
        <w:rPr>
          <w:rFonts w:cstheme="minorHAnsi"/>
        </w:rPr>
        <w:lastRenderedPageBreak/>
        <w:t>skarżącego do poszanowania jego życia prywatnego i rodzinnego, chronionego na mocy art. 8 Konwencji. Trybunał uznał jednocześnie, że stwierdzenie naruszenia samo w sobie stanowiło wystarczające zadośćuczynienie za wszelkie szkody niemajątkowe, które mogły zostać poniesione przez skarżącego.</w:t>
      </w:r>
    </w:p>
    <w:p w14:paraId="0B6F3F3C" w14:textId="08D62251" w:rsidR="00A86B88" w:rsidRPr="003B1B65" w:rsidRDefault="00A86B88" w:rsidP="003B1B65">
      <w:pPr>
        <w:jc w:val="both"/>
        <w:rPr>
          <w:rFonts w:cstheme="minorHAnsi"/>
        </w:rPr>
      </w:pPr>
      <w:r w:rsidRPr="003B1B65">
        <w:rPr>
          <w:rFonts w:cstheme="minorHAnsi"/>
        </w:rPr>
        <w:t xml:space="preserve">W sprawie </w:t>
      </w:r>
      <w:proofErr w:type="spellStart"/>
      <w:r w:rsidRPr="003B1B65">
        <w:rPr>
          <w:rFonts w:cstheme="minorHAnsi"/>
          <w:b/>
          <w:bCs/>
          <w:i/>
          <w:iCs/>
        </w:rPr>
        <w:t>Sadomski</w:t>
      </w:r>
      <w:proofErr w:type="spellEnd"/>
      <w:r w:rsidRPr="003B1B65">
        <w:rPr>
          <w:rFonts w:cstheme="minorHAnsi"/>
          <w:b/>
          <w:bCs/>
          <w:i/>
          <w:iCs/>
        </w:rPr>
        <w:t xml:space="preserve"> przeciwko Polsce </w:t>
      </w:r>
      <w:r w:rsidRPr="003B1B65">
        <w:rPr>
          <w:rFonts w:cstheme="minorHAnsi"/>
          <w:b/>
          <w:bCs/>
        </w:rPr>
        <w:t>(skarga nr 56297/21)</w:t>
      </w:r>
      <w:r w:rsidRPr="003B1B65">
        <w:rPr>
          <w:rFonts w:cstheme="minorHAnsi"/>
        </w:rPr>
        <w:t xml:space="preserve"> skarżący zarzucił naruszenie art. 6 Konwencji. Sprawa dotyczyła kontroli uchwały nr 330/2018 Krajowej Rady Sądownictwa, w której zarekomendowała siedmiu sędziów na wolne stanowiska w Izbie Cywilnej SN. Pomimo wniesienia do Naczelnego Sądu Administracyjnego skargi na uchwałę KRS przez skarżącego i innych nierekomendowanych kandydatów oraz decyzji NSA w tym przedmiocie o wstrzymaniu nominacji zarekomendowanych sędziów, Prezydent RP powołał ich na stanowiska w SN. ETPC wskazał, że było to wystarczające, aby stwierdzić, że skarżący otrzymał jedynie iluzoryczną ochronę. W ocenie Trybunału zmiany legislacyjne, w połączeniu z faktycznymi działaniami władz państwowych, miały na celu uniemożliwienie skarżącemu rozstrzygnięcia jego sprawy przez sąd. W rezultacie ostateczny wyrok NSA stał się nieskuteczny, ze szkodą dla skarżącego. Skarżący został</w:t>
      </w:r>
      <w:r w:rsidR="001473BD" w:rsidRPr="003B1B65">
        <w:rPr>
          <w:rFonts w:cstheme="minorHAnsi"/>
        </w:rPr>
        <w:t xml:space="preserve"> </w:t>
      </w:r>
      <w:r w:rsidRPr="003B1B65">
        <w:rPr>
          <w:rFonts w:cstheme="minorHAnsi"/>
        </w:rPr>
        <w:t>w ten sposób pozbawiony skutecznego środka odwoławczego i ochrony swoich praw. Trybunał uznał, że kontrola sądowa, taka jak została faktycznie dokonana przez sąd krajowy, nie była wystarczająca z punktu widzenia art. 6 ust. 1 Konwencji. ETPC orzekł, że stwierdzenie naruszenia stanowi samo w sobie wystarczające zadośćuczynienie za wszelkie szkody niemajątkowe poniesione przez skarżącego.</w:t>
      </w:r>
    </w:p>
    <w:p w14:paraId="5DA4D5BC" w14:textId="40FFE696" w:rsidR="00A86B88" w:rsidRPr="003B1B65" w:rsidRDefault="00A86B88" w:rsidP="003B1B65">
      <w:pPr>
        <w:jc w:val="both"/>
        <w:rPr>
          <w:rFonts w:cstheme="minorHAnsi"/>
        </w:rPr>
      </w:pPr>
      <w:r w:rsidRPr="003B1B65">
        <w:rPr>
          <w:rFonts w:cstheme="minorHAnsi"/>
        </w:rPr>
        <w:t xml:space="preserve">W sprawie </w:t>
      </w:r>
      <w:r w:rsidRPr="003B1B65">
        <w:rPr>
          <w:rFonts w:cstheme="minorHAnsi"/>
          <w:b/>
          <w:bCs/>
          <w:i/>
          <w:iCs/>
        </w:rPr>
        <w:t>Orłowski przeciwko Polsce</w:t>
      </w:r>
      <w:r w:rsidRPr="003B1B65">
        <w:rPr>
          <w:rFonts w:cstheme="minorHAnsi"/>
        </w:rPr>
        <w:t xml:space="preserve"> </w:t>
      </w:r>
      <w:r w:rsidRPr="003B1B65">
        <w:rPr>
          <w:rFonts w:cstheme="minorHAnsi"/>
          <w:b/>
          <w:bCs/>
        </w:rPr>
        <w:t xml:space="preserve">(skarga nr 5648/21) </w:t>
      </w:r>
      <w:r w:rsidRPr="003B1B65">
        <w:rPr>
          <w:rFonts w:cstheme="minorHAnsi"/>
        </w:rPr>
        <w:t>skarżący zarzucił naruszenie art. 3 Konwencji (zakaz tortur). Sprawa dotyczy zastosowania wobec skarżącego statusu „więźnia niebezpiecznego” w okresie następującym po orzeczeniu Trybunału w jego poprzedniej sprawie (</w:t>
      </w:r>
      <w:r w:rsidRPr="00F64D00">
        <w:rPr>
          <w:rFonts w:cstheme="minorHAnsi"/>
          <w:i/>
          <w:iCs/>
        </w:rPr>
        <w:t>Orłowski p</w:t>
      </w:r>
      <w:r w:rsidR="002A12C9">
        <w:rPr>
          <w:rFonts w:cstheme="minorHAnsi"/>
          <w:i/>
          <w:iCs/>
        </w:rPr>
        <w:t>rzeciwko</w:t>
      </w:r>
      <w:r w:rsidRPr="00F64D00">
        <w:rPr>
          <w:rFonts w:cstheme="minorHAnsi"/>
          <w:i/>
          <w:iCs/>
        </w:rPr>
        <w:t xml:space="preserve"> Polsce</w:t>
      </w:r>
      <w:r w:rsidRPr="003B1B65">
        <w:rPr>
          <w:rFonts w:cstheme="minorHAnsi"/>
        </w:rPr>
        <w:t>, nr</w:t>
      </w:r>
      <w:r w:rsidR="00D2747C">
        <w:rPr>
          <w:rFonts w:cstheme="minorHAnsi"/>
        </w:rPr>
        <w:t> </w:t>
      </w:r>
      <w:r w:rsidRPr="003B1B65">
        <w:rPr>
          <w:rFonts w:cstheme="minorHAnsi"/>
        </w:rPr>
        <w:t xml:space="preserve">60537/15, decyzja z 18 czerwca 2019 r.). Trybunał stwierdził, że w ramach stosowania zmienionego prawa krajowego, w części rozpatrywanego okresu, władze - biorąc pod uwagę zachowanie skarżącego - złagodziły reżim, znosząc systematyczne rewizje osobiste, niemniej jednak w okresie od 10 listopada 2020 r. do 28 lipca 2022 r. skarżący był poddawany pełnej kontroli osobistej za każdym razem, gdy opuszczał swoją celę lub wchodził do niej. Kontrole osobiste były przeprowadzane rutynowo i nie były związane z żadnymi konkretnymi potrzebami bezpieczeństwa ani konkretnymi podejrzeniami dotyczącymi zachowania skarżącego. Trybunał stwierdził już w sprawie </w:t>
      </w:r>
      <w:r w:rsidRPr="003B1B65">
        <w:rPr>
          <w:rFonts w:cstheme="minorHAnsi"/>
          <w:i/>
          <w:iCs/>
        </w:rPr>
        <w:t>Piechowicz</w:t>
      </w:r>
      <w:r w:rsidRPr="003B1B65">
        <w:rPr>
          <w:rFonts w:cstheme="minorHAnsi"/>
        </w:rPr>
        <w:t>, że chociaż rewizje osobiste mogą być konieczne dla zapewnienia bezpieczeństwa w</w:t>
      </w:r>
      <w:r w:rsidR="00D2747C">
        <w:rPr>
          <w:rFonts w:cstheme="minorHAnsi"/>
        </w:rPr>
        <w:t> </w:t>
      </w:r>
      <w:r w:rsidRPr="003B1B65">
        <w:rPr>
          <w:rFonts w:cstheme="minorHAnsi"/>
        </w:rPr>
        <w:t>więzieniu lub zapobiegania zakłóceniom porządku lub przestępstwom, nie przekonał go argument rządu, że takie systematyczne, inwazyjne i wyjątkowo krępujące kontrole przeprowadzane codziennie, a nawet kilka razy dziennie, były konieczne dla zapewnienia bezpieczeństwa w jednostce penitencjarnej. Biorąc pod uwagę, że skarżący był już poddawany kilku innym ścisłym środkom nadzoru, a władze nie powołały się na żadne konkretne lub przekonujące wymogi bezpieczeństwa, Trybunał uznał, że praktyka codziennych rewizji osobistych stosowana wobec skarżącego przez dłuższy czas musiała wywołać u</w:t>
      </w:r>
      <w:r w:rsidR="00D2747C">
        <w:rPr>
          <w:rFonts w:cstheme="minorHAnsi"/>
        </w:rPr>
        <w:t> </w:t>
      </w:r>
      <w:r w:rsidRPr="003B1B65">
        <w:rPr>
          <w:rFonts w:cstheme="minorHAnsi"/>
        </w:rPr>
        <w:t>niego poczucie niższości, udrękę i narastający niepokój, które wykraczały poza nieuniknione cierpienie i upokorzenie związane z wykonywaniem kary pozbawienia wolności. Podsumowując, w ocenie ETPC, władze nie wykazały, iż rewizje osobiste, którym poddawano skarżącego, w szczególności w okresie od listopada 2020 r. do lipca 2022 r., były konieczne do osiągnięcia uzasadnionego celu, jakim jest zapewnienie bezpieczeństwa w jednostce penitencjarnej. W związku z brakiem wskazania kwoty zadośćuczynienia, nie zasądzono go. Skarżący występował uprzednio do Trybunału ze skargami dotyczącymi naruszenia art. 3 Konwencji (</w:t>
      </w:r>
      <w:r w:rsidR="00A9638F" w:rsidRPr="003B1B65">
        <w:rPr>
          <w:rFonts w:cstheme="minorHAnsi"/>
        </w:rPr>
        <w:t>skargi nr</w:t>
      </w:r>
      <w:r w:rsidRPr="003B1B65">
        <w:rPr>
          <w:rFonts w:cstheme="minorHAnsi"/>
        </w:rPr>
        <w:t>: 25559/11, 35681/13 i 60537/15). Pierwsze dwie sprawy zakończyły się ugodami. Ostatnia ze spraw (</w:t>
      </w:r>
      <w:r w:rsidR="00A9638F" w:rsidRPr="003B1B65">
        <w:rPr>
          <w:rFonts w:cstheme="minorHAnsi"/>
        </w:rPr>
        <w:t xml:space="preserve">skarga </w:t>
      </w:r>
      <w:r w:rsidR="00A9638F" w:rsidRPr="003B1B65">
        <w:rPr>
          <w:rFonts w:cstheme="minorHAnsi"/>
        </w:rPr>
        <w:lastRenderedPageBreak/>
        <w:t>nr</w:t>
      </w:r>
      <w:r w:rsidR="00D2747C">
        <w:rPr>
          <w:rFonts w:cstheme="minorHAnsi"/>
        </w:rPr>
        <w:t> </w:t>
      </w:r>
      <w:r w:rsidRPr="003B1B65">
        <w:rPr>
          <w:rFonts w:cstheme="minorHAnsi"/>
        </w:rPr>
        <w:t xml:space="preserve">60537/15) zakończyła się deklaracją jednostronną Rządu RP i skreśleniem sprawy z listy skarg. Skarżącemu wypłacono dotychczas łącznie 84200 zł tytułem zadośćuczynienia i zwrotu kosztów postępowania. </w:t>
      </w:r>
    </w:p>
    <w:bookmarkEnd w:id="0"/>
    <w:p w14:paraId="713848B7" w14:textId="37FBCCC5" w:rsidR="00A86B88" w:rsidRPr="003B1B65" w:rsidRDefault="00A86B88" w:rsidP="003B1B65">
      <w:pPr>
        <w:jc w:val="both"/>
        <w:rPr>
          <w:rFonts w:cstheme="minorHAnsi"/>
        </w:rPr>
      </w:pPr>
      <w:r w:rsidRPr="003B1B65">
        <w:rPr>
          <w:rFonts w:cstheme="minorHAnsi"/>
        </w:rPr>
        <w:t xml:space="preserve">W sprawie </w:t>
      </w:r>
      <w:r w:rsidRPr="003B1B65">
        <w:rPr>
          <w:rFonts w:cstheme="minorHAnsi"/>
          <w:b/>
          <w:bCs/>
          <w:i/>
          <w:iCs/>
        </w:rPr>
        <w:t>Bednarek i Inni przeciwko Polsce</w:t>
      </w:r>
      <w:r w:rsidRPr="003B1B65">
        <w:rPr>
          <w:rFonts w:cstheme="minorHAnsi"/>
          <w:b/>
          <w:bCs/>
        </w:rPr>
        <w:t xml:space="preserve"> (skarga nr 58207/14) </w:t>
      </w:r>
      <w:r w:rsidRPr="003B1B65">
        <w:rPr>
          <w:rFonts w:cstheme="minorHAnsi"/>
        </w:rPr>
        <w:t xml:space="preserve">skarga dotyczy zarzutu naruszenia przez Polskę art. 3 Konwencji w związku z art. 14 Konwencji. Skarżącymi są Stanisław Bednarek i Dawid </w:t>
      </w:r>
      <w:proofErr w:type="spellStart"/>
      <w:r w:rsidRPr="003B1B65">
        <w:rPr>
          <w:rFonts w:cstheme="minorHAnsi"/>
        </w:rPr>
        <w:t>Durejko</w:t>
      </w:r>
      <w:proofErr w:type="spellEnd"/>
      <w:r w:rsidRPr="003B1B65">
        <w:rPr>
          <w:rFonts w:cstheme="minorHAnsi"/>
        </w:rPr>
        <w:t xml:space="preserve">, dwaj obywatele polscy urodzeni w 1991 roku, oraz </w:t>
      </w:r>
      <w:proofErr w:type="spellStart"/>
      <w:r w:rsidRPr="003B1B65">
        <w:rPr>
          <w:rFonts w:cstheme="minorHAnsi"/>
        </w:rPr>
        <w:t>Vyacheslav</w:t>
      </w:r>
      <w:proofErr w:type="spellEnd"/>
      <w:r w:rsidRPr="003B1B65">
        <w:rPr>
          <w:rFonts w:cstheme="minorHAnsi"/>
        </w:rPr>
        <w:t xml:space="preserve"> </w:t>
      </w:r>
      <w:proofErr w:type="spellStart"/>
      <w:r w:rsidRPr="003B1B65">
        <w:rPr>
          <w:rFonts w:cstheme="minorHAnsi"/>
        </w:rPr>
        <w:t>Melnyk</w:t>
      </w:r>
      <w:proofErr w:type="spellEnd"/>
      <w:r w:rsidRPr="003B1B65">
        <w:rPr>
          <w:rFonts w:cstheme="minorHAnsi"/>
        </w:rPr>
        <w:t>, obywatel Ukrainy urodzony w 1992 roku. Wszyscy mieszkają w Warszawie. Sprawa dotyczy postępowania karnego w sprawie pobicia z podtekstem homofobicznym, którego dopuściły się wobec skarżących osoby trzecie oraz nieodpowiedniej reakcji władz na to wydarzenie. Rząd zasadniczo argumentował, że nie doszło do naruszenia art. 3 Konwencji, zarówno rozpatrywanego samodzielnie, jak i w związku z art. 14 Konwencji, ze względu na skuteczne śledztwo w sprawie skarżonych zdarzeń, dokładne postępowanie sądowe, w którym skarżący mieli status oskarżycieli posiłkowych, oraz ukaranie sprawców. Niemniej jednak przyznał, że ramy prawne nie zakazywały wprost przestępstw z nienawiści popełnionych ze względu na orientację seksualną ofiary. Podtrzymał jednak stanowisko, że ochrona prawna przed takimi czynami nie jest wykluczona i że w rzeczywistości sądy krajowe w niniejszej sprawie wzięły pod uwagę rzekomo homofobiczny aspekt sprawy. Trybunał stwierdził, że skargi skarżących podlegają rozpatrzeniu na podstawie art. 3 Konwencji w związku z art. 14 Konwencji. Ponadto, w świetle zarzutów skarżących, że przemoc popełniona wobec nich miała podtekst homofobiczny, który nie został odpowiednio rozpatrzony przez sąd krajowy, Trybunał stwierdza, że najwłaściwszym sposobem postępowania jest poddanie skarg skarżących jednoczesnemu badaniu na podstawie art. 3 w</w:t>
      </w:r>
      <w:r w:rsidR="00D2747C">
        <w:rPr>
          <w:rFonts w:cstheme="minorHAnsi"/>
        </w:rPr>
        <w:t> </w:t>
      </w:r>
      <w:r w:rsidRPr="003B1B65">
        <w:rPr>
          <w:rFonts w:cstheme="minorHAnsi"/>
        </w:rPr>
        <w:t>związku z art. 14 Konwencji. Trybunał zauważył na wstępie, że w polskich ramach prawnych przestępstwo popełnienia przestępstwa z nienawiści lub</w:t>
      </w:r>
      <w:r w:rsidR="00D2747C">
        <w:rPr>
          <w:rFonts w:cstheme="minorHAnsi"/>
        </w:rPr>
        <w:t> </w:t>
      </w:r>
      <w:r w:rsidRPr="003B1B65">
        <w:rPr>
          <w:rFonts w:cstheme="minorHAnsi"/>
        </w:rPr>
        <w:t xml:space="preserve">dyskryminacji (art. 119 § 1 </w:t>
      </w:r>
      <w:r w:rsidR="002A12C9">
        <w:rPr>
          <w:rFonts w:cstheme="minorHAnsi"/>
        </w:rPr>
        <w:t>k.</w:t>
      </w:r>
      <w:r w:rsidRPr="003B1B65">
        <w:rPr>
          <w:rFonts w:cstheme="minorHAnsi"/>
        </w:rPr>
        <w:t>k</w:t>
      </w:r>
      <w:r w:rsidR="002A12C9">
        <w:rPr>
          <w:rFonts w:cstheme="minorHAnsi"/>
        </w:rPr>
        <w:t>.</w:t>
      </w:r>
      <w:r w:rsidRPr="003B1B65">
        <w:rPr>
          <w:rFonts w:cstheme="minorHAnsi"/>
        </w:rPr>
        <w:t xml:space="preserve">) nie obejmuje przesłanek orientacji seksualnej lub tożsamości płciowej. Ponadto krajowe ustawodawstwo karne nie przewiduje, aby dyskryminacja z takich powodów była traktowana jako motyw stronniczy i okoliczność obciążająca przy popełnianiu przestępstwa (art. 158 </w:t>
      </w:r>
      <w:r w:rsidR="002A12C9">
        <w:rPr>
          <w:rFonts w:cstheme="minorHAnsi"/>
        </w:rPr>
        <w:t>k.</w:t>
      </w:r>
      <w:r w:rsidRPr="003B1B65">
        <w:rPr>
          <w:rFonts w:cstheme="minorHAnsi"/>
        </w:rPr>
        <w:t>k</w:t>
      </w:r>
      <w:r w:rsidR="002A12C9">
        <w:rPr>
          <w:rFonts w:cstheme="minorHAnsi"/>
        </w:rPr>
        <w:t xml:space="preserve">. </w:t>
      </w:r>
      <w:r w:rsidRPr="003B1B65">
        <w:rPr>
          <w:rFonts w:cstheme="minorHAnsi"/>
        </w:rPr>
        <w:t xml:space="preserve">regulujący przestępstwo pobicia, art. 190 </w:t>
      </w:r>
      <w:r w:rsidR="002A12C9">
        <w:rPr>
          <w:rFonts w:cstheme="minorHAnsi"/>
        </w:rPr>
        <w:t>k.</w:t>
      </w:r>
      <w:r w:rsidRPr="003B1B65">
        <w:rPr>
          <w:rFonts w:cstheme="minorHAnsi"/>
        </w:rPr>
        <w:t>k</w:t>
      </w:r>
      <w:r w:rsidR="002A12C9">
        <w:rPr>
          <w:rFonts w:cstheme="minorHAnsi"/>
        </w:rPr>
        <w:t>.</w:t>
      </w:r>
      <w:r w:rsidRPr="003B1B65">
        <w:rPr>
          <w:rFonts w:cstheme="minorHAnsi"/>
        </w:rPr>
        <w:t xml:space="preserve"> regulujący przestępstwo kierowania gróźb oraz art. 53 </w:t>
      </w:r>
      <w:r w:rsidR="002A12C9">
        <w:rPr>
          <w:rFonts w:cstheme="minorHAnsi"/>
        </w:rPr>
        <w:t>k.</w:t>
      </w:r>
      <w:r w:rsidRPr="003B1B65">
        <w:rPr>
          <w:rFonts w:cstheme="minorHAnsi"/>
        </w:rPr>
        <w:t>k</w:t>
      </w:r>
      <w:r w:rsidR="002A12C9">
        <w:rPr>
          <w:rFonts w:cstheme="minorHAnsi"/>
        </w:rPr>
        <w:t>.</w:t>
      </w:r>
      <w:r w:rsidRPr="003B1B65">
        <w:rPr>
          <w:rFonts w:cstheme="minorHAnsi"/>
        </w:rPr>
        <w:t xml:space="preserve"> określający karę i środki karne). Trybunał zauważył, że Komitet Praw Człowieka ONZ, Komitet Przeciwko Torturom ONZ, Parlament UE, ECRI i Rada Praw Człowieka ONZ zaleciły Polsce zmianę prawa karnego w celu penalizacji przestępstw motywowanych dyskryminacją ze względu na tożsamość seksualną i tożsamość płciową. Ponadto, w 2010 r</w:t>
      </w:r>
      <w:r w:rsidR="00D861B5">
        <w:rPr>
          <w:rFonts w:cstheme="minorHAnsi"/>
        </w:rPr>
        <w:t>.</w:t>
      </w:r>
      <w:r w:rsidRPr="003B1B65">
        <w:rPr>
          <w:rFonts w:cstheme="minorHAnsi"/>
        </w:rPr>
        <w:t xml:space="preserve"> Komitet Ministrów Rady Europy zalecił, aby w systemach prawnych państw członkowskich motyw stronniczości związany z orientacją seksualną lub tożsamością płciową stanowił okoliczność obciążającą przy wymierzaniu kary za przestępstwa z nienawiści. W 2012 r. Agencja Praw Podstawowych UE wydała podobne zalecenie w ogólnym kontekście przestępstw z nienawiści. </w:t>
      </w:r>
      <w:r w:rsidRPr="003B1B65">
        <w:rPr>
          <w:rFonts w:cstheme="minorHAnsi"/>
          <w:b/>
          <w:bCs/>
        </w:rPr>
        <w:t>Trybunał zauważa, że te zalecenia</w:t>
      </w:r>
      <w:r w:rsidRPr="003B1B65">
        <w:rPr>
          <w:rFonts w:cstheme="minorHAnsi"/>
        </w:rPr>
        <w:t xml:space="preserve"> </w:t>
      </w:r>
      <w:r w:rsidRPr="003B1B65">
        <w:rPr>
          <w:rFonts w:cstheme="minorHAnsi"/>
          <w:b/>
          <w:bCs/>
        </w:rPr>
        <w:t>dotyczące zmiany prawa nie zostały wykonane. ETPC stwierdził też, że zgodnie z</w:t>
      </w:r>
      <w:r w:rsidRPr="003B1B65">
        <w:rPr>
          <w:rFonts w:cstheme="minorHAnsi"/>
        </w:rPr>
        <w:t> </w:t>
      </w:r>
      <w:r w:rsidRPr="003B1B65">
        <w:rPr>
          <w:rFonts w:cstheme="minorHAnsi"/>
          <w:b/>
          <w:bCs/>
        </w:rPr>
        <w:t>pisemnym uzasadnieniem projektu nowelizacji z 2024 r., obowiązujące prawo karne jest</w:t>
      </w:r>
      <w:r w:rsidRPr="003B1B65">
        <w:rPr>
          <w:rFonts w:cstheme="minorHAnsi"/>
        </w:rPr>
        <w:t xml:space="preserve"> </w:t>
      </w:r>
      <w:r w:rsidRPr="003B1B65">
        <w:rPr>
          <w:rFonts w:cstheme="minorHAnsi"/>
          <w:b/>
          <w:bCs/>
        </w:rPr>
        <w:t>niewystarczające do zapewnienia skutecznej i realnej ochrony osobom dotkniętym</w:t>
      </w:r>
      <w:r w:rsidRPr="003B1B65">
        <w:rPr>
          <w:rFonts w:cstheme="minorHAnsi"/>
        </w:rPr>
        <w:t xml:space="preserve"> </w:t>
      </w:r>
      <w:r w:rsidRPr="003B1B65">
        <w:rPr>
          <w:rFonts w:cstheme="minorHAnsi"/>
          <w:b/>
          <w:bCs/>
        </w:rPr>
        <w:t>dyskryminacją m.in. ze względu na orientację seksualną i nie odpowiada potrzebom</w:t>
      </w:r>
      <w:r w:rsidRPr="003B1B65">
        <w:rPr>
          <w:rFonts w:cstheme="minorHAnsi"/>
        </w:rPr>
        <w:t xml:space="preserve"> </w:t>
      </w:r>
      <w:r w:rsidRPr="003B1B65">
        <w:rPr>
          <w:rFonts w:cstheme="minorHAnsi"/>
          <w:b/>
          <w:bCs/>
        </w:rPr>
        <w:t xml:space="preserve">współczesnego społeczeństwa. </w:t>
      </w:r>
      <w:r w:rsidRPr="003B1B65">
        <w:rPr>
          <w:rFonts w:cstheme="minorHAnsi"/>
        </w:rPr>
        <w:t xml:space="preserve">Trybunał podkreśla, że zasady, które określił w swoim orzecznictwie dotyczącym przemocy motywowanej nienawiścią wobec grup mniejszościowych, w tym wobec osób LGBTI, powinny być stosowane przez władze państwowe, w tym przez sądy krajowe, które mogą bezpośrednio opierać się na takich standardach, nawet w przypadku braku odpowiedniego przepisu transponującego je do prawa krajowego. Zgodność z pozytywnymi zobowiązaniami państwa wymaga, aby krajowy system prawny wykazał zdolność do egzekwowania prawa karnego wobec sprawców takich aktów </w:t>
      </w:r>
      <w:r w:rsidRPr="003B1B65">
        <w:rPr>
          <w:rFonts w:cstheme="minorHAnsi"/>
        </w:rPr>
        <w:lastRenderedPageBreak/>
        <w:t xml:space="preserve">przemocy. Nie wydaje się zatem, aby brak przepisów prawnych określających i karzących motywy oparte na wrogości wobec orientacji seksualnej ofiary napaści lub pobicia został naprawiony przez fakt, że sądy krajowe w niniejszej sprawie zwróciły uwagę na homofobiczny wymiar wydarzeń lub potępiły - mimochodem - dyskryminującą postawę jednego ze sprawców. Trybunał uznał, że </w:t>
      </w:r>
      <w:r w:rsidRPr="003B1B65">
        <w:rPr>
          <w:rFonts w:cstheme="minorHAnsi"/>
          <w:b/>
          <w:bCs/>
        </w:rPr>
        <w:t>państwo nie wywiązało się z wyżej</w:t>
      </w:r>
      <w:r w:rsidRPr="003B1B65">
        <w:rPr>
          <w:rFonts w:cstheme="minorHAnsi"/>
        </w:rPr>
        <w:t xml:space="preserve"> </w:t>
      </w:r>
      <w:r w:rsidRPr="003B1B65">
        <w:rPr>
          <w:rFonts w:cstheme="minorHAnsi"/>
          <w:b/>
          <w:bCs/>
        </w:rPr>
        <w:t>wymienionego obowiązku proceduralnego</w:t>
      </w:r>
      <w:r w:rsidRPr="003B1B65">
        <w:rPr>
          <w:rFonts w:cstheme="minorHAnsi"/>
        </w:rPr>
        <w:t xml:space="preserve">, opierając się na fakcie, że w krajowym ustawodawstwie karnym dyskryminacja ze względu na orientację seksualną lub tożsamość płciową nie została wymieniona w przepisie regulującym podżeganie do nienawiści lub nie została określona jako motyw stronniczy lub okoliczność obciążająca przy popełnieniu przestępstwa. Zdaniem Trybunał, traktowanie, któremu zostali poddani wszyscy trzej skarżący, ze względu na to, że byli celem homofobicznych obelg i zostali wciągnięci w gwałtowną sprzeczkę, która dodatkowo obejmowała pobicie dwóch z nich i ryzyko, że trzeci skarżący doświadczy tego samego, musiało koniecznie wzbudzić w nich uczucie strachu, udręki i niepewności oraz musiało stanowić obrazę ich godności. Trybunał uważa również, że obrażenia fizyczne, których doznali dwaj pierwsi skarżący w wyniku ataku, biorąc pod uwagę ich intensywność </w:t>
      </w:r>
      <w:r w:rsidRPr="003B1B65">
        <w:rPr>
          <w:rFonts w:cstheme="minorHAnsi"/>
          <w:b/>
          <w:bCs/>
        </w:rPr>
        <w:t>mogą same w</w:t>
      </w:r>
      <w:r w:rsidR="001473BD" w:rsidRPr="003B1B65">
        <w:rPr>
          <w:rFonts w:cstheme="minorHAnsi"/>
          <w:b/>
          <w:bCs/>
        </w:rPr>
        <w:t> </w:t>
      </w:r>
      <w:r w:rsidRPr="003B1B65">
        <w:rPr>
          <w:rFonts w:cstheme="minorHAnsi"/>
          <w:b/>
          <w:bCs/>
        </w:rPr>
        <w:t>sobie stanowić naruszenie art. 3 Konwencji</w:t>
      </w:r>
      <w:r w:rsidRPr="003B1B65">
        <w:rPr>
          <w:rFonts w:cstheme="minorHAnsi"/>
        </w:rPr>
        <w:t xml:space="preserve">. Wyrok o naruszeniu art. 3 w związku z art. 14 Konwencji zapadł stosunkiem </w:t>
      </w:r>
      <w:r w:rsidRPr="003B1B65">
        <w:rPr>
          <w:rFonts w:cstheme="minorHAnsi"/>
          <w:b/>
          <w:bCs/>
        </w:rPr>
        <w:t>5 głosów do 2</w:t>
      </w:r>
      <w:r w:rsidRPr="003B1B65">
        <w:rPr>
          <w:rFonts w:cstheme="minorHAnsi"/>
        </w:rPr>
        <w:t xml:space="preserve">. ETPC zasądził skarżącym po 7000 euro słusznego zadośćuczynienia. Wyrok jest nieprawomocny. Strony mogą odwołać się do Wielkiej Izby ETPC. Częściowo odrębną opinię przedstawił Sędzia </w:t>
      </w:r>
      <w:proofErr w:type="spellStart"/>
      <w:r w:rsidRPr="003B1B65">
        <w:rPr>
          <w:rFonts w:cstheme="minorHAnsi"/>
        </w:rPr>
        <w:t>Serghides</w:t>
      </w:r>
      <w:proofErr w:type="spellEnd"/>
      <w:r w:rsidRPr="003B1B65">
        <w:rPr>
          <w:rFonts w:cstheme="minorHAnsi"/>
        </w:rPr>
        <w:t>, w</w:t>
      </w:r>
      <w:r w:rsidR="00680732">
        <w:rPr>
          <w:rFonts w:cstheme="minorHAnsi"/>
        </w:rPr>
        <w:t> </w:t>
      </w:r>
      <w:r w:rsidRPr="003B1B65">
        <w:rPr>
          <w:rFonts w:cstheme="minorHAnsi"/>
        </w:rPr>
        <w:t xml:space="preserve">której koncentruje się na braku zbadania skarg na podstawie art. 6 i 13 oraz na punkcie 4 sentencji. Sędzia </w:t>
      </w:r>
      <w:proofErr w:type="spellStart"/>
      <w:r w:rsidRPr="003B1B65">
        <w:rPr>
          <w:rFonts w:cstheme="minorHAnsi"/>
        </w:rPr>
        <w:t>Serghides</w:t>
      </w:r>
      <w:proofErr w:type="spellEnd"/>
      <w:r w:rsidRPr="003B1B65">
        <w:rPr>
          <w:rFonts w:cstheme="minorHAnsi"/>
        </w:rPr>
        <w:t xml:space="preserve"> jest przeciwny wchłonięciu lub</w:t>
      </w:r>
      <w:r w:rsidR="00680732">
        <w:rPr>
          <w:rFonts w:cstheme="minorHAnsi"/>
        </w:rPr>
        <w:t> </w:t>
      </w:r>
      <w:r w:rsidRPr="003B1B65">
        <w:rPr>
          <w:rFonts w:cstheme="minorHAnsi"/>
        </w:rPr>
        <w:t>włączeniu skarg z art. 6 i art. 13 do skarg z art. 3 i art. 14. W jego ocenie, takie podejście jest błędne, ponieważ nie może być zgodne z autonomicznym i</w:t>
      </w:r>
      <w:r w:rsidR="00680732">
        <w:rPr>
          <w:rFonts w:cstheme="minorHAnsi"/>
        </w:rPr>
        <w:t> </w:t>
      </w:r>
      <w:r w:rsidRPr="003B1B65">
        <w:rPr>
          <w:rFonts w:cstheme="minorHAnsi"/>
        </w:rPr>
        <w:t xml:space="preserve">niezależnym charakterem tych dwóch artykułów, koncepcją indywidualnego stosowania, zasadą rządów prawa lub legitymacją Trybunału. Za to Sędzia </w:t>
      </w:r>
      <w:proofErr w:type="spellStart"/>
      <w:r w:rsidRPr="003B1B65">
        <w:rPr>
          <w:rFonts w:cstheme="minorHAnsi"/>
        </w:rPr>
        <w:t>Wojtyczek</w:t>
      </w:r>
      <w:proofErr w:type="spellEnd"/>
      <w:r w:rsidRPr="003B1B65">
        <w:rPr>
          <w:rFonts w:cstheme="minorHAnsi"/>
        </w:rPr>
        <w:t xml:space="preserve"> i Sędzia </w:t>
      </w:r>
      <w:proofErr w:type="spellStart"/>
      <w:r w:rsidRPr="003B1B65">
        <w:rPr>
          <w:rFonts w:cstheme="minorHAnsi"/>
        </w:rPr>
        <w:t>Poláčková</w:t>
      </w:r>
      <w:proofErr w:type="spellEnd"/>
      <w:r w:rsidRPr="003B1B65">
        <w:rPr>
          <w:rFonts w:cstheme="minorHAnsi"/>
        </w:rPr>
        <w:t xml:space="preserve"> nie zgadzają się ze stwierdzeniem, że w niniejszej sprawie doszło do naruszenia art. 3 w związku z</w:t>
      </w:r>
      <w:r w:rsidR="00EF3EB5" w:rsidRPr="003B1B65">
        <w:rPr>
          <w:rFonts w:cstheme="minorHAnsi"/>
        </w:rPr>
        <w:t> </w:t>
      </w:r>
      <w:r w:rsidRPr="003B1B65">
        <w:rPr>
          <w:rFonts w:cstheme="minorHAnsi"/>
        </w:rPr>
        <w:t>art.</w:t>
      </w:r>
      <w:r w:rsidR="00EF3EB5" w:rsidRPr="003B1B65">
        <w:rPr>
          <w:rFonts w:cstheme="minorHAnsi"/>
        </w:rPr>
        <w:t> </w:t>
      </w:r>
      <w:r w:rsidRPr="003B1B65">
        <w:rPr>
          <w:rFonts w:cstheme="minorHAnsi"/>
        </w:rPr>
        <w:t>14 Konwencji. Ustalenia faktyczne dokonane przez sądy krajowe nie wydają się arbitralne ani nieuzasadnione. Mimo że agresorzy zostali oskarżeni, osądzeni i skazani za</w:t>
      </w:r>
      <w:r w:rsidR="00680732">
        <w:rPr>
          <w:rFonts w:cstheme="minorHAnsi"/>
        </w:rPr>
        <w:t> </w:t>
      </w:r>
      <w:r w:rsidRPr="003B1B65">
        <w:rPr>
          <w:rFonts w:cstheme="minorHAnsi"/>
        </w:rPr>
        <w:t>przestępstwa, które nie zostały sklasyfikowane jako przestępstwa z nienawiści, kontekst dyskryminacyjny został uwzględniony przez sądy krajowe zgodnie ze</w:t>
      </w:r>
      <w:r w:rsidR="00680732">
        <w:rPr>
          <w:rFonts w:cstheme="minorHAnsi"/>
        </w:rPr>
        <w:t> </w:t>
      </w:r>
      <w:r w:rsidRPr="003B1B65">
        <w:rPr>
          <w:rFonts w:cstheme="minorHAnsi"/>
        </w:rPr>
        <w:t>standardami Konwencji. Wyroki nałożone na agresorów skarżących uwzględniały wszystkie istotne okoliczności, które zostały ustalone i</w:t>
      </w:r>
      <w:r w:rsidR="00EF3EB5" w:rsidRPr="003B1B65">
        <w:rPr>
          <w:rFonts w:cstheme="minorHAnsi"/>
        </w:rPr>
        <w:t> </w:t>
      </w:r>
      <w:r w:rsidRPr="003B1B65">
        <w:rPr>
          <w:rFonts w:cstheme="minorHAnsi"/>
        </w:rPr>
        <w:t>nie wydają się być rażąco nieproporcjonalne.</w:t>
      </w:r>
    </w:p>
    <w:p w14:paraId="435BAED5" w14:textId="45D648B8" w:rsidR="00A86B88" w:rsidRPr="003B1B65" w:rsidRDefault="00A86B88" w:rsidP="003B1B65">
      <w:pPr>
        <w:jc w:val="both"/>
        <w:rPr>
          <w:rFonts w:eastAsia="Times New Roman" w:cstheme="minorHAnsi"/>
        </w:rPr>
      </w:pPr>
      <w:r w:rsidRPr="003B1B65">
        <w:rPr>
          <w:rFonts w:eastAsia="Times New Roman" w:cstheme="minorHAnsi"/>
        </w:rPr>
        <w:t>W sprawie</w:t>
      </w:r>
      <w:r w:rsidRPr="003B1B65">
        <w:rPr>
          <w:rFonts w:eastAsia="Times New Roman" w:cstheme="minorHAnsi"/>
          <w:i/>
          <w:iCs/>
        </w:rPr>
        <w:t xml:space="preserve"> </w:t>
      </w:r>
      <w:r w:rsidRPr="003B1B65">
        <w:rPr>
          <w:rFonts w:eastAsia="Times New Roman" w:cstheme="minorHAnsi"/>
          <w:b/>
          <w:bCs/>
          <w:i/>
          <w:iCs/>
        </w:rPr>
        <w:t>Siedlecka przeciwko Polsce</w:t>
      </w:r>
      <w:r w:rsidRPr="003B1B65">
        <w:rPr>
          <w:rFonts w:eastAsia="Times New Roman" w:cstheme="minorHAnsi"/>
          <w:b/>
          <w:bCs/>
        </w:rPr>
        <w:t xml:space="preserve"> (skarga nr 13375/18)</w:t>
      </w:r>
      <w:bookmarkStart w:id="1" w:name="_Hlk177725972"/>
      <w:r w:rsidRPr="003B1B65">
        <w:rPr>
          <w:rFonts w:eastAsia="Times New Roman" w:cstheme="minorHAnsi"/>
          <w:b/>
          <w:bCs/>
          <w:i/>
          <w:iCs/>
        </w:rPr>
        <w:t xml:space="preserve"> </w:t>
      </w:r>
      <w:r w:rsidRPr="003B1B65">
        <w:rPr>
          <w:rFonts w:eastAsia="Times New Roman" w:cstheme="minorHAnsi"/>
        </w:rPr>
        <w:t>skarga dotyczyła naruszenia art. 5, 10 i 11</w:t>
      </w:r>
      <w:r w:rsidR="001473BD" w:rsidRPr="003B1B65">
        <w:rPr>
          <w:rFonts w:eastAsia="Times New Roman" w:cstheme="minorHAnsi"/>
        </w:rPr>
        <w:t xml:space="preserve"> Konwencji</w:t>
      </w:r>
      <w:r w:rsidRPr="003B1B65">
        <w:rPr>
          <w:rFonts w:eastAsia="Times New Roman" w:cstheme="minorHAnsi"/>
        </w:rPr>
        <w:t>, ze względu na naruszenie prawa do</w:t>
      </w:r>
      <w:r w:rsidR="00A4044E" w:rsidRPr="003B1B65">
        <w:rPr>
          <w:rFonts w:eastAsia="Times New Roman" w:cstheme="minorHAnsi"/>
        </w:rPr>
        <w:t> </w:t>
      </w:r>
      <w:r w:rsidRPr="003B1B65">
        <w:rPr>
          <w:rFonts w:eastAsia="Times New Roman" w:cstheme="minorHAnsi"/>
        </w:rPr>
        <w:t>wolności i bezpieczeństwa, prawa do wolności wyrażania opinii i prawa do swobodnego, pokojowego zgromadzenia. Skarżąca jest dziennikarką, która wieczorem 10 czerwca 2017 r. wzięła udział w kontrmanifestacji wobec obchodów miesięcznicy smoleńskiej. Wobec zastosowania znowelizowanej ustawy Prawo o zgromadzeniach (Dz.U. 2015 poz. 1485), zgromadzenie zostało odwołane z powodu równoczesnych obchodów miesięcznicy smoleńskiej. Mimo to, skarżąca zjawiła się na kontrmanifestacji. Protestujący zostali otoczeni przez policję. Funkcjonariusze policji zażądali dowodów osobistych od</w:t>
      </w:r>
      <w:r w:rsidR="00A4044E" w:rsidRPr="003B1B65">
        <w:rPr>
          <w:rFonts w:eastAsia="Times New Roman" w:cstheme="minorHAnsi"/>
        </w:rPr>
        <w:t> </w:t>
      </w:r>
      <w:r w:rsidRPr="003B1B65">
        <w:rPr>
          <w:rFonts w:eastAsia="Times New Roman" w:cstheme="minorHAnsi"/>
        </w:rPr>
        <w:t>manifestujących. Skarżąca najpierw legitymowała się legitymacją prasową, wobec odmowy jej przyjęcia zmuszona była okazać dowód osobisty. Skarżąca była przetrzymywana przez policję do wczesnych godzin nocnych. Funkcjonariusze poinformowali ją, że nie została aresztowana, a pozostaje ona jedynie „w</w:t>
      </w:r>
      <w:r w:rsidR="00A4044E" w:rsidRPr="003B1B65">
        <w:rPr>
          <w:rFonts w:eastAsia="Times New Roman" w:cstheme="minorHAnsi"/>
        </w:rPr>
        <w:t> </w:t>
      </w:r>
      <w:r w:rsidRPr="003B1B65">
        <w:rPr>
          <w:rFonts w:eastAsia="Times New Roman" w:cstheme="minorHAnsi"/>
        </w:rPr>
        <w:t xml:space="preserve">dyspozycji policji”. Według skarżącej, nie mogła ona w tym czasie pójść do toalety czy skontaktować się z prawnikiem. 16 czerwca 2017 r. skarżąca wniosła zażalenie na jej zatrzymanie do Sądu Rejonowego Warszawa-Śródmieście w Warszawie, zarzucając złamanie art. 41 ust. 1 Konstytucji i art. 5 </w:t>
      </w:r>
      <w:r w:rsidRPr="003B1B65">
        <w:rPr>
          <w:rFonts w:eastAsia="Times New Roman" w:cstheme="minorHAnsi"/>
        </w:rPr>
        <w:lastRenderedPageBreak/>
        <w:t>Konwencji. 11 września 2017 r., sąd oddalił zażalenie, opierając się na danych pochodzących z policji i wskazał, iż jej zatrzymanie nie wypełniało znamion aresztowania. Skarżącej nie przysługiwało odwołanie.</w:t>
      </w:r>
      <w:r w:rsidR="00A9638F" w:rsidRPr="003B1B65">
        <w:rPr>
          <w:rFonts w:eastAsia="Times New Roman" w:cstheme="minorHAnsi"/>
        </w:rPr>
        <w:t xml:space="preserve"> </w:t>
      </w:r>
      <w:r w:rsidRPr="003B1B65">
        <w:rPr>
          <w:rFonts w:eastAsia="Times New Roman" w:cstheme="minorHAnsi"/>
        </w:rPr>
        <w:t>W związku z powyższym skarżąca wskazała, iż poprawki do ustawy Prawo o zgromadzeniach (Dz.U.</w:t>
      </w:r>
      <w:r w:rsidR="00DF6585">
        <w:rPr>
          <w:rFonts w:eastAsia="Times New Roman" w:cstheme="minorHAnsi"/>
        </w:rPr>
        <w:t> </w:t>
      </w:r>
      <w:r w:rsidRPr="003B1B65">
        <w:rPr>
          <w:rFonts w:eastAsia="Times New Roman" w:cstheme="minorHAnsi"/>
        </w:rPr>
        <w:t>2015 poz. 1485), wprowadzające instytucję zgromadzeń cyklicznych ograniczyły jej prawo do zgromadzeń i naruszyły art. 5, 10 i 11 Konwencji. Skarżąca zarzuciła również na podstawie art. 10 i 11 Konwencji, że interwencja policji stanowiła nieproporcjonalne ograniczenie jej prawa do wolności wypowiedzi i</w:t>
      </w:r>
      <w:r w:rsidR="00A4044E" w:rsidRPr="003B1B65">
        <w:rPr>
          <w:rFonts w:eastAsia="Times New Roman" w:cstheme="minorHAnsi"/>
        </w:rPr>
        <w:t> </w:t>
      </w:r>
      <w:r w:rsidRPr="003B1B65">
        <w:rPr>
          <w:rFonts w:eastAsia="Times New Roman" w:cstheme="minorHAnsi"/>
        </w:rPr>
        <w:t>wolności zgromadzeń.</w:t>
      </w:r>
      <w:r w:rsidR="00A4044E" w:rsidRPr="003B1B65">
        <w:rPr>
          <w:rFonts w:eastAsia="Times New Roman" w:cstheme="minorHAnsi"/>
        </w:rPr>
        <w:t xml:space="preserve"> </w:t>
      </w:r>
      <w:r w:rsidRPr="003B1B65">
        <w:rPr>
          <w:rFonts w:eastAsia="Times New Roman" w:cstheme="minorHAnsi"/>
        </w:rPr>
        <w:t>Rząd złożył wstępne zastrzeżenia, w których stwierdził, że nie było podstaw do uznania, że stan, w jakim znajdowała się skarżąca podczas interwencji policji, stanowił zatrzymanie w rozumieniu art. 45 § 1 k.p.k., art. 244 § 1 k</w:t>
      </w:r>
      <w:r w:rsidR="002A12C9">
        <w:rPr>
          <w:rFonts w:eastAsia="Times New Roman" w:cstheme="minorHAnsi"/>
        </w:rPr>
        <w:t>.</w:t>
      </w:r>
      <w:r w:rsidRPr="003B1B65">
        <w:rPr>
          <w:rFonts w:eastAsia="Times New Roman" w:cstheme="minorHAnsi"/>
        </w:rPr>
        <w:t>p</w:t>
      </w:r>
      <w:r w:rsidR="002A12C9">
        <w:rPr>
          <w:rFonts w:eastAsia="Times New Roman" w:cstheme="minorHAnsi"/>
        </w:rPr>
        <w:t>.</w:t>
      </w:r>
      <w:r w:rsidRPr="003B1B65">
        <w:rPr>
          <w:rFonts w:eastAsia="Times New Roman" w:cstheme="minorHAnsi"/>
        </w:rPr>
        <w:t>k</w:t>
      </w:r>
      <w:r w:rsidR="002A12C9">
        <w:rPr>
          <w:rFonts w:eastAsia="Times New Roman" w:cstheme="minorHAnsi"/>
        </w:rPr>
        <w:t>.</w:t>
      </w:r>
      <w:r w:rsidRPr="003B1B65">
        <w:rPr>
          <w:rFonts w:eastAsia="Times New Roman" w:cstheme="minorHAnsi"/>
        </w:rPr>
        <w:t xml:space="preserve"> lub art. 15 ust. 1 pkt 3 ustawy o</w:t>
      </w:r>
      <w:r w:rsidR="00A4044E" w:rsidRPr="003B1B65">
        <w:rPr>
          <w:rFonts w:eastAsia="Times New Roman" w:cstheme="minorHAnsi"/>
        </w:rPr>
        <w:t> </w:t>
      </w:r>
      <w:r w:rsidRPr="003B1B65">
        <w:rPr>
          <w:rFonts w:eastAsia="Times New Roman" w:cstheme="minorHAnsi"/>
        </w:rPr>
        <w:t>Policji w</w:t>
      </w:r>
      <w:r w:rsidR="00D861B5">
        <w:rPr>
          <w:rFonts w:eastAsia="Times New Roman" w:cstheme="minorHAnsi"/>
        </w:rPr>
        <w:t> </w:t>
      </w:r>
      <w:r w:rsidRPr="003B1B65">
        <w:rPr>
          <w:rFonts w:eastAsia="Times New Roman" w:cstheme="minorHAnsi"/>
        </w:rPr>
        <w:t>brzmieniu obowiązującym w dniu przedmiotowych zdarzeń. Rząd wskazał, że skarżąca nie została pozbawiona wolności z naruszeniem Konwencji, w szczególności art.</w:t>
      </w:r>
      <w:r w:rsidR="00A9638F" w:rsidRPr="003B1B65">
        <w:rPr>
          <w:rFonts w:eastAsia="Times New Roman" w:cstheme="minorHAnsi"/>
        </w:rPr>
        <w:t> </w:t>
      </w:r>
      <w:r w:rsidRPr="003B1B65">
        <w:rPr>
          <w:rFonts w:eastAsia="Times New Roman" w:cstheme="minorHAnsi"/>
        </w:rPr>
        <w:t>5 ust. 1. Rząd wskazał również, że tożsamość skarżącej została zweryfikowana w czasie nie dłuższym niż dwie godziny. W</w:t>
      </w:r>
      <w:r w:rsidR="00DF6585">
        <w:rPr>
          <w:rFonts w:eastAsia="Times New Roman" w:cstheme="minorHAnsi"/>
        </w:rPr>
        <w:t> </w:t>
      </w:r>
      <w:r w:rsidRPr="003B1B65">
        <w:rPr>
          <w:rFonts w:eastAsia="Times New Roman" w:cstheme="minorHAnsi"/>
        </w:rPr>
        <w:t>niniejszej sprawie, zdaniem Rządu, podobnie jak w sprawie S., V. i A. przeciwko Danii, środki zostały podjęte przez policję dopiero po tym, jak demonstranci zaangażowali się w działania niezgodne z prawem i zostały one podjęte dopiero po upływie dwóch godzin.</w:t>
      </w:r>
      <w:r w:rsidR="00A9638F" w:rsidRPr="003B1B65">
        <w:rPr>
          <w:rFonts w:eastAsia="Times New Roman" w:cstheme="minorHAnsi"/>
        </w:rPr>
        <w:t xml:space="preserve"> </w:t>
      </w:r>
      <w:r w:rsidRPr="003B1B65">
        <w:rPr>
          <w:rFonts w:eastAsia="Times New Roman" w:cstheme="minorHAnsi"/>
        </w:rPr>
        <w:t>Ponadto, Rząd podniósł wstępny zarzut niewyczerpania krajowych środków odwoławczych. Po pierwsze, uznał, że skarżąca nie odwołała się do właściwego miejscowo prokuratora od działań policji z 10 czerwca 2017 r. Po drugie, zdaniem rządu, skarżąca nie wystąpiła z roszczeniem o odszkodowanie na podstawie art. 114 § 2</w:t>
      </w:r>
      <w:r w:rsidRPr="003B1B65">
        <w:rPr>
          <w:rFonts w:eastAsia="Times New Roman" w:cstheme="minorHAnsi"/>
          <w:i/>
          <w:iCs/>
        </w:rPr>
        <w:t xml:space="preserve"> </w:t>
      </w:r>
      <w:r w:rsidR="008D2E8C">
        <w:rPr>
          <w:rFonts w:eastAsia="Times New Roman" w:cstheme="minorHAnsi"/>
        </w:rPr>
        <w:t>k</w:t>
      </w:r>
      <w:r w:rsidRPr="003B1B65">
        <w:rPr>
          <w:rFonts w:eastAsia="Times New Roman" w:cstheme="minorHAnsi"/>
        </w:rPr>
        <w:t>odeksu postępowania w</w:t>
      </w:r>
      <w:r w:rsidR="00DF6585">
        <w:rPr>
          <w:rFonts w:eastAsia="Times New Roman" w:cstheme="minorHAnsi"/>
        </w:rPr>
        <w:t> </w:t>
      </w:r>
      <w:r w:rsidRPr="003B1B65">
        <w:rPr>
          <w:rFonts w:eastAsia="Times New Roman" w:cstheme="minorHAnsi"/>
        </w:rPr>
        <w:t>sprawach o wykroczenia, który stanowi, że odszkodowanie i zadośćuczynienie powinno zostać przyznane każdemu, kto został poddany niewątpliwie niesłusznemu aresztowaniu oraz każdemu, kto został pozbawiony wolności na podstawie art. 82 § 5 pkt 2 lub pkt 3, ale który został następnie prawomocnie uniewinniony lub wobec którego postępowanie zostało prawomocnie umorzone. Zgodnie z orzecznictwem sądów krajowych, roszczenia takie mogą być dochodzone niezależnie od tego, czy osoby, których one dotyczą, zaskarżyły zatrzymanie i uzyskały stwierdzenie, że było ono niesłuszne lub</w:t>
      </w:r>
      <w:r w:rsidR="00DF6585">
        <w:rPr>
          <w:rFonts w:eastAsia="Times New Roman" w:cstheme="minorHAnsi"/>
        </w:rPr>
        <w:t> </w:t>
      </w:r>
      <w:r w:rsidRPr="003B1B65">
        <w:rPr>
          <w:rFonts w:eastAsia="Times New Roman" w:cstheme="minorHAnsi"/>
        </w:rPr>
        <w:t>bezprawne (zob.</w:t>
      </w:r>
      <w:r w:rsidR="00D861B5">
        <w:rPr>
          <w:rFonts w:eastAsia="Times New Roman" w:cstheme="minorHAnsi"/>
        </w:rPr>
        <w:t> </w:t>
      </w:r>
      <w:r w:rsidRPr="003B1B65">
        <w:rPr>
          <w:rFonts w:eastAsia="Times New Roman" w:cstheme="minorHAnsi"/>
        </w:rPr>
        <w:t xml:space="preserve">wyrok Sądu Apelacyjnego w Katowicach, sygn. akt. II </w:t>
      </w:r>
      <w:proofErr w:type="spellStart"/>
      <w:r w:rsidRPr="003B1B65">
        <w:rPr>
          <w:rFonts w:eastAsia="Times New Roman" w:cstheme="minorHAnsi"/>
        </w:rPr>
        <w:t>A</w:t>
      </w:r>
      <w:r w:rsidR="00AC6FB4">
        <w:rPr>
          <w:rFonts w:eastAsia="Times New Roman" w:cstheme="minorHAnsi"/>
        </w:rPr>
        <w:t>K</w:t>
      </w:r>
      <w:r w:rsidRPr="003B1B65">
        <w:rPr>
          <w:rFonts w:eastAsia="Times New Roman" w:cstheme="minorHAnsi"/>
        </w:rPr>
        <w:t>a</w:t>
      </w:r>
      <w:proofErr w:type="spellEnd"/>
      <w:r w:rsidRPr="003B1B65">
        <w:rPr>
          <w:rFonts w:eastAsia="Times New Roman" w:cstheme="minorHAnsi"/>
        </w:rPr>
        <w:t xml:space="preserve"> 162/10, OSA 2011, nr 12, poz. 47). Po trzecie, Rząd uznał, że skarżąca nie skorzystała z prawa do żądania odszkodowania od Skarbu Państwa na podstawie art. 417 i 448 </w:t>
      </w:r>
      <w:r w:rsidR="008D2E8C">
        <w:rPr>
          <w:rFonts w:eastAsia="Times New Roman" w:cstheme="minorHAnsi"/>
        </w:rPr>
        <w:t>k.</w:t>
      </w:r>
      <w:r w:rsidRPr="003B1B65">
        <w:rPr>
          <w:rFonts w:eastAsia="Times New Roman" w:cstheme="minorHAnsi"/>
        </w:rPr>
        <w:t>c</w:t>
      </w:r>
      <w:r w:rsidR="008D2E8C">
        <w:rPr>
          <w:rFonts w:eastAsia="Times New Roman" w:cstheme="minorHAnsi"/>
        </w:rPr>
        <w:t>.</w:t>
      </w:r>
      <w:r w:rsidRPr="003B1B65">
        <w:rPr>
          <w:rFonts w:eastAsia="Times New Roman" w:cstheme="minorHAnsi"/>
        </w:rPr>
        <w:t xml:space="preserve"> w związku z domniemaną szkodą związaną z rzekomym ograniczeniem praw gwarantowanych przez Konwencję. Końcowo Rząd podniósł wstępny zarzut, że skarżąca nie miała statusu ofiary w odniesieniu do domniemanego naruszenia jej praw na podstawie art. 11 Konwencji, oraz że skarga powinna zostać uznana za niezgodną </w:t>
      </w:r>
      <w:proofErr w:type="spellStart"/>
      <w:r w:rsidRPr="003B1B65">
        <w:rPr>
          <w:rFonts w:eastAsia="Times New Roman" w:cstheme="minorHAnsi"/>
          <w:i/>
          <w:iCs/>
        </w:rPr>
        <w:t>ratione</w:t>
      </w:r>
      <w:proofErr w:type="spellEnd"/>
      <w:r w:rsidRPr="003B1B65">
        <w:rPr>
          <w:rFonts w:eastAsia="Times New Roman" w:cstheme="minorHAnsi"/>
          <w:i/>
          <w:iCs/>
        </w:rPr>
        <w:t xml:space="preserve"> </w:t>
      </w:r>
      <w:proofErr w:type="spellStart"/>
      <w:r w:rsidRPr="003B1B65">
        <w:rPr>
          <w:rFonts w:eastAsia="Times New Roman" w:cstheme="minorHAnsi"/>
          <w:i/>
          <w:iCs/>
        </w:rPr>
        <w:t>personae</w:t>
      </w:r>
      <w:proofErr w:type="spellEnd"/>
      <w:r w:rsidRPr="003B1B65">
        <w:rPr>
          <w:rFonts w:eastAsia="Times New Roman" w:cstheme="minorHAnsi"/>
        </w:rPr>
        <w:t xml:space="preserve"> z Konwencją. Zdaniem Rządu, skarżąca nie podniosła, na żadnym etapie postępowania krajowego, żadnych zarzutów dotyczących domniemanego naruszenia jej prawa do przekazywania informacji na podstawie art. 10 Konwencji. Trybunał zauważył, że Rząd, jak i Sąd Okręgowy w swojej decyzji z</w:t>
      </w:r>
      <w:r w:rsidR="00F64D00">
        <w:rPr>
          <w:rFonts w:eastAsia="Times New Roman" w:cstheme="minorHAnsi"/>
        </w:rPr>
        <w:t> </w:t>
      </w:r>
      <w:r w:rsidRPr="003B1B65">
        <w:rPr>
          <w:rFonts w:eastAsia="Times New Roman" w:cstheme="minorHAnsi"/>
        </w:rPr>
        <w:t>11</w:t>
      </w:r>
      <w:r w:rsidR="00F64D00">
        <w:rPr>
          <w:rFonts w:eastAsia="Times New Roman" w:cstheme="minorHAnsi"/>
        </w:rPr>
        <w:t> </w:t>
      </w:r>
      <w:r w:rsidRPr="003B1B65">
        <w:rPr>
          <w:rFonts w:eastAsia="Times New Roman" w:cstheme="minorHAnsi"/>
        </w:rPr>
        <w:t>września 2017 r., stwierdził, że działania policji miały wystarczającą podstawę w prawie krajowym. Opierali się oni na odpowiednich przepisach ustawy o</w:t>
      </w:r>
      <w:r w:rsidR="00DF6585">
        <w:rPr>
          <w:rFonts w:eastAsia="Times New Roman" w:cstheme="minorHAnsi"/>
        </w:rPr>
        <w:t> </w:t>
      </w:r>
      <w:r w:rsidRPr="003B1B65">
        <w:rPr>
          <w:rFonts w:eastAsia="Times New Roman" w:cstheme="minorHAnsi"/>
        </w:rPr>
        <w:t>policji. Niemniej jednak, przepisy te, w opinii ETPC, odnoszą się jedynie do ogólnych działań policji i pozwalają policji na sprawdzenie dokumentów osoby w</w:t>
      </w:r>
      <w:r w:rsidR="00DF6585">
        <w:rPr>
          <w:rFonts w:eastAsia="Times New Roman" w:cstheme="minorHAnsi"/>
        </w:rPr>
        <w:t> </w:t>
      </w:r>
      <w:r w:rsidRPr="003B1B65">
        <w:rPr>
          <w:rFonts w:eastAsia="Times New Roman" w:cstheme="minorHAnsi"/>
        </w:rPr>
        <w:t>celu zweryfikowania jej tożsamości i nie stanowią podstawy do zatrzymania Trybunał zauważył ponadto, że przepisy krajowe umożliwiające zatrzymanie osoby przewidują zastosowanie zatrzymania, jeżeli spełnione są następujące warunki - po pierwsze, gdy dana osoba zostanie ujęta na gorącym uczynku lub</w:t>
      </w:r>
      <w:r w:rsidR="00DF6585">
        <w:rPr>
          <w:rFonts w:eastAsia="Times New Roman" w:cstheme="minorHAnsi"/>
        </w:rPr>
        <w:t> </w:t>
      </w:r>
      <w:r w:rsidRPr="003B1B65">
        <w:rPr>
          <w:rFonts w:eastAsia="Times New Roman" w:cstheme="minorHAnsi"/>
        </w:rPr>
        <w:t>bezpośrednio po popełnieniu wykroczenia, a po drugie, jeżeli istnieją podstawy do zastosowania wobec tej osoby postępowania przyspieszonego lub</w:t>
      </w:r>
      <w:r w:rsidR="00DF6585">
        <w:rPr>
          <w:rFonts w:eastAsia="Times New Roman" w:cstheme="minorHAnsi"/>
        </w:rPr>
        <w:t> </w:t>
      </w:r>
      <w:r w:rsidRPr="003B1B65">
        <w:rPr>
          <w:rFonts w:eastAsia="Times New Roman" w:cstheme="minorHAnsi"/>
        </w:rPr>
        <w:t>tożsamość tej osoby nie może zostać potwierdzona. W opinii ETPC, Rząd nie wykazał wystarczającej podstawy prawnej. Ponadto, Trybunał wskazuje, że</w:t>
      </w:r>
      <w:r w:rsidR="00DF6585">
        <w:rPr>
          <w:rFonts w:eastAsia="Times New Roman" w:cstheme="minorHAnsi"/>
        </w:rPr>
        <w:t> </w:t>
      </w:r>
      <w:r w:rsidRPr="003B1B65">
        <w:rPr>
          <w:rFonts w:eastAsia="Times New Roman" w:cstheme="minorHAnsi"/>
        </w:rPr>
        <w:t xml:space="preserve">Rząd nie wykazał tego, że cały okres faktycznego pozbawienia wolności był niezbędny do przeprowadzenia kontroli tożsamości. Z opisu wydarzeń przedstawionego przez skarżącą wynikało </w:t>
      </w:r>
      <w:r w:rsidRPr="003B1B65">
        <w:rPr>
          <w:rFonts w:eastAsia="Times New Roman" w:cstheme="minorHAnsi"/>
        </w:rPr>
        <w:lastRenderedPageBreak/>
        <w:t>również, że oprócz kontroli tożsamości przeprowadzono dalsze kontrole w policyjnych bazach danych. W ocenie ETPC, Rząd również nie wyjaśnił, dlaczego wszyscy uczestnicy kontrdemonstracji nie zostali zwolnieni po sprawdzeniu i byli przetrzymywani razem do końca zgromadzenia cyklicznego.</w:t>
      </w:r>
      <w:r w:rsidR="00A9638F" w:rsidRPr="003B1B65">
        <w:rPr>
          <w:rFonts w:eastAsia="Times New Roman" w:cstheme="minorHAnsi"/>
        </w:rPr>
        <w:t xml:space="preserve"> </w:t>
      </w:r>
      <w:r w:rsidRPr="003B1B65">
        <w:rPr>
          <w:rFonts w:eastAsia="Times New Roman" w:cstheme="minorHAnsi"/>
        </w:rPr>
        <w:t xml:space="preserve">Wobec powyższego, Trybunał uwzględniając charakter i czas trwania ograniczeń nałożonych na skarżącą przez władze, stwierdził, że skarżąca została pozbawiona wolności z naruszeniem art. 5 Konwencji w dniu 10 czerwca 2017 r. między godziną 20:00 a 22:00. W związku z powyższym, na rzecz skarżącej zasądzono zadośćuczynienie w wysokości 3000 </w:t>
      </w:r>
      <w:r w:rsidR="00A9638F" w:rsidRPr="003B1B65">
        <w:rPr>
          <w:rFonts w:eastAsia="Times New Roman" w:cstheme="minorHAnsi"/>
        </w:rPr>
        <w:t>euro.</w:t>
      </w:r>
      <w:r w:rsidR="00B00218">
        <w:rPr>
          <w:rFonts w:eastAsia="Times New Roman" w:cstheme="minorHAnsi"/>
        </w:rPr>
        <w:t xml:space="preserve"> </w:t>
      </w:r>
      <w:r w:rsidRPr="003B1B65">
        <w:rPr>
          <w:rFonts w:eastAsia="Times New Roman" w:cstheme="minorHAnsi"/>
        </w:rPr>
        <w:t>Trybunał wskazał, że celem zasady wyczerpania krajowych środków odwoławczych jest umożliwienie władzom krajowym (przede wszystkim organom sądowym) odniesienie się do zarzutów naruszenia prawa wynikającego z Konwencji oraz w stosownych przypadkach, zapewnienie zadośćuczynienia przed przedstawieniem takiego zarzutu Trybunałowi. W opinii Trybunału, skarżąca nie zapewniła władzom polskim możliwości zajęcia się konkretnym naruszeniem Konwencji zarzucanym przeciwko niemu, a tym samym zapobieżenia mu lub naprawienia go. ETPC wskazał, iż zarzut, że odpowiedni „skuteczny” krajowy środek odwoławczy nie został wykorzystany przez skarżącą w odniesieniu do jej skarg na podstawie art. 10 i 11 Konwencji jest uzasadniony. W związku z</w:t>
      </w:r>
      <w:r w:rsidR="00A4044E" w:rsidRPr="003B1B65">
        <w:rPr>
          <w:rFonts w:eastAsia="Times New Roman" w:cstheme="minorHAnsi"/>
        </w:rPr>
        <w:t> </w:t>
      </w:r>
      <w:r w:rsidRPr="003B1B65">
        <w:rPr>
          <w:rFonts w:eastAsia="Times New Roman" w:cstheme="minorHAnsi"/>
        </w:rPr>
        <w:t>powyższym, Trybunał w przedmiotowym zakresie odrzucił skargę jako niedopuszczalną.</w:t>
      </w:r>
      <w:bookmarkEnd w:id="1"/>
    </w:p>
    <w:p w14:paraId="2F4F02B6" w14:textId="77777777" w:rsidR="00A86B88" w:rsidRPr="003B1B65" w:rsidRDefault="00A86B88" w:rsidP="003B1B65">
      <w:pPr>
        <w:tabs>
          <w:tab w:val="left" w:pos="540"/>
        </w:tabs>
        <w:spacing w:after="0"/>
        <w:jc w:val="both"/>
        <w:rPr>
          <w:rFonts w:cstheme="minorHAnsi"/>
        </w:rPr>
      </w:pPr>
    </w:p>
    <w:p w14:paraId="649980E8" w14:textId="2148AC23" w:rsidR="00A86B88" w:rsidRPr="003B1B65" w:rsidRDefault="00A86B88" w:rsidP="003B1B65">
      <w:pPr>
        <w:jc w:val="both"/>
        <w:rPr>
          <w:rFonts w:cstheme="minorHAnsi"/>
        </w:rPr>
      </w:pPr>
      <w:r w:rsidRPr="003B1B65">
        <w:rPr>
          <w:rFonts w:cstheme="minorHAnsi"/>
        </w:rPr>
        <w:t>W</w:t>
      </w:r>
      <w:r w:rsidRPr="003B1B65">
        <w:rPr>
          <w:rFonts w:cstheme="minorHAnsi"/>
          <w:b/>
          <w:bCs/>
        </w:rPr>
        <w:t xml:space="preserve"> </w:t>
      </w:r>
      <w:r w:rsidRPr="003B1B65">
        <w:rPr>
          <w:rFonts w:cstheme="minorHAnsi"/>
        </w:rPr>
        <w:t xml:space="preserve">sprawie </w:t>
      </w:r>
      <w:r w:rsidRPr="003B1B65">
        <w:rPr>
          <w:rFonts w:cstheme="minorHAnsi"/>
          <w:b/>
          <w:bCs/>
          <w:i/>
          <w:iCs/>
        </w:rPr>
        <w:t>T.T. przeciwko Polsce</w:t>
      </w:r>
      <w:r w:rsidRPr="003B1B65">
        <w:rPr>
          <w:rFonts w:cstheme="minorHAnsi"/>
          <w:b/>
          <w:bCs/>
        </w:rPr>
        <w:t xml:space="preserve"> (</w:t>
      </w:r>
      <w:r w:rsidR="00A9638F" w:rsidRPr="003B1B65">
        <w:rPr>
          <w:rFonts w:cstheme="minorHAnsi"/>
          <w:b/>
          <w:bCs/>
        </w:rPr>
        <w:t xml:space="preserve">skarga </w:t>
      </w:r>
      <w:r w:rsidRPr="003B1B65">
        <w:rPr>
          <w:rFonts w:cstheme="minorHAnsi"/>
          <w:b/>
          <w:bCs/>
        </w:rPr>
        <w:t xml:space="preserve">nr 51505/20) </w:t>
      </w:r>
      <w:r w:rsidRPr="003B1B65">
        <w:rPr>
          <w:rFonts w:cstheme="minorHAnsi"/>
        </w:rPr>
        <w:t>skarga dotyczyła zarzutu naruszenia art. 8 Konwencji ze względu na naruszenie prawa do</w:t>
      </w:r>
      <w:r w:rsidR="00DF6585">
        <w:rPr>
          <w:rFonts w:cstheme="minorHAnsi"/>
        </w:rPr>
        <w:t> </w:t>
      </w:r>
      <w:r w:rsidRPr="003B1B65">
        <w:rPr>
          <w:rFonts w:cstheme="minorHAnsi"/>
        </w:rPr>
        <w:t>poszanowania życia rodzinnego i prywatnego - niewykonanie prawomocnego orzeczenia nakazującego powrót dziecka. Skarga dotyczyła sporu wszczętego przez skarżącego (obywatela brytyjskiego), w celu uzyskania powrotu do Wielkiej Brytanii jego małoletniej córki, która została uprowadzona przez jej matkę E.S., obywatelkę Polski. Trybunał stwierdził, że działania podjęte przez władze w</w:t>
      </w:r>
      <w:r w:rsidR="00A4044E" w:rsidRPr="003B1B65">
        <w:rPr>
          <w:rFonts w:cstheme="minorHAnsi"/>
        </w:rPr>
        <w:t> </w:t>
      </w:r>
      <w:r w:rsidRPr="003B1B65">
        <w:rPr>
          <w:rFonts w:cstheme="minorHAnsi"/>
        </w:rPr>
        <w:t xml:space="preserve">pierwszych tygodniach postępowania egzekucyjnego nie charakteryzowały się nieuzasadnionymi opóźnieniami. Jednak w miarę postępu postępowania występowały okresy względnej bezczynności, a kolejne działania podejmowano po kilkutygodniowych, a nawet kilkumiesięcznych przerwach. </w:t>
      </w:r>
      <w:bookmarkStart w:id="2" w:name="_Hlk211599178"/>
      <w:r w:rsidRPr="003B1B65">
        <w:rPr>
          <w:rFonts w:cstheme="minorHAnsi"/>
        </w:rPr>
        <w:t xml:space="preserve">Wystąpiły również opóźnienia w wysyłaniu nakazów sądowych przez sekretariat sądu. </w:t>
      </w:r>
      <w:bookmarkEnd w:id="2"/>
      <w:r w:rsidRPr="003B1B65">
        <w:rPr>
          <w:rFonts w:cstheme="minorHAnsi"/>
        </w:rPr>
        <w:t xml:space="preserve">Trybunał podkreślił, że matka małoletniej nie znajdowała się poza zasięgiem władz, a za opisane w wyroku uchybienia odpowiedzialność ponoszą bezsprzecznie władze krajowe. Trybunał uznał, że trudności w wykonaniu nakazu powrotu wynikały głównie z utrudnień ze strony matki dziecka, zauważył jednak, że nie wyjaśnia to aspektów budzących w sprawie wątpliwości, co do tego, czy władze działały z należytą starannością. Po pierwsze, kilka prób odzyskania dziecka nie zostało wystarczająco przygotowanych. </w:t>
      </w:r>
      <w:r w:rsidRPr="003B1B65">
        <w:rPr>
          <w:rFonts w:eastAsia="Times New Roman" w:cstheme="minorHAnsi"/>
        </w:rPr>
        <w:t>W szczególności kurator sądowy odpowiedzialny za pierwszą taką próbę nie zweryfikował wcześniej podstawowych informacji dotyczących zapisania dziecka do szkoły. Ponadto sąd okręgowy nie zwrócił się do organów oświatowych z niezbędnym zapytaniem aż do 2 grudnia 2019 r., czyli prawie trzy miesiące po niepowodzeniu pierwszej próby odzyskania dziecka. W rezultacie władze oparły się w tym czasie na wprowadzających w błąd informacjach przekazanych przez krewnych matki małoletniej, którzy mieli oczywisty interes w</w:t>
      </w:r>
      <w:r w:rsidR="00DF6585">
        <w:rPr>
          <w:rFonts w:eastAsia="Times New Roman" w:cstheme="minorHAnsi"/>
        </w:rPr>
        <w:t> </w:t>
      </w:r>
      <w:r w:rsidRPr="003B1B65">
        <w:rPr>
          <w:rFonts w:eastAsia="Times New Roman" w:cstheme="minorHAnsi"/>
        </w:rPr>
        <w:t>utrudnianiu działań egzekucyjnych.</w:t>
      </w:r>
      <w:r w:rsidRPr="003B1B65">
        <w:rPr>
          <w:rFonts w:cstheme="minorHAnsi"/>
        </w:rPr>
        <w:t xml:space="preserve"> Po drugie, na późniejszym etapie organy krajowe wielokrotnie podejmowały działania, które już wcześniej okazały się nieskuteczne lub które od początku miały szansę zakończyć się niepowodzeniem. </w:t>
      </w:r>
      <w:r w:rsidRPr="003B1B65">
        <w:rPr>
          <w:rFonts w:eastAsia="Times New Roman" w:cstheme="minorHAnsi"/>
        </w:rPr>
        <w:t>W szczególności, od</w:t>
      </w:r>
      <w:r w:rsidR="00A243EB">
        <w:rPr>
          <w:rFonts w:eastAsia="Times New Roman" w:cstheme="minorHAnsi"/>
        </w:rPr>
        <w:t> </w:t>
      </w:r>
      <w:r w:rsidRPr="003B1B65">
        <w:rPr>
          <w:rFonts w:eastAsia="Times New Roman" w:cstheme="minorHAnsi"/>
        </w:rPr>
        <w:t>momentu wszczęcia postępowania egzekucyjnego do</w:t>
      </w:r>
      <w:r w:rsidR="00DF6585">
        <w:rPr>
          <w:rFonts w:eastAsia="Times New Roman" w:cstheme="minorHAnsi"/>
        </w:rPr>
        <w:t> </w:t>
      </w:r>
      <w:r w:rsidRPr="003B1B65">
        <w:rPr>
          <w:rFonts w:eastAsia="Times New Roman" w:cstheme="minorHAnsi"/>
        </w:rPr>
        <w:t>15 września 2021 r. policja przeprowadziła trzydzieści jeden kontroli pod ostatnim znanym adresem E.S., a</w:t>
      </w:r>
      <w:r w:rsidR="0097151B">
        <w:rPr>
          <w:rFonts w:eastAsia="Times New Roman" w:cstheme="minorHAnsi"/>
        </w:rPr>
        <w:t> </w:t>
      </w:r>
      <w:r w:rsidRPr="003B1B65">
        <w:rPr>
          <w:rFonts w:eastAsia="Times New Roman" w:cstheme="minorHAnsi"/>
        </w:rPr>
        <w:t xml:space="preserve">funkcjonariusze uzyskali od osób tam mieszkających i od sąsiadów tę samą informację, że dziecko nie mieszka pod tym adresem. Kiedy funkcjonariusze spotkali małoletnią R.T., nie podjęli </w:t>
      </w:r>
      <w:r w:rsidRPr="003B1B65">
        <w:rPr>
          <w:rFonts w:eastAsia="Times New Roman" w:cstheme="minorHAnsi"/>
        </w:rPr>
        <w:lastRenderedPageBreak/>
        <w:t>żadnych konkretnych działań mających na celu wykonanie nakazu powrotu, z wyjątkiem sporządzenia oświadczenia E.S. dotyczącego jej adresu. Wydaje się zatem, że policja nie miała żadnej konkretnej strategii ani poleceń dotyczących postępowania w</w:t>
      </w:r>
      <w:r w:rsidR="00A4044E" w:rsidRPr="003B1B65">
        <w:rPr>
          <w:rFonts w:eastAsia="Times New Roman" w:cstheme="minorHAnsi"/>
        </w:rPr>
        <w:t> </w:t>
      </w:r>
      <w:r w:rsidRPr="003B1B65">
        <w:rPr>
          <w:rFonts w:eastAsia="Times New Roman" w:cstheme="minorHAnsi"/>
        </w:rPr>
        <w:t>przypadku odnalezienia dziecka. W rzeczywistości 1 marca 2021 r., prawie osiemnaście miesięcy po rozpoczęciu postępowania egzekucyjnego, policja zwróciła się do Sądu Okręgowego o wydanie instrukcji. W</w:t>
      </w:r>
      <w:r w:rsidR="00DF6585">
        <w:rPr>
          <w:rFonts w:eastAsia="Times New Roman" w:cstheme="minorHAnsi"/>
        </w:rPr>
        <w:t> </w:t>
      </w:r>
      <w:r w:rsidRPr="003B1B65">
        <w:rPr>
          <w:rFonts w:eastAsia="Times New Roman" w:cstheme="minorHAnsi"/>
        </w:rPr>
        <w:t>odpowiedzi Sąd Okręgowy nakazał policji jedynie „kontynuowanie obserwacji”. 19 kwietnia 2021 r. Sąd Okręgowy zasugerował, aby prokuratura wszczęła postępowanie karne w sprawie domniemanego przedłużającego się utrudniania postępowania egzekucyjnego przez E.S. Sugestia ta została zgłoszona pomimo faktu, że rok wcześniej ustalono, iż zgodnie z polskim prawem karnym rodzice nie mogą być pociągnięci do odpowiedzialności za uprowadzenie dziecka, chyba że zostali pozbawieni władzy rodzicielskiej, co nie miało miejsca w</w:t>
      </w:r>
      <w:r w:rsidR="00A4044E" w:rsidRPr="003B1B65">
        <w:rPr>
          <w:rFonts w:eastAsia="Times New Roman" w:cstheme="minorHAnsi"/>
        </w:rPr>
        <w:t> </w:t>
      </w:r>
      <w:r w:rsidRPr="003B1B65">
        <w:rPr>
          <w:rFonts w:eastAsia="Times New Roman" w:cstheme="minorHAnsi"/>
        </w:rPr>
        <w:t>przypadku E.S. Drugie postępowanie zostało ostatecznie umorzone z tych samych powodów, co poprzednie.</w:t>
      </w:r>
      <w:r w:rsidRPr="003B1B65">
        <w:rPr>
          <w:rFonts w:cstheme="minorHAnsi"/>
        </w:rPr>
        <w:t xml:space="preserve"> Po trzecie, władze nie dysponowały procedurami umożliwiającymi im skuteczną współpracę. </w:t>
      </w:r>
      <w:r w:rsidRPr="003B1B65">
        <w:rPr>
          <w:rFonts w:eastAsia="Times New Roman" w:cstheme="minorHAnsi"/>
        </w:rPr>
        <w:t>Policja nie podjęła działań w</w:t>
      </w:r>
      <w:r w:rsidR="00DF6585">
        <w:rPr>
          <w:rFonts w:eastAsia="Times New Roman" w:cstheme="minorHAnsi"/>
        </w:rPr>
        <w:t> </w:t>
      </w:r>
      <w:r w:rsidRPr="003B1B65">
        <w:rPr>
          <w:rFonts w:eastAsia="Times New Roman" w:cstheme="minorHAnsi"/>
        </w:rPr>
        <w:t>wykonaniu postanowienia Sądu Okręgowego z 23 grudnia 2020 r. o poszukiwaniu dziecka poprzez śledzenie połączenia internetowego matki, uznając, że</w:t>
      </w:r>
      <w:r w:rsidR="00DF6585">
        <w:rPr>
          <w:rFonts w:eastAsia="Times New Roman" w:cstheme="minorHAnsi"/>
        </w:rPr>
        <w:t> </w:t>
      </w:r>
      <w:r w:rsidRPr="003B1B65">
        <w:rPr>
          <w:rFonts w:eastAsia="Times New Roman" w:cstheme="minorHAnsi"/>
        </w:rPr>
        <w:t>środek ten nie ma podstawy prawnej. Korespondencja między sądem okręgowym a policją trwała prawie cztery miesiące, a w aktach sprawy nie ma nic, co sugerowałoby, że nakazany środek został rzeczywiście podjęty.</w:t>
      </w:r>
      <w:r w:rsidRPr="003B1B65">
        <w:rPr>
          <w:rFonts w:cstheme="minorHAnsi"/>
        </w:rPr>
        <w:t xml:space="preserve"> Po czwarte, istniejące mechanizmy nadzoru nie miały żadnego znaczącego wpływu na</w:t>
      </w:r>
      <w:r w:rsidR="00DF6585">
        <w:rPr>
          <w:rFonts w:cstheme="minorHAnsi"/>
        </w:rPr>
        <w:t> </w:t>
      </w:r>
      <w:r w:rsidRPr="003B1B65">
        <w:rPr>
          <w:rFonts w:cstheme="minorHAnsi"/>
        </w:rPr>
        <w:t xml:space="preserve">prowadzenie sprawy. </w:t>
      </w:r>
      <w:bookmarkStart w:id="3" w:name="_Hlk211599449"/>
      <w:r w:rsidRPr="003B1B65">
        <w:rPr>
          <w:rFonts w:eastAsia="Times New Roman" w:cstheme="minorHAnsi"/>
        </w:rPr>
        <w:t>W</w:t>
      </w:r>
      <w:r w:rsidR="0097151B">
        <w:rPr>
          <w:rFonts w:eastAsia="Times New Roman" w:cstheme="minorHAnsi"/>
        </w:rPr>
        <w:t> </w:t>
      </w:r>
      <w:r w:rsidRPr="003B1B65">
        <w:rPr>
          <w:rFonts w:eastAsia="Times New Roman" w:cstheme="minorHAnsi"/>
        </w:rPr>
        <w:t xml:space="preserve">szczególności sąd rejonowy nie zdołał skłonić komendy policji do przejęcia lub nadzorowania egzekwowania nakazu powrotu dziecka. </w:t>
      </w:r>
      <w:bookmarkEnd w:id="3"/>
      <w:r w:rsidRPr="003B1B65">
        <w:rPr>
          <w:rFonts w:cstheme="minorHAnsi"/>
        </w:rPr>
        <w:t>Zważywszy na powyższe, Trybunał stwierdził, że pomimo wysiłków władz krajowych trwających prawie trzy lata, nie podjęły one wszystkich niezbędnych kroków w celu ułatwienia wykonania nakazu powrotu, jak można było racjonalnie oczekiwać w okolicznościach sprawy. To z kolei stanowiło naruszenie prawa skarżącego do poszanowania życia rodzinnego. W tym stanie rzeczy, Trybunał uznał, że doszło do naruszenia art. 8 Konwencji i przyznał skarżącemu kwotę 9800 euro tytułem zadośćuczynienia za doznaną krzywdę.</w:t>
      </w:r>
    </w:p>
    <w:p w14:paraId="6F570733" w14:textId="152F2C7D" w:rsidR="00A86B88" w:rsidRPr="003B1B65" w:rsidRDefault="00A86B88" w:rsidP="003B1B65">
      <w:pPr>
        <w:tabs>
          <w:tab w:val="left" w:pos="540"/>
        </w:tabs>
        <w:spacing w:after="0"/>
        <w:jc w:val="both"/>
        <w:rPr>
          <w:rFonts w:cstheme="minorHAnsi"/>
        </w:rPr>
      </w:pPr>
      <w:r w:rsidRPr="003B1B65">
        <w:rPr>
          <w:rFonts w:cstheme="minorHAnsi"/>
        </w:rPr>
        <w:t xml:space="preserve">W sprawie </w:t>
      </w:r>
      <w:r w:rsidRPr="003B1B65">
        <w:rPr>
          <w:rFonts w:cstheme="minorHAnsi"/>
          <w:b/>
          <w:bCs/>
          <w:i/>
          <w:iCs/>
        </w:rPr>
        <w:t>A.W. przeciwko Polsce</w:t>
      </w:r>
      <w:r w:rsidRPr="003B1B65">
        <w:rPr>
          <w:rFonts w:cstheme="minorHAnsi"/>
        </w:rPr>
        <w:t xml:space="preserve"> </w:t>
      </w:r>
      <w:r w:rsidRPr="003B1B65">
        <w:rPr>
          <w:rFonts w:cstheme="minorHAnsi"/>
          <w:b/>
          <w:bCs/>
        </w:rPr>
        <w:t>(skarga nr 1307/21)</w:t>
      </w:r>
      <w:bookmarkStart w:id="4" w:name="_Hlk211865146"/>
      <w:r w:rsidRPr="003B1B65">
        <w:rPr>
          <w:rFonts w:cstheme="minorHAnsi"/>
          <w:b/>
          <w:bCs/>
        </w:rPr>
        <w:t xml:space="preserve"> </w:t>
      </w:r>
      <w:r w:rsidRPr="003B1B65">
        <w:rPr>
          <w:rFonts w:cstheme="minorHAnsi"/>
        </w:rPr>
        <w:t>skarżący zarzucił naruszenie art. 6 i 8 Konwencji z tego względu, że władze krajowe naruszyły jego prawo do poszanowania życia prywatnego i rodzinnego poprzez niezapewnienie mu skutecznego dostępu do sądu w odniesieniu do jego ojcostwa i kontaktów z dziećmi. Skarżący zarzucił również, że prawo to zostało naruszone przez ogólną długość postępowania.</w:t>
      </w:r>
      <w:r w:rsidR="00451024" w:rsidRPr="003B1B65">
        <w:rPr>
          <w:rFonts w:cstheme="minorHAnsi"/>
        </w:rPr>
        <w:t xml:space="preserve"> </w:t>
      </w:r>
      <w:bookmarkEnd w:id="4"/>
      <w:r w:rsidRPr="003B1B65">
        <w:rPr>
          <w:rFonts w:cstheme="minorHAnsi"/>
        </w:rPr>
        <w:t>Skarżący w latach 2004-2009 pozostawał w nieformalnym związku z W.N., która pozostawała w związku małżeńskim od 2001 r. z</w:t>
      </w:r>
      <w:r w:rsidR="00451024" w:rsidRPr="003B1B65">
        <w:rPr>
          <w:rFonts w:cstheme="minorHAnsi"/>
        </w:rPr>
        <w:t> </w:t>
      </w:r>
      <w:r w:rsidRPr="003B1B65">
        <w:rPr>
          <w:rFonts w:cstheme="minorHAnsi"/>
        </w:rPr>
        <w:t>B.N. W czasie, gdy skarżący i W.N. mieszkali razem, W.N. urodziła dwoje dzieci – syna urodzonego w 2005 r. oraz córkę urodzoną w 2007 r. Na podstawie prawnego domniemania ojcostwa, mąż matki, B.N. został wskazany jako ojciec dzieci w rejestrze stanu cywilnego. W 2006 r. skarżący zamierzał ustalić swoje ojcostwo wobec syna. Jednak zgodnie z prawem krajowym wymagało to podważenia prawnego domniemania, że ojcem dziecka jest mąż matki W.N. – B.N. – a skarżący nie miał legitymacji do wszczęcia takiej procedury. W związku z tym złożył on wniosek do prokuratora o wszczęcie postępowania w celu zakwestionowania ojcostwa B.N. wobec syna. Na</w:t>
      </w:r>
      <w:r w:rsidR="00DF6585">
        <w:rPr>
          <w:rFonts w:cstheme="minorHAnsi"/>
        </w:rPr>
        <w:t> </w:t>
      </w:r>
      <w:r w:rsidRPr="003B1B65">
        <w:rPr>
          <w:rFonts w:cstheme="minorHAnsi"/>
        </w:rPr>
        <w:t>prośbę W.N., która obawiała się, że takie postępowanie może zaszkodzić jej karierze, skarżący wycofał wniosek. W trakcie trwania związku skarżący i</w:t>
      </w:r>
      <w:r w:rsidR="00DF6585">
        <w:rPr>
          <w:rFonts w:cstheme="minorHAnsi"/>
        </w:rPr>
        <w:t> </w:t>
      </w:r>
      <w:r w:rsidRPr="003B1B65">
        <w:rPr>
          <w:rFonts w:cstheme="minorHAnsi"/>
        </w:rPr>
        <w:t>W.N. mieszkali razem w wynajmowanym mieszkaniu z dziećmi. W 2010 r. po zakończeniu związku z W.N., skarżący ponownie zwrócił się do prokuratora o</w:t>
      </w:r>
      <w:r w:rsidR="005D6F2B">
        <w:rPr>
          <w:rFonts w:cstheme="minorHAnsi"/>
        </w:rPr>
        <w:t> </w:t>
      </w:r>
      <w:r w:rsidRPr="003B1B65">
        <w:rPr>
          <w:rFonts w:cstheme="minorHAnsi"/>
        </w:rPr>
        <w:t>wszczęcie postępowania w sprawie zakwestionowania ojcostwa B.N. wobec obojga dzieci. Początkowo prokuratura odmówiła. Skarżący przedłożył wyniki badań DNA wskazujące, że jest biologicznym ojcem dzieci. W wyniku odwołania skarżącego decyzja o</w:t>
      </w:r>
      <w:r w:rsidR="00A4044E" w:rsidRPr="003B1B65">
        <w:rPr>
          <w:rFonts w:cstheme="minorHAnsi"/>
        </w:rPr>
        <w:t> </w:t>
      </w:r>
      <w:r w:rsidRPr="003B1B65">
        <w:rPr>
          <w:rFonts w:cstheme="minorHAnsi"/>
        </w:rPr>
        <w:t xml:space="preserve">odmowie wszczęcia postępowania została uchylona. </w:t>
      </w:r>
      <w:r w:rsidRPr="003B1B65">
        <w:rPr>
          <w:rFonts w:cstheme="minorHAnsi"/>
        </w:rPr>
        <w:lastRenderedPageBreak/>
        <w:t>Jednak dopiero w 2013 r. prokurator okręgowy wszczął postępowanie w celu zakwestionowania ojcostwa B.N. przed sądem okręgowym. Pozwanymi w</w:t>
      </w:r>
      <w:r w:rsidR="00A243EB">
        <w:rPr>
          <w:rFonts w:cstheme="minorHAnsi"/>
        </w:rPr>
        <w:t> </w:t>
      </w:r>
      <w:r w:rsidRPr="003B1B65">
        <w:rPr>
          <w:rFonts w:cstheme="minorHAnsi"/>
        </w:rPr>
        <w:t>sprawie byli W.N., B.N. oraz oboje dzieci. Skarżący nie był stroną postępowania. Próbując wpłynąć na przebieg postępowania, skarżący złożył wniosek o</w:t>
      </w:r>
      <w:r w:rsidR="00A243EB">
        <w:rPr>
          <w:rFonts w:cstheme="minorHAnsi"/>
        </w:rPr>
        <w:t> </w:t>
      </w:r>
      <w:r w:rsidRPr="003B1B65">
        <w:rPr>
          <w:rFonts w:cstheme="minorHAnsi"/>
        </w:rPr>
        <w:t>dopuszczenie go do udziału w postępowaniu jako osoba trzecia (interwencja uboczna) po stronie powoda (tj. prokuratora). Po dostarczeniu stronom wniosku – B.N. zgłosił wobec niego sprzeciw. Sąd uwzględnił zgłoszony sprzeciw i odmówił skarżącemu udziału w</w:t>
      </w:r>
      <w:r w:rsidR="00A4044E" w:rsidRPr="003B1B65">
        <w:rPr>
          <w:rFonts w:cstheme="minorHAnsi"/>
        </w:rPr>
        <w:t> </w:t>
      </w:r>
      <w:r w:rsidRPr="003B1B65">
        <w:rPr>
          <w:rFonts w:cstheme="minorHAnsi"/>
        </w:rPr>
        <w:t>postępowaniu jako stronie trzeciej biorąc pod uwagę krajowe orzecznictwo. Odwołanie skarżącego, w którym powołał się on na orzecznictwo Trybunału, zostało oddalone. Skarżący nie miał możliwości wniesienia dalszego odwołania. Postępowanie w sprawie obalenia domniemania ojcostwa B.N. nadal toczy się przed sądem I instancji.</w:t>
      </w:r>
      <w:r w:rsidR="00451024" w:rsidRPr="003B1B65">
        <w:rPr>
          <w:rFonts w:cstheme="minorHAnsi"/>
        </w:rPr>
        <w:t xml:space="preserve"> </w:t>
      </w:r>
      <w:r w:rsidRPr="003B1B65">
        <w:rPr>
          <w:rFonts w:cstheme="minorHAnsi"/>
        </w:rPr>
        <w:t>Po</w:t>
      </w:r>
      <w:r w:rsidR="00DF6585">
        <w:rPr>
          <w:rFonts w:cstheme="minorHAnsi"/>
        </w:rPr>
        <w:t xml:space="preserve"> </w:t>
      </w:r>
      <w:r w:rsidRPr="003B1B65">
        <w:rPr>
          <w:rFonts w:cstheme="minorHAnsi"/>
        </w:rPr>
        <w:t>zakończeniu związku, stosunki skarżącego z W.N. uległy pogorszeniu, a kontakty z dziećmi uległy ograniczeniu. Po tym jak</w:t>
      </w:r>
      <w:r w:rsidR="00A4044E" w:rsidRPr="003B1B65">
        <w:rPr>
          <w:rFonts w:cstheme="minorHAnsi"/>
        </w:rPr>
        <w:t> </w:t>
      </w:r>
      <w:r w:rsidRPr="003B1B65">
        <w:rPr>
          <w:rFonts w:cstheme="minorHAnsi"/>
        </w:rPr>
        <w:t>W.N. z dziećmi zamieszkała z</w:t>
      </w:r>
      <w:r w:rsidR="00A243EB">
        <w:rPr>
          <w:rFonts w:cstheme="minorHAnsi"/>
        </w:rPr>
        <w:t> </w:t>
      </w:r>
      <w:r w:rsidRPr="003B1B65">
        <w:rPr>
          <w:rFonts w:cstheme="minorHAnsi"/>
        </w:rPr>
        <w:t>mężem - B.N., kontakty skarżącego z dziećmi uległy dalszym ograniczeniom, a ostatecznie całkowicie się zakończyły. Skarżący twierdził, że próbował osiągnąć porozumienie z W.N. w sprawie kontaktów z dziećmi, ale bezskutecznie. W 2011 r. zwrócił się do Sądu Rejonowego o wydanie postanowienia w</w:t>
      </w:r>
      <w:r w:rsidR="00A243EB">
        <w:rPr>
          <w:rFonts w:cstheme="minorHAnsi"/>
        </w:rPr>
        <w:t> </w:t>
      </w:r>
      <w:r w:rsidRPr="003B1B65">
        <w:rPr>
          <w:rFonts w:cstheme="minorHAnsi"/>
        </w:rPr>
        <w:t>sprawie kontaktów z dziećmi. W lipcu 2012 r. skarżący złożył wniosek o wydanie tymczasowego nakazu umożliwiającego mu jednorazowy kontakt z</w:t>
      </w:r>
      <w:r w:rsidR="00A243EB">
        <w:rPr>
          <w:rFonts w:cstheme="minorHAnsi"/>
        </w:rPr>
        <w:t> </w:t>
      </w:r>
      <w:r w:rsidRPr="003B1B65">
        <w:rPr>
          <w:rFonts w:cstheme="minorHAnsi"/>
        </w:rPr>
        <w:t>dziećmi, w październiku 2012 r. sąd wydał nakaz. W 2013 r. skarżący złożył wniosek o wydanie kolejnego tymczasowego nakazu, tym razem dotyczącego regularnych kontaktów z dziećmi, które miałyby miejsce raz w miesiącu. Sąd oddalił wniosek. W październiku 2014 r. skarżący ponownie złożył wniosek o</w:t>
      </w:r>
      <w:r w:rsidR="00A243EB">
        <w:rPr>
          <w:rFonts w:cstheme="minorHAnsi"/>
        </w:rPr>
        <w:t> </w:t>
      </w:r>
      <w:r w:rsidRPr="003B1B65">
        <w:rPr>
          <w:rFonts w:cstheme="minorHAnsi"/>
        </w:rPr>
        <w:t xml:space="preserve">wydanie tymczasowego nakazu kontaktowego, umożliwiającego mu regularne, comiesięczne kontakty z dziećmi. W listopadzie 2014 r. Sąd wydał decyzję, w której wniosek częściowo został uwzględniony. W grudniu 2014 r. Sąd wydał ostateczne postanowienie o kontaktach, gdzie ustalił warunki kontaktów między skarżącym a dziećmi. W.N. i B.N. odmawiają wykonania ostatecznego postanowienia o kontaktach, a skarżący nie ma kontaktu z dziećmi. </w:t>
      </w:r>
      <w:bookmarkStart w:id="5" w:name="_Hlk211865846"/>
      <w:r w:rsidRPr="003B1B65">
        <w:rPr>
          <w:rFonts w:cstheme="minorHAnsi"/>
        </w:rPr>
        <w:t xml:space="preserve">W swojej ocenie, </w:t>
      </w:r>
      <w:bookmarkEnd w:id="5"/>
      <w:r w:rsidRPr="003B1B65">
        <w:rPr>
          <w:rFonts w:cstheme="minorHAnsi"/>
        </w:rPr>
        <w:t>Trybunał, badając całokształt okoliczności sprawy, wskazał szereg uchybień po stronie organów krajowych. W szczególności zwrócił uwagę na brak jakiegokolwiek udziału skarżącego w postępowaniu mającym na celu podważenie domniemania ojcostwa w odniesieniu do B.N. Trybunał zauważył również, brak w prawie i praktyce krajowej jakichkolwiek ram czasowych, w których prokurator powinien podjąć decyzję o wszczęciu postępowania w celu podważenia prawnego domniemania ojcostwa. Kolejnym elementem, który Trybunał wziął pod uwagę był wyjątkowo przewlekły czas trwania postępowań kwestionujących domniemanie ojcostwa oraz brak widocznych działań naprawczych ze strony organów krajowych. Trybunał zauważył, że w związku z tym droga prawna</w:t>
      </w:r>
      <w:r w:rsidRPr="003B1B65">
        <w:rPr>
          <w:rFonts w:cstheme="minorHAnsi"/>
          <w:b/>
          <w:bCs/>
        </w:rPr>
        <w:t>,</w:t>
      </w:r>
      <w:r w:rsidRPr="003B1B65">
        <w:rPr>
          <w:rFonts w:cstheme="minorHAnsi"/>
        </w:rPr>
        <w:t xml:space="preserve"> za pomocą, której skarżący mógłby ustalić swoje ojcostwo– w przypadku obalenia domniemania na korzyść B.N. – została skutecznie zamknięta. W odniesieniu do postępowania dotyczącego kontaktów z dziećmi, Trybunał wskazał, że władze krajowe nie były w stanie uregulować tego kontaktu w sposób szybki ani go w żaden sposób wyegzekwować. Po zbadaniu sposobu, w jaki wszystkie te elementy razem wzięte wpłynęły na sytuację skarżącego, Trybunał doszedł do wniosku, że nawet biorąc pod uwagę margines uznania pozostawiony państwu, </w:t>
      </w:r>
      <w:r w:rsidRPr="003B1B65">
        <w:rPr>
          <w:rFonts w:cstheme="minorHAnsi"/>
          <w:b/>
          <w:bCs/>
        </w:rPr>
        <w:t xml:space="preserve">skarżącemu nie zapewniono poszanowania życia rodzinnego, do którego jest uprawniony na mocy Konwencji. </w:t>
      </w:r>
      <w:r w:rsidRPr="003B1B65">
        <w:rPr>
          <w:rFonts w:cstheme="minorHAnsi"/>
        </w:rPr>
        <w:t>W związku z tym doszło do naruszenia art. 8 Konwencji. Trybunał zasądził na rzecz skarżącego kwotę 20 000 euro tytułem zadośćuczynienia za poniesioną krzywdę.</w:t>
      </w:r>
    </w:p>
    <w:p w14:paraId="78BC16A0" w14:textId="77777777" w:rsidR="00A86B88" w:rsidRPr="003B1B65" w:rsidRDefault="00A86B88" w:rsidP="003B1B65">
      <w:pPr>
        <w:tabs>
          <w:tab w:val="left" w:pos="540"/>
        </w:tabs>
        <w:spacing w:after="0"/>
        <w:jc w:val="both"/>
        <w:rPr>
          <w:rFonts w:cstheme="minorHAnsi"/>
        </w:rPr>
      </w:pPr>
    </w:p>
    <w:p w14:paraId="06338468" w14:textId="625D26DE" w:rsidR="00A86B88" w:rsidRPr="003B1B65" w:rsidRDefault="00A86B88" w:rsidP="003B1B65">
      <w:pPr>
        <w:spacing w:before="195" w:after="0"/>
        <w:jc w:val="both"/>
        <w:rPr>
          <w:rFonts w:cstheme="minorHAnsi"/>
        </w:rPr>
      </w:pPr>
      <w:r w:rsidRPr="003B1B65">
        <w:rPr>
          <w:rFonts w:cstheme="minorHAnsi"/>
        </w:rPr>
        <w:lastRenderedPageBreak/>
        <w:t xml:space="preserve">W sprawie </w:t>
      </w:r>
      <w:r w:rsidRPr="003B1B65">
        <w:rPr>
          <w:rFonts w:cstheme="minorHAnsi"/>
          <w:b/>
          <w:bCs/>
          <w:i/>
          <w:iCs/>
        </w:rPr>
        <w:t>A.G.-Ś. przeciwko Polsce</w:t>
      </w:r>
      <w:r w:rsidRPr="003B1B65">
        <w:rPr>
          <w:rFonts w:cstheme="minorHAnsi"/>
          <w:b/>
          <w:bCs/>
        </w:rPr>
        <w:t>, skarga nr 10685/18</w:t>
      </w:r>
      <w:r w:rsidRPr="003B1B65">
        <w:rPr>
          <w:rFonts w:cstheme="minorHAnsi"/>
        </w:rPr>
        <w:t xml:space="preserve"> skarga dotyczyła zarzutu naruszenia art. 8 i art. 13 Konwencji z uwagi na pozyskanie poufnej dokumentacji medycznej skarżącej przez prokuraturę na etapie postępowania przygotowawczego w związku ze śledztwem prowadzonym w sprawie jej męża, w której była przesłuchiwana w charakterze świadka. Akta śledztwa (dotyczącego prawie trzydziestu podejrzanych), w tym dokumentacja medyczna skarżącej, zostały udostępnione stronom postępowania oraz w innych postępowaniach sądowych. Skarżąca zarzucała naruszenie jej prawa do życia prywatnego z uwagi na fakt, że nie została poinformowana o decyzji nakazującej ujawnienie jej dokumentacji medycznej. Skarżąca zarzucała również brak możliwości wniesienia odwołania od ww. decyzji w odpowiednim czasie, ponieważ dowiedziała się o niej dopiero kilka lat później. Po pierwsze Trybunał zauważył, że NFZ przekazało prokuraturze informacje znacznie wykraczające poza zakres wniosku. W związku z tym, nawet gdyby zadeklarowany cel władz został uznany za uzasadniony, zakres ujawnionych informacji nie był proporcjonalny do tego celu, ponieważ wystarczyłoby uzyskać nazwiska lekarzy, z</w:t>
      </w:r>
      <w:r w:rsidR="0097151B">
        <w:rPr>
          <w:rFonts w:cstheme="minorHAnsi"/>
        </w:rPr>
        <w:t> </w:t>
      </w:r>
      <w:r w:rsidRPr="003B1B65">
        <w:rPr>
          <w:rFonts w:cstheme="minorHAnsi"/>
        </w:rPr>
        <w:t>których usług medycznych korzystano, oraz co najwyżej daty świadczenia tych usług. W związku z tym informacje wykraczające poza zakres wniosku powinny były zostać natychmiast usunięte z akt sprawy. Zachowując te nieistotne informacje w aktach sprawy, władze krajowe działały w sposób nieproporcjonalny do deklarowanego celu. Po drugie (ponownie zakładając, że</w:t>
      </w:r>
      <w:r w:rsidR="00451024" w:rsidRPr="003B1B65">
        <w:rPr>
          <w:rFonts w:cstheme="minorHAnsi"/>
        </w:rPr>
        <w:t> </w:t>
      </w:r>
      <w:r w:rsidRPr="003B1B65">
        <w:rPr>
          <w:rFonts w:cstheme="minorHAnsi"/>
        </w:rPr>
        <w:t>deklarowany cel był uzasadniony), Trybunał nie widział, w jaki sposób dokumentacja medyczna skarżącej mogła mieć jakiekolwiek znaczenie dla dochodzenia po zweryfikowaniu podejrzeń dotyczących powiązań między skarżącym a biegłymi lekarzami. W związku z tym przedmiotowe informacje powinny były zostać usunięte z akt sprawy lub przynajmniej dostęp do nich powinien był zostać ograniczony. W związku z tym ETPC zwrócił uwagę na fakt, że przez ponad sześć lat organy krajowe nie podjęły żadnych działań mających na celu ograniczenie zakresu ingerencji. Rząd zasadniczo potwierdził, że</w:t>
      </w:r>
      <w:r w:rsidR="00451024" w:rsidRPr="003B1B65">
        <w:rPr>
          <w:rFonts w:cstheme="minorHAnsi"/>
        </w:rPr>
        <w:t> </w:t>
      </w:r>
      <w:r w:rsidRPr="003B1B65">
        <w:rPr>
          <w:rFonts w:cstheme="minorHAnsi"/>
        </w:rPr>
        <w:t>wszystkie informacje medyczne skarżącej przekazane przez NFZ były dostępne dla stron postępowania oraz innych, nieokreślonych postępowań, aż</w:t>
      </w:r>
      <w:r w:rsidR="00451024" w:rsidRPr="003B1B65">
        <w:rPr>
          <w:rFonts w:cstheme="minorHAnsi"/>
        </w:rPr>
        <w:t> </w:t>
      </w:r>
      <w:r w:rsidRPr="003B1B65">
        <w:rPr>
          <w:rFonts w:cstheme="minorHAnsi"/>
        </w:rPr>
        <w:t>do</w:t>
      </w:r>
      <w:r w:rsidR="00451024" w:rsidRPr="003B1B65">
        <w:rPr>
          <w:rFonts w:cstheme="minorHAnsi"/>
        </w:rPr>
        <w:t> </w:t>
      </w:r>
      <w:r w:rsidRPr="003B1B65">
        <w:rPr>
          <w:rFonts w:cstheme="minorHAnsi"/>
        </w:rPr>
        <w:t>momentu umieszczenia ich w zapieczętowanej kopercie w 2015</w:t>
      </w:r>
      <w:r w:rsidR="0097151B">
        <w:rPr>
          <w:rFonts w:cstheme="minorHAnsi"/>
        </w:rPr>
        <w:t> </w:t>
      </w:r>
      <w:r w:rsidRPr="003B1B65">
        <w:rPr>
          <w:rFonts w:cstheme="minorHAnsi"/>
        </w:rPr>
        <w:t>r. Stwierdzenie to dodatkowo potwierdza nieproporcjonalny charakter ingerencji. W związku z tym, nawet zakładając, że istniał uzasadniony interes w</w:t>
      </w:r>
      <w:r w:rsidR="0097151B">
        <w:rPr>
          <w:rFonts w:cstheme="minorHAnsi"/>
        </w:rPr>
        <w:t> </w:t>
      </w:r>
      <w:r w:rsidRPr="003B1B65">
        <w:rPr>
          <w:rFonts w:cstheme="minorHAnsi"/>
        </w:rPr>
        <w:t>nakazaniu NFZ przekazania informacji medycznych skarżącej, Trybunał stwierdził, że:</w:t>
      </w:r>
    </w:p>
    <w:p w14:paraId="016B2E33" w14:textId="77777777" w:rsidR="00A86B88" w:rsidRPr="003B1B65" w:rsidRDefault="00A86B88" w:rsidP="003B1B65">
      <w:pPr>
        <w:pStyle w:val="Akapitzlist"/>
        <w:numPr>
          <w:ilvl w:val="0"/>
          <w:numId w:val="13"/>
        </w:numPr>
        <w:spacing w:before="195" w:after="0"/>
        <w:jc w:val="both"/>
        <w:rPr>
          <w:rFonts w:cstheme="minorHAnsi"/>
        </w:rPr>
      </w:pPr>
      <w:r w:rsidRPr="003B1B65">
        <w:rPr>
          <w:rFonts w:cstheme="minorHAnsi"/>
        </w:rPr>
        <w:t xml:space="preserve">zakres ujawnionych informacji, </w:t>
      </w:r>
    </w:p>
    <w:p w14:paraId="07D818A6" w14:textId="1A765FDA" w:rsidR="00A86B88" w:rsidRPr="003B1B65" w:rsidRDefault="00A86B88" w:rsidP="003B1B65">
      <w:pPr>
        <w:pStyle w:val="Akapitzlist"/>
        <w:numPr>
          <w:ilvl w:val="0"/>
          <w:numId w:val="13"/>
        </w:numPr>
        <w:spacing w:before="195" w:after="0"/>
        <w:jc w:val="both"/>
        <w:rPr>
          <w:rFonts w:cstheme="minorHAnsi"/>
        </w:rPr>
      </w:pPr>
      <w:r w:rsidRPr="003B1B65">
        <w:rPr>
          <w:rFonts w:cstheme="minorHAnsi"/>
        </w:rPr>
        <w:t>przedłużone przechowywanie tych informacji ponad to, co było konieczne do zweryfikowania podejrzewanych powiązań między skarżącą a</w:t>
      </w:r>
      <w:r w:rsidR="00451024" w:rsidRPr="003B1B65">
        <w:rPr>
          <w:rFonts w:cstheme="minorHAnsi"/>
        </w:rPr>
        <w:t> </w:t>
      </w:r>
      <w:r w:rsidRPr="003B1B65">
        <w:rPr>
          <w:rFonts w:cstheme="minorHAnsi"/>
        </w:rPr>
        <w:t xml:space="preserve">ekspertami medycznymi oraz </w:t>
      </w:r>
    </w:p>
    <w:p w14:paraId="08363BAD" w14:textId="77777777" w:rsidR="00A86B88" w:rsidRPr="003B1B65" w:rsidRDefault="00A86B88" w:rsidP="003B1B65">
      <w:pPr>
        <w:pStyle w:val="Akapitzlist"/>
        <w:numPr>
          <w:ilvl w:val="0"/>
          <w:numId w:val="13"/>
        </w:numPr>
        <w:spacing w:before="195" w:after="0"/>
        <w:jc w:val="both"/>
        <w:rPr>
          <w:rFonts w:cstheme="minorHAnsi"/>
        </w:rPr>
      </w:pPr>
      <w:r w:rsidRPr="003B1B65">
        <w:rPr>
          <w:rFonts w:cstheme="minorHAnsi"/>
        </w:rPr>
        <w:t xml:space="preserve">późniejsze ujawnienie tych informacji innym osobom, które miały dostęp do akt sprawy, </w:t>
      </w:r>
    </w:p>
    <w:p w14:paraId="239C10A3" w14:textId="77777777" w:rsidR="00A86B88" w:rsidRPr="003B1B65" w:rsidRDefault="00A86B88" w:rsidP="003B1B65">
      <w:pPr>
        <w:spacing w:before="195" w:after="0"/>
        <w:jc w:val="both"/>
        <w:rPr>
          <w:rFonts w:cstheme="minorHAnsi"/>
        </w:rPr>
      </w:pPr>
      <w:r w:rsidRPr="003B1B65">
        <w:rPr>
          <w:rFonts w:cstheme="minorHAnsi"/>
        </w:rPr>
        <w:t xml:space="preserve">były nieproporcjonalne do celu, jaki realizowała prokuratura. </w:t>
      </w:r>
    </w:p>
    <w:p w14:paraId="35370290" w14:textId="22FDE21C" w:rsidR="00A86B88" w:rsidRPr="003B1B65" w:rsidRDefault="00A86B88" w:rsidP="003B1B65">
      <w:pPr>
        <w:spacing w:before="195" w:after="0"/>
        <w:jc w:val="both"/>
        <w:rPr>
          <w:rFonts w:cstheme="minorHAnsi"/>
        </w:rPr>
      </w:pPr>
      <w:r w:rsidRPr="003B1B65">
        <w:rPr>
          <w:rFonts w:cstheme="minorHAnsi"/>
        </w:rPr>
        <w:t xml:space="preserve">W związku z powyższym Trybunał stwierdził, że ingerencja w postaci ujawnienia prokuraturze danych medycznych skarżącej była nieadekwatna względem jej prawa do poszanowania życia prywatnego i rodzinnego. W tym stanie rzeczy, Trybunał uznał, że doszło do naruszenia art. 8 Konwencji i przyznał skarżącej kwotę 7000 </w:t>
      </w:r>
      <w:r w:rsidR="00451024" w:rsidRPr="003B1B65">
        <w:rPr>
          <w:rFonts w:cstheme="minorHAnsi"/>
        </w:rPr>
        <w:t xml:space="preserve">euro </w:t>
      </w:r>
      <w:r w:rsidRPr="003B1B65">
        <w:rPr>
          <w:rFonts w:cstheme="minorHAnsi"/>
        </w:rPr>
        <w:t>z tytułu szkody niematerialnej, powiększoną o ewentualny podatek. Wyrok jest ostateczny.</w:t>
      </w:r>
    </w:p>
    <w:p w14:paraId="1A6A1922" w14:textId="77777777" w:rsidR="00A86B88" w:rsidRPr="003B1B65" w:rsidRDefault="00A86B88" w:rsidP="003B1B65">
      <w:pPr>
        <w:tabs>
          <w:tab w:val="left" w:pos="540"/>
        </w:tabs>
        <w:spacing w:after="0"/>
        <w:jc w:val="both"/>
        <w:rPr>
          <w:rFonts w:cstheme="minorHAnsi"/>
        </w:rPr>
      </w:pPr>
    </w:p>
    <w:p w14:paraId="7352DBC4" w14:textId="77777777" w:rsidR="00A86B88" w:rsidRPr="003B1B65" w:rsidRDefault="00A86B88" w:rsidP="003B1B65">
      <w:pPr>
        <w:tabs>
          <w:tab w:val="left" w:pos="540"/>
        </w:tabs>
        <w:spacing w:after="0"/>
        <w:jc w:val="both"/>
        <w:rPr>
          <w:rFonts w:cstheme="minorHAnsi"/>
        </w:rPr>
      </w:pPr>
    </w:p>
    <w:p w14:paraId="69F3FD34" w14:textId="369B8DE6" w:rsidR="00A86B88" w:rsidRPr="003B1B65" w:rsidRDefault="00A86B88" w:rsidP="003B1B65">
      <w:pPr>
        <w:tabs>
          <w:tab w:val="left" w:pos="540"/>
        </w:tabs>
        <w:spacing w:after="0"/>
        <w:jc w:val="both"/>
        <w:rPr>
          <w:rFonts w:cstheme="minorHAnsi"/>
          <w:b/>
          <w:bCs/>
        </w:rPr>
      </w:pPr>
      <w:r w:rsidRPr="003B1B65">
        <w:rPr>
          <w:rFonts w:cstheme="minorHAnsi"/>
        </w:rPr>
        <w:t xml:space="preserve">W sprawie </w:t>
      </w:r>
      <w:r w:rsidRPr="003B1B65">
        <w:rPr>
          <w:rFonts w:cstheme="minorHAnsi"/>
          <w:b/>
          <w:bCs/>
        </w:rPr>
        <w:t>A.R. przeciwko Polsce (skarga nr 6030/21)</w:t>
      </w:r>
      <w:r w:rsidRPr="003B1B65">
        <w:rPr>
          <w:rFonts w:cstheme="minorHAnsi"/>
        </w:rPr>
        <w:t xml:space="preserve"> Trybunał wydał wyrok o naruszeniu przez Polskę art. 8 Konwencji. Sprawa dotyczyła dostępu do</w:t>
      </w:r>
      <w:r w:rsidR="005D7BCB">
        <w:rPr>
          <w:rFonts w:cstheme="minorHAnsi"/>
        </w:rPr>
        <w:t> </w:t>
      </w:r>
      <w:r w:rsidRPr="003B1B65">
        <w:rPr>
          <w:rFonts w:cstheme="minorHAnsi"/>
        </w:rPr>
        <w:t xml:space="preserve">zabiegu przerywania ciąży po wyroku Trybunału Konstytucyjnego </w:t>
      </w:r>
      <w:r w:rsidR="0097151B">
        <w:rPr>
          <w:rFonts w:cstheme="minorHAnsi"/>
        </w:rPr>
        <w:t xml:space="preserve">(dalej: TK) </w:t>
      </w:r>
      <w:r w:rsidRPr="003B1B65">
        <w:rPr>
          <w:rFonts w:cstheme="minorHAnsi"/>
        </w:rPr>
        <w:t>z</w:t>
      </w:r>
      <w:r w:rsidR="00451024" w:rsidRPr="003B1B65">
        <w:rPr>
          <w:rFonts w:cstheme="minorHAnsi"/>
        </w:rPr>
        <w:t> </w:t>
      </w:r>
      <w:r w:rsidRPr="003B1B65">
        <w:rPr>
          <w:rFonts w:cstheme="minorHAnsi"/>
        </w:rPr>
        <w:t>22</w:t>
      </w:r>
      <w:r w:rsidR="00451024" w:rsidRPr="003B1B65">
        <w:rPr>
          <w:rFonts w:cstheme="minorHAnsi"/>
        </w:rPr>
        <w:t> </w:t>
      </w:r>
      <w:r w:rsidRPr="003B1B65">
        <w:rPr>
          <w:rFonts w:cstheme="minorHAnsi"/>
        </w:rPr>
        <w:t>października 2020 r. Skarżąca zarzuciła naruszenie art. 3 (zakaz tortur) oraz art. 8 (prawo do życia prywatnego i rodzinnego) Konwencji. W wyroku z</w:t>
      </w:r>
      <w:r w:rsidR="0097151B">
        <w:rPr>
          <w:rFonts w:cstheme="minorHAnsi"/>
        </w:rPr>
        <w:t> </w:t>
      </w:r>
      <w:r w:rsidRPr="003B1B65">
        <w:rPr>
          <w:rFonts w:cstheme="minorHAnsi"/>
        </w:rPr>
        <w:t>22</w:t>
      </w:r>
      <w:r w:rsidR="0097151B">
        <w:rPr>
          <w:rFonts w:cstheme="minorHAnsi"/>
        </w:rPr>
        <w:t> </w:t>
      </w:r>
      <w:r w:rsidRPr="003B1B65">
        <w:rPr>
          <w:rFonts w:cstheme="minorHAnsi"/>
        </w:rPr>
        <w:t xml:space="preserve">października 2020 r. </w:t>
      </w:r>
      <w:r w:rsidR="005D7BCB">
        <w:rPr>
          <w:rFonts w:cstheme="minorHAnsi"/>
        </w:rPr>
        <w:t>TK</w:t>
      </w:r>
      <w:r w:rsidRPr="003B1B65">
        <w:rPr>
          <w:rFonts w:cstheme="minorHAnsi"/>
        </w:rPr>
        <w:t xml:space="preserve"> orzekł, iż przepisy </w:t>
      </w:r>
      <w:r w:rsidRPr="003B1B65">
        <w:rPr>
          <w:rFonts w:cstheme="minorHAnsi"/>
          <w:i/>
          <w:iCs/>
        </w:rPr>
        <w:t>ustawy o planowaniu rodziny, ochronie płodu ludzkiego i warunkach</w:t>
      </w:r>
      <w:r w:rsidRPr="003B1B65">
        <w:rPr>
          <w:rFonts w:cstheme="minorHAnsi"/>
        </w:rPr>
        <w:t xml:space="preserve"> </w:t>
      </w:r>
      <w:r w:rsidRPr="003B1B65">
        <w:rPr>
          <w:rFonts w:cstheme="minorHAnsi"/>
          <w:i/>
          <w:iCs/>
        </w:rPr>
        <w:t xml:space="preserve">dopuszczalności przerwania ciąży </w:t>
      </w:r>
      <w:r w:rsidRPr="003B1B65">
        <w:rPr>
          <w:rFonts w:cstheme="minorHAnsi"/>
        </w:rPr>
        <w:t xml:space="preserve">z 1993 r., które dopuszczały legalne przerwanie ciąży w przypadku wad płodu, są niezgodne z Konstytucją. Wyrok ten został opublikowany dopiero 27 stycznia 2021 r. W momencie wydania wyroku przez </w:t>
      </w:r>
      <w:r w:rsidR="005D7BCB">
        <w:rPr>
          <w:rFonts w:cstheme="minorHAnsi"/>
        </w:rPr>
        <w:t>TK</w:t>
      </w:r>
      <w:r w:rsidRPr="003B1B65">
        <w:rPr>
          <w:rFonts w:cstheme="minorHAnsi"/>
        </w:rPr>
        <w:t xml:space="preserve"> skarżąca była w 15. tygodniu ciąży. Wyniki badań lekarskich potwierdziły, że płód cierpi na wadę genetyczną. Skarżąca udała się do Holandii, gdzie przerwano ciążę w prywatnej klinice. ETPC stwierdził, że ingerencja w</w:t>
      </w:r>
      <w:r w:rsidR="0097151B">
        <w:rPr>
          <w:rFonts w:cstheme="minorHAnsi"/>
        </w:rPr>
        <w:t> </w:t>
      </w:r>
      <w:r w:rsidRPr="003B1B65">
        <w:rPr>
          <w:rFonts w:cstheme="minorHAnsi"/>
        </w:rPr>
        <w:t xml:space="preserve">prawa skarżącej była wynikiem znacznej niepewności panującej między wydaniem wyroku </w:t>
      </w:r>
      <w:r w:rsidR="005D7BCB">
        <w:rPr>
          <w:rFonts w:cstheme="minorHAnsi"/>
        </w:rPr>
        <w:t>TK</w:t>
      </w:r>
      <w:r w:rsidRPr="003B1B65">
        <w:rPr>
          <w:rFonts w:cstheme="minorHAnsi"/>
        </w:rPr>
        <w:t xml:space="preserve"> w</w:t>
      </w:r>
      <w:r w:rsidR="00451024" w:rsidRPr="003B1B65">
        <w:rPr>
          <w:rFonts w:cstheme="minorHAnsi"/>
        </w:rPr>
        <w:t> </w:t>
      </w:r>
      <w:r w:rsidRPr="003B1B65">
        <w:rPr>
          <w:rFonts w:cstheme="minorHAnsi"/>
        </w:rPr>
        <w:t>2020 r. a jego publikacją w</w:t>
      </w:r>
      <w:r w:rsidR="0097151B">
        <w:rPr>
          <w:rFonts w:cstheme="minorHAnsi"/>
        </w:rPr>
        <w:t> </w:t>
      </w:r>
      <w:r w:rsidRPr="003B1B65">
        <w:rPr>
          <w:rFonts w:cstheme="minorHAnsi"/>
        </w:rPr>
        <w:t>2021</w:t>
      </w:r>
      <w:r w:rsidR="0097151B">
        <w:rPr>
          <w:rFonts w:cstheme="minorHAnsi"/>
        </w:rPr>
        <w:t> </w:t>
      </w:r>
      <w:r w:rsidRPr="003B1B65">
        <w:rPr>
          <w:rFonts w:cstheme="minorHAnsi"/>
        </w:rPr>
        <w:t xml:space="preserve">r. W tym czasie nie było jasne, czy ograniczenia dotyczące aborcji z powodu wad rozwojowych płodu weszły już w </w:t>
      </w:r>
      <w:r w:rsidR="00AC6FB4" w:rsidRPr="003B1B65">
        <w:rPr>
          <w:rFonts w:cstheme="minorHAnsi"/>
        </w:rPr>
        <w:t>życie</w:t>
      </w:r>
      <w:r w:rsidRPr="003B1B65">
        <w:rPr>
          <w:rFonts w:cstheme="minorHAnsi"/>
        </w:rPr>
        <w:t xml:space="preserve"> ani czy aborcja może być nadal legalna. Ingerencja w prawa skarżącej nie była „zgodna z prawem”, zarówno ze względu na skład orzekający </w:t>
      </w:r>
      <w:r w:rsidR="005D7BCB">
        <w:rPr>
          <w:rFonts w:cstheme="minorHAnsi"/>
        </w:rPr>
        <w:t>TK</w:t>
      </w:r>
      <w:r w:rsidRPr="003B1B65">
        <w:rPr>
          <w:rFonts w:cstheme="minorHAnsi"/>
        </w:rPr>
        <w:t xml:space="preserve">, który wydał wyrok </w:t>
      </w:r>
      <w:r w:rsidR="0097151B">
        <w:rPr>
          <w:rFonts w:cstheme="minorHAnsi"/>
        </w:rPr>
        <w:t>z</w:t>
      </w:r>
      <w:r w:rsidRPr="003B1B65">
        <w:rPr>
          <w:rFonts w:cstheme="minorHAnsi"/>
        </w:rPr>
        <w:t xml:space="preserve"> 22 października 2020 r., jak i z powodu braku przewidywalności wymaganej na mocy art. 8, z uwagi na ogólną niepewność co do obowiązujących ram prawnych spowodowaną opóźnieniem w publikacji orzeczenia </w:t>
      </w:r>
      <w:r w:rsidR="005D7BCB">
        <w:rPr>
          <w:rFonts w:cstheme="minorHAnsi"/>
        </w:rPr>
        <w:t>TK</w:t>
      </w:r>
      <w:r w:rsidRPr="003B1B65">
        <w:rPr>
          <w:rFonts w:cstheme="minorHAnsi"/>
        </w:rPr>
        <w:t xml:space="preserve">. W tym względzie ETPC zauważył po pierwsze, że wyrok </w:t>
      </w:r>
      <w:r w:rsidR="005D7BCB">
        <w:rPr>
          <w:rFonts w:cstheme="minorHAnsi"/>
        </w:rPr>
        <w:t>TK</w:t>
      </w:r>
      <w:r w:rsidRPr="003B1B65">
        <w:rPr>
          <w:rFonts w:cstheme="minorHAnsi"/>
          <w:b/>
          <w:bCs/>
        </w:rPr>
        <w:t xml:space="preserve"> </w:t>
      </w:r>
      <w:r w:rsidRPr="003B1B65">
        <w:rPr>
          <w:rFonts w:cstheme="minorHAnsi"/>
        </w:rPr>
        <w:t>z 22 października 2020 r. został wydany w</w:t>
      </w:r>
      <w:r w:rsidR="005D7BCB">
        <w:rPr>
          <w:rFonts w:cstheme="minorHAnsi"/>
        </w:rPr>
        <w:t> </w:t>
      </w:r>
      <w:r w:rsidRPr="003B1B65">
        <w:rPr>
          <w:rFonts w:cstheme="minorHAnsi"/>
        </w:rPr>
        <w:t>ramach kontroli konstytucyjności</w:t>
      </w:r>
      <w:r w:rsidRPr="003B1B65">
        <w:rPr>
          <w:rFonts w:cstheme="minorHAnsi"/>
          <w:b/>
          <w:bCs/>
        </w:rPr>
        <w:t xml:space="preserve"> </w:t>
      </w:r>
      <w:r w:rsidRPr="003B1B65">
        <w:rPr>
          <w:rFonts w:cstheme="minorHAnsi"/>
        </w:rPr>
        <w:t xml:space="preserve">ustawodawstwa krajowego. Chociaż prawdą jest, że skarżąca nie była stroną postępowania przed </w:t>
      </w:r>
      <w:r w:rsidR="005D7BCB">
        <w:rPr>
          <w:rFonts w:cstheme="minorHAnsi"/>
        </w:rPr>
        <w:t>TK</w:t>
      </w:r>
      <w:r w:rsidRPr="003B1B65">
        <w:rPr>
          <w:rFonts w:cstheme="minorHAnsi"/>
        </w:rPr>
        <w:t>, to miało ono wpływ na jej prawa,</w:t>
      </w:r>
      <w:r w:rsidRPr="003B1B65">
        <w:rPr>
          <w:rFonts w:cstheme="minorHAnsi"/>
          <w:b/>
          <w:bCs/>
        </w:rPr>
        <w:t xml:space="preserve"> </w:t>
      </w:r>
      <w:r w:rsidRPr="003B1B65">
        <w:rPr>
          <w:rFonts w:cstheme="minorHAnsi"/>
        </w:rPr>
        <w:t>w</w:t>
      </w:r>
      <w:r w:rsidR="0097151B">
        <w:rPr>
          <w:rFonts w:cstheme="minorHAnsi"/>
        </w:rPr>
        <w:t> </w:t>
      </w:r>
      <w:r w:rsidRPr="003B1B65">
        <w:rPr>
          <w:rFonts w:cstheme="minorHAnsi"/>
        </w:rPr>
        <w:t>szczególności na jej prawo do poszanowania życia prywatnego. Po drugie,</w:t>
      </w:r>
      <w:r w:rsidRPr="003B1B65">
        <w:rPr>
          <w:rFonts w:cstheme="minorHAnsi"/>
          <w:b/>
          <w:bCs/>
        </w:rPr>
        <w:t xml:space="preserve"> </w:t>
      </w:r>
      <w:r w:rsidRPr="003B1B65">
        <w:rPr>
          <w:rFonts w:cstheme="minorHAnsi"/>
        </w:rPr>
        <w:t xml:space="preserve">w odniesieniu do składu sędziowskiego TK, który wydał wyrok </w:t>
      </w:r>
      <w:proofErr w:type="gramStart"/>
      <w:r w:rsidRPr="003B1B65">
        <w:rPr>
          <w:rFonts w:cstheme="minorHAnsi"/>
        </w:rPr>
        <w:t>z  22</w:t>
      </w:r>
      <w:proofErr w:type="gramEnd"/>
      <w:r w:rsidRPr="003B1B65">
        <w:rPr>
          <w:rFonts w:cstheme="minorHAnsi"/>
        </w:rPr>
        <w:t xml:space="preserve"> października</w:t>
      </w:r>
      <w:r w:rsidRPr="003B1B65">
        <w:rPr>
          <w:rFonts w:cstheme="minorHAnsi"/>
          <w:b/>
          <w:bCs/>
        </w:rPr>
        <w:t xml:space="preserve"> </w:t>
      </w:r>
      <w:r w:rsidRPr="003B1B65">
        <w:rPr>
          <w:rFonts w:cstheme="minorHAnsi"/>
        </w:rPr>
        <w:t xml:space="preserve">2020 r., Trybunał stwierdził wcześniej w sprawie </w:t>
      </w:r>
      <w:r w:rsidRPr="003B1B65">
        <w:rPr>
          <w:rFonts w:cstheme="minorHAnsi"/>
          <w:i/>
          <w:iCs/>
        </w:rPr>
        <w:t>M.L. przeciwko Polsce</w:t>
      </w:r>
      <w:r w:rsidRPr="003B1B65">
        <w:rPr>
          <w:rFonts w:cstheme="minorHAnsi"/>
        </w:rPr>
        <w:t>, że ingerencja</w:t>
      </w:r>
      <w:r w:rsidRPr="003B1B65">
        <w:rPr>
          <w:rFonts w:cstheme="minorHAnsi"/>
          <w:b/>
          <w:bCs/>
        </w:rPr>
        <w:t xml:space="preserve"> </w:t>
      </w:r>
      <w:r w:rsidRPr="003B1B65">
        <w:rPr>
          <w:rFonts w:cstheme="minorHAnsi"/>
        </w:rPr>
        <w:t>w prawa skarżącej w tej sprawie była „niezgodna z</w:t>
      </w:r>
      <w:r w:rsidR="00451024" w:rsidRPr="003B1B65">
        <w:rPr>
          <w:rFonts w:cstheme="minorHAnsi"/>
        </w:rPr>
        <w:t> </w:t>
      </w:r>
      <w:r w:rsidRPr="003B1B65">
        <w:rPr>
          <w:rFonts w:cstheme="minorHAnsi"/>
        </w:rPr>
        <w:t>prawem” w rozumieniu art. 8</w:t>
      </w:r>
      <w:r w:rsidRPr="003B1B65">
        <w:rPr>
          <w:rFonts w:cstheme="minorHAnsi"/>
          <w:b/>
          <w:bCs/>
        </w:rPr>
        <w:t xml:space="preserve"> </w:t>
      </w:r>
      <w:r w:rsidRPr="003B1B65">
        <w:rPr>
          <w:rFonts w:cstheme="minorHAnsi"/>
        </w:rPr>
        <w:t>Konwencji, ponieważ nie została ona podjęta przez „sąd ustanowiony na mocy ustawy”. Zdaniem Trybunału, ustalenia dotyczące zgodności organu wydającego orzeczenie z normami praworządności mają również znaczenie w niniejszej sprawie. ETPC zauważył, że</w:t>
      </w:r>
      <w:r w:rsidR="005D7BCB">
        <w:rPr>
          <w:rFonts w:cstheme="minorHAnsi"/>
        </w:rPr>
        <w:t> </w:t>
      </w:r>
      <w:r w:rsidRPr="003B1B65">
        <w:rPr>
          <w:rFonts w:cstheme="minorHAnsi"/>
        </w:rPr>
        <w:t>orzeczenia TK muszą być publikowane bezzwłocznie. Ponieważ ustawa z 1993 r. pozostawała niezmieniona, a wyrok TK mógł zostać opublikowany</w:t>
      </w:r>
      <w:r w:rsidRPr="003B1B65">
        <w:rPr>
          <w:rFonts w:cstheme="minorHAnsi"/>
          <w:b/>
          <w:bCs/>
        </w:rPr>
        <w:t xml:space="preserve"> </w:t>
      </w:r>
      <w:r w:rsidRPr="003B1B65">
        <w:rPr>
          <w:rFonts w:cstheme="minorHAnsi"/>
        </w:rPr>
        <w:t>w</w:t>
      </w:r>
      <w:r w:rsidR="005D7BCB">
        <w:rPr>
          <w:rFonts w:cstheme="minorHAnsi"/>
        </w:rPr>
        <w:t> </w:t>
      </w:r>
      <w:r w:rsidRPr="003B1B65">
        <w:rPr>
          <w:rFonts w:cstheme="minorHAnsi"/>
        </w:rPr>
        <w:t>dowolnym momencie, panowało duże poczucie niepewności, które pogłębiał brak</w:t>
      </w:r>
      <w:r w:rsidRPr="003B1B65">
        <w:rPr>
          <w:rFonts w:cstheme="minorHAnsi"/>
          <w:b/>
          <w:bCs/>
        </w:rPr>
        <w:t xml:space="preserve"> </w:t>
      </w:r>
      <w:r w:rsidRPr="003B1B65">
        <w:rPr>
          <w:rFonts w:cstheme="minorHAnsi"/>
        </w:rPr>
        <w:t>jakichkolwiek środków przejściowych. Sytuację dodatkowo pogorszała trwająca</w:t>
      </w:r>
      <w:r w:rsidRPr="003B1B65">
        <w:rPr>
          <w:rFonts w:cstheme="minorHAnsi"/>
          <w:b/>
          <w:bCs/>
        </w:rPr>
        <w:t xml:space="preserve"> </w:t>
      </w:r>
      <w:r w:rsidRPr="003B1B65">
        <w:rPr>
          <w:rFonts w:cstheme="minorHAnsi"/>
        </w:rPr>
        <w:t>pandemia Covid-19, podczas której istniały uzasadnione obawy, że wkrótce może</w:t>
      </w:r>
      <w:r w:rsidRPr="003B1B65">
        <w:rPr>
          <w:rFonts w:cstheme="minorHAnsi"/>
          <w:b/>
          <w:bCs/>
        </w:rPr>
        <w:t xml:space="preserve"> </w:t>
      </w:r>
      <w:r w:rsidRPr="003B1B65">
        <w:rPr>
          <w:rFonts w:cstheme="minorHAnsi"/>
        </w:rPr>
        <w:t>dojść do zamknięcia granic, co uniemożliwiłoby skarżącej wyjazd za granicę w celu</w:t>
      </w:r>
      <w:r w:rsidRPr="003B1B65">
        <w:rPr>
          <w:rFonts w:cstheme="minorHAnsi"/>
          <w:b/>
          <w:bCs/>
        </w:rPr>
        <w:t xml:space="preserve"> </w:t>
      </w:r>
      <w:r w:rsidRPr="003B1B65">
        <w:rPr>
          <w:rFonts w:cstheme="minorHAnsi"/>
        </w:rPr>
        <w:t>skorzystania z usług przerywania ciąży. Trybunał przyjął argument skarżącej, że</w:t>
      </w:r>
      <w:r w:rsidRPr="003B1B65">
        <w:rPr>
          <w:rFonts w:cstheme="minorHAnsi"/>
          <w:b/>
          <w:bCs/>
        </w:rPr>
        <w:t xml:space="preserve"> </w:t>
      </w:r>
      <w:r w:rsidRPr="003B1B65">
        <w:rPr>
          <w:rFonts w:cstheme="minorHAnsi"/>
        </w:rPr>
        <w:t>niepewność spowodowana opóźnioną publikacją, a tym samym wejściem w życie</w:t>
      </w:r>
      <w:r w:rsidRPr="003B1B65">
        <w:rPr>
          <w:rFonts w:cstheme="minorHAnsi"/>
          <w:b/>
          <w:bCs/>
        </w:rPr>
        <w:t xml:space="preserve"> </w:t>
      </w:r>
      <w:r w:rsidRPr="003B1B65">
        <w:rPr>
          <w:rFonts w:cstheme="minorHAnsi"/>
        </w:rPr>
        <w:t xml:space="preserve">wyroku </w:t>
      </w:r>
      <w:r w:rsidR="005D7BCB">
        <w:rPr>
          <w:rFonts w:cstheme="minorHAnsi"/>
        </w:rPr>
        <w:t>TK</w:t>
      </w:r>
      <w:r w:rsidRPr="003B1B65">
        <w:rPr>
          <w:rFonts w:cstheme="minorHAnsi"/>
        </w:rPr>
        <w:t>, podważyła pewność prawną w tamtym czasie.</w:t>
      </w:r>
      <w:r w:rsidRPr="003B1B65">
        <w:rPr>
          <w:rFonts w:cstheme="minorHAnsi"/>
          <w:b/>
          <w:bCs/>
        </w:rPr>
        <w:t xml:space="preserve"> </w:t>
      </w:r>
      <w:r w:rsidRPr="003B1B65">
        <w:rPr>
          <w:rFonts w:cstheme="minorHAnsi"/>
        </w:rPr>
        <w:t>W ocenie ETPC, przedłużająca się niejasna sytuacja miała bezpośredni i</w:t>
      </w:r>
      <w:r w:rsidR="005D7BCB">
        <w:rPr>
          <w:rFonts w:cstheme="minorHAnsi"/>
        </w:rPr>
        <w:t> </w:t>
      </w:r>
      <w:r w:rsidRPr="003B1B65">
        <w:rPr>
          <w:rFonts w:cstheme="minorHAnsi"/>
        </w:rPr>
        <w:t>niekorzystny</w:t>
      </w:r>
      <w:r w:rsidRPr="003B1B65">
        <w:rPr>
          <w:rFonts w:cstheme="minorHAnsi"/>
          <w:b/>
          <w:bCs/>
        </w:rPr>
        <w:t xml:space="preserve"> </w:t>
      </w:r>
      <w:r w:rsidRPr="003B1B65">
        <w:rPr>
          <w:rFonts w:cstheme="minorHAnsi"/>
        </w:rPr>
        <w:t>wpływ na życie prywatne skarżącej, ponieważ pozostawała ona w stanie niepewności</w:t>
      </w:r>
      <w:r w:rsidRPr="003B1B65">
        <w:rPr>
          <w:rFonts w:cstheme="minorHAnsi"/>
          <w:b/>
          <w:bCs/>
        </w:rPr>
        <w:t xml:space="preserve"> </w:t>
      </w:r>
      <w:r w:rsidRPr="003B1B65">
        <w:rPr>
          <w:rFonts w:cstheme="minorHAnsi"/>
        </w:rPr>
        <w:t>co do swojego prawa do legalnej aborcji z powodu nieprawidłowości płodu.</w:t>
      </w:r>
      <w:r w:rsidRPr="003B1B65">
        <w:rPr>
          <w:rFonts w:cstheme="minorHAnsi"/>
          <w:b/>
          <w:bCs/>
        </w:rPr>
        <w:t xml:space="preserve"> </w:t>
      </w:r>
      <w:r w:rsidRPr="003B1B65">
        <w:rPr>
          <w:rFonts w:cstheme="minorHAnsi"/>
        </w:rPr>
        <w:t>Konkludując, Trybunał stwierdził, że ingerencja w prawa skarżącej nie może być</w:t>
      </w:r>
      <w:r w:rsidRPr="003B1B65">
        <w:rPr>
          <w:rFonts w:cstheme="minorHAnsi"/>
          <w:b/>
          <w:bCs/>
        </w:rPr>
        <w:t xml:space="preserve"> </w:t>
      </w:r>
      <w:r w:rsidRPr="003B1B65">
        <w:rPr>
          <w:rFonts w:cstheme="minorHAnsi"/>
        </w:rPr>
        <w:t>uznana za zgodną z prawem. W</w:t>
      </w:r>
      <w:r w:rsidR="003B1B65" w:rsidRPr="003B1B65">
        <w:rPr>
          <w:rFonts w:cstheme="minorHAnsi"/>
        </w:rPr>
        <w:t> </w:t>
      </w:r>
      <w:r w:rsidRPr="003B1B65">
        <w:rPr>
          <w:rFonts w:cstheme="minorHAnsi"/>
        </w:rPr>
        <w:t>związku z tym doszło do naruszenia art. 8 Konwencji.</w:t>
      </w:r>
    </w:p>
    <w:p w14:paraId="732AC8D5" w14:textId="77777777" w:rsidR="00451024" w:rsidRPr="003B1B65" w:rsidRDefault="00451024" w:rsidP="003B1B65">
      <w:pPr>
        <w:tabs>
          <w:tab w:val="left" w:pos="426"/>
        </w:tabs>
        <w:spacing w:after="0"/>
        <w:jc w:val="both"/>
        <w:rPr>
          <w:rFonts w:cstheme="minorHAnsi"/>
        </w:rPr>
      </w:pPr>
    </w:p>
    <w:p w14:paraId="75D2617A" w14:textId="65297C2F" w:rsidR="00A86B88" w:rsidRPr="003B1B65" w:rsidRDefault="00A86B88" w:rsidP="003B1B65">
      <w:pPr>
        <w:tabs>
          <w:tab w:val="left" w:pos="426"/>
        </w:tabs>
        <w:spacing w:after="0"/>
        <w:jc w:val="both"/>
        <w:rPr>
          <w:rFonts w:cstheme="minorHAnsi"/>
        </w:rPr>
      </w:pPr>
      <w:r w:rsidRPr="003B1B65">
        <w:rPr>
          <w:rFonts w:cstheme="minorHAnsi"/>
        </w:rPr>
        <w:t xml:space="preserve">W sprawie </w:t>
      </w:r>
      <w:r w:rsidRPr="003B1B65">
        <w:rPr>
          <w:rFonts w:cstheme="minorHAnsi"/>
          <w:b/>
          <w:bCs/>
          <w:i/>
          <w:iCs/>
        </w:rPr>
        <w:t>K.G. i S.G. przeciwko Polsce</w:t>
      </w:r>
      <w:r w:rsidRPr="003B1B65">
        <w:rPr>
          <w:rFonts w:cstheme="minorHAnsi"/>
        </w:rPr>
        <w:t xml:space="preserve"> skarga dotyczyła zarzutu naruszenia art. 5 ust. 1 lit. f) i art. 8 Konwencji, w związku z pozbawieniem wolności oraz naruszeniem prawa do poszanowania życia prywatnego. Skarżący K.G. i S.G. (odpowiednio matka ur. w 1984 </w:t>
      </w:r>
      <w:r w:rsidR="00D861B5">
        <w:rPr>
          <w:rFonts w:cstheme="minorHAnsi"/>
        </w:rPr>
        <w:t xml:space="preserve">r. </w:t>
      </w:r>
      <w:r w:rsidRPr="003B1B65">
        <w:rPr>
          <w:rFonts w:cstheme="minorHAnsi"/>
        </w:rPr>
        <w:t>i syn ur. w 2017</w:t>
      </w:r>
      <w:r w:rsidR="00D861B5">
        <w:rPr>
          <w:rFonts w:cstheme="minorHAnsi"/>
        </w:rPr>
        <w:t xml:space="preserve"> r.</w:t>
      </w:r>
      <w:r w:rsidRPr="003B1B65">
        <w:rPr>
          <w:rFonts w:cstheme="minorHAnsi"/>
        </w:rPr>
        <w:t>) obywatele rosyjscy, pochodzących z Czeczenii zarzucili, że ich zatrzymanie w</w:t>
      </w:r>
      <w:r w:rsidR="00A3100D">
        <w:rPr>
          <w:rFonts w:cstheme="minorHAnsi"/>
        </w:rPr>
        <w:t xml:space="preserve"> </w:t>
      </w:r>
      <w:r w:rsidRPr="003B1B65">
        <w:rPr>
          <w:rFonts w:cstheme="minorHAnsi"/>
        </w:rPr>
        <w:t xml:space="preserve">strzeżonym ośrodku dla cudzoziemców było niezgodnie z prawem i stanowiło środek </w:t>
      </w:r>
      <w:r w:rsidRPr="003B1B65">
        <w:rPr>
          <w:rFonts w:cstheme="minorHAnsi"/>
        </w:rPr>
        <w:lastRenderedPageBreak/>
        <w:t>nieproporcjonalny w stosunku do ich prawa do poszanowania życia prywatnego i rodzinnego.</w:t>
      </w:r>
      <w:r w:rsidR="00451024" w:rsidRPr="003B1B65">
        <w:rPr>
          <w:rFonts w:cstheme="minorHAnsi"/>
        </w:rPr>
        <w:t xml:space="preserve"> </w:t>
      </w:r>
      <w:r w:rsidRPr="003B1B65">
        <w:rPr>
          <w:rFonts w:cstheme="minorHAnsi"/>
        </w:rPr>
        <w:t>Skarżąca wraz z dzieckiem przebywali w strzeżonym ośrodku dla cudzoziemców w Białej Podlaskiej od 5 marca do 5 grudnia 2019</w:t>
      </w:r>
      <w:r w:rsidR="00451024" w:rsidRPr="003B1B65">
        <w:rPr>
          <w:rFonts w:cstheme="minorHAnsi"/>
        </w:rPr>
        <w:t> </w:t>
      </w:r>
      <w:r w:rsidRPr="003B1B65">
        <w:rPr>
          <w:rFonts w:cstheme="minorHAnsi"/>
        </w:rPr>
        <w:t>r., tj. przez dziewięć miesięcy. Z orzeczeń sądów krajowych wynika, że przedłużanie pobytu skarżących w strzeżonym ośrodku było konieczne dla zapewnienia wykonania decyzji z 5 marca 2019 r. o zobowiązaniu skarżących do powrotu do</w:t>
      </w:r>
      <w:r w:rsidR="00DF6585">
        <w:rPr>
          <w:rFonts w:cstheme="minorHAnsi"/>
        </w:rPr>
        <w:t> </w:t>
      </w:r>
      <w:r w:rsidRPr="003B1B65">
        <w:rPr>
          <w:rFonts w:cstheme="minorHAnsi"/>
        </w:rPr>
        <w:t>Rosji, w szczególności w związku z faktem dwukrotnego niezastosowania się skarżącej do</w:t>
      </w:r>
      <w:r w:rsidR="003B1B65" w:rsidRPr="003B1B65">
        <w:rPr>
          <w:rFonts w:cstheme="minorHAnsi"/>
        </w:rPr>
        <w:t> </w:t>
      </w:r>
      <w:r w:rsidRPr="003B1B65">
        <w:rPr>
          <w:rFonts w:cstheme="minorHAnsi"/>
        </w:rPr>
        <w:t>trwającej procedury uchodźczej i dwukrotnego nielegalnego przekroczenia granicy RP z Niemcami.</w:t>
      </w:r>
      <w:r w:rsidR="00451024" w:rsidRPr="003B1B65">
        <w:rPr>
          <w:rFonts w:cstheme="minorHAnsi"/>
        </w:rPr>
        <w:t xml:space="preserve"> </w:t>
      </w:r>
      <w:r w:rsidRPr="003B1B65">
        <w:rPr>
          <w:rFonts w:cstheme="minorHAnsi"/>
        </w:rPr>
        <w:t xml:space="preserve">5 marca 2019 r. Komendant Straży Granicznej w Świecku wydał decyzję o zobowiązaniu skarżącej do powrotu i zakazie ponownego wjazdu na terytorium RP i innych państw obszaru </w:t>
      </w:r>
      <w:proofErr w:type="spellStart"/>
      <w:r w:rsidRPr="003B1B65">
        <w:rPr>
          <w:rFonts w:cstheme="minorHAnsi"/>
        </w:rPr>
        <w:t>Schengen</w:t>
      </w:r>
      <w:proofErr w:type="spellEnd"/>
      <w:r w:rsidRPr="003B1B65">
        <w:rPr>
          <w:rFonts w:cstheme="minorHAnsi"/>
        </w:rPr>
        <w:t xml:space="preserve"> na okres 1 roku. W tym samym dniu Sąd Rejonowy w Słubicach nakazał umieszczenie skarżących w</w:t>
      </w:r>
      <w:r w:rsidR="00B62872" w:rsidRPr="003B1B65">
        <w:rPr>
          <w:rFonts w:cstheme="minorHAnsi"/>
        </w:rPr>
        <w:t> </w:t>
      </w:r>
      <w:r w:rsidRPr="003B1B65">
        <w:rPr>
          <w:rFonts w:cstheme="minorHAnsi"/>
        </w:rPr>
        <w:t>strzeżonym ośrodku dla uchodźców. Decyzją z dnia 18 czerwca</w:t>
      </w:r>
      <w:r w:rsidR="00B62872" w:rsidRPr="003B1B65">
        <w:rPr>
          <w:rFonts w:cstheme="minorHAnsi"/>
        </w:rPr>
        <w:t xml:space="preserve"> </w:t>
      </w:r>
      <w:r w:rsidRPr="003B1B65">
        <w:rPr>
          <w:rFonts w:cstheme="minorHAnsi"/>
        </w:rPr>
        <w:t>2019 r. Szef Urzędu do Spraw Cudzoziemców utrzymał w mocy zaskarżoną decyzję Komendanta Straży Granicznej. Skarżąca 28 czerwca 2019 r. złożyła skargę od ww. decyzji do Wojewódzkiego Sądu Administracyjnego. 12 sierpnia 2019 r. Wojewódzki Sąd Administracyjny odmówił wstrzymanie wykonania zaskarżonej przez skarżącą decyzji zobowiązującej ją do powrotu. Skarżąca, w celu uniemożliwienia wykonania decyzji o zobowiązaniu do powrotu, złożyła 28 sierpnia 2019 r. do Szefa Urzędu do Spraw Cudzoziemców drugi wniosek o udzielenie ochrony międzynarodowej na terenie RP. Pierwszy wniosek został odrzucony decyzją z 31 grudnia 2018 r. Ostatecznie wniosek o</w:t>
      </w:r>
      <w:r w:rsidR="007A5E48">
        <w:rPr>
          <w:rFonts w:cstheme="minorHAnsi"/>
        </w:rPr>
        <w:t> </w:t>
      </w:r>
      <w:r w:rsidRPr="003B1B65">
        <w:rPr>
          <w:rFonts w:cstheme="minorHAnsi"/>
        </w:rPr>
        <w:t>udzielenie ochrony międzynarodowej został uznany za</w:t>
      </w:r>
      <w:r w:rsidR="003B1B65" w:rsidRPr="003B1B65">
        <w:rPr>
          <w:rFonts w:cstheme="minorHAnsi"/>
        </w:rPr>
        <w:t> </w:t>
      </w:r>
      <w:r w:rsidRPr="003B1B65">
        <w:rPr>
          <w:rFonts w:cstheme="minorHAnsi"/>
        </w:rPr>
        <w:t xml:space="preserve">niedopuszczalny i 21 listopada 2019 r. doręczono skarżącej ostateczną decyzję zobowiązującą skarżącą i jej dziecko do powrotu. 5 grudnia 2019 r. ww. decyzja została wykonana – skarżąca wraz z dzieckiem zostali deportowani do Rosji. </w:t>
      </w:r>
    </w:p>
    <w:p w14:paraId="22F26FF2" w14:textId="77777777" w:rsidR="00A86B88" w:rsidRPr="003B1B65" w:rsidRDefault="00A86B88" w:rsidP="003B1B65">
      <w:pPr>
        <w:tabs>
          <w:tab w:val="left" w:pos="426"/>
        </w:tabs>
        <w:spacing w:after="0"/>
        <w:jc w:val="both"/>
        <w:rPr>
          <w:rFonts w:cstheme="minorHAnsi"/>
        </w:rPr>
      </w:pPr>
      <w:r w:rsidRPr="003B1B65">
        <w:rPr>
          <w:rFonts w:cstheme="minorHAnsi"/>
        </w:rPr>
        <w:t>Ocena Trybunału dot. naruszenia art. 5 ust. 1 lit. f) Konwencji:</w:t>
      </w:r>
    </w:p>
    <w:p w14:paraId="49BD5CAC" w14:textId="09FD5985" w:rsidR="00A86B88" w:rsidRPr="003B1B65" w:rsidRDefault="00A86B88" w:rsidP="003B1B65">
      <w:pPr>
        <w:pStyle w:val="Akapitzlist"/>
        <w:numPr>
          <w:ilvl w:val="0"/>
          <w:numId w:val="15"/>
        </w:numPr>
        <w:tabs>
          <w:tab w:val="left" w:pos="426"/>
        </w:tabs>
        <w:spacing w:after="0"/>
        <w:jc w:val="both"/>
        <w:rPr>
          <w:rFonts w:cstheme="minorHAnsi"/>
        </w:rPr>
      </w:pPr>
      <w:r w:rsidRPr="003B1B65">
        <w:rPr>
          <w:rFonts w:cstheme="minorHAnsi"/>
        </w:rPr>
        <w:t>Zdaniem ETPC ośrodek strzeżony w Białej Podlaskiej bez wątpienia stanowił miejsce pozbawienia wolności podobne pod wieloma względami do więzień lub aresztów śledczych. W związku z tym władze miały obowiązek sprawdzić, czy nie ma alternatywnego rozwiązania dla umieszczenia skarżących – samotnej matki z dzieckiem w</w:t>
      </w:r>
      <w:r w:rsidR="00B62872" w:rsidRPr="003B1B65">
        <w:rPr>
          <w:rFonts w:cstheme="minorHAnsi"/>
        </w:rPr>
        <w:t xml:space="preserve"> </w:t>
      </w:r>
      <w:r w:rsidRPr="003B1B65">
        <w:rPr>
          <w:rFonts w:cstheme="minorHAnsi"/>
        </w:rPr>
        <w:t>wieku 19 miesięcy w momencie pierwszego zatrzymania – w takim ośrodku. W tym kontekście Trybunał ponownie podkreślił, że co do zasady należy unikać umieszczania małych dzieci w takich placówkach i że jedynie krótkotrwałe umieszczenie w</w:t>
      </w:r>
      <w:r w:rsidR="00B62872" w:rsidRPr="003B1B65">
        <w:rPr>
          <w:rFonts w:cstheme="minorHAnsi"/>
        </w:rPr>
        <w:t xml:space="preserve"> </w:t>
      </w:r>
      <w:r w:rsidRPr="003B1B65">
        <w:rPr>
          <w:rFonts w:cstheme="minorHAnsi"/>
        </w:rPr>
        <w:t>odpowiednich warunkach może być zgodne z Konwencją, pod warunkiem jednak, że władze ustalą, iż środek ten został podjęty w ostateczności, po upewnieniu się, że</w:t>
      </w:r>
      <w:r w:rsidR="003B1B65" w:rsidRPr="003B1B65">
        <w:rPr>
          <w:rFonts w:cstheme="minorHAnsi"/>
        </w:rPr>
        <w:t> </w:t>
      </w:r>
      <w:r w:rsidRPr="003B1B65">
        <w:rPr>
          <w:rFonts w:cstheme="minorHAnsi"/>
        </w:rPr>
        <w:t>nie można zastosować żadnego innego środka wiążącego się z mniejszym ograniczeniem wolności. Całkowity czas trwania pobytu skarżących w</w:t>
      </w:r>
      <w:r w:rsidR="003B1B65" w:rsidRPr="003B1B65">
        <w:rPr>
          <w:rFonts w:cstheme="minorHAnsi"/>
        </w:rPr>
        <w:t> </w:t>
      </w:r>
      <w:r w:rsidRPr="003B1B65">
        <w:rPr>
          <w:rFonts w:cstheme="minorHAnsi"/>
        </w:rPr>
        <w:t>ośrodku strzeżonym, wynoszący dziewięć miesięcy, znacznie przekracza okresy, które Trybunał uznał już za sprzeczne z</w:t>
      </w:r>
      <w:r w:rsidR="00B62872" w:rsidRPr="003B1B65">
        <w:rPr>
          <w:rFonts w:cstheme="minorHAnsi"/>
        </w:rPr>
        <w:t xml:space="preserve"> </w:t>
      </w:r>
      <w:r w:rsidRPr="003B1B65">
        <w:rPr>
          <w:rFonts w:cstheme="minorHAnsi"/>
        </w:rPr>
        <w:t>Konwencją w odniesieniu do</w:t>
      </w:r>
      <w:r w:rsidR="007A5E48">
        <w:rPr>
          <w:rFonts w:cstheme="minorHAnsi"/>
        </w:rPr>
        <w:t> </w:t>
      </w:r>
      <w:r w:rsidRPr="003B1B65">
        <w:rPr>
          <w:rFonts w:cstheme="minorHAnsi"/>
        </w:rPr>
        <w:t>małych dzieci.</w:t>
      </w:r>
    </w:p>
    <w:p w14:paraId="00991073" w14:textId="1A8CCA82" w:rsidR="00A86B88" w:rsidRPr="003B1B65" w:rsidRDefault="00A86B88" w:rsidP="003B1B65">
      <w:pPr>
        <w:pStyle w:val="Akapitzlist"/>
        <w:numPr>
          <w:ilvl w:val="0"/>
          <w:numId w:val="15"/>
        </w:numPr>
        <w:tabs>
          <w:tab w:val="left" w:pos="426"/>
        </w:tabs>
        <w:spacing w:after="0"/>
        <w:jc w:val="both"/>
        <w:rPr>
          <w:rFonts w:cstheme="minorHAnsi"/>
        </w:rPr>
      </w:pPr>
      <w:r w:rsidRPr="003B1B65">
        <w:rPr>
          <w:rFonts w:cstheme="minorHAnsi"/>
        </w:rPr>
        <w:t>Ponadto Trybunał zauważył, że w ramach odpowiednich postępowań krajowych skarżący uzasadnili swoją trudną sytuację i ryzyko związane z</w:t>
      </w:r>
      <w:r w:rsidR="00B62872" w:rsidRPr="003B1B65">
        <w:rPr>
          <w:rFonts w:cstheme="minorHAnsi"/>
        </w:rPr>
        <w:t> </w:t>
      </w:r>
      <w:r w:rsidRPr="003B1B65">
        <w:rPr>
          <w:rFonts w:cstheme="minorHAnsi"/>
        </w:rPr>
        <w:t>przedłużającym się zatrzymaniem. Niemniej jednak argumenty te zostały odrzucone przez organy krajowe na podstawie przeciwnych opinii psychologów zatrudnionych przez te organy. Trybunał nie był zatem przekonany, że przy ocenie, czy istnieją realne alternatywy dla zatrzymania w</w:t>
      </w:r>
      <w:r w:rsidR="003B1B65" w:rsidRPr="003B1B65">
        <w:rPr>
          <w:rFonts w:cstheme="minorHAnsi"/>
        </w:rPr>
        <w:t> </w:t>
      </w:r>
      <w:r w:rsidRPr="003B1B65">
        <w:rPr>
          <w:rFonts w:cstheme="minorHAnsi"/>
        </w:rPr>
        <w:t>ośrodku strzeżonym, należycie uwzględniono stan zdrowia psychicznego skarżących.</w:t>
      </w:r>
    </w:p>
    <w:p w14:paraId="5C1BF8D8" w14:textId="77777777" w:rsidR="007A5E48" w:rsidRDefault="00A86B88" w:rsidP="007A5E48">
      <w:pPr>
        <w:pStyle w:val="Akapitzlist"/>
        <w:numPr>
          <w:ilvl w:val="0"/>
          <w:numId w:val="15"/>
        </w:numPr>
        <w:tabs>
          <w:tab w:val="left" w:pos="426"/>
        </w:tabs>
        <w:spacing w:after="0"/>
        <w:jc w:val="both"/>
        <w:rPr>
          <w:rFonts w:cstheme="minorHAnsi"/>
        </w:rPr>
      </w:pPr>
      <w:r w:rsidRPr="003B1B65">
        <w:rPr>
          <w:rFonts w:cstheme="minorHAnsi"/>
        </w:rPr>
        <w:t>Zdaniem ETPC, władze krajowe całkowicie zignorowały oświadczenie osoby trzeciej, która wyraźnie zaproponowała przyjęcie skarżących do swojego domu, zapewniając im w ten sposób alternatywę dla pobytu w strzeżonym ośrodku. Zamiast tego, powołując się na fakt, że skarżący wcześniej uciekli i</w:t>
      </w:r>
      <w:r w:rsidR="003B1B65" w:rsidRPr="003B1B65">
        <w:rPr>
          <w:rFonts w:cstheme="minorHAnsi"/>
        </w:rPr>
        <w:t> </w:t>
      </w:r>
      <w:r w:rsidRPr="003B1B65">
        <w:rPr>
          <w:rFonts w:cstheme="minorHAnsi"/>
        </w:rPr>
        <w:t xml:space="preserve">nie mieli żadnych oszczędności, władze uznały, że skarżący nie kwalifikują się do żadnego alternatywnego środka przewidzianego w prawie. W związku </w:t>
      </w:r>
      <w:r w:rsidRPr="003B1B65">
        <w:rPr>
          <w:rFonts w:cstheme="minorHAnsi"/>
        </w:rPr>
        <w:lastRenderedPageBreak/>
        <w:t>z</w:t>
      </w:r>
      <w:r w:rsidR="003B1B65" w:rsidRPr="003B1B65">
        <w:rPr>
          <w:rFonts w:cstheme="minorHAnsi"/>
        </w:rPr>
        <w:t> </w:t>
      </w:r>
      <w:r w:rsidRPr="003B1B65">
        <w:rPr>
          <w:rFonts w:cstheme="minorHAnsi"/>
        </w:rPr>
        <w:t>tym, w ocenie Trybunał nie przedstawiono wystarczających powodów dla dziewięciomiesięcznego pobytu skarżących w ośrodku. Trybunał jest zdania, że fakt zatrzymania dziecka wymagał od władz większej szybkości i staranności.</w:t>
      </w:r>
    </w:p>
    <w:p w14:paraId="4E264107" w14:textId="2A13FEA0" w:rsidR="00A86B88" w:rsidRPr="007A5E48" w:rsidRDefault="00A86B88" w:rsidP="007A5E48">
      <w:pPr>
        <w:tabs>
          <w:tab w:val="left" w:pos="426"/>
        </w:tabs>
        <w:spacing w:after="0"/>
        <w:jc w:val="both"/>
        <w:rPr>
          <w:rFonts w:cstheme="minorHAnsi"/>
        </w:rPr>
      </w:pPr>
      <w:r w:rsidRPr="007A5E48">
        <w:rPr>
          <w:rFonts w:cstheme="minorHAnsi"/>
        </w:rPr>
        <w:t>Ocena Trybunału dot. naruszenia art. 8 Konwencji:</w:t>
      </w:r>
    </w:p>
    <w:p w14:paraId="2C9997E0" w14:textId="58A2D1FD" w:rsidR="00A86B88" w:rsidRPr="007A5E48" w:rsidRDefault="00A86B88" w:rsidP="007A5E48">
      <w:pPr>
        <w:pStyle w:val="Akapitzlist"/>
        <w:numPr>
          <w:ilvl w:val="0"/>
          <w:numId w:val="21"/>
        </w:numPr>
        <w:tabs>
          <w:tab w:val="left" w:pos="426"/>
        </w:tabs>
        <w:spacing w:after="0"/>
        <w:jc w:val="both"/>
        <w:rPr>
          <w:rFonts w:cstheme="minorHAnsi"/>
        </w:rPr>
      </w:pPr>
      <w:r w:rsidRPr="007A5E48">
        <w:rPr>
          <w:rFonts w:cstheme="minorHAnsi"/>
        </w:rPr>
        <w:t>Trybunał ponownie stwierdził (</w:t>
      </w:r>
      <w:proofErr w:type="spellStart"/>
      <w:r w:rsidRPr="007A5E48">
        <w:rPr>
          <w:rFonts w:cstheme="minorHAnsi"/>
        </w:rPr>
        <w:t>poprz</w:t>
      </w:r>
      <w:proofErr w:type="spellEnd"/>
      <w:r w:rsidRPr="007A5E48">
        <w:rPr>
          <w:rFonts w:cstheme="minorHAnsi"/>
        </w:rPr>
        <w:t xml:space="preserve">. </w:t>
      </w:r>
      <w:proofErr w:type="spellStart"/>
      <w:r w:rsidRPr="007A5E48">
        <w:rPr>
          <w:rFonts w:cstheme="minorHAnsi"/>
        </w:rPr>
        <w:t>Bistieva</w:t>
      </w:r>
      <w:proofErr w:type="spellEnd"/>
      <w:r w:rsidRPr="007A5E48">
        <w:rPr>
          <w:rFonts w:cstheme="minorHAnsi"/>
        </w:rPr>
        <w:t xml:space="preserve"> i Inni), że fakt przetrzymywania skarżących w ośrodku detencyjnym przez dziewięć miesięcy, w</w:t>
      </w:r>
      <w:r w:rsidR="00B62872" w:rsidRPr="007A5E48">
        <w:rPr>
          <w:rFonts w:cstheme="minorHAnsi"/>
        </w:rPr>
        <w:t> </w:t>
      </w:r>
      <w:r w:rsidRPr="007A5E48">
        <w:rPr>
          <w:rFonts w:cstheme="minorHAnsi"/>
        </w:rPr>
        <w:t>warunkach życia typowych dla zakładu karnego, można uznać za ingerencję w skuteczne korzystanie z prawa do życia rodzinnego.</w:t>
      </w:r>
    </w:p>
    <w:p w14:paraId="1B6444F1" w14:textId="5B121018" w:rsidR="00A86B88" w:rsidRPr="007A5E48" w:rsidRDefault="00A86B88" w:rsidP="007A5E48">
      <w:pPr>
        <w:pStyle w:val="Akapitzlist"/>
        <w:numPr>
          <w:ilvl w:val="0"/>
          <w:numId w:val="21"/>
        </w:numPr>
        <w:tabs>
          <w:tab w:val="left" w:pos="426"/>
        </w:tabs>
        <w:spacing w:after="0"/>
        <w:jc w:val="both"/>
        <w:rPr>
          <w:rFonts w:cstheme="minorHAnsi"/>
        </w:rPr>
      </w:pPr>
      <w:r w:rsidRPr="007A5E48">
        <w:rPr>
          <w:rFonts w:cstheme="minorHAnsi"/>
        </w:rPr>
        <w:t>Trybunał zgadza się z rządem, że środek zatrzymania został podjęty w kontekście zapobiegania nielegalnej imigracji, w szczególności w celu wydalenia, a</w:t>
      </w:r>
      <w:r w:rsidR="003B1B65" w:rsidRPr="007A5E48">
        <w:rPr>
          <w:rFonts w:cstheme="minorHAnsi"/>
        </w:rPr>
        <w:t> </w:t>
      </w:r>
      <w:r w:rsidRPr="007A5E48">
        <w:rPr>
          <w:rFonts w:cstheme="minorHAnsi"/>
        </w:rPr>
        <w:t>zatem ingerencja miała uzasadniony cel w rozumieniu art. 8 ust. 2 Konwencji.</w:t>
      </w:r>
    </w:p>
    <w:p w14:paraId="70B59FD9" w14:textId="1DE9E094" w:rsidR="00A86B88" w:rsidRPr="007A5E48" w:rsidRDefault="00A86B88" w:rsidP="007A5E48">
      <w:pPr>
        <w:pStyle w:val="Akapitzlist"/>
        <w:numPr>
          <w:ilvl w:val="0"/>
          <w:numId w:val="21"/>
        </w:numPr>
        <w:tabs>
          <w:tab w:val="left" w:pos="426"/>
        </w:tabs>
        <w:spacing w:after="0"/>
        <w:jc w:val="both"/>
        <w:rPr>
          <w:rFonts w:cstheme="minorHAnsi"/>
        </w:rPr>
      </w:pPr>
      <w:r w:rsidRPr="007A5E48">
        <w:rPr>
          <w:rFonts w:cstheme="minorHAnsi"/>
        </w:rPr>
        <w:t xml:space="preserve">Niemniej jednak, odnosząc się do swoich ustaleń dotyczących skargi na podstawie art. 5 Konwencji (powyżej), zdaniem Trybunału umieszczenie rodziny skarżących w areszcie nie było proporcjonalne do uzasadnionego celu, biorąc pod uwagę: </w:t>
      </w:r>
    </w:p>
    <w:p w14:paraId="02C240EC" w14:textId="4F073981" w:rsidR="00A86B88" w:rsidRPr="003B1B65" w:rsidRDefault="00A86B88" w:rsidP="003B1B65">
      <w:pPr>
        <w:pStyle w:val="Akapitzlist"/>
        <w:numPr>
          <w:ilvl w:val="0"/>
          <w:numId w:val="18"/>
        </w:numPr>
        <w:tabs>
          <w:tab w:val="left" w:pos="426"/>
        </w:tabs>
        <w:spacing w:after="0"/>
        <w:jc w:val="both"/>
        <w:rPr>
          <w:rFonts w:cstheme="minorHAnsi"/>
        </w:rPr>
      </w:pPr>
      <w:r w:rsidRPr="003B1B65">
        <w:rPr>
          <w:rFonts w:cstheme="minorHAnsi"/>
        </w:rPr>
        <w:t xml:space="preserve">dziewięciomiesięczny okres zatrzymania, </w:t>
      </w:r>
    </w:p>
    <w:p w14:paraId="71413F3A" w14:textId="08866D34" w:rsidR="00A86B88" w:rsidRPr="003B1B65" w:rsidRDefault="00A86B88" w:rsidP="003B1B65">
      <w:pPr>
        <w:pStyle w:val="Akapitzlist"/>
        <w:numPr>
          <w:ilvl w:val="0"/>
          <w:numId w:val="18"/>
        </w:numPr>
        <w:tabs>
          <w:tab w:val="left" w:pos="426"/>
        </w:tabs>
        <w:spacing w:after="0"/>
        <w:jc w:val="both"/>
        <w:rPr>
          <w:rFonts w:cstheme="minorHAnsi"/>
        </w:rPr>
      </w:pPr>
      <w:r w:rsidRPr="003B1B65">
        <w:rPr>
          <w:rFonts w:cstheme="minorHAnsi"/>
        </w:rPr>
        <w:t xml:space="preserve">trudną sytuację obu skarżących, </w:t>
      </w:r>
    </w:p>
    <w:p w14:paraId="6F237554" w14:textId="403E85DF" w:rsidR="00A86B88" w:rsidRPr="003B1B65" w:rsidRDefault="00A86B88" w:rsidP="003B1B65">
      <w:pPr>
        <w:pStyle w:val="Akapitzlist"/>
        <w:numPr>
          <w:ilvl w:val="0"/>
          <w:numId w:val="18"/>
        </w:numPr>
        <w:tabs>
          <w:tab w:val="left" w:pos="426"/>
        </w:tabs>
        <w:spacing w:after="0"/>
        <w:jc w:val="both"/>
        <w:rPr>
          <w:rFonts w:cstheme="minorHAnsi"/>
        </w:rPr>
      </w:pPr>
      <w:r w:rsidRPr="003B1B65">
        <w:rPr>
          <w:rFonts w:cstheme="minorHAnsi"/>
        </w:rPr>
        <w:t>bardzo młody wiek drugiego skarżącego,</w:t>
      </w:r>
    </w:p>
    <w:p w14:paraId="3E58FF97" w14:textId="0BDA0C20" w:rsidR="00A86B88" w:rsidRPr="003B1B65" w:rsidRDefault="00A86B88" w:rsidP="003B1B65">
      <w:pPr>
        <w:pStyle w:val="Akapitzlist"/>
        <w:numPr>
          <w:ilvl w:val="0"/>
          <w:numId w:val="18"/>
        </w:numPr>
        <w:tabs>
          <w:tab w:val="left" w:pos="426"/>
        </w:tabs>
        <w:spacing w:after="0"/>
        <w:jc w:val="both"/>
        <w:rPr>
          <w:rFonts w:cstheme="minorHAnsi"/>
        </w:rPr>
      </w:pPr>
      <w:r w:rsidRPr="003B1B65">
        <w:rPr>
          <w:rFonts w:cstheme="minorHAnsi"/>
        </w:rPr>
        <w:t xml:space="preserve">widoczny brak należytego rozważenia alternatyw dla zatrzymania. </w:t>
      </w:r>
    </w:p>
    <w:p w14:paraId="7752293B" w14:textId="77777777" w:rsidR="00A86B88" w:rsidRPr="003B1B65" w:rsidRDefault="00A86B88" w:rsidP="003B1B65">
      <w:pPr>
        <w:tabs>
          <w:tab w:val="left" w:pos="426"/>
        </w:tabs>
        <w:spacing w:after="0"/>
        <w:jc w:val="both"/>
        <w:rPr>
          <w:rFonts w:cstheme="minorHAnsi"/>
        </w:rPr>
      </w:pPr>
      <w:r w:rsidRPr="003B1B65">
        <w:rPr>
          <w:rFonts w:cstheme="minorHAnsi"/>
        </w:rPr>
        <w:t>W związku z tym Trybunał stwierdził, że nawet biorąc pod uwagę ryzyko ucieczki rodziny, władze nie przedstawiły wystarczających powodów uzasadniających dziewięciomiesięczne zatrzymanie skarżących w strzeżonym ośrodku.</w:t>
      </w:r>
    </w:p>
    <w:p w14:paraId="2604B36C" w14:textId="305381DF" w:rsidR="00A86B88" w:rsidRPr="003B1B65" w:rsidRDefault="00A86B88" w:rsidP="003B1B65">
      <w:pPr>
        <w:tabs>
          <w:tab w:val="left" w:pos="426"/>
        </w:tabs>
        <w:spacing w:after="0"/>
        <w:jc w:val="both"/>
        <w:rPr>
          <w:rFonts w:cstheme="minorHAnsi"/>
        </w:rPr>
      </w:pPr>
      <w:r w:rsidRPr="003B1B65">
        <w:rPr>
          <w:rFonts w:cstheme="minorHAnsi"/>
        </w:rPr>
        <w:t>W tym stanie rzeczy, Trybunał uznał, że doszło do naruszenia art. 5 ust. 1 lit. f) i art. 8 Konwencji i przyznał skarżącym kwotę 15000 euro z tytułu szkód niematerialnych, powiększoną o ewentualne podatki.</w:t>
      </w:r>
    </w:p>
    <w:p w14:paraId="1D63FACC" w14:textId="77777777" w:rsidR="00A86B88" w:rsidRPr="003B1B65" w:rsidRDefault="00A86B88" w:rsidP="003B1B65">
      <w:pPr>
        <w:tabs>
          <w:tab w:val="left" w:pos="426"/>
        </w:tabs>
        <w:spacing w:after="0"/>
        <w:jc w:val="both"/>
        <w:rPr>
          <w:rFonts w:cstheme="minorHAnsi"/>
        </w:rPr>
      </w:pPr>
    </w:p>
    <w:p w14:paraId="1F991F4E" w14:textId="77777777" w:rsidR="00A86B88" w:rsidRPr="003B1B65" w:rsidRDefault="00A86B88" w:rsidP="003B1B65">
      <w:pPr>
        <w:tabs>
          <w:tab w:val="left" w:pos="426"/>
        </w:tabs>
        <w:spacing w:after="0"/>
        <w:jc w:val="both"/>
        <w:rPr>
          <w:rFonts w:cstheme="minorHAnsi"/>
        </w:rPr>
      </w:pPr>
    </w:p>
    <w:p w14:paraId="5052B9D8" w14:textId="77777777" w:rsidR="00A86B88" w:rsidRPr="003B1B65" w:rsidRDefault="00A86B88" w:rsidP="003B1B65">
      <w:pPr>
        <w:tabs>
          <w:tab w:val="left" w:pos="540"/>
        </w:tabs>
        <w:spacing w:after="0"/>
        <w:jc w:val="both"/>
        <w:rPr>
          <w:rFonts w:cstheme="minorHAnsi"/>
        </w:rPr>
      </w:pPr>
    </w:p>
    <w:p w14:paraId="10B06A64" w14:textId="77777777" w:rsidR="00A86B88" w:rsidRPr="003B1B65" w:rsidRDefault="00A86B88" w:rsidP="003B1B65">
      <w:pPr>
        <w:tabs>
          <w:tab w:val="left" w:pos="540"/>
        </w:tabs>
        <w:spacing w:after="0"/>
        <w:jc w:val="both"/>
        <w:rPr>
          <w:rFonts w:cstheme="minorHAnsi"/>
        </w:rPr>
      </w:pPr>
    </w:p>
    <w:p w14:paraId="4E3FCA18" w14:textId="77777777" w:rsidR="003F124C" w:rsidRPr="003B1B65" w:rsidRDefault="003F124C" w:rsidP="00A86B88">
      <w:pPr>
        <w:spacing w:before="195" w:after="0"/>
        <w:jc w:val="both"/>
        <w:rPr>
          <w:rFonts w:cstheme="minorHAnsi"/>
          <w:b/>
          <w:bCs/>
        </w:rPr>
      </w:pPr>
    </w:p>
    <w:sectPr w:rsidR="003F124C" w:rsidRPr="003B1B65" w:rsidSect="006C3E8D">
      <w:headerReference w:type="even" r:id="rId10"/>
      <w:headerReference w:type="default" r:id="rId11"/>
      <w:pgSz w:w="16838" w:h="11906" w:orient="landscape"/>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E5009" w14:textId="77777777" w:rsidR="00190018" w:rsidRDefault="00190018">
      <w:pPr>
        <w:spacing w:after="0" w:line="240" w:lineRule="auto"/>
      </w:pPr>
      <w:r>
        <w:separator/>
      </w:r>
    </w:p>
  </w:endnote>
  <w:endnote w:type="continuationSeparator" w:id="0">
    <w:p w14:paraId="4B26AFCB" w14:textId="77777777" w:rsidR="00190018" w:rsidRDefault="0019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2520D" w14:textId="77777777" w:rsidR="00190018" w:rsidRDefault="00190018">
      <w:pPr>
        <w:spacing w:after="0" w:line="240" w:lineRule="auto"/>
      </w:pPr>
      <w:r>
        <w:separator/>
      </w:r>
    </w:p>
  </w:footnote>
  <w:footnote w:type="continuationSeparator" w:id="0">
    <w:p w14:paraId="13249EB0" w14:textId="77777777" w:rsidR="00190018" w:rsidRDefault="0019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13F6" w14:textId="77777777" w:rsidR="00130654" w:rsidRDefault="00000000">
    <w:pPr>
      <w:pStyle w:val="Nagwek"/>
    </w:pPr>
    <w:r>
      <w:rPr>
        <w:noProof/>
      </w:rPr>
      <w:pict w14:anchorId="325CA6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8752;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82528"/>
      <w:docPartObj>
        <w:docPartGallery w:val="Page Numbers (Top of Page)"/>
        <w:docPartUnique/>
      </w:docPartObj>
    </w:sdtPr>
    <w:sdtContent>
      <w:p w14:paraId="66F454B6" w14:textId="6AC7917F" w:rsidR="0015085B" w:rsidRDefault="0015085B">
        <w:pPr>
          <w:pStyle w:val="Nagwek"/>
          <w:jc w:val="center"/>
        </w:pPr>
        <w:r>
          <w:fldChar w:fldCharType="begin"/>
        </w:r>
        <w:r>
          <w:instrText>PAGE   \* MERGEFORMAT</w:instrText>
        </w:r>
        <w:r>
          <w:fldChar w:fldCharType="separate"/>
        </w:r>
        <w:r>
          <w:t>2</w:t>
        </w:r>
        <w:r>
          <w:fldChar w:fldCharType="end"/>
        </w:r>
      </w:p>
    </w:sdtContent>
  </w:sdt>
  <w:p w14:paraId="35BE657F" w14:textId="77777777" w:rsidR="0015085B" w:rsidRDefault="0015085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183B"/>
    <w:multiLevelType w:val="hybridMultilevel"/>
    <w:tmpl w:val="9976B12C"/>
    <w:lvl w:ilvl="0" w:tplc="7B32B210">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D50796"/>
    <w:multiLevelType w:val="hybridMultilevel"/>
    <w:tmpl w:val="6ADAC9BE"/>
    <w:lvl w:ilvl="0" w:tplc="31DC55C2">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2992039"/>
    <w:multiLevelType w:val="hybridMultilevel"/>
    <w:tmpl w:val="CBB69F68"/>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DE22EB"/>
    <w:multiLevelType w:val="hybridMultilevel"/>
    <w:tmpl w:val="04940988"/>
    <w:lvl w:ilvl="0" w:tplc="CEC600FE">
      <w:start w:val="1"/>
      <w:numFmt w:val="decimal"/>
      <w:lvlText w:val="%1."/>
      <w:lvlJc w:val="left"/>
      <w:pPr>
        <w:ind w:left="720" w:hanging="360"/>
      </w:pPr>
      <w:rPr>
        <w:rFonts w:hint="default"/>
      </w:rPr>
    </w:lvl>
    <w:lvl w:ilvl="1" w:tplc="8294C912" w:tentative="1">
      <w:start w:val="1"/>
      <w:numFmt w:val="lowerLetter"/>
      <w:lvlText w:val="%2."/>
      <w:lvlJc w:val="left"/>
      <w:pPr>
        <w:ind w:left="1440" w:hanging="360"/>
      </w:pPr>
    </w:lvl>
    <w:lvl w:ilvl="2" w:tplc="69FEC9D2" w:tentative="1">
      <w:start w:val="1"/>
      <w:numFmt w:val="lowerRoman"/>
      <w:lvlText w:val="%3."/>
      <w:lvlJc w:val="right"/>
      <w:pPr>
        <w:ind w:left="2160" w:hanging="180"/>
      </w:pPr>
    </w:lvl>
    <w:lvl w:ilvl="3" w:tplc="FBF0DCAA" w:tentative="1">
      <w:start w:val="1"/>
      <w:numFmt w:val="decimal"/>
      <w:lvlText w:val="%4."/>
      <w:lvlJc w:val="left"/>
      <w:pPr>
        <w:ind w:left="2880" w:hanging="360"/>
      </w:pPr>
    </w:lvl>
    <w:lvl w:ilvl="4" w:tplc="E924A568" w:tentative="1">
      <w:start w:val="1"/>
      <w:numFmt w:val="lowerLetter"/>
      <w:lvlText w:val="%5."/>
      <w:lvlJc w:val="left"/>
      <w:pPr>
        <w:ind w:left="3600" w:hanging="360"/>
      </w:pPr>
    </w:lvl>
    <w:lvl w:ilvl="5" w:tplc="1FDEF0C4" w:tentative="1">
      <w:start w:val="1"/>
      <w:numFmt w:val="lowerRoman"/>
      <w:lvlText w:val="%6."/>
      <w:lvlJc w:val="right"/>
      <w:pPr>
        <w:ind w:left="4320" w:hanging="180"/>
      </w:pPr>
    </w:lvl>
    <w:lvl w:ilvl="6" w:tplc="4064CFFA" w:tentative="1">
      <w:start w:val="1"/>
      <w:numFmt w:val="decimal"/>
      <w:lvlText w:val="%7."/>
      <w:lvlJc w:val="left"/>
      <w:pPr>
        <w:ind w:left="5040" w:hanging="360"/>
      </w:pPr>
    </w:lvl>
    <w:lvl w:ilvl="7" w:tplc="62864CE0" w:tentative="1">
      <w:start w:val="1"/>
      <w:numFmt w:val="lowerLetter"/>
      <w:lvlText w:val="%8."/>
      <w:lvlJc w:val="left"/>
      <w:pPr>
        <w:ind w:left="5760" w:hanging="360"/>
      </w:pPr>
    </w:lvl>
    <w:lvl w:ilvl="8" w:tplc="BE30B364" w:tentative="1">
      <w:start w:val="1"/>
      <w:numFmt w:val="lowerRoman"/>
      <w:lvlText w:val="%9."/>
      <w:lvlJc w:val="right"/>
      <w:pPr>
        <w:ind w:left="6480" w:hanging="180"/>
      </w:pPr>
    </w:lvl>
  </w:abstractNum>
  <w:abstractNum w:abstractNumId="4" w15:restartNumberingAfterBreak="0">
    <w:nsid w:val="1D11423D"/>
    <w:multiLevelType w:val="hybridMultilevel"/>
    <w:tmpl w:val="A208A12A"/>
    <w:lvl w:ilvl="0" w:tplc="288ABF26">
      <w:start w:val="1"/>
      <w:numFmt w:val="decimal"/>
      <w:lvlText w:val="%1."/>
      <w:lvlJc w:val="left"/>
      <w:pPr>
        <w:ind w:left="720" w:hanging="360"/>
      </w:pPr>
    </w:lvl>
    <w:lvl w:ilvl="1" w:tplc="9BEC47EC" w:tentative="1">
      <w:start w:val="1"/>
      <w:numFmt w:val="lowerLetter"/>
      <w:lvlText w:val="%2."/>
      <w:lvlJc w:val="left"/>
      <w:pPr>
        <w:ind w:left="1440" w:hanging="360"/>
      </w:pPr>
    </w:lvl>
    <w:lvl w:ilvl="2" w:tplc="94E6C770" w:tentative="1">
      <w:start w:val="1"/>
      <w:numFmt w:val="lowerRoman"/>
      <w:lvlText w:val="%3."/>
      <w:lvlJc w:val="right"/>
      <w:pPr>
        <w:ind w:left="2160" w:hanging="180"/>
      </w:pPr>
    </w:lvl>
    <w:lvl w:ilvl="3" w:tplc="AD2CF970" w:tentative="1">
      <w:start w:val="1"/>
      <w:numFmt w:val="decimal"/>
      <w:lvlText w:val="%4."/>
      <w:lvlJc w:val="left"/>
      <w:pPr>
        <w:ind w:left="2880" w:hanging="360"/>
      </w:pPr>
    </w:lvl>
    <w:lvl w:ilvl="4" w:tplc="F05C79DA" w:tentative="1">
      <w:start w:val="1"/>
      <w:numFmt w:val="lowerLetter"/>
      <w:lvlText w:val="%5."/>
      <w:lvlJc w:val="left"/>
      <w:pPr>
        <w:ind w:left="3600" w:hanging="360"/>
      </w:pPr>
    </w:lvl>
    <w:lvl w:ilvl="5" w:tplc="1EDAE306" w:tentative="1">
      <w:start w:val="1"/>
      <w:numFmt w:val="lowerRoman"/>
      <w:lvlText w:val="%6."/>
      <w:lvlJc w:val="right"/>
      <w:pPr>
        <w:ind w:left="4320" w:hanging="180"/>
      </w:pPr>
    </w:lvl>
    <w:lvl w:ilvl="6" w:tplc="137022F8" w:tentative="1">
      <w:start w:val="1"/>
      <w:numFmt w:val="decimal"/>
      <w:lvlText w:val="%7."/>
      <w:lvlJc w:val="left"/>
      <w:pPr>
        <w:ind w:left="5040" w:hanging="360"/>
      </w:pPr>
    </w:lvl>
    <w:lvl w:ilvl="7" w:tplc="F4783816" w:tentative="1">
      <w:start w:val="1"/>
      <w:numFmt w:val="lowerLetter"/>
      <w:lvlText w:val="%8."/>
      <w:lvlJc w:val="left"/>
      <w:pPr>
        <w:ind w:left="5760" w:hanging="360"/>
      </w:pPr>
    </w:lvl>
    <w:lvl w:ilvl="8" w:tplc="2C982538" w:tentative="1">
      <w:start w:val="1"/>
      <w:numFmt w:val="lowerRoman"/>
      <w:lvlText w:val="%9."/>
      <w:lvlJc w:val="right"/>
      <w:pPr>
        <w:ind w:left="6480" w:hanging="180"/>
      </w:pPr>
    </w:lvl>
  </w:abstractNum>
  <w:abstractNum w:abstractNumId="5" w15:restartNumberingAfterBreak="0">
    <w:nsid w:val="1DC67530"/>
    <w:multiLevelType w:val="hybridMultilevel"/>
    <w:tmpl w:val="E9AAC52C"/>
    <w:lvl w:ilvl="0" w:tplc="427849DA">
      <w:start w:val="1"/>
      <w:numFmt w:val="decimal"/>
      <w:lvlText w:val="%1."/>
      <w:lvlJc w:val="center"/>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38C6A5E"/>
    <w:multiLevelType w:val="hybridMultilevel"/>
    <w:tmpl w:val="BE8A68C4"/>
    <w:lvl w:ilvl="0" w:tplc="817A8926">
      <w:start w:val="1"/>
      <w:numFmt w:val="decimal"/>
      <w:lvlText w:val="%1."/>
      <w:lvlJc w:val="center"/>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2872F0"/>
    <w:multiLevelType w:val="hybridMultilevel"/>
    <w:tmpl w:val="94CE3E3E"/>
    <w:lvl w:ilvl="0" w:tplc="04150011">
      <w:start w:val="1"/>
      <w:numFmt w:val="decimal"/>
      <w:lvlText w:val="%1)"/>
      <w:lvlJc w:val="left"/>
      <w:pPr>
        <w:ind w:left="720" w:hanging="360"/>
      </w:pPr>
      <w:rPr>
        <w:rFonts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7AE7CE6"/>
    <w:multiLevelType w:val="hybridMultilevel"/>
    <w:tmpl w:val="384C1BF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B080909"/>
    <w:multiLevelType w:val="hybridMultilevel"/>
    <w:tmpl w:val="384C1B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9912AE4"/>
    <w:multiLevelType w:val="hybridMultilevel"/>
    <w:tmpl w:val="726ABFD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4DA31D1"/>
    <w:multiLevelType w:val="hybridMultilevel"/>
    <w:tmpl w:val="D1DC8C52"/>
    <w:lvl w:ilvl="0" w:tplc="11A2EB80">
      <w:start w:val="1"/>
      <w:numFmt w:val="decimal"/>
      <w:lvlText w:val="%1."/>
      <w:lvlJc w:val="left"/>
      <w:pPr>
        <w:ind w:left="720" w:hanging="360"/>
      </w:pPr>
      <w:rPr>
        <w:rFonts w:hint="default"/>
      </w:rPr>
    </w:lvl>
    <w:lvl w:ilvl="1" w:tplc="3BE4175E" w:tentative="1">
      <w:start w:val="1"/>
      <w:numFmt w:val="lowerLetter"/>
      <w:lvlText w:val="%2."/>
      <w:lvlJc w:val="left"/>
      <w:pPr>
        <w:ind w:left="1440" w:hanging="360"/>
      </w:pPr>
    </w:lvl>
    <w:lvl w:ilvl="2" w:tplc="AF644632" w:tentative="1">
      <w:start w:val="1"/>
      <w:numFmt w:val="lowerRoman"/>
      <w:lvlText w:val="%3."/>
      <w:lvlJc w:val="right"/>
      <w:pPr>
        <w:ind w:left="2160" w:hanging="180"/>
      </w:pPr>
    </w:lvl>
    <w:lvl w:ilvl="3" w:tplc="509AB74E" w:tentative="1">
      <w:start w:val="1"/>
      <w:numFmt w:val="decimal"/>
      <w:lvlText w:val="%4."/>
      <w:lvlJc w:val="left"/>
      <w:pPr>
        <w:ind w:left="2880" w:hanging="360"/>
      </w:pPr>
    </w:lvl>
    <w:lvl w:ilvl="4" w:tplc="9BDE30BA" w:tentative="1">
      <w:start w:val="1"/>
      <w:numFmt w:val="lowerLetter"/>
      <w:lvlText w:val="%5."/>
      <w:lvlJc w:val="left"/>
      <w:pPr>
        <w:ind w:left="3600" w:hanging="360"/>
      </w:pPr>
    </w:lvl>
    <w:lvl w:ilvl="5" w:tplc="A85EC666" w:tentative="1">
      <w:start w:val="1"/>
      <w:numFmt w:val="lowerRoman"/>
      <w:lvlText w:val="%6."/>
      <w:lvlJc w:val="right"/>
      <w:pPr>
        <w:ind w:left="4320" w:hanging="180"/>
      </w:pPr>
    </w:lvl>
    <w:lvl w:ilvl="6" w:tplc="E22078DA" w:tentative="1">
      <w:start w:val="1"/>
      <w:numFmt w:val="decimal"/>
      <w:lvlText w:val="%7."/>
      <w:lvlJc w:val="left"/>
      <w:pPr>
        <w:ind w:left="5040" w:hanging="360"/>
      </w:pPr>
    </w:lvl>
    <w:lvl w:ilvl="7" w:tplc="DC5653AC" w:tentative="1">
      <w:start w:val="1"/>
      <w:numFmt w:val="lowerLetter"/>
      <w:lvlText w:val="%8."/>
      <w:lvlJc w:val="left"/>
      <w:pPr>
        <w:ind w:left="5760" w:hanging="360"/>
      </w:pPr>
    </w:lvl>
    <w:lvl w:ilvl="8" w:tplc="42E6DDBC" w:tentative="1">
      <w:start w:val="1"/>
      <w:numFmt w:val="lowerRoman"/>
      <w:lvlText w:val="%9."/>
      <w:lvlJc w:val="right"/>
      <w:pPr>
        <w:ind w:left="6480" w:hanging="180"/>
      </w:pPr>
    </w:lvl>
  </w:abstractNum>
  <w:abstractNum w:abstractNumId="12" w15:restartNumberingAfterBreak="0">
    <w:nsid w:val="51C40E79"/>
    <w:multiLevelType w:val="hybridMultilevel"/>
    <w:tmpl w:val="37E6EB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B5BBB"/>
    <w:multiLevelType w:val="hybridMultilevel"/>
    <w:tmpl w:val="B7D61E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66C557ED"/>
    <w:multiLevelType w:val="hybridMultilevel"/>
    <w:tmpl w:val="41828D38"/>
    <w:lvl w:ilvl="0" w:tplc="8BD031C6">
      <w:start w:val="1"/>
      <w:numFmt w:val="decimal"/>
      <w:lvlText w:val="%1."/>
      <w:lvlJc w:val="left"/>
      <w:pPr>
        <w:ind w:left="720" w:hanging="360"/>
      </w:pPr>
      <w:rPr>
        <w:rFonts w:hint="default"/>
      </w:rPr>
    </w:lvl>
    <w:lvl w:ilvl="1" w:tplc="031A6758" w:tentative="1">
      <w:start w:val="1"/>
      <w:numFmt w:val="lowerLetter"/>
      <w:lvlText w:val="%2."/>
      <w:lvlJc w:val="left"/>
      <w:pPr>
        <w:ind w:left="1440" w:hanging="360"/>
      </w:pPr>
    </w:lvl>
    <w:lvl w:ilvl="2" w:tplc="13645A38" w:tentative="1">
      <w:start w:val="1"/>
      <w:numFmt w:val="lowerRoman"/>
      <w:lvlText w:val="%3."/>
      <w:lvlJc w:val="right"/>
      <w:pPr>
        <w:ind w:left="2160" w:hanging="180"/>
      </w:pPr>
    </w:lvl>
    <w:lvl w:ilvl="3" w:tplc="8DBAC3DC" w:tentative="1">
      <w:start w:val="1"/>
      <w:numFmt w:val="decimal"/>
      <w:lvlText w:val="%4."/>
      <w:lvlJc w:val="left"/>
      <w:pPr>
        <w:ind w:left="2880" w:hanging="360"/>
      </w:pPr>
    </w:lvl>
    <w:lvl w:ilvl="4" w:tplc="51861994" w:tentative="1">
      <w:start w:val="1"/>
      <w:numFmt w:val="lowerLetter"/>
      <w:lvlText w:val="%5."/>
      <w:lvlJc w:val="left"/>
      <w:pPr>
        <w:ind w:left="3600" w:hanging="360"/>
      </w:pPr>
    </w:lvl>
    <w:lvl w:ilvl="5" w:tplc="A642A7EE" w:tentative="1">
      <w:start w:val="1"/>
      <w:numFmt w:val="lowerRoman"/>
      <w:lvlText w:val="%6."/>
      <w:lvlJc w:val="right"/>
      <w:pPr>
        <w:ind w:left="4320" w:hanging="180"/>
      </w:pPr>
    </w:lvl>
    <w:lvl w:ilvl="6" w:tplc="D9B467DC" w:tentative="1">
      <w:start w:val="1"/>
      <w:numFmt w:val="decimal"/>
      <w:lvlText w:val="%7."/>
      <w:lvlJc w:val="left"/>
      <w:pPr>
        <w:ind w:left="5040" w:hanging="360"/>
      </w:pPr>
    </w:lvl>
    <w:lvl w:ilvl="7" w:tplc="C6D8EDCE" w:tentative="1">
      <w:start w:val="1"/>
      <w:numFmt w:val="lowerLetter"/>
      <w:lvlText w:val="%8."/>
      <w:lvlJc w:val="left"/>
      <w:pPr>
        <w:ind w:left="5760" w:hanging="360"/>
      </w:pPr>
    </w:lvl>
    <w:lvl w:ilvl="8" w:tplc="A016E7C4" w:tentative="1">
      <w:start w:val="1"/>
      <w:numFmt w:val="lowerRoman"/>
      <w:lvlText w:val="%9."/>
      <w:lvlJc w:val="right"/>
      <w:pPr>
        <w:ind w:left="6480" w:hanging="180"/>
      </w:pPr>
    </w:lvl>
  </w:abstractNum>
  <w:abstractNum w:abstractNumId="15" w15:restartNumberingAfterBreak="0">
    <w:nsid w:val="6DE536AF"/>
    <w:multiLevelType w:val="hybridMultilevel"/>
    <w:tmpl w:val="0876EB84"/>
    <w:lvl w:ilvl="0" w:tplc="0415001B">
      <w:start w:val="1"/>
      <w:numFmt w:val="lowerRoman"/>
      <w:lvlText w:val="%1."/>
      <w:lvlJc w:val="righ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16" w15:restartNumberingAfterBreak="0">
    <w:nsid w:val="6ED37028"/>
    <w:multiLevelType w:val="hybridMultilevel"/>
    <w:tmpl w:val="D60C3F0E"/>
    <w:lvl w:ilvl="0" w:tplc="558677EA">
      <w:start w:val="1"/>
      <w:numFmt w:val="decimal"/>
      <w:lvlText w:val="%1."/>
      <w:lvlJc w:val="left"/>
      <w:pPr>
        <w:ind w:left="790" w:hanging="43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37F197F"/>
    <w:multiLevelType w:val="hybridMultilevel"/>
    <w:tmpl w:val="6C16F4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127D52"/>
    <w:multiLevelType w:val="hybridMultilevel"/>
    <w:tmpl w:val="C784AE76"/>
    <w:lvl w:ilvl="0" w:tplc="826A7EC4">
      <w:start w:val="1"/>
      <w:numFmt w:val="decimal"/>
      <w:lvlText w:val="%1."/>
      <w:lvlJc w:val="left"/>
      <w:pPr>
        <w:ind w:left="720" w:hanging="360"/>
      </w:pPr>
      <w:rPr>
        <w:rFonts w:hint="default"/>
      </w:rPr>
    </w:lvl>
    <w:lvl w:ilvl="1" w:tplc="A83EF670" w:tentative="1">
      <w:start w:val="1"/>
      <w:numFmt w:val="lowerLetter"/>
      <w:lvlText w:val="%2."/>
      <w:lvlJc w:val="left"/>
      <w:pPr>
        <w:ind w:left="1440" w:hanging="360"/>
      </w:pPr>
    </w:lvl>
    <w:lvl w:ilvl="2" w:tplc="D2FA42CA" w:tentative="1">
      <w:start w:val="1"/>
      <w:numFmt w:val="lowerRoman"/>
      <w:lvlText w:val="%3."/>
      <w:lvlJc w:val="right"/>
      <w:pPr>
        <w:ind w:left="2160" w:hanging="180"/>
      </w:pPr>
    </w:lvl>
    <w:lvl w:ilvl="3" w:tplc="B2CCD93C" w:tentative="1">
      <w:start w:val="1"/>
      <w:numFmt w:val="decimal"/>
      <w:lvlText w:val="%4."/>
      <w:lvlJc w:val="left"/>
      <w:pPr>
        <w:ind w:left="2880" w:hanging="360"/>
      </w:pPr>
    </w:lvl>
    <w:lvl w:ilvl="4" w:tplc="807EF5A2" w:tentative="1">
      <w:start w:val="1"/>
      <w:numFmt w:val="lowerLetter"/>
      <w:lvlText w:val="%5."/>
      <w:lvlJc w:val="left"/>
      <w:pPr>
        <w:ind w:left="3600" w:hanging="360"/>
      </w:pPr>
    </w:lvl>
    <w:lvl w:ilvl="5" w:tplc="F82681E0" w:tentative="1">
      <w:start w:val="1"/>
      <w:numFmt w:val="lowerRoman"/>
      <w:lvlText w:val="%6."/>
      <w:lvlJc w:val="right"/>
      <w:pPr>
        <w:ind w:left="4320" w:hanging="180"/>
      </w:pPr>
    </w:lvl>
    <w:lvl w:ilvl="6" w:tplc="CC846AF0" w:tentative="1">
      <w:start w:val="1"/>
      <w:numFmt w:val="decimal"/>
      <w:lvlText w:val="%7."/>
      <w:lvlJc w:val="left"/>
      <w:pPr>
        <w:ind w:left="5040" w:hanging="360"/>
      </w:pPr>
    </w:lvl>
    <w:lvl w:ilvl="7" w:tplc="DACEBC42" w:tentative="1">
      <w:start w:val="1"/>
      <w:numFmt w:val="lowerLetter"/>
      <w:lvlText w:val="%8."/>
      <w:lvlJc w:val="left"/>
      <w:pPr>
        <w:ind w:left="5760" w:hanging="360"/>
      </w:pPr>
    </w:lvl>
    <w:lvl w:ilvl="8" w:tplc="D3C02906" w:tentative="1">
      <w:start w:val="1"/>
      <w:numFmt w:val="lowerRoman"/>
      <w:lvlText w:val="%9."/>
      <w:lvlJc w:val="right"/>
      <w:pPr>
        <w:ind w:left="6480" w:hanging="180"/>
      </w:pPr>
    </w:lvl>
  </w:abstractNum>
  <w:abstractNum w:abstractNumId="19" w15:restartNumberingAfterBreak="0">
    <w:nsid w:val="7BF706D9"/>
    <w:multiLevelType w:val="hybridMultilevel"/>
    <w:tmpl w:val="1BB43ACC"/>
    <w:lvl w:ilvl="0" w:tplc="C052AD7C">
      <w:start w:val="1"/>
      <w:numFmt w:val="low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7DE80E1F"/>
    <w:multiLevelType w:val="hybridMultilevel"/>
    <w:tmpl w:val="DD8017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85776196">
    <w:abstractNumId w:val="4"/>
  </w:num>
  <w:num w:numId="2" w16cid:durableId="164592988">
    <w:abstractNumId w:val="3"/>
  </w:num>
  <w:num w:numId="3" w16cid:durableId="884560180">
    <w:abstractNumId w:val="11"/>
  </w:num>
  <w:num w:numId="4" w16cid:durableId="907346903">
    <w:abstractNumId w:val="18"/>
  </w:num>
  <w:num w:numId="5" w16cid:durableId="14878155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49975126">
    <w:abstractNumId w:val="17"/>
  </w:num>
  <w:num w:numId="7" w16cid:durableId="826550791">
    <w:abstractNumId w:val="12"/>
  </w:num>
  <w:num w:numId="8" w16cid:durableId="1084885605">
    <w:abstractNumId w:val="9"/>
  </w:num>
  <w:num w:numId="9" w16cid:durableId="1470316240">
    <w:abstractNumId w:val="1"/>
  </w:num>
  <w:num w:numId="10" w16cid:durableId="1695106185">
    <w:abstractNumId w:val="8"/>
  </w:num>
  <w:num w:numId="11" w16cid:durableId="1099059063">
    <w:abstractNumId w:val="7"/>
  </w:num>
  <w:num w:numId="12" w16cid:durableId="1580092052">
    <w:abstractNumId w:val="13"/>
  </w:num>
  <w:num w:numId="13" w16cid:durableId="452137704">
    <w:abstractNumId w:val="2"/>
  </w:num>
  <w:num w:numId="14" w16cid:durableId="349455520">
    <w:abstractNumId w:val="20"/>
  </w:num>
  <w:num w:numId="15" w16cid:durableId="422186709">
    <w:abstractNumId w:val="6"/>
  </w:num>
  <w:num w:numId="16" w16cid:durableId="1711878862">
    <w:abstractNumId w:val="0"/>
  </w:num>
  <w:num w:numId="17" w16cid:durableId="331184590">
    <w:abstractNumId w:val="16"/>
  </w:num>
  <w:num w:numId="18" w16cid:durableId="635914881">
    <w:abstractNumId w:val="15"/>
  </w:num>
  <w:num w:numId="19" w16cid:durableId="1821072358">
    <w:abstractNumId w:val="19"/>
  </w:num>
  <w:num w:numId="20" w16cid:durableId="500434534">
    <w:abstractNumId w:val="10"/>
  </w:num>
  <w:num w:numId="21" w16cid:durableId="436774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F9"/>
    <w:rsid w:val="00012563"/>
    <w:rsid w:val="000251E5"/>
    <w:rsid w:val="00064285"/>
    <w:rsid w:val="00076740"/>
    <w:rsid w:val="000C0612"/>
    <w:rsid w:val="000D6C19"/>
    <w:rsid w:val="000F4299"/>
    <w:rsid w:val="0010179C"/>
    <w:rsid w:val="00117804"/>
    <w:rsid w:val="00130654"/>
    <w:rsid w:val="001473BD"/>
    <w:rsid w:val="0015085B"/>
    <w:rsid w:val="001566A2"/>
    <w:rsid w:val="00190018"/>
    <w:rsid w:val="002055A8"/>
    <w:rsid w:val="00242FBB"/>
    <w:rsid w:val="0024613A"/>
    <w:rsid w:val="00271CF7"/>
    <w:rsid w:val="00287546"/>
    <w:rsid w:val="002A12C9"/>
    <w:rsid w:val="002A37F6"/>
    <w:rsid w:val="002D7766"/>
    <w:rsid w:val="002E345D"/>
    <w:rsid w:val="002E4780"/>
    <w:rsid w:val="003025FD"/>
    <w:rsid w:val="0033419D"/>
    <w:rsid w:val="00341451"/>
    <w:rsid w:val="003663E6"/>
    <w:rsid w:val="003B1B65"/>
    <w:rsid w:val="003B47AC"/>
    <w:rsid w:val="003D0804"/>
    <w:rsid w:val="003E3A77"/>
    <w:rsid w:val="003F124C"/>
    <w:rsid w:val="003F68F3"/>
    <w:rsid w:val="00400801"/>
    <w:rsid w:val="00413FF3"/>
    <w:rsid w:val="00431965"/>
    <w:rsid w:val="00451024"/>
    <w:rsid w:val="0046607A"/>
    <w:rsid w:val="00476DD7"/>
    <w:rsid w:val="0048667E"/>
    <w:rsid w:val="004A05F9"/>
    <w:rsid w:val="004A0A35"/>
    <w:rsid w:val="004C4C51"/>
    <w:rsid w:val="00505738"/>
    <w:rsid w:val="00511C66"/>
    <w:rsid w:val="00531900"/>
    <w:rsid w:val="00587AAB"/>
    <w:rsid w:val="00590DBF"/>
    <w:rsid w:val="005D4A62"/>
    <w:rsid w:val="005D6F2B"/>
    <w:rsid w:val="005D7BCB"/>
    <w:rsid w:val="00606F4E"/>
    <w:rsid w:val="00645486"/>
    <w:rsid w:val="00680732"/>
    <w:rsid w:val="00695954"/>
    <w:rsid w:val="006B1D94"/>
    <w:rsid w:val="006C3D65"/>
    <w:rsid w:val="006C3E8D"/>
    <w:rsid w:val="006E59E7"/>
    <w:rsid w:val="006E7F8D"/>
    <w:rsid w:val="00705A20"/>
    <w:rsid w:val="007160E3"/>
    <w:rsid w:val="007673C9"/>
    <w:rsid w:val="00791636"/>
    <w:rsid w:val="007A5E48"/>
    <w:rsid w:val="007D7471"/>
    <w:rsid w:val="007F5E0C"/>
    <w:rsid w:val="00803C5E"/>
    <w:rsid w:val="0087232C"/>
    <w:rsid w:val="00884454"/>
    <w:rsid w:val="008A4A35"/>
    <w:rsid w:val="008C3856"/>
    <w:rsid w:val="008D2E8C"/>
    <w:rsid w:val="008E1BD9"/>
    <w:rsid w:val="0091225E"/>
    <w:rsid w:val="0092344C"/>
    <w:rsid w:val="00923B59"/>
    <w:rsid w:val="0097151B"/>
    <w:rsid w:val="00975A66"/>
    <w:rsid w:val="009A055E"/>
    <w:rsid w:val="009D19A9"/>
    <w:rsid w:val="00A05783"/>
    <w:rsid w:val="00A243EB"/>
    <w:rsid w:val="00A3100D"/>
    <w:rsid w:val="00A4044E"/>
    <w:rsid w:val="00A533EC"/>
    <w:rsid w:val="00A75720"/>
    <w:rsid w:val="00A8417E"/>
    <w:rsid w:val="00A85E20"/>
    <w:rsid w:val="00A86B88"/>
    <w:rsid w:val="00A9638F"/>
    <w:rsid w:val="00AC6FB4"/>
    <w:rsid w:val="00B00218"/>
    <w:rsid w:val="00B514B5"/>
    <w:rsid w:val="00B62872"/>
    <w:rsid w:val="00BA16A9"/>
    <w:rsid w:val="00BB1C14"/>
    <w:rsid w:val="00BB4784"/>
    <w:rsid w:val="00BC62F6"/>
    <w:rsid w:val="00BE50F1"/>
    <w:rsid w:val="00C12ACC"/>
    <w:rsid w:val="00C255F8"/>
    <w:rsid w:val="00C3455D"/>
    <w:rsid w:val="00CB3430"/>
    <w:rsid w:val="00CC4ECB"/>
    <w:rsid w:val="00CC660A"/>
    <w:rsid w:val="00CE58EB"/>
    <w:rsid w:val="00CE6ACB"/>
    <w:rsid w:val="00D219C7"/>
    <w:rsid w:val="00D2747C"/>
    <w:rsid w:val="00D310F4"/>
    <w:rsid w:val="00D54ACE"/>
    <w:rsid w:val="00D861B5"/>
    <w:rsid w:val="00DA0156"/>
    <w:rsid w:val="00DB64F9"/>
    <w:rsid w:val="00DD5088"/>
    <w:rsid w:val="00DE6577"/>
    <w:rsid w:val="00DF6585"/>
    <w:rsid w:val="00E26D12"/>
    <w:rsid w:val="00E44329"/>
    <w:rsid w:val="00E45E34"/>
    <w:rsid w:val="00E46FF2"/>
    <w:rsid w:val="00E81C79"/>
    <w:rsid w:val="00E918A6"/>
    <w:rsid w:val="00E9318B"/>
    <w:rsid w:val="00EC1336"/>
    <w:rsid w:val="00EC62C4"/>
    <w:rsid w:val="00EF30EB"/>
    <w:rsid w:val="00EF3EB5"/>
    <w:rsid w:val="00F277C8"/>
    <w:rsid w:val="00F63878"/>
    <w:rsid w:val="00F64D00"/>
    <w:rsid w:val="00F700A7"/>
    <w:rsid w:val="00FC4682"/>
    <w:rsid w:val="00FD097F"/>
    <w:rsid w:val="00FE0FF3"/>
    <w:rsid w:val="00FE5445"/>
    <w:rsid w:val="00FF6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65B468D"/>
  <w15:docId w15:val="{3F1C58C0-1B2A-4A5F-A3ED-6002DBC8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character" w:styleId="Uwydatnienie">
    <w:name w:val="Emphasis"/>
    <w:uiPriority w:val="20"/>
    <w:qFormat/>
    <w:rsid w:val="0092344C"/>
    <w:rPr>
      <w:i/>
      <w:iCs/>
    </w:rPr>
  </w:style>
  <w:style w:type="character" w:styleId="Pogrubienie">
    <w:name w:val="Strong"/>
    <w:uiPriority w:val="22"/>
    <w:qFormat/>
    <w:rsid w:val="003F12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500"/>
              <a:t>Wyroki Europejskiego Trybunału Praw Człowieka w sprawach Polskich</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pieChart>
        <c:varyColors val="1"/>
        <c:ser>
          <c:idx val="0"/>
          <c:order val="0"/>
          <c:tx>
            <c:strRef>
              <c:f>Arkusz1!$B$1</c:f>
              <c:strCache>
                <c:ptCount val="1"/>
                <c:pt idx="0">
                  <c:v>Wyroki Europejskiego Trybunału Praw Człowieka w sprawach polskich</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CDF1-4CA5-892D-C718BDB371A4}"/>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CDF1-4CA5-892D-C718BDB371A4}"/>
              </c:ext>
            </c:extLst>
          </c:dPt>
          <c:cat>
            <c:strRef>
              <c:f>Arkusz1!$A$2:$A$3</c:f>
              <c:strCache>
                <c:ptCount val="2"/>
                <c:pt idx="0">
                  <c:v>Wyroki stwierdzające naruszenie przepisów Konwencji</c:v>
                </c:pt>
                <c:pt idx="1">
                  <c:v>Wyroki stwierdzające brak naruszenia przepisów Konwencji</c:v>
                </c:pt>
              </c:strCache>
            </c:strRef>
          </c:cat>
          <c:val>
            <c:numRef>
              <c:f>Arkusz1!$B$2:$B$3</c:f>
              <c:numCache>
                <c:formatCode>General</c:formatCode>
                <c:ptCount val="2"/>
                <c:pt idx="0">
                  <c:v>17</c:v>
                </c:pt>
                <c:pt idx="1">
                  <c:v>0</c:v>
                </c:pt>
              </c:numCache>
            </c:numRef>
          </c:val>
          <c:extLst>
            <c:ext xmlns:c16="http://schemas.microsoft.com/office/drawing/2014/chart" uri="{C3380CC4-5D6E-409C-BE32-E72D297353CC}">
              <c16:uniqueId val="{00000004-CDF1-4CA5-892D-C718BDB371A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pl-PL"/>
        </a:p>
      </c:txPr>
    </c:title>
    <c:autoTitleDeleted val="0"/>
    <c:plotArea>
      <c:layout/>
      <c:barChart>
        <c:barDir val="bar"/>
        <c:grouping val="clustered"/>
        <c:varyColors val="0"/>
        <c:ser>
          <c:idx val="0"/>
          <c:order val="0"/>
          <c:tx>
            <c:strRef>
              <c:f>Arkusz1!$B$1</c:f>
              <c:strCache>
                <c:ptCount val="1"/>
                <c:pt idx="0">
                  <c:v>Statystyka stwierdzonych naruszeń</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pl-P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Arkusz1!$A$2:$A$8</c:f>
              <c:strCache>
                <c:ptCount val="7"/>
                <c:pt idx="0">
                  <c:v>Zakaz tortur - art. 3 Konwencji</c:v>
                </c:pt>
                <c:pt idx="1">
                  <c:v>Prawo do wolności i bezpieczeństwa osobistego - art. 5 Konwencji</c:v>
                </c:pt>
                <c:pt idx="2">
                  <c:v>Prawo do rzetelnego procesu - art. 6 Konwencji</c:v>
                </c:pt>
                <c:pt idx="3">
                  <c:v>Prawo do poszanowania życia prywatnego i rodzinnego – art. 8 Konwencji</c:v>
                </c:pt>
                <c:pt idx="4">
                  <c:v>Wolność wyrażania opinii – art. 10 Konwencji</c:v>
                </c:pt>
                <c:pt idx="5">
                  <c:v>Prawo do skutecznego środka odwoławczego - art. 13 Konwencji</c:v>
                </c:pt>
                <c:pt idx="6">
                  <c:v>Zakaz dyskryminacji - art. 14 Konwencji</c:v>
                </c:pt>
              </c:strCache>
            </c:strRef>
          </c:cat>
          <c:val>
            <c:numRef>
              <c:f>Arkusz1!$B$2:$B$8</c:f>
              <c:numCache>
                <c:formatCode>General</c:formatCode>
                <c:ptCount val="7"/>
                <c:pt idx="0">
                  <c:v>2</c:v>
                </c:pt>
                <c:pt idx="1">
                  <c:v>2</c:v>
                </c:pt>
                <c:pt idx="2">
                  <c:v>4</c:v>
                </c:pt>
                <c:pt idx="3">
                  <c:v>9</c:v>
                </c:pt>
                <c:pt idx="4">
                  <c:v>1</c:v>
                </c:pt>
                <c:pt idx="5">
                  <c:v>2</c:v>
                </c:pt>
                <c:pt idx="6">
                  <c:v>1</c:v>
                </c:pt>
              </c:numCache>
            </c:numRef>
          </c:val>
          <c:extLst>
            <c:ext xmlns:c16="http://schemas.microsoft.com/office/drawing/2014/chart" uri="{C3380CC4-5D6E-409C-BE32-E72D297353CC}">
              <c16:uniqueId val="{00000000-498C-414F-9DA5-B436B001F8C9}"/>
            </c:ext>
          </c:extLst>
        </c:ser>
        <c:dLbls>
          <c:showLegendKey val="0"/>
          <c:showVal val="0"/>
          <c:showCatName val="0"/>
          <c:showSerName val="0"/>
          <c:showPercent val="0"/>
          <c:showBubbleSize val="0"/>
        </c:dLbls>
        <c:gapWidth val="100"/>
        <c:axId val="1404176911"/>
        <c:axId val="1404179791"/>
      </c:barChart>
      <c:dateAx>
        <c:axId val="1404176911"/>
        <c:scaling>
          <c:orientation val="maxMin"/>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404179791"/>
        <c:crosses val="autoZero"/>
        <c:auto val="0"/>
        <c:lblOffset val="100"/>
        <c:baseTimeUnit val="days"/>
      </c:dateAx>
      <c:valAx>
        <c:axId val="1404179791"/>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pl-PL"/>
          </a:p>
        </c:txPr>
        <c:crossAx val="1404176911"/>
        <c:crosses val="max"/>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1">
  <a:schemeClr val="accent1"/>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Pages>
  <Words>12717</Words>
  <Characters>76304</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88844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Szponar Paweł  (DWMPC)</cp:lastModifiedBy>
  <cp:revision>36</cp:revision>
  <cp:lastPrinted>2018-12-17T09:56:00Z</cp:lastPrinted>
  <dcterms:created xsi:type="dcterms:W3CDTF">2018-12-18T12:06:00Z</dcterms:created>
  <dcterms:modified xsi:type="dcterms:W3CDTF">2026-02-23T08:54:00Z</dcterms:modified>
</cp:coreProperties>
</file>