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784" w:rsidRPr="00C26429" w:rsidRDefault="00177784">
      <w:pPr>
        <w:spacing w:after="0" w:line="200" w:lineRule="exact"/>
        <w:rPr>
          <w:sz w:val="20"/>
          <w:vertAlign w:val="subscript"/>
          <w:lang w:val="pl-PL"/>
        </w:rPr>
      </w:pPr>
    </w:p>
    <w:p w:rsidR="00E627F2" w:rsidRPr="00E627F2" w:rsidRDefault="00E627F2" w:rsidP="00E627F2">
      <w:pPr>
        <w:tabs>
          <w:tab w:val="center" w:pos="4536"/>
          <w:tab w:val="right" w:pos="9072"/>
        </w:tabs>
        <w:suppressAutoHyphens/>
        <w:spacing w:after="0" w:line="360" w:lineRule="auto"/>
        <w:rPr>
          <w:rFonts w:ascii="Times" w:eastAsia="Times New Roman" w:hAnsi="Times" w:cs="Times New Roman"/>
          <w:w w:val="100"/>
          <w:kern w:val="1"/>
          <w:sz w:val="24"/>
          <w:szCs w:val="24"/>
          <w:lang w:val="pl-PL" w:eastAsia="ar-SA"/>
        </w:rPr>
      </w:pPr>
      <w:r w:rsidRPr="00E627F2">
        <w:rPr>
          <w:rFonts w:ascii="Times" w:eastAsia="Times New Roman" w:hAnsi="Times" w:cs="Times New Roman"/>
          <w:w w:val="100"/>
          <w:kern w:val="1"/>
          <w:sz w:val="24"/>
          <w:szCs w:val="24"/>
          <w:lang w:val="pl-PL" w:eastAsia="ar-SA"/>
        </w:rPr>
        <w:t xml:space="preserve">                                                                                                          Projekt z dnia </w:t>
      </w:r>
      <w:r>
        <w:rPr>
          <w:rFonts w:ascii="Times" w:eastAsia="Times New Roman" w:hAnsi="Times" w:cs="Times New Roman"/>
          <w:w w:val="100"/>
          <w:kern w:val="1"/>
          <w:sz w:val="24"/>
          <w:szCs w:val="24"/>
          <w:lang w:val="pl-PL" w:eastAsia="ar-SA"/>
        </w:rPr>
        <w:t>2</w:t>
      </w:r>
      <w:r w:rsidRPr="00E627F2">
        <w:rPr>
          <w:rFonts w:ascii="Times" w:eastAsia="Times New Roman" w:hAnsi="Times" w:cs="Times New Roman"/>
          <w:w w:val="100"/>
          <w:kern w:val="1"/>
          <w:sz w:val="24"/>
          <w:szCs w:val="24"/>
          <w:lang w:val="pl-PL" w:eastAsia="ar-SA"/>
        </w:rPr>
        <w:t xml:space="preserve">1.06.2018 r. </w:t>
      </w:r>
    </w:p>
    <w:p w:rsidR="00E627F2" w:rsidRPr="00E627F2" w:rsidRDefault="00E627F2" w:rsidP="00E627F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w w:val="100"/>
          <w:sz w:val="24"/>
          <w:szCs w:val="20"/>
          <w:lang w:val="pl-PL" w:eastAsia="pl-PL"/>
        </w:rPr>
      </w:pPr>
    </w:p>
    <w:p w:rsidR="00E627F2" w:rsidRPr="00E627F2" w:rsidRDefault="00E627F2" w:rsidP="00E627F2">
      <w:pPr>
        <w:keepNext/>
        <w:widowControl/>
        <w:spacing w:before="120" w:after="0" w:line="360" w:lineRule="auto"/>
        <w:jc w:val="center"/>
        <w:rPr>
          <w:rFonts w:ascii="Times" w:eastAsia="Times New Roman" w:hAnsi="Times" w:cs="Arial"/>
          <w:b/>
          <w:bCs/>
          <w:caps/>
          <w:w w:val="100"/>
          <w:kern w:val="24"/>
          <w:sz w:val="24"/>
          <w:szCs w:val="24"/>
          <w:lang w:val="pl-PL" w:eastAsia="pl-PL"/>
        </w:rPr>
      </w:pPr>
      <w:r w:rsidRPr="00E627F2">
        <w:rPr>
          <w:rFonts w:ascii="Times" w:eastAsia="Times New Roman" w:hAnsi="Times" w:cs="Arial"/>
          <w:b/>
          <w:bCs/>
          <w:caps/>
          <w:w w:val="100"/>
          <w:kern w:val="24"/>
          <w:sz w:val="24"/>
          <w:szCs w:val="24"/>
          <w:lang w:val="pl-PL" w:eastAsia="pl-PL"/>
        </w:rPr>
        <w:t xml:space="preserve">OBWIESZCZENIE </w:t>
      </w:r>
    </w:p>
    <w:p w:rsidR="00E627F2" w:rsidRPr="00E627F2" w:rsidRDefault="00E627F2" w:rsidP="00E627F2">
      <w:pPr>
        <w:keepNext/>
        <w:widowControl/>
        <w:spacing w:before="120" w:after="0" w:line="360" w:lineRule="auto"/>
        <w:jc w:val="center"/>
        <w:rPr>
          <w:rFonts w:ascii="Times" w:eastAsia="Times New Roman" w:hAnsi="Times" w:cs="Arial"/>
          <w:b/>
          <w:bCs/>
          <w:caps/>
          <w:w w:val="100"/>
          <w:kern w:val="24"/>
          <w:sz w:val="24"/>
          <w:szCs w:val="24"/>
          <w:lang w:val="pl-PL" w:eastAsia="pl-PL"/>
        </w:rPr>
      </w:pPr>
      <w:r w:rsidRPr="00E627F2">
        <w:rPr>
          <w:rFonts w:ascii="Times" w:eastAsia="Times New Roman" w:hAnsi="Times" w:cs="Arial"/>
          <w:b/>
          <w:bCs/>
          <w:caps/>
          <w:w w:val="100"/>
          <w:kern w:val="24"/>
          <w:sz w:val="24"/>
          <w:szCs w:val="24"/>
          <w:lang w:val="pl-PL" w:eastAsia="pl-PL"/>
        </w:rPr>
        <w:t xml:space="preserve">MINISTRA ZDROWIA </w:t>
      </w:r>
      <w:r w:rsidRPr="00E627F2">
        <w:rPr>
          <w:rFonts w:ascii="Times" w:eastAsia="Times New Roman" w:hAnsi="Times" w:cs="Arial"/>
          <w:bCs/>
          <w:caps/>
          <w:w w:val="100"/>
          <w:kern w:val="24"/>
          <w:sz w:val="24"/>
          <w:szCs w:val="24"/>
          <w:vertAlign w:val="superscript"/>
          <w:lang w:val="pl-PL" w:eastAsia="pl-PL"/>
        </w:rPr>
        <w:footnoteReference w:id="2"/>
      </w:r>
      <w:r w:rsidRPr="00E627F2">
        <w:rPr>
          <w:rFonts w:ascii="Times" w:eastAsia="Times New Roman" w:hAnsi="Times" w:cs="Arial"/>
          <w:bCs/>
          <w:caps/>
          <w:w w:val="100"/>
          <w:kern w:val="24"/>
          <w:sz w:val="24"/>
          <w:szCs w:val="24"/>
          <w:vertAlign w:val="superscript"/>
          <w:lang w:val="pl-PL" w:eastAsia="pl-PL"/>
        </w:rPr>
        <w:t>) </w:t>
      </w:r>
    </w:p>
    <w:p w:rsidR="00E627F2" w:rsidRPr="00E627F2" w:rsidRDefault="00E627F2" w:rsidP="00E627F2">
      <w:pPr>
        <w:keepNext/>
        <w:widowControl/>
        <w:suppressAutoHyphens/>
        <w:spacing w:before="120" w:after="120" w:line="360" w:lineRule="auto"/>
        <w:jc w:val="center"/>
        <w:rPr>
          <w:rFonts w:ascii="Times" w:eastAsia="Times New Roman" w:hAnsi="Times" w:cs="Arial"/>
          <w:bCs/>
          <w:w w:val="100"/>
          <w:sz w:val="24"/>
          <w:szCs w:val="24"/>
          <w:lang w:val="pl-PL" w:eastAsia="pl-PL"/>
        </w:rPr>
      </w:pPr>
      <w:r w:rsidRPr="00E627F2">
        <w:rPr>
          <w:rFonts w:ascii="Times" w:eastAsia="Times New Roman" w:hAnsi="Times" w:cs="Arial"/>
          <w:b/>
          <w:bCs/>
          <w:w w:val="100"/>
          <w:sz w:val="24"/>
          <w:szCs w:val="24"/>
          <w:lang w:val="pl-PL" w:eastAsia="pl-PL"/>
        </w:rPr>
        <w:t>z dnia .................... 2018 r.</w:t>
      </w:r>
    </w:p>
    <w:p w:rsidR="00E627F2" w:rsidRPr="00E627F2" w:rsidRDefault="00E627F2" w:rsidP="00E627F2">
      <w:pPr>
        <w:keepNext/>
        <w:widowControl/>
        <w:suppressAutoHyphens/>
        <w:spacing w:before="120" w:after="360" w:line="360" w:lineRule="auto"/>
        <w:jc w:val="center"/>
        <w:rPr>
          <w:rFonts w:ascii="Times" w:eastAsia="Times New Roman" w:hAnsi="Times" w:cs="Arial"/>
          <w:b/>
          <w:bCs/>
          <w:w w:val="100"/>
          <w:sz w:val="24"/>
          <w:szCs w:val="24"/>
          <w:lang w:val="pl-PL" w:eastAsia="pl-PL"/>
        </w:rPr>
      </w:pPr>
      <w:r w:rsidRPr="00E627F2">
        <w:rPr>
          <w:rFonts w:ascii="Times" w:eastAsia="Times New Roman" w:hAnsi="Times" w:cs="Arial"/>
          <w:b/>
          <w:bCs/>
          <w:w w:val="100"/>
          <w:sz w:val="24"/>
          <w:szCs w:val="24"/>
          <w:lang w:val="pl-PL" w:eastAsia="pl-PL"/>
        </w:rPr>
        <w:t>w sprawie zaleceń postępowania</w:t>
      </w:r>
    </w:p>
    <w:p w:rsidR="00E627F2" w:rsidRPr="00E627F2" w:rsidRDefault="00E627F2" w:rsidP="00E627F2">
      <w:pPr>
        <w:widowControl/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w w:val="100"/>
          <w:sz w:val="24"/>
          <w:szCs w:val="20"/>
          <w:lang w:val="pl-PL" w:eastAsia="pl-PL"/>
        </w:rPr>
      </w:pPr>
      <w:r w:rsidRPr="00E627F2">
        <w:rPr>
          <w:rFonts w:ascii="Times" w:eastAsia="Times New Roman" w:hAnsi="Times" w:cs="Arial"/>
          <w:bCs/>
          <w:w w:val="100"/>
          <w:sz w:val="24"/>
          <w:szCs w:val="20"/>
          <w:lang w:val="pl-PL" w:eastAsia="pl-PL"/>
        </w:rPr>
        <w:t>Na podstawie art. 11 ust. 3 ustawy z dnia 27 sierpnia 2004 r. o świadczeniach opieki zdrowotnej finansowanych ze środków publicznych (Dz. U. z 2017 r. poz. 1938, z późn. zm.</w:t>
      </w:r>
      <w:r w:rsidRPr="00E627F2">
        <w:rPr>
          <w:rFonts w:ascii="Times" w:eastAsia="Times New Roman" w:hAnsi="Times" w:cs="Times New Roman"/>
          <w:bCs/>
          <w:w w:val="100"/>
          <w:sz w:val="24"/>
          <w:szCs w:val="20"/>
          <w:vertAlign w:val="superscript"/>
          <w:lang w:val="pl-PL" w:eastAsia="pl-PL"/>
        </w:rPr>
        <w:footnoteReference w:customMarkFollows="1" w:id="3"/>
        <w:t>2)</w:t>
      </w:r>
      <w:r w:rsidRPr="00E627F2">
        <w:rPr>
          <w:rFonts w:ascii="Times" w:eastAsia="Times New Roman" w:hAnsi="Times" w:cs="Arial"/>
          <w:bCs/>
          <w:w w:val="100"/>
          <w:sz w:val="24"/>
          <w:szCs w:val="20"/>
          <w:lang w:val="pl-PL" w:eastAsia="pl-PL"/>
        </w:rPr>
        <w:t>) ogłasza się zalecenia postępowania dotyczące diagnostyki i leczenia w zakresie świadczeń finansowanych ze środków publicznych, stanowiące załącznik do obwieszczenia.  </w:t>
      </w:r>
    </w:p>
    <w:p w:rsidR="00E627F2" w:rsidRPr="00E627F2" w:rsidRDefault="00E627F2" w:rsidP="00E627F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w w:val="100"/>
          <w:sz w:val="24"/>
          <w:szCs w:val="20"/>
          <w:lang w:val="pl-PL" w:eastAsia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4"/>
      </w:tblGrid>
      <w:tr w:rsidR="00E627F2" w:rsidRPr="00E627F2" w:rsidTr="004C4B09">
        <w:tc>
          <w:tcPr>
            <w:tcW w:w="2500" w:type="pct"/>
            <w:shd w:val="clear" w:color="auto" w:fill="auto"/>
          </w:tcPr>
          <w:p w:rsidR="00E627F2" w:rsidRPr="00E627F2" w:rsidRDefault="00E627F2" w:rsidP="00E627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w w:val="100"/>
                <w:sz w:val="24"/>
                <w:szCs w:val="20"/>
                <w:lang w:val="pl-PL" w:eastAsia="pl-PL"/>
              </w:rPr>
            </w:pPr>
          </w:p>
        </w:tc>
        <w:tc>
          <w:tcPr>
            <w:tcW w:w="2500" w:type="pct"/>
            <w:shd w:val="clear" w:color="auto" w:fill="auto"/>
          </w:tcPr>
          <w:p w:rsidR="00E627F2" w:rsidRPr="00E627F2" w:rsidRDefault="00E627F2" w:rsidP="00E627F2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w w:val="100"/>
                <w:sz w:val="24"/>
                <w:szCs w:val="20"/>
                <w:lang w:val="pl-PL" w:eastAsia="pl-PL"/>
              </w:rPr>
            </w:pPr>
            <w:r w:rsidRPr="00E627F2">
              <w:rPr>
                <w:rFonts w:ascii="Times New Roman" w:eastAsia="Times New Roman" w:hAnsi="Times New Roman" w:cs="Arial"/>
                <w:b/>
                <w:w w:val="100"/>
                <w:sz w:val="24"/>
                <w:szCs w:val="20"/>
                <w:lang w:val="pl-PL" w:eastAsia="pl-PL"/>
              </w:rPr>
              <w:t>MINISTER ZDROWIA </w:t>
            </w:r>
            <w:r w:rsidRPr="00E627F2">
              <w:rPr>
                <w:rFonts w:ascii="Times New Roman" w:eastAsia="Times New Roman" w:hAnsi="Times New Roman" w:cs="Arial"/>
                <w:b/>
                <w:w w:val="100"/>
                <w:sz w:val="24"/>
                <w:szCs w:val="20"/>
                <w:lang w:val="pl-PL" w:eastAsia="pl-PL"/>
              </w:rPr>
              <w:tab/>
            </w:r>
          </w:p>
          <w:p w:rsidR="00E627F2" w:rsidRPr="00E627F2" w:rsidRDefault="00E627F2" w:rsidP="00E627F2">
            <w:pPr>
              <w:suppressAutoHyphens/>
              <w:spacing w:after="0" w:line="360" w:lineRule="auto"/>
              <w:rPr>
                <w:rFonts w:ascii="Times" w:eastAsia="Times New Roman" w:hAnsi="Times" w:cs="Times New Roman"/>
                <w:b/>
                <w:w w:val="100"/>
                <w:kern w:val="1"/>
                <w:sz w:val="24"/>
                <w:szCs w:val="24"/>
                <w:lang w:val="pl-PL" w:eastAsia="ar-SA"/>
              </w:rPr>
            </w:pPr>
          </w:p>
        </w:tc>
      </w:tr>
    </w:tbl>
    <w:p w:rsidR="00E627F2" w:rsidRDefault="00E627F2">
      <w:pPr>
        <w:spacing w:after="0" w:line="200" w:lineRule="exact"/>
        <w:rPr>
          <w:sz w:val="20"/>
          <w:szCs w:val="20"/>
          <w:lang w:val="pl-PL"/>
        </w:rPr>
      </w:pPr>
    </w:p>
    <w:p w:rsidR="00E627F2" w:rsidRDefault="00E627F2">
      <w:pPr>
        <w:widowControl/>
        <w:spacing w:after="0" w:line="24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br w:type="page"/>
      </w:r>
    </w:p>
    <w:p w:rsidR="00E627F2" w:rsidRPr="00E627F2" w:rsidRDefault="00E627F2" w:rsidP="00E627F2">
      <w:pPr>
        <w:widowControl/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/>
          <w:bCs/>
          <w:w w:val="100"/>
          <w:sz w:val="24"/>
          <w:szCs w:val="20"/>
          <w:lang w:val="pl-PL" w:eastAsia="pl-PL"/>
        </w:rPr>
      </w:pPr>
      <w:r w:rsidRPr="00E627F2">
        <w:rPr>
          <w:rFonts w:ascii="Times" w:eastAsia="Times New Roman" w:hAnsi="Times" w:cs="Arial"/>
          <w:b/>
          <w:bCs/>
          <w:w w:val="100"/>
          <w:sz w:val="24"/>
          <w:szCs w:val="20"/>
          <w:lang w:val="pl-PL" w:eastAsia="pl-PL"/>
        </w:rPr>
        <w:lastRenderedPageBreak/>
        <w:t xml:space="preserve">                                                                Załącznik do obwieszczenia Ministra Zdrowia</w:t>
      </w:r>
    </w:p>
    <w:p w:rsidR="00E627F2" w:rsidRPr="00E627F2" w:rsidRDefault="00E627F2" w:rsidP="00E627F2">
      <w:pPr>
        <w:widowControl/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/>
          <w:w w:val="100"/>
          <w:sz w:val="24"/>
          <w:szCs w:val="20"/>
          <w:lang w:val="pl-PL" w:eastAsia="pl-PL"/>
        </w:rPr>
      </w:pPr>
      <w:r w:rsidRPr="00E627F2">
        <w:rPr>
          <w:rFonts w:ascii="Times" w:eastAsia="Times New Roman" w:hAnsi="Times" w:cs="Arial"/>
          <w:b/>
          <w:w w:val="100"/>
          <w:sz w:val="24"/>
          <w:szCs w:val="20"/>
          <w:lang w:val="pl-PL" w:eastAsia="pl-PL"/>
        </w:rPr>
        <w:t xml:space="preserve">                                                                               </w:t>
      </w:r>
      <w:r>
        <w:rPr>
          <w:rFonts w:ascii="Times" w:eastAsia="Times New Roman" w:hAnsi="Times" w:cs="Arial"/>
          <w:b/>
          <w:w w:val="100"/>
          <w:sz w:val="24"/>
          <w:szCs w:val="20"/>
          <w:lang w:val="pl-PL" w:eastAsia="pl-PL"/>
        </w:rPr>
        <w:t xml:space="preserve">                              </w:t>
      </w:r>
      <w:bookmarkStart w:id="0" w:name="_GoBack"/>
      <w:bookmarkEnd w:id="0"/>
      <w:r w:rsidRPr="00E627F2">
        <w:rPr>
          <w:rFonts w:ascii="Times" w:eastAsia="Times New Roman" w:hAnsi="Times" w:cs="Arial"/>
          <w:b/>
          <w:w w:val="100"/>
          <w:sz w:val="24"/>
          <w:szCs w:val="20"/>
          <w:lang w:val="pl-PL" w:eastAsia="pl-PL"/>
        </w:rPr>
        <w:t>z dnia ….. (poz …)</w:t>
      </w: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before="10" w:after="0" w:line="200" w:lineRule="exact"/>
        <w:rPr>
          <w:sz w:val="20"/>
          <w:szCs w:val="20"/>
          <w:lang w:val="pl-PL"/>
        </w:rPr>
      </w:pPr>
    </w:p>
    <w:p w:rsidR="004C4E0B" w:rsidRDefault="004C4E0B">
      <w:pPr>
        <w:spacing w:before="3" w:after="0" w:line="240" w:lineRule="auto"/>
        <w:ind w:left="2842" w:right="2828"/>
        <w:jc w:val="center"/>
        <w:rPr>
          <w:rFonts w:ascii="Arial" w:eastAsia="Arial" w:hAnsi="Arial" w:cs="Arial"/>
          <w:color w:val="2E74B5"/>
          <w:w w:val="81"/>
          <w:sz w:val="42"/>
          <w:szCs w:val="42"/>
          <w:lang w:val="pl-PL"/>
        </w:rPr>
      </w:pPr>
      <w:r>
        <w:rPr>
          <w:rFonts w:ascii="Arial" w:eastAsia="Arial" w:hAnsi="Arial" w:cs="Arial"/>
          <w:color w:val="2E74B5"/>
          <w:w w:val="81"/>
          <w:sz w:val="42"/>
          <w:szCs w:val="42"/>
          <w:lang w:val="pl-PL"/>
        </w:rPr>
        <w:t>Polskie Towarzystwo Onkologii Klinicznej</w:t>
      </w:r>
    </w:p>
    <w:p w:rsidR="004C4E0B" w:rsidRDefault="004C4E0B">
      <w:pPr>
        <w:spacing w:before="3" w:after="0" w:line="240" w:lineRule="auto"/>
        <w:ind w:left="2842" w:right="2828"/>
        <w:jc w:val="center"/>
        <w:rPr>
          <w:rFonts w:ascii="Arial" w:eastAsia="Arial" w:hAnsi="Arial" w:cs="Arial"/>
          <w:color w:val="2E74B5"/>
          <w:w w:val="81"/>
          <w:sz w:val="42"/>
          <w:szCs w:val="42"/>
          <w:lang w:val="pl-PL"/>
        </w:rPr>
      </w:pPr>
    </w:p>
    <w:p w:rsidR="00177784" w:rsidRPr="00C26429" w:rsidRDefault="001F755E">
      <w:pPr>
        <w:spacing w:before="3" w:after="0" w:line="240" w:lineRule="auto"/>
        <w:ind w:left="2842" w:right="2828"/>
        <w:jc w:val="center"/>
        <w:rPr>
          <w:rFonts w:ascii="Arial" w:eastAsia="Arial" w:hAnsi="Arial" w:cs="Arial"/>
          <w:color w:val="2E74B5"/>
          <w:sz w:val="42"/>
          <w:szCs w:val="42"/>
          <w:lang w:val="pl-PL"/>
        </w:rPr>
      </w:pPr>
      <w:r w:rsidRPr="00C26429">
        <w:rPr>
          <w:rFonts w:ascii="Arial" w:eastAsia="Arial" w:hAnsi="Arial" w:cs="Arial"/>
          <w:color w:val="2E74B5"/>
          <w:w w:val="81"/>
          <w:sz w:val="42"/>
          <w:szCs w:val="42"/>
          <w:lang w:val="pl-PL"/>
        </w:rPr>
        <w:t>Rak</w:t>
      </w:r>
      <w:r w:rsidRPr="00C26429">
        <w:rPr>
          <w:rFonts w:ascii="Arial" w:eastAsia="Arial" w:hAnsi="Arial" w:cs="Arial"/>
          <w:color w:val="2E74B5"/>
          <w:spacing w:val="7"/>
          <w:w w:val="81"/>
          <w:sz w:val="42"/>
          <w:szCs w:val="42"/>
          <w:lang w:val="pl-PL"/>
        </w:rPr>
        <w:t xml:space="preserve"> </w:t>
      </w:r>
      <w:r w:rsidRPr="00C26429">
        <w:rPr>
          <w:rFonts w:ascii="Arial" w:eastAsia="Arial" w:hAnsi="Arial" w:cs="Arial"/>
          <w:color w:val="2E74B5"/>
          <w:w w:val="87"/>
          <w:sz w:val="42"/>
          <w:szCs w:val="42"/>
          <w:lang w:val="pl-PL"/>
        </w:rPr>
        <w:t>piersi</w:t>
      </w:r>
    </w:p>
    <w:p w:rsidR="00177784" w:rsidRPr="00C26429" w:rsidRDefault="00177784">
      <w:pPr>
        <w:spacing w:before="8" w:after="0" w:line="180" w:lineRule="exact"/>
        <w:rPr>
          <w:sz w:val="18"/>
          <w:szCs w:val="18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F755E">
      <w:pPr>
        <w:spacing w:after="0" w:line="240" w:lineRule="auto"/>
        <w:ind w:left="3202" w:right="3188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C26429">
        <w:rPr>
          <w:rFonts w:ascii="Arial" w:eastAsia="Arial" w:hAnsi="Arial" w:cs="Arial"/>
          <w:spacing w:val="-5"/>
          <w:w w:val="80"/>
          <w:sz w:val="24"/>
          <w:szCs w:val="24"/>
          <w:lang w:val="pl-PL"/>
        </w:rPr>
        <w:t>R</w:t>
      </w:r>
      <w:r w:rsidRPr="00C26429">
        <w:rPr>
          <w:rFonts w:ascii="Arial" w:eastAsia="Arial" w:hAnsi="Arial" w:cs="Arial"/>
          <w:w w:val="84"/>
          <w:sz w:val="24"/>
          <w:szCs w:val="24"/>
          <w:lang w:val="pl-PL"/>
        </w:rPr>
        <w:t>edakcja:</w:t>
      </w:r>
    </w:p>
    <w:p w:rsidR="00177784" w:rsidRPr="00C26429" w:rsidRDefault="001F755E">
      <w:pPr>
        <w:spacing w:before="68" w:after="0" w:line="240" w:lineRule="auto"/>
        <w:ind w:left="2035" w:right="2022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C26429">
        <w:rPr>
          <w:rFonts w:ascii="Arial" w:eastAsia="Arial" w:hAnsi="Arial" w:cs="Arial"/>
          <w:b/>
          <w:bCs/>
          <w:w w:val="84"/>
          <w:sz w:val="24"/>
          <w:szCs w:val="24"/>
          <w:lang w:val="pl-PL"/>
        </w:rPr>
        <w:t>Jacek</w:t>
      </w:r>
      <w:r w:rsidRPr="00C26429">
        <w:rPr>
          <w:rFonts w:ascii="Arial" w:eastAsia="Arial" w:hAnsi="Arial" w:cs="Arial"/>
          <w:b/>
          <w:bCs/>
          <w:spacing w:val="-10"/>
          <w:w w:val="84"/>
          <w:sz w:val="24"/>
          <w:szCs w:val="24"/>
          <w:lang w:val="pl-PL"/>
        </w:rPr>
        <w:t xml:space="preserve"> </w:t>
      </w:r>
      <w:r w:rsidRPr="00C26429">
        <w:rPr>
          <w:rFonts w:ascii="Arial" w:eastAsia="Arial" w:hAnsi="Arial" w:cs="Arial"/>
          <w:b/>
          <w:bCs/>
          <w:w w:val="84"/>
          <w:sz w:val="24"/>
          <w:szCs w:val="24"/>
          <w:lang w:val="pl-PL"/>
        </w:rPr>
        <w:t>Jassem,</w:t>
      </w:r>
      <w:r w:rsidRPr="00C26429">
        <w:rPr>
          <w:rFonts w:ascii="Arial" w:eastAsia="Arial" w:hAnsi="Arial" w:cs="Arial"/>
          <w:b/>
          <w:bCs/>
          <w:spacing w:val="-6"/>
          <w:w w:val="84"/>
          <w:sz w:val="24"/>
          <w:szCs w:val="24"/>
          <w:lang w:val="pl-PL"/>
        </w:rPr>
        <w:t xml:space="preserve"> </w:t>
      </w:r>
      <w:r w:rsidRPr="00C26429">
        <w:rPr>
          <w:rFonts w:ascii="Arial" w:eastAsia="Arial" w:hAnsi="Arial" w:cs="Arial"/>
          <w:b/>
          <w:bCs/>
          <w:w w:val="84"/>
          <w:sz w:val="24"/>
          <w:szCs w:val="24"/>
          <w:lang w:val="pl-PL"/>
        </w:rPr>
        <w:t>Maciej</w:t>
      </w:r>
      <w:r w:rsidRPr="00C26429">
        <w:rPr>
          <w:rFonts w:ascii="Arial" w:eastAsia="Arial" w:hAnsi="Arial" w:cs="Arial"/>
          <w:b/>
          <w:bCs/>
          <w:spacing w:val="26"/>
          <w:w w:val="84"/>
          <w:sz w:val="24"/>
          <w:szCs w:val="24"/>
          <w:lang w:val="pl-PL"/>
        </w:rPr>
        <w:t xml:space="preserve"> </w:t>
      </w:r>
      <w:r w:rsidRPr="00C26429">
        <w:rPr>
          <w:rFonts w:ascii="Arial" w:eastAsia="Arial" w:hAnsi="Arial" w:cs="Arial"/>
          <w:b/>
          <w:bCs/>
          <w:w w:val="79"/>
          <w:sz w:val="24"/>
          <w:szCs w:val="24"/>
          <w:lang w:val="pl-PL"/>
        </w:rPr>
        <w:t>K</w:t>
      </w:r>
      <w:r w:rsidRPr="00C26429">
        <w:rPr>
          <w:rFonts w:ascii="Arial" w:eastAsia="Arial" w:hAnsi="Arial" w:cs="Arial"/>
          <w:b/>
          <w:bCs/>
          <w:spacing w:val="5"/>
          <w:w w:val="79"/>
          <w:sz w:val="24"/>
          <w:szCs w:val="24"/>
          <w:lang w:val="pl-PL"/>
        </w:rPr>
        <w:t>r</w:t>
      </w:r>
      <w:r w:rsidRPr="00C26429">
        <w:rPr>
          <w:rFonts w:ascii="Arial" w:eastAsia="Arial" w:hAnsi="Arial" w:cs="Arial"/>
          <w:b/>
          <w:bCs/>
          <w:w w:val="80"/>
          <w:sz w:val="24"/>
          <w:szCs w:val="24"/>
          <w:lang w:val="pl-PL"/>
        </w:rPr>
        <w:t>zakowski</w:t>
      </w:r>
    </w:p>
    <w:p w:rsidR="00177784" w:rsidRPr="00C26429" w:rsidRDefault="00177784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177784" w:rsidRPr="00C26429" w:rsidRDefault="00177784">
      <w:pPr>
        <w:spacing w:before="13" w:after="0" w:line="280" w:lineRule="exact"/>
        <w:rPr>
          <w:rFonts w:ascii="Arial" w:hAnsi="Arial" w:cs="Arial"/>
          <w:sz w:val="28"/>
          <w:szCs w:val="28"/>
          <w:lang w:val="pl-PL"/>
        </w:rPr>
      </w:pPr>
    </w:p>
    <w:p w:rsidR="002C16FB" w:rsidRPr="00C26429" w:rsidRDefault="008A0C86">
      <w:pPr>
        <w:spacing w:after="0" w:line="240" w:lineRule="auto"/>
        <w:ind w:left="2928" w:right="2418"/>
        <w:jc w:val="center"/>
        <w:rPr>
          <w:rFonts w:ascii="Arial" w:eastAsia="Times New Roman" w:hAnsi="Arial" w:cs="Arial"/>
          <w:sz w:val="24"/>
          <w:szCs w:val="24"/>
          <w:lang w:val="pl-PL"/>
        </w:rPr>
      </w:pPr>
      <w:r w:rsidRPr="00C26429">
        <w:rPr>
          <w:rFonts w:ascii="Arial" w:eastAsia="Times New Roman" w:hAnsi="Arial" w:cs="Arial"/>
          <w:sz w:val="24"/>
          <w:szCs w:val="24"/>
          <w:lang w:val="pl-PL"/>
        </w:rPr>
        <w:t>Zespół</w:t>
      </w:r>
      <w:r w:rsidRPr="00C26429">
        <w:rPr>
          <w:rFonts w:ascii="Arial" w:eastAsia="Times New Roman" w:hAnsi="Arial" w:cs="Arial"/>
          <w:spacing w:val="-2"/>
          <w:sz w:val="24"/>
          <w:szCs w:val="24"/>
          <w:lang w:val="pl-PL"/>
        </w:rPr>
        <w:t xml:space="preserve"> </w:t>
      </w:r>
      <w:r w:rsidRPr="00C26429">
        <w:rPr>
          <w:rFonts w:ascii="Arial" w:eastAsia="Times New Roman" w:hAnsi="Arial" w:cs="Arial"/>
          <w:sz w:val="24"/>
          <w:szCs w:val="24"/>
          <w:lang w:val="pl-PL"/>
        </w:rPr>
        <w:t>autorski:</w:t>
      </w:r>
    </w:p>
    <w:p w:rsidR="00177784" w:rsidRPr="00C26429" w:rsidRDefault="001F755E">
      <w:pPr>
        <w:spacing w:before="67" w:after="0" w:line="250" w:lineRule="auto"/>
        <w:ind w:left="710" w:right="697"/>
        <w:jc w:val="center"/>
        <w:rPr>
          <w:rFonts w:ascii="Arial" w:eastAsia="Times New Roman" w:hAnsi="Arial" w:cs="Arial"/>
          <w:sz w:val="24"/>
          <w:szCs w:val="24"/>
          <w:lang w:val="pl-PL"/>
        </w:rPr>
      </w:pPr>
      <w:r w:rsidRPr="00C26429">
        <w:rPr>
          <w:rFonts w:ascii="Arial" w:eastAsia="Arial" w:hAnsi="Arial" w:cs="Arial"/>
          <w:b/>
          <w:bCs/>
          <w:w w:val="82"/>
          <w:sz w:val="24"/>
          <w:szCs w:val="24"/>
          <w:lang w:val="pl-PL"/>
        </w:rPr>
        <w:t>Jacek</w:t>
      </w:r>
      <w:r w:rsidRPr="00C26429">
        <w:rPr>
          <w:rFonts w:ascii="Arial" w:eastAsia="Arial" w:hAnsi="Arial" w:cs="Arial"/>
          <w:b/>
          <w:bCs/>
          <w:spacing w:val="5"/>
          <w:w w:val="82"/>
          <w:sz w:val="24"/>
          <w:szCs w:val="24"/>
          <w:lang w:val="pl-PL"/>
        </w:rPr>
        <w:t xml:space="preserve"> </w:t>
      </w:r>
      <w:r w:rsidRPr="00C26429">
        <w:rPr>
          <w:rFonts w:ascii="Arial" w:eastAsia="Arial" w:hAnsi="Arial" w:cs="Arial"/>
          <w:b/>
          <w:bCs/>
          <w:w w:val="82"/>
          <w:sz w:val="24"/>
          <w:szCs w:val="24"/>
          <w:lang w:val="pl-PL"/>
        </w:rPr>
        <w:t>Jassem,</w:t>
      </w:r>
      <w:r w:rsidRPr="00C26429">
        <w:rPr>
          <w:rFonts w:ascii="Arial" w:eastAsia="Arial" w:hAnsi="Arial" w:cs="Arial"/>
          <w:b/>
          <w:bCs/>
          <w:spacing w:val="14"/>
          <w:w w:val="82"/>
          <w:sz w:val="24"/>
          <w:szCs w:val="24"/>
          <w:lang w:val="pl-PL"/>
        </w:rPr>
        <w:t xml:space="preserve"> </w:t>
      </w:r>
      <w:r w:rsidRPr="00C26429">
        <w:rPr>
          <w:rFonts w:ascii="Arial" w:eastAsia="Arial" w:hAnsi="Arial" w:cs="Arial"/>
          <w:b/>
          <w:bCs/>
          <w:w w:val="82"/>
          <w:sz w:val="24"/>
          <w:szCs w:val="24"/>
          <w:lang w:val="pl-PL"/>
        </w:rPr>
        <w:t>Maciej</w:t>
      </w:r>
      <w:r w:rsidRPr="00C26429">
        <w:rPr>
          <w:rFonts w:ascii="Arial" w:eastAsia="Arial" w:hAnsi="Arial" w:cs="Arial"/>
          <w:b/>
          <w:bCs/>
          <w:spacing w:val="42"/>
          <w:w w:val="82"/>
          <w:sz w:val="24"/>
          <w:szCs w:val="24"/>
          <w:lang w:val="pl-PL"/>
        </w:rPr>
        <w:t xml:space="preserve"> </w:t>
      </w:r>
      <w:r w:rsidRPr="00C26429">
        <w:rPr>
          <w:rFonts w:ascii="Arial" w:eastAsia="Arial" w:hAnsi="Arial" w:cs="Arial"/>
          <w:b/>
          <w:bCs/>
          <w:w w:val="82"/>
          <w:sz w:val="24"/>
          <w:szCs w:val="24"/>
          <w:lang w:val="pl-PL"/>
        </w:rPr>
        <w:t>K</w:t>
      </w:r>
      <w:r w:rsidRPr="00C26429">
        <w:rPr>
          <w:rFonts w:ascii="Arial" w:eastAsia="Arial" w:hAnsi="Arial" w:cs="Arial"/>
          <w:b/>
          <w:bCs/>
          <w:spacing w:val="4"/>
          <w:w w:val="82"/>
          <w:sz w:val="24"/>
          <w:szCs w:val="24"/>
          <w:lang w:val="pl-PL"/>
        </w:rPr>
        <w:t>r</w:t>
      </w:r>
      <w:r w:rsidRPr="00C26429">
        <w:rPr>
          <w:rFonts w:ascii="Arial" w:eastAsia="Arial" w:hAnsi="Arial" w:cs="Arial"/>
          <w:b/>
          <w:bCs/>
          <w:w w:val="82"/>
          <w:sz w:val="24"/>
          <w:szCs w:val="24"/>
          <w:lang w:val="pl-PL"/>
        </w:rPr>
        <w:t>zakowski,</w:t>
      </w:r>
      <w:r w:rsidRPr="00C26429">
        <w:rPr>
          <w:rFonts w:ascii="Arial" w:eastAsia="Arial" w:hAnsi="Arial" w:cs="Arial"/>
          <w:b/>
          <w:bCs/>
          <w:spacing w:val="-13"/>
          <w:w w:val="82"/>
          <w:sz w:val="24"/>
          <w:szCs w:val="24"/>
          <w:lang w:val="pl-PL"/>
        </w:rPr>
        <w:t xml:space="preserve"> </w:t>
      </w:r>
      <w:r w:rsidRPr="00C26429">
        <w:rPr>
          <w:rFonts w:ascii="Arial" w:eastAsia="Arial" w:hAnsi="Arial" w:cs="Arial"/>
          <w:b/>
          <w:bCs/>
          <w:w w:val="82"/>
          <w:sz w:val="24"/>
          <w:szCs w:val="24"/>
          <w:lang w:val="pl-PL"/>
        </w:rPr>
        <w:t>Barbara</w:t>
      </w:r>
      <w:r w:rsidRPr="00C26429">
        <w:rPr>
          <w:rFonts w:ascii="Arial" w:eastAsia="Arial" w:hAnsi="Arial" w:cs="Arial"/>
          <w:b/>
          <w:bCs/>
          <w:spacing w:val="14"/>
          <w:w w:val="82"/>
          <w:sz w:val="24"/>
          <w:szCs w:val="24"/>
          <w:lang w:val="pl-PL"/>
        </w:rPr>
        <w:t xml:space="preserve"> </w:t>
      </w:r>
      <w:r w:rsidRPr="00C26429">
        <w:rPr>
          <w:rFonts w:ascii="Arial" w:eastAsia="Arial" w:hAnsi="Arial" w:cs="Arial"/>
          <w:b/>
          <w:bCs/>
          <w:w w:val="82"/>
          <w:sz w:val="24"/>
          <w:szCs w:val="24"/>
          <w:lang w:val="pl-PL"/>
        </w:rPr>
        <w:t xml:space="preserve">Bobek-Billewicz, </w:t>
      </w:r>
      <w:r w:rsidRPr="00C26429">
        <w:rPr>
          <w:rFonts w:ascii="Arial" w:eastAsia="Arial" w:hAnsi="Arial" w:cs="Arial"/>
          <w:b/>
          <w:bCs/>
          <w:spacing w:val="4"/>
          <w:w w:val="81"/>
          <w:sz w:val="24"/>
          <w:szCs w:val="24"/>
          <w:lang w:val="pl-PL"/>
        </w:rPr>
        <w:t>R</w:t>
      </w:r>
      <w:r w:rsidRPr="00C26429">
        <w:rPr>
          <w:rFonts w:ascii="Arial" w:eastAsia="Arial" w:hAnsi="Arial" w:cs="Arial"/>
          <w:b/>
          <w:bCs/>
          <w:w w:val="81"/>
          <w:sz w:val="24"/>
          <w:szCs w:val="24"/>
          <w:lang w:val="pl-PL"/>
        </w:rPr>
        <w:t>enata</w:t>
      </w:r>
      <w:r w:rsidR="00F370A9" w:rsidRPr="00C26429">
        <w:rPr>
          <w:rFonts w:ascii="Arial" w:eastAsia="Arial" w:hAnsi="Arial" w:cs="Arial"/>
          <w:b/>
          <w:bCs/>
          <w:spacing w:val="22"/>
          <w:w w:val="81"/>
          <w:sz w:val="24"/>
          <w:szCs w:val="24"/>
          <w:lang w:val="pl-PL"/>
        </w:rPr>
        <w:t xml:space="preserve"> </w:t>
      </w:r>
      <w:r w:rsidRPr="00C26429">
        <w:rPr>
          <w:rFonts w:ascii="Arial" w:eastAsia="Arial" w:hAnsi="Arial" w:cs="Arial"/>
          <w:b/>
          <w:bCs/>
          <w:w w:val="81"/>
          <w:sz w:val="24"/>
          <w:szCs w:val="24"/>
          <w:lang w:val="pl-PL"/>
        </w:rPr>
        <w:t>Duchnowska,</w:t>
      </w:r>
      <w:r w:rsidRPr="00C26429">
        <w:rPr>
          <w:rFonts w:ascii="Arial" w:eastAsia="Arial" w:hAnsi="Arial" w:cs="Arial"/>
          <w:b/>
          <w:bCs/>
          <w:spacing w:val="6"/>
          <w:w w:val="81"/>
          <w:sz w:val="24"/>
          <w:szCs w:val="24"/>
          <w:lang w:val="pl-PL"/>
        </w:rPr>
        <w:t xml:space="preserve"> </w:t>
      </w:r>
      <w:r w:rsidRPr="00C26429">
        <w:rPr>
          <w:rFonts w:ascii="Arial" w:eastAsia="Arial" w:hAnsi="Arial" w:cs="Arial"/>
          <w:b/>
          <w:bCs/>
          <w:w w:val="81"/>
          <w:sz w:val="24"/>
          <w:szCs w:val="24"/>
          <w:lang w:val="pl-PL"/>
        </w:rPr>
        <w:t>Arkadiusz</w:t>
      </w:r>
      <w:r w:rsidRPr="00C26429">
        <w:rPr>
          <w:rFonts w:ascii="Arial" w:eastAsia="Arial" w:hAnsi="Arial" w:cs="Arial"/>
          <w:b/>
          <w:bCs/>
          <w:spacing w:val="-6"/>
          <w:w w:val="81"/>
          <w:sz w:val="24"/>
          <w:szCs w:val="24"/>
          <w:lang w:val="pl-PL"/>
        </w:rPr>
        <w:t xml:space="preserve"> </w:t>
      </w:r>
      <w:r w:rsidRPr="00C26429">
        <w:rPr>
          <w:rFonts w:ascii="Arial" w:eastAsia="Arial" w:hAnsi="Arial" w:cs="Arial"/>
          <w:b/>
          <w:bCs/>
          <w:w w:val="81"/>
          <w:sz w:val="24"/>
          <w:szCs w:val="24"/>
          <w:lang w:val="pl-PL"/>
        </w:rPr>
        <w:t>Jeziorski,</w:t>
      </w:r>
      <w:r w:rsidRPr="00C26429">
        <w:rPr>
          <w:rFonts w:ascii="Arial" w:eastAsia="Arial" w:hAnsi="Arial" w:cs="Arial"/>
          <w:b/>
          <w:bCs/>
          <w:spacing w:val="6"/>
          <w:w w:val="81"/>
          <w:sz w:val="24"/>
          <w:szCs w:val="24"/>
          <w:lang w:val="pl-PL"/>
        </w:rPr>
        <w:t xml:space="preserve"> </w:t>
      </w:r>
      <w:r w:rsidRPr="00C26429">
        <w:rPr>
          <w:rFonts w:ascii="Arial" w:eastAsia="Arial" w:hAnsi="Arial" w:cs="Arial"/>
          <w:b/>
          <w:bCs/>
          <w:spacing w:val="-6"/>
          <w:w w:val="81"/>
          <w:sz w:val="24"/>
          <w:szCs w:val="24"/>
          <w:lang w:val="pl-PL"/>
        </w:rPr>
        <w:t>W</w:t>
      </w:r>
      <w:r w:rsidRPr="00C26429">
        <w:rPr>
          <w:rFonts w:ascii="Arial" w:eastAsia="Arial" w:hAnsi="Arial" w:cs="Arial"/>
          <w:b/>
          <w:bCs/>
          <w:w w:val="81"/>
          <w:sz w:val="24"/>
          <w:szCs w:val="24"/>
          <w:lang w:val="pl-PL"/>
        </w:rPr>
        <w:t>ojciech</w:t>
      </w:r>
      <w:r w:rsidRPr="00C26429">
        <w:rPr>
          <w:rFonts w:ascii="Arial" w:eastAsia="Arial" w:hAnsi="Arial" w:cs="Arial"/>
          <w:b/>
          <w:bCs/>
          <w:spacing w:val="24"/>
          <w:w w:val="81"/>
          <w:sz w:val="24"/>
          <w:szCs w:val="24"/>
          <w:lang w:val="pl-PL"/>
        </w:rPr>
        <w:t xml:space="preserve"> </w:t>
      </w:r>
      <w:r w:rsidRPr="00C26429">
        <w:rPr>
          <w:rFonts w:ascii="Arial" w:eastAsia="Arial" w:hAnsi="Arial" w:cs="Arial"/>
          <w:b/>
          <w:bCs/>
          <w:w w:val="81"/>
          <w:sz w:val="24"/>
          <w:szCs w:val="24"/>
          <w:lang w:val="pl-PL"/>
        </w:rPr>
        <w:t xml:space="preserve">Olszewski, </w:t>
      </w:r>
      <w:r w:rsidR="00F370A9" w:rsidRPr="00C26429">
        <w:rPr>
          <w:rFonts w:ascii="Arial" w:eastAsia="Arial" w:hAnsi="Arial" w:cs="Arial"/>
          <w:b/>
          <w:bCs/>
          <w:w w:val="81"/>
          <w:sz w:val="24"/>
          <w:szCs w:val="24"/>
          <w:lang w:val="pl-PL"/>
        </w:rPr>
        <w:t xml:space="preserve">Elżbieta Senkus-Konefka, </w:t>
      </w:r>
      <w:r w:rsidR="008A0C86" w:rsidRPr="00C26429">
        <w:rPr>
          <w:rFonts w:ascii="Arial" w:eastAsia="Times New Roman" w:hAnsi="Arial" w:cs="Arial"/>
          <w:b/>
          <w:bCs/>
          <w:w w:val="88"/>
          <w:sz w:val="24"/>
          <w:szCs w:val="24"/>
          <w:lang w:val="pl-PL"/>
        </w:rPr>
        <w:t xml:space="preserve">Hanna </w:t>
      </w:r>
      <w:r w:rsidR="008A0C86" w:rsidRPr="00C26429">
        <w:rPr>
          <w:rFonts w:ascii="Arial" w:eastAsia="Times New Roman" w:hAnsi="Arial" w:cs="Arial"/>
          <w:b/>
          <w:bCs/>
          <w:spacing w:val="-21"/>
          <w:w w:val="82"/>
          <w:sz w:val="24"/>
          <w:szCs w:val="24"/>
          <w:lang w:val="pl-PL"/>
        </w:rPr>
        <w:t>T</w:t>
      </w:r>
      <w:r w:rsidR="008A0C86" w:rsidRPr="00C26429">
        <w:rPr>
          <w:rFonts w:ascii="Arial" w:eastAsia="Times New Roman" w:hAnsi="Arial" w:cs="Arial"/>
          <w:b/>
          <w:bCs/>
          <w:w w:val="82"/>
          <w:sz w:val="24"/>
          <w:szCs w:val="24"/>
          <w:lang w:val="pl-PL"/>
        </w:rPr>
        <w:t>chó</w:t>
      </w:r>
      <w:r w:rsidR="008A0C86" w:rsidRPr="00C26429">
        <w:rPr>
          <w:rFonts w:ascii="Arial" w:eastAsia="Times New Roman" w:hAnsi="Arial" w:cs="Arial"/>
          <w:b/>
          <w:bCs/>
          <w:spacing w:val="5"/>
          <w:w w:val="82"/>
          <w:sz w:val="24"/>
          <w:szCs w:val="24"/>
          <w:lang w:val="pl-PL"/>
        </w:rPr>
        <w:t>r</w:t>
      </w:r>
      <w:r w:rsidR="008A0C86" w:rsidRPr="00C26429">
        <w:rPr>
          <w:rFonts w:ascii="Arial" w:eastAsia="Times New Roman" w:hAnsi="Arial" w:cs="Arial"/>
          <w:b/>
          <w:bCs/>
          <w:w w:val="82"/>
          <w:sz w:val="24"/>
          <w:szCs w:val="24"/>
          <w:lang w:val="pl-PL"/>
        </w:rPr>
        <w:t>zewska-</w:t>
      </w:r>
      <w:r w:rsidR="008A0C86" w:rsidRPr="00C26429">
        <w:rPr>
          <w:rFonts w:ascii="Arial" w:eastAsia="Times New Roman" w:hAnsi="Arial" w:cs="Arial"/>
          <w:b/>
          <w:bCs/>
          <w:spacing w:val="-5"/>
          <w:w w:val="82"/>
          <w:sz w:val="24"/>
          <w:szCs w:val="24"/>
          <w:lang w:val="pl-PL"/>
        </w:rPr>
        <w:t>K</w:t>
      </w:r>
      <w:r w:rsidR="008A0C86" w:rsidRPr="00C26429">
        <w:rPr>
          <w:rFonts w:ascii="Arial" w:eastAsia="Times New Roman" w:hAnsi="Arial" w:cs="Arial"/>
          <w:b/>
          <w:bCs/>
          <w:w w:val="82"/>
          <w:sz w:val="24"/>
          <w:szCs w:val="24"/>
          <w:lang w:val="pl-PL"/>
        </w:rPr>
        <w:t>orba</w:t>
      </w:r>
      <w:r w:rsidR="002C16FB" w:rsidRPr="00C26429">
        <w:rPr>
          <w:rFonts w:ascii="Arial" w:eastAsia="Times New Roman" w:hAnsi="Arial" w:cs="Arial"/>
          <w:b/>
          <w:bCs/>
          <w:w w:val="82"/>
          <w:sz w:val="24"/>
          <w:szCs w:val="24"/>
          <w:lang w:val="pl-PL"/>
        </w:rPr>
        <w:t>, Piotr Wysocki</w:t>
      </w:r>
    </w:p>
    <w:p w:rsidR="00177784" w:rsidRPr="00C26429" w:rsidRDefault="00177784">
      <w:pPr>
        <w:spacing w:before="7" w:after="0" w:line="110" w:lineRule="exact"/>
        <w:rPr>
          <w:rFonts w:ascii="Arial" w:hAnsi="Arial" w:cs="Arial"/>
          <w:sz w:val="11"/>
          <w:szCs w:val="11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177784">
      <w:pPr>
        <w:spacing w:after="0" w:line="200" w:lineRule="exact"/>
        <w:rPr>
          <w:sz w:val="20"/>
          <w:szCs w:val="20"/>
          <w:lang w:val="pl-PL"/>
        </w:rPr>
      </w:pPr>
    </w:p>
    <w:p w:rsidR="00617B92" w:rsidRPr="00C26429" w:rsidRDefault="00617B92">
      <w:pPr>
        <w:spacing w:after="0" w:line="200" w:lineRule="exact"/>
        <w:rPr>
          <w:sz w:val="20"/>
          <w:szCs w:val="20"/>
          <w:lang w:val="pl-PL"/>
        </w:rPr>
      </w:pPr>
    </w:p>
    <w:p w:rsidR="00617B92" w:rsidRPr="00C26429" w:rsidRDefault="00617B92">
      <w:pPr>
        <w:spacing w:after="0" w:line="200" w:lineRule="exact"/>
        <w:rPr>
          <w:sz w:val="20"/>
          <w:szCs w:val="20"/>
          <w:lang w:val="pl-PL"/>
        </w:rPr>
      </w:pPr>
    </w:p>
    <w:p w:rsidR="00617B92" w:rsidRPr="00C26429" w:rsidRDefault="00617B92">
      <w:pPr>
        <w:spacing w:after="0" w:line="200" w:lineRule="exact"/>
        <w:rPr>
          <w:sz w:val="20"/>
          <w:szCs w:val="20"/>
          <w:lang w:val="pl-PL"/>
        </w:rPr>
      </w:pPr>
    </w:p>
    <w:p w:rsidR="00617B92" w:rsidRPr="00C26429" w:rsidRDefault="00617B92">
      <w:pPr>
        <w:spacing w:after="0" w:line="200" w:lineRule="exact"/>
        <w:rPr>
          <w:sz w:val="20"/>
          <w:szCs w:val="20"/>
          <w:lang w:val="pl-PL"/>
        </w:rPr>
      </w:pPr>
    </w:p>
    <w:p w:rsidR="00617B92" w:rsidRPr="00C26429" w:rsidRDefault="00617B92">
      <w:pPr>
        <w:spacing w:after="0" w:line="200" w:lineRule="exact"/>
        <w:rPr>
          <w:sz w:val="20"/>
          <w:szCs w:val="20"/>
          <w:lang w:val="pl-PL"/>
        </w:rPr>
      </w:pPr>
    </w:p>
    <w:p w:rsidR="00617B92" w:rsidRPr="00C26429" w:rsidRDefault="00617B92">
      <w:pPr>
        <w:spacing w:after="0" w:line="200" w:lineRule="exact"/>
        <w:rPr>
          <w:sz w:val="20"/>
          <w:szCs w:val="20"/>
          <w:lang w:val="pl-PL"/>
        </w:rPr>
      </w:pPr>
    </w:p>
    <w:p w:rsidR="00177784" w:rsidRPr="00C26429" w:rsidRDefault="003E5914" w:rsidP="00617B92">
      <w:pPr>
        <w:spacing w:before="41" w:after="0" w:line="240" w:lineRule="auto"/>
        <w:ind w:left="114" w:right="73"/>
        <w:rPr>
          <w:lang w:val="pl-PL"/>
        </w:rPr>
        <w:sectPr w:rsidR="00177784" w:rsidRPr="00C26429" w:rsidSect="00AC43F7">
          <w:footerReference w:type="even" r:id="rId8"/>
          <w:footerReference w:type="default" r:id="rId9"/>
          <w:pgSz w:w="11907" w:h="16839" w:code="9"/>
          <w:pgMar w:top="1440" w:right="1440" w:bottom="1440" w:left="1440" w:header="708" w:footer="708" w:gutter="0"/>
          <w:cols w:space="708"/>
          <w:titlePg/>
          <w:docGrid w:linePitch="275"/>
        </w:sect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-16510</wp:posOffset>
                </wp:positionV>
                <wp:extent cx="4535805" cy="1270"/>
                <wp:effectExtent l="0" t="0" r="17145" b="17780"/>
                <wp:wrapNone/>
                <wp:docPr id="4" name="Group 9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535805" cy="1270"/>
                          <a:chOff x="1134" y="-26"/>
                          <a:chExt cx="7143" cy="2"/>
                        </a:xfrm>
                      </wpg:grpSpPr>
                      <wps:wsp>
                        <wps:cNvPr id="5" name="Freeform 950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1134" y="-26"/>
                            <a:ext cx="7143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7143"/>
                              <a:gd name="T2" fmla="+- 0 8277 1134"/>
                              <a:gd name="T3" fmla="*/ T2 w 71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3">
                                <a:moveTo>
                                  <a:pt x="0" y="0"/>
                                </a:move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B1D65" id="Group 949" o:spid="_x0000_s1026" style="position:absolute;margin-left:56.7pt;margin-top:-1.3pt;width:357.15pt;height:.1pt;z-index:-251658752;mso-position-horizontal-relative:page" coordorigin="1134,-26" coordsize="71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">
                <o:lock v:ext="edit" aspectratio="t"/>
                <v:shape id="Freeform 950" o:spid="_x0000_s1027" style="position:absolute;left:1134;top:-26;width:7143;height:2;visibility:visible;mso-wrap-style:square;v-text-anchor:top" coordsize="71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/AsMEA&#10;AADaAAAADwAAAGRycy9kb3ducmV2LnhtbESPQWvCQBSE70L/w/IK3sxGg1Kjq0hV8KJgUu+P7DMJ&#10;zb4N2TWm/74rFHocZuYbZr0dTCN66lxtWcE0ikEQF1bXXCr4yo+TDxDOI2tsLJOCH3Kw3byN1phq&#10;++Qr9ZkvRYCwS1FB5X2bSumKigy6yLbEwbvbzqAPsiul7vAZ4KaRszheSIM1h4UKW/qsqPjOHkbB&#10;samTZE+PW7bcXX2Rn2l64ItS4/dhtwLhafD/4b/2SSuYw+tKuA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PwLDBAAAA2gAAAA8AAAAAAAAAAAAAAAAAmAIAAGRycy9kb3du&#10;cmV2LnhtbFBLBQYAAAAABAAEAPUAAACGAwAAAAA=&#10;" path="m,l7143,e" filled="f" strokeweight=".5pt">
                  <v:path o:connecttype="custom" o:connectlocs="0,0;7143,0" o:connectangles="0,0"/>
                  <o:lock v:ext="edit" aspectratio="t" verticies="t" text="t" shapetype="t"/>
                </v:shape>
                <w10:wrap anchorx="page"/>
              </v:group>
            </w:pict>
          </mc:Fallback>
        </mc:AlternateContent>
      </w:r>
      <w:r w:rsidR="008A0C86" w:rsidRPr="00C26429">
        <w:rPr>
          <w:rFonts w:ascii="Arial" w:hAnsi="Arial" w:cs="Arial"/>
          <w:w w:val="90"/>
          <w:sz w:val="18"/>
          <w:szCs w:val="18"/>
          <w:lang w:val="pl-PL"/>
        </w:rPr>
        <w:t>Przedstawione w opracowaniu</w:t>
      </w:r>
      <w:r w:rsidR="008A0C86" w:rsidRPr="00C26429">
        <w:rPr>
          <w:rFonts w:ascii="Arial" w:eastAsia="Franklin Gothic Medium" w:hAnsi="Arial" w:cs="Arial"/>
          <w:spacing w:val="32"/>
          <w:w w:val="90"/>
          <w:sz w:val="18"/>
          <w:szCs w:val="18"/>
          <w:lang w:val="pl-PL"/>
        </w:rPr>
        <w:t xml:space="preserve"> </w:t>
      </w:r>
      <w:r w:rsidR="00130461" w:rsidRPr="00C26429">
        <w:rPr>
          <w:rFonts w:ascii="Arial" w:eastAsia="Franklin Gothic Medium" w:hAnsi="Arial" w:cs="Arial"/>
          <w:w w:val="90"/>
          <w:sz w:val="18"/>
          <w:szCs w:val="18"/>
          <w:lang w:val="pl-PL"/>
        </w:rPr>
        <w:t>wytyczne</w:t>
      </w:r>
      <w:r w:rsidR="008A0C86" w:rsidRPr="00C26429">
        <w:rPr>
          <w:rFonts w:ascii="Arial" w:eastAsia="Franklin Gothic Medium" w:hAnsi="Arial" w:cs="Arial"/>
          <w:w w:val="90"/>
          <w:sz w:val="18"/>
          <w:szCs w:val="18"/>
          <w:lang w:val="pl-PL"/>
        </w:rPr>
        <w:t xml:space="preserve"> </w:t>
      </w:r>
      <w:r w:rsidR="00130461" w:rsidRPr="00C26429">
        <w:rPr>
          <w:rFonts w:ascii="Arial" w:eastAsia="Franklin Gothic Medium" w:hAnsi="Arial" w:cs="Arial"/>
          <w:w w:val="90"/>
          <w:sz w:val="18"/>
          <w:szCs w:val="18"/>
          <w:lang w:val="pl-PL"/>
        </w:rPr>
        <w:t xml:space="preserve">oparte są na </w:t>
      </w:r>
      <w:r w:rsidR="00640E2B">
        <w:rPr>
          <w:rFonts w:ascii="Arial" w:eastAsia="Franklin Gothic Medium" w:hAnsi="Arial" w:cs="Arial"/>
          <w:w w:val="90"/>
          <w:sz w:val="18"/>
          <w:szCs w:val="18"/>
          <w:lang w:val="pl-PL"/>
        </w:rPr>
        <w:t xml:space="preserve">obecnym stanie wiedzy i </w:t>
      </w:r>
      <w:r w:rsidR="00130461" w:rsidRPr="00C26429">
        <w:rPr>
          <w:rFonts w:ascii="Arial" w:eastAsia="Franklin Gothic Medium" w:hAnsi="Arial" w:cs="Arial"/>
          <w:w w:val="90"/>
          <w:sz w:val="18"/>
          <w:szCs w:val="18"/>
          <w:lang w:val="pl-PL"/>
        </w:rPr>
        <w:t>międzynarodowych zaleceniach dotyczących rozpoznawania i leczenia raka piersi, z uwzględnieniem polskich warunków.</w:t>
      </w:r>
      <w:r w:rsidR="00130461" w:rsidRPr="00C26429">
        <w:rPr>
          <w:rFonts w:ascii="Arial" w:eastAsia="Franklin Gothic Medium" w:hAnsi="Arial" w:cs="Arial"/>
          <w:spacing w:val="20"/>
          <w:w w:val="90"/>
          <w:sz w:val="18"/>
          <w:szCs w:val="18"/>
          <w:lang w:val="pl-PL"/>
        </w:rPr>
        <w:t xml:space="preserve"> </w:t>
      </w:r>
      <w:r w:rsidR="00130461" w:rsidRPr="00C26429">
        <w:rPr>
          <w:rFonts w:ascii="Arial" w:eastAsia="Franklin Gothic Medium" w:hAnsi="Arial" w:cs="Arial"/>
          <w:w w:val="90"/>
          <w:sz w:val="18"/>
          <w:szCs w:val="18"/>
          <w:lang w:val="pl-PL"/>
        </w:rPr>
        <w:t>Wytyczne te</w:t>
      </w:r>
      <w:r w:rsidR="00130461" w:rsidRPr="00C26429">
        <w:rPr>
          <w:rFonts w:ascii="Arial" w:eastAsia="Franklin Gothic Medium" w:hAnsi="Arial" w:cs="Arial"/>
          <w:spacing w:val="20"/>
          <w:w w:val="90"/>
          <w:sz w:val="18"/>
          <w:szCs w:val="18"/>
          <w:lang w:val="pl-PL"/>
        </w:rPr>
        <w:t xml:space="preserve"> </w:t>
      </w:r>
      <w:r w:rsidR="00EA50D7" w:rsidRPr="00C26429">
        <w:rPr>
          <w:rFonts w:ascii="Arial" w:eastAsia="Franklin Gothic Medium" w:hAnsi="Arial" w:cs="Arial"/>
          <w:w w:val="90"/>
          <w:sz w:val="18"/>
          <w:szCs w:val="18"/>
          <w:lang w:val="pl-PL"/>
        </w:rPr>
        <w:t>należy zawsze interpretować</w:t>
      </w:r>
      <w:r w:rsidR="008A0C86" w:rsidRPr="00C26429">
        <w:rPr>
          <w:rFonts w:ascii="Arial" w:eastAsia="Franklin Gothic Medium" w:hAnsi="Arial" w:cs="Arial"/>
          <w:spacing w:val="33"/>
          <w:w w:val="90"/>
          <w:sz w:val="18"/>
          <w:szCs w:val="18"/>
          <w:lang w:val="pl-PL"/>
        </w:rPr>
        <w:t xml:space="preserve"> </w:t>
      </w:r>
      <w:r w:rsidR="008A0C86" w:rsidRPr="00C26429">
        <w:rPr>
          <w:rFonts w:ascii="Arial" w:eastAsia="Franklin Gothic Medium" w:hAnsi="Arial" w:cs="Arial"/>
          <w:w w:val="90"/>
          <w:sz w:val="18"/>
          <w:szCs w:val="18"/>
          <w:lang w:val="pl-PL"/>
        </w:rPr>
        <w:t>w</w:t>
      </w:r>
      <w:r w:rsidR="008A0C86" w:rsidRPr="00C26429">
        <w:rPr>
          <w:rFonts w:ascii="Arial" w:eastAsia="Franklin Gothic Medium" w:hAnsi="Arial" w:cs="Arial"/>
          <w:spacing w:val="-3"/>
          <w:w w:val="90"/>
          <w:sz w:val="18"/>
          <w:szCs w:val="18"/>
          <w:lang w:val="pl-PL"/>
        </w:rPr>
        <w:t xml:space="preserve"> </w:t>
      </w:r>
      <w:r w:rsidR="008A0C86" w:rsidRPr="00C26429">
        <w:rPr>
          <w:rFonts w:ascii="Arial" w:eastAsia="Franklin Gothic Medium" w:hAnsi="Arial" w:cs="Arial"/>
          <w:w w:val="90"/>
          <w:sz w:val="18"/>
          <w:szCs w:val="18"/>
          <w:lang w:val="pl-PL"/>
        </w:rPr>
        <w:t>kontekście</w:t>
      </w:r>
      <w:r w:rsidR="008A0C86" w:rsidRPr="00C26429">
        <w:rPr>
          <w:rFonts w:ascii="Arial" w:eastAsia="Franklin Gothic Medium" w:hAnsi="Arial" w:cs="Arial"/>
          <w:spacing w:val="29"/>
          <w:w w:val="90"/>
          <w:sz w:val="18"/>
          <w:szCs w:val="18"/>
          <w:lang w:val="pl-PL"/>
        </w:rPr>
        <w:t xml:space="preserve"> </w:t>
      </w:r>
      <w:r w:rsidR="008A0C86" w:rsidRPr="00C26429">
        <w:rPr>
          <w:rFonts w:ascii="Arial" w:eastAsia="Franklin Gothic Medium" w:hAnsi="Arial" w:cs="Arial"/>
          <w:w w:val="90"/>
          <w:sz w:val="18"/>
          <w:szCs w:val="18"/>
          <w:lang w:val="pl-PL"/>
        </w:rPr>
        <w:t>indywidualnej</w:t>
      </w:r>
      <w:r w:rsidR="008A0C86" w:rsidRPr="00C26429">
        <w:rPr>
          <w:rFonts w:ascii="Arial" w:eastAsia="Franklin Gothic Medium" w:hAnsi="Arial" w:cs="Arial"/>
          <w:spacing w:val="10"/>
          <w:w w:val="90"/>
          <w:sz w:val="18"/>
          <w:szCs w:val="18"/>
          <w:lang w:val="pl-PL"/>
        </w:rPr>
        <w:t xml:space="preserve"> </w:t>
      </w:r>
      <w:r w:rsidR="008A0C86" w:rsidRPr="00C26429">
        <w:rPr>
          <w:rFonts w:ascii="Arial" w:eastAsia="Franklin Gothic Medium" w:hAnsi="Arial" w:cs="Arial"/>
          <w:w w:val="90"/>
          <w:sz w:val="18"/>
          <w:szCs w:val="18"/>
          <w:lang w:val="pl-PL"/>
        </w:rPr>
        <w:t>sytuacji klinicznej</w:t>
      </w:r>
      <w:r w:rsidR="00B149E0" w:rsidRPr="00C26429">
        <w:rPr>
          <w:rFonts w:ascii="Arial" w:eastAsia="Franklin Gothic Medium" w:hAnsi="Arial" w:cs="Arial"/>
          <w:w w:val="90"/>
          <w:sz w:val="18"/>
          <w:szCs w:val="18"/>
          <w:lang w:val="pl-PL"/>
        </w:rPr>
        <w:t xml:space="preserve"> i z uwzględnieniem</w:t>
      </w:r>
      <w:r w:rsidR="008A0C86" w:rsidRPr="00C26429">
        <w:rPr>
          <w:rFonts w:ascii="Arial" w:eastAsia="Franklin Gothic Medium" w:hAnsi="Arial" w:cs="Arial"/>
          <w:spacing w:val="-5"/>
          <w:w w:val="90"/>
          <w:sz w:val="18"/>
          <w:szCs w:val="18"/>
          <w:lang w:val="pl-PL"/>
        </w:rPr>
        <w:t xml:space="preserve"> </w:t>
      </w:r>
      <w:r w:rsidR="008A0C86" w:rsidRPr="00C26429">
        <w:rPr>
          <w:rFonts w:ascii="Arial" w:eastAsia="Franklin Gothic Medium" w:hAnsi="Arial" w:cs="Arial"/>
          <w:w w:val="90"/>
          <w:sz w:val="18"/>
          <w:szCs w:val="18"/>
          <w:lang w:val="pl-PL"/>
        </w:rPr>
        <w:t>aktualn</w:t>
      </w:r>
      <w:r w:rsidR="00EA50D7" w:rsidRPr="00C26429">
        <w:rPr>
          <w:rFonts w:ascii="Arial" w:eastAsia="Franklin Gothic Medium" w:hAnsi="Arial" w:cs="Arial"/>
          <w:w w:val="90"/>
          <w:sz w:val="18"/>
          <w:szCs w:val="18"/>
          <w:lang w:val="pl-PL"/>
        </w:rPr>
        <w:t>ego</w:t>
      </w:r>
      <w:r w:rsidR="008A0C86" w:rsidRPr="00C26429">
        <w:rPr>
          <w:rFonts w:ascii="Arial" w:eastAsia="Franklin Gothic Medium" w:hAnsi="Arial" w:cs="Arial"/>
          <w:spacing w:val="-7"/>
          <w:w w:val="90"/>
          <w:sz w:val="18"/>
          <w:szCs w:val="18"/>
          <w:lang w:val="pl-PL"/>
        </w:rPr>
        <w:t xml:space="preserve"> </w:t>
      </w:r>
      <w:r w:rsidR="00EA50D7" w:rsidRPr="00C26429">
        <w:rPr>
          <w:rFonts w:ascii="Arial" w:eastAsia="Franklin Gothic Medium" w:hAnsi="Arial" w:cs="Arial"/>
          <w:spacing w:val="10"/>
          <w:w w:val="90"/>
          <w:sz w:val="18"/>
          <w:szCs w:val="18"/>
          <w:lang w:val="pl-PL"/>
        </w:rPr>
        <w:t xml:space="preserve">stanu </w:t>
      </w:r>
      <w:r w:rsidR="008A0C86" w:rsidRPr="00C26429">
        <w:rPr>
          <w:rFonts w:ascii="Arial" w:eastAsia="Franklin Gothic Medium" w:hAnsi="Arial" w:cs="Arial"/>
          <w:w w:val="90"/>
          <w:sz w:val="18"/>
          <w:szCs w:val="18"/>
          <w:lang w:val="pl-PL"/>
        </w:rPr>
        <w:t>refundacji</w:t>
      </w:r>
      <w:r w:rsidR="008A0C86" w:rsidRPr="00C26429">
        <w:rPr>
          <w:rFonts w:ascii="Arial" w:eastAsia="Franklin Gothic Medium" w:hAnsi="Arial" w:cs="Arial"/>
          <w:spacing w:val="3"/>
          <w:w w:val="90"/>
          <w:sz w:val="18"/>
          <w:szCs w:val="18"/>
          <w:lang w:val="pl-PL"/>
        </w:rPr>
        <w:t xml:space="preserve"> </w:t>
      </w:r>
      <w:r w:rsidR="00640E2B">
        <w:rPr>
          <w:rFonts w:ascii="Arial" w:eastAsia="Franklin Gothic Medium" w:hAnsi="Arial" w:cs="Arial"/>
          <w:w w:val="90"/>
          <w:sz w:val="18"/>
          <w:szCs w:val="18"/>
          <w:lang w:val="pl-PL"/>
        </w:rPr>
        <w:t>poszczególnych procedur.</w:t>
      </w:r>
    </w:p>
    <w:p w:rsidR="002C16FB" w:rsidRPr="009C210E" w:rsidRDefault="00F10E0B" w:rsidP="00E46089">
      <w:pPr>
        <w:pStyle w:val="Nagwek1"/>
        <w:spacing w:before="0" w:beforeAutospacing="0" w:after="0" w:afterAutospacing="0"/>
        <w:rPr>
          <w:rFonts w:ascii="Arial" w:hAnsi="Arial" w:cs="Arial"/>
          <w:color w:val="2E74B5"/>
          <w:sz w:val="28"/>
          <w:szCs w:val="28"/>
          <w:lang w:val="pl-PL"/>
        </w:rPr>
      </w:pPr>
      <w:bookmarkStart w:id="1" w:name="_Hlk504571269"/>
      <w:r>
        <w:rPr>
          <w:rFonts w:ascii="Arial" w:hAnsi="Arial" w:cs="Arial"/>
          <w:color w:val="2E74B5"/>
          <w:sz w:val="28"/>
          <w:szCs w:val="28"/>
          <w:lang w:val="pl-PL"/>
        </w:rPr>
        <w:lastRenderedPageBreak/>
        <w:br w:type="page"/>
      </w:r>
      <w:bookmarkStart w:id="2" w:name="_Toc516233120"/>
      <w:r w:rsidR="008A0C86" w:rsidRPr="00C26429">
        <w:rPr>
          <w:rFonts w:ascii="Arial" w:hAnsi="Arial" w:cs="Arial"/>
          <w:color w:val="2E74B5"/>
          <w:sz w:val="28"/>
          <w:szCs w:val="28"/>
          <w:lang w:val="pl-PL"/>
        </w:rPr>
        <w:lastRenderedPageBreak/>
        <w:t>Epidemiologia</w:t>
      </w:r>
      <w:r w:rsidR="001E343D" w:rsidRPr="00C26429">
        <w:rPr>
          <w:rFonts w:ascii="Arial" w:hAnsi="Arial" w:cs="Arial"/>
          <w:color w:val="2E74B5"/>
          <w:sz w:val="28"/>
          <w:szCs w:val="28"/>
          <w:lang w:val="pl-PL"/>
        </w:rPr>
        <w:t>,</w:t>
      </w:r>
      <w:r w:rsidR="008A0C86" w:rsidRPr="00C26429">
        <w:rPr>
          <w:rFonts w:ascii="Arial" w:hAnsi="Arial" w:cs="Arial"/>
          <w:color w:val="2E74B5"/>
          <w:sz w:val="28"/>
          <w:szCs w:val="28"/>
          <w:lang w:val="pl-PL"/>
        </w:rPr>
        <w:t xml:space="preserve"> etiologia</w:t>
      </w:r>
      <w:r w:rsidR="001E343D" w:rsidRPr="00C26429">
        <w:rPr>
          <w:rFonts w:ascii="Arial" w:hAnsi="Arial" w:cs="Arial"/>
          <w:color w:val="2E74B5"/>
          <w:sz w:val="28"/>
          <w:szCs w:val="28"/>
          <w:lang w:val="pl-PL"/>
        </w:rPr>
        <w:t xml:space="preserve"> i </w:t>
      </w:r>
      <w:r w:rsidR="004379CC" w:rsidRPr="00B120A2">
        <w:rPr>
          <w:rFonts w:ascii="Arial" w:hAnsi="Arial" w:cs="Arial"/>
          <w:color w:val="2E74B5"/>
          <w:sz w:val="28"/>
          <w:szCs w:val="28"/>
          <w:lang w:val="pl-PL"/>
        </w:rPr>
        <w:t>profilaktyka</w:t>
      </w:r>
      <w:r w:rsidR="001E343D" w:rsidRPr="00863C2E">
        <w:rPr>
          <w:rFonts w:ascii="Arial" w:hAnsi="Arial" w:cs="Arial"/>
          <w:color w:val="2E74B5"/>
          <w:sz w:val="28"/>
          <w:szCs w:val="28"/>
          <w:lang w:val="pl-PL"/>
        </w:rPr>
        <w:t xml:space="preserve"> pierwotna</w:t>
      </w:r>
      <w:bookmarkEnd w:id="2"/>
    </w:p>
    <w:bookmarkEnd w:id="1"/>
    <w:p w:rsidR="00177784" w:rsidRPr="00CB3E6F" w:rsidRDefault="00177784" w:rsidP="003F73BA">
      <w:pPr>
        <w:spacing w:before="4" w:after="0" w:line="120" w:lineRule="exact"/>
        <w:rPr>
          <w:sz w:val="12"/>
          <w:szCs w:val="12"/>
          <w:lang w:val="pl-PL"/>
        </w:rPr>
      </w:pPr>
    </w:p>
    <w:p w:rsidR="0036249A" w:rsidRPr="00F463B2" w:rsidRDefault="0036249A" w:rsidP="000E721D">
      <w:pPr>
        <w:numPr>
          <w:ilvl w:val="0"/>
          <w:numId w:val="3"/>
        </w:numPr>
        <w:spacing w:before="240" w:after="120" w:line="240" w:lineRule="auto"/>
        <w:ind w:left="426" w:firstLine="0"/>
        <w:rPr>
          <w:rFonts w:eastAsia="Franklin Gothic Medium"/>
          <w:sz w:val="20"/>
          <w:szCs w:val="20"/>
          <w:lang w:val="pl-PL"/>
        </w:rPr>
      </w:pPr>
      <w:r w:rsidRPr="00F463B2">
        <w:rPr>
          <w:rFonts w:eastAsia="Franklin Gothic Medium"/>
          <w:sz w:val="20"/>
          <w:szCs w:val="20"/>
          <w:lang w:val="pl-PL"/>
        </w:rPr>
        <w:t xml:space="preserve">Aby obniżyć ryzyko raka piersi zaleca się: </w:t>
      </w:r>
    </w:p>
    <w:p w:rsidR="0036249A" w:rsidRPr="00F463B2" w:rsidRDefault="0036249A" w:rsidP="000E721D">
      <w:pPr>
        <w:numPr>
          <w:ilvl w:val="0"/>
          <w:numId w:val="41"/>
        </w:numPr>
        <w:spacing w:after="120" w:line="240" w:lineRule="auto"/>
        <w:rPr>
          <w:rFonts w:eastAsia="Franklin Gothic Medium"/>
          <w:sz w:val="20"/>
          <w:szCs w:val="20"/>
          <w:lang w:val="pl-PL"/>
        </w:rPr>
      </w:pPr>
      <w:r w:rsidRPr="00F463B2">
        <w:rPr>
          <w:rFonts w:eastAsia="Franklin Gothic Medium"/>
          <w:sz w:val="20"/>
          <w:szCs w:val="20"/>
          <w:lang w:val="pl-PL"/>
        </w:rPr>
        <w:t xml:space="preserve">unikanie nadwagi i otyłości (II, B), </w:t>
      </w:r>
    </w:p>
    <w:p w:rsidR="0036249A" w:rsidRPr="00F463B2" w:rsidRDefault="0036249A" w:rsidP="000E721D">
      <w:pPr>
        <w:numPr>
          <w:ilvl w:val="0"/>
          <w:numId w:val="41"/>
        </w:numPr>
        <w:spacing w:after="120" w:line="240" w:lineRule="auto"/>
        <w:rPr>
          <w:rFonts w:eastAsia="Franklin Gothic Medium"/>
          <w:sz w:val="20"/>
          <w:szCs w:val="20"/>
          <w:lang w:val="pl-PL"/>
        </w:rPr>
      </w:pPr>
      <w:r w:rsidRPr="00F463B2">
        <w:rPr>
          <w:rFonts w:eastAsia="Franklin Gothic Medium"/>
          <w:sz w:val="20"/>
          <w:szCs w:val="20"/>
          <w:lang w:val="pl-PL"/>
        </w:rPr>
        <w:t>aktywność fizyczn</w:t>
      </w:r>
      <w:r w:rsidR="00AB162E">
        <w:rPr>
          <w:rFonts w:eastAsia="Franklin Gothic Medium"/>
          <w:sz w:val="20"/>
          <w:szCs w:val="20"/>
          <w:lang w:val="pl-PL"/>
        </w:rPr>
        <w:t>ą</w:t>
      </w:r>
      <w:r w:rsidRPr="00F463B2">
        <w:rPr>
          <w:rFonts w:eastAsia="Franklin Gothic Medium"/>
          <w:sz w:val="20"/>
          <w:szCs w:val="20"/>
          <w:lang w:val="pl-PL"/>
        </w:rPr>
        <w:t xml:space="preserve"> (II, B), </w:t>
      </w:r>
    </w:p>
    <w:p w:rsidR="0036249A" w:rsidRPr="00F463B2" w:rsidRDefault="0036249A" w:rsidP="000E721D">
      <w:pPr>
        <w:numPr>
          <w:ilvl w:val="0"/>
          <w:numId w:val="41"/>
        </w:numPr>
        <w:spacing w:after="120" w:line="240" w:lineRule="auto"/>
        <w:rPr>
          <w:rFonts w:eastAsia="Franklin Gothic Medium"/>
          <w:sz w:val="20"/>
          <w:szCs w:val="20"/>
          <w:lang w:val="pl-PL"/>
        </w:rPr>
      </w:pPr>
      <w:r w:rsidRPr="00F463B2">
        <w:rPr>
          <w:rFonts w:eastAsia="Franklin Gothic Medium"/>
          <w:sz w:val="20"/>
          <w:szCs w:val="20"/>
          <w:lang w:val="pl-PL"/>
        </w:rPr>
        <w:t xml:space="preserve">ograniczanie spożycia alkoholu (II, B), </w:t>
      </w:r>
    </w:p>
    <w:p w:rsidR="0036249A" w:rsidRPr="00F463B2" w:rsidRDefault="0036249A" w:rsidP="000E721D">
      <w:pPr>
        <w:numPr>
          <w:ilvl w:val="0"/>
          <w:numId w:val="41"/>
        </w:numPr>
        <w:spacing w:after="120" w:line="240" w:lineRule="auto"/>
        <w:rPr>
          <w:rFonts w:eastAsia="Franklin Gothic Medium"/>
          <w:sz w:val="20"/>
          <w:szCs w:val="20"/>
          <w:lang w:val="pl-PL"/>
        </w:rPr>
      </w:pPr>
      <w:r w:rsidRPr="00F463B2">
        <w:rPr>
          <w:rFonts w:eastAsia="Franklin Gothic Medium"/>
          <w:sz w:val="20"/>
          <w:szCs w:val="20"/>
          <w:lang w:val="pl-PL"/>
        </w:rPr>
        <w:t>unikanie palenia tytoniu (III, B)</w:t>
      </w:r>
      <w:r w:rsidR="00B70302">
        <w:rPr>
          <w:rFonts w:eastAsia="Franklin Gothic Medium"/>
          <w:sz w:val="20"/>
          <w:szCs w:val="20"/>
          <w:lang w:val="pl-PL"/>
        </w:rPr>
        <w:t>,</w:t>
      </w:r>
      <w:r w:rsidRPr="00F463B2">
        <w:rPr>
          <w:rFonts w:eastAsia="Franklin Gothic Medium"/>
          <w:sz w:val="20"/>
          <w:szCs w:val="20"/>
          <w:lang w:val="pl-PL"/>
        </w:rPr>
        <w:t xml:space="preserve"> </w:t>
      </w:r>
    </w:p>
    <w:p w:rsidR="0036249A" w:rsidRPr="00F463B2" w:rsidRDefault="0036249A" w:rsidP="000E721D">
      <w:pPr>
        <w:numPr>
          <w:ilvl w:val="0"/>
          <w:numId w:val="41"/>
        </w:numPr>
        <w:spacing w:after="120" w:line="240" w:lineRule="auto"/>
        <w:rPr>
          <w:rFonts w:eastAsia="Franklin Gothic Medium"/>
          <w:sz w:val="20"/>
          <w:szCs w:val="20"/>
          <w:lang w:val="pl-PL"/>
        </w:rPr>
      </w:pPr>
      <w:r w:rsidRPr="00F463B2">
        <w:rPr>
          <w:rFonts w:eastAsia="Franklin Gothic Medium"/>
          <w:sz w:val="20"/>
          <w:szCs w:val="20"/>
          <w:lang w:val="pl-PL"/>
        </w:rPr>
        <w:t xml:space="preserve">ograniczanie stosowania hormonalnej terapii </w:t>
      </w:r>
      <w:r w:rsidR="004379CC" w:rsidRPr="00F463B2">
        <w:rPr>
          <w:rFonts w:eastAsia="Franklin Gothic Medium"/>
          <w:sz w:val="20"/>
          <w:szCs w:val="20"/>
          <w:lang w:val="pl-PL"/>
        </w:rPr>
        <w:t>zastępczej</w:t>
      </w:r>
      <w:r w:rsidRPr="00F463B2">
        <w:rPr>
          <w:rFonts w:eastAsia="Franklin Gothic Medium"/>
          <w:sz w:val="20"/>
          <w:szCs w:val="20"/>
          <w:lang w:val="pl-PL"/>
        </w:rPr>
        <w:t xml:space="preserve"> (I, A). </w:t>
      </w:r>
    </w:p>
    <w:p w:rsidR="0036249A" w:rsidRPr="00F463B2" w:rsidRDefault="0036249A" w:rsidP="000E721D">
      <w:pPr>
        <w:numPr>
          <w:ilvl w:val="0"/>
          <w:numId w:val="3"/>
        </w:numPr>
        <w:spacing w:after="120" w:line="240" w:lineRule="auto"/>
        <w:ind w:left="426" w:firstLine="0"/>
        <w:rPr>
          <w:rFonts w:eastAsia="Franklin Gothic Medium"/>
          <w:sz w:val="20"/>
          <w:szCs w:val="20"/>
          <w:lang w:val="pl-PL"/>
        </w:rPr>
      </w:pPr>
      <w:r w:rsidRPr="00F463B2">
        <w:rPr>
          <w:rFonts w:eastAsia="Franklin Gothic Medium"/>
          <w:sz w:val="20"/>
          <w:szCs w:val="20"/>
          <w:lang w:val="pl-PL"/>
        </w:rPr>
        <w:t>W grupach bardzo wysokiego ryzyka</w:t>
      </w:r>
      <w:r w:rsidR="005E788A">
        <w:rPr>
          <w:rFonts w:eastAsia="Franklin Gothic Medium"/>
          <w:sz w:val="20"/>
          <w:szCs w:val="20"/>
          <w:lang w:val="pl-PL"/>
        </w:rPr>
        <w:t>, oprócz ww. działań</w:t>
      </w:r>
      <w:r w:rsidR="00B70302">
        <w:rPr>
          <w:rFonts w:eastAsia="Franklin Gothic Medium"/>
          <w:sz w:val="20"/>
          <w:szCs w:val="20"/>
          <w:lang w:val="pl-PL"/>
        </w:rPr>
        <w:t xml:space="preserve"> </w:t>
      </w:r>
      <w:r w:rsidRPr="00F463B2">
        <w:rPr>
          <w:rFonts w:eastAsia="Franklin Gothic Medium"/>
          <w:sz w:val="20"/>
          <w:szCs w:val="20"/>
          <w:lang w:val="pl-PL"/>
        </w:rPr>
        <w:t>stosuje się</w:t>
      </w:r>
      <w:r w:rsidR="0022042D">
        <w:rPr>
          <w:rFonts w:eastAsia="Franklin Gothic Medium"/>
          <w:sz w:val="20"/>
          <w:szCs w:val="20"/>
          <w:lang w:val="pl-PL"/>
        </w:rPr>
        <w:t xml:space="preserve"> </w:t>
      </w:r>
      <w:r w:rsidR="0022042D" w:rsidRPr="00F463B2">
        <w:rPr>
          <w:rFonts w:eastAsia="Franklin Gothic Medium"/>
          <w:sz w:val="20"/>
          <w:szCs w:val="20"/>
          <w:lang w:val="pl-PL"/>
        </w:rPr>
        <w:t>(wg indywidualnych wskazań)</w:t>
      </w:r>
      <w:r w:rsidRPr="00F463B2">
        <w:rPr>
          <w:rFonts w:eastAsia="Franklin Gothic Medium"/>
          <w:sz w:val="20"/>
          <w:szCs w:val="20"/>
          <w:lang w:val="pl-PL"/>
        </w:rPr>
        <w:t>:</w:t>
      </w:r>
    </w:p>
    <w:p w:rsidR="0036249A" w:rsidRDefault="0036249A" w:rsidP="000E721D">
      <w:pPr>
        <w:numPr>
          <w:ilvl w:val="0"/>
          <w:numId w:val="4"/>
        </w:numPr>
        <w:spacing w:after="120" w:line="240" w:lineRule="auto"/>
        <w:ind w:hanging="425"/>
        <w:rPr>
          <w:rFonts w:eastAsia="Franklin Gothic Medium"/>
          <w:sz w:val="20"/>
          <w:szCs w:val="20"/>
          <w:lang w:val="pl-PL"/>
        </w:rPr>
      </w:pPr>
      <w:r w:rsidRPr="00F463B2">
        <w:rPr>
          <w:rFonts w:eastAsia="Franklin Gothic Medium"/>
          <w:sz w:val="20"/>
          <w:szCs w:val="20"/>
          <w:lang w:val="pl-PL"/>
        </w:rPr>
        <w:t xml:space="preserve">profilaktyczne zabiegi operacyjne (usunięcie jajników z jajowodami) </w:t>
      </w:r>
      <w:r w:rsidR="00B70302">
        <w:rPr>
          <w:rFonts w:eastAsia="Franklin Gothic Medium"/>
          <w:sz w:val="20"/>
          <w:szCs w:val="20"/>
          <w:lang w:val="pl-PL"/>
        </w:rPr>
        <w:t>(III, B)</w:t>
      </w:r>
    </w:p>
    <w:p w:rsidR="007D5A14" w:rsidRPr="007D5A14" w:rsidRDefault="007D5A14" w:rsidP="007D5A14">
      <w:pPr>
        <w:spacing w:line="240" w:lineRule="auto"/>
        <w:rPr>
          <w:rFonts w:eastAsia="Franklin Gothic Medium"/>
          <w:sz w:val="20"/>
          <w:szCs w:val="20"/>
          <w:lang w:val="pl-PL"/>
        </w:rPr>
      </w:pPr>
    </w:p>
    <w:p w:rsidR="00177784" w:rsidRPr="00F463B2" w:rsidRDefault="001F755E" w:rsidP="00596C1B">
      <w:pPr>
        <w:pStyle w:val="Nagwek1"/>
        <w:spacing w:before="0" w:beforeAutospacing="0" w:after="240" w:afterAutospacing="0"/>
        <w:rPr>
          <w:rFonts w:ascii="Arial" w:eastAsia="Arial" w:hAnsi="Arial" w:cs="Arial"/>
          <w:color w:val="2E74B5"/>
          <w:sz w:val="28"/>
          <w:szCs w:val="28"/>
          <w:lang w:val="pl-PL"/>
        </w:rPr>
      </w:pPr>
      <w:bookmarkStart w:id="3" w:name="_Toc516233122"/>
      <w:r w:rsidRPr="00F463B2">
        <w:rPr>
          <w:rFonts w:ascii="Arial" w:eastAsia="Arial" w:hAnsi="Arial" w:cs="Arial"/>
          <w:color w:val="2E74B5"/>
          <w:sz w:val="28"/>
          <w:szCs w:val="28"/>
          <w:lang w:val="pl-PL"/>
        </w:rPr>
        <w:t>Badania przesiewowe</w:t>
      </w:r>
      <w:bookmarkEnd w:id="3"/>
    </w:p>
    <w:p w:rsidR="006F352C" w:rsidRPr="00B068D4" w:rsidRDefault="006F352C" w:rsidP="000E721D">
      <w:pPr>
        <w:numPr>
          <w:ilvl w:val="0"/>
          <w:numId w:val="26"/>
        </w:numPr>
        <w:spacing w:after="120" w:line="240" w:lineRule="auto"/>
        <w:ind w:left="714" w:hanging="357"/>
        <w:jc w:val="both"/>
        <w:rPr>
          <w:rFonts w:eastAsia="Franklin Gothic Medium"/>
          <w:sz w:val="20"/>
          <w:szCs w:val="20"/>
          <w:lang w:val="pl-PL"/>
        </w:rPr>
      </w:pPr>
      <w:r w:rsidRPr="00B068D4">
        <w:rPr>
          <w:rFonts w:eastAsia="Franklin Gothic Medium"/>
          <w:sz w:val="20"/>
          <w:szCs w:val="20"/>
          <w:lang w:val="pl-PL"/>
        </w:rPr>
        <w:t xml:space="preserve">Przesiewowe badania mammograficzne powinny być rutynowo </w:t>
      </w:r>
      <w:r w:rsidR="00AC43F7">
        <w:rPr>
          <w:rFonts w:eastAsia="Franklin Gothic Medium"/>
          <w:sz w:val="20"/>
          <w:szCs w:val="20"/>
          <w:lang w:val="pl-PL"/>
        </w:rPr>
        <w:t>wykonywane</w:t>
      </w:r>
      <w:r w:rsidRPr="00B068D4">
        <w:rPr>
          <w:rFonts w:eastAsia="Franklin Gothic Medium"/>
          <w:sz w:val="20"/>
          <w:szCs w:val="20"/>
          <w:lang w:val="pl-PL"/>
        </w:rPr>
        <w:t xml:space="preserve"> </w:t>
      </w:r>
      <w:r w:rsidR="009D6B8A" w:rsidRPr="00B068D4">
        <w:rPr>
          <w:rFonts w:eastAsia="Franklin Gothic Medium"/>
          <w:sz w:val="20"/>
          <w:szCs w:val="20"/>
          <w:lang w:val="pl-PL"/>
        </w:rPr>
        <w:t>u</w:t>
      </w:r>
      <w:r w:rsidRPr="00B068D4">
        <w:rPr>
          <w:rFonts w:eastAsia="Franklin Gothic Medium"/>
          <w:sz w:val="20"/>
          <w:szCs w:val="20"/>
          <w:lang w:val="pl-PL"/>
        </w:rPr>
        <w:t xml:space="preserve"> kobiet w wieku 50-69 lat</w:t>
      </w:r>
      <w:r w:rsidR="007D5A14">
        <w:rPr>
          <w:rFonts w:eastAsia="Franklin Gothic Medium"/>
          <w:sz w:val="20"/>
          <w:szCs w:val="20"/>
          <w:lang w:val="pl-PL"/>
        </w:rPr>
        <w:t xml:space="preserve"> (I, </w:t>
      </w:r>
      <w:r w:rsidR="006A15A6" w:rsidRPr="00B068D4">
        <w:rPr>
          <w:rFonts w:eastAsia="Franklin Gothic Medium"/>
          <w:sz w:val="20"/>
          <w:szCs w:val="20"/>
          <w:lang w:val="pl-PL"/>
        </w:rPr>
        <w:t>A)</w:t>
      </w:r>
      <w:r w:rsidRPr="00B068D4">
        <w:rPr>
          <w:rFonts w:eastAsia="Franklin Gothic Medium"/>
          <w:sz w:val="20"/>
          <w:szCs w:val="20"/>
          <w:lang w:val="pl-PL"/>
        </w:rPr>
        <w:t>.</w:t>
      </w:r>
    </w:p>
    <w:p w:rsidR="006F352C" w:rsidRPr="00B068D4" w:rsidRDefault="006F352C" w:rsidP="000E721D">
      <w:pPr>
        <w:numPr>
          <w:ilvl w:val="0"/>
          <w:numId w:val="26"/>
        </w:numPr>
        <w:spacing w:after="120" w:line="240" w:lineRule="auto"/>
        <w:ind w:left="714" w:hanging="357"/>
        <w:jc w:val="both"/>
        <w:rPr>
          <w:rFonts w:eastAsia="Franklin Gothic Medium"/>
          <w:sz w:val="20"/>
          <w:szCs w:val="20"/>
          <w:lang w:val="pl-PL"/>
        </w:rPr>
      </w:pPr>
      <w:r w:rsidRPr="00B068D4">
        <w:rPr>
          <w:rFonts w:eastAsia="Franklin Gothic Medium"/>
          <w:sz w:val="20"/>
          <w:szCs w:val="20"/>
          <w:lang w:val="pl-PL"/>
        </w:rPr>
        <w:t>Rozpoznawanie zmian wykrytych w MMG powinno się odbywać w wyspecjalizowanych ośrodkach, wykonujących przynajmniej 5000 badań rocznie na jednego radiologa, przy ścisłej współpracy radiologa, chirurga, onkologa i patomorfologa</w:t>
      </w:r>
      <w:r w:rsidR="006A15A6" w:rsidRPr="00B068D4">
        <w:rPr>
          <w:rFonts w:eastAsia="Franklin Gothic Medium"/>
          <w:sz w:val="20"/>
          <w:szCs w:val="20"/>
          <w:lang w:val="pl-PL"/>
        </w:rPr>
        <w:t xml:space="preserve"> (III, B)</w:t>
      </w:r>
      <w:r w:rsidRPr="00B068D4">
        <w:rPr>
          <w:rFonts w:eastAsia="Franklin Gothic Medium"/>
          <w:sz w:val="20"/>
          <w:szCs w:val="20"/>
          <w:lang w:val="pl-PL"/>
        </w:rPr>
        <w:t>.</w:t>
      </w:r>
    </w:p>
    <w:p w:rsidR="00F10E0B" w:rsidRPr="00B068D4" w:rsidRDefault="00F10E0B" w:rsidP="000E721D">
      <w:pPr>
        <w:numPr>
          <w:ilvl w:val="0"/>
          <w:numId w:val="26"/>
        </w:numPr>
        <w:spacing w:after="120" w:line="240" w:lineRule="auto"/>
        <w:ind w:left="714" w:hanging="357"/>
        <w:jc w:val="both"/>
        <w:rPr>
          <w:rFonts w:eastAsia="Franklin Gothic Medium"/>
          <w:sz w:val="20"/>
          <w:szCs w:val="20"/>
          <w:lang w:val="pl-PL"/>
        </w:rPr>
      </w:pPr>
      <w:r w:rsidRPr="00B068D4">
        <w:rPr>
          <w:rFonts w:eastAsia="Franklin Gothic Medium"/>
          <w:sz w:val="20"/>
          <w:szCs w:val="20"/>
          <w:lang w:val="pl-PL"/>
        </w:rPr>
        <w:t>Zakres dalszych badań diagnostycznych powinien odpowiadać stopniowi ryzyk</w:t>
      </w:r>
      <w:r w:rsidR="007D5A14">
        <w:rPr>
          <w:rFonts w:eastAsia="Franklin Gothic Medium"/>
          <w:sz w:val="20"/>
          <w:szCs w:val="20"/>
          <w:lang w:val="pl-PL"/>
        </w:rPr>
        <w:t>a rozpoznania raka piersi (III, </w:t>
      </w:r>
      <w:r w:rsidRPr="00B068D4">
        <w:rPr>
          <w:rFonts w:eastAsia="Franklin Gothic Medium"/>
          <w:sz w:val="20"/>
          <w:szCs w:val="20"/>
          <w:lang w:val="pl-PL"/>
        </w:rPr>
        <w:t>B).</w:t>
      </w:r>
    </w:p>
    <w:p w:rsidR="006F352C" w:rsidRPr="00B068D4" w:rsidRDefault="006F352C" w:rsidP="000E721D">
      <w:pPr>
        <w:numPr>
          <w:ilvl w:val="0"/>
          <w:numId w:val="26"/>
        </w:numPr>
        <w:spacing w:after="120" w:line="240" w:lineRule="auto"/>
        <w:ind w:left="714" w:hanging="357"/>
        <w:jc w:val="both"/>
        <w:rPr>
          <w:rFonts w:eastAsia="Franklin Gothic Medium" w:cs="Arial"/>
          <w:w w:val="90"/>
          <w:sz w:val="20"/>
          <w:szCs w:val="20"/>
          <w:lang w:val="pl-PL"/>
        </w:rPr>
      </w:pPr>
      <w:r w:rsidRPr="00B068D4">
        <w:rPr>
          <w:rFonts w:eastAsia="Franklin Gothic Medium" w:cs="Arial"/>
          <w:w w:val="90"/>
          <w:sz w:val="20"/>
          <w:szCs w:val="20"/>
          <w:lang w:val="pl-PL"/>
        </w:rPr>
        <w:t>Kobiety z rodzin wysokiego ryzyka wystąpienia raka piersi oraz nosicielki mutacji związanych z rakiem piersi powinny być objęte programem opieki dostosowanym do ich indywidualnego ryzyka</w:t>
      </w:r>
      <w:r w:rsidR="006A15A6" w:rsidRPr="00B068D4">
        <w:rPr>
          <w:rFonts w:eastAsia="Franklin Gothic Medium" w:cs="Arial"/>
          <w:w w:val="90"/>
          <w:sz w:val="20"/>
          <w:szCs w:val="20"/>
          <w:lang w:val="pl-PL"/>
        </w:rPr>
        <w:t xml:space="preserve"> (III, B)</w:t>
      </w:r>
      <w:r w:rsidRPr="00B068D4">
        <w:rPr>
          <w:rFonts w:eastAsia="Franklin Gothic Medium" w:cs="Arial"/>
          <w:w w:val="90"/>
          <w:sz w:val="20"/>
          <w:szCs w:val="20"/>
          <w:lang w:val="pl-PL"/>
        </w:rPr>
        <w:t>.</w:t>
      </w:r>
    </w:p>
    <w:p w:rsidR="008864C2" w:rsidRPr="00F463B2" w:rsidRDefault="00D26B7D" w:rsidP="00640E2B">
      <w:pPr>
        <w:spacing w:after="120" w:line="240" w:lineRule="auto"/>
        <w:ind w:right="692"/>
        <w:rPr>
          <w:color w:val="2E74B5"/>
          <w:sz w:val="20"/>
          <w:szCs w:val="20"/>
          <w:lang w:val="pl-PL"/>
        </w:rPr>
      </w:pPr>
      <w:r w:rsidRPr="00F463B2">
        <w:rPr>
          <w:color w:val="2E74B5"/>
          <w:sz w:val="20"/>
          <w:szCs w:val="20"/>
          <w:lang w:val="pl-PL"/>
        </w:rPr>
        <w:tab/>
      </w:r>
    </w:p>
    <w:p w:rsidR="00CE434E" w:rsidRPr="00F463B2" w:rsidRDefault="00CE434E" w:rsidP="00640E2B">
      <w:pPr>
        <w:pStyle w:val="Nagwek1"/>
        <w:spacing w:before="0" w:beforeAutospacing="0" w:after="120" w:afterAutospacing="0"/>
        <w:rPr>
          <w:rFonts w:ascii="Arial" w:hAnsi="Arial" w:cs="Arial"/>
          <w:color w:val="2E74B5"/>
          <w:sz w:val="28"/>
          <w:szCs w:val="28"/>
          <w:lang w:val="pl-PL"/>
        </w:rPr>
      </w:pPr>
      <w:bookmarkStart w:id="4" w:name="_Toc516233124"/>
      <w:bookmarkStart w:id="5" w:name="_Hlk504571297"/>
      <w:r w:rsidRPr="00F463B2">
        <w:rPr>
          <w:rFonts w:ascii="Arial" w:hAnsi="Arial" w:cs="Arial"/>
          <w:color w:val="2E74B5"/>
          <w:sz w:val="28"/>
          <w:szCs w:val="28"/>
          <w:lang w:val="pl-PL"/>
        </w:rPr>
        <w:t>Poradnictwo genetyczne</w:t>
      </w:r>
      <w:bookmarkEnd w:id="4"/>
    </w:p>
    <w:bookmarkEnd w:id="5"/>
    <w:p w:rsidR="001F09E4" w:rsidRPr="00845FA7" w:rsidRDefault="001F09E4" w:rsidP="000E721D">
      <w:pPr>
        <w:numPr>
          <w:ilvl w:val="0"/>
          <w:numId w:val="27"/>
        </w:numPr>
        <w:spacing w:before="240" w:after="120" w:line="240" w:lineRule="auto"/>
        <w:ind w:left="714" w:hanging="357"/>
        <w:jc w:val="both"/>
        <w:rPr>
          <w:rFonts w:eastAsia="Arial" w:cs="Arial"/>
          <w:w w:val="93"/>
          <w:sz w:val="20"/>
          <w:szCs w:val="20"/>
          <w:lang w:val="pl-PL"/>
        </w:rPr>
      </w:pPr>
      <w:r w:rsidRPr="00845FA7">
        <w:rPr>
          <w:rFonts w:eastAsia="Arial" w:cs="Arial"/>
          <w:w w:val="93"/>
          <w:sz w:val="20"/>
          <w:szCs w:val="20"/>
          <w:lang w:val="pl-PL"/>
        </w:rPr>
        <w:t xml:space="preserve">Kobietom </w:t>
      </w:r>
      <w:r w:rsidR="002C777E" w:rsidRPr="00845FA7">
        <w:rPr>
          <w:rFonts w:eastAsia="Arial" w:cs="Arial"/>
          <w:w w:val="93"/>
          <w:sz w:val="20"/>
          <w:szCs w:val="20"/>
          <w:lang w:val="pl-PL"/>
        </w:rPr>
        <w:t>obciążonych</w:t>
      </w:r>
      <w:r w:rsidRPr="00845FA7">
        <w:rPr>
          <w:rFonts w:eastAsia="Arial" w:cs="Arial"/>
          <w:w w:val="93"/>
          <w:sz w:val="20"/>
          <w:szCs w:val="20"/>
          <w:lang w:val="pl-PL"/>
        </w:rPr>
        <w:t xml:space="preserve"> wywiadem rodzinnym lub innymi czynnikami wskazującymi na możliwość genetycznego podłoża nowotworu należy zapewnić konsultację genetyczną</w:t>
      </w:r>
      <w:r w:rsidR="00565255" w:rsidRPr="00845FA7">
        <w:rPr>
          <w:rFonts w:eastAsia="Arial" w:cs="Arial"/>
          <w:w w:val="93"/>
          <w:sz w:val="20"/>
          <w:szCs w:val="20"/>
          <w:lang w:val="pl-PL"/>
        </w:rPr>
        <w:t xml:space="preserve"> (</w:t>
      </w:r>
      <w:r w:rsidR="00C20FCA">
        <w:rPr>
          <w:rFonts w:eastAsia="Arial" w:cs="Arial"/>
          <w:w w:val="93"/>
          <w:sz w:val="20"/>
          <w:szCs w:val="20"/>
          <w:lang w:val="pl-PL"/>
        </w:rPr>
        <w:t>I</w:t>
      </w:r>
      <w:r w:rsidR="00565255" w:rsidRPr="00845FA7">
        <w:rPr>
          <w:rFonts w:eastAsia="Arial" w:cs="Arial"/>
          <w:w w:val="93"/>
          <w:sz w:val="20"/>
          <w:szCs w:val="20"/>
          <w:lang w:val="pl-PL"/>
        </w:rPr>
        <w:t>V, A)</w:t>
      </w:r>
      <w:r w:rsidRPr="00845FA7">
        <w:rPr>
          <w:rFonts w:eastAsia="Arial" w:cs="Arial"/>
          <w:w w:val="93"/>
          <w:sz w:val="20"/>
          <w:szCs w:val="20"/>
          <w:lang w:val="pl-PL"/>
        </w:rPr>
        <w:t>.</w:t>
      </w:r>
    </w:p>
    <w:p w:rsidR="001F09E4" w:rsidRPr="00845FA7" w:rsidRDefault="001F09E4" w:rsidP="000E721D">
      <w:pPr>
        <w:numPr>
          <w:ilvl w:val="0"/>
          <w:numId w:val="27"/>
        </w:numPr>
        <w:spacing w:after="120" w:line="240" w:lineRule="auto"/>
        <w:ind w:left="714" w:hanging="357"/>
        <w:jc w:val="both"/>
        <w:rPr>
          <w:rFonts w:cs="Arial"/>
          <w:lang w:val="pl-PL"/>
        </w:rPr>
      </w:pPr>
      <w:r w:rsidRPr="00845FA7">
        <w:rPr>
          <w:rFonts w:eastAsia="Franklin Gothic Medium" w:cs="Arial"/>
          <w:sz w:val="20"/>
          <w:szCs w:val="20"/>
          <w:lang w:val="pl-PL"/>
        </w:rPr>
        <w:t xml:space="preserve">Do badań genetycznych w kierunku mutacji w genach </w:t>
      </w:r>
      <w:r w:rsidRPr="00845FA7">
        <w:rPr>
          <w:rFonts w:eastAsia="FrankRuehl" w:cs="Arial"/>
          <w:i/>
          <w:sz w:val="20"/>
          <w:szCs w:val="20"/>
          <w:lang w:val="pl-PL"/>
        </w:rPr>
        <w:t>BRCA1</w:t>
      </w:r>
      <w:r w:rsidRPr="00845FA7">
        <w:rPr>
          <w:rFonts w:eastAsia="FrankRuehl" w:cs="Arial"/>
          <w:sz w:val="20"/>
          <w:szCs w:val="20"/>
          <w:lang w:val="pl-PL"/>
        </w:rPr>
        <w:t xml:space="preserve"> </w:t>
      </w:r>
      <w:r w:rsidRPr="00845FA7">
        <w:rPr>
          <w:rFonts w:eastAsia="Franklin Gothic Medium" w:cs="Arial"/>
          <w:sz w:val="20"/>
          <w:szCs w:val="20"/>
          <w:lang w:val="pl-PL"/>
        </w:rPr>
        <w:t xml:space="preserve">i </w:t>
      </w:r>
      <w:r w:rsidRPr="00845FA7">
        <w:rPr>
          <w:rFonts w:eastAsia="FrankRuehl" w:cs="Arial"/>
          <w:i/>
          <w:sz w:val="20"/>
          <w:szCs w:val="20"/>
          <w:lang w:val="pl-PL"/>
        </w:rPr>
        <w:t>BRCA2</w:t>
      </w:r>
      <w:r w:rsidRPr="00845FA7">
        <w:rPr>
          <w:rFonts w:eastAsia="FrankRuehl" w:cs="Arial"/>
          <w:sz w:val="20"/>
          <w:szCs w:val="20"/>
          <w:lang w:val="pl-PL"/>
        </w:rPr>
        <w:t xml:space="preserve"> należy kierować kobiety, u których oszacowane </w:t>
      </w:r>
      <w:r w:rsidRPr="00845FA7">
        <w:rPr>
          <w:rFonts w:eastAsia="Franklin Gothic Medium" w:cs="Arial"/>
          <w:sz w:val="20"/>
          <w:szCs w:val="20"/>
          <w:lang w:val="pl-PL"/>
        </w:rPr>
        <w:t>prawdopodobieństwo obecności patogennej mutacji wynosi ≥10%</w:t>
      </w:r>
      <w:r w:rsidR="00565255" w:rsidRPr="00845FA7">
        <w:rPr>
          <w:rFonts w:eastAsia="Franklin Gothic Medium" w:cs="Arial"/>
          <w:sz w:val="20"/>
          <w:szCs w:val="20"/>
          <w:lang w:val="pl-PL"/>
        </w:rPr>
        <w:t xml:space="preserve"> (</w:t>
      </w:r>
      <w:r w:rsidR="00C20FCA">
        <w:rPr>
          <w:rFonts w:eastAsia="Franklin Gothic Medium" w:cs="Arial"/>
          <w:sz w:val="20"/>
          <w:szCs w:val="20"/>
          <w:lang w:val="pl-PL"/>
        </w:rPr>
        <w:t>I</w:t>
      </w:r>
      <w:r w:rsidR="00565255" w:rsidRPr="00845FA7">
        <w:rPr>
          <w:rFonts w:eastAsia="Franklin Gothic Medium" w:cs="Arial"/>
          <w:sz w:val="20"/>
          <w:szCs w:val="20"/>
          <w:lang w:val="pl-PL"/>
        </w:rPr>
        <w:t>V, B)</w:t>
      </w:r>
      <w:r w:rsidRPr="00845FA7">
        <w:rPr>
          <w:rFonts w:eastAsia="Franklin Gothic Medium" w:cs="Arial"/>
          <w:sz w:val="20"/>
          <w:szCs w:val="20"/>
          <w:lang w:val="pl-PL"/>
        </w:rPr>
        <w:t>.</w:t>
      </w:r>
    </w:p>
    <w:p w:rsidR="001F09E4" w:rsidRPr="00845FA7" w:rsidRDefault="001F09E4" w:rsidP="000E721D">
      <w:pPr>
        <w:numPr>
          <w:ilvl w:val="0"/>
          <w:numId w:val="27"/>
        </w:numPr>
        <w:spacing w:after="120" w:line="240" w:lineRule="auto"/>
        <w:ind w:left="714" w:hanging="357"/>
        <w:jc w:val="both"/>
        <w:rPr>
          <w:rFonts w:eastAsia="Franklin Gothic Medium" w:cs="Arial"/>
          <w:sz w:val="20"/>
          <w:szCs w:val="20"/>
          <w:lang w:val="pl-PL"/>
        </w:rPr>
      </w:pPr>
      <w:r w:rsidRPr="00845FA7">
        <w:rPr>
          <w:rFonts w:eastAsia="Franklin Gothic Medium" w:cs="Arial"/>
          <w:sz w:val="20"/>
          <w:szCs w:val="20"/>
          <w:lang w:val="pl-PL"/>
        </w:rPr>
        <w:t>Przed wykonaniem badania należy przeprowadzić analizę wywiadu rodzinnego obejmującą krewnych I–III stopnia, udzielić informacji o ograniczeniach testów oraz uzyskać pisemną zgodę probantki na badanie</w:t>
      </w:r>
      <w:r w:rsidR="00565255" w:rsidRPr="00845FA7">
        <w:rPr>
          <w:rFonts w:eastAsia="Franklin Gothic Medium" w:cs="Arial"/>
          <w:sz w:val="20"/>
          <w:szCs w:val="20"/>
          <w:lang w:val="pl-PL"/>
        </w:rPr>
        <w:t xml:space="preserve"> (</w:t>
      </w:r>
      <w:r w:rsidR="00C20FCA">
        <w:rPr>
          <w:rFonts w:eastAsia="Franklin Gothic Medium" w:cs="Arial"/>
          <w:sz w:val="20"/>
          <w:szCs w:val="20"/>
          <w:lang w:val="pl-PL"/>
        </w:rPr>
        <w:t>I</w:t>
      </w:r>
      <w:r w:rsidR="007D5A14">
        <w:rPr>
          <w:rFonts w:eastAsia="Franklin Gothic Medium" w:cs="Arial"/>
          <w:sz w:val="20"/>
          <w:szCs w:val="20"/>
          <w:lang w:val="pl-PL"/>
        </w:rPr>
        <w:t>V, </w:t>
      </w:r>
      <w:r w:rsidR="00565255" w:rsidRPr="00845FA7">
        <w:rPr>
          <w:rFonts w:eastAsia="Franklin Gothic Medium" w:cs="Arial"/>
          <w:sz w:val="20"/>
          <w:szCs w:val="20"/>
          <w:lang w:val="pl-PL"/>
        </w:rPr>
        <w:t>A)</w:t>
      </w:r>
      <w:r w:rsidRPr="00845FA7">
        <w:rPr>
          <w:rFonts w:eastAsia="Franklin Gothic Medium" w:cs="Arial"/>
          <w:sz w:val="20"/>
          <w:szCs w:val="20"/>
          <w:lang w:val="pl-PL"/>
        </w:rPr>
        <w:t>.</w:t>
      </w:r>
    </w:p>
    <w:p w:rsidR="001F09E4" w:rsidRPr="00845FA7" w:rsidRDefault="001F09E4" w:rsidP="000E721D">
      <w:pPr>
        <w:numPr>
          <w:ilvl w:val="0"/>
          <w:numId w:val="27"/>
        </w:numPr>
        <w:spacing w:after="120" w:line="240" w:lineRule="auto"/>
        <w:ind w:left="714" w:hanging="357"/>
        <w:jc w:val="both"/>
        <w:rPr>
          <w:rFonts w:eastAsia="Franklin Gothic Medium" w:cs="Arial"/>
          <w:sz w:val="20"/>
          <w:szCs w:val="20"/>
          <w:lang w:val="pl-PL"/>
        </w:rPr>
      </w:pPr>
      <w:r w:rsidRPr="00845FA7">
        <w:rPr>
          <w:rFonts w:eastAsia="Franklin Gothic Medium" w:cs="Arial"/>
          <w:sz w:val="20"/>
          <w:szCs w:val="20"/>
          <w:lang w:val="pl-PL"/>
        </w:rPr>
        <w:t>Badane kobiety powinny mieć zapewnioną opiekę psychologiczną</w:t>
      </w:r>
      <w:r w:rsidR="00565255" w:rsidRPr="00845FA7">
        <w:rPr>
          <w:rFonts w:eastAsia="Franklin Gothic Medium" w:cs="Arial"/>
          <w:sz w:val="20"/>
          <w:szCs w:val="20"/>
          <w:lang w:val="pl-PL"/>
        </w:rPr>
        <w:t xml:space="preserve"> (</w:t>
      </w:r>
      <w:r w:rsidR="00C20FCA">
        <w:rPr>
          <w:rFonts w:eastAsia="Franklin Gothic Medium" w:cs="Arial"/>
          <w:sz w:val="20"/>
          <w:szCs w:val="20"/>
          <w:lang w:val="pl-PL"/>
        </w:rPr>
        <w:t>I</w:t>
      </w:r>
      <w:r w:rsidR="00565255" w:rsidRPr="00845FA7">
        <w:rPr>
          <w:rFonts w:eastAsia="Franklin Gothic Medium" w:cs="Arial"/>
          <w:sz w:val="20"/>
          <w:szCs w:val="20"/>
          <w:lang w:val="pl-PL"/>
        </w:rPr>
        <w:t>V, A)</w:t>
      </w:r>
      <w:r w:rsidR="00B3499C" w:rsidRPr="00845FA7">
        <w:rPr>
          <w:rFonts w:eastAsia="Franklin Gothic Medium" w:cs="Arial"/>
          <w:sz w:val="20"/>
          <w:szCs w:val="20"/>
          <w:lang w:val="pl-PL"/>
        </w:rPr>
        <w:t>.</w:t>
      </w:r>
    </w:p>
    <w:p w:rsidR="00143C86" w:rsidRPr="00640E2B" w:rsidRDefault="001F09E4" w:rsidP="000E721D">
      <w:pPr>
        <w:numPr>
          <w:ilvl w:val="0"/>
          <w:numId w:val="5"/>
        </w:numPr>
        <w:spacing w:after="120" w:line="240" w:lineRule="auto"/>
        <w:jc w:val="both"/>
        <w:rPr>
          <w:rFonts w:eastAsia="Franklin Gothic Medium" w:cs="Arial"/>
          <w:sz w:val="20"/>
          <w:szCs w:val="20"/>
          <w:lang w:val="pl-PL"/>
        </w:rPr>
      </w:pPr>
      <w:r w:rsidRPr="00AC6CD7">
        <w:rPr>
          <w:rFonts w:eastAsia="Franklin Gothic Medium" w:cs="Arial"/>
          <w:sz w:val="20"/>
          <w:szCs w:val="20"/>
          <w:lang w:val="pl-PL"/>
        </w:rPr>
        <w:t>Możliwości postępowania u kobiet z wysokim ryzykiem zachorowania na raka piersi</w:t>
      </w:r>
      <w:r w:rsidR="00143C86" w:rsidRPr="00640E2B">
        <w:rPr>
          <w:rFonts w:eastAsia="Franklin Gothic Medium" w:cs="Arial"/>
          <w:sz w:val="20"/>
          <w:szCs w:val="20"/>
          <w:lang w:val="pl-PL"/>
        </w:rPr>
        <w:t xml:space="preserve"> obejmują:</w:t>
      </w:r>
    </w:p>
    <w:p w:rsidR="00143C86" w:rsidRPr="00640E2B" w:rsidRDefault="00D22489" w:rsidP="000E721D">
      <w:pPr>
        <w:numPr>
          <w:ilvl w:val="0"/>
          <w:numId w:val="11"/>
        </w:numPr>
        <w:spacing w:after="120" w:line="240" w:lineRule="auto"/>
        <w:ind w:left="1134" w:hanging="425"/>
        <w:jc w:val="both"/>
        <w:rPr>
          <w:rFonts w:eastAsia="Franklin Gothic Medium" w:cs="Arial"/>
          <w:sz w:val="20"/>
          <w:szCs w:val="20"/>
          <w:lang w:val="pl-PL"/>
        </w:rPr>
      </w:pPr>
      <w:r w:rsidRPr="00640E2B">
        <w:rPr>
          <w:rFonts w:eastAsia="Franklin Gothic Medium" w:cs="Arial"/>
          <w:sz w:val="20"/>
          <w:szCs w:val="20"/>
          <w:lang w:val="pl-PL"/>
        </w:rPr>
        <w:t>modyfikacj</w:t>
      </w:r>
      <w:r w:rsidR="00143C86" w:rsidRPr="00640E2B">
        <w:rPr>
          <w:rFonts w:eastAsia="Franklin Gothic Medium" w:cs="Arial"/>
          <w:sz w:val="20"/>
          <w:szCs w:val="20"/>
          <w:lang w:val="pl-PL"/>
        </w:rPr>
        <w:t>ę</w:t>
      </w:r>
      <w:r w:rsidRPr="00640E2B">
        <w:rPr>
          <w:rFonts w:eastAsia="Franklin Gothic Medium" w:cs="Arial"/>
          <w:sz w:val="20"/>
          <w:szCs w:val="20"/>
          <w:lang w:val="pl-PL"/>
        </w:rPr>
        <w:t xml:space="preserve"> styl</w:t>
      </w:r>
      <w:r w:rsidR="00143C86" w:rsidRPr="00640E2B">
        <w:rPr>
          <w:rFonts w:eastAsia="Franklin Gothic Medium" w:cs="Arial"/>
          <w:sz w:val="20"/>
          <w:szCs w:val="20"/>
          <w:lang w:val="pl-PL"/>
        </w:rPr>
        <w:t>u</w:t>
      </w:r>
      <w:r w:rsidRPr="00640E2B">
        <w:rPr>
          <w:rFonts w:eastAsia="Franklin Gothic Medium" w:cs="Arial"/>
          <w:sz w:val="20"/>
          <w:szCs w:val="20"/>
          <w:lang w:val="pl-PL"/>
        </w:rPr>
        <w:t xml:space="preserve"> życia i diety</w:t>
      </w:r>
      <w:r w:rsidR="00143C86" w:rsidRPr="00640E2B">
        <w:rPr>
          <w:rFonts w:eastAsia="Franklin Gothic Medium" w:cs="Arial"/>
          <w:sz w:val="20"/>
          <w:szCs w:val="20"/>
          <w:lang w:val="pl-PL"/>
        </w:rPr>
        <w:t xml:space="preserve"> (</w:t>
      </w:r>
      <w:r w:rsidR="00C20FCA">
        <w:rPr>
          <w:rFonts w:eastAsia="Franklin Gothic Medium" w:cs="Arial"/>
          <w:sz w:val="20"/>
          <w:szCs w:val="20"/>
          <w:lang w:val="pl-PL"/>
        </w:rPr>
        <w:t>I</w:t>
      </w:r>
      <w:r w:rsidR="00143C86" w:rsidRPr="00640E2B">
        <w:rPr>
          <w:rFonts w:eastAsia="Franklin Gothic Medium" w:cs="Arial"/>
          <w:sz w:val="20"/>
          <w:szCs w:val="20"/>
          <w:lang w:val="pl-PL"/>
        </w:rPr>
        <w:t>V, B)</w:t>
      </w:r>
      <w:r w:rsidR="00650BC0">
        <w:rPr>
          <w:rFonts w:eastAsia="Franklin Gothic Medium" w:cs="Arial"/>
          <w:sz w:val="20"/>
          <w:szCs w:val="20"/>
          <w:lang w:val="pl-PL"/>
        </w:rPr>
        <w:t>,</w:t>
      </w:r>
    </w:p>
    <w:p w:rsidR="00143C86" w:rsidRPr="00640E2B" w:rsidRDefault="00143C86" w:rsidP="000E721D">
      <w:pPr>
        <w:numPr>
          <w:ilvl w:val="0"/>
          <w:numId w:val="11"/>
        </w:numPr>
        <w:spacing w:after="120" w:line="240" w:lineRule="auto"/>
        <w:ind w:left="1134" w:hanging="425"/>
        <w:jc w:val="both"/>
        <w:rPr>
          <w:rFonts w:eastAsia="Franklin Gothic Medium" w:cs="Arial"/>
          <w:sz w:val="20"/>
          <w:szCs w:val="20"/>
          <w:lang w:val="pl-PL"/>
        </w:rPr>
      </w:pPr>
      <w:r w:rsidRPr="00640E2B">
        <w:rPr>
          <w:rFonts w:eastAsia="Franklin Gothic Medium" w:cs="Arial"/>
          <w:sz w:val="20"/>
          <w:szCs w:val="20"/>
          <w:lang w:val="pl-PL"/>
        </w:rPr>
        <w:t>intensywne badania przesiewowe (</w:t>
      </w:r>
      <w:r w:rsidR="00C20FCA">
        <w:rPr>
          <w:rFonts w:eastAsia="Franklin Gothic Medium" w:cs="Arial"/>
          <w:sz w:val="20"/>
          <w:szCs w:val="20"/>
          <w:lang w:val="pl-PL"/>
        </w:rPr>
        <w:t>III</w:t>
      </w:r>
      <w:r w:rsidRPr="00640E2B">
        <w:rPr>
          <w:rFonts w:eastAsia="Franklin Gothic Medium" w:cs="Arial"/>
          <w:sz w:val="20"/>
          <w:szCs w:val="20"/>
          <w:lang w:val="pl-PL"/>
        </w:rPr>
        <w:t>, B)</w:t>
      </w:r>
      <w:r w:rsidR="00650BC0">
        <w:rPr>
          <w:rFonts w:eastAsia="Franklin Gothic Medium" w:cs="Arial"/>
          <w:sz w:val="20"/>
          <w:szCs w:val="20"/>
          <w:lang w:val="pl-PL"/>
        </w:rPr>
        <w:t>,</w:t>
      </w:r>
    </w:p>
    <w:p w:rsidR="00143C86" w:rsidRPr="00640E2B" w:rsidRDefault="00143C86" w:rsidP="000E721D">
      <w:pPr>
        <w:numPr>
          <w:ilvl w:val="0"/>
          <w:numId w:val="11"/>
        </w:numPr>
        <w:spacing w:after="120" w:line="240" w:lineRule="auto"/>
        <w:ind w:left="1134" w:hanging="425"/>
        <w:jc w:val="both"/>
        <w:rPr>
          <w:rFonts w:eastAsia="Franklin Gothic Medium" w:cs="Arial"/>
          <w:sz w:val="20"/>
          <w:szCs w:val="20"/>
          <w:lang w:val="pl-PL"/>
        </w:rPr>
      </w:pPr>
      <w:r w:rsidRPr="00640E2B">
        <w:rPr>
          <w:rFonts w:eastAsia="Franklin Gothic Medium" w:cs="Arial"/>
          <w:sz w:val="20"/>
          <w:szCs w:val="20"/>
          <w:lang w:val="pl-PL"/>
        </w:rPr>
        <w:t>profil</w:t>
      </w:r>
      <w:r w:rsidR="00C20FCA">
        <w:rPr>
          <w:rFonts w:eastAsia="Franklin Gothic Medium" w:cs="Arial"/>
          <w:sz w:val="20"/>
          <w:szCs w:val="20"/>
          <w:lang w:val="pl-PL"/>
        </w:rPr>
        <w:t>aktyczne usunięcie przydatków (II, B</w:t>
      </w:r>
      <w:r w:rsidRPr="00640E2B">
        <w:rPr>
          <w:rFonts w:eastAsia="Franklin Gothic Medium" w:cs="Arial"/>
          <w:sz w:val="20"/>
          <w:szCs w:val="20"/>
          <w:lang w:val="pl-PL"/>
        </w:rPr>
        <w:t>)</w:t>
      </w:r>
      <w:r w:rsidR="00650BC0">
        <w:rPr>
          <w:rFonts w:eastAsia="Franklin Gothic Medium" w:cs="Arial"/>
          <w:sz w:val="20"/>
          <w:szCs w:val="20"/>
          <w:lang w:val="pl-PL"/>
        </w:rPr>
        <w:t>.</w:t>
      </w:r>
    </w:p>
    <w:p w:rsidR="001F09E4" w:rsidRPr="00640E2B" w:rsidRDefault="001F09E4" w:rsidP="000E721D">
      <w:pPr>
        <w:numPr>
          <w:ilvl w:val="0"/>
          <w:numId w:val="5"/>
        </w:numPr>
        <w:spacing w:after="120" w:line="240" w:lineRule="auto"/>
        <w:jc w:val="both"/>
        <w:rPr>
          <w:rFonts w:cs="Arial"/>
          <w:lang w:val="pl-PL"/>
        </w:rPr>
      </w:pPr>
      <w:r w:rsidRPr="00AC6CD7">
        <w:rPr>
          <w:rFonts w:eastAsia="Franklin Gothic Medium" w:cs="Arial"/>
          <w:sz w:val="20"/>
          <w:szCs w:val="20"/>
          <w:lang w:val="pl-PL"/>
        </w:rPr>
        <w:t xml:space="preserve">Wybór postępowania w indywidualnej sytuacji powinien </w:t>
      </w:r>
      <w:r w:rsidR="008864C2" w:rsidRPr="002C3798">
        <w:rPr>
          <w:rFonts w:eastAsia="Franklin Gothic Medium" w:cs="Arial"/>
          <w:sz w:val="20"/>
          <w:szCs w:val="20"/>
          <w:lang w:val="pl-PL"/>
        </w:rPr>
        <w:t xml:space="preserve">się </w:t>
      </w:r>
      <w:r w:rsidRPr="00AC6CD7">
        <w:rPr>
          <w:rFonts w:eastAsia="Franklin Gothic Medium" w:cs="Arial"/>
          <w:sz w:val="20"/>
          <w:szCs w:val="20"/>
          <w:lang w:val="pl-PL"/>
        </w:rPr>
        <w:t>opierać na oszacowanym stopniu ryzyka zachorowania na raka piersi oraz woli pacjentki</w:t>
      </w:r>
      <w:r w:rsidR="00565255" w:rsidRPr="00640E2B">
        <w:rPr>
          <w:rFonts w:eastAsia="Franklin Gothic Medium" w:cs="Arial"/>
          <w:sz w:val="20"/>
          <w:szCs w:val="20"/>
          <w:lang w:val="pl-PL"/>
        </w:rPr>
        <w:t xml:space="preserve"> (</w:t>
      </w:r>
      <w:r w:rsidR="00C20FCA">
        <w:rPr>
          <w:rFonts w:eastAsia="Franklin Gothic Medium" w:cs="Arial"/>
          <w:sz w:val="20"/>
          <w:szCs w:val="20"/>
          <w:lang w:val="pl-PL"/>
        </w:rPr>
        <w:t>I</w:t>
      </w:r>
      <w:r w:rsidR="00494F63" w:rsidRPr="00640E2B">
        <w:rPr>
          <w:rFonts w:eastAsia="Franklin Gothic Medium" w:cs="Arial"/>
          <w:sz w:val="20"/>
          <w:szCs w:val="20"/>
          <w:lang w:val="pl-PL"/>
        </w:rPr>
        <w:t>V</w:t>
      </w:r>
      <w:r w:rsidR="00565255" w:rsidRPr="00640E2B">
        <w:rPr>
          <w:rFonts w:eastAsia="Franklin Gothic Medium" w:cs="Arial"/>
          <w:sz w:val="20"/>
          <w:szCs w:val="20"/>
          <w:lang w:val="pl-PL"/>
        </w:rPr>
        <w:t>, A)</w:t>
      </w:r>
      <w:r w:rsidRPr="00AC6CD7">
        <w:rPr>
          <w:rFonts w:eastAsia="Franklin Gothic Medium" w:cs="Arial"/>
          <w:sz w:val="20"/>
          <w:szCs w:val="20"/>
          <w:lang w:val="pl-PL"/>
        </w:rPr>
        <w:t>.</w:t>
      </w:r>
      <w:r w:rsidR="00565255" w:rsidRPr="00640E2B">
        <w:rPr>
          <w:rFonts w:eastAsia="Franklin Gothic Medium" w:cs="Arial"/>
          <w:sz w:val="20"/>
          <w:szCs w:val="20"/>
          <w:lang w:val="pl-PL"/>
        </w:rPr>
        <w:t xml:space="preserve"> </w:t>
      </w:r>
    </w:p>
    <w:p w:rsidR="003C1D61" w:rsidRPr="00F463B2" w:rsidRDefault="003C1D61" w:rsidP="00640E2B">
      <w:pPr>
        <w:spacing w:after="120" w:line="240" w:lineRule="auto"/>
        <w:rPr>
          <w:sz w:val="26"/>
          <w:szCs w:val="26"/>
          <w:lang w:val="pl-PL"/>
        </w:rPr>
      </w:pPr>
    </w:p>
    <w:p w:rsidR="003C1D61" w:rsidRPr="00F463B2" w:rsidRDefault="003C1D61" w:rsidP="00640E2B">
      <w:pPr>
        <w:pStyle w:val="Nagwek1"/>
        <w:spacing w:before="0" w:beforeAutospacing="0" w:after="120" w:afterAutospacing="0"/>
        <w:rPr>
          <w:rFonts w:ascii="Arial" w:hAnsi="Arial" w:cs="Arial"/>
          <w:color w:val="2E74B5"/>
          <w:sz w:val="28"/>
          <w:szCs w:val="28"/>
          <w:lang w:val="pl-PL"/>
        </w:rPr>
      </w:pPr>
      <w:bookmarkStart w:id="6" w:name="_Toc516233126"/>
      <w:r w:rsidRPr="00F463B2">
        <w:rPr>
          <w:rFonts w:ascii="Arial" w:hAnsi="Arial" w:cs="Arial"/>
          <w:color w:val="2E74B5"/>
          <w:sz w:val="28"/>
          <w:szCs w:val="28"/>
          <w:lang w:val="pl-PL"/>
        </w:rPr>
        <w:t>Patomorfologia</w:t>
      </w:r>
      <w:bookmarkEnd w:id="6"/>
    </w:p>
    <w:p w:rsidR="003C1D61" w:rsidRPr="009D6AF1" w:rsidRDefault="003C1D61" w:rsidP="003C1D61">
      <w:pPr>
        <w:spacing w:after="120" w:line="240" w:lineRule="auto"/>
        <w:jc w:val="both"/>
        <w:rPr>
          <w:rFonts w:cs="Arial"/>
          <w:w w:val="90"/>
          <w:sz w:val="20"/>
          <w:szCs w:val="20"/>
          <w:lang w:val="pl-PL"/>
        </w:rPr>
      </w:pPr>
    </w:p>
    <w:p w:rsidR="003C1D61" w:rsidRPr="009D6AF1" w:rsidRDefault="003C1D61" w:rsidP="003C1D61">
      <w:pPr>
        <w:pStyle w:val="Nagwek2"/>
        <w:spacing w:before="0" w:after="240" w:line="240" w:lineRule="auto"/>
        <w:rPr>
          <w:rFonts w:ascii="Arial" w:hAnsi="Arial" w:cs="Arial"/>
          <w:i w:val="0"/>
          <w:color w:val="2E74B5"/>
          <w:w w:val="90"/>
          <w:sz w:val="24"/>
          <w:szCs w:val="24"/>
          <w:lang w:val="pl-PL"/>
        </w:rPr>
      </w:pPr>
      <w:bookmarkStart w:id="7" w:name="_Toc516233127"/>
      <w:r w:rsidRPr="009D6AF1">
        <w:rPr>
          <w:rFonts w:ascii="Arial" w:hAnsi="Arial" w:cs="Arial"/>
          <w:i w:val="0"/>
          <w:color w:val="2E74B5"/>
          <w:w w:val="90"/>
          <w:sz w:val="24"/>
          <w:szCs w:val="24"/>
          <w:lang w:val="pl-PL"/>
        </w:rPr>
        <w:lastRenderedPageBreak/>
        <w:t>Raport patomorfologiczny</w:t>
      </w:r>
      <w:bookmarkEnd w:id="7"/>
    </w:p>
    <w:p w:rsidR="006F352C" w:rsidRPr="004C4E0B" w:rsidRDefault="00DD156C" w:rsidP="000E721D">
      <w:pPr>
        <w:pStyle w:val="Nagwek3"/>
        <w:numPr>
          <w:ilvl w:val="0"/>
          <w:numId w:val="34"/>
        </w:numPr>
        <w:spacing w:before="0" w:after="120" w:line="240" w:lineRule="auto"/>
        <w:ind w:left="567" w:hanging="283"/>
        <w:jc w:val="both"/>
        <w:rPr>
          <w:rFonts w:ascii="Franklin Gothic Book" w:eastAsia="Franklin Gothic Medium" w:hAnsi="Franklin Gothic Book" w:cs="Calibri"/>
          <w:b w:val="0"/>
          <w:w w:val="90"/>
          <w:sz w:val="20"/>
          <w:szCs w:val="20"/>
          <w:lang w:val="pl-PL"/>
        </w:rPr>
      </w:pPr>
      <w:bookmarkStart w:id="8" w:name="_Toc516233129"/>
      <w:r w:rsidRPr="004C4E0B">
        <w:rPr>
          <w:rFonts w:ascii="Franklin Gothic Book" w:eastAsia="Franklin Gothic Medium" w:hAnsi="Franklin Gothic Book" w:cs="Calibri"/>
          <w:b w:val="0"/>
          <w:w w:val="90"/>
          <w:sz w:val="20"/>
          <w:szCs w:val="20"/>
          <w:lang w:val="pl-PL"/>
        </w:rPr>
        <w:t>Bezwzględnym warunkiem rozpoczęcia leczenia jest mikroskopowe rozpoznanie raka</w:t>
      </w:r>
      <w:r w:rsidR="000157C3" w:rsidRPr="004C4E0B">
        <w:rPr>
          <w:rFonts w:ascii="Franklin Gothic Book" w:eastAsia="Franklin Gothic Medium" w:hAnsi="Franklin Gothic Book" w:cs="Calibri"/>
          <w:b w:val="0"/>
          <w:w w:val="90"/>
          <w:sz w:val="20"/>
          <w:szCs w:val="20"/>
          <w:lang w:val="pl-PL"/>
        </w:rPr>
        <w:t xml:space="preserve"> (IV, A)</w:t>
      </w:r>
      <w:r w:rsidR="00640E2B" w:rsidRPr="004C4E0B">
        <w:rPr>
          <w:rFonts w:ascii="Franklin Gothic Book" w:eastAsia="Franklin Gothic Medium" w:hAnsi="Franklin Gothic Book" w:cs="Calibri"/>
          <w:b w:val="0"/>
          <w:w w:val="90"/>
          <w:sz w:val="20"/>
          <w:szCs w:val="20"/>
          <w:lang w:val="pl-PL"/>
        </w:rPr>
        <w:t>.</w:t>
      </w:r>
      <w:bookmarkEnd w:id="8"/>
    </w:p>
    <w:p w:rsidR="006F352C" w:rsidRPr="009D6AF1" w:rsidRDefault="006F352C" w:rsidP="000E721D">
      <w:pPr>
        <w:numPr>
          <w:ilvl w:val="0"/>
          <w:numId w:val="6"/>
        </w:numPr>
        <w:spacing w:after="120" w:line="240" w:lineRule="auto"/>
        <w:ind w:left="568" w:right="-23" w:hanging="284"/>
        <w:jc w:val="both"/>
        <w:rPr>
          <w:rFonts w:eastAsia="Franklin Gothic Medium"/>
          <w:w w:val="90"/>
          <w:sz w:val="20"/>
          <w:szCs w:val="20"/>
          <w:lang w:val="pl-PL"/>
        </w:rPr>
      </w:pPr>
      <w:r w:rsidRPr="009D6AF1">
        <w:rPr>
          <w:rFonts w:eastAsia="Franklin Gothic Medium"/>
          <w:w w:val="90"/>
          <w:sz w:val="20"/>
          <w:szCs w:val="20"/>
          <w:lang w:val="pl-PL"/>
        </w:rPr>
        <w:t>Klinicysta powinien dostarczyć patologowi w pisemnej formie wszystkie istotn</w:t>
      </w:r>
      <w:r w:rsidR="007D5A14">
        <w:rPr>
          <w:rFonts w:eastAsia="Franklin Gothic Medium"/>
          <w:w w:val="90"/>
          <w:sz w:val="20"/>
          <w:szCs w:val="20"/>
          <w:lang w:val="pl-PL"/>
        </w:rPr>
        <w:t>e informacje dotyczące chorej i </w:t>
      </w:r>
      <w:r w:rsidRPr="009D6AF1">
        <w:rPr>
          <w:rFonts w:eastAsia="Franklin Gothic Medium"/>
          <w:w w:val="90"/>
          <w:sz w:val="20"/>
          <w:szCs w:val="20"/>
          <w:lang w:val="pl-PL"/>
        </w:rPr>
        <w:t>zmiany w piersi</w:t>
      </w:r>
      <w:r w:rsidR="000157C3">
        <w:rPr>
          <w:rFonts w:eastAsia="Franklin Gothic Medium"/>
          <w:w w:val="90"/>
          <w:sz w:val="20"/>
          <w:szCs w:val="20"/>
          <w:lang w:val="pl-PL"/>
        </w:rPr>
        <w:t xml:space="preserve"> (IV, A)</w:t>
      </w:r>
      <w:r w:rsidR="00640E2B" w:rsidRPr="009D6AF1">
        <w:rPr>
          <w:rFonts w:eastAsia="Franklin Gothic Medium"/>
          <w:w w:val="90"/>
          <w:sz w:val="20"/>
          <w:szCs w:val="20"/>
          <w:lang w:val="pl-PL"/>
        </w:rPr>
        <w:t>.</w:t>
      </w:r>
    </w:p>
    <w:p w:rsidR="00DD156C" w:rsidRPr="009D6AF1" w:rsidRDefault="00DD156C" w:rsidP="000E721D">
      <w:pPr>
        <w:numPr>
          <w:ilvl w:val="0"/>
          <w:numId w:val="6"/>
        </w:numPr>
        <w:spacing w:after="120" w:line="240" w:lineRule="auto"/>
        <w:ind w:left="568" w:hanging="284"/>
        <w:jc w:val="both"/>
        <w:rPr>
          <w:rFonts w:eastAsia="Franklin Gothic Medium"/>
          <w:w w:val="90"/>
          <w:sz w:val="20"/>
          <w:szCs w:val="20"/>
          <w:lang w:val="pl-PL"/>
        </w:rPr>
      </w:pPr>
      <w:r w:rsidRPr="009D6AF1">
        <w:rPr>
          <w:rFonts w:eastAsia="Franklin Gothic Medium"/>
          <w:w w:val="90"/>
          <w:sz w:val="20"/>
          <w:szCs w:val="20"/>
          <w:lang w:val="pl-PL"/>
        </w:rPr>
        <w:t>Jeśli planowane jest wstępne leczenie systemowe, należy zawsze wykonać gr</w:t>
      </w:r>
      <w:r w:rsidR="007D5A14">
        <w:rPr>
          <w:rFonts w:eastAsia="Franklin Gothic Medium"/>
          <w:w w:val="90"/>
          <w:sz w:val="20"/>
          <w:szCs w:val="20"/>
          <w:lang w:val="pl-PL"/>
        </w:rPr>
        <w:t>uboigłową lub otwartą biopsję z </w:t>
      </w:r>
      <w:r w:rsidRPr="009D6AF1">
        <w:rPr>
          <w:rFonts w:eastAsia="Franklin Gothic Medium"/>
          <w:w w:val="90"/>
          <w:sz w:val="20"/>
          <w:szCs w:val="20"/>
          <w:lang w:val="pl-PL"/>
        </w:rPr>
        <w:t xml:space="preserve">oceną </w:t>
      </w:r>
      <w:r w:rsidR="00D91178" w:rsidRPr="009D6AF1">
        <w:rPr>
          <w:rFonts w:eastAsia="Franklin Gothic Medium"/>
          <w:w w:val="90"/>
          <w:sz w:val="20"/>
          <w:szCs w:val="20"/>
          <w:lang w:val="pl-PL"/>
        </w:rPr>
        <w:t xml:space="preserve">typu histologicznego, stopnia złośliwości, </w:t>
      </w:r>
      <w:r w:rsidRPr="009D6AF1">
        <w:rPr>
          <w:rFonts w:eastAsia="Franklin Gothic Medium"/>
          <w:w w:val="90"/>
          <w:sz w:val="20"/>
          <w:szCs w:val="20"/>
          <w:lang w:val="pl-PL"/>
        </w:rPr>
        <w:t>stanu ER, PgR, HER2 i Ki67</w:t>
      </w:r>
      <w:r w:rsidR="000157C3">
        <w:rPr>
          <w:rFonts w:eastAsia="Franklin Gothic Medium"/>
          <w:w w:val="90"/>
          <w:sz w:val="20"/>
          <w:szCs w:val="20"/>
          <w:lang w:val="pl-PL"/>
        </w:rPr>
        <w:t xml:space="preserve"> (IV, A)</w:t>
      </w:r>
      <w:r w:rsidR="00640E2B" w:rsidRPr="009D6AF1">
        <w:rPr>
          <w:rFonts w:eastAsia="Franklin Gothic Medium"/>
          <w:w w:val="90"/>
          <w:sz w:val="20"/>
          <w:szCs w:val="20"/>
          <w:lang w:val="pl-PL"/>
        </w:rPr>
        <w:t>.</w:t>
      </w:r>
    </w:p>
    <w:p w:rsidR="00D442FB" w:rsidRPr="009D6AF1" w:rsidRDefault="00D442FB" w:rsidP="000E721D">
      <w:pPr>
        <w:numPr>
          <w:ilvl w:val="0"/>
          <w:numId w:val="6"/>
        </w:numPr>
        <w:spacing w:after="120" w:line="240" w:lineRule="auto"/>
        <w:ind w:left="568" w:hanging="284"/>
        <w:jc w:val="both"/>
        <w:rPr>
          <w:rFonts w:eastAsia="Franklin Gothic Medium"/>
          <w:w w:val="90"/>
          <w:sz w:val="20"/>
          <w:szCs w:val="20"/>
          <w:lang w:val="pl-PL"/>
        </w:rPr>
      </w:pPr>
      <w:r w:rsidRPr="009D6AF1">
        <w:rPr>
          <w:rFonts w:eastAsia="Franklin Gothic Medium"/>
          <w:w w:val="90"/>
          <w:sz w:val="20"/>
          <w:szCs w:val="20"/>
          <w:lang w:val="pl-PL"/>
        </w:rPr>
        <w:t xml:space="preserve">W przypadku podejrzenia przerzutów </w:t>
      </w:r>
      <w:r w:rsidR="004F59DF" w:rsidRPr="009D6AF1">
        <w:rPr>
          <w:rFonts w:eastAsia="Franklin Gothic Medium"/>
          <w:w w:val="90"/>
          <w:sz w:val="20"/>
          <w:szCs w:val="20"/>
          <w:lang w:val="pl-PL"/>
        </w:rPr>
        <w:t>w</w:t>
      </w:r>
      <w:r w:rsidRPr="009D6AF1">
        <w:rPr>
          <w:rFonts w:eastAsia="Franklin Gothic Medium"/>
          <w:w w:val="90"/>
          <w:sz w:val="20"/>
          <w:szCs w:val="20"/>
          <w:lang w:val="pl-PL"/>
        </w:rPr>
        <w:t xml:space="preserve"> pachowych węzł</w:t>
      </w:r>
      <w:r w:rsidR="004F59DF" w:rsidRPr="009D6AF1">
        <w:rPr>
          <w:rFonts w:eastAsia="Franklin Gothic Medium"/>
          <w:w w:val="90"/>
          <w:sz w:val="20"/>
          <w:szCs w:val="20"/>
          <w:lang w:val="pl-PL"/>
        </w:rPr>
        <w:t>ach</w:t>
      </w:r>
      <w:r w:rsidRPr="009D6AF1">
        <w:rPr>
          <w:rFonts w:eastAsia="Franklin Gothic Medium"/>
          <w:w w:val="90"/>
          <w:sz w:val="20"/>
          <w:szCs w:val="20"/>
          <w:lang w:val="pl-PL"/>
        </w:rPr>
        <w:t xml:space="preserve"> chłonnych konieczna jest </w:t>
      </w:r>
      <w:r w:rsidR="006D3BDA" w:rsidRPr="009D6AF1">
        <w:rPr>
          <w:rFonts w:eastAsia="Franklin Gothic Medium"/>
          <w:w w:val="90"/>
          <w:sz w:val="20"/>
          <w:szCs w:val="20"/>
          <w:lang w:val="pl-PL"/>
        </w:rPr>
        <w:t xml:space="preserve">ich </w:t>
      </w:r>
      <w:r w:rsidRPr="009D6AF1">
        <w:rPr>
          <w:rFonts w:eastAsia="Franklin Gothic Medium"/>
          <w:w w:val="90"/>
          <w:sz w:val="20"/>
          <w:szCs w:val="20"/>
          <w:lang w:val="pl-PL"/>
        </w:rPr>
        <w:t>biopsja</w:t>
      </w:r>
      <w:r w:rsidR="000157C3">
        <w:rPr>
          <w:rFonts w:eastAsia="Franklin Gothic Medium"/>
          <w:w w:val="90"/>
          <w:sz w:val="20"/>
          <w:szCs w:val="20"/>
          <w:lang w:val="pl-PL"/>
        </w:rPr>
        <w:t xml:space="preserve"> (IV, A)</w:t>
      </w:r>
      <w:r w:rsidR="00640E2B" w:rsidRPr="009D6AF1">
        <w:rPr>
          <w:rFonts w:eastAsia="Franklin Gothic Medium"/>
          <w:w w:val="90"/>
          <w:sz w:val="20"/>
          <w:szCs w:val="20"/>
          <w:lang w:val="pl-PL"/>
        </w:rPr>
        <w:t>.</w:t>
      </w:r>
    </w:p>
    <w:p w:rsidR="00E01AB1" w:rsidRPr="009D6AF1" w:rsidRDefault="00183784" w:rsidP="000E721D">
      <w:pPr>
        <w:numPr>
          <w:ilvl w:val="0"/>
          <w:numId w:val="6"/>
        </w:numPr>
        <w:spacing w:after="120" w:line="240" w:lineRule="auto"/>
        <w:ind w:left="568" w:hanging="284"/>
        <w:jc w:val="both"/>
        <w:rPr>
          <w:rFonts w:eastAsia="Franklin Gothic Medium"/>
          <w:w w:val="90"/>
          <w:sz w:val="20"/>
          <w:szCs w:val="20"/>
          <w:lang w:val="pl-PL"/>
        </w:rPr>
      </w:pPr>
      <w:r w:rsidRPr="009D6AF1">
        <w:rPr>
          <w:rFonts w:eastAsia="Franklin Gothic Medium"/>
          <w:w w:val="90"/>
          <w:sz w:val="20"/>
          <w:szCs w:val="20"/>
          <w:lang w:val="pl-PL"/>
        </w:rPr>
        <w:t xml:space="preserve">Raport patomorfologiczny musi zawierać ocenę </w:t>
      </w:r>
      <w:r w:rsidR="00307C33" w:rsidRPr="009D6AF1">
        <w:rPr>
          <w:rFonts w:eastAsia="Franklin Gothic Medium"/>
          <w:w w:val="90"/>
          <w:sz w:val="20"/>
          <w:szCs w:val="20"/>
          <w:lang w:val="pl-PL"/>
        </w:rPr>
        <w:t xml:space="preserve">najważniejszych </w:t>
      </w:r>
      <w:r w:rsidRPr="009D6AF1">
        <w:rPr>
          <w:rFonts w:eastAsia="Franklin Gothic Medium"/>
          <w:w w:val="90"/>
          <w:sz w:val="20"/>
          <w:szCs w:val="20"/>
          <w:lang w:val="pl-PL"/>
        </w:rPr>
        <w:t>czynników rokowniczych i predykcyjnych</w:t>
      </w:r>
      <w:r w:rsidR="000157C3">
        <w:rPr>
          <w:rFonts w:eastAsia="Franklin Gothic Medium"/>
          <w:w w:val="90"/>
          <w:sz w:val="20"/>
          <w:szCs w:val="20"/>
          <w:lang w:val="pl-PL"/>
        </w:rPr>
        <w:t xml:space="preserve"> (IV, A)</w:t>
      </w:r>
      <w:r w:rsidR="00640E2B" w:rsidRPr="009D6AF1">
        <w:rPr>
          <w:rFonts w:eastAsia="Franklin Gothic Medium"/>
          <w:w w:val="90"/>
          <w:sz w:val="20"/>
          <w:szCs w:val="20"/>
          <w:lang w:val="pl-PL"/>
        </w:rPr>
        <w:t>.</w:t>
      </w:r>
    </w:p>
    <w:p w:rsidR="00E01AB1" w:rsidRPr="009D6AF1" w:rsidRDefault="00E01AB1" w:rsidP="000E721D">
      <w:pPr>
        <w:numPr>
          <w:ilvl w:val="0"/>
          <w:numId w:val="6"/>
        </w:numPr>
        <w:spacing w:after="120" w:line="240" w:lineRule="auto"/>
        <w:ind w:left="568" w:hanging="284"/>
        <w:jc w:val="both"/>
        <w:rPr>
          <w:rFonts w:eastAsia="Franklin Gothic Medium"/>
          <w:w w:val="90"/>
          <w:sz w:val="20"/>
          <w:szCs w:val="20"/>
          <w:lang w:val="pl-PL"/>
        </w:rPr>
      </w:pPr>
      <w:r w:rsidRPr="009D6AF1">
        <w:rPr>
          <w:rFonts w:eastAsia="Franklin Gothic Medium"/>
          <w:w w:val="90"/>
          <w:sz w:val="20"/>
          <w:szCs w:val="20"/>
          <w:lang w:val="pl-PL"/>
        </w:rPr>
        <w:t>Zawartość raportu jest zależna od rodzaju materiału dostarczonego do oceny, rozpoznania patomorfologicznego oraz wcześniej zastosowanego leczenia</w:t>
      </w:r>
      <w:r w:rsidR="000157C3">
        <w:rPr>
          <w:rFonts w:eastAsia="Franklin Gothic Medium"/>
          <w:w w:val="90"/>
          <w:sz w:val="20"/>
          <w:szCs w:val="20"/>
          <w:lang w:val="pl-PL"/>
        </w:rPr>
        <w:t xml:space="preserve"> (IV, A)</w:t>
      </w:r>
      <w:r w:rsidR="00640E2B" w:rsidRPr="009D6AF1">
        <w:rPr>
          <w:rFonts w:eastAsia="Franklin Gothic Medium"/>
          <w:w w:val="90"/>
          <w:sz w:val="20"/>
          <w:szCs w:val="20"/>
          <w:lang w:val="pl-PL"/>
        </w:rPr>
        <w:t>.</w:t>
      </w:r>
    </w:p>
    <w:p w:rsidR="00E01AB1" w:rsidRPr="009D6AF1" w:rsidRDefault="00E01AB1" w:rsidP="000E721D">
      <w:pPr>
        <w:numPr>
          <w:ilvl w:val="0"/>
          <w:numId w:val="6"/>
        </w:numPr>
        <w:spacing w:after="120" w:line="240" w:lineRule="auto"/>
        <w:ind w:left="568" w:hanging="284"/>
        <w:jc w:val="both"/>
        <w:rPr>
          <w:rFonts w:eastAsia="Franklin Gothic Medium"/>
          <w:w w:val="90"/>
          <w:sz w:val="20"/>
          <w:szCs w:val="20"/>
          <w:lang w:val="pl-PL"/>
        </w:rPr>
      </w:pPr>
      <w:r w:rsidRPr="009D6AF1">
        <w:rPr>
          <w:rFonts w:eastAsia="Franklin Gothic Medium"/>
          <w:w w:val="90"/>
          <w:sz w:val="20"/>
          <w:szCs w:val="20"/>
          <w:lang w:val="pl-PL"/>
        </w:rPr>
        <w:t>Raport z biopsji musi zawierać</w:t>
      </w:r>
      <w:r w:rsidR="000157C3">
        <w:rPr>
          <w:rFonts w:eastAsia="Franklin Gothic Medium"/>
          <w:w w:val="90"/>
          <w:sz w:val="20"/>
          <w:szCs w:val="20"/>
          <w:lang w:val="pl-PL"/>
        </w:rPr>
        <w:t xml:space="preserve"> (IV, A)</w:t>
      </w:r>
      <w:r w:rsidRPr="009D6AF1">
        <w:rPr>
          <w:rFonts w:eastAsia="Franklin Gothic Medium"/>
          <w:w w:val="90"/>
          <w:sz w:val="20"/>
          <w:szCs w:val="20"/>
          <w:lang w:val="pl-PL"/>
        </w:rPr>
        <w:t>:</w:t>
      </w:r>
    </w:p>
    <w:p w:rsidR="00E01AB1" w:rsidRPr="009D6AF1" w:rsidRDefault="00E01AB1" w:rsidP="000E721D">
      <w:pPr>
        <w:numPr>
          <w:ilvl w:val="0"/>
          <w:numId w:val="7"/>
        </w:numPr>
        <w:spacing w:after="120" w:line="240" w:lineRule="auto"/>
        <w:ind w:left="993" w:hanging="284"/>
        <w:jc w:val="both"/>
        <w:rPr>
          <w:rFonts w:eastAsia="Franklin Gothic Medium"/>
          <w:w w:val="90"/>
          <w:sz w:val="20"/>
          <w:szCs w:val="20"/>
          <w:lang w:val="pl-PL"/>
        </w:rPr>
      </w:pPr>
      <w:r w:rsidRPr="009D6AF1">
        <w:rPr>
          <w:rFonts w:eastAsia="Franklin Gothic Medium"/>
          <w:w w:val="90"/>
          <w:sz w:val="20"/>
          <w:szCs w:val="20"/>
          <w:lang w:val="pl-PL"/>
        </w:rPr>
        <w:t>typ histologiczny,</w:t>
      </w:r>
    </w:p>
    <w:p w:rsidR="00E01AB1" w:rsidRPr="009D6AF1" w:rsidRDefault="00E01AB1" w:rsidP="000E721D">
      <w:pPr>
        <w:numPr>
          <w:ilvl w:val="0"/>
          <w:numId w:val="7"/>
        </w:numPr>
        <w:spacing w:after="120" w:line="240" w:lineRule="auto"/>
        <w:ind w:left="993" w:hanging="284"/>
        <w:jc w:val="both"/>
        <w:rPr>
          <w:rFonts w:eastAsia="Franklin Gothic Medium"/>
          <w:w w:val="90"/>
          <w:sz w:val="20"/>
          <w:szCs w:val="20"/>
          <w:lang w:val="pl-PL"/>
        </w:rPr>
      </w:pPr>
      <w:r w:rsidRPr="009D6AF1">
        <w:rPr>
          <w:rFonts w:eastAsia="Franklin Gothic Medium"/>
          <w:w w:val="90"/>
          <w:sz w:val="20"/>
          <w:szCs w:val="20"/>
          <w:lang w:val="pl-PL"/>
        </w:rPr>
        <w:t>stopień złośliwości nowotworu,</w:t>
      </w:r>
    </w:p>
    <w:p w:rsidR="00E01AB1" w:rsidRPr="009D6AF1" w:rsidRDefault="00E01AB1" w:rsidP="000E721D">
      <w:pPr>
        <w:numPr>
          <w:ilvl w:val="0"/>
          <w:numId w:val="7"/>
        </w:numPr>
        <w:spacing w:after="120" w:line="240" w:lineRule="auto"/>
        <w:ind w:left="993" w:hanging="284"/>
        <w:jc w:val="both"/>
        <w:rPr>
          <w:rFonts w:eastAsia="Franklin Gothic Medium"/>
          <w:w w:val="90"/>
          <w:sz w:val="20"/>
          <w:szCs w:val="20"/>
          <w:lang w:val="pl-PL"/>
        </w:rPr>
      </w:pPr>
      <w:r w:rsidRPr="009D6AF1">
        <w:rPr>
          <w:rFonts w:eastAsia="Franklin Gothic Medium"/>
          <w:w w:val="90"/>
          <w:sz w:val="20"/>
          <w:szCs w:val="20"/>
          <w:lang w:val="pl-PL"/>
        </w:rPr>
        <w:t xml:space="preserve">stopień ekspresji receptorów steroidowych, </w:t>
      </w:r>
    </w:p>
    <w:p w:rsidR="00E01AB1" w:rsidRPr="009D6AF1" w:rsidRDefault="00E01AB1" w:rsidP="000E721D">
      <w:pPr>
        <w:numPr>
          <w:ilvl w:val="0"/>
          <w:numId w:val="7"/>
        </w:numPr>
        <w:spacing w:after="120" w:line="240" w:lineRule="auto"/>
        <w:ind w:left="993" w:hanging="284"/>
        <w:jc w:val="both"/>
        <w:rPr>
          <w:rFonts w:eastAsia="Franklin Gothic Medium"/>
          <w:w w:val="90"/>
          <w:sz w:val="20"/>
          <w:szCs w:val="20"/>
          <w:lang w:val="pl-PL"/>
        </w:rPr>
      </w:pPr>
      <w:r w:rsidRPr="009D6AF1">
        <w:rPr>
          <w:rFonts w:eastAsia="Franklin Gothic Medium"/>
          <w:w w:val="90"/>
          <w:sz w:val="20"/>
          <w:szCs w:val="20"/>
          <w:lang w:val="pl-PL"/>
        </w:rPr>
        <w:t>stopień ekspresji/amplifikacji HER2 (tylko w przypadku raków naciekających).</w:t>
      </w:r>
    </w:p>
    <w:p w:rsidR="00183784" w:rsidRPr="009D6AF1" w:rsidRDefault="00E01AB1" w:rsidP="000E721D">
      <w:pPr>
        <w:numPr>
          <w:ilvl w:val="0"/>
          <w:numId w:val="42"/>
        </w:numPr>
        <w:spacing w:after="120" w:line="240" w:lineRule="auto"/>
        <w:jc w:val="both"/>
        <w:rPr>
          <w:rFonts w:eastAsia="Franklin Gothic Medium"/>
          <w:w w:val="90"/>
          <w:sz w:val="20"/>
          <w:szCs w:val="20"/>
          <w:lang w:val="pl-PL"/>
        </w:rPr>
      </w:pPr>
      <w:r w:rsidRPr="009D6AF1">
        <w:rPr>
          <w:rFonts w:eastAsia="Franklin Gothic Medium"/>
          <w:w w:val="90"/>
          <w:sz w:val="20"/>
          <w:szCs w:val="20"/>
          <w:lang w:val="pl-PL"/>
        </w:rPr>
        <w:t>W</w:t>
      </w:r>
      <w:r w:rsidR="009061E0" w:rsidRPr="009D6AF1">
        <w:rPr>
          <w:rFonts w:eastAsia="Franklin Gothic Medium"/>
          <w:w w:val="90"/>
          <w:sz w:val="20"/>
          <w:szCs w:val="20"/>
          <w:lang w:val="pl-PL"/>
        </w:rPr>
        <w:t xml:space="preserve"> </w:t>
      </w:r>
      <w:r w:rsidR="00183784" w:rsidRPr="009D6AF1">
        <w:rPr>
          <w:rFonts w:eastAsia="Franklin Gothic Medium"/>
          <w:w w:val="90"/>
          <w:sz w:val="20"/>
          <w:szCs w:val="20"/>
          <w:lang w:val="pl-PL"/>
        </w:rPr>
        <w:t>rapor</w:t>
      </w:r>
      <w:r w:rsidRPr="009D6AF1">
        <w:rPr>
          <w:rFonts w:eastAsia="Franklin Gothic Medium"/>
          <w:w w:val="90"/>
          <w:sz w:val="20"/>
          <w:szCs w:val="20"/>
          <w:lang w:val="pl-PL"/>
        </w:rPr>
        <w:t>cie</w:t>
      </w:r>
      <w:r w:rsidR="00183784" w:rsidRPr="009D6AF1">
        <w:rPr>
          <w:rFonts w:eastAsia="Franklin Gothic Medium"/>
          <w:w w:val="90"/>
          <w:sz w:val="20"/>
          <w:szCs w:val="20"/>
          <w:lang w:val="pl-PL"/>
        </w:rPr>
        <w:t xml:space="preserve"> </w:t>
      </w:r>
      <w:r w:rsidR="00D442FB" w:rsidRPr="009D6AF1">
        <w:rPr>
          <w:rFonts w:eastAsia="Franklin Gothic Medium"/>
          <w:w w:val="90"/>
          <w:sz w:val="20"/>
          <w:szCs w:val="20"/>
          <w:lang w:val="pl-PL"/>
        </w:rPr>
        <w:t>pooperacyjn</w:t>
      </w:r>
      <w:r w:rsidRPr="009D6AF1">
        <w:rPr>
          <w:rFonts w:eastAsia="Franklin Gothic Medium"/>
          <w:w w:val="90"/>
          <w:sz w:val="20"/>
          <w:szCs w:val="20"/>
          <w:lang w:val="pl-PL"/>
        </w:rPr>
        <w:t>ym</w:t>
      </w:r>
      <w:r w:rsidR="00D442FB" w:rsidRPr="009D6AF1">
        <w:rPr>
          <w:rFonts w:eastAsia="Franklin Gothic Medium"/>
          <w:w w:val="90"/>
          <w:sz w:val="20"/>
          <w:szCs w:val="20"/>
          <w:lang w:val="pl-PL"/>
        </w:rPr>
        <w:t xml:space="preserve"> </w:t>
      </w:r>
      <w:r w:rsidR="00DF439F" w:rsidRPr="009D6AF1">
        <w:rPr>
          <w:rFonts w:eastAsia="Franklin Gothic Medium"/>
          <w:w w:val="90"/>
          <w:sz w:val="20"/>
          <w:szCs w:val="20"/>
          <w:lang w:val="pl-PL"/>
        </w:rPr>
        <w:t xml:space="preserve">konieczne jest </w:t>
      </w:r>
      <w:r w:rsidR="007D3C9D" w:rsidRPr="009D6AF1">
        <w:rPr>
          <w:rFonts w:eastAsia="Franklin Gothic Medium"/>
          <w:w w:val="90"/>
          <w:sz w:val="20"/>
          <w:szCs w:val="20"/>
          <w:lang w:val="pl-PL"/>
        </w:rPr>
        <w:t>dodatkowo</w:t>
      </w:r>
      <w:r w:rsidR="00DF439F" w:rsidRPr="009D6AF1">
        <w:rPr>
          <w:rFonts w:eastAsia="Franklin Gothic Medium"/>
          <w:w w:val="90"/>
          <w:sz w:val="20"/>
          <w:szCs w:val="20"/>
          <w:lang w:val="pl-PL"/>
        </w:rPr>
        <w:t xml:space="preserve"> </w:t>
      </w:r>
      <w:r w:rsidR="009061E0" w:rsidRPr="009D6AF1">
        <w:rPr>
          <w:rFonts w:eastAsia="Franklin Gothic Medium"/>
          <w:w w:val="90"/>
          <w:sz w:val="20"/>
          <w:szCs w:val="20"/>
          <w:lang w:val="pl-PL"/>
        </w:rPr>
        <w:t>określenie</w:t>
      </w:r>
      <w:r w:rsidR="00DF439F" w:rsidRPr="009D6AF1">
        <w:rPr>
          <w:rFonts w:eastAsia="Franklin Gothic Medium"/>
          <w:w w:val="90"/>
          <w:sz w:val="20"/>
          <w:szCs w:val="20"/>
          <w:lang w:val="pl-PL"/>
        </w:rPr>
        <w:t xml:space="preserve"> zaawansowania nowotworu </w:t>
      </w:r>
      <w:r w:rsidR="004F59DF" w:rsidRPr="009D6AF1">
        <w:rPr>
          <w:rFonts w:eastAsia="Franklin Gothic Medium"/>
          <w:w w:val="90"/>
          <w:sz w:val="20"/>
          <w:szCs w:val="20"/>
          <w:lang w:val="pl-PL"/>
        </w:rPr>
        <w:t>w skali</w:t>
      </w:r>
      <w:r w:rsidR="007D5A14">
        <w:rPr>
          <w:rFonts w:eastAsia="Franklin Gothic Medium"/>
          <w:w w:val="90"/>
          <w:sz w:val="20"/>
          <w:szCs w:val="20"/>
          <w:lang w:val="pl-PL"/>
        </w:rPr>
        <w:t xml:space="preserve"> </w:t>
      </w:r>
      <w:r w:rsidR="004F59DF" w:rsidRPr="009D6AF1">
        <w:rPr>
          <w:rFonts w:eastAsia="Franklin Gothic Medium"/>
          <w:w w:val="90"/>
          <w:sz w:val="20"/>
          <w:szCs w:val="20"/>
          <w:lang w:val="pl-PL"/>
        </w:rPr>
        <w:t xml:space="preserve">pTNM </w:t>
      </w:r>
      <w:r w:rsidR="00DF439F" w:rsidRPr="009D6AF1">
        <w:rPr>
          <w:rFonts w:eastAsia="Franklin Gothic Medium"/>
          <w:w w:val="90"/>
          <w:sz w:val="20"/>
          <w:szCs w:val="20"/>
          <w:lang w:val="pl-PL"/>
        </w:rPr>
        <w:t>(guz pierwotny i węzły chłonne) i stanu marginesów chirurgicznych</w:t>
      </w:r>
      <w:r w:rsidR="000157C3">
        <w:rPr>
          <w:rFonts w:eastAsia="Franklin Gothic Medium"/>
          <w:w w:val="90"/>
          <w:sz w:val="20"/>
          <w:szCs w:val="20"/>
          <w:lang w:val="pl-PL"/>
        </w:rPr>
        <w:t xml:space="preserve"> (IV, A)</w:t>
      </w:r>
      <w:r w:rsidR="00DF439F" w:rsidRPr="009D6AF1">
        <w:rPr>
          <w:rFonts w:eastAsia="Franklin Gothic Medium"/>
          <w:w w:val="90"/>
          <w:sz w:val="20"/>
          <w:szCs w:val="20"/>
          <w:lang w:val="pl-PL"/>
        </w:rPr>
        <w:t>.</w:t>
      </w:r>
    </w:p>
    <w:p w:rsidR="00332F08" w:rsidRPr="009D6AF1" w:rsidRDefault="00332F08" w:rsidP="000E721D">
      <w:pPr>
        <w:numPr>
          <w:ilvl w:val="0"/>
          <w:numId w:val="42"/>
        </w:numPr>
        <w:spacing w:after="120" w:line="240" w:lineRule="auto"/>
        <w:jc w:val="both"/>
        <w:rPr>
          <w:rFonts w:eastAsia="Franklin Gothic Medium"/>
          <w:w w:val="90"/>
          <w:sz w:val="20"/>
          <w:szCs w:val="20"/>
          <w:lang w:val="pl-PL"/>
        </w:rPr>
      </w:pPr>
      <w:r w:rsidRPr="009D6AF1">
        <w:rPr>
          <w:rFonts w:eastAsia="Franklin Gothic Medium"/>
          <w:w w:val="90"/>
          <w:sz w:val="20"/>
          <w:szCs w:val="20"/>
          <w:lang w:val="pl-PL"/>
        </w:rPr>
        <w:t xml:space="preserve">Rozpoznanie powinno uwzględniać podział na </w:t>
      </w:r>
      <w:r w:rsidR="00307C33" w:rsidRPr="009D6AF1">
        <w:rPr>
          <w:rFonts w:eastAsia="Franklin Gothic Medium"/>
          <w:w w:val="90"/>
          <w:sz w:val="20"/>
          <w:szCs w:val="20"/>
          <w:lang w:val="pl-PL"/>
        </w:rPr>
        <w:t xml:space="preserve">określone immunohistochemicznie </w:t>
      </w:r>
      <w:r w:rsidRPr="009D6AF1">
        <w:rPr>
          <w:rFonts w:eastAsia="Franklin Gothic Medium"/>
          <w:w w:val="90"/>
          <w:sz w:val="20"/>
          <w:szCs w:val="20"/>
          <w:lang w:val="pl-PL"/>
        </w:rPr>
        <w:t xml:space="preserve">podtypy: luminalny A i B, HER2-dodatni, </w:t>
      </w:r>
      <w:r w:rsidR="004B218E">
        <w:rPr>
          <w:rFonts w:eastAsia="Franklin Gothic Medium"/>
          <w:w w:val="90"/>
          <w:sz w:val="20"/>
          <w:szCs w:val="20"/>
          <w:lang w:val="pl-PL"/>
        </w:rPr>
        <w:t>trój</w:t>
      </w:r>
      <w:r w:rsidRPr="009D6AF1">
        <w:rPr>
          <w:rFonts w:eastAsia="Franklin Gothic Medium"/>
          <w:w w:val="90"/>
          <w:sz w:val="20"/>
          <w:szCs w:val="20"/>
          <w:lang w:val="pl-PL"/>
        </w:rPr>
        <w:t>ujemny</w:t>
      </w:r>
      <w:r w:rsidR="000157C3">
        <w:rPr>
          <w:rFonts w:eastAsia="Franklin Gothic Medium"/>
          <w:w w:val="90"/>
          <w:sz w:val="20"/>
          <w:szCs w:val="20"/>
          <w:lang w:val="pl-PL"/>
        </w:rPr>
        <w:t xml:space="preserve"> (IV, A)</w:t>
      </w:r>
      <w:r w:rsidR="004F59DF" w:rsidRPr="009D6AF1">
        <w:rPr>
          <w:rFonts w:eastAsia="Franklin Gothic Medium"/>
          <w:w w:val="90"/>
          <w:sz w:val="20"/>
          <w:szCs w:val="20"/>
          <w:lang w:val="pl-PL"/>
        </w:rPr>
        <w:t>.</w:t>
      </w:r>
    </w:p>
    <w:p w:rsidR="00DD156C" w:rsidRPr="00F463B2" w:rsidRDefault="00C43C8D" w:rsidP="000E721D">
      <w:pPr>
        <w:numPr>
          <w:ilvl w:val="0"/>
          <w:numId w:val="42"/>
        </w:numPr>
        <w:spacing w:after="120" w:line="240" w:lineRule="auto"/>
        <w:jc w:val="both"/>
        <w:rPr>
          <w:rFonts w:eastAsia="Franklin Gothic Medium"/>
          <w:sz w:val="20"/>
          <w:szCs w:val="20"/>
          <w:lang w:val="pl-PL"/>
        </w:rPr>
      </w:pPr>
      <w:r w:rsidRPr="009D6AF1">
        <w:rPr>
          <w:rFonts w:eastAsia="Franklin Gothic Medium"/>
          <w:w w:val="90"/>
          <w:sz w:val="20"/>
          <w:szCs w:val="20"/>
          <w:lang w:val="pl-PL"/>
        </w:rPr>
        <w:t>W niezaawansowanych rakach luminalnych (ER/PgR+</w:t>
      </w:r>
      <w:r w:rsidR="00102B6F" w:rsidRPr="009D6AF1">
        <w:rPr>
          <w:rFonts w:eastAsia="Franklin Gothic Medium"/>
          <w:w w:val="90"/>
          <w:sz w:val="20"/>
          <w:szCs w:val="20"/>
          <w:lang w:val="pl-PL"/>
        </w:rPr>
        <w:t>, HER2-</w:t>
      </w:r>
      <w:r w:rsidRPr="009D6AF1">
        <w:rPr>
          <w:rFonts w:eastAsia="Franklin Gothic Medium"/>
          <w:w w:val="90"/>
          <w:sz w:val="20"/>
          <w:szCs w:val="20"/>
          <w:lang w:val="pl-PL"/>
        </w:rPr>
        <w:t>), oprócz standardowej oceny histopatologicznej</w:t>
      </w:r>
      <w:r w:rsidR="00307C33" w:rsidRPr="009D6AF1">
        <w:rPr>
          <w:rFonts w:eastAsia="Franklin Gothic Medium"/>
          <w:w w:val="90"/>
          <w:sz w:val="20"/>
          <w:szCs w:val="20"/>
          <w:lang w:val="pl-PL"/>
        </w:rPr>
        <w:t>,</w:t>
      </w:r>
      <w:r w:rsidRPr="009D6AF1">
        <w:rPr>
          <w:rFonts w:eastAsia="Franklin Gothic Medium"/>
          <w:w w:val="90"/>
          <w:sz w:val="20"/>
          <w:szCs w:val="20"/>
          <w:lang w:val="pl-PL"/>
        </w:rPr>
        <w:t xml:space="preserve"> </w:t>
      </w:r>
      <w:r w:rsidR="00E01AB1" w:rsidRPr="009D6AF1">
        <w:rPr>
          <w:rFonts w:eastAsia="Franklin Gothic Medium"/>
          <w:w w:val="90"/>
          <w:sz w:val="20"/>
          <w:szCs w:val="20"/>
          <w:lang w:val="pl-PL"/>
        </w:rPr>
        <w:t>można</w:t>
      </w:r>
      <w:r w:rsidRPr="009D6AF1">
        <w:rPr>
          <w:rFonts w:eastAsia="Franklin Gothic Medium"/>
          <w:w w:val="90"/>
          <w:sz w:val="20"/>
          <w:szCs w:val="20"/>
          <w:lang w:val="pl-PL"/>
        </w:rPr>
        <w:t xml:space="preserve"> </w:t>
      </w:r>
      <w:r w:rsidR="00E01AB1" w:rsidRPr="009D6AF1">
        <w:rPr>
          <w:rFonts w:eastAsia="Franklin Gothic Medium"/>
          <w:w w:val="90"/>
          <w:sz w:val="20"/>
          <w:szCs w:val="20"/>
          <w:lang w:val="pl-PL"/>
        </w:rPr>
        <w:t>uwzględnić</w:t>
      </w:r>
      <w:r w:rsidRPr="009D6AF1">
        <w:rPr>
          <w:rFonts w:eastAsia="Franklin Gothic Medium"/>
          <w:w w:val="90"/>
          <w:sz w:val="20"/>
          <w:szCs w:val="20"/>
          <w:lang w:val="pl-PL"/>
        </w:rPr>
        <w:t xml:space="preserve"> wielogenow</w:t>
      </w:r>
      <w:r w:rsidR="00E01AB1" w:rsidRPr="009D6AF1">
        <w:rPr>
          <w:rFonts w:eastAsia="Franklin Gothic Medium"/>
          <w:w w:val="90"/>
          <w:sz w:val="20"/>
          <w:szCs w:val="20"/>
          <w:lang w:val="pl-PL"/>
        </w:rPr>
        <w:t>e</w:t>
      </w:r>
      <w:r w:rsidRPr="009D6AF1">
        <w:rPr>
          <w:rFonts w:eastAsia="Franklin Gothic Medium"/>
          <w:w w:val="90"/>
          <w:sz w:val="20"/>
          <w:szCs w:val="20"/>
          <w:lang w:val="pl-PL"/>
        </w:rPr>
        <w:t xml:space="preserve"> test</w:t>
      </w:r>
      <w:r w:rsidR="00E01AB1" w:rsidRPr="009D6AF1">
        <w:rPr>
          <w:rFonts w:eastAsia="Franklin Gothic Medium"/>
          <w:w w:val="90"/>
          <w:sz w:val="20"/>
          <w:szCs w:val="20"/>
          <w:lang w:val="pl-PL"/>
        </w:rPr>
        <w:t>y</w:t>
      </w:r>
      <w:r w:rsidRPr="009D6AF1">
        <w:rPr>
          <w:rFonts w:eastAsia="Franklin Gothic Medium"/>
          <w:w w:val="90"/>
          <w:sz w:val="20"/>
          <w:szCs w:val="20"/>
          <w:lang w:val="pl-PL"/>
        </w:rPr>
        <w:t xml:space="preserve"> predykcyjn</w:t>
      </w:r>
      <w:r w:rsidR="00E01AB1" w:rsidRPr="009D6AF1">
        <w:rPr>
          <w:rFonts w:eastAsia="Franklin Gothic Medium"/>
          <w:w w:val="90"/>
          <w:sz w:val="20"/>
          <w:szCs w:val="20"/>
          <w:lang w:val="pl-PL"/>
        </w:rPr>
        <w:t>e</w:t>
      </w:r>
      <w:r w:rsidR="000157C3">
        <w:rPr>
          <w:rFonts w:eastAsia="Franklin Gothic Medium"/>
          <w:w w:val="90"/>
          <w:sz w:val="20"/>
          <w:szCs w:val="20"/>
          <w:lang w:val="pl-PL"/>
        </w:rPr>
        <w:t xml:space="preserve"> (I, B)</w:t>
      </w:r>
      <w:r w:rsidR="007D3C9D">
        <w:rPr>
          <w:rFonts w:eastAsia="Franklin Gothic Medium"/>
          <w:sz w:val="20"/>
          <w:szCs w:val="20"/>
          <w:lang w:val="pl-PL"/>
        </w:rPr>
        <w:t>.</w:t>
      </w:r>
    </w:p>
    <w:p w:rsidR="00DD156C" w:rsidRPr="00F463B2" w:rsidRDefault="00DD156C" w:rsidP="007D5A14">
      <w:pPr>
        <w:spacing w:before="15" w:after="0" w:line="260" w:lineRule="exact"/>
        <w:jc w:val="both"/>
        <w:rPr>
          <w:rFonts w:eastAsia="Franklin Gothic Medium"/>
          <w:sz w:val="20"/>
          <w:szCs w:val="20"/>
          <w:lang w:val="pl-PL"/>
        </w:rPr>
      </w:pPr>
    </w:p>
    <w:p w:rsidR="00177784" w:rsidRPr="00F463B2" w:rsidRDefault="001F755E" w:rsidP="00B54B9F">
      <w:pPr>
        <w:pStyle w:val="Nagwek1"/>
        <w:spacing w:before="0" w:beforeAutospacing="0" w:after="240" w:afterAutospacing="0"/>
        <w:rPr>
          <w:rFonts w:ascii="Arial" w:hAnsi="Arial" w:cs="Arial"/>
          <w:color w:val="2E74B5"/>
          <w:sz w:val="28"/>
          <w:szCs w:val="28"/>
          <w:lang w:val="pl-PL"/>
        </w:rPr>
      </w:pPr>
      <w:bookmarkStart w:id="9" w:name="_Toc516233130"/>
      <w:r w:rsidRPr="00F463B2">
        <w:rPr>
          <w:rFonts w:ascii="Arial" w:hAnsi="Arial" w:cs="Arial"/>
          <w:color w:val="2E74B5"/>
          <w:sz w:val="28"/>
          <w:szCs w:val="28"/>
          <w:lang w:val="pl-PL"/>
        </w:rPr>
        <w:t>Diagnostyka</w:t>
      </w:r>
      <w:bookmarkEnd w:id="9"/>
      <w:r w:rsidR="00305AD2" w:rsidRPr="00F463B2">
        <w:rPr>
          <w:rFonts w:ascii="Arial" w:hAnsi="Arial" w:cs="Arial"/>
          <w:color w:val="2E74B5"/>
          <w:sz w:val="28"/>
          <w:szCs w:val="28"/>
          <w:lang w:val="pl-PL"/>
        </w:rPr>
        <w:t xml:space="preserve"> </w:t>
      </w:r>
    </w:p>
    <w:p w:rsidR="008926AD" w:rsidRPr="00C277C8" w:rsidRDefault="000D0834" w:rsidP="000E721D">
      <w:pPr>
        <w:numPr>
          <w:ilvl w:val="0"/>
          <w:numId w:val="28"/>
        </w:numPr>
        <w:spacing w:before="240" w:after="120" w:line="240" w:lineRule="auto"/>
        <w:ind w:left="714" w:hanging="357"/>
        <w:jc w:val="both"/>
        <w:rPr>
          <w:rFonts w:eastAsia="Arial" w:cs="Arial"/>
          <w:w w:val="90"/>
          <w:sz w:val="20"/>
          <w:szCs w:val="20"/>
          <w:lang w:val="pl-PL"/>
        </w:rPr>
      </w:pPr>
      <w:r>
        <w:rPr>
          <w:rFonts w:eastAsia="Arial" w:cs="Arial"/>
          <w:w w:val="90"/>
          <w:sz w:val="20"/>
          <w:szCs w:val="20"/>
          <w:lang w:val="pl-PL"/>
        </w:rPr>
        <w:t>U każdej chorej na</w:t>
      </w:r>
      <w:r w:rsidR="008926AD" w:rsidRPr="00C277C8">
        <w:rPr>
          <w:rFonts w:eastAsia="Arial" w:cs="Arial"/>
          <w:w w:val="90"/>
          <w:sz w:val="20"/>
          <w:szCs w:val="20"/>
          <w:lang w:val="pl-PL"/>
        </w:rPr>
        <w:t xml:space="preserve"> noworozpozna</w:t>
      </w:r>
      <w:r>
        <w:rPr>
          <w:rFonts w:eastAsia="Arial" w:cs="Arial"/>
          <w:w w:val="90"/>
          <w:sz w:val="20"/>
          <w:szCs w:val="20"/>
          <w:lang w:val="pl-PL"/>
        </w:rPr>
        <w:t>ego</w:t>
      </w:r>
      <w:r w:rsidR="008926AD" w:rsidRPr="00C277C8">
        <w:rPr>
          <w:rFonts w:eastAsia="Arial" w:cs="Arial"/>
          <w:w w:val="90"/>
          <w:sz w:val="20"/>
          <w:szCs w:val="20"/>
          <w:lang w:val="pl-PL"/>
        </w:rPr>
        <w:t xml:space="preserve"> rak</w:t>
      </w:r>
      <w:r>
        <w:rPr>
          <w:rFonts w:eastAsia="Arial" w:cs="Arial"/>
          <w:w w:val="90"/>
          <w:sz w:val="20"/>
          <w:szCs w:val="20"/>
          <w:lang w:val="pl-PL"/>
        </w:rPr>
        <w:t xml:space="preserve">a </w:t>
      </w:r>
      <w:r w:rsidR="008926AD" w:rsidRPr="00C277C8">
        <w:rPr>
          <w:rFonts w:eastAsia="Arial" w:cs="Arial"/>
          <w:w w:val="90"/>
          <w:sz w:val="20"/>
          <w:szCs w:val="20"/>
          <w:lang w:val="pl-PL"/>
        </w:rPr>
        <w:t xml:space="preserve">piersi należy wykonać </w:t>
      </w:r>
      <w:r w:rsidR="00DE274D" w:rsidRPr="00C277C8">
        <w:rPr>
          <w:rFonts w:eastAsia="Arial" w:cs="Arial"/>
          <w:w w:val="90"/>
          <w:sz w:val="20"/>
          <w:szCs w:val="20"/>
          <w:lang w:val="pl-PL"/>
        </w:rPr>
        <w:t>MMG</w:t>
      </w:r>
      <w:r w:rsidR="008926AD" w:rsidRPr="00C277C8">
        <w:rPr>
          <w:rFonts w:eastAsia="Arial" w:cs="Arial"/>
          <w:w w:val="90"/>
          <w:sz w:val="20"/>
          <w:szCs w:val="20"/>
          <w:lang w:val="pl-PL"/>
        </w:rPr>
        <w:t xml:space="preserve"> oraz </w:t>
      </w:r>
      <w:r w:rsidR="007D5A14">
        <w:rPr>
          <w:rFonts w:eastAsia="Arial" w:cs="Arial"/>
          <w:w w:val="90"/>
          <w:sz w:val="20"/>
          <w:szCs w:val="20"/>
          <w:lang w:val="pl-PL"/>
        </w:rPr>
        <w:t>USG piersi i dołów pachowych (o </w:t>
      </w:r>
      <w:r w:rsidR="008926AD" w:rsidRPr="00C277C8">
        <w:rPr>
          <w:rFonts w:eastAsia="Arial" w:cs="Arial"/>
          <w:w w:val="90"/>
          <w:sz w:val="20"/>
          <w:szCs w:val="20"/>
          <w:lang w:val="pl-PL"/>
        </w:rPr>
        <w:t>ile jest to technicznie możliwe)</w:t>
      </w:r>
      <w:r>
        <w:rPr>
          <w:rFonts w:eastAsia="Arial" w:cs="Arial"/>
          <w:w w:val="90"/>
          <w:sz w:val="20"/>
          <w:szCs w:val="20"/>
          <w:lang w:val="pl-PL"/>
        </w:rPr>
        <w:t xml:space="preserve"> (IV, A)</w:t>
      </w:r>
      <w:r w:rsidR="008926AD" w:rsidRPr="00C277C8">
        <w:rPr>
          <w:rFonts w:eastAsia="Arial" w:cs="Arial"/>
          <w:w w:val="90"/>
          <w:sz w:val="20"/>
          <w:szCs w:val="20"/>
          <w:lang w:val="pl-PL"/>
        </w:rPr>
        <w:t>.</w:t>
      </w:r>
    </w:p>
    <w:p w:rsidR="008926AD" w:rsidRPr="00BF3455" w:rsidRDefault="00BF3455" w:rsidP="000E721D">
      <w:pPr>
        <w:numPr>
          <w:ilvl w:val="0"/>
          <w:numId w:val="28"/>
        </w:numPr>
        <w:spacing w:after="120" w:line="240" w:lineRule="auto"/>
        <w:ind w:left="714" w:hanging="357"/>
        <w:jc w:val="both"/>
        <w:rPr>
          <w:rFonts w:eastAsia="Arial" w:cs="Arial"/>
          <w:w w:val="90"/>
          <w:sz w:val="20"/>
          <w:szCs w:val="20"/>
          <w:lang w:val="pl-PL"/>
        </w:rPr>
      </w:pPr>
      <w:r w:rsidRPr="00BF3455">
        <w:rPr>
          <w:rFonts w:eastAsia="Arial" w:cs="Arial"/>
          <w:w w:val="90"/>
          <w:sz w:val="20"/>
          <w:szCs w:val="20"/>
          <w:lang w:val="pl-PL"/>
        </w:rPr>
        <w:t>W specjalnych sytuacjach klinicznych i w przypadku wątpliwości diagnostycznych, zwłaszcza przed leczeniem oszczędzającym, należy rozważyć wykonanie dodatkowo</w:t>
      </w:r>
      <w:r w:rsidRPr="00BF3455">
        <w:rPr>
          <w:rFonts w:eastAsia="Franklin Gothic Medium"/>
          <w:w w:val="90"/>
          <w:sz w:val="20"/>
          <w:szCs w:val="20"/>
          <w:lang w:val="pl-PL"/>
        </w:rPr>
        <w:t xml:space="preserve"> </w:t>
      </w:r>
      <w:r w:rsidR="00D7289E" w:rsidRPr="00BF3455">
        <w:rPr>
          <w:rFonts w:eastAsia="Franklin Gothic Medium"/>
          <w:w w:val="90"/>
          <w:sz w:val="20"/>
          <w:szCs w:val="20"/>
          <w:lang w:val="pl-PL"/>
        </w:rPr>
        <w:t xml:space="preserve">MMG ze wzmocnieniem kontrastowym </w:t>
      </w:r>
      <w:r w:rsidRPr="00BF3455">
        <w:rPr>
          <w:rFonts w:eastAsia="Franklin Gothic Medium"/>
          <w:w w:val="90"/>
          <w:sz w:val="20"/>
          <w:szCs w:val="20"/>
          <w:lang w:val="pl-PL"/>
        </w:rPr>
        <w:t>lub</w:t>
      </w:r>
      <w:r w:rsidR="00D7289E" w:rsidRPr="00BF3455">
        <w:rPr>
          <w:rFonts w:eastAsia="Franklin Gothic Medium"/>
          <w:w w:val="90"/>
          <w:sz w:val="20"/>
          <w:szCs w:val="20"/>
          <w:lang w:val="pl-PL"/>
        </w:rPr>
        <w:t xml:space="preserve"> </w:t>
      </w:r>
      <w:r w:rsidR="008926AD" w:rsidRPr="00BF3455">
        <w:rPr>
          <w:rFonts w:eastAsia="Arial" w:cs="Arial"/>
          <w:w w:val="90"/>
          <w:sz w:val="20"/>
          <w:szCs w:val="20"/>
          <w:lang w:val="pl-PL"/>
        </w:rPr>
        <w:t>MR piersi</w:t>
      </w:r>
      <w:r w:rsidR="000D0834">
        <w:rPr>
          <w:rFonts w:eastAsia="Arial" w:cs="Arial"/>
          <w:w w:val="90"/>
          <w:sz w:val="20"/>
          <w:szCs w:val="20"/>
          <w:lang w:val="pl-PL"/>
        </w:rPr>
        <w:t xml:space="preserve"> (III, B)</w:t>
      </w:r>
      <w:r w:rsidR="008926AD" w:rsidRPr="00BF3455">
        <w:rPr>
          <w:rFonts w:eastAsia="Arial" w:cs="Arial"/>
          <w:w w:val="90"/>
          <w:sz w:val="20"/>
          <w:szCs w:val="20"/>
          <w:lang w:val="pl-PL"/>
        </w:rPr>
        <w:t>.</w:t>
      </w:r>
    </w:p>
    <w:p w:rsidR="00953A1A" w:rsidRPr="00C277C8" w:rsidRDefault="00DE274D" w:rsidP="000E721D">
      <w:pPr>
        <w:numPr>
          <w:ilvl w:val="0"/>
          <w:numId w:val="28"/>
        </w:numPr>
        <w:spacing w:after="120" w:line="240" w:lineRule="auto"/>
        <w:ind w:left="714" w:hanging="357"/>
        <w:jc w:val="both"/>
        <w:rPr>
          <w:rFonts w:eastAsia="Arial" w:cs="Arial"/>
          <w:w w:val="90"/>
          <w:sz w:val="20"/>
          <w:szCs w:val="20"/>
          <w:lang w:val="pl-PL"/>
        </w:rPr>
      </w:pPr>
      <w:r w:rsidRPr="00C277C8">
        <w:rPr>
          <w:rFonts w:eastAsia="Arial" w:cs="Arial"/>
          <w:w w:val="90"/>
          <w:sz w:val="20"/>
          <w:szCs w:val="20"/>
          <w:lang w:val="pl-PL"/>
        </w:rPr>
        <w:t>We wstępnej diagnostyce raka piersi należy wykonać</w:t>
      </w:r>
      <w:r w:rsidR="005A72A8" w:rsidRPr="00C277C8">
        <w:rPr>
          <w:rFonts w:eastAsia="Arial" w:cs="Arial"/>
          <w:w w:val="90"/>
          <w:sz w:val="20"/>
          <w:szCs w:val="20"/>
          <w:lang w:val="pl-PL"/>
        </w:rPr>
        <w:t xml:space="preserve"> badanie podmiotowe i przedmiotowe, badania laboratoryjne, badania obrazowe piersi i RTG klatki piersiowej, a w stopniu </w:t>
      </w:r>
      <w:r w:rsidR="005F48E4" w:rsidRPr="00C277C8">
        <w:rPr>
          <w:rFonts w:eastAsia="Arial" w:cs="Arial"/>
          <w:w w:val="90"/>
          <w:sz w:val="20"/>
          <w:szCs w:val="20"/>
          <w:lang w:val="pl-PL"/>
        </w:rPr>
        <w:t xml:space="preserve">II (w przypadku „agresywnych” fenotypów) i </w:t>
      </w:r>
      <w:r w:rsidR="005A72A8" w:rsidRPr="00C277C8">
        <w:rPr>
          <w:rFonts w:eastAsia="Arial" w:cs="Arial"/>
          <w:w w:val="90"/>
          <w:sz w:val="20"/>
          <w:szCs w:val="20"/>
          <w:lang w:val="pl-PL"/>
        </w:rPr>
        <w:t xml:space="preserve">III </w:t>
      </w:r>
      <w:r w:rsidR="00953A1A" w:rsidRPr="00C277C8">
        <w:rPr>
          <w:rFonts w:eastAsia="Arial" w:cs="Arial"/>
          <w:w w:val="90"/>
          <w:sz w:val="20"/>
          <w:szCs w:val="20"/>
          <w:lang w:val="pl-PL"/>
        </w:rPr>
        <w:t xml:space="preserve">- </w:t>
      </w:r>
      <w:r w:rsidR="005A72A8" w:rsidRPr="00C277C8">
        <w:rPr>
          <w:rFonts w:eastAsia="Arial" w:cs="Arial"/>
          <w:w w:val="90"/>
          <w:sz w:val="20"/>
          <w:szCs w:val="20"/>
          <w:lang w:val="pl-PL"/>
        </w:rPr>
        <w:t xml:space="preserve">dodatkowo </w:t>
      </w:r>
      <w:r w:rsidR="005F48E4" w:rsidRPr="00C277C8">
        <w:rPr>
          <w:rFonts w:eastAsia="Arial" w:cs="Arial"/>
          <w:w w:val="90"/>
          <w:sz w:val="20"/>
          <w:szCs w:val="20"/>
          <w:lang w:val="pl-PL"/>
        </w:rPr>
        <w:t>badanie</w:t>
      </w:r>
      <w:r w:rsidR="005A72A8" w:rsidRPr="00C277C8">
        <w:rPr>
          <w:rFonts w:eastAsia="Arial" w:cs="Arial"/>
          <w:w w:val="90"/>
          <w:sz w:val="20"/>
          <w:szCs w:val="20"/>
          <w:lang w:val="pl-PL"/>
        </w:rPr>
        <w:t xml:space="preserve"> kości </w:t>
      </w:r>
      <w:r w:rsidR="005F48E4" w:rsidRPr="00C277C8">
        <w:rPr>
          <w:rFonts w:eastAsia="Arial" w:cs="Arial"/>
          <w:w w:val="90"/>
          <w:sz w:val="20"/>
          <w:szCs w:val="20"/>
          <w:lang w:val="pl-PL"/>
        </w:rPr>
        <w:t xml:space="preserve">oraz </w:t>
      </w:r>
      <w:r w:rsidR="005A72A8" w:rsidRPr="00C277C8">
        <w:rPr>
          <w:rFonts w:eastAsia="Arial" w:cs="Arial"/>
          <w:w w:val="90"/>
          <w:sz w:val="20"/>
          <w:szCs w:val="20"/>
          <w:lang w:val="pl-PL"/>
        </w:rPr>
        <w:t xml:space="preserve">jamy brzusznej i miednicy. </w:t>
      </w:r>
      <w:r w:rsidR="007D3C9D" w:rsidRPr="00C277C8">
        <w:rPr>
          <w:rFonts w:eastAsia="Franklin Gothic Medium" w:cs="Arial"/>
          <w:w w:val="90"/>
          <w:sz w:val="20"/>
          <w:szCs w:val="20"/>
          <w:lang w:val="pl-PL"/>
        </w:rPr>
        <w:t>Inne</w:t>
      </w:r>
      <w:r w:rsidR="00953A1A" w:rsidRPr="00C277C8">
        <w:rPr>
          <w:rFonts w:eastAsia="Franklin Gothic Medium" w:cs="Arial"/>
          <w:w w:val="90"/>
          <w:sz w:val="20"/>
          <w:szCs w:val="20"/>
          <w:lang w:val="pl-PL"/>
        </w:rPr>
        <w:t xml:space="preserve"> badania obrazowe </w:t>
      </w:r>
      <w:r w:rsidRPr="00C277C8">
        <w:rPr>
          <w:rFonts w:eastAsia="Franklin Gothic Medium" w:cs="Arial"/>
          <w:w w:val="90"/>
          <w:sz w:val="20"/>
          <w:szCs w:val="20"/>
          <w:lang w:val="pl-PL"/>
        </w:rPr>
        <w:t>należy wykonać</w:t>
      </w:r>
      <w:r w:rsidR="00953A1A" w:rsidRPr="00C277C8">
        <w:rPr>
          <w:rFonts w:eastAsia="Franklin Gothic Medium" w:cs="Arial"/>
          <w:w w:val="90"/>
          <w:sz w:val="20"/>
          <w:szCs w:val="20"/>
          <w:lang w:val="pl-PL"/>
        </w:rPr>
        <w:t xml:space="preserve"> w zależności od wskazań klinicznych</w:t>
      </w:r>
      <w:r w:rsidR="000D0834">
        <w:rPr>
          <w:rFonts w:eastAsia="Franklin Gothic Medium" w:cs="Arial"/>
          <w:w w:val="90"/>
          <w:sz w:val="20"/>
          <w:szCs w:val="20"/>
          <w:lang w:val="pl-PL"/>
        </w:rPr>
        <w:t xml:space="preserve"> (III, A)</w:t>
      </w:r>
      <w:r w:rsidR="00953A1A" w:rsidRPr="00C277C8">
        <w:rPr>
          <w:rFonts w:eastAsia="Franklin Gothic Medium" w:cs="Arial"/>
          <w:w w:val="90"/>
          <w:sz w:val="20"/>
          <w:szCs w:val="20"/>
          <w:lang w:val="pl-PL"/>
        </w:rPr>
        <w:t xml:space="preserve">. </w:t>
      </w:r>
    </w:p>
    <w:p w:rsidR="005A72A8" w:rsidRPr="00C277C8" w:rsidRDefault="005A72A8" w:rsidP="000E721D">
      <w:pPr>
        <w:numPr>
          <w:ilvl w:val="0"/>
          <w:numId w:val="28"/>
        </w:numPr>
        <w:spacing w:after="120" w:line="240" w:lineRule="auto"/>
        <w:ind w:left="714" w:hanging="357"/>
        <w:jc w:val="both"/>
        <w:rPr>
          <w:rFonts w:eastAsia="Arial" w:cs="Arial"/>
          <w:w w:val="90"/>
          <w:sz w:val="20"/>
          <w:szCs w:val="20"/>
          <w:lang w:val="pl-PL"/>
        </w:rPr>
      </w:pPr>
      <w:r w:rsidRPr="00C277C8">
        <w:rPr>
          <w:rFonts w:eastAsia="Arial" w:cs="Arial"/>
          <w:w w:val="90"/>
          <w:sz w:val="20"/>
          <w:szCs w:val="20"/>
          <w:lang w:val="pl-PL"/>
        </w:rPr>
        <w:t>Nie zaleca się wykonywania oceny surowiczych markerów raka piersi (CA15–3,</w:t>
      </w:r>
      <w:r w:rsidR="007D5A14">
        <w:rPr>
          <w:rFonts w:eastAsia="Arial" w:cs="Arial"/>
          <w:w w:val="90"/>
          <w:sz w:val="20"/>
          <w:szCs w:val="20"/>
          <w:lang w:val="pl-PL"/>
        </w:rPr>
        <w:t xml:space="preserve"> Ca 27.29, CEA i innych) w </w:t>
      </w:r>
      <w:r w:rsidRPr="00C277C8">
        <w:rPr>
          <w:rFonts w:eastAsia="Arial" w:cs="Arial"/>
          <w:w w:val="90"/>
          <w:sz w:val="20"/>
          <w:szCs w:val="20"/>
          <w:lang w:val="pl-PL"/>
        </w:rPr>
        <w:t>ramach wykrywania, rozpoznawania, oceny stopnia klinicznego zaawa</w:t>
      </w:r>
      <w:r w:rsidR="007D5A14">
        <w:rPr>
          <w:rFonts w:eastAsia="Arial" w:cs="Arial"/>
          <w:w w:val="90"/>
          <w:sz w:val="20"/>
          <w:szCs w:val="20"/>
          <w:lang w:val="pl-PL"/>
        </w:rPr>
        <w:t>nsowania i badań kontrolnych po </w:t>
      </w:r>
      <w:r w:rsidRPr="00C277C8">
        <w:rPr>
          <w:rFonts w:eastAsia="Arial" w:cs="Arial"/>
          <w:w w:val="90"/>
          <w:sz w:val="20"/>
          <w:szCs w:val="20"/>
          <w:lang w:val="pl-PL"/>
        </w:rPr>
        <w:t>zakończeniu leczenia</w:t>
      </w:r>
      <w:r w:rsidR="000D0834">
        <w:rPr>
          <w:rFonts w:eastAsia="Arial" w:cs="Arial"/>
          <w:w w:val="90"/>
          <w:sz w:val="20"/>
          <w:szCs w:val="20"/>
          <w:lang w:val="pl-PL"/>
        </w:rPr>
        <w:t xml:space="preserve"> (II, C)</w:t>
      </w:r>
      <w:r w:rsidRPr="00C277C8">
        <w:rPr>
          <w:rFonts w:eastAsia="Arial" w:cs="Arial"/>
          <w:w w:val="90"/>
          <w:sz w:val="20"/>
          <w:szCs w:val="20"/>
          <w:lang w:val="pl-PL"/>
        </w:rPr>
        <w:t>.</w:t>
      </w:r>
    </w:p>
    <w:p w:rsidR="00845FA7" w:rsidRDefault="00845FA7" w:rsidP="00845FA7">
      <w:pPr>
        <w:spacing w:after="120" w:line="240" w:lineRule="auto"/>
        <w:rPr>
          <w:rFonts w:ascii="Arial" w:eastAsia="Arial" w:hAnsi="Arial" w:cs="Arial"/>
          <w:w w:val="90"/>
          <w:sz w:val="20"/>
          <w:szCs w:val="20"/>
          <w:lang w:val="pl-PL"/>
        </w:rPr>
      </w:pPr>
    </w:p>
    <w:p w:rsidR="00177784" w:rsidRPr="00CB3FBE" w:rsidRDefault="001F755E" w:rsidP="005A72A8">
      <w:pPr>
        <w:pStyle w:val="Nagwek1"/>
        <w:spacing w:before="0" w:beforeAutospacing="0" w:after="240" w:afterAutospacing="0"/>
        <w:rPr>
          <w:rFonts w:ascii="Arial" w:hAnsi="Arial" w:cs="Arial"/>
          <w:color w:val="2E74B5"/>
          <w:sz w:val="28"/>
          <w:szCs w:val="28"/>
          <w:lang w:val="pl-PL"/>
        </w:rPr>
      </w:pPr>
      <w:bookmarkStart w:id="10" w:name="_Toc516233132"/>
      <w:r w:rsidRPr="00F61F1C">
        <w:rPr>
          <w:rFonts w:ascii="Arial" w:hAnsi="Arial" w:cs="Arial"/>
          <w:color w:val="2E74B5"/>
          <w:sz w:val="28"/>
          <w:szCs w:val="28"/>
          <w:lang w:val="pl-PL"/>
        </w:rPr>
        <w:t>Leczenie</w:t>
      </w:r>
      <w:bookmarkEnd w:id="10"/>
    </w:p>
    <w:p w:rsidR="00177784" w:rsidRPr="00187157" w:rsidRDefault="001F755E" w:rsidP="00F42BAA">
      <w:pPr>
        <w:pStyle w:val="Nagwek2"/>
        <w:spacing w:before="0" w:after="240" w:line="240" w:lineRule="auto"/>
        <w:rPr>
          <w:rFonts w:ascii="Arial" w:hAnsi="Arial" w:cs="Arial"/>
          <w:i w:val="0"/>
          <w:color w:val="2E74B5"/>
          <w:sz w:val="24"/>
          <w:szCs w:val="24"/>
          <w:lang w:val="pl-PL"/>
        </w:rPr>
      </w:pPr>
      <w:bookmarkStart w:id="11" w:name="_Toc516233133"/>
      <w:r w:rsidRPr="00241AC3">
        <w:rPr>
          <w:rFonts w:ascii="Arial" w:hAnsi="Arial" w:cs="Arial"/>
          <w:i w:val="0"/>
          <w:color w:val="2E74B5"/>
          <w:sz w:val="24"/>
          <w:szCs w:val="24"/>
          <w:lang w:val="pl-PL"/>
        </w:rPr>
        <w:t xml:space="preserve">Zasady </w:t>
      </w:r>
      <w:r w:rsidRPr="00763E63">
        <w:rPr>
          <w:rFonts w:ascii="Arial" w:hAnsi="Arial" w:cs="Arial"/>
          <w:i w:val="0"/>
          <w:color w:val="2E74B5"/>
          <w:w w:val="102"/>
          <w:sz w:val="24"/>
          <w:szCs w:val="24"/>
          <w:lang w:val="pl-PL"/>
        </w:rPr>
        <w:t>ogólne</w:t>
      </w:r>
      <w:bookmarkEnd w:id="11"/>
    </w:p>
    <w:p w:rsidR="0019447D" w:rsidRPr="00F463B2" w:rsidRDefault="0019447D" w:rsidP="000E721D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bookmarkStart w:id="12" w:name="_Hlk507871780"/>
      <w:r w:rsidRPr="00F463B2">
        <w:rPr>
          <w:sz w:val="20"/>
          <w:szCs w:val="20"/>
          <w:lang w:val="pl-PL"/>
        </w:rPr>
        <w:t xml:space="preserve">Chorym na </w:t>
      </w:r>
      <w:r>
        <w:rPr>
          <w:sz w:val="20"/>
          <w:szCs w:val="20"/>
          <w:lang w:val="pl-PL"/>
        </w:rPr>
        <w:t>nowotwory</w:t>
      </w:r>
      <w:r w:rsidRPr="00F463B2">
        <w:rPr>
          <w:sz w:val="20"/>
          <w:szCs w:val="20"/>
          <w:lang w:val="pl-PL"/>
        </w:rPr>
        <w:t xml:space="preserve"> piersi należy zapewnić kompleksową opiekę w specjalistycznych jednostkach zajmujących się rozpoznawaniem i leczeniem tego nowotworu</w:t>
      </w:r>
      <w:r>
        <w:rPr>
          <w:sz w:val="20"/>
          <w:szCs w:val="20"/>
          <w:lang w:val="pl-PL"/>
        </w:rPr>
        <w:t xml:space="preserve"> (IV, B)</w:t>
      </w:r>
      <w:r w:rsidRPr="00F463B2">
        <w:rPr>
          <w:sz w:val="20"/>
          <w:szCs w:val="20"/>
          <w:lang w:val="pl-PL"/>
        </w:rPr>
        <w:t>.</w:t>
      </w:r>
    </w:p>
    <w:p w:rsidR="0019447D" w:rsidRPr="00F463B2" w:rsidRDefault="0019447D" w:rsidP="000E721D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 xml:space="preserve">Wybór metod leczenia opiera się na ocenie klinicznej i patomorfologicznej, z uwzględnieniem typu histologicznego i stopnia złośliwości </w:t>
      </w:r>
      <w:r>
        <w:rPr>
          <w:sz w:val="20"/>
          <w:szCs w:val="20"/>
          <w:lang w:val="pl-PL"/>
        </w:rPr>
        <w:t>nowotworu</w:t>
      </w:r>
      <w:r w:rsidRPr="00F463B2">
        <w:rPr>
          <w:sz w:val="20"/>
          <w:szCs w:val="20"/>
          <w:lang w:val="pl-PL"/>
        </w:rPr>
        <w:t xml:space="preserve">, ekspresji ER/PgR, HER2 i Ki67, zaawansowania </w:t>
      </w:r>
      <w:r>
        <w:rPr>
          <w:sz w:val="20"/>
          <w:szCs w:val="20"/>
          <w:lang w:val="pl-PL"/>
        </w:rPr>
        <w:t>ogniska</w:t>
      </w:r>
      <w:r w:rsidRPr="00F463B2">
        <w:rPr>
          <w:sz w:val="20"/>
          <w:szCs w:val="20"/>
          <w:lang w:val="pl-PL"/>
        </w:rPr>
        <w:t xml:space="preserve"> </w:t>
      </w:r>
      <w:r w:rsidR="007D5A14">
        <w:rPr>
          <w:sz w:val="20"/>
          <w:szCs w:val="20"/>
          <w:lang w:val="pl-PL"/>
        </w:rPr>
        <w:t>w </w:t>
      </w:r>
      <w:r>
        <w:rPr>
          <w:sz w:val="20"/>
          <w:szCs w:val="20"/>
          <w:lang w:val="pl-PL"/>
        </w:rPr>
        <w:t>piersi,</w:t>
      </w:r>
      <w:r w:rsidRPr="00F463B2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obecności przerzutów w</w:t>
      </w:r>
      <w:r w:rsidRPr="00F463B2">
        <w:rPr>
          <w:sz w:val="20"/>
          <w:szCs w:val="20"/>
          <w:lang w:val="pl-PL"/>
        </w:rPr>
        <w:t xml:space="preserve"> pachowych węzł</w:t>
      </w:r>
      <w:r w:rsidR="00A16F12">
        <w:rPr>
          <w:sz w:val="20"/>
          <w:szCs w:val="20"/>
          <w:lang w:val="pl-PL"/>
        </w:rPr>
        <w:t>ach</w:t>
      </w:r>
      <w:r w:rsidRPr="00F463B2">
        <w:rPr>
          <w:sz w:val="20"/>
          <w:szCs w:val="20"/>
          <w:lang w:val="pl-PL"/>
        </w:rPr>
        <w:t xml:space="preserve"> chłonnych, obecności, lokalizacji i rozległości </w:t>
      </w:r>
      <w:r w:rsidRPr="00F463B2">
        <w:rPr>
          <w:sz w:val="20"/>
          <w:szCs w:val="20"/>
          <w:lang w:val="pl-PL"/>
        </w:rPr>
        <w:lastRenderedPageBreak/>
        <w:t>przerzutów w odległych narządach, dolegliwości związanych z nowotworem, stanów stwarzających bezpośrednie zagrożenie życia, stanu menopauzalnego i wieku chorej,</w:t>
      </w:r>
      <w:r w:rsidR="007D5A14">
        <w:rPr>
          <w:sz w:val="20"/>
          <w:szCs w:val="20"/>
          <w:lang w:val="pl-PL"/>
        </w:rPr>
        <w:t xml:space="preserve"> stanu sprawności, przebytych i </w:t>
      </w:r>
      <w:r w:rsidRPr="00F463B2">
        <w:rPr>
          <w:sz w:val="20"/>
          <w:szCs w:val="20"/>
          <w:lang w:val="pl-PL"/>
        </w:rPr>
        <w:t>współistniejących chorób oraz ich leczenia, a także preferencji chorych</w:t>
      </w:r>
      <w:r>
        <w:rPr>
          <w:sz w:val="20"/>
          <w:szCs w:val="20"/>
          <w:lang w:val="pl-PL"/>
        </w:rPr>
        <w:t xml:space="preserve"> (I, A)</w:t>
      </w:r>
      <w:r w:rsidRPr="00F463B2">
        <w:rPr>
          <w:sz w:val="20"/>
          <w:szCs w:val="20"/>
          <w:lang w:val="pl-PL"/>
        </w:rPr>
        <w:t>.</w:t>
      </w:r>
    </w:p>
    <w:p w:rsidR="0019447D" w:rsidRPr="00F463B2" w:rsidRDefault="0019447D" w:rsidP="000E721D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>Wszystkie decyzje dotyczące leczenia powinny być podejmowane pr</w:t>
      </w:r>
      <w:r w:rsidR="007D5A14">
        <w:rPr>
          <w:sz w:val="20"/>
          <w:szCs w:val="20"/>
          <w:lang w:val="pl-PL"/>
        </w:rPr>
        <w:t>zy świadomym udziale chorej, po </w:t>
      </w:r>
      <w:r w:rsidRPr="00F463B2">
        <w:rPr>
          <w:sz w:val="20"/>
          <w:szCs w:val="20"/>
          <w:lang w:val="pl-PL"/>
        </w:rPr>
        <w:t>przekazaniu jej pełnej informacji i przedstawieniu wszystkich możliwości</w:t>
      </w:r>
      <w:r>
        <w:rPr>
          <w:sz w:val="20"/>
          <w:szCs w:val="20"/>
          <w:lang w:val="pl-PL"/>
        </w:rPr>
        <w:t xml:space="preserve"> (V, A)</w:t>
      </w:r>
      <w:r w:rsidRPr="00F463B2">
        <w:rPr>
          <w:sz w:val="20"/>
          <w:szCs w:val="20"/>
          <w:lang w:val="pl-PL"/>
        </w:rPr>
        <w:t>.</w:t>
      </w:r>
    </w:p>
    <w:p w:rsidR="0019447D" w:rsidRPr="00F463B2" w:rsidRDefault="0019447D" w:rsidP="000E721D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Chorym w</w:t>
      </w:r>
      <w:r w:rsidRPr="00F463B2">
        <w:rPr>
          <w:sz w:val="20"/>
          <w:szCs w:val="20"/>
          <w:lang w:val="pl-PL"/>
        </w:rPr>
        <w:t xml:space="preserve"> wieku rozrodczym </w:t>
      </w:r>
      <w:r>
        <w:rPr>
          <w:sz w:val="20"/>
          <w:szCs w:val="20"/>
          <w:lang w:val="pl-PL"/>
        </w:rPr>
        <w:t>należy</w:t>
      </w:r>
      <w:r w:rsidRPr="00F463B2">
        <w:rPr>
          <w:sz w:val="20"/>
          <w:szCs w:val="20"/>
          <w:lang w:val="pl-PL"/>
        </w:rPr>
        <w:t xml:space="preserve"> przekaza</w:t>
      </w:r>
      <w:r>
        <w:rPr>
          <w:sz w:val="20"/>
          <w:szCs w:val="20"/>
          <w:lang w:val="pl-PL"/>
        </w:rPr>
        <w:t>ć</w:t>
      </w:r>
      <w:r w:rsidRPr="00F463B2">
        <w:rPr>
          <w:sz w:val="20"/>
          <w:szCs w:val="20"/>
          <w:lang w:val="pl-PL"/>
        </w:rPr>
        <w:t xml:space="preserve"> informacj</w:t>
      </w:r>
      <w:r>
        <w:rPr>
          <w:sz w:val="20"/>
          <w:szCs w:val="20"/>
          <w:lang w:val="pl-PL"/>
        </w:rPr>
        <w:t>ę o</w:t>
      </w:r>
      <w:r w:rsidRPr="00F463B2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 xml:space="preserve">ewentualnym </w:t>
      </w:r>
      <w:r w:rsidR="007D5A14">
        <w:rPr>
          <w:sz w:val="20"/>
          <w:szCs w:val="20"/>
          <w:lang w:val="pl-PL"/>
        </w:rPr>
        <w:t>ryzyku utraty płodności i </w:t>
      </w:r>
      <w:r w:rsidRPr="00F463B2">
        <w:rPr>
          <w:sz w:val="20"/>
          <w:szCs w:val="20"/>
          <w:lang w:val="pl-PL"/>
        </w:rPr>
        <w:t xml:space="preserve">przedwczesnej menopauzy </w:t>
      </w:r>
      <w:r>
        <w:rPr>
          <w:sz w:val="20"/>
          <w:szCs w:val="20"/>
          <w:lang w:val="pl-PL"/>
        </w:rPr>
        <w:t>oraz</w:t>
      </w:r>
      <w:r w:rsidRPr="00F463B2">
        <w:rPr>
          <w:sz w:val="20"/>
          <w:szCs w:val="20"/>
          <w:lang w:val="pl-PL"/>
        </w:rPr>
        <w:t xml:space="preserve"> dostępnych metodach postępowania zapobiegawczego</w:t>
      </w:r>
      <w:r>
        <w:rPr>
          <w:sz w:val="20"/>
          <w:szCs w:val="20"/>
          <w:lang w:val="pl-PL"/>
        </w:rPr>
        <w:t xml:space="preserve"> (V, A)</w:t>
      </w:r>
      <w:r w:rsidRPr="00F463B2">
        <w:rPr>
          <w:sz w:val="20"/>
          <w:szCs w:val="20"/>
          <w:lang w:val="pl-PL"/>
        </w:rPr>
        <w:t>.</w:t>
      </w:r>
    </w:p>
    <w:p w:rsidR="0019447D" w:rsidRPr="00F463B2" w:rsidRDefault="0019447D" w:rsidP="0019447D">
      <w:pPr>
        <w:spacing w:before="11" w:after="0" w:line="260" w:lineRule="exact"/>
        <w:jc w:val="both"/>
        <w:rPr>
          <w:sz w:val="20"/>
          <w:szCs w:val="20"/>
          <w:lang w:val="pl-PL"/>
        </w:rPr>
      </w:pPr>
    </w:p>
    <w:p w:rsidR="0019447D" w:rsidRPr="00F463B2" w:rsidRDefault="0019447D" w:rsidP="0019447D">
      <w:pPr>
        <w:pStyle w:val="Nagwek2"/>
        <w:spacing w:before="0" w:after="240" w:line="240" w:lineRule="auto"/>
        <w:rPr>
          <w:rFonts w:ascii="Arial" w:hAnsi="Arial" w:cs="Arial"/>
          <w:i w:val="0"/>
          <w:color w:val="2E74B5"/>
          <w:sz w:val="24"/>
          <w:szCs w:val="24"/>
          <w:lang w:val="pl-PL"/>
        </w:rPr>
      </w:pPr>
      <w:bookmarkStart w:id="13" w:name="_Toc516233135"/>
      <w:r w:rsidRPr="00F463B2">
        <w:rPr>
          <w:rFonts w:ascii="Arial" w:hAnsi="Arial" w:cs="Arial"/>
          <w:i w:val="0"/>
          <w:color w:val="2E74B5"/>
          <w:sz w:val="24"/>
          <w:szCs w:val="24"/>
          <w:lang w:val="pl-PL"/>
        </w:rPr>
        <w:t>Leczenie raków przedinwazyjnych (stopień 0)</w:t>
      </w:r>
      <w:bookmarkEnd w:id="13"/>
    </w:p>
    <w:p w:rsidR="00424776" w:rsidRPr="00F463B2" w:rsidRDefault="00424776" w:rsidP="000E721D">
      <w:pPr>
        <w:numPr>
          <w:ilvl w:val="0"/>
          <w:numId w:val="43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>LCIS jest zmian</w:t>
      </w:r>
      <w:r w:rsidR="004E3D74">
        <w:rPr>
          <w:sz w:val="20"/>
          <w:szCs w:val="20"/>
          <w:lang w:val="pl-PL"/>
        </w:rPr>
        <w:t>ą</w:t>
      </w:r>
      <w:r w:rsidRPr="00F463B2">
        <w:rPr>
          <w:sz w:val="20"/>
          <w:szCs w:val="20"/>
          <w:lang w:val="pl-PL"/>
        </w:rPr>
        <w:t xml:space="preserve"> łagodną, w większości przypadków nie wymagającą postępowania miejscowego</w:t>
      </w:r>
      <w:r w:rsidR="00B55B43" w:rsidRPr="00F463B2">
        <w:rPr>
          <w:sz w:val="20"/>
          <w:szCs w:val="20"/>
          <w:lang w:val="pl-PL"/>
        </w:rPr>
        <w:t xml:space="preserve"> (I, A)</w:t>
      </w:r>
      <w:r w:rsidRPr="00F463B2">
        <w:rPr>
          <w:sz w:val="20"/>
          <w:szCs w:val="20"/>
          <w:lang w:val="pl-PL"/>
        </w:rPr>
        <w:t>.</w:t>
      </w:r>
    </w:p>
    <w:p w:rsidR="0019447D" w:rsidRDefault="00C02382" w:rsidP="000E721D">
      <w:pPr>
        <w:numPr>
          <w:ilvl w:val="0"/>
          <w:numId w:val="43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19447D">
        <w:rPr>
          <w:sz w:val="20"/>
          <w:szCs w:val="20"/>
          <w:lang w:val="pl-PL"/>
        </w:rPr>
        <w:t xml:space="preserve">Leczeniem z wyboru chorych na DCIS jest </w:t>
      </w:r>
      <w:r w:rsidR="00B55B43" w:rsidRPr="0019447D">
        <w:rPr>
          <w:sz w:val="20"/>
          <w:szCs w:val="20"/>
          <w:lang w:val="pl-PL"/>
        </w:rPr>
        <w:t xml:space="preserve">miejscowe </w:t>
      </w:r>
      <w:r w:rsidRPr="0019447D">
        <w:rPr>
          <w:sz w:val="20"/>
          <w:szCs w:val="20"/>
          <w:lang w:val="pl-PL"/>
        </w:rPr>
        <w:t xml:space="preserve">usunięcie zmiany uzupełnione </w:t>
      </w:r>
      <w:r w:rsidR="006D07C1" w:rsidRPr="0019447D">
        <w:rPr>
          <w:sz w:val="20"/>
          <w:szCs w:val="20"/>
          <w:lang w:val="pl-PL"/>
        </w:rPr>
        <w:t>RT</w:t>
      </w:r>
      <w:r w:rsidRPr="0019447D">
        <w:rPr>
          <w:sz w:val="20"/>
          <w:szCs w:val="20"/>
          <w:lang w:val="pl-PL"/>
        </w:rPr>
        <w:t xml:space="preserve"> </w:t>
      </w:r>
      <w:r w:rsidR="00471BB3" w:rsidRPr="0019447D">
        <w:rPr>
          <w:sz w:val="20"/>
          <w:szCs w:val="20"/>
          <w:lang w:val="pl-PL"/>
        </w:rPr>
        <w:t>(I, A).</w:t>
      </w:r>
      <w:bookmarkEnd w:id="12"/>
    </w:p>
    <w:p w:rsidR="00320C93" w:rsidRDefault="00320C93" w:rsidP="000E721D">
      <w:pPr>
        <w:numPr>
          <w:ilvl w:val="0"/>
          <w:numId w:val="43"/>
        </w:numPr>
        <w:spacing w:after="120" w:line="24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W przypadku miejscowego usunięcia zmiany należy zachować </w:t>
      </w:r>
      <w:r w:rsidRPr="00DB4C3E">
        <w:rPr>
          <w:sz w:val="20"/>
          <w:szCs w:val="20"/>
          <w:lang w:val="pl-PL"/>
        </w:rPr>
        <w:t xml:space="preserve">margines tkanek wolnych od nowotworu </w:t>
      </w:r>
      <w:r w:rsidRPr="005B6072">
        <w:rPr>
          <w:sz w:val="20"/>
          <w:szCs w:val="20"/>
          <w:lang w:val="pl-PL"/>
        </w:rPr>
        <w:t>≥2 mm</w:t>
      </w:r>
      <w:r>
        <w:rPr>
          <w:sz w:val="20"/>
          <w:szCs w:val="20"/>
          <w:lang w:val="pl-PL"/>
        </w:rPr>
        <w:t xml:space="preserve"> (IV, B).</w:t>
      </w:r>
    </w:p>
    <w:p w:rsidR="0019447D" w:rsidRPr="0019447D" w:rsidRDefault="0019447D" w:rsidP="000E721D">
      <w:pPr>
        <w:numPr>
          <w:ilvl w:val="0"/>
          <w:numId w:val="43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19447D">
        <w:rPr>
          <w:sz w:val="20"/>
          <w:szCs w:val="20"/>
          <w:lang w:val="pl-PL"/>
        </w:rPr>
        <w:t>Amputację prostą z ew. rekonstrukcją należy wykonać w DCIS w przypadku</w:t>
      </w:r>
      <w:r>
        <w:rPr>
          <w:sz w:val="20"/>
          <w:szCs w:val="20"/>
          <w:lang w:val="pl-PL"/>
        </w:rPr>
        <w:t xml:space="preserve"> (V</w:t>
      </w:r>
      <w:r w:rsidRPr="00F463B2">
        <w:rPr>
          <w:sz w:val="20"/>
          <w:szCs w:val="20"/>
          <w:lang w:val="pl-PL"/>
        </w:rPr>
        <w:t>, B)</w:t>
      </w:r>
      <w:r w:rsidRPr="0019447D">
        <w:rPr>
          <w:sz w:val="20"/>
          <w:szCs w:val="20"/>
          <w:lang w:val="pl-PL"/>
        </w:rPr>
        <w:t>:</w:t>
      </w:r>
    </w:p>
    <w:p w:rsidR="0019447D" w:rsidRPr="00F463B2" w:rsidRDefault="0019447D" w:rsidP="000E721D">
      <w:pPr>
        <w:numPr>
          <w:ilvl w:val="0"/>
          <w:numId w:val="44"/>
        </w:numPr>
        <w:spacing w:after="0" w:line="240" w:lineRule="auto"/>
        <w:contextualSpacing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>nieuzyskania zgody chorej na oszczędzające leczenie;</w:t>
      </w:r>
    </w:p>
    <w:p w:rsidR="0019447D" w:rsidRPr="00F463B2" w:rsidRDefault="0019447D" w:rsidP="000E721D">
      <w:pPr>
        <w:numPr>
          <w:ilvl w:val="0"/>
          <w:numId w:val="44"/>
        </w:numPr>
        <w:spacing w:after="0" w:line="240" w:lineRule="auto"/>
        <w:contextualSpacing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>rozległości zmian (DCIS wieloośrodkowo lub jednoośrodkowo z objęciem więcej niż jednego kwadrantu piersi);</w:t>
      </w:r>
    </w:p>
    <w:p w:rsidR="0019447D" w:rsidRPr="00F463B2" w:rsidRDefault="0019447D" w:rsidP="000E721D">
      <w:pPr>
        <w:numPr>
          <w:ilvl w:val="0"/>
          <w:numId w:val="44"/>
        </w:numPr>
        <w:spacing w:after="0" w:line="240" w:lineRule="auto"/>
        <w:contextualSpacing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 xml:space="preserve">przeciwwskazań do pooperacyjnej </w:t>
      </w:r>
      <w:r>
        <w:rPr>
          <w:sz w:val="20"/>
          <w:szCs w:val="20"/>
          <w:lang w:val="pl-PL"/>
        </w:rPr>
        <w:t>RT</w:t>
      </w:r>
      <w:r w:rsidRPr="00F463B2">
        <w:rPr>
          <w:sz w:val="20"/>
          <w:szCs w:val="20"/>
          <w:lang w:val="pl-PL"/>
        </w:rPr>
        <w:t>;</w:t>
      </w:r>
    </w:p>
    <w:p w:rsidR="0019447D" w:rsidRPr="00F463B2" w:rsidRDefault="0019447D" w:rsidP="000E721D">
      <w:pPr>
        <w:numPr>
          <w:ilvl w:val="0"/>
          <w:numId w:val="44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>niekorzystnej proporcji pomiędzy wielkością zmian nowotworowych i wielko</w:t>
      </w:r>
      <w:r w:rsidR="007D5A14">
        <w:rPr>
          <w:sz w:val="20"/>
          <w:szCs w:val="20"/>
          <w:lang w:val="pl-PL"/>
        </w:rPr>
        <w:t>ścią piersi, niepozwalającej na </w:t>
      </w:r>
      <w:r w:rsidRPr="00F463B2">
        <w:rPr>
          <w:sz w:val="20"/>
          <w:szCs w:val="20"/>
          <w:lang w:val="pl-PL"/>
        </w:rPr>
        <w:t>uzyskanie zadowalającego estetycznego efektu po oszczędzającym leczeniu.</w:t>
      </w:r>
    </w:p>
    <w:p w:rsidR="007E2F55" w:rsidRPr="0019447D" w:rsidRDefault="007E2F55" w:rsidP="000E721D">
      <w:pPr>
        <w:numPr>
          <w:ilvl w:val="0"/>
          <w:numId w:val="45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19447D">
        <w:rPr>
          <w:sz w:val="20"/>
          <w:szCs w:val="20"/>
          <w:lang w:val="pl-PL"/>
        </w:rPr>
        <w:t>Biopsj</w:t>
      </w:r>
      <w:r w:rsidR="00351B4D" w:rsidRPr="0019447D">
        <w:rPr>
          <w:sz w:val="20"/>
          <w:szCs w:val="20"/>
          <w:lang w:val="pl-PL"/>
        </w:rPr>
        <w:t>ę</w:t>
      </w:r>
      <w:r w:rsidRPr="0019447D">
        <w:rPr>
          <w:sz w:val="20"/>
          <w:szCs w:val="20"/>
          <w:lang w:val="pl-PL"/>
        </w:rPr>
        <w:t xml:space="preserve"> węzła wartowniczego w DCIS </w:t>
      </w:r>
      <w:r w:rsidR="00351B4D" w:rsidRPr="0019447D">
        <w:rPr>
          <w:sz w:val="20"/>
          <w:szCs w:val="20"/>
          <w:lang w:val="pl-PL"/>
        </w:rPr>
        <w:t xml:space="preserve">należy </w:t>
      </w:r>
      <w:r w:rsidRPr="0019447D">
        <w:rPr>
          <w:sz w:val="20"/>
          <w:szCs w:val="20"/>
          <w:lang w:val="pl-PL"/>
        </w:rPr>
        <w:t>wykonać jedynie w przypadku planowanej amputacji piersi bez usunięcia pachowych węzłów chłonnych (II</w:t>
      </w:r>
      <w:r w:rsidR="005B34D6" w:rsidRPr="0019447D">
        <w:rPr>
          <w:sz w:val="20"/>
          <w:szCs w:val="20"/>
          <w:lang w:val="pl-PL"/>
        </w:rPr>
        <w:t>I</w:t>
      </w:r>
      <w:r w:rsidRPr="0019447D">
        <w:rPr>
          <w:sz w:val="20"/>
          <w:szCs w:val="20"/>
          <w:lang w:val="pl-PL"/>
        </w:rPr>
        <w:t>, B) oraz rozważyć, jeśli guz w piersi jest wyczuwalny klinicznie lub jego średnica w MMG przekracza 4 cm (II</w:t>
      </w:r>
      <w:r w:rsidR="005B34D6" w:rsidRPr="0019447D">
        <w:rPr>
          <w:sz w:val="20"/>
          <w:szCs w:val="20"/>
          <w:lang w:val="pl-PL"/>
        </w:rPr>
        <w:t>I</w:t>
      </w:r>
      <w:r w:rsidRPr="0019447D">
        <w:rPr>
          <w:sz w:val="20"/>
          <w:szCs w:val="20"/>
          <w:lang w:val="pl-PL"/>
        </w:rPr>
        <w:t>, B).</w:t>
      </w:r>
    </w:p>
    <w:p w:rsidR="00661758" w:rsidRPr="00F463B2" w:rsidRDefault="00661758" w:rsidP="000E721D">
      <w:pPr>
        <w:numPr>
          <w:ilvl w:val="0"/>
          <w:numId w:val="45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 xml:space="preserve">U chorych </w:t>
      </w:r>
      <w:r w:rsidR="001B4545" w:rsidRPr="006D3BDA">
        <w:rPr>
          <w:sz w:val="20"/>
          <w:szCs w:val="20"/>
          <w:lang w:val="pl-PL"/>
        </w:rPr>
        <w:t>z cechą ER+</w:t>
      </w:r>
      <w:r w:rsidRPr="00F463B2">
        <w:rPr>
          <w:sz w:val="20"/>
          <w:szCs w:val="20"/>
          <w:lang w:val="pl-PL"/>
        </w:rPr>
        <w:t xml:space="preserve">poddanych oszczędzającemu </w:t>
      </w:r>
      <w:r w:rsidR="00320C93">
        <w:rPr>
          <w:sz w:val="20"/>
          <w:szCs w:val="20"/>
          <w:lang w:val="pl-PL"/>
        </w:rPr>
        <w:t>leczeniu wskazana</w:t>
      </w:r>
      <w:r w:rsidRPr="00F463B2">
        <w:rPr>
          <w:sz w:val="20"/>
          <w:szCs w:val="20"/>
          <w:lang w:val="pl-PL"/>
        </w:rPr>
        <w:t xml:space="preserve"> jest uzupełniając</w:t>
      </w:r>
      <w:r w:rsidR="00320C93">
        <w:rPr>
          <w:sz w:val="20"/>
          <w:szCs w:val="20"/>
          <w:lang w:val="pl-PL"/>
        </w:rPr>
        <w:t>a</w:t>
      </w:r>
      <w:r w:rsidRPr="00F463B2">
        <w:rPr>
          <w:sz w:val="20"/>
          <w:szCs w:val="20"/>
          <w:lang w:val="pl-PL"/>
        </w:rPr>
        <w:t xml:space="preserve"> </w:t>
      </w:r>
      <w:r w:rsidR="006D07C1">
        <w:rPr>
          <w:sz w:val="20"/>
          <w:szCs w:val="20"/>
          <w:lang w:val="pl-PL"/>
        </w:rPr>
        <w:t>HT</w:t>
      </w:r>
      <w:r w:rsidR="00A16F12">
        <w:rPr>
          <w:sz w:val="20"/>
          <w:szCs w:val="20"/>
          <w:lang w:val="pl-PL"/>
        </w:rPr>
        <w:t xml:space="preserve">: </w:t>
      </w:r>
      <w:r w:rsidR="007D5A14">
        <w:rPr>
          <w:sz w:val="20"/>
          <w:szCs w:val="20"/>
          <w:lang w:val="pl-PL"/>
        </w:rPr>
        <w:t>tamoksyfen u </w:t>
      </w:r>
      <w:r w:rsidR="00A16F12">
        <w:rPr>
          <w:sz w:val="20"/>
          <w:szCs w:val="20"/>
          <w:lang w:val="pl-PL"/>
        </w:rPr>
        <w:t>chorych przed menopauzą, tamoksy</w:t>
      </w:r>
      <w:r w:rsidR="00320C93">
        <w:rPr>
          <w:sz w:val="20"/>
          <w:szCs w:val="20"/>
          <w:lang w:val="pl-PL"/>
        </w:rPr>
        <w:t>fen</w:t>
      </w:r>
      <w:r w:rsidR="00A16F12">
        <w:rPr>
          <w:sz w:val="20"/>
          <w:szCs w:val="20"/>
          <w:lang w:val="pl-PL"/>
        </w:rPr>
        <w:t xml:space="preserve"> lub inhibitor aromatazy (IA) u chorych po menopauzie</w:t>
      </w:r>
      <w:r w:rsidR="003E0BD7" w:rsidRPr="00F463B2">
        <w:rPr>
          <w:sz w:val="20"/>
          <w:szCs w:val="20"/>
          <w:lang w:val="pl-PL"/>
        </w:rPr>
        <w:t xml:space="preserve"> (I, A)</w:t>
      </w:r>
      <w:r w:rsidR="00DC1277" w:rsidRPr="00F463B2">
        <w:rPr>
          <w:sz w:val="20"/>
          <w:szCs w:val="20"/>
          <w:lang w:val="pl-PL"/>
        </w:rPr>
        <w:t>.</w:t>
      </w:r>
    </w:p>
    <w:p w:rsidR="00711727" w:rsidRPr="00F463B2" w:rsidRDefault="00711727" w:rsidP="009B1781">
      <w:pPr>
        <w:pStyle w:val="Nagwek2"/>
        <w:rPr>
          <w:rFonts w:ascii="Arial" w:hAnsi="Arial" w:cs="Arial"/>
          <w:i w:val="0"/>
          <w:color w:val="2E74B5"/>
          <w:sz w:val="24"/>
          <w:szCs w:val="24"/>
          <w:lang w:val="pl-PL"/>
        </w:rPr>
      </w:pPr>
      <w:bookmarkStart w:id="14" w:name="_Toc516233137"/>
      <w:r w:rsidRPr="00F463B2">
        <w:rPr>
          <w:rFonts w:ascii="Arial" w:hAnsi="Arial" w:cs="Arial"/>
          <w:i w:val="0"/>
          <w:color w:val="2E74B5"/>
          <w:sz w:val="24"/>
          <w:szCs w:val="24"/>
          <w:lang w:val="pl-PL"/>
        </w:rPr>
        <w:t>Rak naciekający</w:t>
      </w:r>
      <w:bookmarkEnd w:id="14"/>
    </w:p>
    <w:p w:rsidR="00E37C68" w:rsidRPr="00F463B2" w:rsidRDefault="00E37C68" w:rsidP="000E721D">
      <w:pPr>
        <w:numPr>
          <w:ilvl w:val="0"/>
          <w:numId w:val="29"/>
        </w:numPr>
        <w:spacing w:before="240" w:after="120" w:line="240" w:lineRule="auto"/>
        <w:ind w:left="714" w:hanging="357"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 xml:space="preserve">Leczeniem z wyboru chorych na </w:t>
      </w:r>
      <w:r w:rsidR="00DB786C" w:rsidRPr="00F463B2">
        <w:rPr>
          <w:sz w:val="20"/>
          <w:szCs w:val="20"/>
          <w:lang w:val="pl-PL"/>
        </w:rPr>
        <w:t>wczesnego raka piersi</w:t>
      </w:r>
      <w:r w:rsidRPr="00F463B2">
        <w:rPr>
          <w:sz w:val="20"/>
          <w:szCs w:val="20"/>
          <w:lang w:val="pl-PL"/>
        </w:rPr>
        <w:t xml:space="preserve"> jest usunięcie </w:t>
      </w:r>
      <w:r w:rsidR="006A7D1B">
        <w:rPr>
          <w:sz w:val="20"/>
          <w:szCs w:val="20"/>
          <w:lang w:val="pl-PL"/>
        </w:rPr>
        <w:t xml:space="preserve">miejscowej </w:t>
      </w:r>
      <w:r w:rsidRPr="00F463B2">
        <w:rPr>
          <w:sz w:val="20"/>
          <w:szCs w:val="20"/>
          <w:lang w:val="pl-PL"/>
        </w:rPr>
        <w:t xml:space="preserve">zmiany uzupełnione </w:t>
      </w:r>
      <w:r w:rsidR="006D07C1">
        <w:rPr>
          <w:sz w:val="20"/>
          <w:szCs w:val="20"/>
          <w:lang w:val="pl-PL"/>
        </w:rPr>
        <w:t>RT</w:t>
      </w:r>
      <w:r w:rsidR="007D5A14">
        <w:rPr>
          <w:sz w:val="20"/>
          <w:szCs w:val="20"/>
          <w:lang w:val="pl-PL"/>
        </w:rPr>
        <w:t xml:space="preserve"> (I, </w:t>
      </w:r>
      <w:r w:rsidR="00F230F6" w:rsidRPr="00F463B2">
        <w:rPr>
          <w:sz w:val="20"/>
          <w:szCs w:val="20"/>
          <w:lang w:val="pl-PL"/>
        </w:rPr>
        <w:t>A)</w:t>
      </w:r>
      <w:r w:rsidR="00DB786C" w:rsidRPr="00F463B2">
        <w:rPr>
          <w:sz w:val="20"/>
          <w:szCs w:val="20"/>
          <w:lang w:val="pl-PL"/>
        </w:rPr>
        <w:t>.</w:t>
      </w:r>
    </w:p>
    <w:p w:rsidR="002A08A2" w:rsidRDefault="002474DC" w:rsidP="000E721D">
      <w:pPr>
        <w:numPr>
          <w:ilvl w:val="0"/>
          <w:numId w:val="29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 xml:space="preserve">Konieczna jest staranna ocena marginesów chirurgicznych. </w:t>
      </w:r>
      <w:r w:rsidR="00E071B7" w:rsidRPr="00F463B2">
        <w:rPr>
          <w:sz w:val="20"/>
          <w:szCs w:val="20"/>
          <w:lang w:val="pl-PL"/>
        </w:rPr>
        <w:t xml:space="preserve">Zabieg </w:t>
      </w:r>
      <w:r w:rsidR="00024385" w:rsidRPr="00F463B2">
        <w:rPr>
          <w:sz w:val="20"/>
          <w:szCs w:val="20"/>
          <w:lang w:val="pl-PL"/>
        </w:rPr>
        <w:t>oszczędzający</w:t>
      </w:r>
      <w:r w:rsidR="00E071B7" w:rsidRPr="00F463B2">
        <w:rPr>
          <w:sz w:val="20"/>
          <w:szCs w:val="20"/>
          <w:lang w:val="pl-PL"/>
        </w:rPr>
        <w:t xml:space="preserve"> uważa się za doszczętny, jeżeli w badaniu histopatologicznym nie stwierdza się komórek nowotworowych w wybarwionej tuszem powierzchni wyciętej zmiany (II, B)</w:t>
      </w:r>
      <w:r w:rsidR="002A08A2">
        <w:rPr>
          <w:sz w:val="20"/>
          <w:szCs w:val="20"/>
          <w:lang w:val="pl-PL"/>
        </w:rPr>
        <w:t>.</w:t>
      </w:r>
    </w:p>
    <w:p w:rsidR="00E071B7" w:rsidRPr="00845FA7" w:rsidRDefault="002A08A2" w:rsidP="000E721D">
      <w:pPr>
        <w:numPr>
          <w:ilvl w:val="0"/>
          <w:numId w:val="29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 w:rsidRPr="00845FA7">
        <w:rPr>
          <w:sz w:val="20"/>
          <w:szCs w:val="20"/>
          <w:lang w:val="pl-PL"/>
        </w:rPr>
        <w:t xml:space="preserve">Jeśli pierwszy zabieg okazał się niedoszczętny, w zależności od sytuacji klinicznej należy </w:t>
      </w:r>
      <w:r w:rsidR="000D71F4" w:rsidRPr="00845FA7">
        <w:rPr>
          <w:sz w:val="20"/>
          <w:szCs w:val="20"/>
          <w:lang w:val="pl-PL"/>
        </w:rPr>
        <w:t>go poszerzyć</w:t>
      </w:r>
      <w:r w:rsidRPr="00845FA7">
        <w:rPr>
          <w:sz w:val="20"/>
          <w:szCs w:val="20"/>
          <w:lang w:val="pl-PL"/>
        </w:rPr>
        <w:t xml:space="preserve"> lub wykonać amputację (II, A).</w:t>
      </w:r>
    </w:p>
    <w:p w:rsidR="002474DC" w:rsidRPr="00F463B2" w:rsidRDefault="002474DC" w:rsidP="000E721D">
      <w:pPr>
        <w:numPr>
          <w:ilvl w:val="0"/>
          <w:numId w:val="29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>Jeśli istnieje potrzeba poprawienia estetycznego efektu lub uzyskania symetrii kształtu obu piersi, równocześnie z usunięciem guza można wykonać korektę piersi lub zabieg plastyczny drugiej piersi</w:t>
      </w:r>
      <w:r w:rsidR="00BE145D" w:rsidRPr="00F463B2">
        <w:rPr>
          <w:sz w:val="20"/>
          <w:szCs w:val="20"/>
          <w:lang w:val="pl-PL"/>
        </w:rPr>
        <w:t xml:space="preserve"> (</w:t>
      </w:r>
      <w:r w:rsidR="00702179" w:rsidRPr="00F463B2">
        <w:rPr>
          <w:sz w:val="20"/>
          <w:szCs w:val="20"/>
          <w:lang w:val="pl-PL"/>
        </w:rPr>
        <w:t>IV, B).</w:t>
      </w:r>
    </w:p>
    <w:p w:rsidR="00C132F8" w:rsidRPr="00BE6330" w:rsidRDefault="00DB786C" w:rsidP="000E721D">
      <w:pPr>
        <w:numPr>
          <w:ilvl w:val="0"/>
          <w:numId w:val="29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 w:rsidRPr="00C82223">
        <w:rPr>
          <w:sz w:val="20"/>
          <w:szCs w:val="20"/>
          <w:lang w:val="pl-PL"/>
        </w:rPr>
        <w:t>Amputacj</w:t>
      </w:r>
      <w:r w:rsidR="00C132F8" w:rsidRPr="00C82223">
        <w:rPr>
          <w:sz w:val="20"/>
          <w:szCs w:val="20"/>
          <w:lang w:val="pl-PL"/>
        </w:rPr>
        <w:t>ę</w:t>
      </w:r>
      <w:r w:rsidRPr="00C82223">
        <w:rPr>
          <w:sz w:val="20"/>
          <w:szCs w:val="20"/>
          <w:lang w:val="pl-PL"/>
        </w:rPr>
        <w:t xml:space="preserve"> piersi </w:t>
      </w:r>
      <w:r w:rsidR="00C132F8" w:rsidRPr="00A455D0">
        <w:rPr>
          <w:sz w:val="20"/>
          <w:szCs w:val="20"/>
          <w:lang w:val="pl-PL"/>
        </w:rPr>
        <w:t>należy wykonać</w:t>
      </w:r>
      <w:r w:rsidRPr="005E788A">
        <w:rPr>
          <w:sz w:val="20"/>
          <w:szCs w:val="20"/>
          <w:lang w:val="pl-PL"/>
        </w:rPr>
        <w:t xml:space="preserve"> w przypadku przeciwwskazań do leczenia oszczędzającego lub </w:t>
      </w:r>
      <w:r w:rsidR="00D4749A">
        <w:rPr>
          <w:sz w:val="20"/>
          <w:szCs w:val="20"/>
          <w:lang w:val="pl-PL"/>
        </w:rPr>
        <w:t xml:space="preserve">na </w:t>
      </w:r>
      <w:r w:rsidRPr="005E788A">
        <w:rPr>
          <w:sz w:val="20"/>
          <w:szCs w:val="20"/>
          <w:lang w:val="pl-PL"/>
        </w:rPr>
        <w:t>życzeni</w:t>
      </w:r>
      <w:r w:rsidR="00D4749A">
        <w:rPr>
          <w:sz w:val="20"/>
          <w:szCs w:val="20"/>
          <w:lang w:val="pl-PL"/>
        </w:rPr>
        <w:t>e</w:t>
      </w:r>
      <w:r w:rsidRPr="005E788A">
        <w:rPr>
          <w:sz w:val="20"/>
          <w:szCs w:val="20"/>
          <w:lang w:val="pl-PL"/>
        </w:rPr>
        <w:t xml:space="preserve"> chorej</w:t>
      </w:r>
      <w:r w:rsidR="00C132F8" w:rsidRPr="00424348">
        <w:rPr>
          <w:sz w:val="20"/>
          <w:szCs w:val="20"/>
          <w:lang w:val="pl-PL"/>
        </w:rPr>
        <w:t xml:space="preserve"> (II, B)</w:t>
      </w:r>
      <w:r w:rsidRPr="006A15A6">
        <w:rPr>
          <w:sz w:val="20"/>
          <w:szCs w:val="20"/>
          <w:lang w:val="pl-PL"/>
        </w:rPr>
        <w:t>.</w:t>
      </w:r>
      <w:r w:rsidRPr="00C20283">
        <w:rPr>
          <w:sz w:val="20"/>
          <w:szCs w:val="20"/>
          <w:lang w:val="pl-PL"/>
        </w:rPr>
        <w:t xml:space="preserve"> </w:t>
      </w:r>
    </w:p>
    <w:p w:rsidR="002474DC" w:rsidRPr="00F463B2" w:rsidRDefault="000070BB" w:rsidP="000E721D">
      <w:pPr>
        <w:numPr>
          <w:ilvl w:val="0"/>
          <w:numId w:val="29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>Leczenie operacyjne po indukcyjnym leczeniu systemowym powinno być wykonywane zgodnie z ogólnymi zasadami leczenia raka piersi</w:t>
      </w:r>
      <w:r w:rsidR="008619A3" w:rsidRPr="00F463B2">
        <w:rPr>
          <w:sz w:val="20"/>
          <w:szCs w:val="20"/>
          <w:lang w:val="pl-PL"/>
        </w:rPr>
        <w:t xml:space="preserve"> (II, A)</w:t>
      </w:r>
      <w:r w:rsidR="00C132F8">
        <w:rPr>
          <w:sz w:val="20"/>
          <w:szCs w:val="20"/>
          <w:lang w:val="pl-PL"/>
        </w:rPr>
        <w:t>.</w:t>
      </w:r>
    </w:p>
    <w:p w:rsidR="002474DC" w:rsidRPr="00F463B2" w:rsidRDefault="002474DC" w:rsidP="000E721D">
      <w:pPr>
        <w:numPr>
          <w:ilvl w:val="0"/>
          <w:numId w:val="29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 xml:space="preserve">U chorych, u których planowane jest leczenie oszczędzające po indukcyjnym leczeniu systemowym konieczne jest oznakowanie położenia guza </w:t>
      </w:r>
      <w:r w:rsidR="008619A3" w:rsidRPr="00F463B2">
        <w:rPr>
          <w:sz w:val="20"/>
          <w:szCs w:val="20"/>
          <w:lang w:val="pl-PL"/>
        </w:rPr>
        <w:t>(IV, A).</w:t>
      </w:r>
    </w:p>
    <w:p w:rsidR="00DB786C" w:rsidRPr="00F463B2" w:rsidRDefault="00DB786C" w:rsidP="00993134">
      <w:pPr>
        <w:spacing w:after="120" w:line="240" w:lineRule="auto"/>
        <w:jc w:val="both"/>
        <w:rPr>
          <w:sz w:val="20"/>
          <w:szCs w:val="20"/>
          <w:lang w:val="pl-PL"/>
        </w:rPr>
      </w:pPr>
    </w:p>
    <w:p w:rsidR="00C65D87" w:rsidRPr="00F463B2" w:rsidRDefault="00C65D87" w:rsidP="002E0047">
      <w:pPr>
        <w:pStyle w:val="Nagwek2"/>
        <w:rPr>
          <w:rFonts w:ascii="Arial" w:hAnsi="Arial" w:cs="Arial"/>
          <w:i w:val="0"/>
          <w:color w:val="2E74B5"/>
          <w:sz w:val="24"/>
          <w:szCs w:val="24"/>
          <w:lang w:val="pl-PL"/>
        </w:rPr>
      </w:pPr>
      <w:bookmarkStart w:id="15" w:name="_Toc516233139"/>
      <w:r w:rsidRPr="00F463B2">
        <w:rPr>
          <w:rFonts w:ascii="Arial" w:hAnsi="Arial" w:cs="Arial"/>
          <w:i w:val="0"/>
          <w:color w:val="2E74B5"/>
          <w:sz w:val="24"/>
          <w:szCs w:val="24"/>
          <w:lang w:val="pl-PL"/>
        </w:rPr>
        <w:t>Zabiegi w obrębie regionalnych węzłów chłonnych</w:t>
      </w:r>
      <w:bookmarkEnd w:id="15"/>
    </w:p>
    <w:p w:rsidR="00C65D87" w:rsidRPr="00F463B2" w:rsidRDefault="00C65D87" w:rsidP="002E0047">
      <w:pPr>
        <w:pStyle w:val="Nagwek3"/>
        <w:spacing w:before="0" w:after="120" w:line="240" w:lineRule="auto"/>
        <w:rPr>
          <w:rFonts w:ascii="Arial" w:hAnsi="Arial" w:cs="Arial"/>
          <w:color w:val="2E74B5"/>
          <w:sz w:val="20"/>
          <w:szCs w:val="20"/>
          <w:lang w:val="pl-PL"/>
        </w:rPr>
      </w:pPr>
      <w:bookmarkStart w:id="16" w:name="_Toc516233140"/>
      <w:r w:rsidRPr="00F463B2">
        <w:rPr>
          <w:rFonts w:ascii="Arial" w:hAnsi="Arial" w:cs="Arial"/>
          <w:color w:val="2E74B5"/>
          <w:sz w:val="20"/>
          <w:szCs w:val="20"/>
          <w:lang w:val="pl-PL"/>
        </w:rPr>
        <w:t>Biopsja węzła wartowniczego</w:t>
      </w:r>
      <w:bookmarkEnd w:id="16"/>
    </w:p>
    <w:p w:rsidR="00845FA7" w:rsidRPr="00845FA7" w:rsidRDefault="00E87F8F" w:rsidP="000E721D">
      <w:pPr>
        <w:numPr>
          <w:ilvl w:val="0"/>
          <w:numId w:val="9"/>
        </w:numPr>
        <w:spacing w:before="240" w:after="120" w:line="240" w:lineRule="auto"/>
        <w:jc w:val="both"/>
        <w:rPr>
          <w:sz w:val="20"/>
          <w:szCs w:val="20"/>
          <w:lang w:val="pl-PL"/>
        </w:rPr>
      </w:pPr>
      <w:r w:rsidRPr="00845FA7">
        <w:rPr>
          <w:sz w:val="20"/>
          <w:szCs w:val="20"/>
          <w:lang w:val="pl-PL"/>
        </w:rPr>
        <w:t>S</w:t>
      </w:r>
      <w:r w:rsidR="00845FA7" w:rsidRPr="00845FA7">
        <w:rPr>
          <w:sz w:val="20"/>
          <w:szCs w:val="20"/>
          <w:lang w:val="pl-PL"/>
        </w:rPr>
        <w:t xml:space="preserve">NB należy wykonać u chorych na wczesnego raka piersi, u których przed operacją nie stwierdza się </w:t>
      </w:r>
      <w:r w:rsidR="00845FA7" w:rsidRPr="00845FA7">
        <w:rPr>
          <w:sz w:val="20"/>
          <w:szCs w:val="20"/>
          <w:lang w:val="pl-PL"/>
        </w:rPr>
        <w:lastRenderedPageBreak/>
        <w:t>przerzutów w pachowych węzłach chłonnych (I, A).</w:t>
      </w:r>
    </w:p>
    <w:p w:rsidR="000F7C8A" w:rsidRPr="00857EB6" w:rsidRDefault="00C82223" w:rsidP="000E721D">
      <w:pPr>
        <w:numPr>
          <w:ilvl w:val="0"/>
          <w:numId w:val="9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857EB6">
        <w:rPr>
          <w:sz w:val="20"/>
          <w:szCs w:val="20"/>
          <w:lang w:val="pl-PL"/>
        </w:rPr>
        <w:t xml:space="preserve">Jeśli węzły wartownicze </w:t>
      </w:r>
      <w:r w:rsidR="00A455D0" w:rsidRPr="00857EB6">
        <w:rPr>
          <w:sz w:val="20"/>
          <w:szCs w:val="20"/>
          <w:lang w:val="pl-PL"/>
        </w:rPr>
        <w:t>nie</w:t>
      </w:r>
      <w:r w:rsidRPr="00857EB6">
        <w:rPr>
          <w:sz w:val="20"/>
          <w:szCs w:val="20"/>
          <w:lang w:val="pl-PL"/>
        </w:rPr>
        <w:t xml:space="preserve"> są zajęte przerzutami</w:t>
      </w:r>
      <w:r w:rsidR="000F7C8A" w:rsidRPr="00857EB6">
        <w:rPr>
          <w:sz w:val="20"/>
          <w:szCs w:val="20"/>
          <w:lang w:val="pl-PL"/>
        </w:rPr>
        <w:t xml:space="preserve"> </w:t>
      </w:r>
      <w:r w:rsidR="00541886" w:rsidRPr="00857EB6">
        <w:rPr>
          <w:sz w:val="20"/>
          <w:szCs w:val="20"/>
          <w:lang w:val="pl-PL"/>
        </w:rPr>
        <w:t xml:space="preserve">lub </w:t>
      </w:r>
      <w:r w:rsidR="00AC04A9" w:rsidRPr="00857EB6">
        <w:rPr>
          <w:sz w:val="20"/>
          <w:szCs w:val="20"/>
          <w:lang w:val="pl-PL"/>
        </w:rPr>
        <w:t xml:space="preserve">w 1–2 węzłach wartowniczych obecne są </w:t>
      </w:r>
      <w:r w:rsidR="00541886" w:rsidRPr="00857EB6">
        <w:rPr>
          <w:sz w:val="20"/>
          <w:szCs w:val="20"/>
          <w:lang w:val="pl-PL"/>
        </w:rPr>
        <w:t>mikroprzerzut</w:t>
      </w:r>
      <w:r w:rsidRPr="00857EB6">
        <w:rPr>
          <w:sz w:val="20"/>
          <w:szCs w:val="20"/>
          <w:lang w:val="pl-PL"/>
        </w:rPr>
        <w:t>y,</w:t>
      </w:r>
      <w:r w:rsidR="00541886" w:rsidRPr="00857EB6">
        <w:rPr>
          <w:sz w:val="20"/>
          <w:szCs w:val="20"/>
          <w:lang w:val="pl-PL"/>
        </w:rPr>
        <w:t xml:space="preserve"> </w:t>
      </w:r>
      <w:r w:rsidRPr="00857EB6">
        <w:rPr>
          <w:sz w:val="20"/>
          <w:szCs w:val="20"/>
          <w:lang w:val="pl-PL"/>
        </w:rPr>
        <w:t xml:space="preserve">nie ma wskazań do </w:t>
      </w:r>
      <w:r w:rsidR="000F7C8A" w:rsidRPr="00857EB6">
        <w:rPr>
          <w:sz w:val="20"/>
          <w:szCs w:val="20"/>
          <w:lang w:val="pl-PL"/>
        </w:rPr>
        <w:t>dalsze</w:t>
      </w:r>
      <w:r w:rsidRPr="00857EB6">
        <w:rPr>
          <w:sz w:val="20"/>
          <w:szCs w:val="20"/>
          <w:lang w:val="pl-PL"/>
        </w:rPr>
        <w:t>go</w:t>
      </w:r>
      <w:r w:rsidR="000F7C8A" w:rsidRPr="00857EB6">
        <w:rPr>
          <w:sz w:val="20"/>
          <w:szCs w:val="20"/>
          <w:lang w:val="pl-PL"/>
        </w:rPr>
        <w:t xml:space="preserve"> </w:t>
      </w:r>
      <w:r w:rsidR="00C353B7" w:rsidRPr="00857EB6">
        <w:rPr>
          <w:sz w:val="20"/>
          <w:szCs w:val="20"/>
          <w:lang w:val="pl-PL"/>
        </w:rPr>
        <w:t xml:space="preserve">miejscowego </w:t>
      </w:r>
      <w:r w:rsidR="000F7C8A" w:rsidRPr="00857EB6">
        <w:rPr>
          <w:sz w:val="20"/>
          <w:szCs w:val="20"/>
          <w:lang w:val="pl-PL"/>
        </w:rPr>
        <w:t>leczeni</w:t>
      </w:r>
      <w:r w:rsidRPr="00857EB6">
        <w:rPr>
          <w:sz w:val="20"/>
          <w:szCs w:val="20"/>
          <w:lang w:val="pl-PL"/>
        </w:rPr>
        <w:t>a</w:t>
      </w:r>
      <w:r w:rsidR="000F7C8A" w:rsidRPr="00857EB6">
        <w:rPr>
          <w:sz w:val="20"/>
          <w:szCs w:val="20"/>
          <w:lang w:val="pl-PL"/>
        </w:rPr>
        <w:t xml:space="preserve"> obszarów węzłowych </w:t>
      </w:r>
      <w:r w:rsidR="00414302" w:rsidRPr="00857EB6">
        <w:rPr>
          <w:sz w:val="20"/>
          <w:szCs w:val="20"/>
          <w:lang w:val="pl-PL"/>
        </w:rPr>
        <w:t>(</w:t>
      </w:r>
      <w:r w:rsidR="00E108B1" w:rsidRPr="00857EB6">
        <w:rPr>
          <w:sz w:val="20"/>
          <w:szCs w:val="20"/>
          <w:lang w:val="pl-PL"/>
        </w:rPr>
        <w:t>I</w:t>
      </w:r>
      <w:r w:rsidR="00414302" w:rsidRPr="00857EB6">
        <w:rPr>
          <w:sz w:val="20"/>
          <w:szCs w:val="20"/>
          <w:lang w:val="pl-PL"/>
        </w:rPr>
        <w:t xml:space="preserve">, </w:t>
      </w:r>
      <w:r w:rsidR="00E108B1" w:rsidRPr="00857EB6">
        <w:rPr>
          <w:sz w:val="20"/>
          <w:szCs w:val="20"/>
          <w:lang w:val="pl-PL"/>
        </w:rPr>
        <w:t>B)</w:t>
      </w:r>
      <w:r w:rsidRPr="00857EB6">
        <w:rPr>
          <w:sz w:val="20"/>
          <w:szCs w:val="20"/>
          <w:lang w:val="pl-PL"/>
        </w:rPr>
        <w:t>.</w:t>
      </w:r>
    </w:p>
    <w:p w:rsidR="005C609A" w:rsidRPr="00857EB6" w:rsidRDefault="00C353B7" w:rsidP="000E721D">
      <w:pPr>
        <w:numPr>
          <w:ilvl w:val="0"/>
          <w:numId w:val="9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857EB6">
        <w:rPr>
          <w:sz w:val="20"/>
          <w:szCs w:val="20"/>
          <w:lang w:val="pl-PL"/>
        </w:rPr>
        <w:t>U chorych</w:t>
      </w:r>
      <w:r w:rsidR="005C609A" w:rsidRPr="00857EB6">
        <w:rPr>
          <w:sz w:val="20"/>
          <w:szCs w:val="20"/>
          <w:lang w:val="pl-PL"/>
        </w:rPr>
        <w:t xml:space="preserve"> </w:t>
      </w:r>
      <w:r w:rsidRPr="00857EB6">
        <w:rPr>
          <w:sz w:val="20"/>
          <w:szCs w:val="20"/>
          <w:lang w:val="pl-PL"/>
        </w:rPr>
        <w:t xml:space="preserve">z cechą T1 lub T2 cN0 i </w:t>
      </w:r>
      <w:r w:rsidR="005C609A" w:rsidRPr="00857EB6">
        <w:rPr>
          <w:sz w:val="20"/>
          <w:szCs w:val="20"/>
          <w:lang w:val="pl-PL"/>
        </w:rPr>
        <w:t xml:space="preserve">przerzutami </w:t>
      </w:r>
      <w:r w:rsidRPr="00857EB6">
        <w:rPr>
          <w:sz w:val="20"/>
          <w:szCs w:val="20"/>
          <w:lang w:val="pl-PL"/>
        </w:rPr>
        <w:t>w 1–2 węzłach</w:t>
      </w:r>
      <w:r w:rsidR="005C609A" w:rsidRPr="00857EB6">
        <w:rPr>
          <w:sz w:val="20"/>
          <w:szCs w:val="20"/>
          <w:lang w:val="pl-PL"/>
        </w:rPr>
        <w:t xml:space="preserve"> wartowniczych, </w:t>
      </w:r>
      <w:r w:rsidR="00C82223" w:rsidRPr="00857EB6">
        <w:rPr>
          <w:sz w:val="20"/>
          <w:szCs w:val="20"/>
          <w:lang w:val="pl-PL"/>
        </w:rPr>
        <w:t>które nie otrzymały wcześniej</w:t>
      </w:r>
      <w:r w:rsidR="005C609A" w:rsidRPr="00857EB6">
        <w:rPr>
          <w:sz w:val="20"/>
          <w:szCs w:val="20"/>
          <w:lang w:val="pl-PL"/>
        </w:rPr>
        <w:t xml:space="preserve"> </w:t>
      </w:r>
      <w:r w:rsidR="00C82223" w:rsidRPr="00857EB6">
        <w:rPr>
          <w:sz w:val="20"/>
          <w:szCs w:val="20"/>
          <w:lang w:val="pl-PL"/>
        </w:rPr>
        <w:t>leczenia</w:t>
      </w:r>
      <w:r w:rsidR="005C609A" w:rsidRPr="00857EB6">
        <w:rPr>
          <w:sz w:val="20"/>
          <w:szCs w:val="20"/>
          <w:lang w:val="pl-PL"/>
        </w:rPr>
        <w:t xml:space="preserve"> systemow</w:t>
      </w:r>
      <w:r w:rsidR="00C82223" w:rsidRPr="00857EB6">
        <w:rPr>
          <w:sz w:val="20"/>
          <w:szCs w:val="20"/>
          <w:lang w:val="pl-PL"/>
        </w:rPr>
        <w:t>ego</w:t>
      </w:r>
      <w:r w:rsidR="005C609A" w:rsidRPr="00857EB6">
        <w:rPr>
          <w:sz w:val="20"/>
          <w:szCs w:val="20"/>
          <w:lang w:val="pl-PL"/>
        </w:rPr>
        <w:t xml:space="preserve">, </w:t>
      </w:r>
      <w:r w:rsidRPr="00857EB6">
        <w:rPr>
          <w:sz w:val="20"/>
          <w:szCs w:val="20"/>
          <w:lang w:val="pl-PL"/>
        </w:rPr>
        <w:t xml:space="preserve">w przypadku leczenia oszczędzającego z zastosowaniem RT </w:t>
      </w:r>
      <w:r w:rsidR="005C609A" w:rsidRPr="00857EB6">
        <w:rPr>
          <w:sz w:val="20"/>
          <w:szCs w:val="20"/>
          <w:lang w:val="pl-PL"/>
        </w:rPr>
        <w:t>można odstąpić od limfadenektomii (</w:t>
      </w:r>
      <w:r w:rsidR="00414302" w:rsidRPr="00857EB6">
        <w:rPr>
          <w:sz w:val="20"/>
          <w:szCs w:val="20"/>
          <w:lang w:val="pl-PL"/>
        </w:rPr>
        <w:t>I</w:t>
      </w:r>
      <w:r w:rsidR="005C609A" w:rsidRPr="00857EB6">
        <w:rPr>
          <w:sz w:val="20"/>
          <w:szCs w:val="20"/>
          <w:lang w:val="pl-PL"/>
        </w:rPr>
        <w:t>, B)</w:t>
      </w:r>
      <w:r w:rsidR="00357615" w:rsidRPr="00857EB6">
        <w:rPr>
          <w:sz w:val="20"/>
          <w:szCs w:val="20"/>
          <w:lang w:val="pl-PL"/>
        </w:rPr>
        <w:t>.</w:t>
      </w:r>
    </w:p>
    <w:p w:rsidR="00357615" w:rsidRPr="00857EB6" w:rsidRDefault="00AC04A9" w:rsidP="000E721D">
      <w:pPr>
        <w:numPr>
          <w:ilvl w:val="0"/>
          <w:numId w:val="9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857EB6">
        <w:rPr>
          <w:sz w:val="20"/>
          <w:szCs w:val="20"/>
          <w:lang w:val="pl-PL"/>
        </w:rPr>
        <w:t>U chorych z</w:t>
      </w:r>
      <w:r w:rsidR="00357615" w:rsidRPr="00857EB6">
        <w:rPr>
          <w:sz w:val="20"/>
          <w:szCs w:val="20"/>
          <w:lang w:val="pl-PL"/>
        </w:rPr>
        <w:t xml:space="preserve"> przerzutami </w:t>
      </w:r>
      <w:r w:rsidR="00C353B7" w:rsidRPr="00857EB6">
        <w:rPr>
          <w:sz w:val="20"/>
          <w:szCs w:val="20"/>
          <w:lang w:val="pl-PL"/>
        </w:rPr>
        <w:t>w</w:t>
      </w:r>
      <w:r w:rsidRPr="00857EB6">
        <w:rPr>
          <w:sz w:val="20"/>
          <w:szCs w:val="20"/>
          <w:lang w:val="pl-PL"/>
        </w:rPr>
        <w:t xml:space="preserve"> </w:t>
      </w:r>
      <w:r w:rsidR="00C353B7" w:rsidRPr="00857EB6">
        <w:rPr>
          <w:sz w:val="20"/>
          <w:szCs w:val="20"/>
          <w:lang w:val="pl-PL"/>
        </w:rPr>
        <w:t>1–2 węzłach</w:t>
      </w:r>
      <w:r w:rsidR="00357615" w:rsidRPr="00857EB6">
        <w:rPr>
          <w:sz w:val="20"/>
          <w:szCs w:val="20"/>
          <w:lang w:val="pl-PL"/>
        </w:rPr>
        <w:t xml:space="preserve"> wartowniczych</w:t>
      </w:r>
      <w:r w:rsidR="00322DDA" w:rsidRPr="00857EB6">
        <w:rPr>
          <w:lang w:val="pl-PL"/>
        </w:rPr>
        <w:t xml:space="preserve"> </w:t>
      </w:r>
      <w:r w:rsidR="00322DDA" w:rsidRPr="00857EB6">
        <w:rPr>
          <w:sz w:val="20"/>
          <w:szCs w:val="20"/>
          <w:lang w:val="pl-PL"/>
        </w:rPr>
        <w:t xml:space="preserve">alternatywą dla limfadenektomii pachowej może być </w:t>
      </w:r>
      <w:r w:rsidR="006D07C1" w:rsidRPr="00857EB6">
        <w:rPr>
          <w:sz w:val="20"/>
          <w:szCs w:val="20"/>
          <w:lang w:val="pl-PL"/>
        </w:rPr>
        <w:t>RT</w:t>
      </w:r>
      <w:r w:rsidR="00322DDA" w:rsidRPr="00857EB6">
        <w:rPr>
          <w:sz w:val="20"/>
          <w:szCs w:val="20"/>
          <w:lang w:val="pl-PL"/>
        </w:rPr>
        <w:t xml:space="preserve"> pachy (</w:t>
      </w:r>
      <w:r w:rsidR="008C3CF2">
        <w:rPr>
          <w:sz w:val="20"/>
          <w:szCs w:val="20"/>
          <w:lang w:val="pl-PL"/>
        </w:rPr>
        <w:t>I</w:t>
      </w:r>
      <w:r w:rsidR="00322DDA" w:rsidRPr="00857EB6">
        <w:rPr>
          <w:sz w:val="20"/>
          <w:szCs w:val="20"/>
          <w:lang w:val="pl-PL"/>
        </w:rPr>
        <w:t>, B)</w:t>
      </w:r>
      <w:r w:rsidR="00C82223" w:rsidRPr="00857EB6">
        <w:rPr>
          <w:sz w:val="20"/>
          <w:szCs w:val="20"/>
          <w:lang w:val="pl-PL"/>
        </w:rPr>
        <w:t>.</w:t>
      </w:r>
    </w:p>
    <w:p w:rsidR="00C353B7" w:rsidRPr="00C353B7" w:rsidRDefault="004B2E3E" w:rsidP="000E721D">
      <w:pPr>
        <w:numPr>
          <w:ilvl w:val="0"/>
          <w:numId w:val="9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F463B2">
        <w:rPr>
          <w:rFonts w:eastAsia="Franklin Gothic Medium"/>
          <w:sz w:val="20"/>
          <w:szCs w:val="20"/>
          <w:lang w:val="pl-PL"/>
        </w:rPr>
        <w:t>U chorych otrzymujących prz</w:t>
      </w:r>
      <w:r w:rsidR="00C353B7">
        <w:rPr>
          <w:rFonts w:eastAsia="Franklin Gothic Medium"/>
          <w:sz w:val="20"/>
          <w:szCs w:val="20"/>
          <w:lang w:val="pl-PL"/>
        </w:rPr>
        <w:t>edoperacyjne leczenie systemowe</w:t>
      </w:r>
      <w:r w:rsidRPr="00F463B2">
        <w:rPr>
          <w:rFonts w:eastAsia="Franklin Gothic Medium"/>
          <w:sz w:val="20"/>
          <w:szCs w:val="20"/>
          <w:lang w:val="pl-PL"/>
        </w:rPr>
        <w:t xml:space="preserve"> SNB można wykonać przed lub po jego zakończeniu</w:t>
      </w:r>
      <w:r w:rsidR="00522DE2">
        <w:rPr>
          <w:rFonts w:eastAsia="Franklin Gothic Medium"/>
          <w:sz w:val="20"/>
          <w:szCs w:val="20"/>
          <w:lang w:val="pl-PL"/>
        </w:rPr>
        <w:t>, przy czym</w:t>
      </w:r>
      <w:r w:rsidRPr="00F463B2">
        <w:rPr>
          <w:rFonts w:eastAsia="Franklin Gothic Medium"/>
          <w:sz w:val="20"/>
          <w:szCs w:val="20"/>
          <w:lang w:val="pl-PL"/>
        </w:rPr>
        <w:t xml:space="preserve"> </w:t>
      </w:r>
      <w:r w:rsidR="00522DE2">
        <w:rPr>
          <w:sz w:val="20"/>
          <w:szCs w:val="20"/>
          <w:lang w:val="pl-PL"/>
        </w:rPr>
        <w:t>w</w:t>
      </w:r>
      <w:r w:rsidR="002172D6" w:rsidRPr="00F463B2">
        <w:rPr>
          <w:sz w:val="20"/>
          <w:szCs w:val="20"/>
          <w:lang w:val="pl-PL"/>
        </w:rPr>
        <w:t xml:space="preserve"> </w:t>
      </w:r>
      <w:r w:rsidR="00522DE2">
        <w:rPr>
          <w:sz w:val="20"/>
          <w:szCs w:val="20"/>
          <w:lang w:val="pl-PL"/>
        </w:rPr>
        <w:t xml:space="preserve">drugim </w:t>
      </w:r>
      <w:r w:rsidR="002172D6" w:rsidRPr="00F463B2">
        <w:rPr>
          <w:sz w:val="20"/>
          <w:szCs w:val="20"/>
          <w:lang w:val="pl-PL"/>
        </w:rPr>
        <w:t>przypadku konieczna jest ocena co najmniej 3 węzłów chłonnych</w:t>
      </w:r>
      <w:r w:rsidR="00A661EE">
        <w:rPr>
          <w:sz w:val="20"/>
          <w:szCs w:val="20"/>
          <w:lang w:val="pl-PL"/>
        </w:rPr>
        <w:t xml:space="preserve"> (II, B)</w:t>
      </w:r>
      <w:r w:rsidR="002172D6" w:rsidRPr="00F463B2">
        <w:rPr>
          <w:sz w:val="20"/>
          <w:szCs w:val="20"/>
          <w:lang w:val="pl-PL"/>
        </w:rPr>
        <w:t>.</w:t>
      </w:r>
      <w:r w:rsidR="00576995" w:rsidRPr="00F463B2">
        <w:rPr>
          <w:lang w:val="pl-PL"/>
        </w:rPr>
        <w:t xml:space="preserve"> </w:t>
      </w:r>
    </w:p>
    <w:p w:rsidR="00EF2000" w:rsidRDefault="00576995" w:rsidP="000E721D">
      <w:pPr>
        <w:numPr>
          <w:ilvl w:val="0"/>
          <w:numId w:val="9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 xml:space="preserve">SLNB </w:t>
      </w:r>
      <w:r w:rsidR="00E1369D">
        <w:rPr>
          <w:sz w:val="20"/>
          <w:szCs w:val="20"/>
          <w:lang w:val="pl-PL"/>
        </w:rPr>
        <w:t xml:space="preserve">można wykonać </w:t>
      </w:r>
      <w:r w:rsidRPr="00F463B2">
        <w:rPr>
          <w:sz w:val="20"/>
          <w:szCs w:val="20"/>
          <w:lang w:val="pl-PL"/>
        </w:rPr>
        <w:t xml:space="preserve">u chorych </w:t>
      </w:r>
      <w:r w:rsidR="000E44A7">
        <w:rPr>
          <w:sz w:val="20"/>
          <w:szCs w:val="20"/>
          <w:lang w:val="pl-PL"/>
        </w:rPr>
        <w:t xml:space="preserve">z </w:t>
      </w:r>
      <w:r w:rsidRPr="00F463B2">
        <w:rPr>
          <w:sz w:val="20"/>
          <w:szCs w:val="20"/>
          <w:lang w:val="pl-PL"/>
        </w:rPr>
        <w:t>wyjściow</w:t>
      </w:r>
      <w:r w:rsidR="000E44A7">
        <w:rPr>
          <w:sz w:val="20"/>
          <w:szCs w:val="20"/>
          <w:lang w:val="pl-PL"/>
        </w:rPr>
        <w:t>ą cechą</w:t>
      </w:r>
      <w:r w:rsidRPr="00F463B2">
        <w:rPr>
          <w:sz w:val="20"/>
          <w:szCs w:val="20"/>
          <w:lang w:val="pl-PL"/>
        </w:rPr>
        <w:t xml:space="preserve"> cN+, u któr</w:t>
      </w:r>
      <w:r w:rsidR="00FF4D7B">
        <w:rPr>
          <w:sz w:val="20"/>
          <w:szCs w:val="20"/>
          <w:lang w:val="pl-PL"/>
        </w:rPr>
        <w:t>ych</w:t>
      </w:r>
      <w:r w:rsidRPr="00F463B2">
        <w:rPr>
          <w:sz w:val="20"/>
          <w:szCs w:val="20"/>
          <w:lang w:val="pl-PL"/>
        </w:rPr>
        <w:t xml:space="preserve"> </w:t>
      </w:r>
      <w:r w:rsidR="00522DE2">
        <w:rPr>
          <w:sz w:val="20"/>
          <w:szCs w:val="20"/>
          <w:lang w:val="pl-PL"/>
        </w:rPr>
        <w:t xml:space="preserve">pod wpływem przedoperacyjnego leczenia systemowego </w:t>
      </w:r>
      <w:r w:rsidR="00FF4D7B">
        <w:rPr>
          <w:sz w:val="20"/>
          <w:szCs w:val="20"/>
          <w:lang w:val="pl-PL"/>
        </w:rPr>
        <w:t>uzyskano</w:t>
      </w:r>
      <w:r w:rsidRPr="00F463B2">
        <w:rPr>
          <w:sz w:val="20"/>
          <w:szCs w:val="20"/>
          <w:lang w:val="pl-PL"/>
        </w:rPr>
        <w:t xml:space="preserve"> całkowit</w:t>
      </w:r>
      <w:r w:rsidR="00FF4D7B">
        <w:rPr>
          <w:sz w:val="20"/>
          <w:szCs w:val="20"/>
          <w:lang w:val="pl-PL"/>
        </w:rPr>
        <w:t>ą</w:t>
      </w:r>
      <w:r w:rsidRPr="00F463B2">
        <w:rPr>
          <w:sz w:val="20"/>
          <w:szCs w:val="20"/>
          <w:lang w:val="pl-PL"/>
        </w:rPr>
        <w:t xml:space="preserve"> remisj</w:t>
      </w:r>
      <w:r w:rsidR="00FF4D7B">
        <w:rPr>
          <w:sz w:val="20"/>
          <w:szCs w:val="20"/>
          <w:lang w:val="pl-PL"/>
        </w:rPr>
        <w:t>ę</w:t>
      </w:r>
      <w:r w:rsidRPr="00F463B2">
        <w:rPr>
          <w:sz w:val="20"/>
          <w:szCs w:val="20"/>
          <w:lang w:val="pl-PL"/>
        </w:rPr>
        <w:t xml:space="preserve"> k</w:t>
      </w:r>
      <w:r w:rsidR="00B1339B">
        <w:rPr>
          <w:sz w:val="20"/>
          <w:szCs w:val="20"/>
          <w:lang w:val="pl-PL"/>
        </w:rPr>
        <w:t>l</w:t>
      </w:r>
      <w:r w:rsidRPr="00F463B2">
        <w:rPr>
          <w:sz w:val="20"/>
          <w:szCs w:val="20"/>
          <w:lang w:val="pl-PL"/>
        </w:rPr>
        <w:t>iniczn</w:t>
      </w:r>
      <w:r w:rsidR="00FF4D7B">
        <w:rPr>
          <w:sz w:val="20"/>
          <w:szCs w:val="20"/>
          <w:lang w:val="pl-PL"/>
        </w:rPr>
        <w:t>ą</w:t>
      </w:r>
      <w:r w:rsidRPr="00F463B2">
        <w:rPr>
          <w:sz w:val="20"/>
          <w:szCs w:val="20"/>
          <w:lang w:val="pl-PL"/>
        </w:rPr>
        <w:t xml:space="preserve"> zmian węzłowych (III, B).</w:t>
      </w:r>
      <w:r w:rsidR="00C353B7" w:rsidRPr="00C353B7">
        <w:rPr>
          <w:sz w:val="20"/>
          <w:szCs w:val="20"/>
          <w:lang w:val="pl-PL"/>
        </w:rPr>
        <w:t xml:space="preserve"> </w:t>
      </w:r>
    </w:p>
    <w:p w:rsidR="00C353B7" w:rsidRPr="00F463B2" w:rsidRDefault="00C353B7" w:rsidP="000E721D">
      <w:pPr>
        <w:numPr>
          <w:ilvl w:val="0"/>
          <w:numId w:val="9"/>
        </w:numPr>
        <w:spacing w:after="120" w:line="24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Jeśli po przedoperacyjnym leczeniu systemowym</w:t>
      </w:r>
      <w:r w:rsidRPr="00F463B2">
        <w:rPr>
          <w:sz w:val="20"/>
          <w:szCs w:val="20"/>
          <w:lang w:val="pl-PL"/>
        </w:rPr>
        <w:t xml:space="preserve"> </w:t>
      </w:r>
      <w:r w:rsidR="00EF2000">
        <w:rPr>
          <w:sz w:val="20"/>
          <w:szCs w:val="20"/>
          <w:lang w:val="pl-PL"/>
        </w:rPr>
        <w:t>nie stwierdza się p</w:t>
      </w:r>
      <w:r w:rsidRPr="00F463B2">
        <w:rPr>
          <w:sz w:val="20"/>
          <w:szCs w:val="20"/>
          <w:lang w:val="pl-PL"/>
        </w:rPr>
        <w:t>rzerzut</w:t>
      </w:r>
      <w:r w:rsidR="00EF2000">
        <w:rPr>
          <w:sz w:val="20"/>
          <w:szCs w:val="20"/>
          <w:lang w:val="pl-PL"/>
        </w:rPr>
        <w:t>ów</w:t>
      </w:r>
      <w:r w:rsidRPr="00F463B2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w węzłach</w:t>
      </w:r>
      <w:r w:rsidR="00FE5DA8">
        <w:rPr>
          <w:sz w:val="20"/>
          <w:szCs w:val="20"/>
          <w:lang w:val="pl-PL"/>
        </w:rPr>
        <w:t xml:space="preserve"> wartowniczych</w:t>
      </w:r>
      <w:r>
        <w:rPr>
          <w:sz w:val="20"/>
          <w:szCs w:val="20"/>
          <w:lang w:val="pl-PL"/>
        </w:rPr>
        <w:t>,</w:t>
      </w:r>
      <w:r w:rsidR="00EF2000">
        <w:rPr>
          <w:sz w:val="20"/>
          <w:szCs w:val="20"/>
          <w:lang w:val="pl-PL"/>
        </w:rPr>
        <w:t xml:space="preserve"> nie ma potrzeby wykonywania</w:t>
      </w:r>
      <w:r w:rsidRPr="00F463B2">
        <w:rPr>
          <w:sz w:val="20"/>
          <w:szCs w:val="20"/>
          <w:lang w:val="pl-PL"/>
        </w:rPr>
        <w:t xml:space="preserve"> limfadenektomi</w:t>
      </w:r>
      <w:r w:rsidR="00EF2000">
        <w:rPr>
          <w:sz w:val="20"/>
          <w:szCs w:val="20"/>
          <w:lang w:val="pl-PL"/>
        </w:rPr>
        <w:t>i; należy ją natomiast wykonać w każdym wypadku obecności przerzutów</w:t>
      </w:r>
      <w:r w:rsidRPr="00F463B2">
        <w:rPr>
          <w:sz w:val="20"/>
          <w:szCs w:val="20"/>
          <w:lang w:val="pl-PL"/>
        </w:rPr>
        <w:t xml:space="preserve"> (II, B)</w:t>
      </w:r>
      <w:r>
        <w:rPr>
          <w:sz w:val="20"/>
          <w:szCs w:val="20"/>
          <w:lang w:val="pl-PL"/>
        </w:rPr>
        <w:t>.</w:t>
      </w:r>
    </w:p>
    <w:p w:rsidR="005120E7" w:rsidRPr="00F463B2" w:rsidRDefault="005120E7" w:rsidP="000E721D">
      <w:pPr>
        <w:numPr>
          <w:ilvl w:val="0"/>
          <w:numId w:val="9"/>
        </w:numPr>
        <w:spacing w:after="120" w:line="24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Limfadenektomię pachową</w:t>
      </w:r>
      <w:r w:rsidRPr="00F463B2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powinno się</w:t>
      </w:r>
      <w:r w:rsidRPr="00F463B2">
        <w:rPr>
          <w:sz w:val="20"/>
          <w:szCs w:val="20"/>
          <w:lang w:val="pl-PL"/>
        </w:rPr>
        <w:t xml:space="preserve"> wykonywać u chorych z kliniczną obecnością przerzutów w węzłach chłonnych (cecha cN+), z przeciwwskazaniami do wykonania SNB lub w </w:t>
      </w:r>
      <w:r w:rsidR="00DC42DF">
        <w:rPr>
          <w:sz w:val="20"/>
          <w:szCs w:val="20"/>
          <w:lang w:val="pl-PL"/>
        </w:rPr>
        <w:t>jeśli nie udało się znaleźć</w:t>
      </w:r>
      <w:r w:rsidRPr="00F463B2">
        <w:rPr>
          <w:sz w:val="20"/>
          <w:szCs w:val="20"/>
          <w:lang w:val="pl-PL"/>
        </w:rPr>
        <w:t xml:space="preserve"> węzłów wartowniczych (II, B).</w:t>
      </w:r>
    </w:p>
    <w:p w:rsidR="002172D6" w:rsidRPr="00016A3C" w:rsidRDefault="002172D6" w:rsidP="000739BA">
      <w:pPr>
        <w:spacing w:after="120" w:line="240" w:lineRule="auto"/>
        <w:jc w:val="both"/>
        <w:rPr>
          <w:sz w:val="20"/>
          <w:szCs w:val="20"/>
          <w:lang w:val="pl-PL"/>
        </w:rPr>
      </w:pPr>
    </w:p>
    <w:p w:rsidR="00C65D87" w:rsidRPr="00C26429" w:rsidRDefault="00C65D87" w:rsidP="002E0047">
      <w:pPr>
        <w:pStyle w:val="Nagwek2"/>
        <w:spacing w:before="0" w:after="240" w:line="240" w:lineRule="auto"/>
        <w:rPr>
          <w:rFonts w:ascii="Arial" w:hAnsi="Arial" w:cs="Arial"/>
          <w:i w:val="0"/>
          <w:color w:val="2E74B5"/>
          <w:sz w:val="24"/>
          <w:szCs w:val="24"/>
          <w:lang w:val="pl-PL"/>
        </w:rPr>
      </w:pPr>
      <w:bookmarkStart w:id="17" w:name="_Toc516233142"/>
      <w:r w:rsidRPr="00C26429">
        <w:rPr>
          <w:rFonts w:ascii="Arial" w:hAnsi="Arial" w:cs="Arial"/>
          <w:i w:val="0"/>
          <w:color w:val="2E74B5"/>
          <w:sz w:val="24"/>
          <w:szCs w:val="24"/>
          <w:lang w:val="pl-PL"/>
        </w:rPr>
        <w:t>Zabiegi rekonstrukcyjne piersi</w:t>
      </w:r>
      <w:bookmarkEnd w:id="17"/>
    </w:p>
    <w:p w:rsidR="002E0047" w:rsidRDefault="006A7D1B" w:rsidP="000E721D">
      <w:pPr>
        <w:numPr>
          <w:ilvl w:val="0"/>
          <w:numId w:val="35"/>
        </w:numPr>
        <w:spacing w:after="120" w:line="24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K</w:t>
      </w:r>
      <w:r w:rsidRPr="00E622E5">
        <w:rPr>
          <w:sz w:val="20"/>
          <w:szCs w:val="20"/>
          <w:lang w:val="pl-PL"/>
        </w:rPr>
        <w:t>ażdej chorej</w:t>
      </w:r>
      <w:r w:rsidRPr="00DE69EE">
        <w:rPr>
          <w:sz w:val="20"/>
          <w:szCs w:val="20"/>
          <w:lang w:val="pl-PL"/>
        </w:rPr>
        <w:t xml:space="preserve"> </w:t>
      </w:r>
      <w:r w:rsidRPr="00E622E5">
        <w:rPr>
          <w:sz w:val="20"/>
          <w:szCs w:val="20"/>
          <w:lang w:val="pl-PL"/>
        </w:rPr>
        <w:t xml:space="preserve">należy zapewnić </w:t>
      </w:r>
      <w:r>
        <w:rPr>
          <w:sz w:val="20"/>
          <w:szCs w:val="20"/>
          <w:lang w:val="pl-PL"/>
        </w:rPr>
        <w:t>m</w:t>
      </w:r>
      <w:r w:rsidR="007047C3" w:rsidRPr="00E34564">
        <w:rPr>
          <w:sz w:val="20"/>
          <w:szCs w:val="20"/>
          <w:lang w:val="pl-PL"/>
        </w:rPr>
        <w:t xml:space="preserve">ożliwość </w:t>
      </w:r>
      <w:r w:rsidR="0078436B" w:rsidRPr="00E34564">
        <w:rPr>
          <w:sz w:val="20"/>
          <w:szCs w:val="20"/>
          <w:lang w:val="pl-PL"/>
        </w:rPr>
        <w:t xml:space="preserve">wykonania rekonstrukcji piersi </w:t>
      </w:r>
      <w:r w:rsidR="00804B18" w:rsidRPr="00DE69EE">
        <w:rPr>
          <w:sz w:val="20"/>
          <w:szCs w:val="20"/>
          <w:lang w:val="pl-PL"/>
        </w:rPr>
        <w:t>(II</w:t>
      </w:r>
      <w:r w:rsidR="00D4749A">
        <w:rPr>
          <w:sz w:val="20"/>
          <w:szCs w:val="20"/>
          <w:lang w:val="pl-PL"/>
        </w:rPr>
        <w:t>I</w:t>
      </w:r>
      <w:r w:rsidR="00804B18" w:rsidRPr="00DE69EE">
        <w:rPr>
          <w:sz w:val="20"/>
          <w:szCs w:val="20"/>
          <w:lang w:val="pl-PL"/>
        </w:rPr>
        <w:t>, A).</w:t>
      </w:r>
    </w:p>
    <w:p w:rsidR="005A0A07" w:rsidRPr="00DE69EE" w:rsidRDefault="005A0A07" w:rsidP="000E721D">
      <w:pPr>
        <w:numPr>
          <w:ilvl w:val="0"/>
          <w:numId w:val="35"/>
        </w:numPr>
        <w:spacing w:after="120" w:line="24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Czas wykonania rekonstrukcji oraz jej rodzaj uwarunkowany jest indywidualną sytuacją kliniczną i wolą chorej (III, A).</w:t>
      </w:r>
    </w:p>
    <w:p w:rsidR="00B3634A" w:rsidRDefault="00587B20" w:rsidP="000E721D">
      <w:pPr>
        <w:numPr>
          <w:ilvl w:val="0"/>
          <w:numId w:val="35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724D17">
        <w:rPr>
          <w:sz w:val="20"/>
          <w:szCs w:val="20"/>
          <w:lang w:val="pl-PL"/>
        </w:rPr>
        <w:t xml:space="preserve">Wykonanie </w:t>
      </w:r>
      <w:r w:rsidR="00A16F12">
        <w:rPr>
          <w:sz w:val="20"/>
          <w:szCs w:val="20"/>
          <w:lang w:val="pl-PL"/>
        </w:rPr>
        <w:t>bezzwłocznej</w:t>
      </w:r>
      <w:r w:rsidRPr="00724D17">
        <w:rPr>
          <w:sz w:val="20"/>
          <w:szCs w:val="20"/>
          <w:lang w:val="pl-PL"/>
        </w:rPr>
        <w:t xml:space="preserve"> rekonstrukcji piersi nie zmienia wskazań do uzupełnia</w:t>
      </w:r>
      <w:r w:rsidR="007D5A14">
        <w:rPr>
          <w:sz w:val="20"/>
          <w:szCs w:val="20"/>
          <w:lang w:val="pl-PL"/>
        </w:rPr>
        <w:t>jącego leczenia systemowego i </w:t>
      </w:r>
      <w:r w:rsidR="006D07C1">
        <w:rPr>
          <w:sz w:val="20"/>
          <w:szCs w:val="20"/>
          <w:lang w:val="pl-PL"/>
        </w:rPr>
        <w:t>RT</w:t>
      </w:r>
      <w:r w:rsidR="00804B18" w:rsidRPr="00117A48">
        <w:rPr>
          <w:sz w:val="20"/>
          <w:szCs w:val="20"/>
          <w:lang w:val="pl-PL"/>
        </w:rPr>
        <w:t xml:space="preserve"> (II, A)</w:t>
      </w:r>
      <w:r w:rsidR="00AC04A9">
        <w:rPr>
          <w:sz w:val="20"/>
          <w:szCs w:val="20"/>
          <w:lang w:val="pl-PL"/>
        </w:rPr>
        <w:t>.</w:t>
      </w:r>
    </w:p>
    <w:p w:rsidR="00845FA7" w:rsidRPr="00845FA7" w:rsidRDefault="00845FA7" w:rsidP="00845FA7">
      <w:pPr>
        <w:spacing w:after="120" w:line="240" w:lineRule="auto"/>
        <w:ind w:left="426"/>
        <w:jc w:val="both"/>
        <w:rPr>
          <w:sz w:val="20"/>
          <w:szCs w:val="20"/>
          <w:lang w:val="pl-PL"/>
        </w:rPr>
      </w:pPr>
    </w:p>
    <w:p w:rsidR="00C65D87" w:rsidRPr="007D5A14" w:rsidRDefault="00C65D87" w:rsidP="007D5A14">
      <w:pPr>
        <w:pStyle w:val="Nagwek2"/>
        <w:spacing w:before="0" w:after="240" w:line="240" w:lineRule="auto"/>
        <w:rPr>
          <w:rFonts w:ascii="Arial" w:hAnsi="Arial" w:cs="Arial"/>
          <w:i w:val="0"/>
          <w:color w:val="2E74B5"/>
          <w:sz w:val="24"/>
          <w:szCs w:val="24"/>
          <w:lang w:val="pl-PL"/>
        </w:rPr>
      </w:pPr>
      <w:bookmarkStart w:id="18" w:name="_Toc516233144"/>
      <w:r w:rsidRPr="005F3A71">
        <w:rPr>
          <w:rFonts w:ascii="Arial" w:hAnsi="Arial" w:cs="Arial"/>
          <w:i w:val="0"/>
          <w:color w:val="2E74B5"/>
          <w:sz w:val="24"/>
          <w:szCs w:val="24"/>
          <w:lang w:val="pl-PL"/>
        </w:rPr>
        <w:t>Pooperacyjna radioterapia</w:t>
      </w:r>
      <w:r w:rsidR="007079DF" w:rsidRPr="0067315D">
        <w:rPr>
          <w:rFonts w:ascii="Arial" w:hAnsi="Arial" w:cs="Arial"/>
          <w:i w:val="0"/>
          <w:color w:val="2E74B5"/>
          <w:sz w:val="24"/>
          <w:szCs w:val="24"/>
          <w:lang w:val="pl-PL"/>
        </w:rPr>
        <w:t xml:space="preserve"> (</w:t>
      </w:r>
      <w:r w:rsidR="006D07C1">
        <w:rPr>
          <w:rFonts w:ascii="Arial" w:hAnsi="Arial" w:cs="Arial"/>
          <w:i w:val="0"/>
          <w:color w:val="2E74B5"/>
          <w:sz w:val="24"/>
          <w:szCs w:val="24"/>
          <w:lang w:val="pl-PL"/>
        </w:rPr>
        <w:t>RT</w:t>
      </w:r>
      <w:r w:rsidR="007079DF" w:rsidRPr="0067315D">
        <w:rPr>
          <w:rFonts w:ascii="Arial" w:hAnsi="Arial" w:cs="Arial"/>
          <w:i w:val="0"/>
          <w:color w:val="2E74B5"/>
          <w:sz w:val="24"/>
          <w:szCs w:val="24"/>
          <w:lang w:val="pl-PL"/>
        </w:rPr>
        <w:t>)</w:t>
      </w:r>
      <w:bookmarkEnd w:id="18"/>
    </w:p>
    <w:p w:rsidR="00587B20" w:rsidRDefault="00587B20" w:rsidP="000E721D">
      <w:pPr>
        <w:numPr>
          <w:ilvl w:val="0"/>
          <w:numId w:val="36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 xml:space="preserve">Pooperacyjna </w:t>
      </w:r>
      <w:r w:rsidR="006D07C1">
        <w:rPr>
          <w:sz w:val="20"/>
          <w:szCs w:val="20"/>
          <w:lang w:val="pl-PL"/>
        </w:rPr>
        <w:t>RT</w:t>
      </w:r>
      <w:r w:rsidRPr="00F463B2">
        <w:rPr>
          <w:sz w:val="20"/>
          <w:szCs w:val="20"/>
          <w:lang w:val="pl-PL"/>
        </w:rPr>
        <w:t xml:space="preserve"> stanowi niezbędną składową leczenia wszystkich chorych poddanych </w:t>
      </w:r>
      <w:r w:rsidR="00AA003C">
        <w:rPr>
          <w:sz w:val="20"/>
          <w:szCs w:val="20"/>
          <w:lang w:val="pl-PL"/>
        </w:rPr>
        <w:t>zabiegowi operacyjnemu z zachowaniem piersi</w:t>
      </w:r>
      <w:r w:rsidRPr="00F463B2">
        <w:rPr>
          <w:sz w:val="20"/>
          <w:szCs w:val="20"/>
          <w:lang w:val="pl-PL"/>
        </w:rPr>
        <w:t xml:space="preserve"> (I, A)</w:t>
      </w:r>
      <w:r w:rsidR="00AA003C">
        <w:rPr>
          <w:sz w:val="20"/>
          <w:szCs w:val="20"/>
          <w:lang w:val="pl-PL"/>
        </w:rPr>
        <w:t>.</w:t>
      </w:r>
    </w:p>
    <w:p w:rsidR="00587B20" w:rsidRPr="00F463B2" w:rsidRDefault="00587B20" w:rsidP="000E721D">
      <w:pPr>
        <w:numPr>
          <w:ilvl w:val="0"/>
          <w:numId w:val="36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 xml:space="preserve">W </w:t>
      </w:r>
      <w:r w:rsidR="00585906">
        <w:rPr>
          <w:sz w:val="20"/>
          <w:szCs w:val="20"/>
          <w:lang w:val="pl-PL"/>
        </w:rPr>
        <w:t>RT</w:t>
      </w:r>
      <w:r w:rsidRPr="00F463B2">
        <w:rPr>
          <w:sz w:val="20"/>
          <w:szCs w:val="20"/>
          <w:lang w:val="pl-PL"/>
        </w:rPr>
        <w:t xml:space="preserve"> po zabiegu oszczędzającym zaleca się dawkę 40 Gy w 15 frakcjach w ciągu 3 tygodni (I, A)</w:t>
      </w:r>
      <w:r w:rsidR="00AA003C">
        <w:rPr>
          <w:sz w:val="20"/>
          <w:szCs w:val="20"/>
          <w:lang w:val="pl-PL"/>
        </w:rPr>
        <w:t>.</w:t>
      </w:r>
    </w:p>
    <w:p w:rsidR="008032E5" w:rsidRPr="00F463B2" w:rsidRDefault="00AA003C" w:rsidP="000E721D">
      <w:pPr>
        <w:numPr>
          <w:ilvl w:val="0"/>
          <w:numId w:val="36"/>
        </w:numPr>
        <w:spacing w:after="120" w:line="24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</w:t>
      </w:r>
      <w:r w:rsidR="008032E5" w:rsidRPr="00F463B2">
        <w:rPr>
          <w:sz w:val="20"/>
          <w:szCs w:val="20"/>
          <w:lang w:val="pl-PL"/>
        </w:rPr>
        <w:t>a lożę po wyciętym guzie należy podać dodatkową dawkę (</w:t>
      </w:r>
      <w:r w:rsidR="008032E5" w:rsidRPr="00640E2B">
        <w:rPr>
          <w:i/>
          <w:sz w:val="20"/>
          <w:szCs w:val="20"/>
          <w:lang w:val="pl-PL"/>
        </w:rPr>
        <w:t>boost</w:t>
      </w:r>
      <w:r w:rsidR="008032E5" w:rsidRPr="00F463B2">
        <w:rPr>
          <w:sz w:val="20"/>
          <w:szCs w:val="20"/>
          <w:lang w:val="pl-PL"/>
        </w:rPr>
        <w:t>) 10–15 Gy (wiązka fotonowa, elektronowa lub brachyterapia) (I, A)</w:t>
      </w:r>
      <w:r>
        <w:rPr>
          <w:sz w:val="20"/>
          <w:szCs w:val="20"/>
          <w:lang w:val="pl-PL"/>
        </w:rPr>
        <w:t xml:space="preserve">. Z postępowania tego można zrezygnować w grupach o niskim ryzyku nawrotu </w:t>
      </w:r>
      <w:r w:rsidRPr="00083501">
        <w:rPr>
          <w:sz w:val="20"/>
          <w:szCs w:val="20"/>
          <w:lang w:val="pl-PL"/>
        </w:rPr>
        <w:t>(np.</w:t>
      </w:r>
      <w:r w:rsidR="007D5A14">
        <w:rPr>
          <w:sz w:val="20"/>
          <w:szCs w:val="20"/>
          <w:lang w:val="pl-PL"/>
        </w:rPr>
        <w:t> </w:t>
      </w:r>
      <w:r w:rsidRPr="00083501">
        <w:rPr>
          <w:sz w:val="20"/>
          <w:szCs w:val="20"/>
          <w:lang w:val="pl-PL"/>
        </w:rPr>
        <w:t xml:space="preserve">doszczętnie wycięty mały guz ER+ bez </w:t>
      </w:r>
      <w:r>
        <w:rPr>
          <w:sz w:val="20"/>
          <w:szCs w:val="20"/>
          <w:lang w:val="pl-PL"/>
        </w:rPr>
        <w:t>przerzutów w węzłach</w:t>
      </w:r>
      <w:r w:rsidRPr="00083501">
        <w:rPr>
          <w:sz w:val="20"/>
          <w:szCs w:val="20"/>
          <w:lang w:val="pl-PL"/>
        </w:rPr>
        <w:t xml:space="preserve"> chłonnych i b</w:t>
      </w:r>
      <w:r w:rsidR="007D5A14">
        <w:rPr>
          <w:sz w:val="20"/>
          <w:szCs w:val="20"/>
          <w:lang w:val="pl-PL"/>
        </w:rPr>
        <w:t>ez rozległego komponentu DCIS u</w:t>
      </w:r>
      <w:r w:rsidRPr="00083501">
        <w:rPr>
          <w:sz w:val="20"/>
          <w:szCs w:val="20"/>
          <w:lang w:val="pl-PL"/>
        </w:rPr>
        <w:t>chorych powyżej 60. rż.)</w:t>
      </w:r>
      <w:r>
        <w:rPr>
          <w:sz w:val="20"/>
          <w:szCs w:val="20"/>
          <w:lang w:val="pl-PL"/>
        </w:rPr>
        <w:t xml:space="preserve"> (II, B).</w:t>
      </w:r>
    </w:p>
    <w:p w:rsidR="008032E5" w:rsidRPr="00F463B2" w:rsidRDefault="008032E5" w:rsidP="000E721D">
      <w:pPr>
        <w:numPr>
          <w:ilvl w:val="0"/>
          <w:numId w:val="36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 xml:space="preserve">U chorych z bardzo niskim ryzykiem nawrotu alternatywą dla </w:t>
      </w:r>
      <w:r w:rsidR="006D07C1">
        <w:rPr>
          <w:sz w:val="20"/>
          <w:szCs w:val="20"/>
          <w:lang w:val="pl-PL"/>
        </w:rPr>
        <w:t>RT</w:t>
      </w:r>
      <w:r w:rsidRPr="00F463B2">
        <w:rPr>
          <w:sz w:val="20"/>
          <w:szCs w:val="20"/>
          <w:lang w:val="pl-PL"/>
        </w:rPr>
        <w:t xml:space="preserve"> całej piersi jest zastosowanie </w:t>
      </w:r>
      <w:r w:rsidR="006D07C1">
        <w:rPr>
          <w:sz w:val="20"/>
          <w:szCs w:val="20"/>
          <w:lang w:val="pl-PL"/>
        </w:rPr>
        <w:t>RT</w:t>
      </w:r>
      <w:r w:rsidRPr="00F463B2">
        <w:rPr>
          <w:sz w:val="20"/>
          <w:szCs w:val="20"/>
          <w:lang w:val="pl-PL"/>
        </w:rPr>
        <w:t xml:space="preserve"> części piersi (II, B)</w:t>
      </w:r>
      <w:r w:rsidR="0046208E">
        <w:rPr>
          <w:sz w:val="20"/>
          <w:szCs w:val="20"/>
          <w:lang w:val="pl-PL"/>
        </w:rPr>
        <w:t>.</w:t>
      </w:r>
    </w:p>
    <w:p w:rsidR="0046208E" w:rsidRDefault="006D07C1" w:rsidP="000E721D">
      <w:pPr>
        <w:numPr>
          <w:ilvl w:val="0"/>
          <w:numId w:val="36"/>
        </w:numPr>
        <w:spacing w:after="120" w:line="24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RT</w:t>
      </w:r>
      <w:r w:rsidR="002C4D71" w:rsidRPr="00F463B2">
        <w:rPr>
          <w:sz w:val="20"/>
          <w:szCs w:val="20"/>
          <w:lang w:val="pl-PL"/>
        </w:rPr>
        <w:t xml:space="preserve"> po amputacji należy zastosować</w:t>
      </w:r>
      <w:r w:rsidR="0046208E">
        <w:rPr>
          <w:sz w:val="20"/>
          <w:szCs w:val="20"/>
          <w:lang w:val="pl-PL"/>
        </w:rPr>
        <w:t>:</w:t>
      </w:r>
    </w:p>
    <w:p w:rsidR="00764066" w:rsidRDefault="002C4D71" w:rsidP="000E721D">
      <w:pPr>
        <w:widowControl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134" w:hanging="425"/>
        <w:contextualSpacing/>
        <w:jc w:val="both"/>
        <w:rPr>
          <w:sz w:val="20"/>
          <w:szCs w:val="20"/>
          <w:lang w:val="pl-PL"/>
        </w:rPr>
      </w:pPr>
      <w:r w:rsidRPr="00764066">
        <w:rPr>
          <w:sz w:val="20"/>
          <w:szCs w:val="20"/>
          <w:lang w:val="pl-PL"/>
        </w:rPr>
        <w:t xml:space="preserve">u wszystkich chorych </w:t>
      </w:r>
      <w:r w:rsidR="00A16F12" w:rsidRPr="00764066">
        <w:rPr>
          <w:sz w:val="20"/>
          <w:szCs w:val="20"/>
          <w:lang w:val="pl-PL"/>
        </w:rPr>
        <w:t>z cechą T4</w:t>
      </w:r>
      <w:r w:rsidR="00A16F12">
        <w:rPr>
          <w:sz w:val="20"/>
          <w:szCs w:val="20"/>
          <w:lang w:val="pl-PL"/>
        </w:rPr>
        <w:t xml:space="preserve"> </w:t>
      </w:r>
      <w:r w:rsidR="00A16F12" w:rsidRPr="00764066">
        <w:rPr>
          <w:sz w:val="20"/>
          <w:szCs w:val="20"/>
          <w:lang w:val="pl-PL"/>
        </w:rPr>
        <w:t xml:space="preserve">lub </w:t>
      </w:r>
      <w:r w:rsidRPr="00764066">
        <w:rPr>
          <w:sz w:val="20"/>
          <w:szCs w:val="20"/>
          <w:lang w:val="pl-PL"/>
        </w:rPr>
        <w:t xml:space="preserve">z obecnością przerzutów w co najmniej 4 pachowych węzłach chłonnych </w:t>
      </w:r>
      <w:r w:rsidR="00011908" w:rsidRPr="00764066">
        <w:rPr>
          <w:sz w:val="20"/>
          <w:szCs w:val="20"/>
          <w:lang w:val="pl-PL"/>
        </w:rPr>
        <w:t>(I, A)</w:t>
      </w:r>
      <w:r w:rsidR="00585906" w:rsidRPr="00764066">
        <w:rPr>
          <w:sz w:val="20"/>
          <w:szCs w:val="20"/>
          <w:lang w:val="pl-PL"/>
        </w:rPr>
        <w:t>.</w:t>
      </w:r>
    </w:p>
    <w:p w:rsidR="002C4D71" w:rsidRPr="00764066" w:rsidRDefault="0046208E" w:rsidP="000E721D">
      <w:pPr>
        <w:widowControl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134" w:hanging="425"/>
        <w:contextualSpacing/>
        <w:jc w:val="both"/>
        <w:rPr>
          <w:sz w:val="20"/>
          <w:szCs w:val="20"/>
          <w:lang w:val="pl-PL"/>
        </w:rPr>
      </w:pPr>
      <w:r w:rsidRPr="00764066">
        <w:rPr>
          <w:sz w:val="20"/>
          <w:szCs w:val="20"/>
          <w:lang w:val="pl-PL"/>
        </w:rPr>
        <w:t>u</w:t>
      </w:r>
      <w:r w:rsidR="002C4D71" w:rsidRPr="00764066">
        <w:rPr>
          <w:sz w:val="20"/>
          <w:szCs w:val="20"/>
          <w:lang w:val="pl-PL"/>
        </w:rPr>
        <w:t xml:space="preserve"> chorych z przerzutami w </w:t>
      </w:r>
      <w:r w:rsidR="003A7020" w:rsidRPr="00764066">
        <w:rPr>
          <w:sz w:val="20"/>
          <w:szCs w:val="20"/>
          <w:lang w:val="pl-PL"/>
        </w:rPr>
        <w:t xml:space="preserve">1–3 </w:t>
      </w:r>
      <w:r w:rsidR="002C4D71" w:rsidRPr="00764066">
        <w:rPr>
          <w:sz w:val="20"/>
          <w:szCs w:val="20"/>
          <w:lang w:val="pl-PL"/>
        </w:rPr>
        <w:t>węzłach pachowych</w:t>
      </w:r>
      <w:r w:rsidR="00DC0B0D" w:rsidRPr="00764066">
        <w:rPr>
          <w:sz w:val="20"/>
          <w:szCs w:val="20"/>
          <w:lang w:val="pl-PL"/>
        </w:rPr>
        <w:t>,</w:t>
      </w:r>
      <w:r w:rsidR="002C4D71" w:rsidRPr="00764066">
        <w:rPr>
          <w:sz w:val="20"/>
          <w:szCs w:val="20"/>
          <w:lang w:val="pl-PL"/>
        </w:rPr>
        <w:t xml:space="preserve"> zwłaszcza jeśli towarzyszą im inne niekorzystne czynniki</w:t>
      </w:r>
      <w:r w:rsidR="00764066" w:rsidRPr="00764066">
        <w:rPr>
          <w:sz w:val="20"/>
          <w:szCs w:val="20"/>
          <w:lang w:val="pl-PL"/>
        </w:rPr>
        <w:t xml:space="preserve"> </w:t>
      </w:r>
      <w:r w:rsidR="00764066">
        <w:rPr>
          <w:sz w:val="20"/>
          <w:szCs w:val="20"/>
          <w:lang w:val="pl-PL"/>
        </w:rPr>
        <w:t>(wiek do 40 lat, ER-, G3 lub</w:t>
      </w:r>
      <w:r w:rsidR="00764066" w:rsidRPr="00764066">
        <w:rPr>
          <w:sz w:val="20"/>
          <w:szCs w:val="20"/>
          <w:lang w:val="pl-PL"/>
        </w:rPr>
        <w:t xml:space="preserve"> naciekanie naczyń limfatycznych</w:t>
      </w:r>
      <w:r w:rsidR="00764066">
        <w:rPr>
          <w:sz w:val="20"/>
          <w:szCs w:val="20"/>
          <w:lang w:val="pl-PL"/>
        </w:rPr>
        <w:t>)</w:t>
      </w:r>
      <w:r w:rsidR="002C4D71" w:rsidRPr="00764066">
        <w:rPr>
          <w:sz w:val="20"/>
          <w:szCs w:val="20"/>
          <w:lang w:val="pl-PL"/>
        </w:rPr>
        <w:t xml:space="preserve"> (</w:t>
      </w:r>
      <w:r w:rsidR="00011908" w:rsidRPr="00764066">
        <w:rPr>
          <w:sz w:val="20"/>
          <w:szCs w:val="20"/>
          <w:lang w:val="pl-PL"/>
        </w:rPr>
        <w:t>I</w:t>
      </w:r>
      <w:r w:rsidR="00EA168B" w:rsidRPr="00764066">
        <w:rPr>
          <w:sz w:val="20"/>
          <w:szCs w:val="20"/>
          <w:lang w:val="pl-PL"/>
        </w:rPr>
        <w:t>I</w:t>
      </w:r>
      <w:r w:rsidR="002C4D71" w:rsidRPr="00764066">
        <w:rPr>
          <w:sz w:val="20"/>
          <w:szCs w:val="20"/>
          <w:lang w:val="pl-PL"/>
        </w:rPr>
        <w:t xml:space="preserve">, </w:t>
      </w:r>
      <w:r w:rsidR="00EA168B" w:rsidRPr="00764066">
        <w:rPr>
          <w:sz w:val="20"/>
          <w:szCs w:val="20"/>
          <w:lang w:val="pl-PL"/>
        </w:rPr>
        <w:t>B</w:t>
      </w:r>
      <w:r w:rsidR="002C4D71" w:rsidRPr="00764066">
        <w:rPr>
          <w:sz w:val="20"/>
          <w:szCs w:val="20"/>
          <w:lang w:val="pl-PL"/>
        </w:rPr>
        <w:t>)</w:t>
      </w:r>
      <w:r w:rsidRPr="00764066">
        <w:rPr>
          <w:sz w:val="20"/>
          <w:szCs w:val="20"/>
          <w:lang w:val="pl-PL"/>
        </w:rPr>
        <w:t>.</w:t>
      </w:r>
    </w:p>
    <w:p w:rsidR="0046208E" w:rsidRDefault="0046208E" w:rsidP="000E721D">
      <w:pPr>
        <w:numPr>
          <w:ilvl w:val="0"/>
          <w:numId w:val="10"/>
        </w:numPr>
        <w:spacing w:after="120" w:line="240" w:lineRule="auto"/>
        <w:ind w:left="1134" w:hanging="425"/>
        <w:contextualSpacing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 przypadku</w:t>
      </w:r>
      <w:r w:rsidRPr="00753483">
        <w:rPr>
          <w:sz w:val="20"/>
          <w:szCs w:val="20"/>
          <w:lang w:val="pl-PL"/>
        </w:rPr>
        <w:t xml:space="preserve"> </w:t>
      </w:r>
      <w:r w:rsidRPr="00763E63">
        <w:rPr>
          <w:sz w:val="20"/>
          <w:szCs w:val="20"/>
          <w:lang w:val="pl-PL"/>
        </w:rPr>
        <w:t>wąskich (&lt;</w:t>
      </w:r>
      <w:r w:rsidRPr="00187157">
        <w:rPr>
          <w:sz w:val="20"/>
          <w:szCs w:val="20"/>
          <w:lang w:val="pl-PL"/>
        </w:rPr>
        <w:t>1 mm) marginesów chirurgicznych (II</w:t>
      </w:r>
      <w:r>
        <w:rPr>
          <w:sz w:val="20"/>
          <w:szCs w:val="20"/>
          <w:lang w:val="pl-PL"/>
        </w:rPr>
        <w:t>I</w:t>
      </w:r>
      <w:r w:rsidRPr="00187157">
        <w:rPr>
          <w:sz w:val="20"/>
          <w:szCs w:val="20"/>
          <w:lang w:val="pl-PL"/>
        </w:rPr>
        <w:t>, B)</w:t>
      </w:r>
      <w:r w:rsidRPr="008C2ADD">
        <w:rPr>
          <w:sz w:val="20"/>
          <w:szCs w:val="20"/>
          <w:lang w:val="pl-PL"/>
        </w:rPr>
        <w:t xml:space="preserve">. </w:t>
      </w:r>
    </w:p>
    <w:p w:rsidR="0046208E" w:rsidRDefault="0046208E" w:rsidP="000E721D">
      <w:pPr>
        <w:numPr>
          <w:ilvl w:val="0"/>
          <w:numId w:val="10"/>
        </w:numPr>
        <w:spacing w:after="120" w:line="240" w:lineRule="auto"/>
        <w:ind w:left="1134" w:hanging="425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u</w:t>
      </w:r>
      <w:r w:rsidRPr="008C2ADD">
        <w:rPr>
          <w:sz w:val="20"/>
          <w:szCs w:val="20"/>
          <w:lang w:val="pl-PL"/>
        </w:rPr>
        <w:t xml:space="preserve"> chorych z cechą T3N0 </w:t>
      </w:r>
      <w:r>
        <w:rPr>
          <w:sz w:val="20"/>
          <w:szCs w:val="20"/>
          <w:lang w:val="pl-PL"/>
        </w:rPr>
        <w:t>i dodatkowymi czynnikami</w:t>
      </w:r>
      <w:r w:rsidRPr="008C2ADD">
        <w:rPr>
          <w:sz w:val="20"/>
          <w:szCs w:val="20"/>
          <w:lang w:val="pl-PL"/>
        </w:rPr>
        <w:t xml:space="preserve"> ryzyka</w:t>
      </w:r>
      <w:r>
        <w:rPr>
          <w:sz w:val="20"/>
          <w:szCs w:val="20"/>
          <w:lang w:val="pl-PL"/>
        </w:rPr>
        <w:t xml:space="preserve"> (III, B)</w:t>
      </w:r>
      <w:r w:rsidRPr="008C2ADD">
        <w:rPr>
          <w:sz w:val="20"/>
          <w:szCs w:val="20"/>
          <w:lang w:val="pl-PL"/>
        </w:rPr>
        <w:t>.</w:t>
      </w:r>
      <w:r w:rsidRPr="00083501">
        <w:rPr>
          <w:sz w:val="20"/>
          <w:szCs w:val="20"/>
          <w:lang w:val="pl-PL"/>
        </w:rPr>
        <w:t xml:space="preserve"> </w:t>
      </w:r>
    </w:p>
    <w:p w:rsidR="00B42F6C" w:rsidRDefault="00834E54" w:rsidP="000E721D">
      <w:pPr>
        <w:numPr>
          <w:ilvl w:val="0"/>
          <w:numId w:val="37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 xml:space="preserve">Napromieniany obszar </w:t>
      </w:r>
      <w:r w:rsidR="0046208E">
        <w:rPr>
          <w:sz w:val="20"/>
          <w:szCs w:val="20"/>
          <w:lang w:val="pl-PL"/>
        </w:rPr>
        <w:t xml:space="preserve">po amputacji </w:t>
      </w:r>
      <w:r w:rsidRPr="00F463B2">
        <w:rPr>
          <w:sz w:val="20"/>
          <w:szCs w:val="20"/>
          <w:lang w:val="pl-PL"/>
        </w:rPr>
        <w:t>powinien zawsze obejmować ścianę k</w:t>
      </w:r>
      <w:r w:rsidR="007D5A14">
        <w:rPr>
          <w:sz w:val="20"/>
          <w:szCs w:val="20"/>
          <w:lang w:val="pl-PL"/>
        </w:rPr>
        <w:t>latki piersiowej, a u chorych z </w:t>
      </w:r>
      <w:r w:rsidRPr="00F463B2">
        <w:rPr>
          <w:sz w:val="20"/>
          <w:szCs w:val="20"/>
          <w:lang w:val="pl-PL"/>
        </w:rPr>
        <w:t>przerzutami w pachowych węzłach chłonnych — także przyśrodkową część okolicy nadobojczykowej (I</w:t>
      </w:r>
      <w:r w:rsidR="00EA168B">
        <w:rPr>
          <w:sz w:val="20"/>
          <w:szCs w:val="20"/>
          <w:lang w:val="pl-PL"/>
        </w:rPr>
        <w:t>I</w:t>
      </w:r>
      <w:r w:rsidRPr="00F463B2">
        <w:rPr>
          <w:sz w:val="20"/>
          <w:szCs w:val="20"/>
          <w:lang w:val="pl-PL"/>
        </w:rPr>
        <w:t xml:space="preserve">, </w:t>
      </w:r>
      <w:r w:rsidR="00EA168B">
        <w:rPr>
          <w:sz w:val="20"/>
          <w:szCs w:val="20"/>
          <w:lang w:val="pl-PL"/>
        </w:rPr>
        <w:t>A</w:t>
      </w:r>
      <w:r w:rsidRPr="00F463B2">
        <w:rPr>
          <w:sz w:val="20"/>
          <w:szCs w:val="20"/>
          <w:lang w:val="pl-PL"/>
        </w:rPr>
        <w:t>)</w:t>
      </w:r>
      <w:r w:rsidR="001B3DFF">
        <w:rPr>
          <w:sz w:val="20"/>
          <w:szCs w:val="20"/>
          <w:lang w:val="pl-PL"/>
        </w:rPr>
        <w:t>.</w:t>
      </w:r>
      <w:r w:rsidR="001B3DFF" w:rsidRPr="001B3DFF">
        <w:rPr>
          <w:sz w:val="20"/>
          <w:szCs w:val="20"/>
          <w:lang w:val="pl-PL"/>
        </w:rPr>
        <w:t xml:space="preserve"> </w:t>
      </w:r>
    </w:p>
    <w:p w:rsidR="001B3DFF" w:rsidRPr="00F463B2" w:rsidRDefault="00B42F6C" w:rsidP="000E721D">
      <w:pPr>
        <w:numPr>
          <w:ilvl w:val="0"/>
          <w:numId w:val="37"/>
        </w:numPr>
        <w:spacing w:after="120" w:line="24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</w:t>
      </w:r>
      <w:r w:rsidRPr="00B42F6C">
        <w:rPr>
          <w:sz w:val="20"/>
          <w:szCs w:val="20"/>
          <w:lang w:val="pl-PL"/>
        </w:rPr>
        <w:t xml:space="preserve">rzeciwwskazane jest </w:t>
      </w:r>
      <w:r>
        <w:rPr>
          <w:sz w:val="20"/>
          <w:szCs w:val="20"/>
          <w:lang w:val="pl-PL"/>
        </w:rPr>
        <w:t>r</w:t>
      </w:r>
      <w:r w:rsidR="001B3DFF" w:rsidRPr="00B42F6C">
        <w:rPr>
          <w:sz w:val="20"/>
          <w:szCs w:val="20"/>
          <w:lang w:val="pl-PL"/>
        </w:rPr>
        <w:t>utynowe napromienianie dołu pachowego (II, B).</w:t>
      </w:r>
      <w:r w:rsidR="001B3DFF" w:rsidRPr="00F463B2">
        <w:rPr>
          <w:sz w:val="20"/>
          <w:szCs w:val="20"/>
          <w:lang w:val="pl-PL"/>
        </w:rPr>
        <w:t xml:space="preserve"> </w:t>
      </w:r>
    </w:p>
    <w:p w:rsidR="001B3DFF" w:rsidRDefault="001B3DFF" w:rsidP="000E721D">
      <w:pPr>
        <w:numPr>
          <w:ilvl w:val="0"/>
          <w:numId w:val="37"/>
        </w:numPr>
        <w:spacing w:after="120" w:line="24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lastRenderedPageBreak/>
        <w:t>Napromienianie węzłów zamostkowych można rozważyć</w:t>
      </w:r>
      <w:r w:rsidRPr="00640E2B">
        <w:rPr>
          <w:lang w:val="pl-PL"/>
        </w:rPr>
        <w:t xml:space="preserve"> </w:t>
      </w:r>
      <w:r w:rsidRPr="001B3DFF">
        <w:rPr>
          <w:sz w:val="20"/>
          <w:szCs w:val="20"/>
          <w:lang w:val="pl-PL"/>
        </w:rPr>
        <w:t xml:space="preserve">u chorych z przyśrodkowym lub centralnym umiejscowieniem guza i </w:t>
      </w:r>
      <w:r w:rsidR="00A16F12">
        <w:rPr>
          <w:sz w:val="20"/>
          <w:szCs w:val="20"/>
          <w:lang w:val="pl-PL"/>
        </w:rPr>
        <w:t xml:space="preserve">równoczesnym </w:t>
      </w:r>
      <w:r w:rsidRPr="001B3DFF">
        <w:rPr>
          <w:sz w:val="20"/>
          <w:szCs w:val="20"/>
          <w:lang w:val="pl-PL"/>
        </w:rPr>
        <w:t>zajęciem przerzutami pachowych węzłów chłonnych</w:t>
      </w:r>
      <w:r w:rsidR="00A16F12">
        <w:rPr>
          <w:sz w:val="20"/>
          <w:szCs w:val="20"/>
          <w:lang w:val="pl-PL"/>
        </w:rPr>
        <w:t xml:space="preserve"> (II, B)</w:t>
      </w:r>
      <w:r w:rsidRPr="001B3DFF">
        <w:rPr>
          <w:sz w:val="20"/>
          <w:szCs w:val="20"/>
          <w:lang w:val="pl-PL"/>
        </w:rPr>
        <w:t>.</w:t>
      </w:r>
    </w:p>
    <w:p w:rsidR="00834E54" w:rsidRPr="00F463B2" w:rsidRDefault="00834E54" w:rsidP="000E721D">
      <w:pPr>
        <w:numPr>
          <w:ilvl w:val="0"/>
          <w:numId w:val="37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 xml:space="preserve">W </w:t>
      </w:r>
      <w:r w:rsidR="006D07C1">
        <w:rPr>
          <w:sz w:val="20"/>
          <w:szCs w:val="20"/>
          <w:lang w:val="pl-PL"/>
        </w:rPr>
        <w:t>RT</w:t>
      </w:r>
      <w:r w:rsidRPr="00F463B2">
        <w:rPr>
          <w:sz w:val="20"/>
          <w:szCs w:val="20"/>
          <w:lang w:val="pl-PL"/>
        </w:rPr>
        <w:t xml:space="preserve"> po amputacji piersi stosuje się dawkę 50 Gy po 2 Gy dziennie lub 40 Gy w 15 frakcjach</w:t>
      </w:r>
      <w:r w:rsidR="003A7020">
        <w:rPr>
          <w:sz w:val="20"/>
          <w:szCs w:val="20"/>
          <w:lang w:val="pl-PL"/>
        </w:rPr>
        <w:t xml:space="preserve"> (II</w:t>
      </w:r>
      <w:r w:rsidR="00E057B8" w:rsidRPr="00F463B2">
        <w:rPr>
          <w:sz w:val="20"/>
          <w:szCs w:val="20"/>
          <w:lang w:val="pl-PL"/>
        </w:rPr>
        <w:t>, B).</w:t>
      </w:r>
    </w:p>
    <w:p w:rsidR="002C4D71" w:rsidRDefault="002C4D71" w:rsidP="000E721D">
      <w:pPr>
        <w:numPr>
          <w:ilvl w:val="0"/>
          <w:numId w:val="37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 xml:space="preserve">Wskazania do </w:t>
      </w:r>
      <w:r w:rsidR="006D07C1">
        <w:rPr>
          <w:sz w:val="20"/>
          <w:szCs w:val="20"/>
          <w:lang w:val="pl-PL"/>
        </w:rPr>
        <w:t>RT</w:t>
      </w:r>
      <w:r w:rsidRPr="00F463B2">
        <w:rPr>
          <w:sz w:val="20"/>
          <w:szCs w:val="20"/>
          <w:lang w:val="pl-PL"/>
        </w:rPr>
        <w:t xml:space="preserve"> okolic węzłowych u osób poddanych zabiegom osz</w:t>
      </w:r>
      <w:r w:rsidR="00F962C7">
        <w:rPr>
          <w:sz w:val="20"/>
          <w:szCs w:val="20"/>
          <w:lang w:val="pl-PL"/>
        </w:rPr>
        <w:t>czędzającym są takie same jak u </w:t>
      </w:r>
      <w:r w:rsidRPr="00F463B2">
        <w:rPr>
          <w:sz w:val="20"/>
          <w:szCs w:val="20"/>
          <w:lang w:val="pl-PL"/>
        </w:rPr>
        <w:t>chorych po amputacji piersi</w:t>
      </w:r>
      <w:r w:rsidR="009F446A" w:rsidRPr="00F463B2">
        <w:rPr>
          <w:sz w:val="20"/>
          <w:szCs w:val="20"/>
          <w:lang w:val="pl-PL"/>
        </w:rPr>
        <w:t xml:space="preserve"> (I, A)</w:t>
      </w:r>
      <w:r w:rsidR="0046208E">
        <w:rPr>
          <w:sz w:val="20"/>
          <w:szCs w:val="20"/>
          <w:lang w:val="pl-PL"/>
        </w:rPr>
        <w:t>.</w:t>
      </w:r>
    </w:p>
    <w:p w:rsidR="0046208E" w:rsidRPr="00863C2E" w:rsidRDefault="0046208E" w:rsidP="000E721D">
      <w:pPr>
        <w:numPr>
          <w:ilvl w:val="0"/>
          <w:numId w:val="38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083501">
        <w:rPr>
          <w:sz w:val="20"/>
          <w:szCs w:val="20"/>
          <w:lang w:val="pl-PL"/>
        </w:rPr>
        <w:t xml:space="preserve">W </w:t>
      </w:r>
      <w:r>
        <w:rPr>
          <w:sz w:val="20"/>
          <w:szCs w:val="20"/>
          <w:lang w:val="pl-PL"/>
        </w:rPr>
        <w:t>pooperacyjnej RT</w:t>
      </w:r>
      <w:r w:rsidRPr="00083501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zaleca</w:t>
      </w:r>
      <w:r w:rsidRPr="00C26429">
        <w:rPr>
          <w:sz w:val="20"/>
          <w:szCs w:val="20"/>
          <w:lang w:val="pl-PL"/>
        </w:rPr>
        <w:t xml:space="preserve"> się trójwymiarowe planowanie na podstawie obrazów KT</w:t>
      </w:r>
      <w:r w:rsidRPr="00B120A2">
        <w:rPr>
          <w:sz w:val="20"/>
          <w:szCs w:val="20"/>
          <w:lang w:val="pl-PL"/>
        </w:rPr>
        <w:t xml:space="preserve"> wykona</w:t>
      </w:r>
      <w:r w:rsidRPr="00863C2E">
        <w:rPr>
          <w:sz w:val="20"/>
          <w:szCs w:val="20"/>
          <w:lang w:val="pl-PL"/>
        </w:rPr>
        <w:t>nej w pozycji terapeutycznej</w:t>
      </w:r>
      <w:r>
        <w:rPr>
          <w:sz w:val="20"/>
          <w:szCs w:val="20"/>
          <w:lang w:val="pl-PL"/>
        </w:rPr>
        <w:t xml:space="preserve"> (II, B)</w:t>
      </w:r>
      <w:r w:rsidRPr="00863C2E">
        <w:rPr>
          <w:sz w:val="20"/>
          <w:szCs w:val="20"/>
          <w:lang w:val="pl-PL"/>
        </w:rPr>
        <w:t xml:space="preserve">. </w:t>
      </w:r>
    </w:p>
    <w:p w:rsidR="00DE6FBC" w:rsidRDefault="00405090" w:rsidP="000E721D">
      <w:pPr>
        <w:numPr>
          <w:ilvl w:val="0"/>
          <w:numId w:val="38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 xml:space="preserve">Uzupełniającą </w:t>
      </w:r>
      <w:r w:rsidR="006D07C1">
        <w:rPr>
          <w:sz w:val="20"/>
          <w:szCs w:val="20"/>
          <w:lang w:val="pl-PL"/>
        </w:rPr>
        <w:t>RT</w:t>
      </w:r>
      <w:r w:rsidRPr="00F463B2">
        <w:rPr>
          <w:sz w:val="20"/>
          <w:szCs w:val="20"/>
          <w:lang w:val="pl-PL"/>
        </w:rPr>
        <w:t xml:space="preserve"> należy przeprowadzić po zakończeniu uzupełniającej </w:t>
      </w:r>
      <w:r w:rsidR="006D07C1">
        <w:rPr>
          <w:sz w:val="20"/>
          <w:szCs w:val="20"/>
          <w:lang w:val="pl-PL"/>
        </w:rPr>
        <w:t>CHT</w:t>
      </w:r>
      <w:r w:rsidR="00DE6FBC">
        <w:rPr>
          <w:sz w:val="20"/>
          <w:szCs w:val="20"/>
          <w:lang w:val="pl-PL"/>
        </w:rPr>
        <w:t xml:space="preserve"> (II, B)</w:t>
      </w:r>
      <w:r w:rsidRPr="00F463B2">
        <w:rPr>
          <w:sz w:val="20"/>
          <w:szCs w:val="20"/>
          <w:lang w:val="pl-PL"/>
        </w:rPr>
        <w:t xml:space="preserve">. </w:t>
      </w:r>
    </w:p>
    <w:p w:rsidR="00405090" w:rsidRPr="00F463B2" w:rsidRDefault="005307F2" w:rsidP="000E721D">
      <w:pPr>
        <w:numPr>
          <w:ilvl w:val="0"/>
          <w:numId w:val="38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>Uzupełniającą</w:t>
      </w:r>
      <w:r w:rsidR="001B3DFF">
        <w:rPr>
          <w:sz w:val="20"/>
          <w:szCs w:val="20"/>
          <w:lang w:val="pl-PL"/>
        </w:rPr>
        <w:t xml:space="preserve"> RT można stosować równocześnie z uzupełniającą </w:t>
      </w:r>
      <w:r w:rsidR="006D07C1">
        <w:rPr>
          <w:sz w:val="20"/>
          <w:szCs w:val="20"/>
          <w:lang w:val="pl-PL"/>
        </w:rPr>
        <w:t>HT</w:t>
      </w:r>
      <w:r w:rsidRPr="00F463B2">
        <w:rPr>
          <w:sz w:val="20"/>
          <w:szCs w:val="20"/>
          <w:lang w:val="pl-PL"/>
        </w:rPr>
        <w:t xml:space="preserve"> i leczenie</w:t>
      </w:r>
      <w:r w:rsidR="001B3DFF">
        <w:rPr>
          <w:sz w:val="20"/>
          <w:szCs w:val="20"/>
          <w:lang w:val="pl-PL"/>
        </w:rPr>
        <w:t>m</w:t>
      </w:r>
      <w:r w:rsidR="003A7020">
        <w:rPr>
          <w:sz w:val="20"/>
          <w:szCs w:val="20"/>
          <w:lang w:val="pl-PL"/>
        </w:rPr>
        <w:t xml:space="preserve"> trastuzumabem</w:t>
      </w:r>
      <w:r w:rsidRPr="00F463B2">
        <w:rPr>
          <w:sz w:val="20"/>
          <w:szCs w:val="20"/>
          <w:lang w:val="pl-PL"/>
        </w:rPr>
        <w:t xml:space="preserve"> </w:t>
      </w:r>
      <w:r w:rsidR="00405090" w:rsidRPr="00F463B2">
        <w:rPr>
          <w:sz w:val="20"/>
          <w:szCs w:val="20"/>
          <w:lang w:val="pl-PL"/>
        </w:rPr>
        <w:t>(II, B)</w:t>
      </w:r>
      <w:r w:rsidR="0046208E">
        <w:rPr>
          <w:sz w:val="20"/>
          <w:szCs w:val="20"/>
          <w:lang w:val="pl-PL"/>
        </w:rPr>
        <w:t>.</w:t>
      </w:r>
      <w:r w:rsidR="00405090" w:rsidRPr="00F463B2">
        <w:rPr>
          <w:sz w:val="20"/>
          <w:szCs w:val="20"/>
          <w:lang w:val="pl-PL"/>
        </w:rPr>
        <w:t xml:space="preserve"> </w:t>
      </w:r>
    </w:p>
    <w:p w:rsidR="00694F01" w:rsidRDefault="006D07C1" w:rsidP="000E721D">
      <w:pPr>
        <w:numPr>
          <w:ilvl w:val="0"/>
          <w:numId w:val="38"/>
        </w:numPr>
        <w:spacing w:after="120" w:line="24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RT</w:t>
      </w:r>
      <w:r w:rsidR="005307F2" w:rsidRPr="00F463B2">
        <w:rPr>
          <w:sz w:val="20"/>
          <w:szCs w:val="20"/>
          <w:lang w:val="pl-PL"/>
        </w:rPr>
        <w:t xml:space="preserve"> jest bezwzględnie przeciwwskazana podczas ciąży</w:t>
      </w:r>
      <w:r w:rsidR="00A5563F" w:rsidRPr="00F463B2">
        <w:rPr>
          <w:sz w:val="20"/>
          <w:szCs w:val="20"/>
          <w:lang w:val="pl-PL"/>
        </w:rPr>
        <w:t xml:space="preserve"> (I</w:t>
      </w:r>
      <w:r w:rsidR="007C38D4">
        <w:rPr>
          <w:sz w:val="20"/>
          <w:szCs w:val="20"/>
          <w:lang w:val="pl-PL"/>
        </w:rPr>
        <w:t>V</w:t>
      </w:r>
      <w:r w:rsidR="00A5563F" w:rsidRPr="00F463B2">
        <w:rPr>
          <w:sz w:val="20"/>
          <w:szCs w:val="20"/>
          <w:lang w:val="pl-PL"/>
        </w:rPr>
        <w:t>, A)</w:t>
      </w:r>
      <w:r w:rsidR="005307F2" w:rsidRPr="00F463B2">
        <w:rPr>
          <w:sz w:val="20"/>
          <w:szCs w:val="20"/>
          <w:lang w:val="pl-PL"/>
        </w:rPr>
        <w:t>.</w:t>
      </w:r>
    </w:p>
    <w:p w:rsidR="00B309B6" w:rsidRPr="00F463B2" w:rsidRDefault="00B309B6" w:rsidP="00B309B6">
      <w:pPr>
        <w:spacing w:after="120" w:line="240" w:lineRule="auto"/>
        <w:ind w:left="567"/>
        <w:jc w:val="both"/>
        <w:rPr>
          <w:sz w:val="20"/>
          <w:szCs w:val="20"/>
          <w:lang w:val="pl-PL"/>
        </w:rPr>
      </w:pPr>
    </w:p>
    <w:p w:rsidR="006A3D31" w:rsidRPr="00F463B2" w:rsidRDefault="006A3D31" w:rsidP="006A3D31">
      <w:pPr>
        <w:pStyle w:val="Nagwek2"/>
        <w:spacing w:before="0" w:after="240" w:line="240" w:lineRule="auto"/>
        <w:rPr>
          <w:rFonts w:ascii="Arial" w:eastAsia="SimSun" w:hAnsi="Arial" w:cs="Arial"/>
          <w:i w:val="0"/>
          <w:color w:val="2E74B5"/>
          <w:sz w:val="24"/>
          <w:szCs w:val="24"/>
          <w:lang w:val="pl-PL" w:eastAsia="pl-PL"/>
        </w:rPr>
      </w:pPr>
      <w:bookmarkStart w:id="19" w:name="_Toc516233146"/>
      <w:r w:rsidRPr="00F463B2">
        <w:rPr>
          <w:rFonts w:ascii="Arial" w:hAnsi="Arial" w:cs="Arial"/>
          <w:i w:val="0"/>
          <w:color w:val="2E74B5"/>
          <w:sz w:val="24"/>
          <w:szCs w:val="24"/>
          <w:lang w:val="pl-PL" w:eastAsia="pl-PL"/>
        </w:rPr>
        <w:t>Okołooperacyjne leczenie systemowe</w:t>
      </w:r>
      <w:bookmarkEnd w:id="19"/>
    </w:p>
    <w:p w:rsidR="0014143B" w:rsidRPr="000F087F" w:rsidRDefault="0014143B" w:rsidP="000E721D">
      <w:pPr>
        <w:numPr>
          <w:ilvl w:val="0"/>
          <w:numId w:val="30"/>
        </w:numPr>
        <w:spacing w:before="240"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0F087F">
        <w:rPr>
          <w:bCs/>
          <w:sz w:val="20"/>
          <w:szCs w:val="20"/>
          <w:lang w:val="pl-PL"/>
        </w:rPr>
        <w:t>Leczenie systemowe w skojarzeniu z zabiegiem chirurgicznym można – w zależności od indywidualnej sytuacji klinicznej - stosować przed- lub po zabiegu operacyjnym (I, A).</w:t>
      </w:r>
    </w:p>
    <w:p w:rsidR="00B3634A" w:rsidRPr="000F087F" w:rsidRDefault="0014143B" w:rsidP="000E721D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0F087F">
        <w:rPr>
          <w:bCs/>
          <w:sz w:val="20"/>
          <w:szCs w:val="20"/>
          <w:lang w:val="pl-PL"/>
        </w:rPr>
        <w:t>Przed rozpoczęciem przedoperacyjnego leczenia systemowego konieczne jest uzyskanie pełnego rozpoznania histopatologicznego, oznaczenie ekspresji ER, PgR, HER2 i Ki67 oraz ocena zaawansowania nowotworu (IV, A).</w:t>
      </w:r>
    </w:p>
    <w:p w:rsidR="00B3634A" w:rsidRPr="000F087F" w:rsidRDefault="0017098D" w:rsidP="000E721D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sz w:val="20"/>
          <w:szCs w:val="20"/>
          <w:lang w:val="pl-PL" w:eastAsia="pl-PL"/>
        </w:rPr>
      </w:pPr>
      <w:r w:rsidRPr="000F087F">
        <w:rPr>
          <w:sz w:val="20"/>
          <w:szCs w:val="20"/>
          <w:lang w:val="pl-PL"/>
        </w:rPr>
        <w:t>P</w:t>
      </w:r>
      <w:r w:rsidR="00B3634A" w:rsidRPr="000F087F">
        <w:rPr>
          <w:sz w:val="20"/>
          <w:szCs w:val="20"/>
          <w:lang w:val="pl-PL"/>
        </w:rPr>
        <w:t>rzedoperacyjne</w:t>
      </w:r>
      <w:r w:rsidRPr="000F087F">
        <w:rPr>
          <w:sz w:val="20"/>
          <w:szCs w:val="20"/>
          <w:lang w:val="pl-PL"/>
        </w:rPr>
        <w:t xml:space="preserve"> leczenie</w:t>
      </w:r>
      <w:r w:rsidR="00B3634A" w:rsidRPr="000F087F">
        <w:rPr>
          <w:sz w:val="20"/>
          <w:szCs w:val="20"/>
          <w:lang w:val="pl-PL"/>
        </w:rPr>
        <w:t xml:space="preserve"> systemowe</w:t>
      </w:r>
      <w:r w:rsidR="00C549DB" w:rsidRPr="000F087F">
        <w:rPr>
          <w:sz w:val="20"/>
          <w:szCs w:val="20"/>
          <w:lang w:val="pl-PL"/>
        </w:rPr>
        <w:t xml:space="preserve"> </w:t>
      </w:r>
      <w:r w:rsidRPr="000F087F">
        <w:rPr>
          <w:sz w:val="20"/>
          <w:szCs w:val="20"/>
          <w:lang w:val="pl-PL"/>
        </w:rPr>
        <w:t xml:space="preserve">należy </w:t>
      </w:r>
      <w:r w:rsidR="002E41F2" w:rsidRPr="000F087F">
        <w:rPr>
          <w:sz w:val="20"/>
          <w:szCs w:val="20"/>
          <w:lang w:val="pl-PL"/>
        </w:rPr>
        <w:t xml:space="preserve">rutynowo </w:t>
      </w:r>
      <w:r w:rsidRPr="000F087F">
        <w:rPr>
          <w:sz w:val="20"/>
          <w:szCs w:val="20"/>
          <w:lang w:val="pl-PL"/>
        </w:rPr>
        <w:t>zastosować w stopniu</w:t>
      </w:r>
      <w:r w:rsidR="00C549DB" w:rsidRPr="000F087F">
        <w:rPr>
          <w:sz w:val="20"/>
          <w:szCs w:val="20"/>
          <w:lang w:val="pl-PL"/>
        </w:rPr>
        <w:t xml:space="preserve"> zaawansowania </w:t>
      </w:r>
      <w:r w:rsidR="00B3634A" w:rsidRPr="000F087F">
        <w:rPr>
          <w:sz w:val="20"/>
          <w:szCs w:val="20"/>
          <w:lang w:val="pl-PL"/>
        </w:rPr>
        <w:t>IIB i III</w:t>
      </w:r>
      <w:r w:rsidR="00F962C7">
        <w:rPr>
          <w:sz w:val="20"/>
          <w:szCs w:val="20"/>
          <w:lang w:val="pl-PL"/>
        </w:rPr>
        <w:t xml:space="preserve"> oraz </w:t>
      </w:r>
      <w:r w:rsidRPr="000F087F">
        <w:rPr>
          <w:sz w:val="20"/>
          <w:szCs w:val="20"/>
          <w:lang w:val="pl-PL"/>
        </w:rPr>
        <w:t xml:space="preserve">rozważyć </w:t>
      </w:r>
      <w:r w:rsidR="00C549DB" w:rsidRPr="000F087F">
        <w:rPr>
          <w:sz w:val="20"/>
          <w:szCs w:val="20"/>
          <w:lang w:val="pl-PL"/>
        </w:rPr>
        <w:t>w</w:t>
      </w:r>
      <w:r w:rsidR="00B3634A" w:rsidRPr="000F087F">
        <w:rPr>
          <w:sz w:val="20"/>
          <w:szCs w:val="20"/>
          <w:lang w:val="pl-PL"/>
        </w:rPr>
        <w:t xml:space="preserve"> </w:t>
      </w:r>
      <w:r w:rsidR="00C549DB" w:rsidRPr="000F087F">
        <w:rPr>
          <w:sz w:val="20"/>
          <w:szCs w:val="20"/>
          <w:lang w:val="pl-PL"/>
        </w:rPr>
        <w:t>II stopniu zaawansowania z cechą ≥T2 lub N1</w:t>
      </w:r>
      <w:r w:rsidR="00B3634A" w:rsidRPr="000F087F">
        <w:rPr>
          <w:sz w:val="20"/>
          <w:szCs w:val="20"/>
          <w:lang w:val="pl-PL"/>
        </w:rPr>
        <w:t xml:space="preserve">, </w:t>
      </w:r>
      <w:r w:rsidR="00C549DB" w:rsidRPr="000F087F">
        <w:rPr>
          <w:sz w:val="20"/>
          <w:szCs w:val="20"/>
          <w:lang w:val="pl-PL"/>
        </w:rPr>
        <w:t xml:space="preserve">zwłaszcza </w:t>
      </w:r>
      <w:r w:rsidR="00B3634A" w:rsidRPr="000F087F">
        <w:rPr>
          <w:sz w:val="20"/>
          <w:szCs w:val="20"/>
          <w:lang w:val="pl-PL"/>
        </w:rPr>
        <w:t>w pod</w:t>
      </w:r>
      <w:r w:rsidR="00F962C7">
        <w:rPr>
          <w:sz w:val="20"/>
          <w:szCs w:val="20"/>
          <w:lang w:val="pl-PL"/>
        </w:rPr>
        <w:t>typach potrójnie ujemnym oraz z </w:t>
      </w:r>
      <w:r w:rsidR="00B3634A" w:rsidRPr="000F087F">
        <w:rPr>
          <w:sz w:val="20"/>
          <w:szCs w:val="20"/>
          <w:lang w:val="pl-PL"/>
        </w:rPr>
        <w:t>cechą HER2+, a także w sytuacjach, kiedy stwarza ono możliwość ogr</w:t>
      </w:r>
      <w:r w:rsidR="00F962C7">
        <w:rPr>
          <w:sz w:val="20"/>
          <w:szCs w:val="20"/>
          <w:lang w:val="pl-PL"/>
        </w:rPr>
        <w:t>aniczenia zasięgu chirurgii czy </w:t>
      </w:r>
      <w:r w:rsidR="00B3634A" w:rsidRPr="000F087F">
        <w:rPr>
          <w:sz w:val="20"/>
          <w:szCs w:val="20"/>
          <w:lang w:val="pl-PL"/>
        </w:rPr>
        <w:t>RT</w:t>
      </w:r>
      <w:r w:rsidR="00B3634A" w:rsidRPr="000F087F">
        <w:rPr>
          <w:sz w:val="20"/>
          <w:szCs w:val="20"/>
          <w:vertAlign w:val="superscript"/>
          <w:lang w:val="pl-PL"/>
        </w:rPr>
        <w:t xml:space="preserve"> </w:t>
      </w:r>
      <w:r w:rsidR="00B3634A" w:rsidRPr="000F087F">
        <w:rPr>
          <w:sz w:val="20"/>
          <w:szCs w:val="20"/>
          <w:lang w:val="pl-PL"/>
        </w:rPr>
        <w:t>(II, B).</w:t>
      </w:r>
    </w:p>
    <w:p w:rsidR="00B3634A" w:rsidRPr="000F087F" w:rsidRDefault="00B3634A" w:rsidP="000E721D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0F087F">
        <w:rPr>
          <w:bCs/>
          <w:sz w:val="20"/>
          <w:szCs w:val="20"/>
          <w:lang w:val="pl-PL"/>
        </w:rPr>
        <w:t xml:space="preserve">Uzupełniające (pooperacyjne) leczenie systemowe należy rozpocząć w ciągu 2–4 tygodni od zabiegu </w:t>
      </w:r>
      <w:r w:rsidR="0014143B" w:rsidRPr="000F087F">
        <w:rPr>
          <w:bCs/>
          <w:sz w:val="20"/>
          <w:szCs w:val="20"/>
          <w:lang w:val="pl-PL"/>
        </w:rPr>
        <w:t>o</w:t>
      </w:r>
      <w:r w:rsidRPr="000F087F">
        <w:rPr>
          <w:bCs/>
          <w:sz w:val="20"/>
          <w:szCs w:val="20"/>
          <w:lang w:val="pl-PL"/>
        </w:rPr>
        <w:t xml:space="preserve">peracyjnego (szczególnie w </w:t>
      </w:r>
      <w:r w:rsidR="003A7020">
        <w:rPr>
          <w:bCs/>
          <w:sz w:val="20"/>
          <w:szCs w:val="20"/>
          <w:lang w:val="pl-PL"/>
        </w:rPr>
        <w:t>przypadku raka trójujemnego) (III</w:t>
      </w:r>
      <w:r w:rsidRPr="000F087F">
        <w:rPr>
          <w:bCs/>
          <w:sz w:val="20"/>
          <w:szCs w:val="20"/>
          <w:lang w:val="pl-PL"/>
        </w:rPr>
        <w:t>, C).</w:t>
      </w:r>
    </w:p>
    <w:p w:rsidR="00B3634A" w:rsidRPr="000F087F" w:rsidRDefault="00B3634A" w:rsidP="000E721D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0F087F">
        <w:rPr>
          <w:bCs/>
          <w:sz w:val="20"/>
          <w:szCs w:val="20"/>
          <w:lang w:val="pl-PL"/>
        </w:rPr>
        <w:t>Rodzaj okołooperacyjnego leczenia systemowego zależy od biologicznego podtypu raka (I, A).</w:t>
      </w:r>
    </w:p>
    <w:p w:rsidR="00B3634A" w:rsidRPr="000F087F" w:rsidRDefault="00B3634A" w:rsidP="000E721D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0F087F">
        <w:rPr>
          <w:bCs/>
          <w:sz w:val="20"/>
          <w:szCs w:val="20"/>
          <w:lang w:val="pl-PL"/>
        </w:rPr>
        <w:t>W rakach o fenotypie ER+/HER2- uzupełniającym leczeniem z wyboru jest HT</w:t>
      </w:r>
      <w:r w:rsidR="00E108B1" w:rsidRPr="000F087F">
        <w:rPr>
          <w:bCs/>
          <w:sz w:val="20"/>
          <w:szCs w:val="20"/>
          <w:lang w:val="pl-PL"/>
        </w:rPr>
        <w:t xml:space="preserve"> (I, A)</w:t>
      </w:r>
      <w:r w:rsidR="00F962C7">
        <w:rPr>
          <w:bCs/>
          <w:sz w:val="20"/>
          <w:szCs w:val="20"/>
          <w:lang w:val="pl-PL"/>
        </w:rPr>
        <w:t>, a wskazania do </w:t>
      </w:r>
      <w:r w:rsidRPr="000F087F">
        <w:rPr>
          <w:bCs/>
          <w:sz w:val="20"/>
          <w:szCs w:val="20"/>
          <w:lang w:val="pl-PL"/>
        </w:rPr>
        <w:t>zastosowania dodatkowo CHT określa się na podstawie indywidualnego ryzyka nawrotu oraz preferencji chorych (I</w:t>
      </w:r>
      <w:r w:rsidR="00E108B1" w:rsidRPr="000F087F">
        <w:rPr>
          <w:bCs/>
          <w:sz w:val="20"/>
          <w:szCs w:val="20"/>
          <w:lang w:val="pl-PL"/>
        </w:rPr>
        <w:t>I</w:t>
      </w:r>
      <w:r w:rsidRPr="000F087F">
        <w:rPr>
          <w:bCs/>
          <w:sz w:val="20"/>
          <w:szCs w:val="20"/>
          <w:lang w:val="pl-PL"/>
        </w:rPr>
        <w:t xml:space="preserve">, </w:t>
      </w:r>
      <w:r w:rsidR="00E108B1" w:rsidRPr="000F087F">
        <w:rPr>
          <w:bCs/>
          <w:sz w:val="20"/>
          <w:szCs w:val="20"/>
          <w:lang w:val="pl-PL"/>
        </w:rPr>
        <w:t>B).</w:t>
      </w:r>
    </w:p>
    <w:p w:rsidR="00B3634A" w:rsidRPr="000F087F" w:rsidRDefault="00B3634A" w:rsidP="000E721D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0F087F">
        <w:rPr>
          <w:bCs/>
          <w:sz w:val="20"/>
          <w:szCs w:val="20"/>
          <w:lang w:val="pl-PL"/>
        </w:rPr>
        <w:t>W rakach HER2-dodatnich u większości chorych należy zastosować CHT w skojarzeniu z leczeniem anty-HER2 (I, A).</w:t>
      </w:r>
    </w:p>
    <w:p w:rsidR="00B3634A" w:rsidRPr="000F087F" w:rsidRDefault="00B3634A" w:rsidP="000E721D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0F087F">
        <w:rPr>
          <w:bCs/>
          <w:sz w:val="20"/>
          <w:szCs w:val="20"/>
          <w:lang w:val="pl-PL"/>
        </w:rPr>
        <w:t>W rakach potrójnie ujemnych u większości chorych należy zastosować CHT (I, A).</w:t>
      </w:r>
    </w:p>
    <w:p w:rsidR="00B3634A" w:rsidRPr="000F087F" w:rsidRDefault="00B3634A" w:rsidP="000E721D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0F087F">
        <w:rPr>
          <w:bCs/>
          <w:sz w:val="20"/>
          <w:szCs w:val="20"/>
          <w:lang w:val="pl-PL"/>
        </w:rPr>
        <w:t>Nie należy stosować równocześnie uzupełniającej HT i CHT (I, A)</w:t>
      </w:r>
      <w:r w:rsidR="007A0CD0">
        <w:rPr>
          <w:bCs/>
          <w:sz w:val="20"/>
          <w:szCs w:val="20"/>
          <w:lang w:val="pl-PL"/>
        </w:rPr>
        <w:t>.</w:t>
      </w:r>
    </w:p>
    <w:p w:rsidR="007625DF" w:rsidRDefault="007625DF" w:rsidP="00640E2B">
      <w:pPr>
        <w:widowControl/>
        <w:spacing w:after="120" w:line="240" w:lineRule="auto"/>
        <w:ind w:left="720" w:right="1047"/>
        <w:rPr>
          <w:rFonts w:eastAsia="SimSun" w:cs="Times New Roman"/>
          <w:b/>
          <w:sz w:val="19"/>
          <w:szCs w:val="19"/>
          <w:lang w:val="pl-PL" w:eastAsia="pl-PL"/>
        </w:rPr>
      </w:pPr>
    </w:p>
    <w:p w:rsidR="006A3D31" w:rsidRPr="00817EFD" w:rsidRDefault="006A3D31" w:rsidP="006A3D31">
      <w:pPr>
        <w:pStyle w:val="Nagwek3"/>
        <w:spacing w:before="0" w:after="120" w:line="240" w:lineRule="auto"/>
        <w:rPr>
          <w:rFonts w:ascii="Arial" w:eastAsia="SimSun" w:hAnsi="Arial" w:cs="Arial"/>
          <w:color w:val="2E74B5"/>
          <w:sz w:val="20"/>
          <w:szCs w:val="20"/>
          <w:lang w:val="pl-PL" w:eastAsia="pl-PL"/>
        </w:rPr>
      </w:pPr>
      <w:bookmarkStart w:id="20" w:name="_Toc516233149"/>
      <w:r w:rsidRPr="00817EFD">
        <w:rPr>
          <w:rFonts w:ascii="Arial" w:eastAsia="SimSun" w:hAnsi="Arial" w:cs="Arial"/>
          <w:color w:val="2E74B5"/>
          <w:sz w:val="20"/>
          <w:szCs w:val="20"/>
          <w:lang w:val="pl-PL" w:eastAsia="pl-PL"/>
        </w:rPr>
        <w:t>Hormonoterapia (</w:t>
      </w:r>
      <w:r w:rsidR="006D07C1">
        <w:rPr>
          <w:rFonts w:ascii="Arial" w:eastAsia="SimSun" w:hAnsi="Arial" w:cs="Arial"/>
          <w:color w:val="2E74B5"/>
          <w:sz w:val="20"/>
          <w:szCs w:val="20"/>
          <w:lang w:val="pl-PL" w:eastAsia="pl-PL"/>
        </w:rPr>
        <w:t>HT</w:t>
      </w:r>
      <w:r w:rsidRPr="00817EFD">
        <w:rPr>
          <w:rFonts w:ascii="Arial" w:eastAsia="SimSun" w:hAnsi="Arial" w:cs="Arial"/>
          <w:color w:val="2E74B5"/>
          <w:sz w:val="20"/>
          <w:szCs w:val="20"/>
          <w:lang w:val="pl-PL" w:eastAsia="pl-PL"/>
        </w:rPr>
        <w:t>)</w:t>
      </w:r>
      <w:bookmarkEnd w:id="20"/>
    </w:p>
    <w:p w:rsidR="006A3D31" w:rsidRPr="00BA7887" w:rsidRDefault="006D07C1" w:rsidP="00F962C7">
      <w:pPr>
        <w:pStyle w:val="Nagwek3"/>
        <w:ind w:firstLine="142"/>
        <w:rPr>
          <w:rFonts w:ascii="Arial" w:eastAsia="SimSun" w:hAnsi="Arial" w:cs="Arial"/>
          <w:color w:val="2E74B5"/>
          <w:sz w:val="20"/>
          <w:szCs w:val="20"/>
          <w:lang w:val="pl-PL" w:eastAsia="pl-PL"/>
        </w:rPr>
      </w:pPr>
      <w:bookmarkStart w:id="21" w:name="_Toc516233150"/>
      <w:r w:rsidRPr="00BA7887">
        <w:rPr>
          <w:rFonts w:ascii="Arial" w:eastAsia="SimSun" w:hAnsi="Arial" w:cs="Arial"/>
          <w:color w:val="2E74B5"/>
          <w:sz w:val="20"/>
          <w:szCs w:val="20"/>
          <w:lang w:val="pl-PL" w:eastAsia="pl-PL"/>
        </w:rPr>
        <w:t>HT</w:t>
      </w:r>
      <w:r w:rsidR="006A3D31" w:rsidRPr="00BA7887">
        <w:rPr>
          <w:rFonts w:ascii="Arial" w:eastAsia="SimSun" w:hAnsi="Arial" w:cs="Arial"/>
          <w:color w:val="2E74B5"/>
          <w:sz w:val="20"/>
          <w:szCs w:val="20"/>
          <w:lang w:val="pl-PL" w:eastAsia="pl-PL"/>
        </w:rPr>
        <w:t xml:space="preserve"> przed menopauzą</w:t>
      </w:r>
      <w:bookmarkEnd w:id="21"/>
      <w:r w:rsidR="006A3D31" w:rsidRPr="00BA7887">
        <w:rPr>
          <w:rFonts w:ascii="Arial" w:eastAsia="SimSun" w:hAnsi="Arial" w:cs="Arial"/>
          <w:color w:val="2E74B5"/>
          <w:sz w:val="20"/>
          <w:szCs w:val="20"/>
          <w:lang w:val="pl-PL" w:eastAsia="pl-PL"/>
        </w:rPr>
        <w:t xml:space="preserve"> </w:t>
      </w:r>
    </w:p>
    <w:p w:rsidR="00C911EA" w:rsidRPr="00640E2B" w:rsidRDefault="00E349CA" w:rsidP="000E721D">
      <w:pPr>
        <w:widowControl/>
        <w:numPr>
          <w:ilvl w:val="0"/>
          <w:numId w:val="39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F463B2">
        <w:rPr>
          <w:sz w:val="20"/>
          <w:szCs w:val="20"/>
          <w:lang w:val="pl-PL"/>
        </w:rPr>
        <w:t>Podstawowym lekiem hormonalnym u chorych przed menopauzą jest tamoksyfen w dawce 20 mg/d, stosowany przez 5-10 lat (I, A)</w:t>
      </w:r>
      <w:r w:rsidR="00737AE6" w:rsidRPr="00F463B2">
        <w:rPr>
          <w:sz w:val="20"/>
          <w:szCs w:val="20"/>
          <w:lang w:val="pl-PL"/>
        </w:rPr>
        <w:t>.</w:t>
      </w:r>
      <w:r w:rsidR="00737AE6" w:rsidRPr="00F463B2">
        <w:rPr>
          <w:rFonts w:eastAsia="SimSun" w:cs="Times New Roman"/>
          <w:sz w:val="20"/>
          <w:szCs w:val="20"/>
          <w:lang w:val="pl-PL" w:eastAsia="pl-PL"/>
        </w:rPr>
        <w:t xml:space="preserve"> </w:t>
      </w:r>
    </w:p>
    <w:p w:rsidR="00B466AE" w:rsidRPr="00B466AE" w:rsidRDefault="00D86A43" w:rsidP="000E721D">
      <w:pPr>
        <w:widowControl/>
        <w:numPr>
          <w:ilvl w:val="0"/>
          <w:numId w:val="39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F463B2">
        <w:rPr>
          <w:rFonts w:eastAsia="SimSun" w:cs="Times New Roman"/>
          <w:sz w:val="20"/>
          <w:szCs w:val="20"/>
          <w:lang w:val="pl-PL" w:eastAsia="pl-PL"/>
        </w:rPr>
        <w:t xml:space="preserve">U chorych, u których doszło do </w:t>
      </w:r>
      <w:r w:rsidR="00C911EA" w:rsidRPr="00F463B2">
        <w:rPr>
          <w:rFonts w:eastAsia="SimSun" w:cs="Times New Roman"/>
          <w:sz w:val="20"/>
          <w:szCs w:val="20"/>
          <w:lang w:val="pl-PL" w:eastAsia="pl-PL"/>
        </w:rPr>
        <w:t xml:space="preserve">wystąpienia </w:t>
      </w:r>
      <w:r w:rsidR="00C911EA">
        <w:rPr>
          <w:rFonts w:eastAsia="SimSun" w:cs="Times New Roman"/>
          <w:sz w:val="20"/>
          <w:szCs w:val="20"/>
          <w:lang w:val="pl-PL" w:eastAsia="pl-PL"/>
        </w:rPr>
        <w:t xml:space="preserve">potwierdzonej biochemicznie </w:t>
      </w:r>
      <w:r w:rsidRPr="00F463B2">
        <w:rPr>
          <w:rFonts w:eastAsia="SimSun" w:cs="Times New Roman"/>
          <w:sz w:val="20"/>
          <w:szCs w:val="20"/>
          <w:lang w:val="pl-PL" w:eastAsia="pl-PL"/>
        </w:rPr>
        <w:t xml:space="preserve">menopauzy w trakcie leczenia tamoksyfenem, można zastosować leczenie </w:t>
      </w:r>
      <w:r w:rsidR="00C911EA">
        <w:rPr>
          <w:rFonts w:eastAsia="SimSun" w:cs="Times New Roman"/>
          <w:sz w:val="20"/>
          <w:szCs w:val="20"/>
          <w:lang w:val="pl-PL" w:eastAsia="pl-PL"/>
        </w:rPr>
        <w:t>IA</w:t>
      </w:r>
      <w:r w:rsidRPr="00F463B2">
        <w:rPr>
          <w:rFonts w:eastAsia="SimSun" w:cs="Times New Roman"/>
          <w:sz w:val="20"/>
          <w:szCs w:val="20"/>
          <w:lang w:val="pl-PL" w:eastAsia="pl-PL"/>
        </w:rPr>
        <w:t xml:space="preserve"> (I, B). </w:t>
      </w:r>
    </w:p>
    <w:p w:rsidR="00694F01" w:rsidRPr="00F463B2" w:rsidRDefault="00737AE6" w:rsidP="000E721D">
      <w:pPr>
        <w:widowControl/>
        <w:numPr>
          <w:ilvl w:val="0"/>
          <w:numId w:val="39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F463B2">
        <w:rPr>
          <w:rFonts w:eastAsia="SimSun" w:cs="Times New Roman"/>
          <w:sz w:val="20"/>
          <w:szCs w:val="20"/>
          <w:lang w:val="pl-PL" w:eastAsia="pl-PL"/>
        </w:rPr>
        <w:t xml:space="preserve">Przedłużenie </w:t>
      </w:r>
      <w:r w:rsidR="007A0CD0">
        <w:rPr>
          <w:rFonts w:eastAsia="SimSun" w:cs="Times New Roman"/>
          <w:sz w:val="20"/>
          <w:szCs w:val="20"/>
          <w:lang w:val="pl-PL" w:eastAsia="pl-PL"/>
        </w:rPr>
        <w:t xml:space="preserve">stosowania </w:t>
      </w:r>
      <w:r w:rsidR="006D07C1">
        <w:rPr>
          <w:rFonts w:eastAsia="SimSun" w:cs="Times New Roman"/>
          <w:sz w:val="20"/>
          <w:szCs w:val="20"/>
          <w:lang w:val="pl-PL" w:eastAsia="pl-PL"/>
        </w:rPr>
        <w:t>HT</w:t>
      </w:r>
      <w:r w:rsidRPr="00F463B2">
        <w:rPr>
          <w:rFonts w:eastAsia="SimSun" w:cs="Times New Roman"/>
          <w:sz w:val="20"/>
          <w:szCs w:val="20"/>
          <w:lang w:val="pl-PL" w:eastAsia="pl-PL"/>
        </w:rPr>
        <w:t xml:space="preserve"> </w:t>
      </w:r>
      <w:r w:rsidR="007A0CD0">
        <w:rPr>
          <w:rFonts w:eastAsia="SimSun" w:cs="Times New Roman"/>
          <w:sz w:val="20"/>
          <w:szCs w:val="20"/>
          <w:lang w:val="pl-PL" w:eastAsia="pl-PL"/>
        </w:rPr>
        <w:t xml:space="preserve">&gt;5 lat </w:t>
      </w:r>
      <w:r w:rsidR="00B466AE">
        <w:rPr>
          <w:rFonts w:eastAsia="SimSun" w:cs="Times New Roman"/>
          <w:sz w:val="20"/>
          <w:szCs w:val="20"/>
          <w:lang w:val="pl-PL" w:eastAsia="pl-PL"/>
        </w:rPr>
        <w:t>można rozważyć</w:t>
      </w:r>
      <w:r w:rsidRPr="00F463B2">
        <w:rPr>
          <w:rFonts w:eastAsia="SimSun" w:cs="Times New Roman"/>
          <w:sz w:val="20"/>
          <w:szCs w:val="20"/>
          <w:lang w:val="pl-PL" w:eastAsia="pl-PL"/>
        </w:rPr>
        <w:t xml:space="preserve"> u chorych z </w:t>
      </w:r>
      <w:r w:rsidR="00B466AE">
        <w:rPr>
          <w:rFonts w:eastAsia="SimSun" w:cs="Times New Roman"/>
          <w:sz w:val="20"/>
          <w:szCs w:val="20"/>
          <w:lang w:val="pl-PL" w:eastAsia="pl-PL"/>
        </w:rPr>
        <w:t xml:space="preserve">przerzutami </w:t>
      </w:r>
      <w:r w:rsidR="006C739D">
        <w:rPr>
          <w:rFonts w:eastAsia="SimSun" w:cs="Times New Roman"/>
          <w:sz w:val="20"/>
          <w:szCs w:val="20"/>
          <w:lang w:val="pl-PL" w:eastAsia="pl-PL"/>
        </w:rPr>
        <w:t>w węzłach</w:t>
      </w:r>
      <w:r w:rsidR="00B466AE">
        <w:rPr>
          <w:rFonts w:eastAsia="SimSun" w:cs="Times New Roman"/>
          <w:sz w:val="20"/>
          <w:szCs w:val="20"/>
          <w:lang w:val="pl-PL" w:eastAsia="pl-PL"/>
        </w:rPr>
        <w:t xml:space="preserve"> chłonnych</w:t>
      </w:r>
      <w:r w:rsidRPr="00F463B2">
        <w:rPr>
          <w:rFonts w:eastAsia="SimSun" w:cs="Times New Roman"/>
          <w:sz w:val="20"/>
          <w:szCs w:val="20"/>
          <w:lang w:val="pl-PL" w:eastAsia="pl-PL"/>
        </w:rPr>
        <w:t xml:space="preserve"> (I</w:t>
      </w:r>
      <w:r w:rsidR="00B466AE">
        <w:rPr>
          <w:rFonts w:eastAsia="SimSun" w:cs="Times New Roman"/>
          <w:sz w:val="20"/>
          <w:szCs w:val="20"/>
          <w:lang w:val="pl-PL" w:eastAsia="pl-PL"/>
        </w:rPr>
        <w:t>I</w:t>
      </w:r>
      <w:r w:rsidRPr="00F463B2">
        <w:rPr>
          <w:rFonts w:eastAsia="SimSun" w:cs="Times New Roman"/>
          <w:sz w:val="20"/>
          <w:szCs w:val="20"/>
          <w:lang w:val="pl-PL" w:eastAsia="pl-PL"/>
        </w:rPr>
        <w:t>, B)</w:t>
      </w:r>
      <w:r w:rsidR="00811B4E">
        <w:rPr>
          <w:rFonts w:eastAsia="SimSun" w:cs="Times New Roman"/>
          <w:sz w:val="20"/>
          <w:szCs w:val="20"/>
          <w:lang w:val="pl-PL" w:eastAsia="pl-PL"/>
        </w:rPr>
        <w:t>.</w:t>
      </w:r>
    </w:p>
    <w:p w:rsidR="00C911EA" w:rsidRDefault="000315A4" w:rsidP="000E721D">
      <w:pPr>
        <w:widowControl/>
        <w:numPr>
          <w:ilvl w:val="0"/>
          <w:numId w:val="39"/>
        </w:numPr>
        <w:spacing w:after="120" w:line="240" w:lineRule="auto"/>
        <w:jc w:val="both"/>
        <w:rPr>
          <w:rFonts w:eastAsia="SimSun" w:cs="Times New Roman"/>
          <w:sz w:val="20"/>
          <w:szCs w:val="20"/>
          <w:lang w:val="pl-PL" w:eastAsia="pl-PL"/>
        </w:rPr>
      </w:pPr>
      <w:r w:rsidRPr="00F463B2">
        <w:rPr>
          <w:rFonts w:eastAsia="SimSun" w:cs="Times New Roman"/>
          <w:sz w:val="20"/>
          <w:szCs w:val="20"/>
          <w:lang w:val="pl-PL" w:eastAsia="pl-PL"/>
        </w:rPr>
        <w:t xml:space="preserve">U chorych przed menopauzą nie </w:t>
      </w:r>
      <w:r w:rsidR="00C911EA">
        <w:rPr>
          <w:rFonts w:eastAsia="SimSun" w:cs="Times New Roman"/>
          <w:sz w:val="20"/>
          <w:szCs w:val="20"/>
          <w:lang w:val="pl-PL" w:eastAsia="pl-PL"/>
        </w:rPr>
        <w:t>należy stosować</w:t>
      </w:r>
      <w:r w:rsidRPr="00F463B2">
        <w:rPr>
          <w:rFonts w:eastAsia="SimSun" w:cs="Times New Roman"/>
          <w:sz w:val="20"/>
          <w:szCs w:val="20"/>
          <w:lang w:val="pl-PL" w:eastAsia="pl-PL"/>
        </w:rPr>
        <w:t xml:space="preserve"> IA bez równoczesnej supresji jajników (</w:t>
      </w:r>
      <w:r w:rsidR="005838E7">
        <w:rPr>
          <w:rFonts w:eastAsia="SimSun" w:cs="Times New Roman"/>
          <w:sz w:val="20"/>
          <w:szCs w:val="20"/>
          <w:lang w:val="pl-PL" w:eastAsia="pl-PL"/>
        </w:rPr>
        <w:t>I</w:t>
      </w:r>
      <w:r w:rsidR="006C739D">
        <w:rPr>
          <w:rFonts w:eastAsia="SimSun" w:cs="Times New Roman"/>
          <w:sz w:val="20"/>
          <w:szCs w:val="20"/>
          <w:lang w:val="pl-PL" w:eastAsia="pl-PL"/>
        </w:rPr>
        <w:t>I</w:t>
      </w:r>
      <w:r w:rsidR="005838E7">
        <w:rPr>
          <w:rFonts w:eastAsia="SimSun" w:cs="Times New Roman"/>
          <w:sz w:val="20"/>
          <w:szCs w:val="20"/>
          <w:lang w:val="pl-PL" w:eastAsia="pl-PL"/>
        </w:rPr>
        <w:t>I</w:t>
      </w:r>
      <w:r w:rsidRPr="00F463B2">
        <w:rPr>
          <w:rFonts w:eastAsia="SimSun" w:cs="Times New Roman"/>
          <w:sz w:val="20"/>
          <w:szCs w:val="20"/>
          <w:lang w:val="pl-PL" w:eastAsia="pl-PL"/>
        </w:rPr>
        <w:t xml:space="preserve">, A). </w:t>
      </w:r>
    </w:p>
    <w:p w:rsidR="000315A4" w:rsidRPr="00F463B2" w:rsidRDefault="00553A9D" w:rsidP="000E721D">
      <w:pPr>
        <w:widowControl/>
        <w:numPr>
          <w:ilvl w:val="0"/>
          <w:numId w:val="39"/>
        </w:numPr>
        <w:spacing w:after="120" w:line="240" w:lineRule="auto"/>
        <w:jc w:val="both"/>
        <w:rPr>
          <w:rFonts w:eastAsia="SimSun" w:cs="Times New Roman"/>
          <w:sz w:val="20"/>
          <w:szCs w:val="20"/>
          <w:lang w:val="pl-PL" w:eastAsia="pl-PL"/>
        </w:rPr>
      </w:pPr>
      <w:r>
        <w:rPr>
          <w:rFonts w:eastAsia="SimSun" w:cs="Times New Roman"/>
          <w:sz w:val="20"/>
          <w:szCs w:val="20"/>
          <w:lang w:val="pl-PL" w:eastAsia="pl-PL"/>
        </w:rPr>
        <w:t>U</w:t>
      </w:r>
      <w:r w:rsidR="000315A4" w:rsidRPr="00F463B2">
        <w:rPr>
          <w:rFonts w:eastAsia="SimSun" w:cs="Times New Roman"/>
          <w:sz w:val="20"/>
          <w:szCs w:val="20"/>
          <w:lang w:val="pl-PL" w:eastAsia="pl-PL"/>
        </w:rPr>
        <w:t xml:space="preserve"> chorych z menopauzą </w:t>
      </w:r>
      <w:r>
        <w:rPr>
          <w:rFonts w:eastAsia="SimSun" w:cs="Times New Roman"/>
          <w:sz w:val="20"/>
          <w:szCs w:val="20"/>
          <w:lang w:val="pl-PL" w:eastAsia="pl-PL"/>
        </w:rPr>
        <w:t>wywołaną</w:t>
      </w:r>
      <w:r w:rsidR="000315A4" w:rsidRPr="00F463B2">
        <w:rPr>
          <w:rFonts w:eastAsia="SimSun" w:cs="Times New Roman"/>
          <w:sz w:val="20"/>
          <w:szCs w:val="20"/>
          <w:lang w:val="pl-PL" w:eastAsia="pl-PL"/>
        </w:rPr>
        <w:t xml:space="preserve"> leczeniem systemowym</w:t>
      </w:r>
      <w:r>
        <w:rPr>
          <w:rFonts w:eastAsia="SimSun" w:cs="Times New Roman"/>
          <w:sz w:val="20"/>
          <w:szCs w:val="20"/>
          <w:lang w:val="pl-PL" w:eastAsia="pl-PL"/>
        </w:rPr>
        <w:t xml:space="preserve"> podczas stosowania IA należy</w:t>
      </w:r>
      <w:r w:rsidR="000315A4" w:rsidRPr="00F463B2">
        <w:rPr>
          <w:rFonts w:eastAsia="SimSun" w:cs="Times New Roman"/>
          <w:sz w:val="20"/>
          <w:szCs w:val="20"/>
          <w:lang w:val="pl-PL" w:eastAsia="pl-PL"/>
        </w:rPr>
        <w:t xml:space="preserve"> regularn</w:t>
      </w:r>
      <w:r>
        <w:rPr>
          <w:rFonts w:eastAsia="SimSun" w:cs="Times New Roman"/>
          <w:sz w:val="20"/>
          <w:szCs w:val="20"/>
          <w:lang w:val="pl-PL" w:eastAsia="pl-PL"/>
        </w:rPr>
        <w:t>i</w:t>
      </w:r>
      <w:r w:rsidR="000315A4" w:rsidRPr="00F463B2">
        <w:rPr>
          <w:rFonts w:eastAsia="SimSun" w:cs="Times New Roman"/>
          <w:sz w:val="20"/>
          <w:szCs w:val="20"/>
          <w:lang w:val="pl-PL" w:eastAsia="pl-PL"/>
        </w:rPr>
        <w:t>e monitorowa</w:t>
      </w:r>
      <w:r>
        <w:rPr>
          <w:rFonts w:eastAsia="SimSun" w:cs="Times New Roman"/>
          <w:sz w:val="20"/>
          <w:szCs w:val="20"/>
          <w:lang w:val="pl-PL" w:eastAsia="pl-PL"/>
        </w:rPr>
        <w:t>ć</w:t>
      </w:r>
      <w:r w:rsidR="000315A4" w:rsidRPr="00F463B2">
        <w:rPr>
          <w:rFonts w:eastAsia="SimSun" w:cs="Times New Roman"/>
          <w:sz w:val="20"/>
          <w:szCs w:val="20"/>
          <w:lang w:val="pl-PL" w:eastAsia="pl-PL"/>
        </w:rPr>
        <w:t xml:space="preserve"> stężeni</w:t>
      </w:r>
      <w:r>
        <w:rPr>
          <w:rFonts w:eastAsia="SimSun" w:cs="Times New Roman"/>
          <w:sz w:val="20"/>
          <w:szCs w:val="20"/>
          <w:lang w:val="pl-PL" w:eastAsia="pl-PL"/>
        </w:rPr>
        <w:t>e</w:t>
      </w:r>
      <w:r w:rsidR="000315A4" w:rsidRPr="00F463B2">
        <w:rPr>
          <w:rFonts w:eastAsia="SimSun" w:cs="Times New Roman"/>
          <w:sz w:val="20"/>
          <w:szCs w:val="20"/>
          <w:lang w:val="pl-PL" w:eastAsia="pl-PL"/>
        </w:rPr>
        <w:t xml:space="preserve"> hormonów płciowych (III, B)</w:t>
      </w:r>
      <w:r w:rsidR="00811B4E">
        <w:rPr>
          <w:rFonts w:eastAsia="SimSun" w:cs="Times New Roman"/>
          <w:sz w:val="20"/>
          <w:szCs w:val="20"/>
          <w:lang w:val="pl-PL" w:eastAsia="pl-PL"/>
        </w:rPr>
        <w:t>.</w:t>
      </w:r>
    </w:p>
    <w:p w:rsidR="00E349CA" w:rsidRDefault="00650BC0" w:rsidP="000E721D">
      <w:pPr>
        <w:widowControl/>
        <w:numPr>
          <w:ilvl w:val="0"/>
          <w:numId w:val="39"/>
        </w:numPr>
        <w:spacing w:after="120" w:line="24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Goserelina </w:t>
      </w:r>
      <w:r w:rsidR="00E349CA" w:rsidRPr="00F463B2">
        <w:rPr>
          <w:sz w:val="20"/>
          <w:szCs w:val="20"/>
          <w:lang w:val="pl-PL"/>
        </w:rPr>
        <w:t xml:space="preserve">w połączeniu z tamoksyfenem lub eksemestanem należy zastosować u chorych &lt;35. rż., u chorych </w:t>
      </w:r>
      <w:r w:rsidR="000F70FC">
        <w:rPr>
          <w:sz w:val="20"/>
          <w:szCs w:val="20"/>
          <w:lang w:val="pl-PL"/>
        </w:rPr>
        <w:t xml:space="preserve">przed menopauzą </w:t>
      </w:r>
      <w:r w:rsidR="00E349CA" w:rsidRPr="00F463B2">
        <w:rPr>
          <w:sz w:val="20"/>
          <w:szCs w:val="20"/>
          <w:lang w:val="pl-PL"/>
        </w:rPr>
        <w:t xml:space="preserve">z cechą N+ lub z wysokim wskaźnikiem proliferacji, a także u chorych, u których wcześniejsza uzupełniająca </w:t>
      </w:r>
      <w:r w:rsidR="006D07C1">
        <w:rPr>
          <w:sz w:val="20"/>
          <w:szCs w:val="20"/>
          <w:lang w:val="pl-PL"/>
        </w:rPr>
        <w:t>CHT</w:t>
      </w:r>
      <w:r w:rsidR="00E349CA" w:rsidRPr="00F463B2">
        <w:rPr>
          <w:sz w:val="20"/>
          <w:szCs w:val="20"/>
          <w:lang w:val="pl-PL"/>
        </w:rPr>
        <w:t xml:space="preserve"> nie spowodowała wystąpienia menopauzy (I, B)</w:t>
      </w:r>
      <w:r w:rsidR="00811B4E">
        <w:rPr>
          <w:sz w:val="20"/>
          <w:szCs w:val="20"/>
          <w:lang w:val="pl-PL"/>
        </w:rPr>
        <w:t>.</w:t>
      </w:r>
    </w:p>
    <w:p w:rsidR="00DC7048" w:rsidRPr="00DC7048" w:rsidRDefault="00DC7048" w:rsidP="000E721D">
      <w:pPr>
        <w:widowControl/>
        <w:numPr>
          <w:ilvl w:val="0"/>
          <w:numId w:val="39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DC7048">
        <w:rPr>
          <w:sz w:val="20"/>
          <w:szCs w:val="20"/>
          <w:lang w:val="pl-PL"/>
        </w:rPr>
        <w:lastRenderedPageBreak/>
        <w:t xml:space="preserve">U chorych otrzymujących </w:t>
      </w:r>
      <w:r w:rsidR="00650BC0">
        <w:rPr>
          <w:sz w:val="20"/>
          <w:szCs w:val="20"/>
          <w:lang w:val="pl-PL"/>
        </w:rPr>
        <w:t xml:space="preserve">goserelina </w:t>
      </w:r>
      <w:r w:rsidRPr="00DC7048">
        <w:rPr>
          <w:sz w:val="20"/>
          <w:szCs w:val="20"/>
          <w:lang w:val="pl-PL"/>
        </w:rPr>
        <w:t xml:space="preserve">po 3-4 miesiącach należy </w:t>
      </w:r>
      <w:r w:rsidR="00F962C7">
        <w:rPr>
          <w:sz w:val="20"/>
          <w:szCs w:val="20"/>
          <w:lang w:val="pl-PL"/>
        </w:rPr>
        <w:t>ocenić stężenie estradiolu w </w:t>
      </w:r>
      <w:r>
        <w:rPr>
          <w:sz w:val="20"/>
          <w:szCs w:val="20"/>
          <w:lang w:val="pl-PL"/>
        </w:rPr>
        <w:t>cel</w:t>
      </w:r>
      <w:r w:rsidRPr="00DC7048">
        <w:rPr>
          <w:sz w:val="20"/>
          <w:szCs w:val="20"/>
          <w:lang w:val="pl-PL"/>
        </w:rPr>
        <w:t>u potwierdzenia efektywności supresji funkcji jajników (III, B)</w:t>
      </w:r>
      <w:r>
        <w:rPr>
          <w:sz w:val="20"/>
          <w:szCs w:val="20"/>
          <w:lang w:val="pl-PL"/>
        </w:rPr>
        <w:t>.</w:t>
      </w:r>
    </w:p>
    <w:p w:rsidR="00E349CA" w:rsidRPr="00F463B2" w:rsidRDefault="00650BC0" w:rsidP="000E721D">
      <w:pPr>
        <w:widowControl/>
        <w:numPr>
          <w:ilvl w:val="0"/>
          <w:numId w:val="39"/>
        </w:numPr>
        <w:spacing w:after="120" w:line="24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Goserelinę </w:t>
      </w:r>
      <w:r w:rsidR="00553A9D">
        <w:rPr>
          <w:sz w:val="20"/>
          <w:szCs w:val="20"/>
          <w:lang w:val="pl-PL"/>
        </w:rPr>
        <w:t>można zastosować</w:t>
      </w:r>
      <w:r w:rsidR="00E349CA" w:rsidRPr="00F463B2">
        <w:rPr>
          <w:sz w:val="20"/>
          <w:szCs w:val="20"/>
          <w:lang w:val="pl-PL"/>
        </w:rPr>
        <w:t xml:space="preserve"> w zapobieganiu przedwczesnej menopauzie u chorych otrzymujących okołooperacyjną </w:t>
      </w:r>
      <w:r w:rsidR="006D07C1">
        <w:rPr>
          <w:sz w:val="20"/>
          <w:szCs w:val="20"/>
          <w:lang w:val="pl-PL"/>
        </w:rPr>
        <w:t>CHT</w:t>
      </w:r>
      <w:r w:rsidR="006C739D">
        <w:rPr>
          <w:sz w:val="20"/>
          <w:szCs w:val="20"/>
          <w:lang w:val="pl-PL"/>
        </w:rPr>
        <w:t xml:space="preserve"> (I</w:t>
      </w:r>
      <w:r w:rsidR="00E349CA" w:rsidRPr="00F463B2">
        <w:rPr>
          <w:sz w:val="20"/>
          <w:szCs w:val="20"/>
          <w:lang w:val="pl-PL"/>
        </w:rPr>
        <w:t>, B)</w:t>
      </w:r>
      <w:r w:rsidR="00811B4E">
        <w:rPr>
          <w:sz w:val="20"/>
          <w:szCs w:val="20"/>
          <w:lang w:val="pl-PL"/>
        </w:rPr>
        <w:t>.</w:t>
      </w:r>
    </w:p>
    <w:p w:rsidR="00E349CA" w:rsidRPr="00F463B2" w:rsidRDefault="00E349CA" w:rsidP="006A3D31">
      <w:pPr>
        <w:widowControl/>
        <w:spacing w:after="120" w:line="240" w:lineRule="auto"/>
        <w:jc w:val="both"/>
        <w:rPr>
          <w:rFonts w:ascii="Arial" w:eastAsia="SimSun" w:hAnsi="Arial" w:cs="Arial"/>
          <w:color w:val="2E74B5"/>
          <w:sz w:val="20"/>
          <w:szCs w:val="20"/>
          <w:lang w:val="pl-PL" w:eastAsia="pl-PL"/>
        </w:rPr>
      </w:pPr>
    </w:p>
    <w:p w:rsidR="006A3D31" w:rsidRPr="00F463B2" w:rsidRDefault="006D07C1" w:rsidP="00F962C7">
      <w:pPr>
        <w:pStyle w:val="Nagwek3"/>
        <w:ind w:firstLine="360"/>
        <w:rPr>
          <w:rFonts w:ascii="Arial" w:eastAsia="SimSun" w:hAnsi="Arial" w:cs="Arial"/>
          <w:color w:val="2E74B5"/>
          <w:sz w:val="20"/>
          <w:szCs w:val="20"/>
          <w:lang w:val="pl-PL" w:eastAsia="pl-PL"/>
        </w:rPr>
      </w:pPr>
      <w:bookmarkStart w:id="22" w:name="_Toc516233152"/>
      <w:r>
        <w:rPr>
          <w:rFonts w:ascii="Arial" w:eastAsia="SimSun" w:hAnsi="Arial" w:cs="Arial"/>
          <w:color w:val="2E74B5"/>
          <w:sz w:val="20"/>
          <w:szCs w:val="20"/>
          <w:lang w:val="pl-PL" w:eastAsia="pl-PL"/>
        </w:rPr>
        <w:t>HT</w:t>
      </w:r>
      <w:r w:rsidR="006A3D31" w:rsidRPr="00F463B2">
        <w:rPr>
          <w:rFonts w:ascii="Arial" w:eastAsia="SimSun" w:hAnsi="Arial" w:cs="Arial"/>
          <w:color w:val="2E74B5"/>
          <w:sz w:val="20"/>
          <w:szCs w:val="20"/>
          <w:lang w:val="pl-PL" w:eastAsia="pl-PL"/>
        </w:rPr>
        <w:t xml:space="preserve"> po menopauzie</w:t>
      </w:r>
      <w:bookmarkEnd w:id="22"/>
    </w:p>
    <w:p w:rsidR="00691050" w:rsidRPr="00640E2B" w:rsidRDefault="00691050" w:rsidP="000E721D">
      <w:pPr>
        <w:numPr>
          <w:ilvl w:val="0"/>
          <w:numId w:val="24"/>
        </w:numPr>
        <w:spacing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9D6B8A">
        <w:rPr>
          <w:bCs/>
          <w:sz w:val="20"/>
          <w:szCs w:val="20"/>
          <w:lang w:val="pl-PL"/>
        </w:rPr>
        <w:t>U chorych po menopauzie z rozpoznaniem raka luminalnego A lub zrazikowego raka piersi (ER+ H</w:t>
      </w:r>
      <w:r w:rsidRPr="00E763C7">
        <w:rPr>
          <w:bCs/>
          <w:sz w:val="20"/>
          <w:szCs w:val="20"/>
          <w:lang w:val="pl-PL"/>
        </w:rPr>
        <w:t xml:space="preserve">ER2-) przedoperacyjnym leczeniem z wyboru jest </w:t>
      </w:r>
      <w:r w:rsidR="006D07C1" w:rsidRPr="00640E2B">
        <w:rPr>
          <w:bCs/>
          <w:sz w:val="20"/>
          <w:szCs w:val="20"/>
          <w:lang w:val="pl-PL"/>
        </w:rPr>
        <w:t>HT</w:t>
      </w:r>
      <w:r w:rsidRPr="00640E2B">
        <w:rPr>
          <w:bCs/>
          <w:sz w:val="20"/>
          <w:szCs w:val="20"/>
          <w:lang w:val="pl-PL"/>
        </w:rPr>
        <w:t xml:space="preserve"> z zastosowaniem IA (I, </w:t>
      </w:r>
      <w:r w:rsidR="00F20499" w:rsidRPr="00640E2B">
        <w:rPr>
          <w:bCs/>
          <w:sz w:val="20"/>
          <w:szCs w:val="20"/>
          <w:lang w:val="pl-PL"/>
        </w:rPr>
        <w:t>A</w:t>
      </w:r>
      <w:r w:rsidRPr="00640E2B">
        <w:rPr>
          <w:bCs/>
          <w:sz w:val="20"/>
          <w:szCs w:val="20"/>
          <w:lang w:val="pl-PL"/>
        </w:rPr>
        <w:t>)</w:t>
      </w:r>
      <w:r w:rsidR="005838E7" w:rsidRPr="00640E2B">
        <w:rPr>
          <w:bCs/>
          <w:sz w:val="20"/>
          <w:szCs w:val="20"/>
          <w:lang w:val="pl-PL"/>
        </w:rPr>
        <w:t>.</w:t>
      </w:r>
    </w:p>
    <w:p w:rsidR="00AB6DFD" w:rsidRPr="00640E2B" w:rsidRDefault="00AB6DFD" w:rsidP="000E721D">
      <w:pPr>
        <w:numPr>
          <w:ilvl w:val="0"/>
          <w:numId w:val="24"/>
        </w:numPr>
        <w:spacing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640E2B">
        <w:rPr>
          <w:bCs/>
          <w:sz w:val="20"/>
          <w:szCs w:val="20"/>
          <w:lang w:val="pl-PL"/>
        </w:rPr>
        <w:t xml:space="preserve">W uzupełniającej </w:t>
      </w:r>
      <w:r w:rsidR="006D07C1" w:rsidRPr="00640E2B">
        <w:rPr>
          <w:bCs/>
          <w:sz w:val="20"/>
          <w:szCs w:val="20"/>
          <w:lang w:val="pl-PL"/>
        </w:rPr>
        <w:t>HT</w:t>
      </w:r>
      <w:r w:rsidRPr="00640E2B">
        <w:rPr>
          <w:bCs/>
          <w:sz w:val="20"/>
          <w:szCs w:val="20"/>
          <w:lang w:val="pl-PL"/>
        </w:rPr>
        <w:t xml:space="preserve"> chorych po menopauzie stosuje się tamoks</w:t>
      </w:r>
      <w:r w:rsidR="00B56B3F" w:rsidRPr="00640E2B">
        <w:rPr>
          <w:bCs/>
          <w:sz w:val="20"/>
          <w:szCs w:val="20"/>
          <w:lang w:val="pl-PL"/>
        </w:rPr>
        <w:t>y</w:t>
      </w:r>
      <w:r w:rsidRPr="00640E2B">
        <w:rPr>
          <w:bCs/>
          <w:sz w:val="20"/>
          <w:szCs w:val="20"/>
          <w:lang w:val="pl-PL"/>
        </w:rPr>
        <w:t>fen</w:t>
      </w:r>
      <w:r w:rsidR="00B42F6C" w:rsidRPr="00B42F6C">
        <w:rPr>
          <w:bCs/>
          <w:sz w:val="20"/>
          <w:szCs w:val="20"/>
          <w:lang w:val="pl-PL"/>
        </w:rPr>
        <w:t xml:space="preserve"> </w:t>
      </w:r>
      <w:r w:rsidR="00B42F6C">
        <w:rPr>
          <w:bCs/>
          <w:sz w:val="20"/>
          <w:szCs w:val="20"/>
          <w:lang w:val="pl-PL"/>
        </w:rPr>
        <w:t>(</w:t>
      </w:r>
      <w:r w:rsidR="00B42F6C" w:rsidRPr="00640E2B">
        <w:rPr>
          <w:bCs/>
          <w:sz w:val="20"/>
          <w:szCs w:val="20"/>
          <w:lang w:val="pl-PL"/>
        </w:rPr>
        <w:t>przez 5-10 lat</w:t>
      </w:r>
      <w:r w:rsidR="00B42F6C">
        <w:rPr>
          <w:bCs/>
          <w:sz w:val="20"/>
          <w:szCs w:val="20"/>
          <w:lang w:val="pl-PL"/>
        </w:rPr>
        <w:t>)</w:t>
      </w:r>
      <w:r w:rsidR="00D13522" w:rsidRPr="00640E2B">
        <w:rPr>
          <w:bCs/>
          <w:sz w:val="20"/>
          <w:szCs w:val="20"/>
          <w:lang w:val="pl-PL"/>
        </w:rPr>
        <w:t xml:space="preserve">, </w:t>
      </w:r>
      <w:r w:rsidRPr="00640E2B">
        <w:rPr>
          <w:bCs/>
          <w:sz w:val="20"/>
          <w:szCs w:val="20"/>
          <w:lang w:val="pl-PL"/>
        </w:rPr>
        <w:t>IA</w:t>
      </w:r>
      <w:r w:rsidR="00D13522" w:rsidRPr="00640E2B">
        <w:rPr>
          <w:bCs/>
          <w:sz w:val="20"/>
          <w:szCs w:val="20"/>
          <w:lang w:val="pl-PL"/>
        </w:rPr>
        <w:t xml:space="preserve"> lub sekwencję tych leków</w:t>
      </w:r>
      <w:r w:rsidR="000527E9" w:rsidRPr="00640E2B">
        <w:rPr>
          <w:bCs/>
          <w:sz w:val="20"/>
          <w:szCs w:val="20"/>
          <w:lang w:val="pl-PL"/>
        </w:rPr>
        <w:t xml:space="preserve"> </w:t>
      </w:r>
      <w:r w:rsidRPr="00640E2B">
        <w:rPr>
          <w:bCs/>
          <w:sz w:val="20"/>
          <w:szCs w:val="20"/>
          <w:lang w:val="pl-PL"/>
        </w:rPr>
        <w:t>(I, A)</w:t>
      </w:r>
      <w:r w:rsidR="00947DF0" w:rsidRPr="00640E2B">
        <w:rPr>
          <w:bCs/>
          <w:sz w:val="20"/>
          <w:szCs w:val="20"/>
          <w:lang w:val="pl-PL"/>
        </w:rPr>
        <w:t>.</w:t>
      </w:r>
    </w:p>
    <w:p w:rsidR="001407F7" w:rsidRPr="00640E2B" w:rsidRDefault="001407F7" w:rsidP="000E721D">
      <w:pPr>
        <w:numPr>
          <w:ilvl w:val="0"/>
          <w:numId w:val="24"/>
        </w:numPr>
        <w:spacing w:after="120" w:line="240" w:lineRule="auto"/>
        <w:ind w:left="714" w:hanging="357"/>
        <w:jc w:val="both"/>
        <w:rPr>
          <w:rFonts w:eastAsia="SimSun" w:cs="Times New Roman"/>
          <w:sz w:val="20"/>
          <w:szCs w:val="20"/>
          <w:lang w:val="pl-PL" w:eastAsia="pl-PL"/>
        </w:rPr>
      </w:pPr>
      <w:r w:rsidRPr="00640E2B">
        <w:rPr>
          <w:rFonts w:eastAsia="SimSun" w:cs="Times New Roman"/>
          <w:sz w:val="20"/>
          <w:szCs w:val="20"/>
          <w:lang w:val="pl-PL" w:eastAsia="pl-PL"/>
        </w:rPr>
        <w:t>Względnymi przeciwwskazaniami do stosowania tamoksyfenu są żyl</w:t>
      </w:r>
      <w:r w:rsidR="00F962C7">
        <w:rPr>
          <w:rFonts w:eastAsia="SimSun" w:cs="Times New Roman"/>
          <w:sz w:val="20"/>
          <w:szCs w:val="20"/>
          <w:lang w:val="pl-PL" w:eastAsia="pl-PL"/>
        </w:rPr>
        <w:t>ny zespół zakrzepowo-zatorowy w </w:t>
      </w:r>
      <w:r w:rsidRPr="00640E2B">
        <w:rPr>
          <w:rFonts w:eastAsia="SimSun" w:cs="Times New Roman"/>
          <w:sz w:val="20"/>
          <w:szCs w:val="20"/>
          <w:lang w:val="pl-PL" w:eastAsia="pl-PL"/>
        </w:rPr>
        <w:t>wywiadzie, żylaki kończyn dolnych i przerost błony śluzowej macicy</w:t>
      </w:r>
      <w:r w:rsidR="00E40D4B">
        <w:rPr>
          <w:rFonts w:eastAsia="SimSun" w:cs="Times New Roman"/>
          <w:sz w:val="20"/>
          <w:szCs w:val="20"/>
          <w:lang w:val="pl-PL" w:eastAsia="pl-PL"/>
        </w:rPr>
        <w:t xml:space="preserve"> (</w:t>
      </w:r>
      <w:r w:rsidR="000F34A0" w:rsidRPr="00640E2B">
        <w:rPr>
          <w:rFonts w:eastAsia="SimSun" w:cs="Times New Roman"/>
          <w:sz w:val="20"/>
          <w:szCs w:val="20"/>
          <w:lang w:val="pl-PL" w:eastAsia="pl-PL"/>
        </w:rPr>
        <w:t>II, B)</w:t>
      </w:r>
      <w:r w:rsidRPr="00640E2B">
        <w:rPr>
          <w:rFonts w:eastAsia="SimSun" w:cs="Times New Roman"/>
          <w:sz w:val="20"/>
          <w:szCs w:val="20"/>
          <w:lang w:val="pl-PL" w:eastAsia="pl-PL"/>
        </w:rPr>
        <w:t>.</w:t>
      </w:r>
    </w:p>
    <w:p w:rsidR="001407F7" w:rsidRPr="00640E2B" w:rsidRDefault="001407F7" w:rsidP="000E721D">
      <w:pPr>
        <w:numPr>
          <w:ilvl w:val="0"/>
          <w:numId w:val="24"/>
        </w:numPr>
        <w:spacing w:after="120" w:line="240" w:lineRule="auto"/>
        <w:ind w:left="714" w:hanging="357"/>
        <w:jc w:val="both"/>
        <w:rPr>
          <w:lang w:val="pl-PL"/>
        </w:rPr>
      </w:pPr>
      <w:r w:rsidRPr="00640E2B">
        <w:rPr>
          <w:rFonts w:eastAsia="SimSun" w:cs="Times New Roman"/>
          <w:sz w:val="20"/>
          <w:szCs w:val="20"/>
          <w:lang w:val="pl-PL" w:eastAsia="pl-PL"/>
        </w:rPr>
        <w:t xml:space="preserve">U chorych leczonych tamoksyfenem należy unikać równoczesnego stosowania silnych lub umiarkowanych inhibitorów enzymu </w:t>
      </w:r>
      <w:r w:rsidRPr="003E5914">
        <w:rPr>
          <w:rFonts w:eastAsia="SimSun" w:cs="Times New Roman"/>
          <w:sz w:val="20"/>
          <w:szCs w:val="20"/>
          <w:lang w:val="pl-PL" w:eastAsia="pl-PL"/>
        </w:rPr>
        <w:t>CYP2D6, zwłaszcza stosowanych w leczeniu „uderzeń gorąca”– leków antydepresyjnych z grupy selektywnych inhibitorów zwrotnego wychwytu serotoniny – fluoksetyny, paroksetyny, citalopramu czy fluwoksaminy i sertraliny (III, A). Jeśli istnieją wskazania do stosowania tych leków</w:t>
      </w:r>
      <w:r w:rsidR="003B2872" w:rsidRPr="003E5914">
        <w:rPr>
          <w:rFonts w:eastAsia="SimSun" w:cs="Times New Roman"/>
          <w:sz w:val="20"/>
          <w:szCs w:val="20"/>
          <w:lang w:val="pl-PL" w:eastAsia="pl-PL"/>
        </w:rPr>
        <w:t>,</w:t>
      </w:r>
      <w:r w:rsidRPr="003E5914">
        <w:rPr>
          <w:rFonts w:eastAsia="SimSun" w:cs="Times New Roman"/>
          <w:sz w:val="20"/>
          <w:szCs w:val="20"/>
          <w:lang w:val="pl-PL" w:eastAsia="pl-PL"/>
        </w:rPr>
        <w:t xml:space="preserve"> należy wybrać</w:t>
      </w:r>
      <w:r w:rsidRPr="00640E2B">
        <w:rPr>
          <w:rFonts w:eastAsia="SimSun" w:cs="Times New Roman"/>
          <w:sz w:val="20"/>
          <w:szCs w:val="20"/>
          <w:lang w:val="pl-PL" w:eastAsia="pl-PL"/>
        </w:rPr>
        <w:t xml:space="preserve"> wenlafaksynę (III, B).</w:t>
      </w:r>
    </w:p>
    <w:p w:rsidR="00051CD5" w:rsidRPr="00640E2B" w:rsidRDefault="00051CD5" w:rsidP="000E721D">
      <w:pPr>
        <w:numPr>
          <w:ilvl w:val="0"/>
          <w:numId w:val="24"/>
        </w:numPr>
        <w:spacing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9D6B8A">
        <w:rPr>
          <w:bCs/>
          <w:sz w:val="20"/>
          <w:szCs w:val="20"/>
          <w:lang w:val="pl-PL"/>
        </w:rPr>
        <w:t>Stosowanie</w:t>
      </w:r>
      <w:r w:rsidR="00AB6011" w:rsidRPr="00E763C7">
        <w:rPr>
          <w:bCs/>
          <w:sz w:val="20"/>
          <w:szCs w:val="20"/>
          <w:lang w:val="pl-PL"/>
        </w:rPr>
        <w:t xml:space="preserve"> uzupełniającego leczenia</w:t>
      </w:r>
      <w:r w:rsidR="00BC4ADA" w:rsidRPr="00640E2B">
        <w:rPr>
          <w:bCs/>
          <w:sz w:val="20"/>
          <w:szCs w:val="20"/>
          <w:lang w:val="pl-PL"/>
        </w:rPr>
        <w:t xml:space="preserve"> IA</w:t>
      </w:r>
      <w:r w:rsidRPr="00640E2B">
        <w:rPr>
          <w:bCs/>
          <w:sz w:val="20"/>
          <w:szCs w:val="20"/>
          <w:lang w:val="pl-PL"/>
        </w:rPr>
        <w:t xml:space="preserve"> jest wskazane szczególnie u chorych z podwyższonym ryzykie</w:t>
      </w:r>
      <w:r w:rsidR="00E40D4B">
        <w:rPr>
          <w:bCs/>
          <w:sz w:val="20"/>
          <w:szCs w:val="20"/>
          <w:lang w:val="pl-PL"/>
        </w:rPr>
        <w:t>m nawrotu i w raku zrazikowym (</w:t>
      </w:r>
      <w:r w:rsidRPr="00640E2B">
        <w:rPr>
          <w:bCs/>
          <w:sz w:val="20"/>
          <w:szCs w:val="20"/>
          <w:lang w:val="pl-PL"/>
        </w:rPr>
        <w:t>II, B)</w:t>
      </w:r>
      <w:r w:rsidR="00947DF0" w:rsidRPr="00640E2B">
        <w:rPr>
          <w:bCs/>
          <w:sz w:val="20"/>
          <w:szCs w:val="20"/>
          <w:lang w:val="pl-PL"/>
        </w:rPr>
        <w:t>.</w:t>
      </w:r>
      <w:r w:rsidRPr="00640E2B">
        <w:rPr>
          <w:bCs/>
          <w:sz w:val="20"/>
          <w:szCs w:val="20"/>
          <w:lang w:val="pl-PL"/>
        </w:rPr>
        <w:t xml:space="preserve"> </w:t>
      </w:r>
    </w:p>
    <w:p w:rsidR="00947BD9" w:rsidRPr="00640E2B" w:rsidRDefault="00947BD9" w:rsidP="000E721D">
      <w:pPr>
        <w:numPr>
          <w:ilvl w:val="0"/>
          <w:numId w:val="24"/>
        </w:numPr>
        <w:spacing w:after="120" w:line="240" w:lineRule="auto"/>
        <w:ind w:left="714" w:hanging="357"/>
        <w:jc w:val="both"/>
        <w:rPr>
          <w:lang w:val="pl-PL"/>
        </w:rPr>
      </w:pPr>
      <w:r w:rsidRPr="00640E2B">
        <w:rPr>
          <w:rFonts w:eastAsia="SimSun" w:cs="Times New Roman"/>
          <w:sz w:val="20"/>
          <w:szCs w:val="20"/>
          <w:lang w:val="pl-PL" w:eastAsia="pl-PL"/>
        </w:rPr>
        <w:t>Względnym przeciwwskazaniem do stosowania IA jest oste</w:t>
      </w:r>
      <w:r w:rsidR="00E40D4B">
        <w:rPr>
          <w:rFonts w:eastAsia="SimSun" w:cs="Times New Roman"/>
          <w:sz w:val="20"/>
          <w:szCs w:val="20"/>
          <w:lang w:val="pl-PL" w:eastAsia="pl-PL"/>
        </w:rPr>
        <w:t>oporoza (I</w:t>
      </w:r>
      <w:r w:rsidRPr="00640E2B">
        <w:rPr>
          <w:rFonts w:eastAsia="SimSun" w:cs="Times New Roman"/>
          <w:sz w:val="20"/>
          <w:szCs w:val="20"/>
          <w:lang w:val="pl-PL" w:eastAsia="pl-PL"/>
        </w:rPr>
        <w:t>I, B).</w:t>
      </w:r>
    </w:p>
    <w:p w:rsidR="00B466AE" w:rsidRPr="00B466AE" w:rsidRDefault="007506DC" w:rsidP="000E721D">
      <w:pPr>
        <w:numPr>
          <w:ilvl w:val="0"/>
          <w:numId w:val="24"/>
        </w:numPr>
        <w:spacing w:after="120" w:line="240" w:lineRule="auto"/>
        <w:ind w:left="714" w:hanging="357"/>
        <w:jc w:val="both"/>
        <w:rPr>
          <w:lang w:val="pl-PL"/>
        </w:rPr>
      </w:pPr>
      <w:r w:rsidRPr="009D6B8A">
        <w:rPr>
          <w:rFonts w:eastAsia="SimSun" w:cs="Times New Roman"/>
          <w:sz w:val="20"/>
          <w:szCs w:val="20"/>
          <w:lang w:val="pl-PL" w:eastAsia="pl-PL"/>
        </w:rPr>
        <w:t>I</w:t>
      </w:r>
      <w:r w:rsidRPr="00E763C7">
        <w:rPr>
          <w:rFonts w:eastAsia="SimSun" w:cs="Times New Roman"/>
          <w:sz w:val="20"/>
          <w:szCs w:val="20"/>
          <w:lang w:val="pl-PL" w:eastAsia="pl-PL"/>
        </w:rPr>
        <w:t>A mogą być stosowane od począt</w:t>
      </w:r>
      <w:r w:rsidRPr="00640E2B">
        <w:rPr>
          <w:rFonts w:eastAsia="SimSun" w:cs="Times New Roman"/>
          <w:sz w:val="20"/>
          <w:szCs w:val="20"/>
          <w:lang w:val="pl-PL" w:eastAsia="pl-PL"/>
        </w:rPr>
        <w:t xml:space="preserve">ku oraz po 2-3 lub 5 latach leczenia tamoksyfenem (I, A). </w:t>
      </w:r>
    </w:p>
    <w:p w:rsidR="00B466AE" w:rsidRPr="00F463B2" w:rsidRDefault="00B466AE" w:rsidP="000E721D">
      <w:pPr>
        <w:widowControl/>
        <w:numPr>
          <w:ilvl w:val="0"/>
          <w:numId w:val="24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F463B2">
        <w:rPr>
          <w:rFonts w:eastAsia="SimSun" w:cs="Times New Roman"/>
          <w:sz w:val="20"/>
          <w:szCs w:val="20"/>
          <w:lang w:val="pl-PL" w:eastAsia="pl-PL"/>
        </w:rPr>
        <w:t xml:space="preserve">Przedłużenie </w:t>
      </w:r>
      <w:r>
        <w:rPr>
          <w:rFonts w:eastAsia="SimSun" w:cs="Times New Roman"/>
          <w:sz w:val="20"/>
          <w:szCs w:val="20"/>
          <w:lang w:val="pl-PL" w:eastAsia="pl-PL"/>
        </w:rPr>
        <w:t>HT</w:t>
      </w:r>
      <w:r w:rsidRPr="00F463B2">
        <w:rPr>
          <w:rFonts w:eastAsia="SimSun" w:cs="Times New Roman"/>
          <w:sz w:val="20"/>
          <w:szCs w:val="20"/>
          <w:lang w:val="pl-PL" w:eastAsia="pl-PL"/>
        </w:rPr>
        <w:t xml:space="preserve"> </w:t>
      </w:r>
      <w:r>
        <w:rPr>
          <w:rFonts w:eastAsia="SimSun" w:cs="Times New Roman"/>
          <w:sz w:val="20"/>
          <w:szCs w:val="20"/>
          <w:lang w:val="pl-PL" w:eastAsia="pl-PL"/>
        </w:rPr>
        <w:t>należy rozważyć</w:t>
      </w:r>
      <w:r w:rsidRPr="00F463B2">
        <w:rPr>
          <w:rFonts w:eastAsia="SimSun" w:cs="Times New Roman"/>
          <w:sz w:val="20"/>
          <w:szCs w:val="20"/>
          <w:lang w:val="pl-PL" w:eastAsia="pl-PL"/>
        </w:rPr>
        <w:t xml:space="preserve"> u chorych z </w:t>
      </w:r>
      <w:r>
        <w:rPr>
          <w:rFonts w:eastAsia="SimSun" w:cs="Times New Roman"/>
          <w:sz w:val="20"/>
          <w:szCs w:val="20"/>
          <w:lang w:val="pl-PL" w:eastAsia="pl-PL"/>
        </w:rPr>
        <w:t>przerzutami do węzłów chłonnych</w:t>
      </w:r>
      <w:r w:rsidRPr="00F463B2">
        <w:rPr>
          <w:rFonts w:eastAsia="SimSun" w:cs="Times New Roman"/>
          <w:sz w:val="20"/>
          <w:szCs w:val="20"/>
          <w:lang w:val="pl-PL" w:eastAsia="pl-PL"/>
        </w:rPr>
        <w:t xml:space="preserve"> (I</w:t>
      </w:r>
      <w:r>
        <w:rPr>
          <w:rFonts w:eastAsia="SimSun" w:cs="Times New Roman"/>
          <w:sz w:val="20"/>
          <w:szCs w:val="20"/>
          <w:lang w:val="pl-PL" w:eastAsia="pl-PL"/>
        </w:rPr>
        <w:t>I</w:t>
      </w:r>
      <w:r w:rsidRPr="00F463B2">
        <w:rPr>
          <w:rFonts w:eastAsia="SimSun" w:cs="Times New Roman"/>
          <w:sz w:val="20"/>
          <w:szCs w:val="20"/>
          <w:lang w:val="pl-PL" w:eastAsia="pl-PL"/>
        </w:rPr>
        <w:t>, B)</w:t>
      </w:r>
      <w:r>
        <w:rPr>
          <w:rFonts w:eastAsia="SimSun" w:cs="Times New Roman"/>
          <w:sz w:val="20"/>
          <w:szCs w:val="20"/>
          <w:lang w:val="pl-PL" w:eastAsia="pl-PL"/>
        </w:rPr>
        <w:t>.</w:t>
      </w:r>
    </w:p>
    <w:p w:rsidR="00B85C1D" w:rsidRPr="00640E2B" w:rsidRDefault="007506DC" w:rsidP="000E721D">
      <w:pPr>
        <w:numPr>
          <w:ilvl w:val="0"/>
          <w:numId w:val="24"/>
        </w:numPr>
        <w:spacing w:after="120" w:line="240" w:lineRule="auto"/>
        <w:ind w:left="714" w:hanging="357"/>
        <w:jc w:val="both"/>
        <w:rPr>
          <w:lang w:val="pl-PL"/>
        </w:rPr>
      </w:pPr>
      <w:r w:rsidRPr="00640E2B">
        <w:rPr>
          <w:rFonts w:eastAsia="SimSun" w:cs="Times New Roman"/>
          <w:sz w:val="20"/>
          <w:szCs w:val="20"/>
          <w:lang w:val="pl-PL" w:eastAsia="pl-PL"/>
        </w:rPr>
        <w:t>Nie ma dostatecznego uzasadnienia dla rutynowego stosowania przedłuż</w:t>
      </w:r>
      <w:r w:rsidR="00E40D4B">
        <w:rPr>
          <w:rFonts w:eastAsia="SimSun" w:cs="Times New Roman"/>
          <w:sz w:val="20"/>
          <w:szCs w:val="20"/>
          <w:lang w:val="pl-PL" w:eastAsia="pl-PL"/>
        </w:rPr>
        <w:t>onego (&gt;5 lat) leczenia IA (I, B</w:t>
      </w:r>
      <w:r w:rsidRPr="00640E2B">
        <w:rPr>
          <w:rFonts w:eastAsia="SimSun" w:cs="Times New Roman"/>
          <w:sz w:val="20"/>
          <w:szCs w:val="20"/>
          <w:lang w:val="pl-PL" w:eastAsia="pl-PL"/>
        </w:rPr>
        <w:t>).</w:t>
      </w:r>
    </w:p>
    <w:p w:rsidR="00051CD5" w:rsidRPr="00640E2B" w:rsidRDefault="00B85C1D" w:rsidP="000E721D">
      <w:pPr>
        <w:numPr>
          <w:ilvl w:val="0"/>
          <w:numId w:val="24"/>
        </w:numPr>
        <w:spacing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640E2B">
        <w:rPr>
          <w:sz w:val="20"/>
          <w:szCs w:val="20"/>
          <w:lang w:val="pl-PL"/>
        </w:rPr>
        <w:t>Na początku</w:t>
      </w:r>
      <w:r w:rsidR="002C5AF6" w:rsidRPr="00640E2B">
        <w:rPr>
          <w:sz w:val="20"/>
          <w:szCs w:val="20"/>
          <w:lang w:val="pl-PL"/>
        </w:rPr>
        <w:t xml:space="preserve"> leczenia</w:t>
      </w:r>
      <w:r w:rsidR="002C5AF6" w:rsidRPr="009D6B8A">
        <w:rPr>
          <w:bCs/>
          <w:sz w:val="20"/>
          <w:szCs w:val="20"/>
          <w:lang w:val="pl-PL"/>
        </w:rPr>
        <w:t xml:space="preserve"> IA należy ocenić densytometrycznie wyjściową</w:t>
      </w:r>
      <w:r w:rsidR="002C5AF6" w:rsidRPr="00E763C7">
        <w:rPr>
          <w:bCs/>
          <w:sz w:val="20"/>
          <w:szCs w:val="20"/>
          <w:lang w:val="pl-PL"/>
        </w:rPr>
        <w:t xml:space="preserve"> mineralną gęstość kości</w:t>
      </w:r>
      <w:r w:rsidR="003B2872" w:rsidRPr="00640E2B">
        <w:rPr>
          <w:bCs/>
          <w:sz w:val="20"/>
          <w:szCs w:val="20"/>
          <w:lang w:val="pl-PL"/>
        </w:rPr>
        <w:t xml:space="preserve"> (BMD)</w:t>
      </w:r>
      <w:r w:rsidR="00F962C7">
        <w:rPr>
          <w:bCs/>
          <w:sz w:val="20"/>
          <w:szCs w:val="20"/>
          <w:lang w:val="pl-PL"/>
        </w:rPr>
        <w:t>, a w </w:t>
      </w:r>
      <w:r w:rsidR="002C5AF6" w:rsidRPr="00640E2B">
        <w:rPr>
          <w:bCs/>
          <w:sz w:val="20"/>
          <w:szCs w:val="20"/>
          <w:lang w:val="pl-PL"/>
        </w:rPr>
        <w:t xml:space="preserve">trakcie leczenia wskazane jest podawanie </w:t>
      </w:r>
      <w:r w:rsidR="003B2872" w:rsidRPr="00640E2B">
        <w:rPr>
          <w:bCs/>
          <w:sz w:val="20"/>
          <w:szCs w:val="20"/>
          <w:lang w:val="pl-PL"/>
        </w:rPr>
        <w:t xml:space="preserve">wapnia </w:t>
      </w:r>
      <w:r w:rsidR="002C5AF6" w:rsidRPr="00640E2B">
        <w:rPr>
          <w:bCs/>
          <w:sz w:val="20"/>
          <w:szCs w:val="20"/>
          <w:lang w:val="pl-PL"/>
        </w:rPr>
        <w:t>i witaminy D oraz regularne monitorowanie BMD</w:t>
      </w:r>
      <w:r w:rsidR="00947DF0" w:rsidRPr="00640E2B">
        <w:rPr>
          <w:bCs/>
          <w:sz w:val="20"/>
          <w:szCs w:val="20"/>
          <w:lang w:val="pl-PL"/>
        </w:rPr>
        <w:t xml:space="preserve"> (</w:t>
      </w:r>
      <w:r w:rsidR="00E40D4B">
        <w:rPr>
          <w:bCs/>
          <w:sz w:val="20"/>
          <w:szCs w:val="20"/>
          <w:lang w:val="pl-PL"/>
        </w:rPr>
        <w:t>III</w:t>
      </w:r>
      <w:r w:rsidR="00F962C7">
        <w:rPr>
          <w:bCs/>
          <w:sz w:val="20"/>
          <w:szCs w:val="20"/>
          <w:lang w:val="pl-PL"/>
        </w:rPr>
        <w:t>, </w:t>
      </w:r>
      <w:r w:rsidR="00947DF0" w:rsidRPr="00640E2B">
        <w:rPr>
          <w:bCs/>
          <w:sz w:val="20"/>
          <w:szCs w:val="20"/>
          <w:lang w:val="pl-PL"/>
        </w:rPr>
        <w:t>B)</w:t>
      </w:r>
      <w:r w:rsidR="002C5AF6" w:rsidRPr="00640E2B">
        <w:rPr>
          <w:bCs/>
          <w:sz w:val="20"/>
          <w:szCs w:val="20"/>
          <w:lang w:val="pl-PL"/>
        </w:rPr>
        <w:t>.</w:t>
      </w:r>
    </w:p>
    <w:p w:rsidR="002C5AF6" w:rsidRPr="00083501" w:rsidRDefault="002C5AF6" w:rsidP="007770D0">
      <w:pPr>
        <w:rPr>
          <w:lang w:val="pl-PL"/>
        </w:rPr>
      </w:pPr>
    </w:p>
    <w:p w:rsidR="006A3D31" w:rsidRPr="00E874B6" w:rsidRDefault="006A3D31" w:rsidP="00F962C7">
      <w:pPr>
        <w:pStyle w:val="Nagwek3"/>
        <w:spacing w:after="120" w:line="240" w:lineRule="auto"/>
        <w:rPr>
          <w:rFonts w:ascii="Arial" w:eastAsia="SimSun" w:hAnsi="Arial" w:cs="Arial"/>
          <w:color w:val="2E74B5"/>
          <w:sz w:val="20"/>
          <w:szCs w:val="20"/>
          <w:lang w:val="pl-PL" w:eastAsia="pl-PL"/>
        </w:rPr>
      </w:pPr>
      <w:bookmarkStart w:id="23" w:name="_Toc516233154"/>
      <w:r w:rsidRPr="00E874B6">
        <w:rPr>
          <w:rFonts w:ascii="Arial" w:eastAsia="SimSun" w:hAnsi="Arial" w:cs="Arial"/>
          <w:color w:val="2E74B5"/>
          <w:sz w:val="20"/>
          <w:szCs w:val="20"/>
          <w:lang w:val="pl-PL" w:eastAsia="pl-PL"/>
        </w:rPr>
        <w:t>Chemioterapia (</w:t>
      </w:r>
      <w:r w:rsidR="006D07C1">
        <w:rPr>
          <w:rFonts w:ascii="Arial" w:eastAsia="SimSun" w:hAnsi="Arial" w:cs="Arial"/>
          <w:color w:val="2E74B5"/>
          <w:sz w:val="20"/>
          <w:szCs w:val="20"/>
          <w:lang w:val="pl-PL" w:eastAsia="pl-PL"/>
        </w:rPr>
        <w:t>CHT</w:t>
      </w:r>
      <w:r w:rsidRPr="00E874B6">
        <w:rPr>
          <w:rFonts w:ascii="Arial" w:eastAsia="SimSun" w:hAnsi="Arial" w:cs="Arial"/>
          <w:color w:val="2E74B5"/>
          <w:sz w:val="20"/>
          <w:szCs w:val="20"/>
          <w:lang w:val="pl-PL" w:eastAsia="pl-PL"/>
        </w:rPr>
        <w:t>)</w:t>
      </w:r>
      <w:bookmarkEnd w:id="23"/>
    </w:p>
    <w:p w:rsidR="006B2ED8" w:rsidRPr="007C497D" w:rsidRDefault="00A461FD" w:rsidP="000E721D">
      <w:pPr>
        <w:numPr>
          <w:ilvl w:val="0"/>
          <w:numId w:val="25"/>
        </w:numPr>
        <w:spacing w:after="120" w:line="240" w:lineRule="auto"/>
        <w:jc w:val="both"/>
        <w:rPr>
          <w:bCs/>
          <w:sz w:val="20"/>
          <w:szCs w:val="20"/>
          <w:lang w:val="pl-PL"/>
        </w:rPr>
      </w:pPr>
      <w:r w:rsidRPr="007C497D">
        <w:rPr>
          <w:rFonts w:cs="Arial"/>
          <w:sz w:val="20"/>
          <w:szCs w:val="20"/>
          <w:lang w:val="pl-PL"/>
        </w:rPr>
        <w:t>O</w:t>
      </w:r>
      <w:r w:rsidR="00E72EC2" w:rsidRPr="007C497D">
        <w:rPr>
          <w:rFonts w:cs="Arial"/>
          <w:sz w:val="20"/>
          <w:szCs w:val="20"/>
          <w:lang w:val="pl-PL"/>
        </w:rPr>
        <w:t>kołooperacyjn</w:t>
      </w:r>
      <w:r w:rsidR="004453AD" w:rsidRPr="007C497D">
        <w:rPr>
          <w:rFonts w:cs="Arial"/>
          <w:sz w:val="20"/>
          <w:szCs w:val="20"/>
          <w:lang w:val="pl-PL"/>
        </w:rPr>
        <w:t>ą</w:t>
      </w:r>
      <w:r w:rsidR="00E72EC2" w:rsidRPr="007C497D">
        <w:rPr>
          <w:rFonts w:cs="Arial"/>
          <w:sz w:val="20"/>
          <w:szCs w:val="20"/>
          <w:lang w:val="pl-PL"/>
        </w:rPr>
        <w:t xml:space="preserve"> </w:t>
      </w:r>
      <w:r w:rsidRPr="007C497D">
        <w:rPr>
          <w:rFonts w:cs="Arial"/>
          <w:sz w:val="20"/>
          <w:szCs w:val="20"/>
          <w:lang w:val="pl-PL"/>
        </w:rPr>
        <w:t xml:space="preserve">CHT </w:t>
      </w:r>
      <w:r w:rsidR="004453AD" w:rsidRPr="007C497D">
        <w:rPr>
          <w:rFonts w:cs="Arial"/>
          <w:sz w:val="20"/>
          <w:szCs w:val="20"/>
          <w:lang w:val="pl-PL"/>
        </w:rPr>
        <w:t>należy</w:t>
      </w:r>
      <w:r w:rsidR="00E72EC2" w:rsidRPr="007C497D">
        <w:rPr>
          <w:rFonts w:cs="Arial"/>
          <w:sz w:val="20"/>
          <w:szCs w:val="20"/>
          <w:lang w:val="pl-PL"/>
        </w:rPr>
        <w:t xml:space="preserve"> stosowa</w:t>
      </w:r>
      <w:r w:rsidR="004453AD" w:rsidRPr="007C497D">
        <w:rPr>
          <w:rFonts w:cs="Arial"/>
          <w:sz w:val="20"/>
          <w:szCs w:val="20"/>
          <w:lang w:val="pl-PL"/>
        </w:rPr>
        <w:t>ć</w:t>
      </w:r>
      <w:r w:rsidR="00E72EC2" w:rsidRPr="007C497D">
        <w:rPr>
          <w:rFonts w:cs="Arial"/>
          <w:sz w:val="20"/>
          <w:szCs w:val="20"/>
          <w:lang w:val="pl-PL"/>
        </w:rPr>
        <w:t xml:space="preserve"> przez 3-6 miesięcy (4-8 cykli)</w:t>
      </w:r>
      <w:r w:rsidR="007E38B3" w:rsidRPr="007C497D">
        <w:rPr>
          <w:rFonts w:cs="Arial"/>
          <w:sz w:val="20"/>
          <w:szCs w:val="20"/>
          <w:lang w:val="pl-PL"/>
        </w:rPr>
        <w:t xml:space="preserve"> (I, A)</w:t>
      </w:r>
      <w:r w:rsidRPr="007C497D">
        <w:rPr>
          <w:rFonts w:cs="Arial"/>
          <w:sz w:val="20"/>
          <w:szCs w:val="20"/>
          <w:lang w:val="pl-PL"/>
        </w:rPr>
        <w:t>.</w:t>
      </w:r>
    </w:p>
    <w:p w:rsidR="006B2ED8" w:rsidRPr="007C497D" w:rsidRDefault="004453AD" w:rsidP="000E721D">
      <w:pPr>
        <w:numPr>
          <w:ilvl w:val="0"/>
          <w:numId w:val="25"/>
        </w:numPr>
        <w:spacing w:after="120" w:line="240" w:lineRule="auto"/>
        <w:jc w:val="both"/>
        <w:rPr>
          <w:bCs/>
          <w:sz w:val="20"/>
          <w:szCs w:val="20"/>
          <w:lang w:val="pl-PL"/>
        </w:rPr>
      </w:pPr>
      <w:r w:rsidRPr="007C497D">
        <w:rPr>
          <w:bCs/>
          <w:sz w:val="20"/>
          <w:szCs w:val="20"/>
          <w:lang w:val="pl-PL"/>
        </w:rPr>
        <w:t>U większości chorych w</w:t>
      </w:r>
      <w:r w:rsidR="00131937" w:rsidRPr="007C497D">
        <w:rPr>
          <w:bCs/>
          <w:sz w:val="20"/>
          <w:szCs w:val="20"/>
          <w:lang w:val="pl-PL"/>
        </w:rPr>
        <w:t xml:space="preserve"> przedoperacyjnej i pooperacyjnej </w:t>
      </w:r>
      <w:r w:rsidR="006D07C1" w:rsidRPr="007C497D">
        <w:rPr>
          <w:bCs/>
          <w:sz w:val="20"/>
          <w:szCs w:val="20"/>
          <w:lang w:val="pl-PL"/>
        </w:rPr>
        <w:t>CHT</w:t>
      </w:r>
      <w:r w:rsidR="00131937" w:rsidRPr="007C497D">
        <w:rPr>
          <w:bCs/>
          <w:sz w:val="20"/>
          <w:szCs w:val="20"/>
          <w:lang w:val="pl-PL"/>
        </w:rPr>
        <w:t xml:space="preserve"> </w:t>
      </w:r>
      <w:r w:rsidRPr="007C497D">
        <w:rPr>
          <w:bCs/>
          <w:sz w:val="20"/>
          <w:szCs w:val="20"/>
          <w:lang w:val="pl-PL"/>
        </w:rPr>
        <w:t xml:space="preserve">zaleca się </w:t>
      </w:r>
      <w:r w:rsidR="007A0CD0">
        <w:rPr>
          <w:bCs/>
          <w:sz w:val="20"/>
          <w:szCs w:val="20"/>
          <w:lang w:val="pl-PL"/>
        </w:rPr>
        <w:t xml:space="preserve">sekwencyjne </w:t>
      </w:r>
      <w:r w:rsidRPr="007C497D">
        <w:rPr>
          <w:bCs/>
          <w:sz w:val="20"/>
          <w:szCs w:val="20"/>
          <w:lang w:val="pl-PL"/>
        </w:rPr>
        <w:t>stosowanie</w:t>
      </w:r>
      <w:r w:rsidR="00131937" w:rsidRPr="007C497D">
        <w:rPr>
          <w:bCs/>
          <w:sz w:val="20"/>
          <w:szCs w:val="20"/>
          <w:lang w:val="pl-PL"/>
        </w:rPr>
        <w:t xml:space="preserve"> wielolekow</w:t>
      </w:r>
      <w:r w:rsidRPr="007C497D">
        <w:rPr>
          <w:bCs/>
          <w:sz w:val="20"/>
          <w:szCs w:val="20"/>
          <w:lang w:val="pl-PL"/>
        </w:rPr>
        <w:t>ych</w:t>
      </w:r>
      <w:r w:rsidR="00131937" w:rsidRPr="007C497D">
        <w:rPr>
          <w:bCs/>
          <w:sz w:val="20"/>
          <w:szCs w:val="20"/>
          <w:lang w:val="pl-PL"/>
        </w:rPr>
        <w:t xml:space="preserve"> schemat</w:t>
      </w:r>
      <w:r w:rsidRPr="007C497D">
        <w:rPr>
          <w:bCs/>
          <w:sz w:val="20"/>
          <w:szCs w:val="20"/>
          <w:lang w:val="pl-PL"/>
        </w:rPr>
        <w:t>ów</w:t>
      </w:r>
      <w:r w:rsidR="00131937" w:rsidRPr="007C497D">
        <w:rPr>
          <w:bCs/>
          <w:sz w:val="20"/>
          <w:szCs w:val="20"/>
          <w:lang w:val="pl-PL"/>
        </w:rPr>
        <w:t xml:space="preserve"> opart</w:t>
      </w:r>
      <w:r w:rsidRPr="007C497D">
        <w:rPr>
          <w:bCs/>
          <w:sz w:val="20"/>
          <w:szCs w:val="20"/>
          <w:lang w:val="pl-PL"/>
        </w:rPr>
        <w:t>ych</w:t>
      </w:r>
      <w:r w:rsidR="00131937" w:rsidRPr="007C497D">
        <w:rPr>
          <w:bCs/>
          <w:sz w:val="20"/>
          <w:szCs w:val="20"/>
          <w:lang w:val="pl-PL"/>
        </w:rPr>
        <w:t xml:space="preserve"> na antracyklinach i taksoidach </w:t>
      </w:r>
      <w:r w:rsidR="007E38B3" w:rsidRPr="007C497D">
        <w:rPr>
          <w:bCs/>
          <w:sz w:val="20"/>
          <w:szCs w:val="20"/>
          <w:lang w:val="pl-PL"/>
        </w:rPr>
        <w:t>(I, A)</w:t>
      </w:r>
      <w:r w:rsidR="00A461FD" w:rsidRPr="007C497D">
        <w:rPr>
          <w:bCs/>
          <w:sz w:val="20"/>
          <w:szCs w:val="20"/>
          <w:lang w:val="pl-PL"/>
        </w:rPr>
        <w:t>.</w:t>
      </w:r>
    </w:p>
    <w:p w:rsidR="006B2ED8" w:rsidRPr="00C07F45" w:rsidRDefault="006B2ED8" w:rsidP="000E721D">
      <w:pPr>
        <w:numPr>
          <w:ilvl w:val="0"/>
          <w:numId w:val="25"/>
        </w:numPr>
        <w:spacing w:after="120" w:line="240" w:lineRule="auto"/>
        <w:jc w:val="both"/>
        <w:rPr>
          <w:bCs/>
          <w:sz w:val="20"/>
          <w:szCs w:val="20"/>
          <w:lang w:val="pl-PL"/>
        </w:rPr>
      </w:pPr>
      <w:r w:rsidRPr="00C07F45">
        <w:rPr>
          <w:bCs/>
          <w:sz w:val="20"/>
          <w:szCs w:val="20"/>
          <w:lang w:val="pl-PL"/>
        </w:rPr>
        <w:t xml:space="preserve">U chorych z grup </w:t>
      </w:r>
      <w:r w:rsidR="00013193" w:rsidRPr="00C07F45">
        <w:rPr>
          <w:bCs/>
          <w:sz w:val="20"/>
          <w:szCs w:val="20"/>
          <w:lang w:val="pl-PL"/>
        </w:rPr>
        <w:t>niższego</w:t>
      </w:r>
      <w:r w:rsidRPr="00C07F45">
        <w:rPr>
          <w:bCs/>
          <w:sz w:val="20"/>
          <w:szCs w:val="20"/>
          <w:lang w:val="pl-PL"/>
        </w:rPr>
        <w:t xml:space="preserve"> ryzyka (ER+, N0) </w:t>
      </w:r>
      <w:r w:rsidR="00013193" w:rsidRPr="00C07F45">
        <w:rPr>
          <w:bCs/>
          <w:sz w:val="20"/>
          <w:szCs w:val="20"/>
          <w:lang w:val="pl-PL"/>
        </w:rPr>
        <w:t>wystarczające</w:t>
      </w:r>
      <w:r w:rsidRPr="00C07F45">
        <w:rPr>
          <w:bCs/>
          <w:sz w:val="20"/>
          <w:szCs w:val="20"/>
          <w:lang w:val="pl-PL"/>
        </w:rPr>
        <w:t xml:space="preserve"> </w:t>
      </w:r>
      <w:r w:rsidR="007A0CD0" w:rsidRPr="00C07F45">
        <w:rPr>
          <w:bCs/>
          <w:sz w:val="20"/>
          <w:szCs w:val="20"/>
          <w:lang w:val="pl-PL"/>
        </w:rPr>
        <w:t xml:space="preserve">może być </w:t>
      </w:r>
      <w:r w:rsidRPr="00C07F45">
        <w:rPr>
          <w:bCs/>
          <w:sz w:val="20"/>
          <w:szCs w:val="20"/>
          <w:lang w:val="pl-PL"/>
        </w:rPr>
        <w:t xml:space="preserve">podanie 4 cykli </w:t>
      </w:r>
      <w:r w:rsidR="006D07C1" w:rsidRPr="00C07F45">
        <w:rPr>
          <w:bCs/>
          <w:sz w:val="20"/>
          <w:szCs w:val="20"/>
          <w:lang w:val="pl-PL"/>
        </w:rPr>
        <w:t>CHT</w:t>
      </w:r>
      <w:r w:rsidRPr="00C07F45">
        <w:rPr>
          <w:bCs/>
          <w:sz w:val="20"/>
          <w:szCs w:val="20"/>
          <w:lang w:val="pl-PL"/>
        </w:rPr>
        <w:t xml:space="preserve"> (AC </w:t>
      </w:r>
      <w:r w:rsidR="004453AD" w:rsidRPr="00C07F45">
        <w:rPr>
          <w:bCs/>
          <w:sz w:val="20"/>
          <w:szCs w:val="20"/>
          <w:lang w:val="pl-PL"/>
        </w:rPr>
        <w:t>lub</w:t>
      </w:r>
      <w:r w:rsidRPr="00C07F45">
        <w:rPr>
          <w:bCs/>
          <w:sz w:val="20"/>
          <w:szCs w:val="20"/>
          <w:lang w:val="pl-PL"/>
        </w:rPr>
        <w:t xml:space="preserve"> EC) </w:t>
      </w:r>
      <w:r w:rsidR="007E38B3" w:rsidRPr="00C07F45">
        <w:rPr>
          <w:bCs/>
          <w:sz w:val="20"/>
          <w:szCs w:val="20"/>
          <w:lang w:val="pl-PL"/>
        </w:rPr>
        <w:t>(I, B)</w:t>
      </w:r>
      <w:r w:rsidR="00A461FD" w:rsidRPr="00C07F45">
        <w:rPr>
          <w:bCs/>
          <w:sz w:val="20"/>
          <w:szCs w:val="20"/>
          <w:lang w:val="pl-PL"/>
        </w:rPr>
        <w:t>.</w:t>
      </w:r>
    </w:p>
    <w:p w:rsidR="001A1560" w:rsidRDefault="007D768D" w:rsidP="000E721D">
      <w:pPr>
        <w:numPr>
          <w:ilvl w:val="0"/>
          <w:numId w:val="25"/>
        </w:numPr>
        <w:spacing w:after="120" w:line="240" w:lineRule="auto"/>
        <w:jc w:val="both"/>
        <w:rPr>
          <w:bCs/>
          <w:sz w:val="20"/>
          <w:szCs w:val="20"/>
          <w:lang w:val="pl-PL"/>
        </w:rPr>
      </w:pPr>
      <w:r w:rsidRPr="007D768D">
        <w:rPr>
          <w:bCs/>
          <w:sz w:val="20"/>
          <w:szCs w:val="20"/>
          <w:lang w:val="pl-PL"/>
        </w:rPr>
        <w:t>Alternatywą dla schematu 4xAC/EC jest schemat zawierający taksoid bez antracyklin (np. 4xTC)</w:t>
      </w:r>
      <w:r w:rsidR="004453AD" w:rsidRPr="00C07F45">
        <w:rPr>
          <w:bCs/>
          <w:sz w:val="20"/>
          <w:szCs w:val="20"/>
          <w:lang w:val="pl-PL"/>
        </w:rPr>
        <w:t xml:space="preserve"> </w:t>
      </w:r>
      <w:r w:rsidR="007E38B3" w:rsidRPr="00C07F45">
        <w:rPr>
          <w:bCs/>
          <w:sz w:val="20"/>
          <w:szCs w:val="20"/>
          <w:lang w:val="pl-PL"/>
        </w:rPr>
        <w:t>(I</w:t>
      </w:r>
      <w:r w:rsidR="003A3781" w:rsidRPr="00C07F45">
        <w:rPr>
          <w:bCs/>
          <w:sz w:val="20"/>
          <w:szCs w:val="20"/>
          <w:lang w:val="pl-PL"/>
        </w:rPr>
        <w:t>I</w:t>
      </w:r>
      <w:r w:rsidR="007E38B3" w:rsidRPr="00C07F45">
        <w:rPr>
          <w:bCs/>
          <w:sz w:val="20"/>
          <w:szCs w:val="20"/>
          <w:lang w:val="pl-PL"/>
        </w:rPr>
        <w:t>, B)</w:t>
      </w:r>
      <w:r w:rsidR="001A1560" w:rsidRPr="00C07F45">
        <w:rPr>
          <w:bCs/>
          <w:sz w:val="20"/>
          <w:szCs w:val="20"/>
          <w:lang w:val="pl-PL"/>
        </w:rPr>
        <w:t>.</w:t>
      </w:r>
    </w:p>
    <w:p w:rsidR="007D768D" w:rsidRPr="00C07F45" w:rsidRDefault="007D768D" w:rsidP="000E721D">
      <w:pPr>
        <w:numPr>
          <w:ilvl w:val="0"/>
          <w:numId w:val="25"/>
        </w:numPr>
        <w:spacing w:after="120" w:line="240" w:lineRule="auto"/>
        <w:jc w:val="both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Nie zaleca się jednoczasowego stosowania antracyklin i taksoidów (np. AT, TAC) (III, B).</w:t>
      </w:r>
    </w:p>
    <w:p w:rsidR="001B17CC" w:rsidRPr="00640E2B" w:rsidRDefault="001B17CC" w:rsidP="000E721D">
      <w:pPr>
        <w:numPr>
          <w:ilvl w:val="0"/>
          <w:numId w:val="25"/>
        </w:numPr>
        <w:spacing w:after="120" w:line="240" w:lineRule="auto"/>
        <w:jc w:val="both"/>
        <w:rPr>
          <w:lang w:val="pl-PL"/>
        </w:rPr>
      </w:pPr>
      <w:r w:rsidRPr="00731321">
        <w:rPr>
          <w:rFonts w:eastAsia="SimSun" w:cs="Times New Roman"/>
          <w:sz w:val="20"/>
          <w:szCs w:val="20"/>
          <w:lang w:val="pl-PL" w:eastAsia="pl-PL"/>
        </w:rPr>
        <w:t>Po podaniu 4 cykli AC paklitaksel należy stosować w dawce 80 mg/m</w:t>
      </w:r>
      <w:r w:rsidRPr="00FF686D">
        <w:rPr>
          <w:rFonts w:eastAsia="SimSun" w:cs="Times New Roman"/>
          <w:sz w:val="20"/>
          <w:szCs w:val="20"/>
          <w:vertAlign w:val="superscript"/>
          <w:lang w:val="pl-PL" w:eastAsia="pl-PL"/>
        </w:rPr>
        <w:t xml:space="preserve">2 </w:t>
      </w:r>
      <w:r w:rsidRPr="00FF686D">
        <w:rPr>
          <w:rFonts w:eastAsia="SimSun" w:cs="Times New Roman"/>
          <w:sz w:val="20"/>
          <w:szCs w:val="20"/>
          <w:lang w:val="pl-PL" w:eastAsia="pl-PL"/>
        </w:rPr>
        <w:t>co ty</w:t>
      </w:r>
      <w:r w:rsidR="00F962C7">
        <w:rPr>
          <w:rFonts w:eastAsia="SimSun" w:cs="Times New Roman"/>
          <w:sz w:val="20"/>
          <w:szCs w:val="20"/>
          <w:lang w:val="pl-PL" w:eastAsia="pl-PL"/>
        </w:rPr>
        <w:t>dzień (12 razy), a docetaksel w </w:t>
      </w:r>
      <w:r w:rsidRPr="00FF686D">
        <w:rPr>
          <w:rFonts w:eastAsia="SimSun" w:cs="Times New Roman"/>
          <w:sz w:val="20"/>
          <w:szCs w:val="20"/>
          <w:lang w:val="pl-PL" w:eastAsia="pl-PL"/>
        </w:rPr>
        <w:t>dawce 100 mg/m</w:t>
      </w:r>
      <w:r w:rsidRPr="00902CB7">
        <w:rPr>
          <w:rFonts w:eastAsia="SimSun" w:cs="Times New Roman"/>
          <w:sz w:val="20"/>
          <w:szCs w:val="20"/>
          <w:vertAlign w:val="superscript"/>
          <w:lang w:val="pl-PL" w:eastAsia="pl-PL"/>
        </w:rPr>
        <w:t xml:space="preserve">2 </w:t>
      </w:r>
      <w:r w:rsidRPr="00453619">
        <w:rPr>
          <w:rFonts w:eastAsia="SimSun" w:cs="Times New Roman"/>
          <w:sz w:val="20"/>
          <w:szCs w:val="20"/>
          <w:lang w:val="pl-PL" w:eastAsia="pl-PL"/>
        </w:rPr>
        <w:t>co 3 tygodnie (4 razy) (I, A)</w:t>
      </w:r>
      <w:r w:rsidR="0004512D">
        <w:rPr>
          <w:rFonts w:eastAsia="SimSun" w:cs="Times New Roman"/>
          <w:sz w:val="20"/>
          <w:szCs w:val="20"/>
          <w:lang w:val="pl-PL" w:eastAsia="pl-PL"/>
        </w:rPr>
        <w:t>.</w:t>
      </w:r>
    </w:p>
    <w:p w:rsidR="00A461FD" w:rsidRPr="00640E2B" w:rsidRDefault="00A461FD" w:rsidP="000E721D">
      <w:pPr>
        <w:numPr>
          <w:ilvl w:val="0"/>
          <w:numId w:val="25"/>
        </w:numPr>
        <w:spacing w:after="120" w:line="240" w:lineRule="auto"/>
        <w:jc w:val="both"/>
        <w:rPr>
          <w:lang w:val="pl-PL"/>
        </w:rPr>
      </w:pPr>
      <w:r>
        <w:rPr>
          <w:rFonts w:eastAsia="SimSun" w:cs="Times New Roman"/>
          <w:sz w:val="20"/>
          <w:szCs w:val="20"/>
          <w:lang w:val="pl-PL" w:eastAsia="pl-PL"/>
        </w:rPr>
        <w:t>W</w:t>
      </w:r>
      <w:r w:rsidRPr="001539B9">
        <w:rPr>
          <w:rFonts w:eastAsia="SimSun" w:cs="Times New Roman"/>
          <w:sz w:val="20"/>
          <w:szCs w:val="20"/>
          <w:lang w:val="pl-PL" w:eastAsia="pl-PL"/>
        </w:rPr>
        <w:t xml:space="preserve"> okołooperacyjnym leczeni</w:t>
      </w:r>
      <w:r w:rsidRPr="005D571E">
        <w:rPr>
          <w:rFonts w:eastAsia="SimSun" w:cs="Times New Roman"/>
          <w:sz w:val="20"/>
          <w:szCs w:val="20"/>
          <w:lang w:val="pl-PL" w:eastAsia="pl-PL"/>
        </w:rPr>
        <w:t xml:space="preserve">u </w:t>
      </w:r>
      <w:r w:rsidRPr="001539B9">
        <w:rPr>
          <w:rFonts w:eastAsia="SimSun" w:cs="Times New Roman"/>
          <w:sz w:val="20"/>
          <w:szCs w:val="20"/>
          <w:lang w:val="pl-PL" w:eastAsia="pl-PL"/>
        </w:rPr>
        <w:t>nie</w:t>
      </w:r>
      <w:r w:rsidR="004453AD">
        <w:rPr>
          <w:rFonts w:eastAsia="SimSun" w:cs="Times New Roman"/>
          <w:sz w:val="20"/>
          <w:szCs w:val="20"/>
          <w:lang w:val="pl-PL" w:eastAsia="pl-PL"/>
        </w:rPr>
        <w:t>uzasadnione jest</w:t>
      </w:r>
      <w:r w:rsidRPr="001539B9">
        <w:rPr>
          <w:rFonts w:eastAsia="SimSun" w:cs="Times New Roman"/>
          <w:sz w:val="20"/>
          <w:szCs w:val="20"/>
          <w:lang w:val="pl-PL" w:eastAsia="pl-PL"/>
        </w:rPr>
        <w:t xml:space="preserve"> stosowanie </w:t>
      </w:r>
      <w:r w:rsidRPr="005D571E">
        <w:rPr>
          <w:rFonts w:eastAsia="SimSun" w:cs="Times New Roman"/>
          <w:sz w:val="20"/>
          <w:szCs w:val="20"/>
          <w:lang w:val="pl-PL" w:eastAsia="pl-PL"/>
        </w:rPr>
        <w:t>schematów</w:t>
      </w:r>
      <w:r>
        <w:rPr>
          <w:rFonts w:eastAsia="SimSun" w:cs="Times New Roman"/>
          <w:sz w:val="20"/>
          <w:szCs w:val="20"/>
          <w:lang w:val="pl-PL" w:eastAsia="pl-PL"/>
        </w:rPr>
        <w:t xml:space="preserve"> zawierających fluorouracyl</w:t>
      </w:r>
      <w:r w:rsidRPr="005D571E">
        <w:rPr>
          <w:rFonts w:eastAsia="SimSun" w:cs="Times New Roman"/>
          <w:sz w:val="20"/>
          <w:szCs w:val="20"/>
          <w:lang w:val="pl-PL" w:eastAsia="pl-PL"/>
        </w:rPr>
        <w:t xml:space="preserve"> </w:t>
      </w:r>
      <w:r w:rsidR="00F962C7">
        <w:rPr>
          <w:rFonts w:eastAsia="SimSun" w:cs="Times New Roman"/>
          <w:sz w:val="20"/>
          <w:szCs w:val="20"/>
          <w:lang w:val="pl-PL" w:eastAsia="pl-PL"/>
        </w:rPr>
        <w:t>(np. </w:t>
      </w:r>
      <w:r w:rsidRPr="005D571E">
        <w:rPr>
          <w:rFonts w:eastAsia="SimSun" w:cs="Times New Roman"/>
          <w:sz w:val="20"/>
          <w:szCs w:val="20"/>
          <w:lang w:val="pl-PL" w:eastAsia="pl-PL"/>
        </w:rPr>
        <w:t>FAC czy FEC</w:t>
      </w:r>
      <w:r>
        <w:rPr>
          <w:rFonts w:eastAsia="SimSun" w:cs="Times New Roman"/>
          <w:sz w:val="20"/>
          <w:szCs w:val="20"/>
          <w:lang w:val="pl-PL" w:eastAsia="pl-PL"/>
        </w:rPr>
        <w:t>)</w:t>
      </w:r>
      <w:r w:rsidRPr="00F463B2">
        <w:rPr>
          <w:rFonts w:eastAsia="SimSun" w:cs="Times New Roman"/>
          <w:sz w:val="20"/>
          <w:szCs w:val="20"/>
          <w:lang w:val="pl-PL" w:eastAsia="pl-PL"/>
        </w:rPr>
        <w:t xml:space="preserve"> (II, B).</w:t>
      </w:r>
    </w:p>
    <w:p w:rsidR="00131937" w:rsidRPr="00F463B2" w:rsidRDefault="007C497D" w:rsidP="000E721D">
      <w:pPr>
        <w:numPr>
          <w:ilvl w:val="0"/>
          <w:numId w:val="25"/>
        </w:numPr>
        <w:spacing w:after="120" w:line="24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U</w:t>
      </w:r>
      <w:r w:rsidRPr="00F463B2">
        <w:rPr>
          <w:sz w:val="20"/>
          <w:szCs w:val="20"/>
          <w:lang w:val="pl-PL"/>
        </w:rPr>
        <w:t xml:space="preserve"> chorych </w:t>
      </w:r>
      <w:r w:rsidR="00C63FC4">
        <w:rPr>
          <w:sz w:val="20"/>
          <w:szCs w:val="20"/>
          <w:lang w:val="pl-PL"/>
        </w:rPr>
        <w:t xml:space="preserve">ER- </w:t>
      </w:r>
      <w:r w:rsidRPr="00F463B2">
        <w:rPr>
          <w:sz w:val="20"/>
          <w:szCs w:val="20"/>
          <w:lang w:val="pl-PL"/>
        </w:rPr>
        <w:t xml:space="preserve">z </w:t>
      </w:r>
      <w:r w:rsidR="00C63FC4">
        <w:rPr>
          <w:sz w:val="20"/>
          <w:szCs w:val="20"/>
          <w:lang w:val="pl-PL"/>
        </w:rPr>
        <w:t>cechą N+</w:t>
      </w:r>
      <w:r w:rsidRPr="00F463B2">
        <w:rPr>
          <w:sz w:val="20"/>
          <w:szCs w:val="20"/>
          <w:lang w:val="pl-PL"/>
        </w:rPr>
        <w:t xml:space="preserve"> </w:t>
      </w:r>
      <w:r w:rsidR="00C63FC4">
        <w:rPr>
          <w:sz w:val="20"/>
          <w:szCs w:val="20"/>
          <w:lang w:val="pl-PL"/>
        </w:rPr>
        <w:t>można</w:t>
      </w:r>
      <w:r w:rsidRPr="00F463B2">
        <w:rPr>
          <w:sz w:val="20"/>
          <w:szCs w:val="20"/>
          <w:lang w:val="pl-PL"/>
        </w:rPr>
        <w:t xml:space="preserve"> rozważyć </w:t>
      </w:r>
      <w:r>
        <w:rPr>
          <w:sz w:val="20"/>
          <w:szCs w:val="20"/>
          <w:lang w:val="pl-PL"/>
        </w:rPr>
        <w:t>zastosowanie schematów</w:t>
      </w:r>
      <w:r w:rsidR="001A1560" w:rsidRPr="00F463B2">
        <w:rPr>
          <w:sz w:val="20"/>
          <w:szCs w:val="20"/>
          <w:lang w:val="pl-PL"/>
        </w:rPr>
        <w:t xml:space="preserve"> typu</w:t>
      </w:r>
      <w:r w:rsidR="001A1560" w:rsidRPr="00F463B2">
        <w:rPr>
          <w:lang w:val="pl-PL"/>
        </w:rPr>
        <w:t xml:space="preserve"> „</w:t>
      </w:r>
      <w:r w:rsidR="001A1560" w:rsidRPr="00F463B2">
        <w:rPr>
          <w:rFonts w:eastAsia="SimSun" w:cs="Times New Roman"/>
          <w:i/>
          <w:sz w:val="20"/>
          <w:szCs w:val="20"/>
          <w:lang w:val="pl-PL" w:eastAsia="pl-PL"/>
        </w:rPr>
        <w:t>dose-dense”</w:t>
      </w:r>
      <w:r w:rsidR="001A1560" w:rsidRPr="00F463B2">
        <w:rPr>
          <w:lang w:val="pl-PL"/>
        </w:rPr>
        <w:t xml:space="preserve"> </w:t>
      </w:r>
      <w:r w:rsidR="001A1560" w:rsidRPr="00F463B2">
        <w:rPr>
          <w:sz w:val="20"/>
          <w:szCs w:val="20"/>
          <w:lang w:val="pl-PL"/>
        </w:rPr>
        <w:t>(I, B)</w:t>
      </w:r>
      <w:r w:rsidR="00A461FD">
        <w:rPr>
          <w:sz w:val="20"/>
          <w:szCs w:val="20"/>
          <w:lang w:val="pl-PL"/>
        </w:rPr>
        <w:t>.</w:t>
      </w:r>
    </w:p>
    <w:p w:rsidR="00AB6011" w:rsidRPr="00F463B2" w:rsidRDefault="00AB6011" w:rsidP="000E721D">
      <w:pPr>
        <w:numPr>
          <w:ilvl w:val="0"/>
          <w:numId w:val="25"/>
        </w:numPr>
        <w:spacing w:after="120" w:line="24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U</w:t>
      </w:r>
      <w:r w:rsidRPr="00F463B2">
        <w:rPr>
          <w:sz w:val="20"/>
          <w:szCs w:val="20"/>
          <w:lang w:val="pl-PL"/>
        </w:rPr>
        <w:t xml:space="preserve"> nosicielek mutacji </w:t>
      </w:r>
      <w:r w:rsidRPr="0021560D">
        <w:rPr>
          <w:i/>
          <w:sz w:val="20"/>
          <w:szCs w:val="20"/>
          <w:lang w:val="pl-PL"/>
        </w:rPr>
        <w:t>BRCA1/2</w:t>
      </w:r>
      <w:r w:rsidRPr="00F463B2">
        <w:rPr>
          <w:sz w:val="20"/>
          <w:szCs w:val="20"/>
          <w:lang w:val="pl-PL"/>
        </w:rPr>
        <w:t xml:space="preserve"> </w:t>
      </w:r>
      <w:r w:rsidR="007C497D">
        <w:rPr>
          <w:sz w:val="20"/>
          <w:szCs w:val="20"/>
          <w:lang w:val="pl-PL"/>
        </w:rPr>
        <w:t>należy</w:t>
      </w:r>
      <w:r w:rsidRPr="00F463B2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rozważyć</w:t>
      </w:r>
      <w:r w:rsidRPr="00F463B2">
        <w:rPr>
          <w:sz w:val="20"/>
          <w:szCs w:val="20"/>
          <w:lang w:val="pl-PL"/>
        </w:rPr>
        <w:t xml:space="preserve"> zastosowanie przedoperacyjnej </w:t>
      </w:r>
      <w:r>
        <w:rPr>
          <w:sz w:val="20"/>
          <w:szCs w:val="20"/>
          <w:lang w:val="pl-PL"/>
        </w:rPr>
        <w:t>CHT</w:t>
      </w:r>
      <w:r w:rsidRPr="00F463B2">
        <w:rPr>
          <w:sz w:val="20"/>
          <w:szCs w:val="20"/>
          <w:lang w:val="pl-PL"/>
        </w:rPr>
        <w:t xml:space="preserve"> z udziałem pochodnych platyny (I, B).</w:t>
      </w:r>
    </w:p>
    <w:p w:rsidR="003F7AA5" w:rsidRPr="00F463B2" w:rsidRDefault="004453AD" w:rsidP="000E721D">
      <w:pPr>
        <w:numPr>
          <w:ilvl w:val="0"/>
          <w:numId w:val="25"/>
        </w:numPr>
        <w:spacing w:after="120" w:line="24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</w:t>
      </w:r>
      <w:r w:rsidRPr="00F463B2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pooperacyjnym</w:t>
      </w:r>
      <w:r w:rsidRPr="00F463B2">
        <w:rPr>
          <w:sz w:val="20"/>
          <w:szCs w:val="20"/>
          <w:lang w:val="pl-PL"/>
        </w:rPr>
        <w:t xml:space="preserve"> </w:t>
      </w:r>
      <w:r w:rsidR="00AB6011" w:rsidRPr="00F463B2">
        <w:rPr>
          <w:sz w:val="20"/>
          <w:szCs w:val="20"/>
          <w:lang w:val="pl-PL"/>
        </w:rPr>
        <w:t xml:space="preserve">leczeniu </w:t>
      </w:r>
      <w:r w:rsidR="0004512D" w:rsidRPr="00F463B2">
        <w:rPr>
          <w:sz w:val="20"/>
          <w:szCs w:val="20"/>
          <w:lang w:val="pl-PL"/>
        </w:rPr>
        <w:t xml:space="preserve">nosicielek mutacji </w:t>
      </w:r>
      <w:r w:rsidR="0004512D" w:rsidRPr="00D527BE">
        <w:rPr>
          <w:i/>
          <w:sz w:val="20"/>
          <w:szCs w:val="20"/>
          <w:lang w:val="pl-PL"/>
        </w:rPr>
        <w:t>BRCA1/2</w:t>
      </w:r>
      <w:r w:rsidR="0004512D" w:rsidRPr="00F463B2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n</w:t>
      </w:r>
      <w:r w:rsidR="003F7AA5" w:rsidRPr="00F463B2">
        <w:rPr>
          <w:sz w:val="20"/>
          <w:szCs w:val="20"/>
          <w:lang w:val="pl-PL"/>
        </w:rPr>
        <w:t>ie zaleca się rutynowego stosowania pochodnych platyny</w:t>
      </w:r>
      <w:r w:rsidR="00306342">
        <w:rPr>
          <w:sz w:val="20"/>
          <w:szCs w:val="20"/>
          <w:lang w:val="pl-PL"/>
        </w:rPr>
        <w:t xml:space="preserve">, </w:t>
      </w:r>
      <w:r w:rsidR="00306342" w:rsidRPr="00724D17">
        <w:rPr>
          <w:rFonts w:eastAsia="SimSun" w:cs="Times New Roman"/>
          <w:sz w:val="20"/>
          <w:szCs w:val="20"/>
          <w:lang w:val="pl-PL" w:eastAsia="pl-PL"/>
        </w:rPr>
        <w:t>natomiast chore te, oprócz antracyklin i taksoidów</w:t>
      </w:r>
      <w:r w:rsidR="00AB6011">
        <w:rPr>
          <w:rFonts w:eastAsia="SimSun" w:cs="Times New Roman"/>
          <w:sz w:val="20"/>
          <w:szCs w:val="20"/>
          <w:lang w:val="pl-PL" w:eastAsia="pl-PL"/>
        </w:rPr>
        <w:t>,</w:t>
      </w:r>
      <w:r w:rsidR="00306342" w:rsidRPr="00724D17">
        <w:rPr>
          <w:rFonts w:eastAsia="SimSun" w:cs="Times New Roman"/>
          <w:sz w:val="20"/>
          <w:szCs w:val="20"/>
          <w:lang w:val="pl-PL" w:eastAsia="pl-PL"/>
        </w:rPr>
        <w:t xml:space="preserve"> powinny otrzymać </w:t>
      </w:r>
      <w:r w:rsidR="007D768D">
        <w:rPr>
          <w:rFonts w:eastAsia="SimSun" w:cs="Times New Roman"/>
          <w:sz w:val="20"/>
          <w:szCs w:val="20"/>
          <w:lang w:val="pl-PL" w:eastAsia="pl-PL"/>
        </w:rPr>
        <w:t xml:space="preserve">cyklofosfamid w ramach schematów 4xAC/EC </w:t>
      </w:r>
      <w:r w:rsidR="007D768D" w:rsidRPr="00B67C28">
        <w:rPr>
          <w:rFonts w:eastAsia="SimSun" w:cs="Times New Roman"/>
          <w:sz w:val="20"/>
          <w:szCs w:val="20"/>
          <w:lang w:val="pl-PL" w:eastAsia="pl-PL"/>
        </w:rPr>
        <w:sym w:font="Wingdings" w:char="F0E0"/>
      </w:r>
      <w:r w:rsidR="007D768D">
        <w:rPr>
          <w:rFonts w:eastAsia="SimSun" w:cs="Times New Roman"/>
          <w:sz w:val="20"/>
          <w:szCs w:val="20"/>
          <w:lang w:val="pl-PL" w:eastAsia="pl-PL"/>
        </w:rPr>
        <w:t xml:space="preserve"> 12xPXL/4xDXL</w:t>
      </w:r>
      <w:r w:rsidR="007D768D" w:rsidRPr="00F463B2">
        <w:rPr>
          <w:sz w:val="20"/>
          <w:szCs w:val="20"/>
          <w:lang w:val="pl-PL"/>
        </w:rPr>
        <w:t xml:space="preserve"> </w:t>
      </w:r>
      <w:r w:rsidR="00952D33">
        <w:rPr>
          <w:sz w:val="20"/>
          <w:szCs w:val="20"/>
          <w:lang w:val="pl-PL"/>
        </w:rPr>
        <w:t>(</w:t>
      </w:r>
      <w:r w:rsidR="00306342">
        <w:rPr>
          <w:sz w:val="20"/>
          <w:szCs w:val="20"/>
          <w:lang w:val="pl-PL"/>
        </w:rPr>
        <w:t>II</w:t>
      </w:r>
      <w:r w:rsidR="00BA5806" w:rsidRPr="00F463B2">
        <w:rPr>
          <w:sz w:val="20"/>
          <w:szCs w:val="20"/>
          <w:lang w:val="pl-PL"/>
        </w:rPr>
        <w:t xml:space="preserve">, </w:t>
      </w:r>
      <w:r w:rsidR="00306342">
        <w:rPr>
          <w:sz w:val="20"/>
          <w:szCs w:val="20"/>
          <w:lang w:val="pl-PL"/>
        </w:rPr>
        <w:t>C</w:t>
      </w:r>
      <w:r w:rsidR="00BA5806" w:rsidRPr="00F463B2">
        <w:rPr>
          <w:sz w:val="20"/>
          <w:szCs w:val="20"/>
          <w:lang w:val="pl-PL"/>
        </w:rPr>
        <w:t>)</w:t>
      </w:r>
      <w:r w:rsidR="0004512D">
        <w:rPr>
          <w:sz w:val="20"/>
          <w:szCs w:val="20"/>
          <w:lang w:val="pl-PL"/>
        </w:rPr>
        <w:t>.</w:t>
      </w:r>
    </w:p>
    <w:p w:rsidR="00BC60F5" w:rsidRDefault="007A0CD0" w:rsidP="000E721D">
      <w:pPr>
        <w:numPr>
          <w:ilvl w:val="0"/>
          <w:numId w:val="25"/>
        </w:numPr>
        <w:spacing w:after="120" w:line="240" w:lineRule="auto"/>
        <w:jc w:val="both"/>
        <w:rPr>
          <w:sz w:val="20"/>
          <w:szCs w:val="20"/>
          <w:lang w:val="pl-PL"/>
        </w:rPr>
      </w:pPr>
      <w:r>
        <w:rPr>
          <w:rFonts w:eastAsia="SimSun" w:cs="Times New Roman"/>
          <w:sz w:val="20"/>
          <w:szCs w:val="20"/>
          <w:lang w:val="pl-PL" w:eastAsia="pl-PL"/>
        </w:rPr>
        <w:t>Zaplanowaną p</w:t>
      </w:r>
      <w:r w:rsidR="00E52B99" w:rsidRPr="008B159F">
        <w:rPr>
          <w:rFonts w:eastAsia="SimSun" w:cs="Times New Roman"/>
          <w:sz w:val="20"/>
          <w:szCs w:val="20"/>
          <w:lang w:val="pl-PL" w:eastAsia="pl-PL"/>
        </w:rPr>
        <w:t xml:space="preserve">rzedoperacyjną </w:t>
      </w:r>
      <w:r w:rsidR="008E73D5">
        <w:rPr>
          <w:rFonts w:eastAsia="SimSun" w:cs="Times New Roman"/>
          <w:sz w:val="20"/>
          <w:szCs w:val="20"/>
          <w:lang w:val="pl-PL" w:eastAsia="pl-PL"/>
        </w:rPr>
        <w:t>CHT</w:t>
      </w:r>
      <w:r w:rsidR="00E52B99" w:rsidRPr="008B159F">
        <w:rPr>
          <w:rFonts w:eastAsia="SimSun" w:cs="Times New Roman"/>
          <w:sz w:val="20"/>
          <w:szCs w:val="20"/>
          <w:lang w:val="pl-PL" w:eastAsia="pl-PL"/>
        </w:rPr>
        <w:t>, niezależnie od stopnia</w:t>
      </w:r>
      <w:r w:rsidR="00E52B99" w:rsidRPr="005F3A71">
        <w:rPr>
          <w:rFonts w:eastAsia="SimSun" w:cs="Times New Roman"/>
          <w:sz w:val="20"/>
          <w:szCs w:val="20"/>
          <w:lang w:val="pl-PL" w:eastAsia="pl-PL"/>
        </w:rPr>
        <w:t xml:space="preserve"> regresji guz</w:t>
      </w:r>
      <w:r w:rsidR="00F962C7">
        <w:rPr>
          <w:rFonts w:eastAsia="SimSun" w:cs="Times New Roman"/>
          <w:sz w:val="20"/>
          <w:szCs w:val="20"/>
          <w:lang w:val="pl-PL" w:eastAsia="pl-PL"/>
        </w:rPr>
        <w:t xml:space="preserve">a, należy podać w całości </w:t>
      </w:r>
      <w:r w:rsidR="00F962C7">
        <w:rPr>
          <w:rFonts w:eastAsia="SimSun" w:cs="Times New Roman"/>
          <w:sz w:val="20"/>
          <w:szCs w:val="20"/>
          <w:lang w:val="pl-PL" w:eastAsia="pl-PL"/>
        </w:rPr>
        <w:lastRenderedPageBreak/>
        <w:t>przed </w:t>
      </w:r>
      <w:r w:rsidR="00E52B99" w:rsidRPr="005F3A71">
        <w:rPr>
          <w:rFonts w:eastAsia="SimSun" w:cs="Times New Roman"/>
          <w:sz w:val="20"/>
          <w:szCs w:val="20"/>
          <w:lang w:val="pl-PL" w:eastAsia="pl-PL"/>
        </w:rPr>
        <w:t xml:space="preserve">zabiegiem, </w:t>
      </w:r>
      <w:r w:rsidR="00E52B99" w:rsidRPr="0067315D">
        <w:rPr>
          <w:rFonts w:eastAsia="SimSun" w:cs="Times New Roman"/>
          <w:sz w:val="20"/>
          <w:szCs w:val="20"/>
          <w:lang w:val="pl-PL" w:eastAsia="pl-PL"/>
        </w:rPr>
        <w:t>tj</w:t>
      </w:r>
      <w:r>
        <w:rPr>
          <w:rFonts w:eastAsia="SimSun" w:cs="Times New Roman"/>
          <w:sz w:val="20"/>
          <w:szCs w:val="20"/>
          <w:lang w:val="pl-PL" w:eastAsia="pl-PL"/>
        </w:rPr>
        <w:t>.</w:t>
      </w:r>
      <w:r w:rsidR="00E52B99" w:rsidRPr="003E58B8">
        <w:rPr>
          <w:rFonts w:eastAsia="SimSun" w:cs="Times New Roman"/>
          <w:sz w:val="20"/>
          <w:szCs w:val="20"/>
          <w:lang w:val="pl-PL" w:eastAsia="pl-PL"/>
        </w:rPr>
        <w:t xml:space="preserve"> nie należy jej dzielić na okres pr</w:t>
      </w:r>
      <w:r w:rsidR="00952D33">
        <w:rPr>
          <w:rFonts w:eastAsia="SimSun" w:cs="Times New Roman"/>
          <w:sz w:val="20"/>
          <w:szCs w:val="20"/>
          <w:lang w:val="pl-PL" w:eastAsia="pl-PL"/>
        </w:rPr>
        <w:t>zed i po zabiegu (III</w:t>
      </w:r>
      <w:r w:rsidR="00E52B99" w:rsidRPr="003E58B8">
        <w:rPr>
          <w:rFonts w:eastAsia="SimSun" w:cs="Times New Roman"/>
          <w:sz w:val="20"/>
          <w:szCs w:val="20"/>
          <w:lang w:val="pl-PL" w:eastAsia="pl-PL"/>
        </w:rPr>
        <w:t>, B).</w:t>
      </w:r>
      <w:r w:rsidR="00E52B99" w:rsidRPr="00F463B2" w:rsidDel="00E52B99">
        <w:rPr>
          <w:sz w:val="20"/>
          <w:szCs w:val="20"/>
          <w:lang w:val="pl-PL"/>
        </w:rPr>
        <w:t xml:space="preserve"> </w:t>
      </w:r>
    </w:p>
    <w:p w:rsidR="00815EE4" w:rsidRDefault="00E52B99" w:rsidP="000E721D">
      <w:pPr>
        <w:numPr>
          <w:ilvl w:val="0"/>
          <w:numId w:val="25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2D1D36">
        <w:rPr>
          <w:rFonts w:eastAsia="SimSun" w:cs="Times New Roman"/>
          <w:sz w:val="20"/>
          <w:szCs w:val="20"/>
          <w:lang w:val="pl-PL" w:eastAsia="pl-PL"/>
        </w:rPr>
        <w:t xml:space="preserve">Jeśli w trakcie przedoperacyjnej CHT dojdzie do progresji, należy rozważyć wykonanie zabiegu operacyjnego, radykalnej </w:t>
      </w:r>
      <w:r w:rsidRPr="003E1140">
        <w:rPr>
          <w:rFonts w:eastAsia="SimSun" w:cs="Times New Roman"/>
          <w:sz w:val="20"/>
          <w:szCs w:val="20"/>
          <w:lang w:val="pl-PL" w:eastAsia="pl-PL"/>
        </w:rPr>
        <w:t>RT</w:t>
      </w:r>
      <w:r w:rsidRPr="00563EB7">
        <w:rPr>
          <w:rFonts w:eastAsia="SimSun" w:cs="Times New Roman"/>
          <w:sz w:val="20"/>
          <w:szCs w:val="20"/>
          <w:lang w:val="pl-PL" w:eastAsia="pl-PL"/>
        </w:rPr>
        <w:t xml:space="preserve"> lub zastosowani</w:t>
      </w:r>
      <w:r w:rsidRPr="00ED3745">
        <w:rPr>
          <w:rFonts w:eastAsia="SimSun" w:cs="Times New Roman"/>
          <w:sz w:val="20"/>
          <w:szCs w:val="20"/>
          <w:lang w:val="pl-PL" w:eastAsia="pl-PL"/>
        </w:rPr>
        <w:t xml:space="preserve">e innego schematu, potencjalnie niewykazującego krzyżowej </w:t>
      </w:r>
      <w:r w:rsidR="00F962C7">
        <w:rPr>
          <w:rFonts w:eastAsia="SimSun" w:cs="Times New Roman"/>
          <w:sz w:val="20"/>
          <w:szCs w:val="20"/>
          <w:lang w:val="pl-PL" w:eastAsia="pl-PL"/>
        </w:rPr>
        <w:t>oporności z </w:t>
      </w:r>
      <w:r w:rsidRPr="00ED3745">
        <w:rPr>
          <w:rFonts w:eastAsia="SimSun" w:cs="Times New Roman"/>
          <w:sz w:val="20"/>
          <w:szCs w:val="20"/>
          <w:lang w:val="pl-PL" w:eastAsia="pl-PL"/>
        </w:rPr>
        <w:t xml:space="preserve">pierwotnie zastosowanym (III, C). </w:t>
      </w:r>
    </w:p>
    <w:p w:rsidR="00A66A5B" w:rsidRPr="00A66A5B" w:rsidRDefault="00164F7D" w:rsidP="000E721D">
      <w:pPr>
        <w:widowControl/>
        <w:numPr>
          <w:ilvl w:val="0"/>
          <w:numId w:val="25"/>
        </w:numPr>
        <w:spacing w:after="120" w:line="240" w:lineRule="auto"/>
        <w:jc w:val="both"/>
        <w:rPr>
          <w:rFonts w:eastAsia="SimSun" w:cs="Times New Roman"/>
          <w:sz w:val="20"/>
          <w:szCs w:val="20"/>
          <w:lang w:val="pl-PL" w:eastAsia="pl-PL"/>
        </w:rPr>
      </w:pPr>
      <w:r w:rsidRPr="00A66A5B">
        <w:rPr>
          <w:sz w:val="20"/>
          <w:szCs w:val="20"/>
          <w:lang w:val="pl-PL"/>
        </w:rPr>
        <w:t xml:space="preserve">U chorych (szczególnie z postacią raka trójujemnego), u których po zastosowaniu przedoperacyjnej </w:t>
      </w:r>
      <w:r w:rsidR="006D07C1" w:rsidRPr="00A66A5B">
        <w:rPr>
          <w:sz w:val="20"/>
          <w:szCs w:val="20"/>
          <w:lang w:val="pl-PL"/>
        </w:rPr>
        <w:t>CHT</w:t>
      </w:r>
      <w:r w:rsidRPr="00A66A5B">
        <w:rPr>
          <w:sz w:val="20"/>
          <w:szCs w:val="20"/>
          <w:lang w:val="pl-PL"/>
        </w:rPr>
        <w:t xml:space="preserve"> stwierdzono chorobę </w:t>
      </w:r>
      <w:r w:rsidR="00013193" w:rsidRPr="00A66A5B">
        <w:rPr>
          <w:sz w:val="20"/>
          <w:szCs w:val="20"/>
          <w:lang w:val="pl-PL"/>
        </w:rPr>
        <w:t>resztkową</w:t>
      </w:r>
      <w:r w:rsidRPr="00A66A5B">
        <w:rPr>
          <w:sz w:val="20"/>
          <w:szCs w:val="20"/>
          <w:lang w:val="pl-PL"/>
        </w:rPr>
        <w:t xml:space="preserve">, </w:t>
      </w:r>
      <w:r w:rsidR="00AB6011" w:rsidRPr="00A66A5B">
        <w:rPr>
          <w:sz w:val="20"/>
          <w:szCs w:val="20"/>
          <w:lang w:val="pl-PL"/>
        </w:rPr>
        <w:t>należy</w:t>
      </w:r>
      <w:r w:rsidRPr="00A66A5B">
        <w:rPr>
          <w:sz w:val="20"/>
          <w:szCs w:val="20"/>
          <w:lang w:val="pl-PL"/>
        </w:rPr>
        <w:t xml:space="preserve"> rozważyć podanie po operacji 6-8 cykli kapecytabin</w:t>
      </w:r>
      <w:r w:rsidR="0004512D" w:rsidRPr="00A66A5B">
        <w:rPr>
          <w:sz w:val="20"/>
          <w:szCs w:val="20"/>
          <w:lang w:val="pl-PL"/>
        </w:rPr>
        <w:t>y</w:t>
      </w:r>
      <w:r w:rsidRPr="00A66A5B">
        <w:rPr>
          <w:sz w:val="20"/>
          <w:szCs w:val="20"/>
          <w:lang w:val="pl-PL"/>
        </w:rPr>
        <w:t xml:space="preserve"> (I, B).</w:t>
      </w:r>
      <w:r w:rsidR="00A66A5B">
        <w:rPr>
          <w:sz w:val="20"/>
          <w:szCs w:val="20"/>
          <w:lang w:val="pl-PL"/>
        </w:rPr>
        <w:t xml:space="preserve"> </w:t>
      </w:r>
      <w:r w:rsidR="00F962C7">
        <w:rPr>
          <w:rFonts w:eastAsia="SimSun" w:cs="Times New Roman"/>
          <w:sz w:val="20"/>
          <w:szCs w:val="20"/>
          <w:lang w:val="pl-PL" w:eastAsia="pl-PL"/>
        </w:rPr>
        <w:t>W </w:t>
      </w:r>
      <w:r w:rsidR="00A66A5B" w:rsidRPr="00A66A5B">
        <w:rPr>
          <w:rFonts w:eastAsia="SimSun" w:cs="Times New Roman"/>
          <w:sz w:val="20"/>
          <w:szCs w:val="20"/>
          <w:lang w:val="pl-PL" w:eastAsia="pl-PL"/>
        </w:rPr>
        <w:t xml:space="preserve">przypadku raków z ekspresją ER, kapecytabina </w:t>
      </w:r>
      <w:r w:rsidR="00A66A5B">
        <w:rPr>
          <w:rFonts w:eastAsia="SimSun" w:cs="Times New Roman"/>
          <w:sz w:val="20"/>
          <w:szCs w:val="20"/>
          <w:lang w:val="pl-PL" w:eastAsia="pl-PL"/>
        </w:rPr>
        <w:t>może</w:t>
      </w:r>
      <w:r w:rsidR="00A66A5B" w:rsidRPr="00A66A5B">
        <w:rPr>
          <w:rFonts w:eastAsia="SimSun" w:cs="Times New Roman"/>
          <w:sz w:val="20"/>
          <w:szCs w:val="20"/>
          <w:lang w:val="pl-PL" w:eastAsia="pl-PL"/>
        </w:rPr>
        <w:t xml:space="preserve"> być stosowana równolegle z hormonoterapią</w:t>
      </w:r>
      <w:r w:rsidR="00A66A5B">
        <w:rPr>
          <w:rFonts w:eastAsia="SimSun" w:cs="Times New Roman"/>
          <w:sz w:val="20"/>
          <w:szCs w:val="20"/>
          <w:lang w:val="pl-PL" w:eastAsia="pl-PL"/>
        </w:rPr>
        <w:t xml:space="preserve"> (III, B)</w:t>
      </w:r>
      <w:r w:rsidR="00A66A5B" w:rsidRPr="00A66A5B">
        <w:rPr>
          <w:rFonts w:eastAsia="SimSun" w:cs="Times New Roman"/>
          <w:sz w:val="20"/>
          <w:szCs w:val="20"/>
          <w:lang w:val="pl-PL" w:eastAsia="pl-PL"/>
        </w:rPr>
        <w:t xml:space="preserve">. </w:t>
      </w:r>
    </w:p>
    <w:p w:rsidR="000459A4" w:rsidRPr="000459A4" w:rsidRDefault="000459A4" w:rsidP="000E721D">
      <w:pPr>
        <w:numPr>
          <w:ilvl w:val="0"/>
          <w:numId w:val="25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0459A4">
        <w:rPr>
          <w:sz w:val="20"/>
          <w:szCs w:val="20"/>
          <w:lang w:val="pl-PL"/>
        </w:rPr>
        <w:t>Wszystkie chore przed menopauzą, u których przewiduje się zastos</w:t>
      </w:r>
      <w:r>
        <w:rPr>
          <w:sz w:val="20"/>
          <w:szCs w:val="20"/>
          <w:lang w:val="pl-PL"/>
        </w:rPr>
        <w:t>owanie chemioterapii</w:t>
      </w:r>
      <w:r w:rsidR="007A0CD0">
        <w:rPr>
          <w:sz w:val="20"/>
          <w:szCs w:val="20"/>
          <w:lang w:val="pl-PL"/>
        </w:rPr>
        <w:t>,</w:t>
      </w:r>
      <w:r>
        <w:rPr>
          <w:sz w:val="20"/>
          <w:szCs w:val="20"/>
          <w:lang w:val="pl-PL"/>
        </w:rPr>
        <w:t xml:space="preserve"> powinny być</w:t>
      </w:r>
      <w:r w:rsidRPr="000459A4">
        <w:rPr>
          <w:sz w:val="20"/>
          <w:szCs w:val="20"/>
          <w:lang w:val="pl-PL"/>
        </w:rPr>
        <w:t xml:space="preserve"> poinformowane o </w:t>
      </w:r>
      <w:r>
        <w:rPr>
          <w:sz w:val="20"/>
          <w:szCs w:val="20"/>
          <w:lang w:val="pl-PL"/>
        </w:rPr>
        <w:t>jej</w:t>
      </w:r>
      <w:r w:rsidRPr="000459A4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potencjalnym wpływie na płodność oraz o możliwościach zmniejszenia tego ryzyka (</w:t>
      </w:r>
      <w:r w:rsidR="00952D33">
        <w:rPr>
          <w:sz w:val="20"/>
          <w:szCs w:val="20"/>
          <w:lang w:val="pl-PL"/>
        </w:rPr>
        <w:t>I</w:t>
      </w:r>
      <w:r w:rsidR="00F962C7">
        <w:rPr>
          <w:sz w:val="20"/>
          <w:szCs w:val="20"/>
          <w:lang w:val="pl-PL"/>
        </w:rPr>
        <w:t>V, </w:t>
      </w:r>
      <w:r>
        <w:rPr>
          <w:sz w:val="20"/>
          <w:szCs w:val="20"/>
          <w:lang w:val="pl-PL"/>
        </w:rPr>
        <w:t xml:space="preserve">A). </w:t>
      </w:r>
    </w:p>
    <w:p w:rsidR="00815EE4" w:rsidRPr="000459A4" w:rsidRDefault="00815EE4" w:rsidP="00640E2B">
      <w:pPr>
        <w:ind w:left="567"/>
        <w:rPr>
          <w:sz w:val="20"/>
          <w:szCs w:val="20"/>
          <w:lang w:val="pl-PL"/>
        </w:rPr>
      </w:pPr>
    </w:p>
    <w:p w:rsidR="006A3D31" w:rsidRPr="00F463B2" w:rsidRDefault="006A3D31" w:rsidP="00F962C7">
      <w:pPr>
        <w:pStyle w:val="Nagwek3"/>
        <w:spacing w:after="120" w:line="240" w:lineRule="auto"/>
        <w:rPr>
          <w:rFonts w:ascii="Arial" w:eastAsia="SimSun" w:hAnsi="Arial" w:cs="Arial"/>
          <w:color w:val="2E74B5"/>
          <w:sz w:val="20"/>
          <w:szCs w:val="20"/>
          <w:lang w:val="pl-PL" w:eastAsia="pl-PL"/>
        </w:rPr>
      </w:pPr>
      <w:bookmarkStart w:id="24" w:name="_Toc516233156"/>
      <w:r w:rsidRPr="00F463B2">
        <w:rPr>
          <w:rFonts w:ascii="Arial" w:eastAsia="SimSun" w:hAnsi="Arial" w:cs="Arial"/>
          <w:color w:val="2E74B5"/>
          <w:sz w:val="20"/>
          <w:szCs w:val="20"/>
          <w:lang w:val="pl-PL" w:eastAsia="pl-PL"/>
        </w:rPr>
        <w:t>Leczenie anty-HER2</w:t>
      </w:r>
      <w:bookmarkEnd w:id="24"/>
    </w:p>
    <w:p w:rsidR="00EA72BA" w:rsidRPr="00640E2B" w:rsidRDefault="00014E85" w:rsidP="000E721D">
      <w:pPr>
        <w:numPr>
          <w:ilvl w:val="0"/>
          <w:numId w:val="25"/>
        </w:numPr>
        <w:spacing w:before="240"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9D6B8A">
        <w:rPr>
          <w:bCs/>
          <w:sz w:val="20"/>
          <w:szCs w:val="20"/>
          <w:lang w:val="pl-PL"/>
        </w:rPr>
        <w:t xml:space="preserve">W </w:t>
      </w:r>
      <w:r w:rsidRPr="00E763C7">
        <w:rPr>
          <w:bCs/>
          <w:sz w:val="20"/>
          <w:szCs w:val="20"/>
          <w:lang w:val="pl-PL"/>
        </w:rPr>
        <w:t>około</w:t>
      </w:r>
      <w:r w:rsidRPr="00640E2B">
        <w:rPr>
          <w:bCs/>
          <w:sz w:val="20"/>
          <w:szCs w:val="20"/>
          <w:lang w:val="pl-PL"/>
        </w:rPr>
        <w:t xml:space="preserve">operacyjnym leczeniu chorych z cechą HER2+ </w:t>
      </w:r>
      <w:r w:rsidR="00E879CA" w:rsidRPr="00640E2B">
        <w:rPr>
          <w:bCs/>
          <w:sz w:val="20"/>
          <w:szCs w:val="20"/>
          <w:lang w:val="pl-PL"/>
        </w:rPr>
        <w:t>zaleca się</w:t>
      </w:r>
      <w:r w:rsidRPr="00640E2B">
        <w:rPr>
          <w:bCs/>
          <w:sz w:val="20"/>
          <w:szCs w:val="20"/>
          <w:lang w:val="pl-PL"/>
        </w:rPr>
        <w:t xml:space="preserve"> kojarzenie </w:t>
      </w:r>
      <w:r w:rsidR="006D07C1" w:rsidRPr="00640E2B">
        <w:rPr>
          <w:bCs/>
          <w:sz w:val="20"/>
          <w:szCs w:val="20"/>
          <w:lang w:val="pl-PL"/>
        </w:rPr>
        <w:t>CHT</w:t>
      </w:r>
      <w:r w:rsidRPr="00640E2B">
        <w:rPr>
          <w:bCs/>
          <w:sz w:val="20"/>
          <w:szCs w:val="20"/>
          <w:lang w:val="pl-PL"/>
        </w:rPr>
        <w:t xml:space="preserve"> z trastuzumabem</w:t>
      </w:r>
      <w:r w:rsidR="00013193" w:rsidRPr="00640E2B">
        <w:rPr>
          <w:bCs/>
          <w:sz w:val="20"/>
          <w:szCs w:val="20"/>
          <w:lang w:val="pl-PL"/>
        </w:rPr>
        <w:t xml:space="preserve"> </w:t>
      </w:r>
      <w:r w:rsidRPr="00640E2B">
        <w:rPr>
          <w:bCs/>
          <w:sz w:val="20"/>
          <w:szCs w:val="20"/>
          <w:lang w:val="pl-PL"/>
        </w:rPr>
        <w:t xml:space="preserve">podawanym </w:t>
      </w:r>
      <w:r w:rsidR="00BF77C0" w:rsidRPr="00640E2B">
        <w:rPr>
          <w:bCs/>
          <w:sz w:val="20"/>
          <w:szCs w:val="20"/>
          <w:lang w:val="pl-PL"/>
        </w:rPr>
        <w:t xml:space="preserve">łącznie </w:t>
      </w:r>
      <w:r w:rsidRPr="00640E2B">
        <w:rPr>
          <w:bCs/>
          <w:sz w:val="20"/>
          <w:szCs w:val="20"/>
          <w:lang w:val="pl-PL"/>
        </w:rPr>
        <w:t>przez 1 rok</w:t>
      </w:r>
      <w:r w:rsidR="007D5A14">
        <w:rPr>
          <w:bCs/>
          <w:sz w:val="20"/>
          <w:szCs w:val="20"/>
          <w:lang w:val="pl-PL"/>
        </w:rPr>
        <w:t>, jeśli wcześniej nie doszło do progresji lub wystąpienia niepożądanych działań o istotnym znaczeniu klinicznym</w:t>
      </w:r>
      <w:r w:rsidRPr="00640E2B">
        <w:rPr>
          <w:bCs/>
          <w:sz w:val="20"/>
          <w:szCs w:val="20"/>
          <w:lang w:val="pl-PL"/>
        </w:rPr>
        <w:t xml:space="preserve"> (I, A).</w:t>
      </w:r>
    </w:p>
    <w:p w:rsidR="002635C3" w:rsidRPr="00640E2B" w:rsidRDefault="002635C3" w:rsidP="000E721D">
      <w:pPr>
        <w:numPr>
          <w:ilvl w:val="0"/>
          <w:numId w:val="25"/>
        </w:numPr>
        <w:spacing w:after="120" w:line="240" w:lineRule="auto"/>
        <w:ind w:left="714" w:hanging="357"/>
        <w:jc w:val="both"/>
        <w:rPr>
          <w:lang w:val="pl-PL"/>
        </w:rPr>
      </w:pPr>
      <w:r w:rsidRPr="00640E2B">
        <w:rPr>
          <w:rFonts w:eastAsia="SimSun" w:cs="Times New Roman"/>
          <w:sz w:val="20"/>
          <w:szCs w:val="20"/>
          <w:lang w:val="pl-PL" w:eastAsia="pl-PL"/>
        </w:rPr>
        <w:t>Trastuzumab należy podawać dożylnie co 3 tygodnie (w dawce nasycającej</w:t>
      </w:r>
      <w:r w:rsidR="00F962C7">
        <w:rPr>
          <w:rFonts w:eastAsia="SimSun" w:cs="Times New Roman"/>
          <w:sz w:val="20"/>
          <w:szCs w:val="20"/>
          <w:lang w:val="pl-PL" w:eastAsia="pl-PL"/>
        </w:rPr>
        <w:t xml:space="preserve"> 8 mg/kg, a następnie w dawce 6 </w:t>
      </w:r>
      <w:r w:rsidRPr="00640E2B">
        <w:rPr>
          <w:rFonts w:eastAsia="SimSun" w:cs="Times New Roman"/>
          <w:sz w:val="20"/>
          <w:szCs w:val="20"/>
          <w:lang w:val="pl-PL" w:eastAsia="pl-PL"/>
        </w:rPr>
        <w:t>mg/kg) lub podskórnie (w stałej dawce 600 mg co 3 tyg.) (I, A).</w:t>
      </w:r>
    </w:p>
    <w:p w:rsidR="00606C67" w:rsidRPr="00640E2B" w:rsidRDefault="00BF77C0" w:rsidP="000E721D">
      <w:pPr>
        <w:numPr>
          <w:ilvl w:val="0"/>
          <w:numId w:val="25"/>
        </w:numPr>
        <w:spacing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9D6B8A">
        <w:rPr>
          <w:rFonts w:eastAsia="SimSun"/>
          <w:sz w:val="20"/>
          <w:szCs w:val="20"/>
          <w:lang w:val="pl-PL" w:eastAsia="pl-PL"/>
        </w:rPr>
        <w:t>Aby zmniejszyć ryzyko kardiotoksyczności zaleca się sekwencyjne stosowanie</w:t>
      </w:r>
      <w:r w:rsidR="00F962C7">
        <w:rPr>
          <w:rFonts w:eastAsia="SimSun"/>
          <w:sz w:val="20"/>
          <w:szCs w:val="20"/>
          <w:lang w:val="pl-PL" w:eastAsia="pl-PL"/>
        </w:rPr>
        <w:t xml:space="preserve"> antracyklin i trastuzumabu lub </w:t>
      </w:r>
      <w:r w:rsidRPr="00640E2B">
        <w:rPr>
          <w:rFonts w:eastAsia="SimSun"/>
          <w:sz w:val="20"/>
          <w:szCs w:val="20"/>
          <w:lang w:val="pl-PL" w:eastAsia="pl-PL"/>
        </w:rPr>
        <w:t>schematów bez udziału antrac</w:t>
      </w:r>
      <w:r w:rsidR="00540122" w:rsidRPr="00640E2B">
        <w:rPr>
          <w:rFonts w:eastAsia="SimSun"/>
          <w:sz w:val="20"/>
          <w:szCs w:val="20"/>
          <w:lang w:val="pl-PL" w:eastAsia="pl-PL"/>
        </w:rPr>
        <w:t>yklin (TCH, PCH)</w:t>
      </w:r>
      <w:r w:rsidRPr="00640E2B">
        <w:rPr>
          <w:rFonts w:eastAsia="SimSun"/>
          <w:sz w:val="20"/>
          <w:szCs w:val="20"/>
          <w:lang w:val="pl-PL" w:eastAsia="pl-PL"/>
        </w:rPr>
        <w:t xml:space="preserve"> </w:t>
      </w:r>
      <w:r w:rsidR="00817059" w:rsidRPr="00640E2B">
        <w:rPr>
          <w:bCs/>
          <w:sz w:val="20"/>
          <w:szCs w:val="20"/>
          <w:lang w:val="pl-PL"/>
        </w:rPr>
        <w:t xml:space="preserve">(I, A). </w:t>
      </w:r>
    </w:p>
    <w:p w:rsidR="00014E85" w:rsidRPr="00640E2B" w:rsidRDefault="009462F2" w:rsidP="000E721D">
      <w:pPr>
        <w:numPr>
          <w:ilvl w:val="0"/>
          <w:numId w:val="25"/>
        </w:numPr>
        <w:spacing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640E2B">
        <w:rPr>
          <w:bCs/>
          <w:sz w:val="20"/>
          <w:szCs w:val="20"/>
          <w:lang w:val="pl-PL"/>
        </w:rPr>
        <w:t xml:space="preserve">U chorych otrzymujących sekwencyjne schematy zawierające </w:t>
      </w:r>
      <w:r w:rsidR="00540122" w:rsidRPr="00640E2B">
        <w:rPr>
          <w:bCs/>
          <w:sz w:val="20"/>
          <w:szCs w:val="20"/>
          <w:lang w:val="pl-PL"/>
        </w:rPr>
        <w:t>antracykliny</w:t>
      </w:r>
      <w:r w:rsidRPr="00640E2B">
        <w:rPr>
          <w:bCs/>
          <w:sz w:val="20"/>
          <w:szCs w:val="20"/>
          <w:lang w:val="pl-PL"/>
        </w:rPr>
        <w:t xml:space="preserve"> a następnie taksoidy, l</w:t>
      </w:r>
      <w:r w:rsidR="00014E85" w:rsidRPr="00640E2B">
        <w:rPr>
          <w:bCs/>
          <w:sz w:val="20"/>
          <w:szCs w:val="20"/>
          <w:lang w:val="pl-PL"/>
        </w:rPr>
        <w:t xml:space="preserve">eczenie trastuzumabem należy rozpocząć </w:t>
      </w:r>
      <w:r w:rsidRPr="00640E2B">
        <w:rPr>
          <w:bCs/>
          <w:sz w:val="20"/>
          <w:szCs w:val="20"/>
          <w:lang w:val="pl-PL"/>
        </w:rPr>
        <w:t>rów</w:t>
      </w:r>
      <w:r w:rsidR="00540122" w:rsidRPr="00640E2B">
        <w:rPr>
          <w:bCs/>
          <w:sz w:val="20"/>
          <w:szCs w:val="20"/>
          <w:lang w:val="pl-PL"/>
        </w:rPr>
        <w:t>n</w:t>
      </w:r>
      <w:r w:rsidR="00014E85" w:rsidRPr="00640E2B">
        <w:rPr>
          <w:bCs/>
          <w:sz w:val="20"/>
          <w:szCs w:val="20"/>
          <w:lang w:val="pl-PL"/>
        </w:rPr>
        <w:t xml:space="preserve">ocześnie z </w:t>
      </w:r>
      <w:r w:rsidR="00540122" w:rsidRPr="00640E2B">
        <w:rPr>
          <w:bCs/>
          <w:sz w:val="20"/>
          <w:szCs w:val="20"/>
          <w:lang w:val="pl-PL"/>
        </w:rPr>
        <w:t>rozpoczęciem stosowania</w:t>
      </w:r>
      <w:r w:rsidR="00014E85" w:rsidRPr="00640E2B">
        <w:rPr>
          <w:bCs/>
          <w:sz w:val="20"/>
          <w:szCs w:val="20"/>
          <w:lang w:val="pl-PL"/>
        </w:rPr>
        <w:t xml:space="preserve"> taksoidów (I, B)</w:t>
      </w:r>
      <w:r w:rsidRPr="00640E2B">
        <w:rPr>
          <w:bCs/>
          <w:sz w:val="20"/>
          <w:szCs w:val="20"/>
          <w:lang w:val="pl-PL"/>
        </w:rPr>
        <w:t>.</w:t>
      </w:r>
    </w:p>
    <w:p w:rsidR="00540122" w:rsidRPr="00640E2B" w:rsidRDefault="00540122" w:rsidP="000E721D">
      <w:pPr>
        <w:numPr>
          <w:ilvl w:val="0"/>
          <w:numId w:val="25"/>
        </w:numPr>
        <w:spacing w:after="120" w:line="240" w:lineRule="auto"/>
        <w:ind w:left="714" w:hanging="357"/>
        <w:jc w:val="both"/>
        <w:rPr>
          <w:lang w:val="pl-PL"/>
        </w:rPr>
      </w:pPr>
      <w:r w:rsidRPr="00640E2B">
        <w:rPr>
          <w:rFonts w:eastAsia="SimSun" w:cs="Times New Roman"/>
          <w:sz w:val="20"/>
          <w:szCs w:val="20"/>
          <w:lang w:val="pl-PL" w:eastAsia="pl-PL"/>
        </w:rPr>
        <w:t>Trasuzumab można kojarzyć ze schematami CHT niezawierającymi antracyklin, np. schematem zawierającym docetaksel i karboplatynę (I, B).</w:t>
      </w:r>
    </w:p>
    <w:p w:rsidR="009462F2" w:rsidRPr="00640E2B" w:rsidRDefault="009462F2" w:rsidP="000E721D">
      <w:pPr>
        <w:numPr>
          <w:ilvl w:val="0"/>
          <w:numId w:val="25"/>
        </w:numPr>
        <w:spacing w:after="120" w:line="240" w:lineRule="auto"/>
        <w:ind w:left="714" w:hanging="357"/>
        <w:jc w:val="both"/>
        <w:rPr>
          <w:lang w:val="pl-PL"/>
        </w:rPr>
      </w:pPr>
      <w:r w:rsidRPr="009D6B8A">
        <w:rPr>
          <w:rFonts w:eastAsia="SimSun" w:cs="Times New Roman"/>
          <w:sz w:val="20"/>
          <w:szCs w:val="20"/>
          <w:lang w:val="pl-PL" w:eastAsia="pl-PL"/>
        </w:rPr>
        <w:t xml:space="preserve">U chorych na raka piersi z cechą HER2+ </w:t>
      </w:r>
      <w:r w:rsidRPr="00E763C7">
        <w:rPr>
          <w:rFonts w:eastAsia="SimSun" w:cs="Times New Roman"/>
          <w:sz w:val="20"/>
          <w:szCs w:val="20"/>
          <w:lang w:val="pl-PL" w:eastAsia="pl-PL"/>
        </w:rPr>
        <w:t xml:space="preserve">z grup najniższego ryzyka (guz </w:t>
      </w:r>
      <w:r w:rsidR="00202D92">
        <w:rPr>
          <w:rFonts w:eastAsia="SimSun" w:cs="Times New Roman"/>
          <w:sz w:val="20"/>
          <w:szCs w:val="20"/>
          <w:lang w:val="pl-PL" w:eastAsia="pl-PL"/>
        </w:rPr>
        <w:t xml:space="preserve">1 - </w:t>
      </w:r>
      <w:r w:rsidRPr="00E763C7">
        <w:rPr>
          <w:rFonts w:eastAsia="SimSun" w:cs="Times New Roman"/>
          <w:sz w:val="20"/>
          <w:szCs w:val="20"/>
          <w:lang w:val="pl-PL" w:eastAsia="pl-PL"/>
        </w:rPr>
        <w:t xml:space="preserve">&lt;2 cm, N0, ER+) wystarczające </w:t>
      </w:r>
      <w:r w:rsidR="00C07F45">
        <w:rPr>
          <w:rFonts w:eastAsia="SimSun" w:cs="Times New Roman"/>
          <w:sz w:val="20"/>
          <w:szCs w:val="20"/>
          <w:lang w:val="pl-PL" w:eastAsia="pl-PL"/>
        </w:rPr>
        <w:t>może być</w:t>
      </w:r>
      <w:r w:rsidRPr="00E763C7">
        <w:rPr>
          <w:rFonts w:eastAsia="SimSun" w:cs="Times New Roman"/>
          <w:sz w:val="20"/>
          <w:szCs w:val="20"/>
          <w:lang w:val="pl-PL" w:eastAsia="pl-PL"/>
        </w:rPr>
        <w:t xml:space="preserve"> podanie wyłącznie paklitakselu (80 mg/m</w:t>
      </w:r>
      <w:r w:rsidRPr="00640E2B">
        <w:rPr>
          <w:rFonts w:eastAsia="SimSun" w:cs="Times New Roman"/>
          <w:sz w:val="20"/>
          <w:szCs w:val="20"/>
          <w:vertAlign w:val="superscript"/>
          <w:lang w:val="pl-PL" w:eastAsia="pl-PL"/>
        </w:rPr>
        <w:t>2</w:t>
      </w:r>
      <w:r w:rsidRPr="00640E2B">
        <w:rPr>
          <w:rFonts w:eastAsia="SimSun" w:cs="Times New Roman"/>
          <w:sz w:val="20"/>
          <w:szCs w:val="20"/>
          <w:lang w:val="pl-PL" w:eastAsia="pl-PL"/>
        </w:rPr>
        <w:t xml:space="preserve"> co tydzień pr</w:t>
      </w:r>
      <w:r w:rsidR="00F962C7">
        <w:rPr>
          <w:rFonts w:eastAsia="SimSun" w:cs="Times New Roman"/>
          <w:sz w:val="20"/>
          <w:szCs w:val="20"/>
          <w:lang w:val="pl-PL" w:eastAsia="pl-PL"/>
        </w:rPr>
        <w:t>zez 12 tygodni) w skojarzeniu z </w:t>
      </w:r>
      <w:r w:rsidRPr="00640E2B">
        <w:rPr>
          <w:rFonts w:eastAsia="SimSun" w:cs="Times New Roman"/>
          <w:sz w:val="20"/>
          <w:szCs w:val="20"/>
          <w:lang w:val="pl-PL" w:eastAsia="pl-PL"/>
        </w:rPr>
        <w:t>trastuzumabem podawanym przez 12 miesięcy</w:t>
      </w:r>
      <w:r w:rsidR="007D5A14">
        <w:rPr>
          <w:rFonts w:eastAsia="SimSun" w:cs="Times New Roman"/>
          <w:sz w:val="20"/>
          <w:szCs w:val="20"/>
          <w:lang w:val="pl-PL" w:eastAsia="pl-PL"/>
        </w:rPr>
        <w:t xml:space="preserve">, </w:t>
      </w:r>
      <w:r w:rsidR="007D5A14">
        <w:rPr>
          <w:bCs/>
          <w:sz w:val="20"/>
          <w:szCs w:val="20"/>
          <w:lang w:val="pl-PL"/>
        </w:rPr>
        <w:t>jeśli wcześniej nie doszło do progresji lub wystąpienia niepożądanych działań o istotnym znaczeniu klinicznym</w:t>
      </w:r>
      <w:r w:rsidRPr="00640E2B">
        <w:rPr>
          <w:rFonts w:eastAsia="SimSun" w:cs="Times New Roman"/>
          <w:sz w:val="20"/>
          <w:szCs w:val="20"/>
          <w:vertAlign w:val="superscript"/>
          <w:lang w:val="pl-PL" w:eastAsia="pl-PL"/>
        </w:rPr>
        <w:t xml:space="preserve"> </w:t>
      </w:r>
      <w:r w:rsidR="00F13A97">
        <w:rPr>
          <w:rFonts w:eastAsia="SimSun" w:cs="Times New Roman"/>
          <w:sz w:val="20"/>
          <w:szCs w:val="20"/>
          <w:lang w:val="pl-PL" w:eastAsia="pl-PL"/>
        </w:rPr>
        <w:t>(</w:t>
      </w:r>
      <w:r w:rsidRPr="00640E2B">
        <w:rPr>
          <w:rFonts w:eastAsia="SimSun" w:cs="Times New Roman"/>
          <w:sz w:val="20"/>
          <w:szCs w:val="20"/>
          <w:lang w:val="pl-PL" w:eastAsia="pl-PL"/>
        </w:rPr>
        <w:t>II, B).</w:t>
      </w:r>
    </w:p>
    <w:p w:rsidR="00606C67" w:rsidRPr="00640E2B" w:rsidRDefault="00606C67" w:rsidP="000E721D">
      <w:pPr>
        <w:numPr>
          <w:ilvl w:val="0"/>
          <w:numId w:val="25"/>
        </w:numPr>
        <w:spacing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9D6B8A">
        <w:rPr>
          <w:bCs/>
          <w:sz w:val="20"/>
          <w:szCs w:val="20"/>
          <w:lang w:val="pl-PL"/>
        </w:rPr>
        <w:t>Nie ma przeciwwskazań do kojarzenia trastuzumabu z p</w:t>
      </w:r>
      <w:r w:rsidRPr="00E763C7">
        <w:rPr>
          <w:bCs/>
          <w:sz w:val="20"/>
          <w:szCs w:val="20"/>
          <w:lang w:val="pl-PL"/>
        </w:rPr>
        <w:t xml:space="preserve">ooperacyjną </w:t>
      </w:r>
      <w:r w:rsidR="006D07C1" w:rsidRPr="00640E2B">
        <w:rPr>
          <w:bCs/>
          <w:sz w:val="20"/>
          <w:szCs w:val="20"/>
          <w:lang w:val="pl-PL"/>
        </w:rPr>
        <w:t>RT</w:t>
      </w:r>
      <w:r w:rsidRPr="00640E2B">
        <w:rPr>
          <w:bCs/>
          <w:sz w:val="20"/>
          <w:szCs w:val="20"/>
          <w:lang w:val="pl-PL"/>
        </w:rPr>
        <w:t xml:space="preserve"> lub </w:t>
      </w:r>
      <w:r w:rsidR="006D07C1" w:rsidRPr="00640E2B">
        <w:rPr>
          <w:bCs/>
          <w:sz w:val="20"/>
          <w:szCs w:val="20"/>
          <w:lang w:val="pl-PL"/>
        </w:rPr>
        <w:t>HT</w:t>
      </w:r>
      <w:r w:rsidR="0093206E" w:rsidRPr="00640E2B">
        <w:rPr>
          <w:bCs/>
          <w:sz w:val="20"/>
          <w:szCs w:val="20"/>
          <w:lang w:val="pl-PL"/>
        </w:rPr>
        <w:t xml:space="preserve"> </w:t>
      </w:r>
      <w:r w:rsidRPr="00640E2B">
        <w:rPr>
          <w:bCs/>
          <w:sz w:val="20"/>
          <w:szCs w:val="20"/>
          <w:lang w:val="pl-PL"/>
        </w:rPr>
        <w:t>(II, B).</w:t>
      </w:r>
    </w:p>
    <w:p w:rsidR="009462F2" w:rsidRPr="00640E2B" w:rsidRDefault="009462F2" w:rsidP="000E721D">
      <w:pPr>
        <w:numPr>
          <w:ilvl w:val="0"/>
          <w:numId w:val="25"/>
        </w:numPr>
        <w:spacing w:after="120" w:line="240" w:lineRule="auto"/>
        <w:ind w:left="714" w:hanging="357"/>
        <w:jc w:val="both"/>
        <w:rPr>
          <w:rFonts w:eastAsia="SimSun" w:cs="Times New Roman"/>
          <w:sz w:val="20"/>
          <w:szCs w:val="20"/>
          <w:lang w:val="pl-PL" w:eastAsia="pl-PL"/>
        </w:rPr>
      </w:pPr>
      <w:r w:rsidRPr="00640E2B">
        <w:rPr>
          <w:rFonts w:eastAsia="SimSun" w:cs="Times New Roman"/>
          <w:sz w:val="20"/>
          <w:szCs w:val="20"/>
          <w:lang w:val="pl-PL" w:eastAsia="pl-PL"/>
        </w:rPr>
        <w:t xml:space="preserve">U chorych </w:t>
      </w:r>
      <w:r w:rsidR="007A0CD0">
        <w:rPr>
          <w:rFonts w:eastAsia="SimSun" w:cs="Times New Roman"/>
          <w:sz w:val="20"/>
          <w:szCs w:val="20"/>
          <w:lang w:val="pl-PL" w:eastAsia="pl-PL"/>
        </w:rPr>
        <w:t xml:space="preserve">z cechą ER+ </w:t>
      </w:r>
      <w:r w:rsidRPr="00640E2B">
        <w:rPr>
          <w:rFonts w:eastAsia="SimSun" w:cs="Times New Roman"/>
          <w:sz w:val="20"/>
          <w:szCs w:val="20"/>
          <w:lang w:val="pl-PL" w:eastAsia="pl-PL"/>
        </w:rPr>
        <w:t xml:space="preserve">otrzymujących trastuzumab </w:t>
      </w:r>
      <w:r w:rsidR="007A0CD0" w:rsidRPr="00640E2B">
        <w:rPr>
          <w:rFonts w:eastAsia="SimSun" w:cs="Times New Roman"/>
          <w:sz w:val="20"/>
          <w:szCs w:val="20"/>
          <w:lang w:val="pl-PL" w:eastAsia="pl-PL"/>
        </w:rPr>
        <w:t xml:space="preserve">bezpośrednio po zakończeniu CHT </w:t>
      </w:r>
      <w:r w:rsidRPr="00640E2B">
        <w:rPr>
          <w:rFonts w:eastAsia="SimSun" w:cs="Times New Roman"/>
          <w:sz w:val="20"/>
          <w:szCs w:val="20"/>
          <w:lang w:val="pl-PL" w:eastAsia="pl-PL"/>
        </w:rPr>
        <w:t>należy rozpocząć</w:t>
      </w:r>
      <w:r w:rsidR="007A0CD0" w:rsidRPr="007A0CD0">
        <w:rPr>
          <w:rFonts w:eastAsia="SimSun" w:cs="Times New Roman"/>
          <w:sz w:val="20"/>
          <w:szCs w:val="20"/>
          <w:lang w:val="pl-PL" w:eastAsia="pl-PL"/>
        </w:rPr>
        <w:t xml:space="preserve"> </w:t>
      </w:r>
      <w:r w:rsidR="007A0CD0" w:rsidRPr="00640E2B">
        <w:rPr>
          <w:rFonts w:eastAsia="SimSun" w:cs="Times New Roman"/>
          <w:sz w:val="20"/>
          <w:szCs w:val="20"/>
          <w:lang w:val="pl-PL" w:eastAsia="pl-PL"/>
        </w:rPr>
        <w:t>HT</w:t>
      </w:r>
      <w:r w:rsidRPr="00640E2B">
        <w:rPr>
          <w:rFonts w:eastAsia="SimSun" w:cs="Times New Roman"/>
          <w:sz w:val="20"/>
          <w:szCs w:val="20"/>
          <w:lang w:val="pl-PL" w:eastAsia="pl-PL"/>
        </w:rPr>
        <w:t xml:space="preserve">. Wybór HT powinien być oparty na ogólnych zasadach (II, B). </w:t>
      </w:r>
    </w:p>
    <w:p w:rsidR="009462F2" w:rsidRPr="00640E2B" w:rsidRDefault="009462F2" w:rsidP="000E721D">
      <w:pPr>
        <w:numPr>
          <w:ilvl w:val="0"/>
          <w:numId w:val="25"/>
        </w:numPr>
        <w:spacing w:after="120" w:line="240" w:lineRule="auto"/>
        <w:ind w:left="714" w:hanging="357"/>
        <w:jc w:val="both"/>
        <w:rPr>
          <w:rFonts w:eastAsia="SimSun"/>
          <w:sz w:val="20"/>
          <w:szCs w:val="20"/>
          <w:lang w:val="pl-PL" w:eastAsia="pl-PL"/>
        </w:rPr>
      </w:pPr>
      <w:r w:rsidRPr="00640E2B">
        <w:rPr>
          <w:rFonts w:eastAsia="SimSun"/>
          <w:sz w:val="20"/>
          <w:szCs w:val="20"/>
          <w:lang w:val="pl-PL" w:eastAsia="pl-PL"/>
        </w:rPr>
        <w:t xml:space="preserve">Leczenie trastuzumabem wiąże się z podwyższonym ryzykiem wystąpienia </w:t>
      </w:r>
      <w:r w:rsidR="00F962C7">
        <w:rPr>
          <w:rFonts w:eastAsia="SimSun"/>
          <w:sz w:val="20"/>
          <w:szCs w:val="20"/>
          <w:lang w:val="pl-PL" w:eastAsia="pl-PL"/>
        </w:rPr>
        <w:t>czynnościowych zaburzeń serca i </w:t>
      </w:r>
      <w:r w:rsidRPr="00640E2B">
        <w:rPr>
          <w:rFonts w:eastAsia="SimSun"/>
          <w:sz w:val="20"/>
          <w:szCs w:val="20"/>
          <w:lang w:val="pl-PL" w:eastAsia="pl-PL"/>
        </w:rPr>
        <w:t>jest przeciwwskazane u chorych z udokumentowaną niewydolnością serca lub frakcją</w:t>
      </w:r>
      <w:r w:rsidR="004406C0">
        <w:rPr>
          <w:rFonts w:eastAsia="SimSun"/>
          <w:sz w:val="20"/>
          <w:szCs w:val="20"/>
          <w:lang w:val="pl-PL" w:eastAsia="pl-PL"/>
        </w:rPr>
        <w:t xml:space="preserve"> wyrzutową lewej komory &lt;50% (I</w:t>
      </w:r>
      <w:r w:rsidRPr="00640E2B">
        <w:rPr>
          <w:rFonts w:eastAsia="SimSun"/>
          <w:sz w:val="20"/>
          <w:szCs w:val="20"/>
          <w:lang w:val="pl-PL" w:eastAsia="pl-PL"/>
        </w:rPr>
        <w:t xml:space="preserve">I, A). </w:t>
      </w:r>
    </w:p>
    <w:p w:rsidR="0093206E" w:rsidRPr="00640E2B" w:rsidRDefault="00140574" w:rsidP="000E721D">
      <w:pPr>
        <w:numPr>
          <w:ilvl w:val="0"/>
          <w:numId w:val="25"/>
        </w:numPr>
        <w:spacing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640E2B">
        <w:rPr>
          <w:rFonts w:eastAsia="SimSun"/>
          <w:sz w:val="20"/>
          <w:szCs w:val="20"/>
          <w:lang w:val="pl-PL" w:eastAsia="pl-PL"/>
        </w:rPr>
        <w:t xml:space="preserve">W trakcie leczenia </w:t>
      </w:r>
      <w:r w:rsidR="00540122" w:rsidRPr="00640E2B">
        <w:rPr>
          <w:rFonts w:eastAsia="SimSun"/>
          <w:sz w:val="20"/>
          <w:szCs w:val="20"/>
          <w:lang w:val="pl-PL" w:eastAsia="pl-PL"/>
        </w:rPr>
        <w:t xml:space="preserve">trastuzumabem </w:t>
      </w:r>
      <w:r w:rsidRPr="00640E2B">
        <w:rPr>
          <w:rFonts w:eastAsia="SimSun"/>
          <w:sz w:val="20"/>
          <w:szCs w:val="20"/>
          <w:lang w:val="pl-PL" w:eastAsia="pl-PL"/>
        </w:rPr>
        <w:t>należy co 3 miesiące oceniać czynność serca (</w:t>
      </w:r>
      <w:r w:rsidR="004406C0">
        <w:rPr>
          <w:rFonts w:eastAsia="SimSun"/>
          <w:sz w:val="20"/>
          <w:szCs w:val="20"/>
          <w:lang w:val="pl-PL" w:eastAsia="pl-PL"/>
        </w:rPr>
        <w:t>III,</w:t>
      </w:r>
      <w:r w:rsidRPr="00640E2B">
        <w:rPr>
          <w:rFonts w:eastAsia="SimSun"/>
          <w:sz w:val="20"/>
          <w:szCs w:val="20"/>
          <w:lang w:val="pl-PL" w:eastAsia="pl-PL"/>
        </w:rPr>
        <w:t xml:space="preserve"> A). W przypadku wystąpienia objawowej niewydolności serca należy przerwać podawanie trastuzumabu i zastosować standard</w:t>
      </w:r>
      <w:r w:rsidR="004406C0">
        <w:rPr>
          <w:rFonts w:eastAsia="SimSun"/>
          <w:sz w:val="20"/>
          <w:szCs w:val="20"/>
          <w:lang w:val="pl-PL" w:eastAsia="pl-PL"/>
        </w:rPr>
        <w:t>owe leczenie farmakologiczne (III</w:t>
      </w:r>
      <w:r w:rsidRPr="00640E2B">
        <w:rPr>
          <w:rFonts w:eastAsia="SimSun"/>
          <w:sz w:val="20"/>
          <w:szCs w:val="20"/>
          <w:lang w:val="pl-PL" w:eastAsia="pl-PL"/>
        </w:rPr>
        <w:t>, B).</w:t>
      </w:r>
    </w:p>
    <w:p w:rsidR="003C11BF" w:rsidRPr="00640E2B" w:rsidRDefault="00140574" w:rsidP="000E721D">
      <w:pPr>
        <w:numPr>
          <w:ilvl w:val="0"/>
          <w:numId w:val="25"/>
        </w:numPr>
        <w:spacing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640E2B">
        <w:rPr>
          <w:bCs/>
          <w:sz w:val="20"/>
          <w:szCs w:val="20"/>
          <w:lang w:val="pl-PL"/>
        </w:rPr>
        <w:t>W leczeniu okołooperacyjnym n</w:t>
      </w:r>
      <w:r w:rsidR="003C11BF" w:rsidRPr="00640E2B">
        <w:rPr>
          <w:bCs/>
          <w:sz w:val="20"/>
          <w:szCs w:val="20"/>
          <w:lang w:val="pl-PL"/>
        </w:rPr>
        <w:t xml:space="preserve">ie ma uzasadnienia dla </w:t>
      </w:r>
      <w:r w:rsidR="009462F2" w:rsidRPr="00640E2B">
        <w:rPr>
          <w:bCs/>
          <w:sz w:val="20"/>
          <w:szCs w:val="20"/>
          <w:lang w:val="pl-PL"/>
        </w:rPr>
        <w:t>kojarzenia trastuzumabu z</w:t>
      </w:r>
      <w:r w:rsidR="003C11BF" w:rsidRPr="00640E2B">
        <w:rPr>
          <w:bCs/>
          <w:sz w:val="20"/>
          <w:szCs w:val="20"/>
          <w:lang w:val="pl-PL"/>
        </w:rPr>
        <w:t xml:space="preserve"> pertuzumab</w:t>
      </w:r>
      <w:r w:rsidR="009462F2" w:rsidRPr="00640E2B">
        <w:rPr>
          <w:bCs/>
          <w:sz w:val="20"/>
          <w:szCs w:val="20"/>
          <w:lang w:val="pl-PL"/>
        </w:rPr>
        <w:t>em</w:t>
      </w:r>
      <w:r w:rsidR="00096E4B" w:rsidRPr="00640E2B">
        <w:rPr>
          <w:bCs/>
          <w:sz w:val="20"/>
          <w:szCs w:val="20"/>
          <w:lang w:val="pl-PL"/>
        </w:rPr>
        <w:t xml:space="preserve">, </w:t>
      </w:r>
      <w:r w:rsidR="009462F2" w:rsidRPr="00640E2B">
        <w:rPr>
          <w:bCs/>
          <w:sz w:val="20"/>
          <w:szCs w:val="20"/>
          <w:lang w:val="pl-PL"/>
        </w:rPr>
        <w:t>l</w:t>
      </w:r>
      <w:r w:rsidR="00096E4B" w:rsidRPr="00640E2B">
        <w:rPr>
          <w:bCs/>
          <w:sz w:val="20"/>
          <w:szCs w:val="20"/>
          <w:lang w:val="pl-PL"/>
        </w:rPr>
        <w:t>apatynib</w:t>
      </w:r>
      <w:r w:rsidR="009462F2" w:rsidRPr="00640E2B">
        <w:rPr>
          <w:bCs/>
          <w:sz w:val="20"/>
          <w:szCs w:val="20"/>
          <w:lang w:val="pl-PL"/>
        </w:rPr>
        <w:t>em</w:t>
      </w:r>
      <w:r w:rsidR="003C11BF" w:rsidRPr="00640E2B">
        <w:rPr>
          <w:bCs/>
          <w:sz w:val="20"/>
          <w:szCs w:val="20"/>
          <w:lang w:val="pl-PL"/>
        </w:rPr>
        <w:t xml:space="preserve"> </w:t>
      </w:r>
      <w:r w:rsidR="009462F2" w:rsidRPr="00640E2B">
        <w:rPr>
          <w:bCs/>
          <w:sz w:val="20"/>
          <w:szCs w:val="20"/>
          <w:lang w:val="pl-PL"/>
        </w:rPr>
        <w:t>czy</w:t>
      </w:r>
      <w:r w:rsidR="003C11BF" w:rsidRPr="00640E2B">
        <w:rPr>
          <w:bCs/>
          <w:sz w:val="20"/>
          <w:szCs w:val="20"/>
          <w:lang w:val="pl-PL"/>
        </w:rPr>
        <w:t xml:space="preserve"> nerat</w:t>
      </w:r>
      <w:r w:rsidR="006D169A" w:rsidRPr="00640E2B">
        <w:rPr>
          <w:bCs/>
          <w:sz w:val="20"/>
          <w:szCs w:val="20"/>
          <w:lang w:val="pl-PL"/>
        </w:rPr>
        <w:t>y</w:t>
      </w:r>
      <w:r w:rsidR="003C11BF" w:rsidRPr="00640E2B">
        <w:rPr>
          <w:bCs/>
          <w:sz w:val="20"/>
          <w:szCs w:val="20"/>
          <w:lang w:val="pl-PL"/>
        </w:rPr>
        <w:t>nib</w:t>
      </w:r>
      <w:r w:rsidR="009462F2" w:rsidRPr="00640E2B">
        <w:rPr>
          <w:bCs/>
          <w:sz w:val="20"/>
          <w:szCs w:val="20"/>
          <w:lang w:val="pl-PL"/>
        </w:rPr>
        <w:t>em</w:t>
      </w:r>
      <w:r w:rsidR="00B81897" w:rsidRPr="00640E2B">
        <w:rPr>
          <w:bCs/>
          <w:sz w:val="20"/>
          <w:szCs w:val="20"/>
          <w:lang w:val="pl-PL"/>
        </w:rPr>
        <w:t xml:space="preserve"> (I, </w:t>
      </w:r>
      <w:r w:rsidRPr="00640E2B">
        <w:rPr>
          <w:bCs/>
          <w:sz w:val="20"/>
          <w:szCs w:val="20"/>
          <w:lang w:val="pl-PL"/>
        </w:rPr>
        <w:t>B</w:t>
      </w:r>
      <w:r w:rsidR="00B81897" w:rsidRPr="00640E2B">
        <w:rPr>
          <w:bCs/>
          <w:sz w:val="20"/>
          <w:szCs w:val="20"/>
          <w:lang w:val="pl-PL"/>
        </w:rPr>
        <w:t>).</w:t>
      </w:r>
    </w:p>
    <w:p w:rsidR="00451C95" w:rsidRPr="00F463B2" w:rsidRDefault="00451C95" w:rsidP="003631BA">
      <w:pPr>
        <w:pStyle w:val="Nagwek3"/>
        <w:spacing w:before="0" w:after="120" w:line="240" w:lineRule="auto"/>
        <w:rPr>
          <w:rFonts w:ascii="Arial" w:eastAsia="SimSun" w:hAnsi="Arial" w:cs="Arial"/>
          <w:color w:val="2E74B5"/>
          <w:sz w:val="20"/>
          <w:szCs w:val="20"/>
          <w:lang w:val="pl-PL" w:eastAsia="pl-PL"/>
        </w:rPr>
      </w:pPr>
    </w:p>
    <w:p w:rsidR="006A3D31" w:rsidRPr="00F463B2" w:rsidRDefault="006A3D31" w:rsidP="006A3D31">
      <w:pPr>
        <w:pStyle w:val="Nagwek3"/>
        <w:spacing w:before="0" w:after="120" w:line="240" w:lineRule="auto"/>
        <w:rPr>
          <w:rFonts w:ascii="Arial" w:eastAsia="SimSun" w:hAnsi="Arial" w:cs="Arial"/>
          <w:color w:val="2E74B5"/>
          <w:sz w:val="20"/>
          <w:szCs w:val="20"/>
          <w:lang w:val="pl-PL" w:eastAsia="pl-PL"/>
        </w:rPr>
      </w:pPr>
      <w:bookmarkStart w:id="25" w:name="_Toc516233158"/>
      <w:r w:rsidRPr="00F463B2">
        <w:rPr>
          <w:rFonts w:ascii="Arial" w:eastAsia="SimSun" w:hAnsi="Arial" w:cs="Arial"/>
          <w:color w:val="2E74B5"/>
          <w:sz w:val="20"/>
          <w:szCs w:val="20"/>
          <w:lang w:val="pl-PL" w:eastAsia="pl-PL"/>
        </w:rPr>
        <w:t>Uzupełniające leczenie chorych w ciąży</w:t>
      </w:r>
      <w:bookmarkEnd w:id="25"/>
    </w:p>
    <w:p w:rsidR="00426867" w:rsidRPr="00640E2B" w:rsidRDefault="00426867" w:rsidP="000E721D">
      <w:pPr>
        <w:numPr>
          <w:ilvl w:val="0"/>
          <w:numId w:val="16"/>
        </w:numPr>
        <w:spacing w:before="240"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9D6B8A">
        <w:rPr>
          <w:bCs/>
          <w:sz w:val="20"/>
          <w:szCs w:val="20"/>
          <w:lang w:val="pl-PL"/>
        </w:rPr>
        <w:t>W I</w:t>
      </w:r>
      <w:r w:rsidRPr="00E763C7">
        <w:rPr>
          <w:bCs/>
          <w:sz w:val="20"/>
          <w:szCs w:val="20"/>
          <w:lang w:val="pl-PL"/>
        </w:rPr>
        <w:t xml:space="preserve">I i III trymestrze ciąży </w:t>
      </w:r>
      <w:r w:rsidR="00FA79FE" w:rsidRPr="00640E2B">
        <w:rPr>
          <w:bCs/>
          <w:sz w:val="20"/>
          <w:szCs w:val="20"/>
          <w:lang w:val="pl-PL"/>
        </w:rPr>
        <w:t xml:space="preserve">w okołooperacyjnej CHT </w:t>
      </w:r>
      <w:r w:rsidRPr="00640E2B">
        <w:rPr>
          <w:bCs/>
          <w:sz w:val="20"/>
          <w:szCs w:val="20"/>
          <w:lang w:val="pl-PL"/>
        </w:rPr>
        <w:t xml:space="preserve">można względnie bezpiecznie stosować antracykliny, leki alkilujące oraz </w:t>
      </w:r>
      <w:r w:rsidR="00013193" w:rsidRPr="00640E2B">
        <w:rPr>
          <w:bCs/>
          <w:sz w:val="20"/>
          <w:szCs w:val="20"/>
          <w:lang w:val="pl-PL"/>
        </w:rPr>
        <w:t>taksoidy (</w:t>
      </w:r>
      <w:r w:rsidRPr="00640E2B">
        <w:rPr>
          <w:bCs/>
          <w:sz w:val="20"/>
          <w:szCs w:val="20"/>
          <w:lang w:val="pl-PL"/>
        </w:rPr>
        <w:t xml:space="preserve">III, B). </w:t>
      </w:r>
    </w:p>
    <w:p w:rsidR="00E310DA" w:rsidRPr="00640E2B" w:rsidRDefault="00426867" w:rsidP="000E721D">
      <w:pPr>
        <w:numPr>
          <w:ilvl w:val="0"/>
          <w:numId w:val="16"/>
        </w:numPr>
        <w:spacing w:after="120" w:line="240" w:lineRule="auto"/>
        <w:ind w:left="714" w:hanging="357"/>
        <w:jc w:val="both"/>
        <w:rPr>
          <w:rFonts w:ascii="Arial" w:eastAsia="SimSun" w:hAnsi="Arial" w:cs="Arial"/>
          <w:sz w:val="20"/>
          <w:szCs w:val="20"/>
          <w:lang w:val="pl-PL" w:eastAsia="pl-PL"/>
        </w:rPr>
      </w:pPr>
      <w:r w:rsidRPr="009D6B8A">
        <w:rPr>
          <w:bCs/>
          <w:sz w:val="20"/>
          <w:szCs w:val="20"/>
          <w:lang w:val="pl-PL"/>
        </w:rPr>
        <w:t xml:space="preserve">W czasie całej ciąży przeciwwskazane jest stosowanie antymetabolitów, </w:t>
      </w:r>
      <w:r w:rsidR="006D07C1" w:rsidRPr="00640E2B">
        <w:rPr>
          <w:bCs/>
          <w:sz w:val="20"/>
          <w:szCs w:val="20"/>
          <w:lang w:val="pl-PL"/>
        </w:rPr>
        <w:t>HT</w:t>
      </w:r>
      <w:r w:rsidRPr="00640E2B">
        <w:rPr>
          <w:bCs/>
          <w:sz w:val="20"/>
          <w:szCs w:val="20"/>
          <w:lang w:val="pl-PL"/>
        </w:rPr>
        <w:t xml:space="preserve"> i trastuzumabu</w:t>
      </w:r>
      <w:r w:rsidR="00A107E5">
        <w:rPr>
          <w:bCs/>
          <w:sz w:val="20"/>
          <w:szCs w:val="20"/>
          <w:lang w:val="pl-PL"/>
        </w:rPr>
        <w:t xml:space="preserve"> (III, A</w:t>
      </w:r>
      <w:r w:rsidR="00C26429" w:rsidRPr="00640E2B">
        <w:rPr>
          <w:bCs/>
          <w:sz w:val="20"/>
          <w:szCs w:val="20"/>
          <w:lang w:val="pl-PL"/>
        </w:rPr>
        <w:t>).</w:t>
      </w:r>
    </w:p>
    <w:p w:rsidR="00863C2E" w:rsidRDefault="00863C2E" w:rsidP="006A3D31">
      <w:pPr>
        <w:pStyle w:val="Nagwek3"/>
        <w:spacing w:before="0" w:after="120" w:line="240" w:lineRule="auto"/>
        <w:rPr>
          <w:rFonts w:ascii="Arial" w:eastAsia="SimSun" w:hAnsi="Arial" w:cs="Arial"/>
          <w:color w:val="2E74B5"/>
          <w:sz w:val="20"/>
          <w:szCs w:val="20"/>
          <w:lang w:val="pl-PL" w:eastAsia="pl-PL"/>
        </w:rPr>
      </w:pPr>
    </w:p>
    <w:p w:rsidR="006A3D31" w:rsidRPr="00C26429" w:rsidRDefault="006A3D31" w:rsidP="006A3D31">
      <w:pPr>
        <w:pStyle w:val="Nagwek3"/>
        <w:spacing w:before="0" w:after="120" w:line="240" w:lineRule="auto"/>
        <w:rPr>
          <w:rFonts w:ascii="Arial" w:eastAsia="SimSun" w:hAnsi="Arial" w:cs="Arial"/>
          <w:color w:val="2E74B5"/>
          <w:sz w:val="20"/>
          <w:szCs w:val="20"/>
          <w:lang w:val="pl-PL" w:eastAsia="pl-PL"/>
        </w:rPr>
      </w:pPr>
      <w:bookmarkStart w:id="26" w:name="_Toc516233160"/>
      <w:r w:rsidRPr="00C26429">
        <w:rPr>
          <w:rFonts w:ascii="Arial" w:eastAsia="SimSun" w:hAnsi="Arial" w:cs="Arial"/>
          <w:color w:val="2E74B5"/>
          <w:sz w:val="20"/>
          <w:szCs w:val="20"/>
          <w:lang w:val="pl-PL" w:eastAsia="pl-PL"/>
        </w:rPr>
        <w:t>Uzupełniające leczenie chorych w starszym wieku</w:t>
      </w:r>
      <w:bookmarkEnd w:id="26"/>
    </w:p>
    <w:p w:rsidR="00426867" w:rsidRPr="00640E2B" w:rsidRDefault="00426867" w:rsidP="000E721D">
      <w:pPr>
        <w:numPr>
          <w:ilvl w:val="0"/>
          <w:numId w:val="18"/>
        </w:numPr>
        <w:spacing w:before="240"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9D6B8A">
        <w:rPr>
          <w:bCs/>
          <w:sz w:val="20"/>
          <w:szCs w:val="20"/>
          <w:lang w:val="pl-PL"/>
        </w:rPr>
        <w:t>Wiek metrykalny nie powinien być kryterium wyboru leczenia.</w:t>
      </w:r>
      <w:r w:rsidR="00CB3E6F" w:rsidRPr="00E763C7">
        <w:rPr>
          <w:bCs/>
          <w:sz w:val="20"/>
          <w:szCs w:val="20"/>
          <w:lang w:val="pl-PL"/>
        </w:rPr>
        <w:t xml:space="preserve"> </w:t>
      </w:r>
      <w:r w:rsidRPr="00640E2B">
        <w:rPr>
          <w:bCs/>
          <w:sz w:val="20"/>
          <w:szCs w:val="20"/>
          <w:lang w:val="pl-PL"/>
        </w:rPr>
        <w:t>Intensywnoś</w:t>
      </w:r>
      <w:r w:rsidR="00F962C7">
        <w:rPr>
          <w:bCs/>
          <w:sz w:val="20"/>
          <w:szCs w:val="20"/>
          <w:lang w:val="pl-PL"/>
        </w:rPr>
        <w:t xml:space="preserve">ć leczenia należy dostosować </w:t>
      </w:r>
      <w:r w:rsidR="00F962C7">
        <w:rPr>
          <w:bCs/>
          <w:sz w:val="20"/>
          <w:szCs w:val="20"/>
          <w:lang w:val="pl-PL"/>
        </w:rPr>
        <w:lastRenderedPageBreak/>
        <w:t>do </w:t>
      </w:r>
      <w:r w:rsidRPr="00640E2B">
        <w:rPr>
          <w:bCs/>
          <w:sz w:val="20"/>
          <w:szCs w:val="20"/>
          <w:lang w:val="pl-PL"/>
        </w:rPr>
        <w:t>wieku biologicznego, obecności schorzeń towarzyszących i preferencji chorych</w:t>
      </w:r>
      <w:r w:rsidR="00CB3E6F" w:rsidRPr="00640E2B">
        <w:rPr>
          <w:bCs/>
          <w:sz w:val="20"/>
          <w:szCs w:val="20"/>
          <w:lang w:val="pl-PL"/>
        </w:rPr>
        <w:t xml:space="preserve"> (II, A)</w:t>
      </w:r>
      <w:r w:rsidR="00F442EB">
        <w:rPr>
          <w:bCs/>
          <w:sz w:val="20"/>
          <w:szCs w:val="20"/>
          <w:lang w:val="pl-PL"/>
        </w:rPr>
        <w:t>.</w:t>
      </w:r>
    </w:p>
    <w:p w:rsidR="00426867" w:rsidRPr="00640E2B" w:rsidRDefault="00426867" w:rsidP="000E721D">
      <w:pPr>
        <w:numPr>
          <w:ilvl w:val="0"/>
          <w:numId w:val="18"/>
        </w:numPr>
        <w:spacing w:after="120" w:line="240" w:lineRule="auto"/>
        <w:ind w:left="714" w:hanging="357"/>
        <w:jc w:val="both"/>
        <w:rPr>
          <w:lang w:val="pl-PL"/>
        </w:rPr>
      </w:pPr>
      <w:r w:rsidRPr="00640E2B">
        <w:rPr>
          <w:rFonts w:eastAsia="SimSun" w:cs="Times New Roman"/>
          <w:sz w:val="20"/>
          <w:szCs w:val="20"/>
          <w:lang w:val="pl-PL" w:eastAsia="pl-PL"/>
        </w:rPr>
        <w:t xml:space="preserve">U chorych </w:t>
      </w:r>
      <w:r w:rsidR="00A107E5">
        <w:rPr>
          <w:rFonts w:eastAsia="SimSun" w:cs="Times New Roman"/>
          <w:sz w:val="20"/>
          <w:szCs w:val="20"/>
          <w:lang w:val="pl-PL" w:eastAsia="pl-PL"/>
        </w:rPr>
        <w:t xml:space="preserve">starszym wieku </w:t>
      </w:r>
      <w:r w:rsidRPr="00640E2B">
        <w:rPr>
          <w:rFonts w:eastAsia="SimSun" w:cs="Times New Roman"/>
          <w:sz w:val="20"/>
          <w:szCs w:val="20"/>
          <w:lang w:val="pl-PL" w:eastAsia="pl-PL"/>
        </w:rPr>
        <w:t>w dobrym stanie og</w:t>
      </w:r>
      <w:r w:rsidR="00CF7318" w:rsidRPr="00640E2B">
        <w:rPr>
          <w:rFonts w:eastAsia="SimSun" w:cs="Times New Roman"/>
          <w:sz w:val="20"/>
          <w:szCs w:val="20"/>
          <w:lang w:val="pl-PL" w:eastAsia="pl-PL"/>
        </w:rPr>
        <w:t>ó</w:t>
      </w:r>
      <w:r w:rsidRPr="00640E2B">
        <w:rPr>
          <w:rFonts w:eastAsia="SimSun" w:cs="Times New Roman"/>
          <w:sz w:val="20"/>
          <w:szCs w:val="20"/>
          <w:lang w:val="pl-PL" w:eastAsia="pl-PL"/>
        </w:rPr>
        <w:t>lnym zaleca się stoso</w:t>
      </w:r>
      <w:r w:rsidR="00F962C7">
        <w:rPr>
          <w:rFonts w:eastAsia="SimSun" w:cs="Times New Roman"/>
          <w:sz w:val="20"/>
          <w:szCs w:val="20"/>
          <w:lang w:val="pl-PL" w:eastAsia="pl-PL"/>
        </w:rPr>
        <w:t>wanie schematów wielolekowych w </w:t>
      </w:r>
      <w:r w:rsidRPr="00640E2B">
        <w:rPr>
          <w:rFonts w:eastAsia="SimSun" w:cs="Times New Roman"/>
          <w:sz w:val="20"/>
          <w:szCs w:val="20"/>
          <w:lang w:val="pl-PL" w:eastAsia="pl-PL"/>
        </w:rPr>
        <w:t>pełnych należnych dawkach (</w:t>
      </w:r>
      <w:r w:rsidR="00B25FBC" w:rsidRPr="00640E2B">
        <w:rPr>
          <w:rFonts w:eastAsia="SimSun" w:cs="Times New Roman"/>
          <w:sz w:val="20"/>
          <w:szCs w:val="20"/>
          <w:lang w:val="pl-PL" w:eastAsia="pl-PL"/>
        </w:rPr>
        <w:t>I</w:t>
      </w:r>
      <w:r w:rsidR="00676CBC" w:rsidRPr="00640E2B">
        <w:rPr>
          <w:rFonts w:eastAsia="SimSun" w:cs="Times New Roman"/>
          <w:sz w:val="20"/>
          <w:szCs w:val="20"/>
          <w:lang w:val="pl-PL" w:eastAsia="pl-PL"/>
        </w:rPr>
        <w:t>I</w:t>
      </w:r>
      <w:r w:rsidR="00B25FBC" w:rsidRPr="00640E2B">
        <w:rPr>
          <w:rFonts w:eastAsia="SimSun" w:cs="Times New Roman"/>
          <w:sz w:val="20"/>
          <w:szCs w:val="20"/>
          <w:lang w:val="pl-PL" w:eastAsia="pl-PL"/>
        </w:rPr>
        <w:t xml:space="preserve">, </w:t>
      </w:r>
      <w:r w:rsidR="00676CBC" w:rsidRPr="00640E2B">
        <w:rPr>
          <w:rFonts w:eastAsia="SimSun" w:cs="Times New Roman"/>
          <w:sz w:val="20"/>
          <w:szCs w:val="20"/>
          <w:lang w:val="pl-PL" w:eastAsia="pl-PL"/>
        </w:rPr>
        <w:t>C</w:t>
      </w:r>
      <w:r w:rsidR="00B25FBC" w:rsidRPr="00640E2B">
        <w:rPr>
          <w:rFonts w:eastAsia="SimSun" w:cs="Times New Roman"/>
          <w:sz w:val="20"/>
          <w:szCs w:val="20"/>
          <w:lang w:val="pl-PL" w:eastAsia="pl-PL"/>
        </w:rPr>
        <w:t>).</w:t>
      </w:r>
    </w:p>
    <w:p w:rsidR="005B6072" w:rsidRDefault="005B6072" w:rsidP="006A3D31">
      <w:pPr>
        <w:pStyle w:val="Nagwek3"/>
        <w:spacing w:before="0" w:after="120" w:line="240" w:lineRule="auto"/>
        <w:rPr>
          <w:rFonts w:ascii="Arial" w:eastAsia="SimSun" w:hAnsi="Arial" w:cs="Arial"/>
          <w:color w:val="2E74B5"/>
          <w:sz w:val="20"/>
          <w:szCs w:val="20"/>
          <w:lang w:val="pl-PL" w:eastAsia="pl-PL"/>
        </w:rPr>
      </w:pPr>
    </w:p>
    <w:p w:rsidR="006A3D31" w:rsidRPr="00CB3E6F" w:rsidRDefault="006A3D31" w:rsidP="006A3D31">
      <w:pPr>
        <w:pStyle w:val="Nagwek3"/>
        <w:spacing w:before="0" w:after="120" w:line="240" w:lineRule="auto"/>
        <w:rPr>
          <w:rFonts w:ascii="Arial" w:eastAsia="SimSun" w:hAnsi="Arial" w:cs="Arial"/>
          <w:color w:val="2E74B5"/>
          <w:sz w:val="20"/>
          <w:szCs w:val="20"/>
          <w:lang w:val="pl-PL" w:eastAsia="pl-PL"/>
        </w:rPr>
      </w:pPr>
      <w:bookmarkStart w:id="27" w:name="_Toc516233162"/>
      <w:r w:rsidRPr="00CB3E6F">
        <w:rPr>
          <w:rFonts w:ascii="Arial" w:eastAsia="SimSun" w:hAnsi="Arial" w:cs="Arial"/>
          <w:color w:val="2E74B5"/>
          <w:sz w:val="20"/>
          <w:szCs w:val="20"/>
          <w:lang w:val="pl-PL" w:eastAsia="pl-PL"/>
        </w:rPr>
        <w:t>Uzupełniające leczenie w rakach piersi o tzw. specjalnym typie histologicznym</w:t>
      </w:r>
      <w:bookmarkEnd w:id="27"/>
    </w:p>
    <w:p w:rsidR="00815EE4" w:rsidRPr="00640E2B" w:rsidRDefault="006352E5" w:rsidP="000E721D">
      <w:pPr>
        <w:numPr>
          <w:ilvl w:val="0"/>
          <w:numId w:val="17"/>
        </w:numPr>
        <w:spacing w:before="240" w:after="120" w:line="240" w:lineRule="auto"/>
        <w:ind w:left="714" w:hanging="357"/>
        <w:jc w:val="both"/>
        <w:rPr>
          <w:sz w:val="20"/>
          <w:szCs w:val="20"/>
          <w:lang w:val="pl-PL"/>
        </w:rPr>
      </w:pPr>
      <w:r w:rsidRPr="009D6B8A">
        <w:rPr>
          <w:bCs/>
          <w:sz w:val="20"/>
          <w:szCs w:val="20"/>
          <w:lang w:val="pl-PL"/>
        </w:rPr>
        <w:t>Leczenie raków o tzw. specjalnym typie histo</w:t>
      </w:r>
      <w:r w:rsidRPr="00E763C7">
        <w:rPr>
          <w:bCs/>
          <w:sz w:val="20"/>
          <w:szCs w:val="20"/>
          <w:lang w:val="pl-PL"/>
        </w:rPr>
        <w:t>logicznym</w:t>
      </w:r>
      <w:r w:rsidR="00013193" w:rsidRPr="00640E2B">
        <w:rPr>
          <w:bCs/>
          <w:sz w:val="20"/>
          <w:szCs w:val="20"/>
          <w:lang w:val="pl-PL"/>
        </w:rPr>
        <w:t xml:space="preserve"> </w:t>
      </w:r>
      <w:r w:rsidRPr="00640E2B">
        <w:rPr>
          <w:bCs/>
          <w:sz w:val="20"/>
          <w:szCs w:val="20"/>
          <w:lang w:val="pl-PL"/>
        </w:rPr>
        <w:t xml:space="preserve">powinno się odbywać na zasadach </w:t>
      </w:r>
      <w:r w:rsidR="003631BA">
        <w:rPr>
          <w:bCs/>
          <w:sz w:val="20"/>
          <w:szCs w:val="20"/>
          <w:lang w:val="pl-PL"/>
        </w:rPr>
        <w:t>dotyczących</w:t>
      </w:r>
      <w:r w:rsidRPr="00640E2B">
        <w:rPr>
          <w:bCs/>
          <w:sz w:val="20"/>
          <w:szCs w:val="20"/>
          <w:lang w:val="pl-PL"/>
        </w:rPr>
        <w:t xml:space="preserve"> ogółu raków piersi</w:t>
      </w:r>
      <w:r w:rsidR="00815EE4" w:rsidRPr="00640E2B">
        <w:rPr>
          <w:bCs/>
          <w:sz w:val="20"/>
          <w:szCs w:val="20"/>
          <w:lang w:val="pl-PL"/>
        </w:rPr>
        <w:t xml:space="preserve"> (III, B).</w:t>
      </w:r>
    </w:p>
    <w:p w:rsidR="00815EE4" w:rsidRPr="00640E2B" w:rsidRDefault="00815EE4" w:rsidP="000E721D">
      <w:pPr>
        <w:numPr>
          <w:ilvl w:val="0"/>
          <w:numId w:val="17"/>
        </w:numPr>
        <w:spacing w:after="120" w:line="240" w:lineRule="auto"/>
        <w:ind w:left="714" w:hanging="357"/>
        <w:jc w:val="both"/>
        <w:rPr>
          <w:lang w:val="pl-PL"/>
        </w:rPr>
      </w:pPr>
      <w:r w:rsidRPr="00640E2B">
        <w:rPr>
          <w:rFonts w:eastAsia="SimSun" w:cs="Times New Roman"/>
          <w:sz w:val="20"/>
          <w:szCs w:val="20"/>
          <w:lang w:val="pl-PL" w:eastAsia="pl-PL"/>
        </w:rPr>
        <w:t xml:space="preserve">W niektórych </w:t>
      </w:r>
      <w:r w:rsidRPr="00640E2B">
        <w:rPr>
          <w:sz w:val="20"/>
          <w:szCs w:val="20"/>
          <w:lang w:val="pl-PL"/>
        </w:rPr>
        <w:t xml:space="preserve">rzadkich podtypach można odstąpić od </w:t>
      </w:r>
      <w:r w:rsidR="008E73D5" w:rsidRPr="00640E2B">
        <w:rPr>
          <w:sz w:val="20"/>
          <w:szCs w:val="20"/>
          <w:lang w:val="pl-PL"/>
        </w:rPr>
        <w:t>CHT</w:t>
      </w:r>
      <w:r w:rsidRPr="00640E2B">
        <w:rPr>
          <w:sz w:val="20"/>
          <w:szCs w:val="20"/>
          <w:lang w:val="pl-PL"/>
        </w:rPr>
        <w:t xml:space="preserve"> (III, B).</w:t>
      </w:r>
      <w:r w:rsidRPr="00640E2B">
        <w:rPr>
          <w:lang w:val="pl-PL"/>
        </w:rPr>
        <w:t xml:space="preserve"> </w:t>
      </w:r>
    </w:p>
    <w:p w:rsidR="00815EE4" w:rsidRPr="00640E2B" w:rsidRDefault="00815EE4" w:rsidP="00640E2B">
      <w:pPr>
        <w:spacing w:after="120" w:line="240" w:lineRule="auto"/>
        <w:rPr>
          <w:lang w:val="pl-PL"/>
        </w:rPr>
      </w:pPr>
    </w:p>
    <w:p w:rsidR="006A3D31" w:rsidRPr="00FF686D" w:rsidRDefault="006A3D31" w:rsidP="006A3D31">
      <w:pPr>
        <w:pStyle w:val="Nagwek3"/>
        <w:spacing w:before="0" w:after="120" w:line="240" w:lineRule="auto"/>
        <w:rPr>
          <w:rFonts w:ascii="Arial" w:eastAsia="SimSun" w:hAnsi="Arial" w:cs="Arial"/>
          <w:color w:val="2E74B5"/>
          <w:sz w:val="20"/>
          <w:szCs w:val="20"/>
          <w:lang w:val="pl-PL" w:eastAsia="pl-PL"/>
        </w:rPr>
      </w:pPr>
      <w:bookmarkStart w:id="28" w:name="_Toc516233164"/>
      <w:r w:rsidRPr="00FF686D">
        <w:rPr>
          <w:rFonts w:ascii="Arial" w:eastAsia="SimSun" w:hAnsi="Arial" w:cs="Arial"/>
          <w:color w:val="2E74B5"/>
          <w:sz w:val="20"/>
          <w:szCs w:val="20"/>
          <w:lang w:val="pl-PL" w:eastAsia="pl-PL"/>
        </w:rPr>
        <w:t>Uzupełniające leczenie w rakach piersi u mężczyzn</w:t>
      </w:r>
      <w:bookmarkEnd w:id="28"/>
    </w:p>
    <w:p w:rsidR="006A3D31" w:rsidRPr="00FF686D" w:rsidRDefault="006A4E7B" w:rsidP="000E721D">
      <w:pPr>
        <w:widowControl/>
        <w:numPr>
          <w:ilvl w:val="0"/>
          <w:numId w:val="12"/>
        </w:numPr>
        <w:spacing w:before="240" w:after="120" w:line="240" w:lineRule="auto"/>
        <w:ind w:left="714" w:hanging="357"/>
        <w:jc w:val="both"/>
        <w:rPr>
          <w:sz w:val="20"/>
          <w:szCs w:val="20"/>
          <w:lang w:val="pl-PL"/>
        </w:rPr>
      </w:pPr>
      <w:r w:rsidRPr="00FF686D">
        <w:rPr>
          <w:sz w:val="20"/>
          <w:szCs w:val="20"/>
          <w:lang w:val="pl-PL"/>
        </w:rPr>
        <w:t xml:space="preserve">W </w:t>
      </w:r>
      <w:r w:rsidR="003F6022" w:rsidRPr="00FF686D">
        <w:rPr>
          <w:sz w:val="20"/>
          <w:szCs w:val="20"/>
          <w:lang w:val="pl-PL"/>
        </w:rPr>
        <w:t xml:space="preserve">uzupełniającej </w:t>
      </w:r>
      <w:r w:rsidR="003F6022">
        <w:rPr>
          <w:sz w:val="20"/>
          <w:szCs w:val="20"/>
          <w:lang w:val="pl-PL"/>
        </w:rPr>
        <w:t>HT</w:t>
      </w:r>
      <w:r w:rsidRPr="00FF686D">
        <w:rPr>
          <w:sz w:val="20"/>
          <w:szCs w:val="20"/>
          <w:lang w:val="pl-PL"/>
        </w:rPr>
        <w:t xml:space="preserve"> u mężczyzn </w:t>
      </w:r>
      <w:r w:rsidR="00EA5804">
        <w:rPr>
          <w:sz w:val="20"/>
          <w:szCs w:val="20"/>
          <w:lang w:val="pl-PL"/>
        </w:rPr>
        <w:t>należy zastosować</w:t>
      </w:r>
      <w:r w:rsidRPr="00FF686D">
        <w:rPr>
          <w:sz w:val="20"/>
          <w:szCs w:val="20"/>
          <w:lang w:val="pl-PL"/>
        </w:rPr>
        <w:t xml:space="preserve"> tamoks</w:t>
      </w:r>
      <w:r w:rsidR="002C7501">
        <w:rPr>
          <w:sz w:val="20"/>
          <w:szCs w:val="20"/>
          <w:lang w:val="pl-PL"/>
        </w:rPr>
        <w:t>y</w:t>
      </w:r>
      <w:r w:rsidRPr="00FF686D">
        <w:rPr>
          <w:sz w:val="20"/>
          <w:szCs w:val="20"/>
          <w:lang w:val="pl-PL"/>
        </w:rPr>
        <w:t>fen</w:t>
      </w:r>
      <w:r w:rsidR="00E06C36">
        <w:rPr>
          <w:sz w:val="20"/>
          <w:szCs w:val="20"/>
          <w:lang w:val="pl-PL"/>
        </w:rPr>
        <w:t xml:space="preserve"> (IIII</w:t>
      </w:r>
      <w:r w:rsidR="005E18C6">
        <w:rPr>
          <w:sz w:val="20"/>
          <w:szCs w:val="20"/>
          <w:lang w:val="pl-PL"/>
        </w:rPr>
        <w:t>, A)</w:t>
      </w:r>
      <w:r w:rsidR="00815EE4">
        <w:rPr>
          <w:sz w:val="20"/>
          <w:szCs w:val="20"/>
          <w:lang w:val="pl-PL"/>
        </w:rPr>
        <w:t>.</w:t>
      </w:r>
    </w:p>
    <w:p w:rsidR="006A4E7B" w:rsidRPr="00FF686D" w:rsidRDefault="006A4E7B" w:rsidP="000E721D">
      <w:pPr>
        <w:widowControl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eastAsia="SimSun" w:cs="Times New Roman"/>
          <w:sz w:val="20"/>
          <w:szCs w:val="20"/>
          <w:lang w:val="pl-PL" w:eastAsia="pl-PL"/>
        </w:rPr>
      </w:pPr>
      <w:r w:rsidRPr="00FF686D">
        <w:rPr>
          <w:rFonts w:eastAsia="SimSun" w:cs="Times New Roman"/>
          <w:sz w:val="20"/>
          <w:szCs w:val="20"/>
          <w:lang w:val="pl-PL" w:eastAsia="pl-PL"/>
        </w:rPr>
        <w:t>Pozostałe zasady</w:t>
      </w:r>
      <w:r w:rsidR="00815EE4">
        <w:rPr>
          <w:rFonts w:eastAsia="SimSun" w:cs="Times New Roman"/>
          <w:sz w:val="20"/>
          <w:szCs w:val="20"/>
          <w:lang w:val="pl-PL" w:eastAsia="pl-PL"/>
        </w:rPr>
        <w:t xml:space="preserve"> uzupełniającego leczenia</w:t>
      </w:r>
      <w:r w:rsidRPr="00FF686D">
        <w:rPr>
          <w:rFonts w:eastAsia="SimSun" w:cs="Times New Roman"/>
          <w:sz w:val="20"/>
          <w:szCs w:val="20"/>
          <w:lang w:val="pl-PL" w:eastAsia="pl-PL"/>
        </w:rPr>
        <w:t xml:space="preserve"> są identyczne jak dla raka piersi u kobiet</w:t>
      </w:r>
      <w:r w:rsidR="005E18C6">
        <w:rPr>
          <w:rFonts w:eastAsia="SimSun" w:cs="Times New Roman"/>
          <w:sz w:val="20"/>
          <w:szCs w:val="20"/>
          <w:lang w:val="pl-PL" w:eastAsia="pl-PL"/>
        </w:rPr>
        <w:t xml:space="preserve"> (III, A)</w:t>
      </w:r>
      <w:r w:rsidR="00815EE4">
        <w:rPr>
          <w:rFonts w:eastAsia="SimSun" w:cs="Times New Roman"/>
          <w:sz w:val="20"/>
          <w:szCs w:val="20"/>
          <w:lang w:val="pl-PL" w:eastAsia="pl-PL"/>
        </w:rPr>
        <w:t>.</w:t>
      </w:r>
    </w:p>
    <w:p w:rsidR="006A3D31" w:rsidRPr="00FF686D" w:rsidRDefault="006A3D31" w:rsidP="006A3D31">
      <w:pPr>
        <w:widowControl/>
        <w:spacing w:after="120" w:line="240" w:lineRule="auto"/>
        <w:ind w:right="2376"/>
        <w:rPr>
          <w:rFonts w:eastAsia="SimSun" w:cs="Times New Roman"/>
          <w:b/>
          <w:sz w:val="19"/>
          <w:szCs w:val="19"/>
          <w:lang w:val="pl-PL" w:eastAsia="pl-PL"/>
        </w:rPr>
      </w:pPr>
    </w:p>
    <w:p w:rsidR="00F463B2" w:rsidRPr="00F463B2" w:rsidRDefault="00F463B2" w:rsidP="00F463B2">
      <w:pPr>
        <w:pStyle w:val="Nagwek3"/>
        <w:spacing w:before="0" w:after="120" w:line="240" w:lineRule="auto"/>
        <w:rPr>
          <w:rFonts w:ascii="Arial" w:eastAsia="SimSun" w:hAnsi="Arial" w:cs="Arial"/>
          <w:color w:val="2E74B5"/>
          <w:sz w:val="20"/>
          <w:szCs w:val="20"/>
          <w:lang w:val="pl-PL" w:eastAsia="pl-PL"/>
        </w:rPr>
      </w:pPr>
      <w:bookmarkStart w:id="29" w:name="_Toc516233166"/>
      <w:r w:rsidRPr="00F463B2">
        <w:rPr>
          <w:rFonts w:ascii="Arial" w:eastAsia="SimSun" w:hAnsi="Arial" w:cs="Arial"/>
          <w:color w:val="2E74B5"/>
          <w:sz w:val="20"/>
          <w:szCs w:val="20"/>
          <w:lang w:val="pl-PL" w:eastAsia="pl-PL"/>
        </w:rPr>
        <w:t>Ukryty rak piersi</w:t>
      </w:r>
      <w:bookmarkEnd w:id="29"/>
    </w:p>
    <w:p w:rsidR="00F463B2" w:rsidRDefault="0084064C" w:rsidP="000E721D">
      <w:pPr>
        <w:widowControl/>
        <w:numPr>
          <w:ilvl w:val="0"/>
          <w:numId w:val="40"/>
        </w:numPr>
        <w:spacing w:before="240" w:after="120" w:line="240" w:lineRule="auto"/>
        <w:jc w:val="both"/>
        <w:rPr>
          <w:rFonts w:eastAsia="SimSun" w:cs="Times New Roman"/>
          <w:sz w:val="20"/>
          <w:szCs w:val="20"/>
          <w:lang w:val="pl-PL" w:eastAsia="pl-PL"/>
        </w:rPr>
      </w:pPr>
      <w:r w:rsidRPr="0084064C">
        <w:rPr>
          <w:sz w:val="20"/>
          <w:szCs w:val="20"/>
          <w:lang w:val="pl-PL"/>
        </w:rPr>
        <w:t xml:space="preserve">Leczeniem z wyboru ukrytego raka piersi jest usunięcie </w:t>
      </w:r>
      <w:r w:rsidRPr="0084064C">
        <w:rPr>
          <w:rFonts w:eastAsia="SimSun" w:cs="Times New Roman"/>
          <w:sz w:val="20"/>
          <w:szCs w:val="20"/>
          <w:lang w:val="pl-PL" w:eastAsia="pl-PL"/>
        </w:rPr>
        <w:t xml:space="preserve">pachowych węzłów chłonnych i </w:t>
      </w:r>
      <w:r w:rsidR="0067073F">
        <w:rPr>
          <w:rFonts w:eastAsia="SimSun" w:cs="Times New Roman"/>
          <w:sz w:val="20"/>
          <w:szCs w:val="20"/>
          <w:lang w:val="pl-PL" w:eastAsia="pl-PL"/>
        </w:rPr>
        <w:t xml:space="preserve">amputacja lub </w:t>
      </w:r>
      <w:r w:rsidRPr="0084064C">
        <w:rPr>
          <w:rFonts w:eastAsia="SimSun" w:cs="Times New Roman"/>
          <w:sz w:val="20"/>
          <w:szCs w:val="20"/>
          <w:lang w:val="pl-PL" w:eastAsia="pl-PL"/>
        </w:rPr>
        <w:t xml:space="preserve">napromienianie piersi (III, </w:t>
      </w:r>
      <w:r w:rsidR="0067073F">
        <w:rPr>
          <w:rFonts w:eastAsia="SimSun" w:cs="Times New Roman"/>
          <w:sz w:val="20"/>
          <w:szCs w:val="20"/>
          <w:lang w:val="pl-PL" w:eastAsia="pl-PL"/>
        </w:rPr>
        <w:t>B</w:t>
      </w:r>
      <w:r w:rsidRPr="0084064C">
        <w:rPr>
          <w:rFonts w:eastAsia="SimSun" w:cs="Times New Roman"/>
          <w:sz w:val="20"/>
          <w:szCs w:val="20"/>
          <w:lang w:val="pl-PL" w:eastAsia="pl-PL"/>
        </w:rPr>
        <w:t>)</w:t>
      </w:r>
      <w:r w:rsidR="0067073F">
        <w:rPr>
          <w:rFonts w:eastAsia="SimSun" w:cs="Times New Roman"/>
          <w:sz w:val="20"/>
          <w:szCs w:val="20"/>
          <w:lang w:val="pl-PL" w:eastAsia="pl-PL"/>
        </w:rPr>
        <w:t>.</w:t>
      </w:r>
    </w:p>
    <w:p w:rsidR="006A3D31" w:rsidRPr="00863C2E" w:rsidRDefault="006A3D31" w:rsidP="00F962C7">
      <w:pPr>
        <w:spacing w:before="19" w:after="0" w:line="264" w:lineRule="auto"/>
        <w:ind w:right="59"/>
        <w:jc w:val="both"/>
        <w:rPr>
          <w:rFonts w:ascii="Franklin Gothic Medium" w:eastAsia="Franklin Gothic Medium" w:hAnsi="Franklin Gothic Medium"/>
          <w:sz w:val="20"/>
          <w:szCs w:val="20"/>
          <w:lang w:val="pl-PL"/>
        </w:rPr>
      </w:pPr>
    </w:p>
    <w:p w:rsidR="006A3D31" w:rsidRPr="00CB3E6F" w:rsidRDefault="006A3D31" w:rsidP="006A3D31">
      <w:pPr>
        <w:pStyle w:val="Nagwek2"/>
        <w:spacing w:before="0" w:after="240" w:line="240" w:lineRule="auto"/>
        <w:rPr>
          <w:rFonts w:ascii="Arial" w:hAnsi="Arial" w:cs="Arial"/>
          <w:i w:val="0"/>
          <w:color w:val="2E74B5"/>
          <w:sz w:val="24"/>
          <w:szCs w:val="24"/>
          <w:lang w:val="pl-PL"/>
        </w:rPr>
      </w:pPr>
      <w:bookmarkStart w:id="30" w:name="_Toc516233168"/>
      <w:r w:rsidRPr="00227ADD">
        <w:rPr>
          <w:rFonts w:ascii="Arial" w:hAnsi="Arial" w:cs="Arial"/>
          <w:i w:val="0"/>
          <w:color w:val="2E74B5"/>
          <w:sz w:val="24"/>
          <w:szCs w:val="24"/>
          <w:lang w:val="pl-PL"/>
        </w:rPr>
        <w:t>Leczenie miejscowo zaawansowanego raka piersi (stopień T3N0 i III)</w:t>
      </w:r>
      <w:bookmarkEnd w:id="30"/>
    </w:p>
    <w:p w:rsidR="00ED3745" w:rsidRPr="008C46DA" w:rsidRDefault="00BD36DD" w:rsidP="000E721D">
      <w:pPr>
        <w:numPr>
          <w:ilvl w:val="0"/>
          <w:numId w:val="13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 w:rsidRPr="008C46DA">
        <w:rPr>
          <w:sz w:val="20"/>
          <w:szCs w:val="20"/>
          <w:lang w:val="pl-PL"/>
        </w:rPr>
        <w:t>Przed rozpoczęciem leczenia</w:t>
      </w:r>
      <w:r w:rsidR="003631BA" w:rsidRPr="008C46DA">
        <w:rPr>
          <w:sz w:val="20"/>
          <w:szCs w:val="20"/>
          <w:lang w:val="pl-PL"/>
        </w:rPr>
        <w:t xml:space="preserve"> chorych na miejscowo zawansowanego raka piersi</w:t>
      </w:r>
      <w:r w:rsidR="00BF0E79" w:rsidRPr="008C46DA">
        <w:rPr>
          <w:sz w:val="20"/>
          <w:szCs w:val="20"/>
          <w:lang w:val="pl-PL"/>
        </w:rPr>
        <w:t>, oprócz rutynowych badań wykonywanych we wczesnym raku piersi,</w:t>
      </w:r>
      <w:r w:rsidRPr="008C46DA">
        <w:rPr>
          <w:sz w:val="20"/>
          <w:szCs w:val="20"/>
          <w:lang w:val="pl-PL"/>
        </w:rPr>
        <w:t xml:space="preserve"> należy wykonać badania obrazowe płuc, jamy brzusznej i kości oraz ocenę czynności szpiku, wątroby i nerek</w:t>
      </w:r>
      <w:r w:rsidR="00ED3745" w:rsidRPr="008C46DA">
        <w:rPr>
          <w:sz w:val="20"/>
          <w:szCs w:val="20"/>
          <w:lang w:val="pl-PL"/>
        </w:rPr>
        <w:t xml:space="preserve"> (ryc. 1</w:t>
      </w:r>
      <w:r w:rsidR="00BF0E79" w:rsidRPr="008C46DA">
        <w:rPr>
          <w:sz w:val="20"/>
          <w:szCs w:val="20"/>
          <w:lang w:val="pl-PL"/>
        </w:rPr>
        <w:t>)</w:t>
      </w:r>
      <w:r w:rsidR="00D3521D" w:rsidRPr="008C46DA">
        <w:rPr>
          <w:sz w:val="20"/>
          <w:szCs w:val="20"/>
          <w:lang w:val="pl-PL"/>
        </w:rPr>
        <w:t xml:space="preserve"> (II</w:t>
      </w:r>
      <w:r w:rsidR="00A4056A">
        <w:rPr>
          <w:sz w:val="20"/>
          <w:szCs w:val="20"/>
          <w:lang w:val="pl-PL"/>
        </w:rPr>
        <w:t>I</w:t>
      </w:r>
      <w:r w:rsidR="00D3521D" w:rsidRPr="008C46DA">
        <w:rPr>
          <w:sz w:val="20"/>
          <w:szCs w:val="20"/>
          <w:lang w:val="pl-PL"/>
        </w:rPr>
        <w:t>, A).</w:t>
      </w:r>
    </w:p>
    <w:p w:rsidR="00BD36DD" w:rsidRPr="008C46DA" w:rsidRDefault="00BD36DD" w:rsidP="000E721D">
      <w:pPr>
        <w:numPr>
          <w:ilvl w:val="0"/>
          <w:numId w:val="13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 w:rsidRPr="008C46DA">
        <w:rPr>
          <w:sz w:val="20"/>
          <w:szCs w:val="20"/>
          <w:lang w:val="pl-PL"/>
        </w:rPr>
        <w:t xml:space="preserve">Większość chorych na miejscowo zawansowanego raka piersi wymaga </w:t>
      </w:r>
      <w:r w:rsidR="00613847" w:rsidRPr="008C46DA">
        <w:rPr>
          <w:sz w:val="20"/>
          <w:szCs w:val="20"/>
          <w:lang w:val="pl-PL"/>
        </w:rPr>
        <w:t xml:space="preserve">wstępnego </w:t>
      </w:r>
      <w:r w:rsidRPr="008C46DA">
        <w:rPr>
          <w:sz w:val="20"/>
          <w:szCs w:val="20"/>
          <w:lang w:val="pl-PL"/>
        </w:rPr>
        <w:t>leczenia systemow</w:t>
      </w:r>
      <w:r w:rsidR="00613847" w:rsidRPr="008C46DA">
        <w:rPr>
          <w:sz w:val="20"/>
          <w:szCs w:val="20"/>
          <w:lang w:val="pl-PL"/>
        </w:rPr>
        <w:t>ego</w:t>
      </w:r>
      <w:r w:rsidRPr="008C46DA">
        <w:rPr>
          <w:sz w:val="20"/>
          <w:szCs w:val="20"/>
          <w:lang w:val="pl-PL"/>
        </w:rPr>
        <w:t xml:space="preserve">, </w:t>
      </w:r>
      <w:r w:rsidR="00F962C7">
        <w:rPr>
          <w:sz w:val="20"/>
          <w:szCs w:val="20"/>
          <w:lang w:val="pl-PL"/>
        </w:rPr>
        <w:t>a </w:t>
      </w:r>
      <w:r w:rsidR="00613847" w:rsidRPr="008C46DA">
        <w:rPr>
          <w:sz w:val="20"/>
          <w:szCs w:val="20"/>
          <w:lang w:val="pl-PL"/>
        </w:rPr>
        <w:t xml:space="preserve">następnie </w:t>
      </w:r>
      <w:r w:rsidRPr="008C46DA">
        <w:rPr>
          <w:sz w:val="20"/>
          <w:szCs w:val="20"/>
          <w:lang w:val="pl-PL"/>
        </w:rPr>
        <w:t>chirurgii</w:t>
      </w:r>
      <w:r w:rsidR="00613847" w:rsidRPr="008C46DA">
        <w:rPr>
          <w:sz w:val="20"/>
          <w:szCs w:val="20"/>
          <w:lang w:val="pl-PL"/>
        </w:rPr>
        <w:t>,</w:t>
      </w:r>
      <w:r w:rsidRPr="008C46DA">
        <w:rPr>
          <w:sz w:val="20"/>
          <w:szCs w:val="20"/>
          <w:lang w:val="pl-PL"/>
        </w:rPr>
        <w:t xml:space="preserve"> </w:t>
      </w:r>
      <w:r w:rsidR="006D07C1" w:rsidRPr="008C46DA">
        <w:rPr>
          <w:sz w:val="20"/>
          <w:szCs w:val="20"/>
          <w:lang w:val="pl-PL"/>
        </w:rPr>
        <w:t>RT</w:t>
      </w:r>
      <w:r w:rsidR="00613847" w:rsidRPr="008C46DA">
        <w:rPr>
          <w:sz w:val="20"/>
          <w:szCs w:val="20"/>
          <w:lang w:val="pl-PL"/>
        </w:rPr>
        <w:t xml:space="preserve"> lub obu tych metod</w:t>
      </w:r>
      <w:r w:rsidR="00E34564" w:rsidRPr="008C46DA">
        <w:rPr>
          <w:sz w:val="20"/>
          <w:szCs w:val="20"/>
          <w:lang w:val="pl-PL"/>
        </w:rPr>
        <w:t xml:space="preserve"> </w:t>
      </w:r>
      <w:r w:rsidR="00ED3745" w:rsidRPr="008C46DA">
        <w:rPr>
          <w:sz w:val="20"/>
          <w:szCs w:val="20"/>
          <w:lang w:val="pl-PL"/>
        </w:rPr>
        <w:t xml:space="preserve">(ryc. 5) </w:t>
      </w:r>
      <w:r w:rsidR="00E34564" w:rsidRPr="008C46DA">
        <w:rPr>
          <w:sz w:val="20"/>
          <w:szCs w:val="20"/>
          <w:lang w:val="pl-PL"/>
        </w:rPr>
        <w:t xml:space="preserve">(I, A). </w:t>
      </w:r>
    </w:p>
    <w:p w:rsidR="00613847" w:rsidRPr="008C46DA" w:rsidRDefault="00613847" w:rsidP="000E721D">
      <w:pPr>
        <w:numPr>
          <w:ilvl w:val="0"/>
          <w:numId w:val="13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 w:rsidRPr="008C46DA">
        <w:rPr>
          <w:sz w:val="20"/>
          <w:szCs w:val="20"/>
          <w:lang w:val="pl-PL"/>
        </w:rPr>
        <w:t>W leczeniu systemowym miejscowo zawansowanego raka piersi stosuje się t</w:t>
      </w:r>
      <w:r w:rsidR="00F962C7">
        <w:rPr>
          <w:sz w:val="20"/>
          <w:szCs w:val="20"/>
          <w:lang w:val="pl-PL"/>
        </w:rPr>
        <w:t>akie same zasady kwalifikacji i </w:t>
      </w:r>
      <w:r w:rsidRPr="008C46DA">
        <w:rPr>
          <w:sz w:val="20"/>
          <w:szCs w:val="20"/>
          <w:lang w:val="pl-PL"/>
        </w:rPr>
        <w:t>metody jak w pierwotnie operacyjnym raku piersi (II, A).</w:t>
      </w:r>
    </w:p>
    <w:p w:rsidR="00ED3745" w:rsidRPr="008C46DA" w:rsidRDefault="009B56BC" w:rsidP="000E721D">
      <w:pPr>
        <w:numPr>
          <w:ilvl w:val="0"/>
          <w:numId w:val="13"/>
        </w:numPr>
        <w:spacing w:after="120" w:line="240" w:lineRule="auto"/>
        <w:ind w:left="714" w:hanging="357"/>
        <w:jc w:val="both"/>
        <w:rPr>
          <w:bCs/>
          <w:iCs/>
          <w:sz w:val="20"/>
          <w:szCs w:val="20"/>
          <w:lang w:val="pl-PL"/>
        </w:rPr>
      </w:pPr>
      <w:r w:rsidRPr="008C46DA">
        <w:rPr>
          <w:bCs/>
          <w:iCs/>
          <w:sz w:val="20"/>
          <w:szCs w:val="20"/>
          <w:lang w:val="pl-PL"/>
        </w:rPr>
        <w:t xml:space="preserve">Wybór metody miejscowego leczenia (chirurgii lub </w:t>
      </w:r>
      <w:r w:rsidR="006D07C1" w:rsidRPr="008C46DA">
        <w:rPr>
          <w:bCs/>
          <w:iCs/>
          <w:sz w:val="20"/>
          <w:szCs w:val="20"/>
          <w:lang w:val="pl-PL"/>
        </w:rPr>
        <w:t>RT</w:t>
      </w:r>
      <w:r w:rsidRPr="008C46DA">
        <w:rPr>
          <w:bCs/>
          <w:iCs/>
          <w:sz w:val="20"/>
          <w:szCs w:val="20"/>
          <w:lang w:val="pl-PL"/>
        </w:rPr>
        <w:t xml:space="preserve">) zależy </w:t>
      </w:r>
      <w:r w:rsidR="00EA5804" w:rsidRPr="008C46DA">
        <w:rPr>
          <w:bCs/>
          <w:iCs/>
          <w:sz w:val="20"/>
          <w:szCs w:val="20"/>
          <w:lang w:val="pl-PL"/>
        </w:rPr>
        <w:t xml:space="preserve">przede wszystkim </w:t>
      </w:r>
      <w:r w:rsidRPr="008C46DA">
        <w:rPr>
          <w:bCs/>
          <w:iCs/>
          <w:sz w:val="20"/>
          <w:szCs w:val="20"/>
          <w:lang w:val="pl-PL"/>
        </w:rPr>
        <w:t xml:space="preserve">od odpowiedzi na </w:t>
      </w:r>
      <w:r w:rsidR="003E1140" w:rsidRPr="008C46DA">
        <w:rPr>
          <w:bCs/>
          <w:iCs/>
          <w:sz w:val="20"/>
          <w:szCs w:val="20"/>
          <w:lang w:val="pl-PL"/>
        </w:rPr>
        <w:t>wstępne</w:t>
      </w:r>
      <w:r w:rsidRPr="008C46DA">
        <w:rPr>
          <w:bCs/>
          <w:iCs/>
          <w:sz w:val="20"/>
          <w:szCs w:val="20"/>
          <w:lang w:val="pl-PL"/>
        </w:rPr>
        <w:t xml:space="preserve"> leczenie systemowe</w:t>
      </w:r>
      <w:r w:rsidR="00A1612A" w:rsidRPr="008C46DA">
        <w:rPr>
          <w:bCs/>
          <w:iCs/>
          <w:sz w:val="20"/>
          <w:szCs w:val="20"/>
          <w:lang w:val="pl-PL"/>
        </w:rPr>
        <w:t xml:space="preserve"> (II, B). </w:t>
      </w:r>
    </w:p>
    <w:p w:rsidR="00D47609" w:rsidRPr="008C46DA" w:rsidRDefault="003E1140" w:rsidP="000E721D">
      <w:pPr>
        <w:numPr>
          <w:ilvl w:val="0"/>
          <w:numId w:val="13"/>
        </w:numPr>
        <w:spacing w:after="120" w:line="240" w:lineRule="auto"/>
        <w:ind w:left="714" w:hanging="357"/>
        <w:jc w:val="both"/>
        <w:rPr>
          <w:bCs/>
          <w:iCs/>
          <w:sz w:val="20"/>
          <w:szCs w:val="20"/>
          <w:lang w:val="pl-PL"/>
        </w:rPr>
      </w:pPr>
      <w:r w:rsidRPr="008C46DA">
        <w:rPr>
          <w:bCs/>
          <w:iCs/>
          <w:sz w:val="20"/>
          <w:szCs w:val="20"/>
          <w:lang w:val="pl-PL"/>
        </w:rPr>
        <w:t>U chorych kwalifikujących się do zabiegu operacyjnego, jego rodzaj (amputacja lub zabieg oszczędzający) zależny jest od</w:t>
      </w:r>
      <w:r w:rsidR="00D47609" w:rsidRPr="008C46DA">
        <w:rPr>
          <w:bCs/>
          <w:iCs/>
          <w:sz w:val="20"/>
          <w:szCs w:val="20"/>
          <w:lang w:val="pl-PL"/>
        </w:rPr>
        <w:t xml:space="preserve"> uzyskanej odpowiedzi, sytuacji anatomicznej i preferencji chorej </w:t>
      </w:r>
      <w:r w:rsidR="00A1612A" w:rsidRPr="008C46DA">
        <w:rPr>
          <w:bCs/>
          <w:iCs/>
          <w:sz w:val="20"/>
          <w:szCs w:val="20"/>
          <w:lang w:val="pl-PL"/>
        </w:rPr>
        <w:t>(II, B)</w:t>
      </w:r>
      <w:r w:rsidR="00A75E6E" w:rsidRPr="008C46DA">
        <w:rPr>
          <w:bCs/>
          <w:iCs/>
          <w:sz w:val="20"/>
          <w:szCs w:val="20"/>
          <w:lang w:val="pl-PL"/>
        </w:rPr>
        <w:t>.</w:t>
      </w:r>
    </w:p>
    <w:p w:rsidR="00613847" w:rsidRPr="008C46DA" w:rsidRDefault="003E1140" w:rsidP="000E721D">
      <w:pPr>
        <w:numPr>
          <w:ilvl w:val="0"/>
          <w:numId w:val="13"/>
        </w:numPr>
        <w:spacing w:after="120" w:line="240" w:lineRule="auto"/>
        <w:ind w:left="714" w:hanging="357"/>
        <w:jc w:val="both"/>
        <w:rPr>
          <w:rFonts w:cs="Times New Roman"/>
          <w:sz w:val="20"/>
          <w:szCs w:val="20"/>
          <w:lang w:val="pl-PL"/>
        </w:rPr>
      </w:pPr>
      <w:r w:rsidRPr="008C46DA">
        <w:rPr>
          <w:bCs/>
          <w:iCs/>
          <w:sz w:val="20"/>
          <w:szCs w:val="20"/>
          <w:lang w:val="pl-PL"/>
        </w:rPr>
        <w:t>U niemal wszystkich</w:t>
      </w:r>
      <w:r w:rsidR="00A75E6E" w:rsidRPr="008C46DA">
        <w:rPr>
          <w:bCs/>
          <w:iCs/>
          <w:sz w:val="20"/>
          <w:szCs w:val="20"/>
          <w:lang w:val="pl-PL"/>
        </w:rPr>
        <w:t xml:space="preserve"> chorych na miejscowo zaawansowanego raka piersi wskazana jest uzupełniająca </w:t>
      </w:r>
      <w:r w:rsidR="008E73D5" w:rsidRPr="008C46DA">
        <w:rPr>
          <w:bCs/>
          <w:iCs/>
          <w:sz w:val="20"/>
          <w:szCs w:val="20"/>
          <w:lang w:val="pl-PL"/>
        </w:rPr>
        <w:t>RT</w:t>
      </w:r>
      <w:r w:rsidR="00563EB7" w:rsidRPr="008C46DA">
        <w:rPr>
          <w:bCs/>
          <w:iCs/>
          <w:sz w:val="20"/>
          <w:szCs w:val="20"/>
          <w:lang w:val="pl-PL"/>
        </w:rPr>
        <w:t xml:space="preserve">, </w:t>
      </w:r>
      <w:r w:rsidR="00563EB7" w:rsidRPr="008C46DA">
        <w:rPr>
          <w:rFonts w:cs="Times New Roman"/>
          <w:sz w:val="20"/>
          <w:szCs w:val="20"/>
          <w:lang w:val="pl-PL"/>
        </w:rPr>
        <w:t xml:space="preserve">która po zabiegu oszczędzającym obejmuje pierś, natomiast po amputacji – ścianę klatki piersiowej, </w:t>
      </w:r>
      <w:r w:rsidR="00437D8B" w:rsidRPr="008C46DA">
        <w:rPr>
          <w:rFonts w:cs="Times New Roman"/>
          <w:sz w:val="20"/>
          <w:szCs w:val="20"/>
          <w:lang w:val="pl-PL"/>
        </w:rPr>
        <w:t>w obu wypadkach</w:t>
      </w:r>
      <w:r w:rsidR="00563EB7" w:rsidRPr="008C46DA">
        <w:rPr>
          <w:rFonts w:cs="Times New Roman"/>
          <w:sz w:val="20"/>
          <w:szCs w:val="20"/>
          <w:lang w:val="pl-PL"/>
        </w:rPr>
        <w:t xml:space="preserve"> z okolicą nadobojczykową </w:t>
      </w:r>
      <w:r w:rsidR="00A75E6E" w:rsidRPr="008C46DA">
        <w:rPr>
          <w:bCs/>
          <w:iCs/>
          <w:sz w:val="20"/>
          <w:szCs w:val="20"/>
          <w:lang w:val="pl-PL"/>
        </w:rPr>
        <w:t xml:space="preserve">(I, A). </w:t>
      </w:r>
    </w:p>
    <w:p w:rsidR="00BF0E79" w:rsidRPr="008C46DA" w:rsidRDefault="00BF0E79" w:rsidP="000E721D">
      <w:pPr>
        <w:numPr>
          <w:ilvl w:val="0"/>
          <w:numId w:val="13"/>
        </w:numPr>
        <w:spacing w:after="120" w:line="240" w:lineRule="auto"/>
        <w:ind w:left="714" w:hanging="357"/>
        <w:jc w:val="both"/>
        <w:rPr>
          <w:rFonts w:cs="Times New Roman"/>
          <w:sz w:val="20"/>
          <w:szCs w:val="20"/>
          <w:lang w:val="pl-PL"/>
        </w:rPr>
      </w:pPr>
      <w:r w:rsidRPr="008C46DA">
        <w:rPr>
          <w:rFonts w:cs="Times New Roman"/>
          <w:sz w:val="20"/>
          <w:szCs w:val="20"/>
          <w:lang w:val="pl-PL"/>
        </w:rPr>
        <w:t xml:space="preserve">Decyzja o objęciu RT okolicy pachowej i zamostkowej zależy od ryzyka nawrotu (określonego indywidualnie na podstawie zasięgu nowotworu sprzed leczenia indukcyjnego i wyniku badania histopatologicznego) </w:t>
      </w:r>
      <w:r w:rsidR="00613847" w:rsidRPr="008C46DA">
        <w:rPr>
          <w:rFonts w:cs="Times New Roman"/>
          <w:sz w:val="20"/>
          <w:szCs w:val="20"/>
          <w:lang w:val="pl-PL"/>
        </w:rPr>
        <w:t>(</w:t>
      </w:r>
      <w:r w:rsidR="00A4056A">
        <w:rPr>
          <w:rFonts w:cs="Times New Roman"/>
          <w:sz w:val="20"/>
          <w:szCs w:val="20"/>
          <w:lang w:val="pl-PL"/>
        </w:rPr>
        <w:t>II</w:t>
      </w:r>
      <w:r w:rsidRPr="008C46DA">
        <w:rPr>
          <w:rFonts w:cs="Times New Roman"/>
          <w:sz w:val="20"/>
          <w:szCs w:val="20"/>
          <w:lang w:val="pl-PL"/>
        </w:rPr>
        <w:t xml:space="preserve">, B). </w:t>
      </w:r>
    </w:p>
    <w:p w:rsidR="009B56BC" w:rsidRPr="008C46DA" w:rsidRDefault="003E1140" w:rsidP="000E721D">
      <w:pPr>
        <w:numPr>
          <w:ilvl w:val="0"/>
          <w:numId w:val="13"/>
        </w:numPr>
        <w:spacing w:after="120" w:line="240" w:lineRule="auto"/>
        <w:ind w:left="714" w:hanging="357"/>
        <w:jc w:val="both"/>
        <w:rPr>
          <w:bCs/>
          <w:iCs/>
          <w:sz w:val="20"/>
          <w:szCs w:val="20"/>
          <w:lang w:val="pl-PL"/>
        </w:rPr>
      </w:pPr>
      <w:r w:rsidRPr="008C46DA">
        <w:rPr>
          <w:bCs/>
          <w:iCs/>
          <w:sz w:val="20"/>
          <w:szCs w:val="20"/>
          <w:lang w:val="pl-PL"/>
        </w:rPr>
        <w:t>U chorych na</w:t>
      </w:r>
      <w:r w:rsidR="00EF055A" w:rsidRPr="008C46DA">
        <w:rPr>
          <w:bCs/>
          <w:iCs/>
          <w:sz w:val="20"/>
          <w:szCs w:val="20"/>
          <w:lang w:val="pl-PL"/>
        </w:rPr>
        <w:t xml:space="preserve"> raka zapalnego</w:t>
      </w:r>
      <w:r w:rsidRPr="008C46DA">
        <w:rPr>
          <w:bCs/>
          <w:iCs/>
          <w:sz w:val="20"/>
          <w:szCs w:val="20"/>
          <w:lang w:val="pl-PL"/>
        </w:rPr>
        <w:t xml:space="preserve"> kwalifikujących się do zabiegu operacyjneg</w:t>
      </w:r>
      <w:r w:rsidR="00ED3745" w:rsidRPr="008C46DA">
        <w:rPr>
          <w:bCs/>
          <w:iCs/>
          <w:sz w:val="20"/>
          <w:szCs w:val="20"/>
          <w:lang w:val="pl-PL"/>
        </w:rPr>
        <w:t xml:space="preserve">o po </w:t>
      </w:r>
      <w:r w:rsidR="00F442EB" w:rsidRPr="008C46DA">
        <w:rPr>
          <w:bCs/>
          <w:iCs/>
          <w:sz w:val="20"/>
          <w:szCs w:val="20"/>
          <w:lang w:val="pl-PL"/>
        </w:rPr>
        <w:t xml:space="preserve">indukcyjnym </w:t>
      </w:r>
      <w:r w:rsidR="00ED3745" w:rsidRPr="008C46DA">
        <w:rPr>
          <w:bCs/>
          <w:iCs/>
          <w:sz w:val="20"/>
          <w:szCs w:val="20"/>
          <w:lang w:val="pl-PL"/>
        </w:rPr>
        <w:t>leczeniu</w:t>
      </w:r>
      <w:r w:rsidR="00F442EB">
        <w:rPr>
          <w:bCs/>
          <w:iCs/>
          <w:sz w:val="20"/>
          <w:szCs w:val="20"/>
          <w:lang w:val="pl-PL"/>
        </w:rPr>
        <w:t xml:space="preserve"> systemowym</w:t>
      </w:r>
      <w:r w:rsidR="00ED3745" w:rsidRPr="008C46DA">
        <w:rPr>
          <w:bCs/>
          <w:iCs/>
          <w:sz w:val="20"/>
          <w:szCs w:val="20"/>
          <w:lang w:val="pl-PL"/>
        </w:rPr>
        <w:t>, postę</w:t>
      </w:r>
      <w:r w:rsidRPr="008C46DA">
        <w:rPr>
          <w:bCs/>
          <w:iCs/>
          <w:sz w:val="20"/>
          <w:szCs w:val="20"/>
          <w:lang w:val="pl-PL"/>
        </w:rPr>
        <w:t>powaniem z wyboru</w:t>
      </w:r>
      <w:r w:rsidR="00EF055A" w:rsidRPr="008C46DA">
        <w:rPr>
          <w:bCs/>
          <w:iCs/>
          <w:sz w:val="20"/>
          <w:szCs w:val="20"/>
          <w:lang w:val="pl-PL"/>
        </w:rPr>
        <w:t xml:space="preserve"> jest amputacj</w:t>
      </w:r>
      <w:r w:rsidRPr="008C46DA">
        <w:rPr>
          <w:bCs/>
          <w:iCs/>
          <w:sz w:val="20"/>
          <w:szCs w:val="20"/>
          <w:lang w:val="pl-PL"/>
        </w:rPr>
        <w:t>a</w:t>
      </w:r>
      <w:r w:rsidR="00EF055A" w:rsidRPr="008C46DA">
        <w:rPr>
          <w:bCs/>
          <w:iCs/>
          <w:sz w:val="20"/>
          <w:szCs w:val="20"/>
          <w:lang w:val="pl-PL"/>
        </w:rPr>
        <w:t xml:space="preserve"> piersi </w:t>
      </w:r>
      <w:r w:rsidR="00613847" w:rsidRPr="008C46DA">
        <w:rPr>
          <w:bCs/>
          <w:iCs/>
          <w:sz w:val="20"/>
          <w:szCs w:val="20"/>
          <w:lang w:val="pl-PL"/>
        </w:rPr>
        <w:t xml:space="preserve">bez jednoczasowej rekonstrukcji </w:t>
      </w:r>
      <w:r w:rsidR="00EF055A" w:rsidRPr="008C46DA">
        <w:rPr>
          <w:bCs/>
          <w:iCs/>
          <w:sz w:val="20"/>
          <w:szCs w:val="20"/>
          <w:lang w:val="pl-PL"/>
        </w:rPr>
        <w:t xml:space="preserve">(III, </w:t>
      </w:r>
      <w:r w:rsidR="00CB3FBE" w:rsidRPr="008C46DA">
        <w:rPr>
          <w:bCs/>
          <w:iCs/>
          <w:sz w:val="20"/>
          <w:szCs w:val="20"/>
          <w:lang w:val="pl-PL"/>
        </w:rPr>
        <w:t>A</w:t>
      </w:r>
      <w:r w:rsidR="00EF055A" w:rsidRPr="008C46DA">
        <w:rPr>
          <w:bCs/>
          <w:iCs/>
          <w:sz w:val="20"/>
          <w:szCs w:val="20"/>
          <w:lang w:val="pl-PL"/>
        </w:rPr>
        <w:t>)</w:t>
      </w:r>
      <w:r w:rsidRPr="008C46DA">
        <w:rPr>
          <w:bCs/>
          <w:iCs/>
          <w:sz w:val="20"/>
          <w:szCs w:val="20"/>
          <w:lang w:val="pl-PL"/>
        </w:rPr>
        <w:t>.</w:t>
      </w:r>
    </w:p>
    <w:p w:rsidR="00D13522" w:rsidRPr="008C46DA" w:rsidRDefault="00D13522" w:rsidP="000E721D">
      <w:pPr>
        <w:numPr>
          <w:ilvl w:val="0"/>
          <w:numId w:val="13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 w:rsidRPr="008C46DA">
        <w:rPr>
          <w:sz w:val="20"/>
          <w:szCs w:val="20"/>
          <w:lang w:val="pl-PL"/>
        </w:rPr>
        <w:t xml:space="preserve">U chorych </w:t>
      </w:r>
      <w:r w:rsidR="00ED3745" w:rsidRPr="008C46DA">
        <w:rPr>
          <w:sz w:val="20"/>
          <w:szCs w:val="20"/>
          <w:lang w:val="pl-PL"/>
        </w:rPr>
        <w:t>na raka piersi niekwalifikującego się do leczenia operacyjnego</w:t>
      </w:r>
      <w:r w:rsidRPr="008C46DA">
        <w:rPr>
          <w:sz w:val="20"/>
          <w:szCs w:val="20"/>
          <w:lang w:val="pl-PL"/>
        </w:rPr>
        <w:t xml:space="preserve"> </w:t>
      </w:r>
      <w:r w:rsidR="00013193" w:rsidRPr="008C46DA">
        <w:rPr>
          <w:sz w:val="20"/>
          <w:szCs w:val="20"/>
          <w:lang w:val="pl-PL"/>
        </w:rPr>
        <w:t>po</w:t>
      </w:r>
      <w:r w:rsidRPr="008C46DA">
        <w:rPr>
          <w:sz w:val="20"/>
          <w:szCs w:val="20"/>
          <w:lang w:val="pl-PL"/>
        </w:rPr>
        <w:t xml:space="preserve"> indukcyjnym leczeniu </w:t>
      </w:r>
      <w:r w:rsidR="00013193" w:rsidRPr="008C46DA">
        <w:rPr>
          <w:sz w:val="20"/>
          <w:szCs w:val="20"/>
          <w:lang w:val="pl-PL"/>
        </w:rPr>
        <w:t xml:space="preserve">systemowym </w:t>
      </w:r>
      <w:r w:rsidR="00ED3745" w:rsidRPr="008C46DA">
        <w:rPr>
          <w:sz w:val="20"/>
          <w:szCs w:val="20"/>
          <w:lang w:val="pl-PL"/>
        </w:rPr>
        <w:t>postępowaniem</w:t>
      </w:r>
      <w:r w:rsidR="003E1140" w:rsidRPr="008C46DA">
        <w:rPr>
          <w:sz w:val="20"/>
          <w:szCs w:val="20"/>
          <w:lang w:val="pl-PL"/>
        </w:rPr>
        <w:t xml:space="preserve"> z wyboru jest</w:t>
      </w:r>
      <w:r w:rsidRPr="008C46DA">
        <w:rPr>
          <w:sz w:val="20"/>
          <w:szCs w:val="20"/>
          <w:lang w:val="pl-PL"/>
        </w:rPr>
        <w:t xml:space="preserve"> radykalna </w:t>
      </w:r>
      <w:r w:rsidR="003E1140" w:rsidRPr="008C46DA">
        <w:rPr>
          <w:sz w:val="20"/>
          <w:szCs w:val="20"/>
          <w:lang w:val="pl-PL"/>
        </w:rPr>
        <w:t>RT</w:t>
      </w:r>
      <w:r w:rsidR="003E58B8" w:rsidRPr="008C46DA">
        <w:rPr>
          <w:sz w:val="20"/>
          <w:szCs w:val="20"/>
          <w:lang w:val="pl-PL"/>
        </w:rPr>
        <w:t xml:space="preserve"> (III, A)</w:t>
      </w:r>
      <w:r w:rsidRPr="008C46DA">
        <w:rPr>
          <w:sz w:val="20"/>
          <w:szCs w:val="20"/>
          <w:lang w:val="pl-PL"/>
        </w:rPr>
        <w:t>.</w:t>
      </w:r>
    </w:p>
    <w:p w:rsidR="00613847" w:rsidRDefault="00EA5804" w:rsidP="000E721D">
      <w:pPr>
        <w:numPr>
          <w:ilvl w:val="0"/>
          <w:numId w:val="13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 w:rsidRPr="008C46DA">
        <w:rPr>
          <w:sz w:val="20"/>
          <w:szCs w:val="20"/>
          <w:lang w:val="pl-PL"/>
        </w:rPr>
        <w:t>U chorych bez odpowiedzi na indukcyjną HT uzasadnione jest zastosowanie pooperacyjnej CHT z użyciem standardowych schematów (III, C).</w:t>
      </w:r>
    </w:p>
    <w:p w:rsidR="00BA7887" w:rsidRPr="008C46DA" w:rsidRDefault="00BA7887" w:rsidP="00BA7887">
      <w:pPr>
        <w:spacing w:after="120" w:line="240" w:lineRule="auto"/>
        <w:ind w:left="714"/>
        <w:rPr>
          <w:sz w:val="20"/>
          <w:szCs w:val="20"/>
          <w:lang w:val="pl-PL"/>
        </w:rPr>
      </w:pPr>
    </w:p>
    <w:p w:rsidR="006A3D31" w:rsidRPr="00E34564" w:rsidRDefault="006A3D31" w:rsidP="006A3D31">
      <w:pPr>
        <w:pStyle w:val="Nagwek2"/>
        <w:spacing w:before="0" w:after="120" w:line="240" w:lineRule="auto"/>
        <w:rPr>
          <w:rFonts w:ascii="Arial" w:hAnsi="Arial" w:cs="Arial"/>
          <w:i w:val="0"/>
          <w:color w:val="2E74B5"/>
          <w:sz w:val="24"/>
          <w:szCs w:val="24"/>
          <w:lang w:val="pl-PL"/>
        </w:rPr>
      </w:pPr>
      <w:bookmarkStart w:id="31" w:name="_Toc516233169"/>
      <w:r w:rsidRPr="00E34564">
        <w:rPr>
          <w:rFonts w:ascii="Arial" w:hAnsi="Arial" w:cs="Arial"/>
          <w:i w:val="0"/>
          <w:color w:val="2E74B5"/>
          <w:sz w:val="24"/>
          <w:szCs w:val="24"/>
          <w:lang w:val="pl-PL"/>
        </w:rPr>
        <w:t>Leczenie miejscowych lub regionalnych nawrotów</w:t>
      </w:r>
      <w:bookmarkEnd w:id="31"/>
    </w:p>
    <w:p w:rsidR="005C7379" w:rsidRPr="00C05B5B" w:rsidRDefault="005C7379" w:rsidP="000E721D">
      <w:pPr>
        <w:numPr>
          <w:ilvl w:val="0"/>
          <w:numId w:val="32"/>
        </w:numPr>
        <w:spacing w:after="120" w:line="240" w:lineRule="auto"/>
        <w:jc w:val="both"/>
        <w:rPr>
          <w:bCs/>
          <w:iCs/>
          <w:sz w:val="20"/>
          <w:szCs w:val="20"/>
          <w:lang w:val="pl-PL"/>
        </w:rPr>
      </w:pPr>
      <w:r w:rsidRPr="00C05B5B">
        <w:rPr>
          <w:bCs/>
          <w:iCs/>
          <w:sz w:val="20"/>
          <w:szCs w:val="20"/>
          <w:lang w:val="pl-PL"/>
        </w:rPr>
        <w:t>Przed rozpoczęciem leczenia</w:t>
      </w:r>
      <w:r w:rsidR="00FF46A4" w:rsidRPr="00C05B5B">
        <w:rPr>
          <w:bCs/>
          <w:iCs/>
          <w:sz w:val="20"/>
          <w:szCs w:val="20"/>
          <w:lang w:val="pl-PL"/>
        </w:rPr>
        <w:t xml:space="preserve"> chorych z</w:t>
      </w:r>
      <w:r w:rsidRPr="00C05B5B">
        <w:rPr>
          <w:bCs/>
          <w:iCs/>
          <w:sz w:val="20"/>
          <w:szCs w:val="20"/>
          <w:lang w:val="pl-PL"/>
        </w:rPr>
        <w:t xml:space="preserve"> </w:t>
      </w:r>
      <w:r w:rsidR="00FF46A4" w:rsidRPr="00C05B5B">
        <w:rPr>
          <w:bCs/>
          <w:iCs/>
          <w:sz w:val="20"/>
          <w:szCs w:val="20"/>
          <w:lang w:val="pl-PL"/>
        </w:rPr>
        <w:t>nawrotem</w:t>
      </w:r>
      <w:r w:rsidR="006F61E9" w:rsidRPr="00C05B5B">
        <w:rPr>
          <w:bCs/>
          <w:iCs/>
          <w:sz w:val="20"/>
          <w:szCs w:val="20"/>
          <w:lang w:val="pl-PL"/>
        </w:rPr>
        <w:t xml:space="preserve"> </w:t>
      </w:r>
      <w:r w:rsidRPr="00C05B5B">
        <w:rPr>
          <w:bCs/>
          <w:iCs/>
          <w:sz w:val="20"/>
          <w:szCs w:val="20"/>
          <w:lang w:val="pl-PL"/>
        </w:rPr>
        <w:t xml:space="preserve">należy wykonać badania </w:t>
      </w:r>
      <w:r w:rsidR="00F962C7">
        <w:rPr>
          <w:bCs/>
          <w:iCs/>
          <w:sz w:val="20"/>
          <w:szCs w:val="20"/>
          <w:lang w:val="pl-PL"/>
        </w:rPr>
        <w:t xml:space="preserve">obrazowe płuc, jamy brzusznej </w:t>
      </w:r>
      <w:r w:rsidR="00F962C7">
        <w:rPr>
          <w:bCs/>
          <w:iCs/>
          <w:sz w:val="20"/>
          <w:szCs w:val="20"/>
          <w:lang w:val="pl-PL"/>
        </w:rPr>
        <w:lastRenderedPageBreak/>
        <w:t>i </w:t>
      </w:r>
      <w:r w:rsidRPr="00C05B5B">
        <w:rPr>
          <w:bCs/>
          <w:iCs/>
          <w:sz w:val="20"/>
          <w:szCs w:val="20"/>
          <w:lang w:val="pl-PL"/>
        </w:rPr>
        <w:t>kości oraz ocenę czynności szpiku, wątroby i nerek</w:t>
      </w:r>
      <w:r w:rsidR="00ED3745" w:rsidRPr="00C05B5B">
        <w:rPr>
          <w:bCs/>
          <w:iCs/>
          <w:sz w:val="20"/>
          <w:szCs w:val="20"/>
          <w:lang w:val="pl-PL"/>
        </w:rPr>
        <w:t xml:space="preserve"> </w:t>
      </w:r>
      <w:r w:rsidR="007044F6" w:rsidRPr="00C05B5B">
        <w:rPr>
          <w:bCs/>
          <w:iCs/>
          <w:sz w:val="20"/>
          <w:szCs w:val="20"/>
          <w:lang w:val="pl-PL"/>
        </w:rPr>
        <w:t>(II, A)</w:t>
      </w:r>
      <w:r w:rsidR="00ED3745" w:rsidRPr="00C05B5B">
        <w:rPr>
          <w:bCs/>
          <w:iCs/>
          <w:sz w:val="20"/>
          <w:szCs w:val="20"/>
          <w:lang w:val="pl-PL"/>
        </w:rPr>
        <w:t>.</w:t>
      </w:r>
    </w:p>
    <w:p w:rsidR="006A3D31" w:rsidRPr="00C05B5B" w:rsidRDefault="005C7379" w:rsidP="000E721D">
      <w:pPr>
        <w:numPr>
          <w:ilvl w:val="0"/>
          <w:numId w:val="32"/>
        </w:numPr>
        <w:spacing w:after="120" w:line="240" w:lineRule="auto"/>
        <w:jc w:val="both"/>
        <w:rPr>
          <w:bCs/>
          <w:iCs/>
          <w:sz w:val="20"/>
          <w:szCs w:val="20"/>
          <w:lang w:val="pl-PL"/>
        </w:rPr>
      </w:pPr>
      <w:r w:rsidRPr="00C05B5B">
        <w:rPr>
          <w:bCs/>
          <w:iCs/>
          <w:sz w:val="20"/>
          <w:szCs w:val="20"/>
          <w:lang w:val="pl-PL"/>
        </w:rPr>
        <w:t>W przypadku miejscowych i regionalnych nawrotów należy zawsze rozważyć możliwość zastosowania leczenia o radykalnej intencji</w:t>
      </w:r>
      <w:r w:rsidR="00ED3745" w:rsidRPr="00C05B5B">
        <w:rPr>
          <w:bCs/>
          <w:iCs/>
          <w:sz w:val="20"/>
          <w:szCs w:val="20"/>
          <w:lang w:val="pl-PL"/>
        </w:rPr>
        <w:t xml:space="preserve"> </w:t>
      </w:r>
      <w:r w:rsidR="007044F6" w:rsidRPr="00C05B5B">
        <w:rPr>
          <w:bCs/>
          <w:iCs/>
          <w:sz w:val="20"/>
          <w:szCs w:val="20"/>
          <w:lang w:val="pl-PL"/>
        </w:rPr>
        <w:t>(</w:t>
      </w:r>
      <w:r w:rsidR="007A4FCE" w:rsidRPr="00C05B5B">
        <w:rPr>
          <w:bCs/>
          <w:iCs/>
          <w:sz w:val="20"/>
          <w:szCs w:val="20"/>
          <w:lang w:val="pl-PL"/>
        </w:rPr>
        <w:t>II, A)</w:t>
      </w:r>
    </w:p>
    <w:p w:rsidR="005C7379" w:rsidRPr="00C05B5B" w:rsidRDefault="00F75D28" w:rsidP="000E721D">
      <w:pPr>
        <w:numPr>
          <w:ilvl w:val="0"/>
          <w:numId w:val="32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C05B5B">
        <w:rPr>
          <w:sz w:val="20"/>
          <w:szCs w:val="20"/>
          <w:lang w:val="pl-PL"/>
        </w:rPr>
        <w:t xml:space="preserve">U większości chorych z nawrotem w piersi po pierwotnym leczeniu oszczędzającym </w:t>
      </w:r>
      <w:r w:rsidR="00ED3745" w:rsidRPr="00C05B5B">
        <w:rPr>
          <w:sz w:val="20"/>
          <w:szCs w:val="20"/>
          <w:lang w:val="pl-PL"/>
        </w:rPr>
        <w:t>należy wykonać</w:t>
      </w:r>
      <w:r w:rsidRPr="00C05B5B">
        <w:rPr>
          <w:sz w:val="20"/>
          <w:szCs w:val="20"/>
          <w:lang w:val="pl-PL"/>
        </w:rPr>
        <w:t xml:space="preserve"> amputację z limfadenektomią pachową, jeżeli nie została wykonana wcześniej</w:t>
      </w:r>
      <w:r w:rsidR="00187157" w:rsidRPr="00C05B5B">
        <w:rPr>
          <w:sz w:val="20"/>
          <w:szCs w:val="20"/>
          <w:lang w:val="pl-PL"/>
        </w:rPr>
        <w:t xml:space="preserve"> (II, A)</w:t>
      </w:r>
      <w:r w:rsidRPr="00C05B5B">
        <w:rPr>
          <w:sz w:val="20"/>
          <w:szCs w:val="20"/>
          <w:lang w:val="pl-PL"/>
        </w:rPr>
        <w:t>.</w:t>
      </w:r>
      <w:r w:rsidR="00ED3745" w:rsidRPr="00C05B5B">
        <w:rPr>
          <w:sz w:val="20"/>
          <w:szCs w:val="20"/>
          <w:lang w:val="pl-PL"/>
        </w:rPr>
        <w:t xml:space="preserve"> </w:t>
      </w:r>
      <w:r w:rsidR="00ED3745" w:rsidRPr="00C05B5B">
        <w:rPr>
          <w:rFonts w:cs="Times New Roman"/>
          <w:sz w:val="20"/>
          <w:szCs w:val="20"/>
          <w:lang w:val="pl-PL"/>
        </w:rPr>
        <w:t>Ponowny zabieg oszczędzający można rozważyć w wybranych przypadkach, w zależności od wielkości i lokalizacji nawrotu oraz preferencji chorej (III, C).</w:t>
      </w:r>
    </w:p>
    <w:p w:rsidR="00F75D28" w:rsidRPr="00C05B5B" w:rsidRDefault="003B25B8" w:rsidP="000E721D">
      <w:pPr>
        <w:numPr>
          <w:ilvl w:val="0"/>
          <w:numId w:val="32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C05B5B">
        <w:rPr>
          <w:sz w:val="20"/>
          <w:szCs w:val="20"/>
          <w:lang w:val="pl-PL"/>
        </w:rPr>
        <w:t xml:space="preserve">U chorych z nawrotem </w:t>
      </w:r>
      <w:r w:rsidR="00083501" w:rsidRPr="00C05B5B">
        <w:rPr>
          <w:sz w:val="20"/>
          <w:szCs w:val="20"/>
          <w:lang w:val="pl-PL"/>
        </w:rPr>
        <w:t>w</w:t>
      </w:r>
      <w:r w:rsidR="007073CB" w:rsidRPr="00C05B5B">
        <w:rPr>
          <w:sz w:val="20"/>
          <w:szCs w:val="20"/>
          <w:lang w:val="pl-PL"/>
        </w:rPr>
        <w:t xml:space="preserve"> </w:t>
      </w:r>
      <w:r w:rsidR="00083501" w:rsidRPr="00C05B5B">
        <w:rPr>
          <w:sz w:val="20"/>
          <w:szCs w:val="20"/>
          <w:lang w:val="pl-PL"/>
        </w:rPr>
        <w:t>ścianie klatki piersiowej lub okolicznych węzłach chłonnych</w:t>
      </w:r>
      <w:r w:rsidR="00F962C7">
        <w:rPr>
          <w:sz w:val="20"/>
          <w:szCs w:val="20"/>
          <w:lang w:val="pl-PL"/>
        </w:rPr>
        <w:t>, które kwalifikują się do </w:t>
      </w:r>
      <w:r w:rsidRPr="00C05B5B">
        <w:rPr>
          <w:sz w:val="20"/>
          <w:szCs w:val="20"/>
          <w:lang w:val="pl-PL"/>
        </w:rPr>
        <w:t xml:space="preserve">leczenia chirurgicznego, zaleca się wycięcie wznowy i następnie (o ile nie stosowano jej wcześniej) </w:t>
      </w:r>
      <w:r w:rsidR="006D07C1" w:rsidRPr="00C05B5B">
        <w:rPr>
          <w:sz w:val="20"/>
          <w:szCs w:val="20"/>
          <w:lang w:val="pl-PL"/>
        </w:rPr>
        <w:t>RT</w:t>
      </w:r>
      <w:r w:rsidRPr="00C05B5B">
        <w:rPr>
          <w:sz w:val="20"/>
          <w:szCs w:val="20"/>
          <w:lang w:val="pl-PL"/>
        </w:rPr>
        <w:t xml:space="preserve"> obejmując</w:t>
      </w:r>
      <w:r w:rsidR="00FF46A4" w:rsidRPr="00C05B5B">
        <w:rPr>
          <w:sz w:val="20"/>
          <w:szCs w:val="20"/>
          <w:lang w:val="pl-PL"/>
        </w:rPr>
        <w:t xml:space="preserve">ą </w:t>
      </w:r>
      <w:r w:rsidRPr="00C05B5B">
        <w:rPr>
          <w:sz w:val="20"/>
          <w:szCs w:val="20"/>
          <w:lang w:val="pl-PL"/>
        </w:rPr>
        <w:t>całą ścianę klatki piersiowej i okoliczne węzły chłonne (III, B).</w:t>
      </w:r>
    </w:p>
    <w:p w:rsidR="003B25B8" w:rsidRPr="00C05B5B" w:rsidRDefault="003B25B8" w:rsidP="000E721D">
      <w:pPr>
        <w:numPr>
          <w:ilvl w:val="0"/>
          <w:numId w:val="32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C05B5B">
        <w:rPr>
          <w:sz w:val="20"/>
          <w:szCs w:val="20"/>
          <w:lang w:val="pl-PL"/>
        </w:rPr>
        <w:t xml:space="preserve">U chorych poddanych wcześniej uzupełniającej </w:t>
      </w:r>
      <w:r w:rsidR="006D07C1" w:rsidRPr="00C05B5B">
        <w:rPr>
          <w:sz w:val="20"/>
          <w:szCs w:val="20"/>
          <w:lang w:val="pl-PL"/>
        </w:rPr>
        <w:t>RT</w:t>
      </w:r>
      <w:r w:rsidRPr="00C05B5B">
        <w:rPr>
          <w:sz w:val="20"/>
          <w:szCs w:val="20"/>
          <w:lang w:val="pl-PL"/>
        </w:rPr>
        <w:t xml:space="preserve"> na okolicę ściany klatki piersiowej można ponownie zastosować </w:t>
      </w:r>
      <w:r w:rsidR="006D07C1" w:rsidRPr="00C05B5B">
        <w:rPr>
          <w:sz w:val="20"/>
          <w:szCs w:val="20"/>
          <w:lang w:val="pl-PL"/>
        </w:rPr>
        <w:t>RT</w:t>
      </w:r>
      <w:r w:rsidRPr="00C05B5B">
        <w:rPr>
          <w:sz w:val="20"/>
          <w:szCs w:val="20"/>
          <w:lang w:val="pl-PL"/>
        </w:rPr>
        <w:t xml:space="preserve"> na ograniczony obszar (III, C).</w:t>
      </w:r>
    </w:p>
    <w:p w:rsidR="003B25B8" w:rsidRPr="00C05B5B" w:rsidRDefault="003B25B8" w:rsidP="000E721D">
      <w:pPr>
        <w:numPr>
          <w:ilvl w:val="0"/>
          <w:numId w:val="32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C05B5B">
        <w:rPr>
          <w:sz w:val="20"/>
          <w:szCs w:val="20"/>
          <w:lang w:val="pl-PL"/>
        </w:rPr>
        <w:t>U chorych, które nie kwalifikują się do leczenia chirurgicznego</w:t>
      </w:r>
      <w:r w:rsidR="00FF46A4" w:rsidRPr="00C05B5B">
        <w:rPr>
          <w:sz w:val="20"/>
          <w:szCs w:val="20"/>
          <w:lang w:val="pl-PL"/>
        </w:rPr>
        <w:t>,</w:t>
      </w:r>
      <w:r w:rsidRPr="00C05B5B">
        <w:rPr>
          <w:sz w:val="20"/>
          <w:szCs w:val="20"/>
          <w:lang w:val="pl-PL"/>
        </w:rPr>
        <w:t xml:space="preserve"> </w:t>
      </w:r>
      <w:r w:rsidR="006E3DAD" w:rsidRPr="00C05B5B">
        <w:rPr>
          <w:sz w:val="20"/>
          <w:szCs w:val="20"/>
          <w:lang w:val="pl-PL"/>
        </w:rPr>
        <w:t>należy zawsze rozważyć</w:t>
      </w:r>
      <w:r w:rsidRPr="00C05B5B">
        <w:rPr>
          <w:sz w:val="20"/>
          <w:szCs w:val="20"/>
          <w:lang w:val="pl-PL"/>
        </w:rPr>
        <w:t xml:space="preserve"> radykalną lub paliatywną </w:t>
      </w:r>
      <w:r w:rsidR="006D07C1" w:rsidRPr="00C05B5B">
        <w:rPr>
          <w:sz w:val="20"/>
          <w:szCs w:val="20"/>
          <w:lang w:val="pl-PL"/>
        </w:rPr>
        <w:t>RT</w:t>
      </w:r>
      <w:r w:rsidR="00A4056A">
        <w:rPr>
          <w:sz w:val="20"/>
          <w:szCs w:val="20"/>
          <w:lang w:val="pl-PL"/>
        </w:rPr>
        <w:t xml:space="preserve"> (III</w:t>
      </w:r>
      <w:r w:rsidRPr="00C05B5B">
        <w:rPr>
          <w:sz w:val="20"/>
          <w:szCs w:val="20"/>
          <w:lang w:val="pl-PL"/>
        </w:rPr>
        <w:t>, C).</w:t>
      </w:r>
    </w:p>
    <w:p w:rsidR="005A1D7C" w:rsidRPr="00C05B5B" w:rsidRDefault="005A1D7C" w:rsidP="000E721D">
      <w:pPr>
        <w:numPr>
          <w:ilvl w:val="0"/>
          <w:numId w:val="32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C05B5B">
        <w:rPr>
          <w:sz w:val="20"/>
          <w:szCs w:val="20"/>
          <w:lang w:val="pl-PL"/>
        </w:rPr>
        <w:t xml:space="preserve">U chorych </w:t>
      </w:r>
      <w:r w:rsidR="00DF081E" w:rsidRPr="00C05B5B">
        <w:rPr>
          <w:sz w:val="20"/>
          <w:szCs w:val="20"/>
          <w:lang w:val="pl-PL"/>
        </w:rPr>
        <w:t xml:space="preserve">z cechą </w:t>
      </w:r>
      <w:r w:rsidRPr="00C05B5B">
        <w:rPr>
          <w:sz w:val="20"/>
          <w:szCs w:val="20"/>
          <w:lang w:val="pl-PL"/>
        </w:rPr>
        <w:t>ER- z miejscowym lub regionalnym nawrotem</w:t>
      </w:r>
      <w:r w:rsidR="00A4056A">
        <w:rPr>
          <w:sz w:val="20"/>
          <w:szCs w:val="20"/>
          <w:lang w:val="pl-PL"/>
        </w:rPr>
        <w:t>,</w:t>
      </w:r>
      <w:r w:rsidRPr="00C05B5B">
        <w:rPr>
          <w:sz w:val="20"/>
          <w:szCs w:val="20"/>
          <w:lang w:val="pl-PL"/>
        </w:rPr>
        <w:t xml:space="preserve"> </w:t>
      </w:r>
      <w:r w:rsidR="006E3DAD" w:rsidRPr="00C05B5B">
        <w:rPr>
          <w:sz w:val="20"/>
          <w:szCs w:val="20"/>
          <w:lang w:val="pl-PL"/>
        </w:rPr>
        <w:t xml:space="preserve">w uzupełnieniu miejscowego leczenia </w:t>
      </w:r>
      <w:r w:rsidRPr="00C05B5B">
        <w:rPr>
          <w:sz w:val="20"/>
          <w:szCs w:val="20"/>
          <w:lang w:val="pl-PL"/>
        </w:rPr>
        <w:t xml:space="preserve">należy zastosować </w:t>
      </w:r>
      <w:r w:rsidR="006D07C1" w:rsidRPr="00C05B5B">
        <w:rPr>
          <w:sz w:val="20"/>
          <w:szCs w:val="20"/>
          <w:lang w:val="pl-PL"/>
        </w:rPr>
        <w:t>CHT</w:t>
      </w:r>
      <w:r w:rsidRPr="00C05B5B">
        <w:rPr>
          <w:sz w:val="20"/>
          <w:szCs w:val="20"/>
          <w:lang w:val="pl-PL"/>
        </w:rPr>
        <w:t xml:space="preserve"> (</w:t>
      </w:r>
      <w:r w:rsidR="00083501" w:rsidRPr="00C05B5B">
        <w:rPr>
          <w:sz w:val="20"/>
          <w:szCs w:val="20"/>
          <w:lang w:val="pl-PL"/>
        </w:rPr>
        <w:t>I</w:t>
      </w:r>
      <w:r w:rsidRPr="00C05B5B">
        <w:rPr>
          <w:sz w:val="20"/>
          <w:szCs w:val="20"/>
          <w:lang w:val="pl-PL"/>
        </w:rPr>
        <w:t>, B)</w:t>
      </w:r>
      <w:r w:rsidR="00DF081E" w:rsidRPr="00C05B5B">
        <w:rPr>
          <w:sz w:val="20"/>
          <w:szCs w:val="20"/>
          <w:lang w:val="pl-PL"/>
        </w:rPr>
        <w:t>.</w:t>
      </w:r>
    </w:p>
    <w:p w:rsidR="005A1D7C" w:rsidRPr="00C05B5B" w:rsidRDefault="005A1D7C" w:rsidP="000E721D">
      <w:pPr>
        <w:numPr>
          <w:ilvl w:val="0"/>
          <w:numId w:val="32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C05B5B">
        <w:rPr>
          <w:sz w:val="20"/>
          <w:szCs w:val="20"/>
          <w:lang w:val="pl-PL"/>
        </w:rPr>
        <w:t xml:space="preserve">U chorych </w:t>
      </w:r>
      <w:r w:rsidR="00DF081E" w:rsidRPr="00C05B5B">
        <w:rPr>
          <w:sz w:val="20"/>
          <w:szCs w:val="20"/>
          <w:lang w:val="pl-PL"/>
        </w:rPr>
        <w:t xml:space="preserve">z cechą </w:t>
      </w:r>
      <w:r w:rsidRPr="00C05B5B">
        <w:rPr>
          <w:sz w:val="20"/>
          <w:szCs w:val="20"/>
          <w:lang w:val="pl-PL"/>
        </w:rPr>
        <w:t>ER/PgR+</w:t>
      </w:r>
      <w:r w:rsidR="00A4056A">
        <w:rPr>
          <w:sz w:val="20"/>
          <w:szCs w:val="20"/>
          <w:lang w:val="pl-PL"/>
        </w:rPr>
        <w:t>,</w:t>
      </w:r>
      <w:r w:rsidRPr="00C05B5B">
        <w:rPr>
          <w:sz w:val="20"/>
          <w:szCs w:val="20"/>
          <w:lang w:val="pl-PL"/>
        </w:rPr>
        <w:t xml:space="preserve"> </w:t>
      </w:r>
      <w:r w:rsidR="006E3DAD" w:rsidRPr="00C05B5B">
        <w:rPr>
          <w:sz w:val="20"/>
          <w:szCs w:val="20"/>
          <w:lang w:val="pl-PL"/>
        </w:rPr>
        <w:t xml:space="preserve">w uzupełnieniu miejscowego leczenia </w:t>
      </w:r>
      <w:r w:rsidR="00DF081E" w:rsidRPr="00C05B5B">
        <w:rPr>
          <w:sz w:val="20"/>
          <w:szCs w:val="20"/>
          <w:lang w:val="pl-PL"/>
        </w:rPr>
        <w:t>należy zastosować</w:t>
      </w:r>
      <w:r w:rsidRPr="00C05B5B">
        <w:rPr>
          <w:sz w:val="20"/>
          <w:szCs w:val="20"/>
          <w:lang w:val="pl-PL"/>
        </w:rPr>
        <w:t xml:space="preserve"> </w:t>
      </w:r>
      <w:r w:rsidR="006D07C1" w:rsidRPr="00C05B5B">
        <w:rPr>
          <w:sz w:val="20"/>
          <w:szCs w:val="20"/>
          <w:lang w:val="pl-PL"/>
        </w:rPr>
        <w:t>HT</w:t>
      </w:r>
      <w:r w:rsidR="00083501" w:rsidRPr="00C05B5B">
        <w:rPr>
          <w:sz w:val="20"/>
          <w:szCs w:val="20"/>
          <w:lang w:val="pl-PL"/>
        </w:rPr>
        <w:t xml:space="preserve"> (I</w:t>
      </w:r>
      <w:r w:rsidR="006E3DAD" w:rsidRPr="00C05B5B">
        <w:rPr>
          <w:sz w:val="20"/>
          <w:szCs w:val="20"/>
          <w:lang w:val="pl-PL"/>
        </w:rPr>
        <w:t>I</w:t>
      </w:r>
      <w:r w:rsidR="00083501" w:rsidRPr="00C05B5B">
        <w:rPr>
          <w:sz w:val="20"/>
          <w:szCs w:val="20"/>
          <w:lang w:val="pl-PL"/>
        </w:rPr>
        <w:t>, B)</w:t>
      </w:r>
      <w:r w:rsidR="00DF081E" w:rsidRPr="00C05B5B">
        <w:rPr>
          <w:sz w:val="20"/>
          <w:szCs w:val="20"/>
          <w:lang w:val="pl-PL"/>
        </w:rPr>
        <w:t>.</w:t>
      </w:r>
    </w:p>
    <w:p w:rsidR="005A1D7C" w:rsidRPr="00C05B5B" w:rsidRDefault="005A1D7C" w:rsidP="000E721D">
      <w:pPr>
        <w:numPr>
          <w:ilvl w:val="0"/>
          <w:numId w:val="32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C05B5B">
        <w:rPr>
          <w:sz w:val="20"/>
          <w:szCs w:val="20"/>
          <w:lang w:val="pl-PL"/>
        </w:rPr>
        <w:t>U chorych z cechą HER2+</w:t>
      </w:r>
      <w:r w:rsidR="00A4056A">
        <w:rPr>
          <w:sz w:val="20"/>
          <w:szCs w:val="20"/>
          <w:lang w:val="pl-PL"/>
        </w:rPr>
        <w:t>,</w:t>
      </w:r>
      <w:r w:rsidRPr="00C05B5B">
        <w:rPr>
          <w:sz w:val="20"/>
          <w:szCs w:val="20"/>
          <w:lang w:val="pl-PL"/>
        </w:rPr>
        <w:t xml:space="preserve"> wskazane jest zastosowanie trastuzumabu, zwłaszcza jeżeli od zakończenia </w:t>
      </w:r>
      <w:r w:rsidR="007A0F4E" w:rsidRPr="00C05B5B">
        <w:rPr>
          <w:sz w:val="20"/>
          <w:szCs w:val="20"/>
          <w:lang w:val="pl-PL"/>
        </w:rPr>
        <w:t xml:space="preserve">jego </w:t>
      </w:r>
      <w:r w:rsidRPr="00C05B5B">
        <w:rPr>
          <w:sz w:val="20"/>
          <w:szCs w:val="20"/>
          <w:lang w:val="pl-PL"/>
        </w:rPr>
        <w:t>podawania w uzupełniającym leczeniu upłynęło więcej niż 12 miesięcy (II, B).</w:t>
      </w:r>
    </w:p>
    <w:p w:rsidR="005E4F5E" w:rsidRPr="00C05B5B" w:rsidRDefault="005E4F5E" w:rsidP="000E721D">
      <w:pPr>
        <w:numPr>
          <w:ilvl w:val="0"/>
          <w:numId w:val="32"/>
        </w:numPr>
        <w:spacing w:after="120" w:line="240" w:lineRule="auto"/>
        <w:jc w:val="both"/>
        <w:rPr>
          <w:sz w:val="20"/>
          <w:szCs w:val="20"/>
          <w:lang w:val="pl-PL"/>
        </w:rPr>
      </w:pPr>
      <w:r w:rsidRPr="00C05B5B">
        <w:rPr>
          <w:sz w:val="20"/>
          <w:szCs w:val="20"/>
          <w:lang w:val="pl-PL"/>
        </w:rPr>
        <w:t>Wyłączne leczenie systemowe chorych z miejscowym lub regionalnym nawrotem raka piersi jest dopuszczalne jedynie wówczas, gdy nie ma możliwości zastosowania miejscowych metod</w:t>
      </w:r>
      <w:r w:rsidR="00167227" w:rsidRPr="00C05B5B">
        <w:rPr>
          <w:sz w:val="20"/>
          <w:szCs w:val="20"/>
          <w:lang w:val="pl-PL"/>
        </w:rPr>
        <w:t xml:space="preserve"> (III, C)</w:t>
      </w:r>
      <w:r w:rsidR="00DF081E" w:rsidRPr="00C05B5B">
        <w:rPr>
          <w:sz w:val="20"/>
          <w:szCs w:val="20"/>
          <w:lang w:val="pl-PL"/>
        </w:rPr>
        <w:t>.</w:t>
      </w:r>
    </w:p>
    <w:p w:rsidR="006A3D31" w:rsidRPr="007A4FCE" w:rsidRDefault="006A3D31" w:rsidP="006A3D31">
      <w:pPr>
        <w:spacing w:before="27" w:after="0" w:line="240" w:lineRule="auto"/>
        <w:ind w:left="800" w:right="-20"/>
        <w:rPr>
          <w:rFonts w:ascii="Times New Roman" w:hAnsi="Times New Roman"/>
          <w:color w:val="A5B9D3"/>
          <w:sz w:val="25"/>
          <w:lang w:val="pl-PL"/>
        </w:rPr>
      </w:pPr>
    </w:p>
    <w:p w:rsidR="006A3D31" w:rsidRPr="007A4FCE" w:rsidRDefault="006A3D31" w:rsidP="006A3D31">
      <w:pPr>
        <w:pStyle w:val="Nagwek2"/>
        <w:spacing w:before="0" w:after="240" w:line="240" w:lineRule="auto"/>
        <w:rPr>
          <w:rFonts w:ascii="Arial" w:hAnsi="Arial" w:cs="Arial"/>
          <w:i w:val="0"/>
          <w:color w:val="2E74B5"/>
          <w:sz w:val="24"/>
          <w:szCs w:val="24"/>
          <w:lang w:val="pl-PL"/>
        </w:rPr>
      </w:pPr>
      <w:bookmarkStart w:id="32" w:name="_Toc487632337"/>
      <w:bookmarkStart w:id="33" w:name="_Toc516233171"/>
      <w:r w:rsidRPr="007A4FCE">
        <w:rPr>
          <w:rFonts w:ascii="Arial" w:hAnsi="Arial" w:cs="Arial"/>
          <w:i w:val="0"/>
          <w:color w:val="2E74B5"/>
          <w:sz w:val="24"/>
          <w:szCs w:val="24"/>
          <w:lang w:val="pl-PL"/>
        </w:rPr>
        <w:t>Leczenie uogólnionego raka piersi (stopień IV)</w:t>
      </w:r>
      <w:bookmarkEnd w:id="32"/>
      <w:bookmarkEnd w:id="33"/>
    </w:p>
    <w:p w:rsidR="00192998" w:rsidRPr="00BA7887" w:rsidRDefault="007A0CD0" w:rsidP="005E0372">
      <w:pPr>
        <w:pStyle w:val="Nagwek3"/>
        <w:rPr>
          <w:rFonts w:ascii="Arial" w:hAnsi="Arial" w:cs="Arial"/>
          <w:color w:val="2E74B5"/>
          <w:sz w:val="20"/>
          <w:szCs w:val="20"/>
          <w:lang w:val="pl-PL"/>
        </w:rPr>
      </w:pPr>
      <w:bookmarkStart w:id="34" w:name="_Toc516233172"/>
      <w:r>
        <w:rPr>
          <w:rFonts w:ascii="Arial" w:hAnsi="Arial" w:cs="Arial"/>
          <w:color w:val="2E74B5"/>
          <w:sz w:val="20"/>
          <w:szCs w:val="20"/>
          <w:lang w:val="pl-PL"/>
        </w:rPr>
        <w:t>Z</w:t>
      </w:r>
      <w:r w:rsidRPr="00BA7887">
        <w:rPr>
          <w:rFonts w:ascii="Arial" w:hAnsi="Arial" w:cs="Arial"/>
          <w:color w:val="2E74B5"/>
          <w:sz w:val="20"/>
          <w:szCs w:val="20"/>
          <w:lang w:val="pl-PL"/>
        </w:rPr>
        <w:t xml:space="preserve">asady </w:t>
      </w:r>
      <w:r>
        <w:rPr>
          <w:rFonts w:ascii="Arial" w:hAnsi="Arial" w:cs="Arial"/>
          <w:color w:val="2E74B5"/>
          <w:sz w:val="20"/>
          <w:szCs w:val="20"/>
          <w:lang w:val="pl-PL"/>
        </w:rPr>
        <w:t>o</w:t>
      </w:r>
      <w:r w:rsidR="00192998" w:rsidRPr="00BA7887">
        <w:rPr>
          <w:rFonts w:ascii="Arial" w:hAnsi="Arial" w:cs="Arial"/>
          <w:color w:val="2E74B5"/>
          <w:sz w:val="20"/>
          <w:szCs w:val="20"/>
          <w:lang w:val="pl-PL"/>
        </w:rPr>
        <w:t>gólne</w:t>
      </w:r>
      <w:bookmarkEnd w:id="34"/>
      <w:r w:rsidR="00192998" w:rsidRPr="00BA7887">
        <w:rPr>
          <w:rFonts w:ascii="Arial" w:hAnsi="Arial" w:cs="Arial"/>
          <w:color w:val="2E74B5"/>
          <w:sz w:val="20"/>
          <w:szCs w:val="20"/>
          <w:lang w:val="pl-PL"/>
        </w:rPr>
        <w:t xml:space="preserve"> </w:t>
      </w:r>
    </w:p>
    <w:p w:rsidR="00D97F06" w:rsidRPr="00640E2B" w:rsidRDefault="00D97F06" w:rsidP="000E721D">
      <w:pPr>
        <w:numPr>
          <w:ilvl w:val="0"/>
          <w:numId w:val="19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 w:rsidRPr="009D6B8A">
        <w:rPr>
          <w:rFonts w:cs="Arial"/>
          <w:sz w:val="20"/>
          <w:szCs w:val="20"/>
          <w:lang w:val="pl-PL"/>
        </w:rPr>
        <w:t xml:space="preserve">Chore na </w:t>
      </w:r>
      <w:r w:rsidR="00FF46A4">
        <w:rPr>
          <w:rFonts w:cs="Arial"/>
          <w:sz w:val="20"/>
          <w:szCs w:val="20"/>
          <w:lang w:val="pl-PL"/>
        </w:rPr>
        <w:t>uogólnionego</w:t>
      </w:r>
      <w:r w:rsidRPr="009D6B8A">
        <w:rPr>
          <w:rFonts w:cs="Arial"/>
          <w:sz w:val="20"/>
          <w:szCs w:val="20"/>
          <w:lang w:val="pl-PL"/>
        </w:rPr>
        <w:t xml:space="preserve"> raka pie</w:t>
      </w:r>
      <w:r w:rsidRPr="00E763C7">
        <w:rPr>
          <w:rFonts w:cs="Arial"/>
          <w:sz w:val="20"/>
          <w:szCs w:val="20"/>
          <w:lang w:val="pl-PL"/>
        </w:rPr>
        <w:t xml:space="preserve">rsi powinny być objęte wielodyscyplinarną opieką z udziałem onkologa klinicznego, specjalisty radioterapii, chirurga-onkologa, </w:t>
      </w:r>
      <w:r w:rsidR="006732EE">
        <w:rPr>
          <w:rFonts w:cs="Arial"/>
          <w:sz w:val="20"/>
          <w:szCs w:val="20"/>
          <w:lang w:val="pl-PL"/>
        </w:rPr>
        <w:t>pielegniarki</w:t>
      </w:r>
      <w:r w:rsidRPr="00E763C7">
        <w:rPr>
          <w:rFonts w:cs="Arial"/>
          <w:sz w:val="20"/>
          <w:szCs w:val="20"/>
          <w:lang w:val="pl-PL"/>
        </w:rPr>
        <w:t xml:space="preserve"> </w:t>
      </w:r>
      <w:r w:rsidR="006D483C" w:rsidRPr="00640E2B">
        <w:rPr>
          <w:rFonts w:cs="Arial"/>
          <w:sz w:val="20"/>
          <w:szCs w:val="20"/>
          <w:lang w:val="pl-PL"/>
        </w:rPr>
        <w:t>i</w:t>
      </w:r>
      <w:r w:rsidRPr="00640E2B">
        <w:rPr>
          <w:rFonts w:cs="Arial"/>
          <w:sz w:val="20"/>
          <w:szCs w:val="20"/>
          <w:lang w:val="pl-PL"/>
        </w:rPr>
        <w:t xml:space="preserve"> psychologa klinicznego (</w:t>
      </w:r>
      <w:r w:rsidR="00A4056A">
        <w:rPr>
          <w:rFonts w:cs="Arial"/>
          <w:sz w:val="20"/>
          <w:szCs w:val="20"/>
          <w:lang w:val="pl-PL"/>
        </w:rPr>
        <w:t>I</w:t>
      </w:r>
      <w:r w:rsidRPr="00640E2B">
        <w:rPr>
          <w:rFonts w:cs="Arial"/>
          <w:sz w:val="20"/>
          <w:szCs w:val="20"/>
          <w:lang w:val="pl-PL"/>
        </w:rPr>
        <w:t xml:space="preserve">V, A). </w:t>
      </w:r>
    </w:p>
    <w:p w:rsidR="00C512DE" w:rsidRPr="00640E2B" w:rsidRDefault="00013193" w:rsidP="000E721D">
      <w:pPr>
        <w:numPr>
          <w:ilvl w:val="0"/>
          <w:numId w:val="19"/>
        </w:numPr>
        <w:spacing w:after="120" w:line="240" w:lineRule="auto"/>
        <w:ind w:left="714" w:hanging="357"/>
        <w:jc w:val="both"/>
        <w:rPr>
          <w:bCs/>
          <w:iCs/>
          <w:sz w:val="20"/>
          <w:szCs w:val="20"/>
          <w:lang w:val="pl-PL"/>
        </w:rPr>
      </w:pPr>
      <w:r w:rsidRPr="00640E2B">
        <w:rPr>
          <w:bCs/>
          <w:iCs/>
          <w:sz w:val="20"/>
          <w:szCs w:val="20"/>
          <w:lang w:val="pl-PL"/>
        </w:rPr>
        <w:t>W</w:t>
      </w:r>
      <w:r w:rsidR="00A64591">
        <w:rPr>
          <w:bCs/>
          <w:iCs/>
          <w:sz w:val="20"/>
          <w:szCs w:val="20"/>
          <w:lang w:val="pl-PL"/>
        </w:rPr>
        <w:t xml:space="preserve"> w</w:t>
      </w:r>
      <w:r w:rsidRPr="009D6B8A">
        <w:rPr>
          <w:bCs/>
          <w:iCs/>
          <w:sz w:val="20"/>
          <w:szCs w:val="20"/>
          <w:lang w:val="pl-PL"/>
        </w:rPr>
        <w:t>yb</w:t>
      </w:r>
      <w:r w:rsidR="00A64591">
        <w:rPr>
          <w:bCs/>
          <w:iCs/>
          <w:sz w:val="20"/>
          <w:szCs w:val="20"/>
          <w:lang w:val="pl-PL"/>
        </w:rPr>
        <w:t>o</w:t>
      </w:r>
      <w:r w:rsidRPr="00E763C7">
        <w:rPr>
          <w:bCs/>
          <w:iCs/>
          <w:sz w:val="20"/>
          <w:szCs w:val="20"/>
          <w:lang w:val="pl-PL"/>
        </w:rPr>
        <w:t>r</w:t>
      </w:r>
      <w:r w:rsidR="00A64591">
        <w:rPr>
          <w:bCs/>
          <w:iCs/>
          <w:sz w:val="20"/>
          <w:szCs w:val="20"/>
          <w:lang w:val="pl-PL"/>
        </w:rPr>
        <w:t>ze</w:t>
      </w:r>
      <w:r w:rsidR="00D443E4" w:rsidRPr="009D6B8A">
        <w:rPr>
          <w:bCs/>
          <w:iCs/>
          <w:sz w:val="20"/>
          <w:szCs w:val="20"/>
          <w:lang w:val="pl-PL"/>
        </w:rPr>
        <w:t xml:space="preserve"> leczenia zaawansowaneg</w:t>
      </w:r>
      <w:r w:rsidR="00E0079D" w:rsidRPr="00E763C7">
        <w:rPr>
          <w:bCs/>
          <w:iCs/>
          <w:sz w:val="20"/>
          <w:szCs w:val="20"/>
          <w:lang w:val="pl-PL"/>
        </w:rPr>
        <w:t>o</w:t>
      </w:r>
      <w:r w:rsidR="00D443E4" w:rsidRPr="00640E2B">
        <w:rPr>
          <w:bCs/>
          <w:iCs/>
          <w:sz w:val="20"/>
          <w:szCs w:val="20"/>
          <w:lang w:val="pl-PL"/>
        </w:rPr>
        <w:t xml:space="preserve"> raka piersi</w:t>
      </w:r>
      <w:r w:rsidR="00A64591">
        <w:rPr>
          <w:bCs/>
          <w:iCs/>
          <w:sz w:val="20"/>
          <w:szCs w:val="20"/>
          <w:lang w:val="pl-PL"/>
        </w:rPr>
        <w:t xml:space="preserve"> należy uwzględnić</w:t>
      </w:r>
      <w:r w:rsidR="00D443E4" w:rsidRPr="00640E2B">
        <w:rPr>
          <w:bCs/>
          <w:iCs/>
          <w:sz w:val="20"/>
          <w:szCs w:val="20"/>
          <w:lang w:val="pl-PL"/>
        </w:rPr>
        <w:t xml:space="preserve"> typ nowotworu, jego </w:t>
      </w:r>
      <w:r w:rsidRPr="00640E2B">
        <w:rPr>
          <w:bCs/>
          <w:iCs/>
          <w:sz w:val="20"/>
          <w:szCs w:val="20"/>
          <w:lang w:val="pl-PL"/>
        </w:rPr>
        <w:t>rozległoś</w:t>
      </w:r>
      <w:r w:rsidR="00A64591">
        <w:rPr>
          <w:bCs/>
          <w:iCs/>
          <w:sz w:val="20"/>
          <w:szCs w:val="20"/>
          <w:lang w:val="pl-PL"/>
        </w:rPr>
        <w:t>ć</w:t>
      </w:r>
      <w:r w:rsidR="00AC744F">
        <w:rPr>
          <w:bCs/>
          <w:iCs/>
          <w:sz w:val="20"/>
          <w:szCs w:val="20"/>
          <w:lang w:val="pl-PL"/>
        </w:rPr>
        <w:t xml:space="preserve"> i </w:t>
      </w:r>
      <w:r w:rsidR="00D04883" w:rsidRPr="00E763C7">
        <w:rPr>
          <w:bCs/>
          <w:iCs/>
          <w:sz w:val="20"/>
          <w:szCs w:val="20"/>
          <w:lang w:val="pl-PL"/>
        </w:rPr>
        <w:t>lokalizacj</w:t>
      </w:r>
      <w:r w:rsidR="00A64591">
        <w:rPr>
          <w:bCs/>
          <w:iCs/>
          <w:sz w:val="20"/>
          <w:szCs w:val="20"/>
          <w:lang w:val="pl-PL"/>
        </w:rPr>
        <w:t>ę</w:t>
      </w:r>
      <w:r w:rsidR="00D04883" w:rsidRPr="009D6B8A">
        <w:rPr>
          <w:bCs/>
          <w:iCs/>
          <w:sz w:val="20"/>
          <w:szCs w:val="20"/>
          <w:lang w:val="pl-PL"/>
        </w:rPr>
        <w:t xml:space="preserve"> zmian,</w:t>
      </w:r>
      <w:r w:rsidR="00D443E4" w:rsidRPr="00640E2B">
        <w:rPr>
          <w:bCs/>
          <w:iCs/>
          <w:sz w:val="20"/>
          <w:szCs w:val="20"/>
          <w:lang w:val="pl-PL"/>
        </w:rPr>
        <w:t xml:space="preserve"> dynamik</w:t>
      </w:r>
      <w:r w:rsidR="00A64591">
        <w:rPr>
          <w:bCs/>
          <w:iCs/>
          <w:sz w:val="20"/>
          <w:szCs w:val="20"/>
          <w:lang w:val="pl-PL"/>
        </w:rPr>
        <w:t>ę</w:t>
      </w:r>
      <w:r w:rsidR="00D04883" w:rsidRPr="00E763C7">
        <w:rPr>
          <w:bCs/>
          <w:iCs/>
          <w:sz w:val="20"/>
          <w:szCs w:val="20"/>
          <w:lang w:val="pl-PL"/>
        </w:rPr>
        <w:t xml:space="preserve"> wzrostu</w:t>
      </w:r>
      <w:r w:rsidR="00D443E4" w:rsidRPr="00640E2B">
        <w:rPr>
          <w:bCs/>
          <w:iCs/>
          <w:sz w:val="20"/>
          <w:szCs w:val="20"/>
          <w:lang w:val="pl-PL"/>
        </w:rPr>
        <w:t>, uprzednio zastosowane leczeni</w:t>
      </w:r>
      <w:r w:rsidR="00A64591">
        <w:rPr>
          <w:bCs/>
          <w:iCs/>
          <w:sz w:val="20"/>
          <w:szCs w:val="20"/>
          <w:lang w:val="pl-PL"/>
        </w:rPr>
        <w:t>e</w:t>
      </w:r>
      <w:r w:rsidR="00A64591" w:rsidRPr="00E763C7">
        <w:rPr>
          <w:bCs/>
          <w:iCs/>
          <w:sz w:val="20"/>
          <w:szCs w:val="20"/>
          <w:lang w:val="pl-PL"/>
        </w:rPr>
        <w:t xml:space="preserve"> i odpowiedź</w:t>
      </w:r>
      <w:r w:rsidR="00D04883" w:rsidRPr="00640E2B">
        <w:rPr>
          <w:bCs/>
          <w:iCs/>
          <w:sz w:val="20"/>
          <w:szCs w:val="20"/>
          <w:lang w:val="pl-PL"/>
        </w:rPr>
        <w:t xml:space="preserve"> na nie</w:t>
      </w:r>
      <w:r w:rsidR="00D443E4" w:rsidRPr="00640E2B">
        <w:rPr>
          <w:bCs/>
          <w:iCs/>
          <w:sz w:val="20"/>
          <w:szCs w:val="20"/>
          <w:lang w:val="pl-PL"/>
        </w:rPr>
        <w:t xml:space="preserve"> oraz stan ogóln</w:t>
      </w:r>
      <w:r w:rsidR="00A64591">
        <w:rPr>
          <w:bCs/>
          <w:iCs/>
          <w:sz w:val="20"/>
          <w:szCs w:val="20"/>
          <w:lang w:val="pl-PL"/>
        </w:rPr>
        <w:t>y</w:t>
      </w:r>
      <w:r w:rsidR="00D443E4" w:rsidRPr="00E763C7">
        <w:rPr>
          <w:bCs/>
          <w:iCs/>
          <w:sz w:val="20"/>
          <w:szCs w:val="20"/>
          <w:lang w:val="pl-PL"/>
        </w:rPr>
        <w:t>, schorze</w:t>
      </w:r>
      <w:r w:rsidR="00A64591">
        <w:rPr>
          <w:bCs/>
          <w:iCs/>
          <w:sz w:val="20"/>
          <w:szCs w:val="20"/>
          <w:lang w:val="pl-PL"/>
        </w:rPr>
        <w:t>nia</w:t>
      </w:r>
      <w:r w:rsidR="00D443E4" w:rsidRPr="00E763C7">
        <w:rPr>
          <w:bCs/>
          <w:iCs/>
          <w:sz w:val="20"/>
          <w:szCs w:val="20"/>
          <w:lang w:val="pl-PL"/>
        </w:rPr>
        <w:t xml:space="preserve"> towarzysząc</w:t>
      </w:r>
      <w:r w:rsidR="00A64591">
        <w:rPr>
          <w:bCs/>
          <w:iCs/>
          <w:sz w:val="20"/>
          <w:szCs w:val="20"/>
          <w:lang w:val="pl-PL"/>
        </w:rPr>
        <w:t>e</w:t>
      </w:r>
      <w:r w:rsidR="00D443E4" w:rsidRPr="00E763C7">
        <w:rPr>
          <w:bCs/>
          <w:iCs/>
          <w:sz w:val="20"/>
          <w:szCs w:val="20"/>
          <w:lang w:val="pl-PL"/>
        </w:rPr>
        <w:t xml:space="preserve"> i preferencj</w:t>
      </w:r>
      <w:r w:rsidR="00A64591">
        <w:rPr>
          <w:bCs/>
          <w:iCs/>
          <w:sz w:val="20"/>
          <w:szCs w:val="20"/>
          <w:lang w:val="pl-PL"/>
        </w:rPr>
        <w:t>e</w:t>
      </w:r>
      <w:r w:rsidR="00D443E4" w:rsidRPr="00E763C7">
        <w:rPr>
          <w:bCs/>
          <w:iCs/>
          <w:sz w:val="20"/>
          <w:szCs w:val="20"/>
          <w:lang w:val="pl-PL"/>
        </w:rPr>
        <w:t xml:space="preserve"> chorych</w:t>
      </w:r>
      <w:r w:rsidR="00016470">
        <w:rPr>
          <w:bCs/>
          <w:iCs/>
          <w:sz w:val="20"/>
          <w:szCs w:val="20"/>
          <w:lang w:val="pl-PL"/>
        </w:rPr>
        <w:t xml:space="preserve"> (ryc. 9)</w:t>
      </w:r>
      <w:r w:rsidR="00913D1C" w:rsidRPr="00640E2B">
        <w:rPr>
          <w:bCs/>
          <w:iCs/>
          <w:sz w:val="20"/>
          <w:szCs w:val="20"/>
          <w:lang w:val="pl-PL"/>
        </w:rPr>
        <w:t xml:space="preserve"> </w:t>
      </w:r>
      <w:r w:rsidR="002B4139" w:rsidRPr="00640E2B">
        <w:rPr>
          <w:bCs/>
          <w:iCs/>
          <w:sz w:val="20"/>
          <w:szCs w:val="20"/>
          <w:lang w:val="pl-PL"/>
        </w:rPr>
        <w:t>(I, A)</w:t>
      </w:r>
      <w:r w:rsidR="00D443E4" w:rsidRPr="00640E2B">
        <w:rPr>
          <w:bCs/>
          <w:iCs/>
          <w:sz w:val="20"/>
          <w:szCs w:val="20"/>
          <w:lang w:val="pl-PL"/>
        </w:rPr>
        <w:t>.</w:t>
      </w:r>
    </w:p>
    <w:p w:rsidR="006D483C" w:rsidRPr="009D6B8A" w:rsidRDefault="006D483C" w:rsidP="000E721D">
      <w:pPr>
        <w:numPr>
          <w:ilvl w:val="0"/>
          <w:numId w:val="19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 w:rsidRPr="00640E2B">
        <w:rPr>
          <w:sz w:val="20"/>
          <w:szCs w:val="20"/>
          <w:lang w:val="pl-PL"/>
        </w:rPr>
        <w:t xml:space="preserve">Jeśli jest to możliwe, w momencie uogólnienia choroby zaleca się pobranie wycinka z przerzutowej zmiany celem </w:t>
      </w:r>
      <w:r w:rsidR="00A64591">
        <w:rPr>
          <w:sz w:val="20"/>
          <w:szCs w:val="20"/>
          <w:lang w:val="pl-PL"/>
        </w:rPr>
        <w:t xml:space="preserve">potwierdzenia rozpoznania i </w:t>
      </w:r>
      <w:r w:rsidR="00A4056A">
        <w:rPr>
          <w:sz w:val="20"/>
          <w:szCs w:val="20"/>
          <w:lang w:val="pl-PL"/>
        </w:rPr>
        <w:t>określenia jej fenotypu (</w:t>
      </w:r>
      <w:r w:rsidRPr="00640E2B">
        <w:rPr>
          <w:sz w:val="20"/>
          <w:szCs w:val="20"/>
          <w:lang w:val="pl-PL"/>
        </w:rPr>
        <w:t>II, B).</w:t>
      </w:r>
    </w:p>
    <w:p w:rsidR="00D443E4" w:rsidRPr="009D6B8A" w:rsidRDefault="00D443E4" w:rsidP="000E721D">
      <w:pPr>
        <w:numPr>
          <w:ilvl w:val="0"/>
          <w:numId w:val="19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E763C7">
        <w:rPr>
          <w:rFonts w:cs="Arial"/>
          <w:sz w:val="20"/>
          <w:szCs w:val="20"/>
          <w:lang w:val="pl-PL"/>
        </w:rPr>
        <w:t xml:space="preserve">U chorych z cechą ER+ należy w pierwszej kolejności zastosować </w:t>
      </w:r>
      <w:r w:rsidR="006D07C1" w:rsidRPr="00640E2B">
        <w:rPr>
          <w:rFonts w:cs="Arial"/>
          <w:sz w:val="20"/>
          <w:szCs w:val="20"/>
          <w:lang w:val="pl-PL"/>
        </w:rPr>
        <w:t>HT</w:t>
      </w:r>
      <w:r w:rsidR="00A4056A">
        <w:rPr>
          <w:rFonts w:cs="Arial"/>
          <w:sz w:val="20"/>
          <w:szCs w:val="20"/>
          <w:lang w:val="pl-PL"/>
        </w:rPr>
        <w:t xml:space="preserve"> (</w:t>
      </w:r>
      <w:r w:rsidR="00487D92" w:rsidRPr="00640E2B">
        <w:rPr>
          <w:rFonts w:cs="Arial"/>
          <w:sz w:val="20"/>
          <w:szCs w:val="20"/>
          <w:lang w:val="pl-PL"/>
        </w:rPr>
        <w:t>I</w:t>
      </w:r>
      <w:r w:rsidR="00180D4A" w:rsidRPr="00640E2B">
        <w:rPr>
          <w:rFonts w:cs="Arial"/>
          <w:sz w:val="20"/>
          <w:szCs w:val="20"/>
          <w:lang w:val="pl-PL"/>
        </w:rPr>
        <w:t>I</w:t>
      </w:r>
      <w:r w:rsidRPr="00640E2B">
        <w:rPr>
          <w:rFonts w:cs="Arial"/>
          <w:sz w:val="20"/>
          <w:szCs w:val="20"/>
          <w:lang w:val="pl-PL"/>
        </w:rPr>
        <w:t>,</w:t>
      </w:r>
      <w:r w:rsidRPr="009D6B8A">
        <w:rPr>
          <w:rFonts w:cs="Arial"/>
          <w:sz w:val="20"/>
          <w:szCs w:val="20"/>
          <w:lang w:val="pl-PL"/>
        </w:rPr>
        <w:t xml:space="preserve"> A)</w:t>
      </w:r>
      <w:r w:rsidR="00A64591">
        <w:rPr>
          <w:rFonts w:cs="Arial"/>
          <w:sz w:val="20"/>
          <w:szCs w:val="20"/>
          <w:lang w:val="pl-PL"/>
        </w:rPr>
        <w:t>.</w:t>
      </w:r>
    </w:p>
    <w:p w:rsidR="0008346F" w:rsidRPr="00640E2B" w:rsidRDefault="0008346F" w:rsidP="000E721D">
      <w:pPr>
        <w:numPr>
          <w:ilvl w:val="0"/>
          <w:numId w:val="19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E763C7">
        <w:rPr>
          <w:rFonts w:cs="Arial"/>
          <w:sz w:val="20"/>
          <w:szCs w:val="20"/>
          <w:lang w:val="pl-PL"/>
        </w:rPr>
        <w:t xml:space="preserve">Zaleca się stosowanie podobnej </w:t>
      </w:r>
      <w:r w:rsidR="006D07C1" w:rsidRPr="00640E2B">
        <w:rPr>
          <w:rFonts w:cs="Arial"/>
          <w:sz w:val="20"/>
          <w:szCs w:val="20"/>
          <w:lang w:val="pl-PL"/>
        </w:rPr>
        <w:t>HT</w:t>
      </w:r>
      <w:r w:rsidRPr="00640E2B">
        <w:rPr>
          <w:rFonts w:cs="Arial"/>
          <w:sz w:val="20"/>
          <w:szCs w:val="20"/>
          <w:lang w:val="pl-PL"/>
        </w:rPr>
        <w:t xml:space="preserve"> u kobiet przed- i po menopauzie, przy czym u chorych przed menopauzą konieczne jest zapewnienie skutecznej supresji jajników</w:t>
      </w:r>
      <w:r w:rsidR="00A4056A">
        <w:rPr>
          <w:rFonts w:cs="Arial"/>
          <w:sz w:val="20"/>
          <w:szCs w:val="20"/>
          <w:lang w:val="pl-PL"/>
        </w:rPr>
        <w:t xml:space="preserve"> (II, B</w:t>
      </w:r>
      <w:r w:rsidR="002B4139" w:rsidRPr="00640E2B">
        <w:rPr>
          <w:rFonts w:cs="Arial"/>
          <w:sz w:val="20"/>
          <w:szCs w:val="20"/>
          <w:lang w:val="pl-PL"/>
        </w:rPr>
        <w:t>).</w:t>
      </w:r>
    </w:p>
    <w:p w:rsidR="00C512DE" w:rsidRPr="00E763C7" w:rsidRDefault="001A0E88" w:rsidP="000E721D">
      <w:pPr>
        <w:numPr>
          <w:ilvl w:val="0"/>
          <w:numId w:val="19"/>
        </w:numPr>
        <w:spacing w:after="120" w:line="240" w:lineRule="auto"/>
        <w:ind w:left="714" w:hanging="357"/>
        <w:jc w:val="both"/>
        <w:rPr>
          <w:bCs/>
          <w:iCs/>
          <w:sz w:val="20"/>
          <w:szCs w:val="20"/>
          <w:lang w:val="pl-PL"/>
        </w:rPr>
      </w:pPr>
      <w:r w:rsidRPr="00640E2B">
        <w:rPr>
          <w:bCs/>
          <w:iCs/>
          <w:sz w:val="20"/>
          <w:szCs w:val="20"/>
          <w:lang w:val="pl-PL"/>
        </w:rPr>
        <w:t xml:space="preserve">U chorych z cechą ER+ </w:t>
      </w:r>
      <w:r w:rsidR="006D07C1" w:rsidRPr="00640E2B">
        <w:rPr>
          <w:bCs/>
          <w:iCs/>
          <w:sz w:val="20"/>
          <w:szCs w:val="20"/>
          <w:lang w:val="pl-PL"/>
        </w:rPr>
        <w:t>CHT</w:t>
      </w:r>
      <w:r w:rsidRPr="00640E2B">
        <w:rPr>
          <w:bCs/>
          <w:iCs/>
          <w:sz w:val="20"/>
          <w:szCs w:val="20"/>
          <w:lang w:val="pl-PL"/>
        </w:rPr>
        <w:t xml:space="preserve"> stosuje się jedynie w przypadku szybkiej progresji nowotworu i stanowiącego bezpośrednie zagrożenie życia, masywnego zajęcia narządów miąższowych (tzw. </w:t>
      </w:r>
      <w:r w:rsidRPr="00640E2B">
        <w:rPr>
          <w:i/>
          <w:sz w:val="20"/>
          <w:szCs w:val="20"/>
          <w:lang w:val="pl-PL"/>
        </w:rPr>
        <w:t>visceral</w:t>
      </w:r>
      <w:r w:rsidRPr="009D6B8A">
        <w:rPr>
          <w:sz w:val="20"/>
          <w:szCs w:val="20"/>
          <w:lang w:val="pl-PL"/>
        </w:rPr>
        <w:t xml:space="preserve"> </w:t>
      </w:r>
      <w:r w:rsidRPr="00640E2B">
        <w:rPr>
          <w:i/>
          <w:sz w:val="20"/>
          <w:szCs w:val="20"/>
          <w:lang w:val="pl-PL"/>
        </w:rPr>
        <w:t>crisis</w:t>
      </w:r>
      <w:r w:rsidRPr="009D6B8A">
        <w:rPr>
          <w:bCs/>
          <w:iCs/>
          <w:sz w:val="20"/>
          <w:szCs w:val="20"/>
          <w:lang w:val="pl-PL"/>
        </w:rPr>
        <w:t>) (III, B).</w:t>
      </w:r>
    </w:p>
    <w:p w:rsidR="00041CA8" w:rsidRPr="00640E2B" w:rsidRDefault="00041CA8" w:rsidP="000E721D">
      <w:pPr>
        <w:numPr>
          <w:ilvl w:val="0"/>
          <w:numId w:val="19"/>
        </w:numPr>
        <w:spacing w:after="120" w:line="240" w:lineRule="auto"/>
        <w:ind w:left="714" w:hanging="357"/>
        <w:jc w:val="both"/>
        <w:rPr>
          <w:lang w:val="pl-PL"/>
        </w:rPr>
      </w:pPr>
      <w:r w:rsidRPr="00640E2B">
        <w:rPr>
          <w:rFonts w:cs="Arial"/>
          <w:sz w:val="20"/>
          <w:szCs w:val="20"/>
          <w:lang w:val="pl-PL"/>
        </w:rPr>
        <w:t>Nie należy stosować jednocześnie</w:t>
      </w:r>
      <w:r w:rsidRPr="009D6B8A">
        <w:rPr>
          <w:rFonts w:cs="Arial"/>
          <w:sz w:val="20"/>
          <w:szCs w:val="20"/>
          <w:lang w:val="pl-PL"/>
        </w:rPr>
        <w:t xml:space="preserve"> </w:t>
      </w:r>
      <w:r w:rsidRPr="00640E2B">
        <w:rPr>
          <w:rFonts w:cs="Arial"/>
          <w:sz w:val="20"/>
          <w:szCs w:val="20"/>
          <w:lang w:val="pl-PL"/>
        </w:rPr>
        <w:t>CHT i HT</w:t>
      </w:r>
      <w:r w:rsidRPr="009D6B8A">
        <w:rPr>
          <w:rFonts w:cs="Arial"/>
          <w:sz w:val="20"/>
          <w:szCs w:val="20"/>
          <w:lang w:val="pl-PL"/>
        </w:rPr>
        <w:t xml:space="preserve"> (I</w:t>
      </w:r>
      <w:r w:rsidR="00F442EB">
        <w:rPr>
          <w:rFonts w:cs="Arial"/>
          <w:sz w:val="20"/>
          <w:szCs w:val="20"/>
          <w:lang w:val="pl-PL"/>
        </w:rPr>
        <w:t>II</w:t>
      </w:r>
      <w:r w:rsidRPr="00640E2B">
        <w:rPr>
          <w:rFonts w:cs="Arial"/>
          <w:sz w:val="20"/>
          <w:szCs w:val="20"/>
          <w:lang w:val="pl-PL"/>
        </w:rPr>
        <w:t xml:space="preserve">, </w:t>
      </w:r>
      <w:r w:rsidR="00D04883" w:rsidRPr="00640E2B">
        <w:rPr>
          <w:rFonts w:cs="Arial"/>
          <w:sz w:val="20"/>
          <w:szCs w:val="20"/>
          <w:lang w:val="pl-PL"/>
        </w:rPr>
        <w:t>B</w:t>
      </w:r>
      <w:r w:rsidRPr="00640E2B">
        <w:rPr>
          <w:rFonts w:cs="Arial"/>
          <w:sz w:val="20"/>
          <w:szCs w:val="20"/>
          <w:lang w:val="pl-PL"/>
        </w:rPr>
        <w:t>)</w:t>
      </w:r>
      <w:r w:rsidR="00341CBB" w:rsidRPr="00640E2B">
        <w:rPr>
          <w:rFonts w:cs="Arial"/>
          <w:sz w:val="20"/>
          <w:szCs w:val="20"/>
          <w:lang w:val="pl-PL"/>
        </w:rPr>
        <w:t>.</w:t>
      </w:r>
    </w:p>
    <w:p w:rsidR="00F40F0B" w:rsidRPr="009D6B8A" w:rsidRDefault="006D07C1" w:rsidP="000E721D">
      <w:pPr>
        <w:numPr>
          <w:ilvl w:val="0"/>
          <w:numId w:val="19"/>
        </w:numPr>
        <w:spacing w:after="120" w:line="240" w:lineRule="auto"/>
        <w:ind w:left="714" w:hanging="357"/>
        <w:jc w:val="both"/>
        <w:rPr>
          <w:bCs/>
          <w:iCs/>
          <w:sz w:val="20"/>
          <w:szCs w:val="20"/>
          <w:lang w:val="pl-PL"/>
        </w:rPr>
      </w:pPr>
      <w:r w:rsidRPr="00E763C7">
        <w:rPr>
          <w:bCs/>
          <w:iCs/>
          <w:sz w:val="20"/>
          <w:szCs w:val="20"/>
          <w:lang w:val="pl-PL"/>
        </w:rPr>
        <w:t>CHT</w:t>
      </w:r>
      <w:r w:rsidR="00F40F0B" w:rsidRPr="00640E2B">
        <w:rPr>
          <w:bCs/>
          <w:iCs/>
          <w:sz w:val="20"/>
          <w:szCs w:val="20"/>
          <w:lang w:val="pl-PL"/>
        </w:rPr>
        <w:t xml:space="preserve"> jest leczeniem z wyboru u chorych </w:t>
      </w:r>
      <w:r w:rsidR="003337DB" w:rsidRPr="00E763C7">
        <w:rPr>
          <w:rFonts w:cs="Arial"/>
          <w:sz w:val="20"/>
          <w:szCs w:val="20"/>
          <w:lang w:val="pl-PL"/>
        </w:rPr>
        <w:t xml:space="preserve">z cechą </w:t>
      </w:r>
      <w:r w:rsidR="00F40F0B" w:rsidRPr="00640E2B">
        <w:rPr>
          <w:bCs/>
          <w:iCs/>
          <w:sz w:val="20"/>
          <w:szCs w:val="20"/>
          <w:lang w:val="pl-PL"/>
        </w:rPr>
        <w:t>ER- oraz u chorych, u któ</w:t>
      </w:r>
      <w:r w:rsidR="00AC744F">
        <w:rPr>
          <w:bCs/>
          <w:iCs/>
          <w:sz w:val="20"/>
          <w:szCs w:val="20"/>
          <w:lang w:val="pl-PL"/>
        </w:rPr>
        <w:t>rych nie uzyskano odpowiedzi na </w:t>
      </w:r>
      <w:r w:rsidR="00F40F0B" w:rsidRPr="00640E2B">
        <w:rPr>
          <w:bCs/>
          <w:iCs/>
          <w:sz w:val="20"/>
          <w:szCs w:val="20"/>
          <w:lang w:val="pl-PL"/>
        </w:rPr>
        <w:t>wcześniejszą HT</w:t>
      </w:r>
      <w:r w:rsidR="002B4139" w:rsidRPr="00640E2B">
        <w:rPr>
          <w:bCs/>
          <w:iCs/>
          <w:sz w:val="20"/>
          <w:szCs w:val="20"/>
          <w:lang w:val="pl-PL"/>
        </w:rPr>
        <w:t xml:space="preserve"> (I, A)</w:t>
      </w:r>
      <w:r w:rsidR="00A64591">
        <w:rPr>
          <w:bCs/>
          <w:iCs/>
          <w:sz w:val="20"/>
          <w:szCs w:val="20"/>
          <w:lang w:val="pl-PL"/>
        </w:rPr>
        <w:t>.</w:t>
      </w:r>
    </w:p>
    <w:p w:rsidR="00192998" w:rsidRPr="00640E2B" w:rsidRDefault="00620127" w:rsidP="000E721D">
      <w:pPr>
        <w:numPr>
          <w:ilvl w:val="0"/>
          <w:numId w:val="19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640E2B">
        <w:rPr>
          <w:bCs/>
          <w:iCs/>
          <w:sz w:val="20"/>
          <w:szCs w:val="20"/>
          <w:lang w:val="pl-PL"/>
        </w:rPr>
        <w:t>Z</w:t>
      </w:r>
      <w:r w:rsidR="0028043A" w:rsidRPr="00640E2B">
        <w:rPr>
          <w:bCs/>
          <w:iCs/>
          <w:sz w:val="20"/>
          <w:szCs w:val="20"/>
          <w:lang w:val="pl-PL"/>
        </w:rPr>
        <w:t xml:space="preserve">aleca się sekwencyjne stosowanie </w:t>
      </w:r>
      <w:r w:rsidRPr="00640E2B">
        <w:rPr>
          <w:bCs/>
          <w:iCs/>
          <w:sz w:val="20"/>
          <w:szCs w:val="20"/>
          <w:lang w:val="pl-PL"/>
        </w:rPr>
        <w:t xml:space="preserve">jednolekowych </w:t>
      </w:r>
      <w:r w:rsidR="0028043A" w:rsidRPr="00640E2B">
        <w:rPr>
          <w:bCs/>
          <w:iCs/>
          <w:sz w:val="20"/>
          <w:szCs w:val="20"/>
          <w:lang w:val="pl-PL"/>
        </w:rPr>
        <w:t xml:space="preserve">schematów </w:t>
      </w:r>
      <w:r w:rsidR="008E73D5" w:rsidRPr="00640E2B">
        <w:rPr>
          <w:bCs/>
          <w:iCs/>
          <w:sz w:val="20"/>
          <w:szCs w:val="20"/>
          <w:lang w:val="pl-PL"/>
        </w:rPr>
        <w:t>CHT</w:t>
      </w:r>
      <w:r w:rsidR="006732EE">
        <w:rPr>
          <w:bCs/>
          <w:iCs/>
          <w:sz w:val="20"/>
          <w:szCs w:val="20"/>
          <w:lang w:val="pl-PL"/>
        </w:rPr>
        <w:t xml:space="preserve"> zgodnie z charakterystyką produktu leczniczego</w:t>
      </w:r>
      <w:r w:rsidR="008E73D5" w:rsidRPr="00640E2B">
        <w:rPr>
          <w:bCs/>
          <w:iCs/>
          <w:sz w:val="20"/>
          <w:szCs w:val="20"/>
          <w:lang w:val="pl-PL"/>
        </w:rPr>
        <w:t xml:space="preserve"> </w:t>
      </w:r>
      <w:r w:rsidR="002B4139" w:rsidRPr="00640E2B">
        <w:rPr>
          <w:bCs/>
          <w:iCs/>
          <w:sz w:val="20"/>
          <w:szCs w:val="20"/>
          <w:lang w:val="pl-PL"/>
        </w:rPr>
        <w:t>(I, B)</w:t>
      </w:r>
      <w:r w:rsidR="008F0C03" w:rsidRPr="00640E2B">
        <w:rPr>
          <w:bCs/>
          <w:iCs/>
          <w:sz w:val="20"/>
          <w:szCs w:val="20"/>
          <w:lang w:val="pl-PL"/>
        </w:rPr>
        <w:t xml:space="preserve">. </w:t>
      </w:r>
      <w:r w:rsidR="008F0C03" w:rsidRPr="00640E2B">
        <w:rPr>
          <w:rFonts w:cs="Arial"/>
          <w:sz w:val="20"/>
          <w:szCs w:val="20"/>
          <w:lang w:val="pl-PL"/>
        </w:rPr>
        <w:t xml:space="preserve">Wyjątkiem są chore, u których konieczne jest uzyskanie szybkiej odpowiedzi (III, B). </w:t>
      </w:r>
    </w:p>
    <w:p w:rsidR="0008346F" w:rsidRPr="00640E2B" w:rsidRDefault="00192998" w:rsidP="000E721D">
      <w:pPr>
        <w:numPr>
          <w:ilvl w:val="0"/>
          <w:numId w:val="19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 w:rsidRPr="00640E2B">
        <w:rPr>
          <w:rFonts w:cs="Arial"/>
          <w:sz w:val="20"/>
          <w:szCs w:val="20"/>
          <w:lang w:val="pl-PL"/>
        </w:rPr>
        <w:t xml:space="preserve">Jeśli u chorych z cechą ER+ leczenie rozpoczęto od CHT, po jej zakończeniu należy rozważyć zastosowanie podtrzymującej HT (IV, C). </w:t>
      </w:r>
    </w:p>
    <w:p w:rsidR="00106855" w:rsidRPr="00640E2B" w:rsidRDefault="00106855" w:rsidP="000E721D">
      <w:pPr>
        <w:numPr>
          <w:ilvl w:val="0"/>
          <w:numId w:val="19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 w:rsidRPr="00640E2B">
        <w:rPr>
          <w:sz w:val="20"/>
          <w:szCs w:val="20"/>
          <w:lang w:val="pl-PL"/>
        </w:rPr>
        <w:t xml:space="preserve">U chorych z cechą HER2+ wskazane jest kojarzenie </w:t>
      </w:r>
      <w:r w:rsidR="006D07C1" w:rsidRPr="00640E2B">
        <w:rPr>
          <w:sz w:val="20"/>
          <w:szCs w:val="20"/>
          <w:lang w:val="pl-PL"/>
        </w:rPr>
        <w:t>CHT</w:t>
      </w:r>
      <w:r w:rsidRPr="00640E2B">
        <w:rPr>
          <w:sz w:val="20"/>
          <w:szCs w:val="20"/>
          <w:lang w:val="pl-PL"/>
        </w:rPr>
        <w:t xml:space="preserve"> niezawierające</w:t>
      </w:r>
      <w:r w:rsidR="00620127" w:rsidRPr="00640E2B">
        <w:rPr>
          <w:sz w:val="20"/>
          <w:szCs w:val="20"/>
          <w:lang w:val="pl-PL"/>
        </w:rPr>
        <w:t>j</w:t>
      </w:r>
      <w:r w:rsidRPr="00640E2B">
        <w:rPr>
          <w:sz w:val="20"/>
          <w:szCs w:val="20"/>
          <w:lang w:val="pl-PL"/>
        </w:rPr>
        <w:t xml:space="preserve"> antracyklin z leczeniem anty-HER2 (I, A).</w:t>
      </w:r>
    </w:p>
    <w:p w:rsidR="00083059" w:rsidRPr="00640E2B" w:rsidRDefault="00620127" w:rsidP="000E721D">
      <w:pPr>
        <w:numPr>
          <w:ilvl w:val="0"/>
          <w:numId w:val="19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640E2B">
        <w:rPr>
          <w:rFonts w:cs="Arial"/>
          <w:sz w:val="20"/>
          <w:szCs w:val="20"/>
          <w:lang w:val="pl-PL"/>
        </w:rPr>
        <w:t>W wybranych przypadkach można rozważyć s</w:t>
      </w:r>
      <w:r w:rsidR="00083059" w:rsidRPr="00640E2B">
        <w:rPr>
          <w:rFonts w:cs="Arial"/>
          <w:sz w:val="20"/>
          <w:szCs w:val="20"/>
          <w:lang w:val="pl-PL"/>
        </w:rPr>
        <w:t xml:space="preserve">kojarzenie </w:t>
      </w:r>
      <w:r w:rsidR="006D07C1" w:rsidRPr="00640E2B">
        <w:rPr>
          <w:rFonts w:cs="Arial"/>
          <w:sz w:val="20"/>
          <w:szCs w:val="20"/>
          <w:lang w:val="pl-PL"/>
        </w:rPr>
        <w:t>HT</w:t>
      </w:r>
      <w:r w:rsidR="00083059" w:rsidRPr="00640E2B">
        <w:rPr>
          <w:rFonts w:cs="Arial"/>
          <w:sz w:val="20"/>
          <w:szCs w:val="20"/>
          <w:lang w:val="pl-PL"/>
        </w:rPr>
        <w:t xml:space="preserve"> (</w:t>
      </w:r>
      <w:r w:rsidR="007C400D" w:rsidRPr="00640E2B">
        <w:rPr>
          <w:rFonts w:cs="Arial"/>
          <w:sz w:val="20"/>
          <w:szCs w:val="20"/>
          <w:lang w:val="pl-PL"/>
        </w:rPr>
        <w:t>IA</w:t>
      </w:r>
      <w:r w:rsidR="00083059" w:rsidRPr="00640E2B">
        <w:rPr>
          <w:rFonts w:cs="Arial"/>
          <w:sz w:val="20"/>
          <w:szCs w:val="20"/>
          <w:lang w:val="pl-PL"/>
        </w:rPr>
        <w:t xml:space="preserve">) z leczeniem anty-HER2 (II, C). </w:t>
      </w:r>
    </w:p>
    <w:p w:rsidR="00E26727" w:rsidRPr="00640E2B" w:rsidRDefault="00E26727" w:rsidP="000E721D">
      <w:pPr>
        <w:numPr>
          <w:ilvl w:val="0"/>
          <w:numId w:val="19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640E2B">
        <w:rPr>
          <w:rFonts w:cs="Arial"/>
          <w:sz w:val="20"/>
          <w:szCs w:val="20"/>
          <w:lang w:val="pl-PL"/>
        </w:rPr>
        <w:lastRenderedPageBreak/>
        <w:t xml:space="preserve">Odpowiedź w trakcie </w:t>
      </w:r>
      <w:r w:rsidR="006D07C1" w:rsidRPr="00640E2B">
        <w:rPr>
          <w:rFonts w:cs="Arial"/>
          <w:sz w:val="20"/>
          <w:szCs w:val="20"/>
          <w:lang w:val="pl-PL"/>
        </w:rPr>
        <w:t>HT</w:t>
      </w:r>
      <w:r w:rsidRPr="00640E2B">
        <w:rPr>
          <w:rFonts w:cs="Arial"/>
          <w:sz w:val="20"/>
          <w:szCs w:val="20"/>
          <w:lang w:val="pl-PL"/>
        </w:rPr>
        <w:t xml:space="preserve"> i </w:t>
      </w:r>
      <w:r w:rsidR="006D07C1" w:rsidRPr="00640E2B">
        <w:rPr>
          <w:rFonts w:cs="Arial"/>
          <w:sz w:val="20"/>
          <w:szCs w:val="20"/>
          <w:lang w:val="pl-PL"/>
        </w:rPr>
        <w:t>CHT</w:t>
      </w:r>
      <w:r w:rsidRPr="00640E2B">
        <w:rPr>
          <w:rFonts w:cs="Arial"/>
          <w:sz w:val="20"/>
          <w:szCs w:val="20"/>
          <w:lang w:val="pl-PL"/>
        </w:rPr>
        <w:t xml:space="preserve"> należy oceniać co 2–3 miesiące,</w:t>
      </w:r>
      <w:r w:rsidR="00F442EB">
        <w:rPr>
          <w:rFonts w:cs="Arial"/>
          <w:sz w:val="20"/>
          <w:szCs w:val="20"/>
          <w:lang w:val="pl-PL"/>
        </w:rPr>
        <w:t xml:space="preserve"> z uwzgl</w:t>
      </w:r>
      <w:r w:rsidR="00AC744F">
        <w:rPr>
          <w:rFonts w:cs="Arial"/>
          <w:sz w:val="20"/>
          <w:szCs w:val="20"/>
          <w:lang w:val="pl-PL"/>
        </w:rPr>
        <w:t>ędnieniem ewentualnych przerw w </w:t>
      </w:r>
      <w:r w:rsidR="00F442EB">
        <w:rPr>
          <w:rFonts w:cs="Arial"/>
          <w:sz w:val="20"/>
          <w:szCs w:val="20"/>
          <w:lang w:val="pl-PL"/>
        </w:rPr>
        <w:t>leczeniu,</w:t>
      </w:r>
      <w:r w:rsidRPr="00640E2B">
        <w:rPr>
          <w:rFonts w:cs="Arial"/>
          <w:sz w:val="20"/>
          <w:szCs w:val="20"/>
          <w:lang w:val="pl-PL"/>
        </w:rPr>
        <w:t xml:space="preserve"> przy konsekwentnym stosowaniu tych samych metod oceny obrazowej</w:t>
      </w:r>
      <w:r w:rsidR="002B4139" w:rsidRPr="00640E2B">
        <w:rPr>
          <w:rFonts w:cs="Arial"/>
          <w:sz w:val="20"/>
          <w:szCs w:val="20"/>
          <w:lang w:val="pl-PL"/>
        </w:rPr>
        <w:t xml:space="preserve"> (IV, A)</w:t>
      </w:r>
      <w:r w:rsidRPr="00640E2B">
        <w:rPr>
          <w:rFonts w:cs="Arial"/>
          <w:sz w:val="20"/>
          <w:szCs w:val="20"/>
          <w:lang w:val="pl-PL"/>
        </w:rPr>
        <w:t>.</w:t>
      </w:r>
    </w:p>
    <w:p w:rsidR="002B4139" w:rsidRPr="00640E2B" w:rsidRDefault="006D07C1" w:rsidP="000E721D">
      <w:pPr>
        <w:numPr>
          <w:ilvl w:val="0"/>
          <w:numId w:val="19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640E2B">
        <w:rPr>
          <w:rFonts w:cs="Arial"/>
          <w:sz w:val="20"/>
          <w:szCs w:val="20"/>
          <w:lang w:val="pl-PL"/>
        </w:rPr>
        <w:t>HT</w:t>
      </w:r>
      <w:r w:rsidR="005E32A6" w:rsidRPr="00640E2B">
        <w:rPr>
          <w:rFonts w:cs="Arial"/>
          <w:sz w:val="20"/>
          <w:szCs w:val="20"/>
          <w:lang w:val="pl-PL"/>
        </w:rPr>
        <w:t xml:space="preserve"> i leczenie anty-HER2 </w:t>
      </w:r>
      <w:r w:rsidR="00620127" w:rsidRPr="00640E2B">
        <w:rPr>
          <w:rFonts w:cs="Arial"/>
          <w:sz w:val="20"/>
          <w:szCs w:val="20"/>
          <w:lang w:val="pl-PL"/>
        </w:rPr>
        <w:t>należy prowadzić</w:t>
      </w:r>
      <w:r w:rsidR="005E32A6" w:rsidRPr="00640E2B">
        <w:rPr>
          <w:rFonts w:cs="Arial"/>
          <w:sz w:val="20"/>
          <w:szCs w:val="20"/>
          <w:lang w:val="pl-PL"/>
        </w:rPr>
        <w:t xml:space="preserve"> do wystąpienia progresji lub nietolerowanej toksyczności</w:t>
      </w:r>
      <w:r w:rsidR="00620127" w:rsidRPr="00640E2B">
        <w:rPr>
          <w:rFonts w:cs="Arial"/>
          <w:sz w:val="20"/>
          <w:szCs w:val="20"/>
          <w:lang w:val="pl-PL"/>
        </w:rPr>
        <w:t xml:space="preserve"> (II, B)</w:t>
      </w:r>
      <w:r w:rsidR="005E32A6" w:rsidRPr="00640E2B">
        <w:rPr>
          <w:rFonts w:cs="Arial"/>
          <w:sz w:val="20"/>
          <w:szCs w:val="20"/>
          <w:lang w:val="pl-PL"/>
        </w:rPr>
        <w:t>, a</w:t>
      </w:r>
      <w:r w:rsidR="00AC744F">
        <w:rPr>
          <w:rFonts w:cs="Arial"/>
          <w:sz w:val="20"/>
          <w:szCs w:val="20"/>
          <w:lang w:val="pl-PL"/>
        </w:rPr>
        <w:t> </w:t>
      </w:r>
      <w:r w:rsidRPr="00640E2B">
        <w:rPr>
          <w:rFonts w:cs="Arial"/>
          <w:sz w:val="20"/>
          <w:szCs w:val="20"/>
          <w:lang w:val="pl-PL"/>
        </w:rPr>
        <w:t>CHT</w:t>
      </w:r>
      <w:r w:rsidR="005E32A6" w:rsidRPr="00640E2B">
        <w:rPr>
          <w:rFonts w:cs="Arial"/>
          <w:sz w:val="20"/>
          <w:szCs w:val="20"/>
          <w:lang w:val="pl-PL"/>
        </w:rPr>
        <w:t xml:space="preserve"> — do osiągnięcia zadowalającego efektu terapeutycznego, wystąpienia progresji i/lu</w:t>
      </w:r>
      <w:r w:rsidR="00A4056A">
        <w:rPr>
          <w:rFonts w:cs="Arial"/>
          <w:sz w:val="20"/>
          <w:szCs w:val="20"/>
          <w:lang w:val="pl-PL"/>
        </w:rPr>
        <w:t>b nietolerowanej toksyczności (</w:t>
      </w:r>
      <w:r w:rsidR="005E32A6" w:rsidRPr="00640E2B">
        <w:rPr>
          <w:rFonts w:cs="Arial"/>
          <w:sz w:val="20"/>
          <w:szCs w:val="20"/>
          <w:lang w:val="pl-PL"/>
        </w:rPr>
        <w:t>I, B).</w:t>
      </w:r>
    </w:p>
    <w:p w:rsidR="00192998" w:rsidRPr="00640E2B" w:rsidRDefault="00192998" w:rsidP="000E721D">
      <w:pPr>
        <w:numPr>
          <w:ilvl w:val="0"/>
          <w:numId w:val="19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640E2B">
        <w:rPr>
          <w:rFonts w:cs="Arial"/>
          <w:sz w:val="20"/>
          <w:szCs w:val="20"/>
          <w:lang w:val="pl-PL"/>
        </w:rPr>
        <w:t>Leczenie systemowe wymaga śledzenia działań niepożądanych, ogólnego stanu chorej oraz odpowiedzi. Przed każdym cyklem CHT należy wykonać ocenę morfologii krwi, a co 4–8 tygodni - badania biochemiczne (III, A).</w:t>
      </w:r>
    </w:p>
    <w:p w:rsidR="00192998" w:rsidRPr="00640E2B" w:rsidRDefault="00192998" w:rsidP="000E721D">
      <w:pPr>
        <w:numPr>
          <w:ilvl w:val="0"/>
          <w:numId w:val="19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640E2B">
        <w:rPr>
          <w:rFonts w:cs="Arial"/>
          <w:sz w:val="20"/>
          <w:szCs w:val="20"/>
          <w:lang w:val="pl-PL"/>
        </w:rPr>
        <w:t xml:space="preserve">Jeśli przy użyciu metod obrazowych nie można ocenić odpowiedzi lub jest ona niejednoznaczna, pomocne bywa </w:t>
      </w:r>
      <w:r w:rsidR="00341CBB" w:rsidRPr="00640E2B">
        <w:rPr>
          <w:rFonts w:cs="Arial"/>
          <w:sz w:val="20"/>
          <w:szCs w:val="20"/>
          <w:lang w:val="pl-PL"/>
        </w:rPr>
        <w:t>monitorowanie</w:t>
      </w:r>
      <w:r w:rsidRPr="00640E2B">
        <w:rPr>
          <w:rFonts w:cs="Arial"/>
          <w:sz w:val="20"/>
          <w:szCs w:val="20"/>
          <w:lang w:val="pl-PL"/>
        </w:rPr>
        <w:t xml:space="preserve"> stężenia surowiczych biomarkerów raka piersi (I</w:t>
      </w:r>
      <w:r w:rsidR="00D97F06" w:rsidRPr="00640E2B">
        <w:rPr>
          <w:rFonts w:cs="Arial"/>
          <w:sz w:val="20"/>
          <w:szCs w:val="20"/>
          <w:lang w:val="pl-PL"/>
        </w:rPr>
        <w:t>I</w:t>
      </w:r>
      <w:r w:rsidRPr="00640E2B">
        <w:rPr>
          <w:rFonts w:cs="Arial"/>
          <w:sz w:val="20"/>
          <w:szCs w:val="20"/>
          <w:lang w:val="pl-PL"/>
        </w:rPr>
        <w:t xml:space="preserve">, C). </w:t>
      </w:r>
    </w:p>
    <w:p w:rsidR="000D210E" w:rsidRPr="00640E2B" w:rsidRDefault="00A64591" w:rsidP="000E721D">
      <w:pPr>
        <w:numPr>
          <w:ilvl w:val="0"/>
          <w:numId w:val="19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640E2B">
        <w:rPr>
          <w:rFonts w:cs="Arial"/>
          <w:sz w:val="20"/>
          <w:szCs w:val="20"/>
          <w:lang w:val="pl-PL"/>
        </w:rPr>
        <w:t>W rutynowym postę</w:t>
      </w:r>
      <w:r w:rsidR="000D210E" w:rsidRPr="00640E2B">
        <w:rPr>
          <w:rFonts w:cs="Arial"/>
          <w:sz w:val="20"/>
          <w:szCs w:val="20"/>
          <w:lang w:val="pl-PL"/>
        </w:rPr>
        <w:t xml:space="preserve">powaniu nie zaleca się stosowania wielogenowych </w:t>
      </w:r>
      <w:r w:rsidRPr="00640E2B">
        <w:rPr>
          <w:rFonts w:cs="Arial"/>
          <w:sz w:val="20"/>
          <w:szCs w:val="20"/>
          <w:lang w:val="pl-PL"/>
        </w:rPr>
        <w:t>testów predykcyjnych (II, B</w:t>
      </w:r>
      <w:r w:rsidR="000D210E" w:rsidRPr="00640E2B">
        <w:rPr>
          <w:rFonts w:cs="Arial"/>
          <w:sz w:val="20"/>
          <w:szCs w:val="20"/>
          <w:lang w:val="pl-PL"/>
        </w:rPr>
        <w:t>).</w:t>
      </w:r>
    </w:p>
    <w:p w:rsidR="0008346F" w:rsidRPr="00F463B2" w:rsidRDefault="0008346F" w:rsidP="00640E2B">
      <w:pPr>
        <w:spacing w:after="120" w:line="240" w:lineRule="auto"/>
        <w:rPr>
          <w:lang w:val="pl-PL"/>
        </w:rPr>
      </w:pPr>
    </w:p>
    <w:p w:rsidR="006A3D31" w:rsidRPr="00F463B2" w:rsidRDefault="006A3D31" w:rsidP="006A3D31">
      <w:pPr>
        <w:pStyle w:val="Nagwek3"/>
        <w:spacing w:before="0" w:after="120" w:line="240" w:lineRule="auto"/>
        <w:rPr>
          <w:rFonts w:ascii="Arial" w:hAnsi="Arial" w:cs="Arial"/>
          <w:color w:val="2E74B5"/>
          <w:sz w:val="20"/>
          <w:szCs w:val="20"/>
          <w:lang w:val="pl-PL"/>
        </w:rPr>
      </w:pPr>
      <w:bookmarkStart w:id="35" w:name="_Toc516233174"/>
      <w:r w:rsidRPr="00F463B2">
        <w:rPr>
          <w:rFonts w:ascii="Arial" w:hAnsi="Arial" w:cs="Arial"/>
          <w:color w:val="2E74B5"/>
          <w:sz w:val="20"/>
          <w:szCs w:val="20"/>
          <w:lang w:val="pl-PL"/>
        </w:rPr>
        <w:t>Rak piersi ER i/lub PgR dodatni, HER2 ujemny</w:t>
      </w:r>
      <w:bookmarkEnd w:id="35"/>
      <w:r w:rsidRPr="00F463B2">
        <w:rPr>
          <w:rFonts w:ascii="Arial" w:hAnsi="Arial" w:cs="Arial"/>
          <w:color w:val="2E74B5"/>
          <w:sz w:val="20"/>
          <w:szCs w:val="20"/>
          <w:lang w:val="pl-PL"/>
        </w:rPr>
        <w:t xml:space="preserve"> </w:t>
      </w:r>
    </w:p>
    <w:p w:rsidR="00E0079D" w:rsidRPr="00C05B5B" w:rsidRDefault="00900D40" w:rsidP="000E721D">
      <w:pPr>
        <w:numPr>
          <w:ilvl w:val="0"/>
          <w:numId w:val="33"/>
        </w:numPr>
        <w:spacing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C05B5B">
        <w:rPr>
          <w:bCs/>
          <w:sz w:val="20"/>
          <w:szCs w:val="20"/>
          <w:lang w:val="pl-PL"/>
        </w:rPr>
        <w:t xml:space="preserve">U chorych przed menopauzą wskazane jest wykonanie chirurgicznej lub farmakologicznej </w:t>
      </w:r>
      <w:r w:rsidR="00FF46A4" w:rsidRPr="00C05B5B">
        <w:rPr>
          <w:bCs/>
          <w:sz w:val="20"/>
          <w:szCs w:val="20"/>
          <w:lang w:val="pl-PL"/>
        </w:rPr>
        <w:t xml:space="preserve">kastracji </w:t>
      </w:r>
      <w:r w:rsidRPr="00C05B5B">
        <w:rPr>
          <w:bCs/>
          <w:sz w:val="20"/>
          <w:szCs w:val="20"/>
          <w:lang w:val="pl-PL"/>
        </w:rPr>
        <w:t>(I,</w:t>
      </w:r>
      <w:r w:rsidR="00AC744F">
        <w:rPr>
          <w:bCs/>
          <w:sz w:val="20"/>
          <w:szCs w:val="20"/>
          <w:lang w:val="pl-PL"/>
        </w:rPr>
        <w:t> </w:t>
      </w:r>
      <w:r w:rsidRPr="00C05B5B">
        <w:rPr>
          <w:bCs/>
          <w:sz w:val="20"/>
          <w:szCs w:val="20"/>
          <w:lang w:val="pl-PL"/>
        </w:rPr>
        <w:t>B).</w:t>
      </w:r>
    </w:p>
    <w:p w:rsidR="00900D40" w:rsidRPr="00C05B5B" w:rsidRDefault="00900D40" w:rsidP="000E721D">
      <w:pPr>
        <w:numPr>
          <w:ilvl w:val="0"/>
          <w:numId w:val="33"/>
        </w:numPr>
        <w:spacing w:after="120" w:line="240" w:lineRule="auto"/>
        <w:ind w:left="714" w:hanging="357"/>
        <w:jc w:val="both"/>
        <w:rPr>
          <w:lang w:val="pl-PL"/>
        </w:rPr>
      </w:pPr>
      <w:r w:rsidRPr="00C05B5B">
        <w:rPr>
          <w:rFonts w:eastAsia="Franklin Gothic Medium" w:cs="Arial"/>
          <w:sz w:val="20"/>
          <w:szCs w:val="20"/>
          <w:lang w:val="pl-PL"/>
        </w:rPr>
        <w:t xml:space="preserve">W </w:t>
      </w:r>
      <w:r w:rsidR="008C25BE" w:rsidRPr="00C05B5B">
        <w:rPr>
          <w:rFonts w:eastAsia="Franklin Gothic Medium" w:cs="Arial"/>
          <w:sz w:val="20"/>
          <w:szCs w:val="20"/>
          <w:lang w:val="pl-PL"/>
        </w:rPr>
        <w:t>pierwszej</w:t>
      </w:r>
      <w:r w:rsidRPr="00C05B5B">
        <w:rPr>
          <w:rFonts w:eastAsia="Franklin Gothic Medium" w:cs="Arial"/>
          <w:sz w:val="20"/>
          <w:szCs w:val="20"/>
          <w:lang w:val="pl-PL"/>
        </w:rPr>
        <w:t xml:space="preserve"> li</w:t>
      </w:r>
      <w:r w:rsidR="003337DB" w:rsidRPr="00C05B5B">
        <w:rPr>
          <w:rFonts w:eastAsia="Franklin Gothic Medium" w:cs="Arial"/>
          <w:sz w:val="20"/>
          <w:szCs w:val="20"/>
          <w:lang w:val="pl-PL"/>
        </w:rPr>
        <w:t>nii leczenia zaawansowanego ER+/</w:t>
      </w:r>
      <w:r w:rsidRPr="00C05B5B">
        <w:rPr>
          <w:rFonts w:eastAsia="Franklin Gothic Medium" w:cs="Arial"/>
          <w:sz w:val="20"/>
          <w:szCs w:val="20"/>
          <w:lang w:val="pl-PL"/>
        </w:rPr>
        <w:t xml:space="preserve">HER2- raka piersi </w:t>
      </w:r>
      <w:r w:rsidR="00AC744F">
        <w:rPr>
          <w:rFonts w:eastAsia="Franklin Gothic Medium" w:cs="Arial"/>
          <w:sz w:val="20"/>
          <w:szCs w:val="20"/>
          <w:lang w:val="pl-PL"/>
        </w:rPr>
        <w:t>można zastosować tamoksyfen (I, </w:t>
      </w:r>
      <w:r w:rsidR="00BE6B8C">
        <w:rPr>
          <w:rFonts w:eastAsia="Franklin Gothic Medium" w:cs="Arial"/>
          <w:sz w:val="20"/>
          <w:szCs w:val="20"/>
          <w:lang w:val="pl-PL"/>
        </w:rPr>
        <w:t>B</w:t>
      </w:r>
      <w:r w:rsidRPr="00C05B5B">
        <w:rPr>
          <w:rFonts w:eastAsia="Franklin Gothic Medium" w:cs="Arial"/>
          <w:sz w:val="20"/>
          <w:szCs w:val="20"/>
          <w:lang w:val="pl-PL"/>
        </w:rPr>
        <w:t>)</w:t>
      </w:r>
      <w:r w:rsidR="00202D92">
        <w:rPr>
          <w:rFonts w:eastAsia="Franklin Gothic Medium" w:cs="Arial"/>
          <w:sz w:val="20"/>
          <w:szCs w:val="20"/>
          <w:lang w:val="pl-PL"/>
        </w:rPr>
        <w:t xml:space="preserve">, </w:t>
      </w:r>
      <w:r w:rsidRPr="00C05B5B">
        <w:rPr>
          <w:rFonts w:eastAsia="Franklin Gothic Medium" w:cs="Arial"/>
          <w:sz w:val="20"/>
          <w:szCs w:val="20"/>
          <w:lang w:val="pl-PL"/>
        </w:rPr>
        <w:t>fulwestrant w wysokiej dawce (I, B)</w:t>
      </w:r>
      <w:r w:rsidR="00202D92">
        <w:rPr>
          <w:rFonts w:eastAsia="Franklin Gothic Medium" w:cs="Arial"/>
          <w:sz w:val="20"/>
          <w:szCs w:val="20"/>
          <w:lang w:val="pl-PL"/>
        </w:rPr>
        <w:t xml:space="preserve"> lub</w:t>
      </w:r>
      <w:r w:rsidRPr="00C05B5B">
        <w:rPr>
          <w:rFonts w:eastAsia="Franklin Gothic Medium" w:cs="Arial"/>
          <w:sz w:val="20"/>
          <w:szCs w:val="20"/>
          <w:lang w:val="pl-PL"/>
        </w:rPr>
        <w:t xml:space="preserve"> IA </w:t>
      </w:r>
      <w:r w:rsidR="008C25BE" w:rsidRPr="00C05B5B">
        <w:rPr>
          <w:rFonts w:eastAsia="Franklin Gothic Medium" w:cs="Arial"/>
          <w:sz w:val="20"/>
          <w:szCs w:val="20"/>
          <w:lang w:val="pl-PL"/>
        </w:rPr>
        <w:t>(I, B)</w:t>
      </w:r>
      <w:r w:rsidR="00202D92">
        <w:rPr>
          <w:rFonts w:eastAsia="Franklin Gothic Medium" w:cs="Arial"/>
          <w:sz w:val="20"/>
          <w:szCs w:val="20"/>
          <w:lang w:val="pl-PL"/>
        </w:rPr>
        <w:t>.</w:t>
      </w:r>
    </w:p>
    <w:p w:rsidR="00900D40" w:rsidRPr="00C05B5B" w:rsidRDefault="00900D40" w:rsidP="000E721D">
      <w:pPr>
        <w:numPr>
          <w:ilvl w:val="0"/>
          <w:numId w:val="33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C05B5B">
        <w:rPr>
          <w:rFonts w:eastAsia="Franklin Gothic Medium" w:cs="Arial"/>
          <w:sz w:val="20"/>
          <w:szCs w:val="20"/>
          <w:lang w:val="pl-PL"/>
        </w:rPr>
        <w:t>U chorych z progresją w trakcie</w:t>
      </w:r>
      <w:r w:rsidR="006D169A" w:rsidRPr="00C05B5B">
        <w:rPr>
          <w:rFonts w:eastAsia="Franklin Gothic Medium" w:cs="Arial"/>
          <w:sz w:val="20"/>
          <w:szCs w:val="20"/>
          <w:lang w:val="pl-PL"/>
        </w:rPr>
        <w:t xml:space="preserve"> leczenia</w:t>
      </w:r>
      <w:r w:rsidRPr="00C05B5B">
        <w:rPr>
          <w:rFonts w:eastAsia="Franklin Gothic Medium" w:cs="Arial"/>
          <w:sz w:val="20"/>
          <w:szCs w:val="20"/>
          <w:lang w:val="pl-PL"/>
        </w:rPr>
        <w:t xml:space="preserve"> tamoksyfenem lub w okresie krótszym niż 12 miesięcy od je</w:t>
      </w:r>
      <w:r w:rsidR="006D169A" w:rsidRPr="00C05B5B">
        <w:rPr>
          <w:rFonts w:eastAsia="Franklin Gothic Medium" w:cs="Arial"/>
          <w:sz w:val="20"/>
          <w:szCs w:val="20"/>
          <w:lang w:val="pl-PL"/>
        </w:rPr>
        <w:t>go</w:t>
      </w:r>
      <w:r w:rsidRPr="00C05B5B">
        <w:rPr>
          <w:rFonts w:eastAsia="Franklin Gothic Medium" w:cs="Arial"/>
          <w:sz w:val="20"/>
          <w:szCs w:val="20"/>
          <w:lang w:val="pl-PL"/>
        </w:rPr>
        <w:t xml:space="preserve"> zakończenia</w:t>
      </w:r>
      <w:r w:rsidR="00C71D7C" w:rsidRPr="00C05B5B">
        <w:rPr>
          <w:rFonts w:eastAsia="Franklin Gothic Medium" w:cs="Arial"/>
          <w:sz w:val="20"/>
          <w:szCs w:val="20"/>
          <w:lang w:val="pl-PL"/>
        </w:rPr>
        <w:t xml:space="preserve"> w leczeniu </w:t>
      </w:r>
      <w:r w:rsidR="006D169A" w:rsidRPr="00C05B5B">
        <w:rPr>
          <w:rFonts w:eastAsia="Franklin Gothic Medium" w:cs="Arial"/>
          <w:sz w:val="20"/>
          <w:szCs w:val="20"/>
          <w:lang w:val="pl-PL"/>
        </w:rPr>
        <w:t xml:space="preserve">uzupełniającym, w drugiej linii </w:t>
      </w:r>
      <w:r w:rsidRPr="00C05B5B">
        <w:rPr>
          <w:rFonts w:eastAsia="Franklin Gothic Medium" w:cs="Arial"/>
          <w:sz w:val="20"/>
          <w:szCs w:val="20"/>
          <w:lang w:val="pl-PL"/>
        </w:rPr>
        <w:t>można zastosować fulwestrant</w:t>
      </w:r>
      <w:r w:rsidR="00BE6B8C">
        <w:rPr>
          <w:rFonts w:eastAsia="Franklin Gothic Medium" w:cs="Arial"/>
          <w:sz w:val="20"/>
          <w:szCs w:val="20"/>
          <w:lang w:val="pl-PL"/>
        </w:rPr>
        <w:t xml:space="preserve"> w wysokiej dawce (</w:t>
      </w:r>
      <w:r w:rsidR="00AC744F">
        <w:rPr>
          <w:rFonts w:eastAsia="Franklin Gothic Medium" w:cs="Arial"/>
          <w:sz w:val="20"/>
          <w:szCs w:val="20"/>
          <w:lang w:val="pl-PL"/>
        </w:rPr>
        <w:t>I, </w:t>
      </w:r>
      <w:r w:rsidRPr="00C05B5B">
        <w:rPr>
          <w:rFonts w:eastAsia="Franklin Gothic Medium" w:cs="Arial"/>
          <w:sz w:val="20"/>
          <w:szCs w:val="20"/>
          <w:lang w:val="pl-PL"/>
        </w:rPr>
        <w:t>B)</w:t>
      </w:r>
      <w:r w:rsidR="00202D92">
        <w:rPr>
          <w:rFonts w:eastAsia="Franklin Gothic Medium" w:cs="Arial"/>
          <w:sz w:val="20"/>
          <w:szCs w:val="20"/>
          <w:lang w:val="pl-PL"/>
        </w:rPr>
        <w:t xml:space="preserve"> lub</w:t>
      </w:r>
      <w:r w:rsidRPr="00C05B5B">
        <w:rPr>
          <w:rFonts w:eastAsia="Franklin Gothic Medium" w:cs="Arial"/>
          <w:sz w:val="20"/>
          <w:szCs w:val="20"/>
          <w:lang w:val="pl-PL"/>
        </w:rPr>
        <w:t xml:space="preserve"> IA </w:t>
      </w:r>
      <w:r w:rsidR="006D169A" w:rsidRPr="00C05B5B">
        <w:rPr>
          <w:rFonts w:eastAsia="Franklin Gothic Medium" w:cs="Arial"/>
          <w:sz w:val="20"/>
          <w:szCs w:val="20"/>
          <w:lang w:val="pl-PL"/>
        </w:rPr>
        <w:t>(II, B)</w:t>
      </w:r>
      <w:r w:rsidRPr="00C05B5B">
        <w:rPr>
          <w:rFonts w:cs="Arial"/>
          <w:sz w:val="20"/>
          <w:szCs w:val="20"/>
          <w:lang w:val="pl-PL"/>
        </w:rPr>
        <w:t>.</w:t>
      </w:r>
    </w:p>
    <w:p w:rsidR="00900D40" w:rsidRPr="00C05B5B" w:rsidRDefault="00900D40" w:rsidP="000E721D">
      <w:pPr>
        <w:numPr>
          <w:ilvl w:val="0"/>
          <w:numId w:val="33"/>
        </w:numPr>
        <w:spacing w:after="120" w:line="240" w:lineRule="auto"/>
        <w:ind w:left="714" w:hanging="357"/>
        <w:jc w:val="both"/>
        <w:rPr>
          <w:lang w:val="pl-PL"/>
        </w:rPr>
      </w:pPr>
      <w:r w:rsidRPr="00C05B5B">
        <w:rPr>
          <w:rFonts w:eastAsia="Franklin Gothic Medium" w:cs="Arial"/>
          <w:sz w:val="20"/>
          <w:szCs w:val="20"/>
          <w:lang w:val="pl-PL"/>
        </w:rPr>
        <w:t xml:space="preserve">U chorych z progresją w trakcie </w:t>
      </w:r>
      <w:r w:rsidR="006D169A" w:rsidRPr="00C05B5B">
        <w:rPr>
          <w:rFonts w:eastAsia="Franklin Gothic Medium" w:cs="Arial"/>
          <w:sz w:val="20"/>
          <w:szCs w:val="20"/>
          <w:lang w:val="pl-PL"/>
        </w:rPr>
        <w:t>leczenia</w:t>
      </w:r>
      <w:r w:rsidRPr="00C05B5B">
        <w:rPr>
          <w:rFonts w:eastAsia="Franklin Gothic Medium" w:cs="Arial"/>
          <w:sz w:val="20"/>
          <w:szCs w:val="20"/>
          <w:lang w:val="pl-PL"/>
        </w:rPr>
        <w:t xml:space="preserve"> </w:t>
      </w:r>
      <w:r w:rsidR="00081993" w:rsidRPr="00C05B5B">
        <w:rPr>
          <w:rFonts w:eastAsia="Franklin Gothic Medium" w:cs="Arial"/>
          <w:sz w:val="20"/>
          <w:szCs w:val="20"/>
          <w:lang w:val="pl-PL"/>
        </w:rPr>
        <w:t>IA</w:t>
      </w:r>
      <w:r w:rsidRPr="00C05B5B">
        <w:rPr>
          <w:rFonts w:eastAsia="Franklin Gothic Medium" w:cs="Arial"/>
          <w:sz w:val="20"/>
          <w:szCs w:val="20"/>
          <w:lang w:val="pl-PL"/>
        </w:rPr>
        <w:t xml:space="preserve"> lub w okresie krótszym niż 12 miesięcy od je</w:t>
      </w:r>
      <w:r w:rsidR="006D169A" w:rsidRPr="00C05B5B">
        <w:rPr>
          <w:rFonts w:eastAsia="Franklin Gothic Medium" w:cs="Arial"/>
          <w:sz w:val="20"/>
          <w:szCs w:val="20"/>
          <w:lang w:val="pl-PL"/>
        </w:rPr>
        <w:t>go</w:t>
      </w:r>
      <w:r w:rsidRPr="00C05B5B">
        <w:rPr>
          <w:rFonts w:eastAsia="Franklin Gothic Medium" w:cs="Arial"/>
          <w:sz w:val="20"/>
          <w:szCs w:val="20"/>
          <w:lang w:val="pl-PL"/>
        </w:rPr>
        <w:t xml:space="preserve"> zakończenia</w:t>
      </w:r>
      <w:r w:rsidR="009137CF">
        <w:rPr>
          <w:rFonts w:eastAsia="Franklin Gothic Medium" w:cs="Arial"/>
          <w:sz w:val="20"/>
          <w:szCs w:val="20"/>
          <w:lang w:val="pl-PL"/>
        </w:rPr>
        <w:t xml:space="preserve"> w </w:t>
      </w:r>
      <w:r w:rsidR="0087669F" w:rsidRPr="00C05B5B">
        <w:rPr>
          <w:rFonts w:eastAsia="Franklin Gothic Medium" w:cs="Arial"/>
          <w:sz w:val="20"/>
          <w:szCs w:val="20"/>
          <w:lang w:val="pl-PL"/>
        </w:rPr>
        <w:t>leczeniu uzupełniającym</w:t>
      </w:r>
      <w:r w:rsidRPr="00C05B5B">
        <w:rPr>
          <w:rFonts w:eastAsia="Franklin Gothic Medium" w:cs="Arial"/>
          <w:sz w:val="20"/>
          <w:szCs w:val="20"/>
          <w:lang w:val="pl-PL"/>
        </w:rPr>
        <w:t>, można zast</w:t>
      </w:r>
      <w:r w:rsidR="00BE6B8C">
        <w:rPr>
          <w:rFonts w:eastAsia="Franklin Gothic Medium" w:cs="Arial"/>
          <w:sz w:val="20"/>
          <w:szCs w:val="20"/>
          <w:lang w:val="pl-PL"/>
        </w:rPr>
        <w:t>osować tamoksyfen (III</w:t>
      </w:r>
      <w:r w:rsidRPr="00C05B5B">
        <w:rPr>
          <w:rFonts w:eastAsia="Franklin Gothic Medium" w:cs="Arial"/>
          <w:sz w:val="20"/>
          <w:szCs w:val="20"/>
          <w:lang w:val="pl-PL"/>
        </w:rPr>
        <w:t>, C)</w:t>
      </w:r>
      <w:r w:rsidR="00202D92">
        <w:rPr>
          <w:rFonts w:eastAsia="Franklin Gothic Medium" w:cs="Arial"/>
          <w:sz w:val="20"/>
          <w:szCs w:val="20"/>
          <w:lang w:val="pl-PL"/>
        </w:rPr>
        <w:t xml:space="preserve"> lub</w:t>
      </w:r>
      <w:r w:rsidR="00BE6B8C">
        <w:rPr>
          <w:rFonts w:eastAsia="Franklin Gothic Medium" w:cs="Arial"/>
          <w:sz w:val="20"/>
          <w:szCs w:val="20"/>
          <w:lang w:val="pl-PL"/>
        </w:rPr>
        <w:t xml:space="preserve"> fulwestrant w wysokiej dawce (</w:t>
      </w:r>
      <w:r w:rsidR="00AC744F">
        <w:rPr>
          <w:rFonts w:eastAsia="Franklin Gothic Medium" w:cs="Arial"/>
          <w:sz w:val="20"/>
          <w:szCs w:val="20"/>
          <w:lang w:val="pl-PL"/>
        </w:rPr>
        <w:t>I, </w:t>
      </w:r>
      <w:r w:rsidRPr="00C05B5B">
        <w:rPr>
          <w:rFonts w:eastAsia="Franklin Gothic Medium" w:cs="Arial"/>
          <w:sz w:val="20"/>
          <w:szCs w:val="20"/>
          <w:lang w:val="pl-PL"/>
        </w:rPr>
        <w:t>B), skojarzenie fulwestrantu w wysokiej dawce</w:t>
      </w:r>
      <w:r w:rsidR="00202D92">
        <w:rPr>
          <w:rFonts w:eastAsia="Franklin Gothic Medium" w:cs="Arial"/>
          <w:sz w:val="20"/>
          <w:szCs w:val="20"/>
          <w:lang w:val="pl-PL"/>
        </w:rPr>
        <w:t>.</w:t>
      </w:r>
    </w:p>
    <w:p w:rsidR="004A08B7" w:rsidRDefault="004A08B7" w:rsidP="000E721D">
      <w:pPr>
        <w:numPr>
          <w:ilvl w:val="0"/>
          <w:numId w:val="33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C05B5B">
        <w:rPr>
          <w:rFonts w:cs="Arial"/>
          <w:sz w:val="20"/>
          <w:szCs w:val="20"/>
          <w:lang w:val="pl-PL"/>
        </w:rPr>
        <w:t>W kolejnych liniach leczenia, w zależności od uprzednio zastosowanej terapii, stosuj</w:t>
      </w:r>
      <w:r w:rsidR="009137CF">
        <w:rPr>
          <w:rFonts w:cs="Arial"/>
          <w:sz w:val="20"/>
          <w:szCs w:val="20"/>
          <w:lang w:val="pl-PL"/>
        </w:rPr>
        <w:t>e się niesteroidowe lub </w:t>
      </w:r>
      <w:r w:rsidRPr="00C05B5B">
        <w:rPr>
          <w:rFonts w:cs="Arial"/>
          <w:sz w:val="20"/>
          <w:szCs w:val="20"/>
          <w:lang w:val="pl-PL"/>
        </w:rPr>
        <w:t xml:space="preserve">steroidowe IA, tamoksyfen lub fulwestrant </w:t>
      </w:r>
      <w:r w:rsidRPr="00C05B5B">
        <w:rPr>
          <w:rFonts w:eastAsia="Franklin Gothic Medium" w:cs="Arial"/>
          <w:sz w:val="20"/>
          <w:szCs w:val="20"/>
          <w:lang w:val="pl-PL"/>
        </w:rPr>
        <w:t>(II, B). W wybranych przypadkach można zastosować</w:t>
      </w:r>
      <w:r w:rsidRPr="00C05B5B">
        <w:rPr>
          <w:rFonts w:cs="Arial"/>
          <w:sz w:val="20"/>
          <w:szCs w:val="20"/>
          <w:lang w:val="pl-PL"/>
        </w:rPr>
        <w:t xml:space="preserve"> octan megestrolu, octan medroksyprogesteronu lub estrogeny (III, C). </w:t>
      </w:r>
    </w:p>
    <w:p w:rsidR="00BA7887" w:rsidRPr="00C05B5B" w:rsidRDefault="00BA7887" w:rsidP="00BA7887">
      <w:pPr>
        <w:spacing w:after="0" w:line="240" w:lineRule="auto"/>
        <w:ind w:left="714"/>
        <w:rPr>
          <w:rFonts w:cs="Arial"/>
          <w:sz w:val="20"/>
          <w:szCs w:val="20"/>
          <w:lang w:val="pl-PL"/>
        </w:rPr>
      </w:pPr>
    </w:p>
    <w:p w:rsidR="006A3D31" w:rsidRPr="00BA7887" w:rsidRDefault="006A3D31" w:rsidP="006A3D31">
      <w:pPr>
        <w:pStyle w:val="Nagwek3"/>
        <w:spacing w:before="0" w:after="120" w:line="240" w:lineRule="auto"/>
        <w:rPr>
          <w:rFonts w:ascii="Arial" w:hAnsi="Arial" w:cs="Arial"/>
          <w:color w:val="2E74B5"/>
          <w:sz w:val="20"/>
          <w:szCs w:val="20"/>
          <w:lang w:val="pl-PL"/>
        </w:rPr>
      </w:pPr>
      <w:bookmarkStart w:id="36" w:name="_Toc516233176"/>
      <w:r w:rsidRPr="00BA7887">
        <w:rPr>
          <w:rFonts w:ascii="Arial" w:hAnsi="Arial" w:cs="Arial"/>
          <w:color w:val="2E74B5"/>
          <w:sz w:val="20"/>
          <w:szCs w:val="20"/>
          <w:lang w:val="pl-PL"/>
        </w:rPr>
        <w:t>Rak piersi HER2</w:t>
      </w:r>
      <w:r w:rsidR="006D483C" w:rsidRPr="00BA7887">
        <w:rPr>
          <w:rFonts w:ascii="Arial" w:hAnsi="Arial" w:cs="Arial"/>
          <w:color w:val="2E74B5"/>
          <w:sz w:val="20"/>
          <w:szCs w:val="20"/>
          <w:lang w:val="pl-PL"/>
        </w:rPr>
        <w:t>-</w:t>
      </w:r>
      <w:r w:rsidRPr="00BA7887">
        <w:rPr>
          <w:rFonts w:ascii="Arial" w:hAnsi="Arial" w:cs="Arial"/>
          <w:color w:val="2E74B5"/>
          <w:sz w:val="20"/>
          <w:szCs w:val="20"/>
          <w:lang w:val="pl-PL"/>
        </w:rPr>
        <w:t>dodatni</w:t>
      </w:r>
      <w:bookmarkEnd w:id="36"/>
    </w:p>
    <w:p w:rsidR="006E445D" w:rsidRPr="00FF46A4" w:rsidRDefault="00F2425C" w:rsidP="000E721D">
      <w:pPr>
        <w:numPr>
          <w:ilvl w:val="0"/>
          <w:numId w:val="20"/>
        </w:numPr>
        <w:spacing w:before="240"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FF46A4">
        <w:rPr>
          <w:bCs/>
          <w:sz w:val="20"/>
          <w:szCs w:val="20"/>
          <w:lang w:val="pl-PL"/>
        </w:rPr>
        <w:t xml:space="preserve">Leczenie anty-HER2 należy rozpocząć w momencie </w:t>
      </w:r>
      <w:r w:rsidR="00DA7BB6">
        <w:rPr>
          <w:bCs/>
          <w:sz w:val="20"/>
          <w:szCs w:val="20"/>
          <w:lang w:val="pl-PL"/>
        </w:rPr>
        <w:t xml:space="preserve">rozpoznania </w:t>
      </w:r>
      <w:r w:rsidRPr="00FF46A4">
        <w:rPr>
          <w:bCs/>
          <w:sz w:val="20"/>
          <w:szCs w:val="20"/>
          <w:lang w:val="pl-PL"/>
        </w:rPr>
        <w:t>uogólnienia raka piersi (I, A)</w:t>
      </w:r>
      <w:r w:rsidR="000C49C7" w:rsidRPr="00FF46A4">
        <w:rPr>
          <w:bCs/>
          <w:sz w:val="20"/>
          <w:szCs w:val="20"/>
          <w:lang w:val="pl-PL"/>
        </w:rPr>
        <w:t>.</w:t>
      </w:r>
    </w:p>
    <w:p w:rsidR="00F2425C" w:rsidRPr="00F463B2" w:rsidRDefault="00F2425C" w:rsidP="000E721D">
      <w:pPr>
        <w:numPr>
          <w:ilvl w:val="0"/>
          <w:numId w:val="20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F463B2">
        <w:rPr>
          <w:rFonts w:cs="Arial"/>
          <w:sz w:val="20"/>
          <w:szCs w:val="20"/>
          <w:lang w:val="pl-PL"/>
        </w:rPr>
        <w:t>W pierwszej linii leczenia najbardziej skuteczne jest skojarzenie docetakselu, trastuzumabu i pertuzumabu (I, A)</w:t>
      </w:r>
      <w:r w:rsidR="000C49C7">
        <w:rPr>
          <w:rFonts w:cs="Arial"/>
          <w:sz w:val="20"/>
          <w:szCs w:val="20"/>
          <w:lang w:val="pl-PL"/>
        </w:rPr>
        <w:t>.</w:t>
      </w:r>
    </w:p>
    <w:p w:rsidR="00AF59F9" w:rsidRPr="00F463B2" w:rsidRDefault="00AF59F9" w:rsidP="000E721D">
      <w:pPr>
        <w:numPr>
          <w:ilvl w:val="0"/>
          <w:numId w:val="20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F463B2">
        <w:rPr>
          <w:rFonts w:cs="Arial"/>
          <w:sz w:val="20"/>
          <w:szCs w:val="20"/>
          <w:lang w:val="pl-PL"/>
        </w:rPr>
        <w:t xml:space="preserve">W </w:t>
      </w:r>
      <w:r w:rsidR="00650BC0">
        <w:rPr>
          <w:rFonts w:cs="Arial"/>
          <w:sz w:val="20"/>
          <w:szCs w:val="20"/>
          <w:lang w:val="pl-PL"/>
        </w:rPr>
        <w:t>drugiej</w:t>
      </w:r>
      <w:r w:rsidR="00650BC0" w:rsidRPr="00F463B2">
        <w:rPr>
          <w:rFonts w:cs="Arial"/>
          <w:sz w:val="20"/>
          <w:szCs w:val="20"/>
          <w:lang w:val="pl-PL"/>
        </w:rPr>
        <w:t xml:space="preserve"> </w:t>
      </w:r>
      <w:r w:rsidRPr="00F463B2">
        <w:rPr>
          <w:rFonts w:cs="Arial"/>
          <w:sz w:val="20"/>
          <w:szCs w:val="20"/>
          <w:lang w:val="pl-PL"/>
        </w:rPr>
        <w:t>lini</w:t>
      </w:r>
      <w:r w:rsidR="00650BC0">
        <w:rPr>
          <w:rFonts w:cs="Arial"/>
          <w:sz w:val="20"/>
          <w:szCs w:val="20"/>
          <w:lang w:val="pl-PL"/>
        </w:rPr>
        <w:t>i</w:t>
      </w:r>
      <w:r w:rsidRPr="00F463B2">
        <w:rPr>
          <w:rFonts w:cs="Arial"/>
          <w:sz w:val="20"/>
          <w:szCs w:val="20"/>
          <w:lang w:val="pl-PL"/>
        </w:rPr>
        <w:t xml:space="preserve"> leczenia zaleca się stosowanie skojarzenia </w:t>
      </w:r>
      <w:r w:rsidR="00A04369" w:rsidRPr="00F463B2">
        <w:rPr>
          <w:rFonts w:cs="Arial"/>
          <w:sz w:val="20"/>
          <w:szCs w:val="20"/>
          <w:lang w:val="pl-PL"/>
        </w:rPr>
        <w:t>lapatynibu</w:t>
      </w:r>
      <w:r w:rsidRPr="00F463B2">
        <w:rPr>
          <w:rFonts w:cs="Arial"/>
          <w:sz w:val="20"/>
          <w:szCs w:val="20"/>
          <w:lang w:val="pl-PL"/>
        </w:rPr>
        <w:t xml:space="preserve"> z kapecytabiną (I, </w:t>
      </w:r>
      <w:r w:rsidR="000C49C7">
        <w:rPr>
          <w:rFonts w:cs="Arial"/>
          <w:sz w:val="20"/>
          <w:szCs w:val="20"/>
          <w:lang w:val="pl-PL"/>
        </w:rPr>
        <w:t>A</w:t>
      </w:r>
      <w:r w:rsidRPr="00F463B2">
        <w:rPr>
          <w:rFonts w:cs="Arial"/>
          <w:sz w:val="20"/>
          <w:szCs w:val="20"/>
          <w:lang w:val="pl-PL"/>
        </w:rPr>
        <w:t xml:space="preserve">) lub trastuzumabem (I, </w:t>
      </w:r>
      <w:r w:rsidR="000C49C7">
        <w:rPr>
          <w:rFonts w:cs="Arial"/>
          <w:sz w:val="20"/>
          <w:szCs w:val="20"/>
          <w:lang w:val="pl-PL"/>
        </w:rPr>
        <w:t>A</w:t>
      </w:r>
      <w:r w:rsidRPr="00F463B2">
        <w:rPr>
          <w:rFonts w:cs="Arial"/>
          <w:sz w:val="20"/>
          <w:szCs w:val="20"/>
          <w:lang w:val="pl-PL"/>
        </w:rPr>
        <w:t>).</w:t>
      </w:r>
    </w:p>
    <w:p w:rsidR="009A67C2" w:rsidRPr="00F463B2" w:rsidRDefault="009A67C2" w:rsidP="000E721D">
      <w:pPr>
        <w:numPr>
          <w:ilvl w:val="0"/>
          <w:numId w:val="20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9A67C2">
        <w:rPr>
          <w:rFonts w:cs="Arial"/>
          <w:sz w:val="20"/>
          <w:szCs w:val="20"/>
          <w:lang w:val="pl-PL"/>
        </w:rPr>
        <w:t>Z uwagi na ryzyko powikłań sercowo-naczyniowych nie należy kojarzyć trastuzumabu z antracyklinami (</w:t>
      </w:r>
      <w:r w:rsidR="002D137D">
        <w:rPr>
          <w:rFonts w:cs="Arial"/>
          <w:sz w:val="20"/>
          <w:szCs w:val="20"/>
          <w:lang w:val="pl-PL"/>
        </w:rPr>
        <w:t>II, B</w:t>
      </w:r>
      <w:r w:rsidRPr="009A67C2">
        <w:rPr>
          <w:rFonts w:cs="Arial"/>
          <w:sz w:val="20"/>
          <w:szCs w:val="20"/>
          <w:lang w:val="pl-PL"/>
        </w:rPr>
        <w:t>)</w:t>
      </w:r>
      <w:r>
        <w:rPr>
          <w:rFonts w:cs="Arial"/>
          <w:sz w:val="20"/>
          <w:szCs w:val="20"/>
          <w:lang w:val="pl-PL"/>
        </w:rPr>
        <w:t>.</w:t>
      </w:r>
    </w:p>
    <w:p w:rsidR="00DA7BB6" w:rsidRPr="00AC744F" w:rsidRDefault="000320E3" w:rsidP="000E721D">
      <w:pPr>
        <w:numPr>
          <w:ilvl w:val="0"/>
          <w:numId w:val="20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F463B2">
        <w:rPr>
          <w:rFonts w:cs="Arial"/>
          <w:sz w:val="20"/>
          <w:szCs w:val="20"/>
          <w:lang w:val="pl-PL"/>
        </w:rPr>
        <w:t>W trakcie leczenia trastuzumabem należy monitorować czynność serca</w:t>
      </w:r>
      <w:r w:rsidR="00C22386" w:rsidRPr="00F463B2">
        <w:rPr>
          <w:rFonts w:cs="Arial"/>
          <w:sz w:val="20"/>
          <w:szCs w:val="20"/>
          <w:lang w:val="pl-PL"/>
        </w:rPr>
        <w:t xml:space="preserve"> (I</w:t>
      </w:r>
      <w:r w:rsidR="002D137D">
        <w:rPr>
          <w:rFonts w:cs="Arial"/>
          <w:sz w:val="20"/>
          <w:szCs w:val="20"/>
          <w:lang w:val="pl-PL"/>
        </w:rPr>
        <w:t>II</w:t>
      </w:r>
      <w:r w:rsidR="00C22386" w:rsidRPr="00F463B2">
        <w:rPr>
          <w:rFonts w:cs="Arial"/>
          <w:sz w:val="20"/>
          <w:szCs w:val="20"/>
          <w:lang w:val="pl-PL"/>
        </w:rPr>
        <w:t>, A)</w:t>
      </w:r>
      <w:r w:rsidRPr="00F463B2">
        <w:rPr>
          <w:rFonts w:cs="Arial"/>
          <w:sz w:val="20"/>
          <w:szCs w:val="20"/>
          <w:lang w:val="pl-PL"/>
        </w:rPr>
        <w:t>.</w:t>
      </w:r>
    </w:p>
    <w:p w:rsidR="006E445D" w:rsidRPr="00F463B2" w:rsidRDefault="006E445D" w:rsidP="006A3D31">
      <w:pPr>
        <w:pStyle w:val="Nagwek3"/>
        <w:spacing w:before="0" w:after="120" w:line="240" w:lineRule="auto"/>
        <w:rPr>
          <w:rFonts w:ascii="Arial" w:hAnsi="Arial" w:cs="Arial"/>
          <w:color w:val="2E74B5"/>
          <w:sz w:val="20"/>
          <w:szCs w:val="20"/>
          <w:lang w:val="pl-PL"/>
        </w:rPr>
      </w:pPr>
    </w:p>
    <w:p w:rsidR="00F16F39" w:rsidRPr="00BA7887" w:rsidRDefault="006A3D31" w:rsidP="00AC744F">
      <w:pPr>
        <w:pStyle w:val="Nagwek3"/>
        <w:spacing w:before="0" w:after="120" w:line="240" w:lineRule="auto"/>
        <w:rPr>
          <w:rFonts w:ascii="Arial" w:hAnsi="Arial" w:cs="Arial"/>
          <w:color w:val="2E74B5"/>
          <w:sz w:val="20"/>
          <w:szCs w:val="20"/>
          <w:lang w:val="pl-PL"/>
        </w:rPr>
      </w:pPr>
      <w:bookmarkStart w:id="37" w:name="_Toc516233178"/>
      <w:r w:rsidRPr="00F463B2">
        <w:rPr>
          <w:rFonts w:ascii="Arial" w:hAnsi="Arial" w:cs="Arial"/>
          <w:color w:val="2E74B5"/>
          <w:sz w:val="20"/>
          <w:szCs w:val="20"/>
          <w:lang w:val="pl-PL"/>
        </w:rPr>
        <w:t>Rak piersi ER/PgR ujemny lub ER/PgR dodatni i oporny na hormonoterapię, HER2</w:t>
      </w:r>
      <w:r w:rsidR="00473FD1">
        <w:rPr>
          <w:rFonts w:ascii="Arial" w:hAnsi="Arial" w:cs="Arial"/>
          <w:color w:val="2E74B5"/>
          <w:sz w:val="20"/>
          <w:szCs w:val="20"/>
          <w:lang w:val="pl-PL"/>
        </w:rPr>
        <w:t>-</w:t>
      </w:r>
      <w:r w:rsidRPr="00F463B2">
        <w:rPr>
          <w:rFonts w:ascii="Arial" w:hAnsi="Arial" w:cs="Arial"/>
          <w:color w:val="2E74B5"/>
          <w:sz w:val="20"/>
          <w:szCs w:val="20"/>
          <w:lang w:val="pl-PL"/>
        </w:rPr>
        <w:t>ujemny</w:t>
      </w:r>
      <w:bookmarkEnd w:id="37"/>
    </w:p>
    <w:p w:rsidR="00F16F39" w:rsidRPr="00640E2B" w:rsidRDefault="00F16F39" w:rsidP="000E721D">
      <w:pPr>
        <w:numPr>
          <w:ilvl w:val="0"/>
          <w:numId w:val="21"/>
        </w:numPr>
        <w:spacing w:before="240"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9D6B8A">
        <w:rPr>
          <w:bCs/>
          <w:sz w:val="20"/>
          <w:szCs w:val="20"/>
          <w:lang w:val="pl-PL"/>
        </w:rPr>
        <w:t xml:space="preserve">U większości chorych </w:t>
      </w:r>
      <w:r w:rsidR="0007076A" w:rsidRPr="00640E2B">
        <w:rPr>
          <w:bCs/>
          <w:sz w:val="20"/>
          <w:szCs w:val="20"/>
          <w:lang w:val="pl-PL"/>
        </w:rPr>
        <w:t>otrzymujących</w:t>
      </w:r>
      <w:r w:rsidR="00CB715C" w:rsidRPr="00640E2B">
        <w:rPr>
          <w:bCs/>
          <w:sz w:val="20"/>
          <w:szCs w:val="20"/>
          <w:lang w:val="pl-PL"/>
        </w:rPr>
        <w:t xml:space="preserve"> </w:t>
      </w:r>
      <w:r w:rsidR="006D07C1" w:rsidRPr="00640E2B">
        <w:rPr>
          <w:bCs/>
          <w:sz w:val="20"/>
          <w:szCs w:val="20"/>
          <w:lang w:val="pl-PL"/>
        </w:rPr>
        <w:t>CHT</w:t>
      </w:r>
      <w:r w:rsidR="00CB715C" w:rsidRPr="00640E2B">
        <w:rPr>
          <w:bCs/>
          <w:sz w:val="20"/>
          <w:szCs w:val="20"/>
          <w:lang w:val="pl-PL"/>
        </w:rPr>
        <w:t xml:space="preserve"> </w:t>
      </w:r>
      <w:r w:rsidRPr="00640E2B">
        <w:rPr>
          <w:bCs/>
          <w:sz w:val="20"/>
          <w:szCs w:val="20"/>
          <w:lang w:val="pl-PL"/>
        </w:rPr>
        <w:t>preferowane jest sekwencyjne stosowanie pojedynczych leków</w:t>
      </w:r>
      <w:r w:rsidR="00AC744F">
        <w:rPr>
          <w:bCs/>
          <w:sz w:val="20"/>
          <w:szCs w:val="20"/>
          <w:lang w:val="pl-PL"/>
        </w:rPr>
        <w:t xml:space="preserve"> (I, </w:t>
      </w:r>
      <w:r w:rsidR="002A5A31" w:rsidRPr="00640E2B">
        <w:rPr>
          <w:bCs/>
          <w:sz w:val="20"/>
          <w:szCs w:val="20"/>
          <w:lang w:val="pl-PL"/>
        </w:rPr>
        <w:t>B).</w:t>
      </w:r>
    </w:p>
    <w:p w:rsidR="00F16F39" w:rsidRPr="00640E2B" w:rsidRDefault="00F16F39" w:rsidP="000E721D">
      <w:pPr>
        <w:numPr>
          <w:ilvl w:val="0"/>
          <w:numId w:val="21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640E2B">
        <w:rPr>
          <w:rFonts w:cs="Arial"/>
          <w:sz w:val="20"/>
          <w:szCs w:val="20"/>
          <w:lang w:val="pl-PL"/>
        </w:rPr>
        <w:t xml:space="preserve">Zastosowanie wielolekowej </w:t>
      </w:r>
      <w:r w:rsidR="006D07C1" w:rsidRPr="00640E2B">
        <w:rPr>
          <w:rFonts w:cs="Arial"/>
          <w:sz w:val="20"/>
          <w:szCs w:val="20"/>
          <w:lang w:val="pl-PL"/>
        </w:rPr>
        <w:t>CHT</w:t>
      </w:r>
      <w:r w:rsidRPr="00640E2B">
        <w:rPr>
          <w:rFonts w:cs="Arial"/>
          <w:sz w:val="20"/>
          <w:szCs w:val="20"/>
          <w:lang w:val="pl-PL"/>
        </w:rPr>
        <w:t xml:space="preserve"> jest uzasadnione jedynie wówczas, kiedy ze względu na dolegliwości, dużą objętość przerzutów lub gwałtowną progresję konieczne jest uzyskanie szybkiej remisji (III, B).</w:t>
      </w:r>
    </w:p>
    <w:p w:rsidR="002019B8" w:rsidRPr="00640E2B" w:rsidRDefault="002019B8" w:rsidP="000E721D">
      <w:pPr>
        <w:numPr>
          <w:ilvl w:val="0"/>
          <w:numId w:val="21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640E2B">
        <w:rPr>
          <w:rFonts w:cs="Arial"/>
          <w:sz w:val="20"/>
          <w:szCs w:val="20"/>
          <w:lang w:val="pl-PL"/>
        </w:rPr>
        <w:t>U chorych, które otrzymały antracykliny lub taksoidy w ramach uzupełniającej CHT</w:t>
      </w:r>
      <w:r w:rsidR="009A67C2" w:rsidRPr="007638C6">
        <w:rPr>
          <w:rFonts w:cs="Arial"/>
          <w:sz w:val="20"/>
          <w:szCs w:val="20"/>
          <w:lang w:val="pl-PL"/>
        </w:rPr>
        <w:t>,</w:t>
      </w:r>
      <w:r w:rsidRPr="009D6B8A">
        <w:rPr>
          <w:rFonts w:cs="Arial"/>
          <w:sz w:val="20"/>
          <w:szCs w:val="20"/>
          <w:lang w:val="pl-PL"/>
        </w:rPr>
        <w:t xml:space="preserve"> można rozważyć</w:t>
      </w:r>
      <w:r w:rsidR="009A67C2" w:rsidRPr="009A67C2">
        <w:rPr>
          <w:rFonts w:cs="Arial"/>
          <w:sz w:val="20"/>
          <w:szCs w:val="20"/>
          <w:lang w:val="pl-PL"/>
        </w:rPr>
        <w:t xml:space="preserve"> </w:t>
      </w:r>
      <w:r w:rsidR="009A67C2" w:rsidRPr="00DA36CE">
        <w:rPr>
          <w:rFonts w:cs="Arial"/>
          <w:sz w:val="20"/>
          <w:szCs w:val="20"/>
          <w:lang w:val="pl-PL"/>
        </w:rPr>
        <w:t>ich ponownie zastosowanie</w:t>
      </w:r>
      <w:r w:rsidR="00DF2212">
        <w:rPr>
          <w:rFonts w:cs="Arial"/>
          <w:sz w:val="20"/>
          <w:szCs w:val="20"/>
          <w:lang w:val="pl-PL"/>
        </w:rPr>
        <w:t>,</w:t>
      </w:r>
      <w:r w:rsidRPr="009D6B8A">
        <w:rPr>
          <w:rFonts w:cs="Arial"/>
          <w:sz w:val="20"/>
          <w:szCs w:val="20"/>
          <w:lang w:val="pl-PL"/>
        </w:rPr>
        <w:t xml:space="preserve"> jeżeli czas do nawrotu choroby przekracza 12 miesięcy i </w:t>
      </w:r>
      <w:r w:rsidR="00652505" w:rsidRPr="00E763C7">
        <w:rPr>
          <w:rFonts w:cs="Arial"/>
          <w:sz w:val="20"/>
          <w:szCs w:val="20"/>
          <w:lang w:val="pl-PL"/>
        </w:rPr>
        <w:t>ustąpiły</w:t>
      </w:r>
      <w:r w:rsidRPr="00640E2B">
        <w:rPr>
          <w:rFonts w:cs="Arial"/>
          <w:sz w:val="20"/>
          <w:szCs w:val="20"/>
          <w:lang w:val="pl-PL"/>
        </w:rPr>
        <w:t xml:space="preserve"> objawy polineuropatii (w przypadku </w:t>
      </w:r>
      <w:r w:rsidR="006B6100">
        <w:rPr>
          <w:rFonts w:cs="Arial"/>
          <w:sz w:val="20"/>
          <w:szCs w:val="20"/>
          <w:lang w:val="pl-PL"/>
        </w:rPr>
        <w:t xml:space="preserve">stosowania </w:t>
      </w:r>
      <w:r w:rsidRPr="00640E2B">
        <w:rPr>
          <w:rFonts w:cs="Arial"/>
          <w:sz w:val="20"/>
          <w:szCs w:val="20"/>
          <w:lang w:val="pl-PL"/>
        </w:rPr>
        <w:t xml:space="preserve">taksoidów) lub nie została osiągnięta maksymalna </w:t>
      </w:r>
      <w:r w:rsidR="006B6100">
        <w:rPr>
          <w:rFonts w:cs="Arial"/>
          <w:sz w:val="20"/>
          <w:szCs w:val="20"/>
          <w:lang w:val="pl-PL"/>
        </w:rPr>
        <w:t xml:space="preserve">kumulacyjna </w:t>
      </w:r>
      <w:r w:rsidRPr="00640E2B">
        <w:rPr>
          <w:rFonts w:cs="Arial"/>
          <w:sz w:val="20"/>
          <w:szCs w:val="20"/>
          <w:lang w:val="pl-PL"/>
        </w:rPr>
        <w:t xml:space="preserve">dawka </w:t>
      </w:r>
      <w:r w:rsidR="006B6100">
        <w:rPr>
          <w:rFonts w:cs="Arial"/>
          <w:sz w:val="20"/>
          <w:szCs w:val="20"/>
          <w:lang w:val="pl-PL"/>
        </w:rPr>
        <w:t xml:space="preserve">życiowa </w:t>
      </w:r>
      <w:r w:rsidR="00CA5AE9">
        <w:rPr>
          <w:rFonts w:cs="Arial"/>
          <w:sz w:val="20"/>
          <w:szCs w:val="20"/>
          <w:lang w:val="pl-PL"/>
        </w:rPr>
        <w:t>(</w:t>
      </w:r>
      <w:r w:rsidR="00CA5AE9" w:rsidRPr="00640E2B">
        <w:rPr>
          <w:rFonts w:cs="Arial"/>
          <w:sz w:val="20"/>
          <w:szCs w:val="20"/>
          <w:lang w:val="pl-PL"/>
        </w:rPr>
        <w:t xml:space="preserve">w przypadku </w:t>
      </w:r>
      <w:r w:rsidR="00CA5AE9">
        <w:rPr>
          <w:rFonts w:cs="Arial"/>
          <w:sz w:val="20"/>
          <w:szCs w:val="20"/>
          <w:lang w:val="pl-PL"/>
        </w:rPr>
        <w:t xml:space="preserve">stosowania </w:t>
      </w:r>
      <w:r w:rsidRPr="00640E2B">
        <w:rPr>
          <w:rFonts w:cs="Arial"/>
          <w:sz w:val="20"/>
          <w:szCs w:val="20"/>
          <w:lang w:val="pl-PL"/>
        </w:rPr>
        <w:t>antracyklin</w:t>
      </w:r>
      <w:r w:rsidR="00CA5AE9">
        <w:rPr>
          <w:rFonts w:cs="Arial"/>
          <w:sz w:val="20"/>
          <w:szCs w:val="20"/>
          <w:lang w:val="pl-PL"/>
        </w:rPr>
        <w:t>)</w:t>
      </w:r>
      <w:r w:rsidRPr="00640E2B">
        <w:rPr>
          <w:rFonts w:cs="Arial"/>
          <w:sz w:val="20"/>
          <w:szCs w:val="20"/>
          <w:lang w:val="pl-PL"/>
        </w:rPr>
        <w:t xml:space="preserve"> (II, B).</w:t>
      </w:r>
    </w:p>
    <w:p w:rsidR="00F16F39" w:rsidRPr="00640E2B" w:rsidRDefault="002019B8" w:rsidP="000E721D">
      <w:pPr>
        <w:numPr>
          <w:ilvl w:val="0"/>
          <w:numId w:val="21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640E2B">
        <w:rPr>
          <w:rFonts w:cs="Arial"/>
          <w:sz w:val="20"/>
          <w:szCs w:val="20"/>
          <w:lang w:val="pl-PL"/>
        </w:rPr>
        <w:t>W kolejnych liniach leczenia m</w:t>
      </w:r>
      <w:r w:rsidR="00F16F39" w:rsidRPr="00640E2B">
        <w:rPr>
          <w:rFonts w:cs="Arial"/>
          <w:sz w:val="20"/>
          <w:szCs w:val="20"/>
          <w:lang w:val="pl-PL"/>
        </w:rPr>
        <w:t xml:space="preserve">ożna zastosować </w:t>
      </w:r>
      <w:r w:rsidR="00E150BA">
        <w:rPr>
          <w:rFonts w:cs="Arial"/>
          <w:sz w:val="20"/>
          <w:szCs w:val="20"/>
          <w:lang w:val="pl-PL"/>
        </w:rPr>
        <w:t xml:space="preserve">jednolekową lub wielolekową </w:t>
      </w:r>
      <w:r w:rsidR="00F16F39" w:rsidRPr="00640E2B">
        <w:rPr>
          <w:rFonts w:cs="Arial"/>
          <w:sz w:val="20"/>
          <w:szCs w:val="20"/>
          <w:lang w:val="pl-PL"/>
        </w:rPr>
        <w:t xml:space="preserve">metronomiczną </w:t>
      </w:r>
      <w:r w:rsidR="006D07C1" w:rsidRPr="00640E2B">
        <w:rPr>
          <w:rFonts w:cs="Arial"/>
          <w:sz w:val="20"/>
          <w:szCs w:val="20"/>
          <w:lang w:val="pl-PL"/>
        </w:rPr>
        <w:t>CHT</w:t>
      </w:r>
      <w:r w:rsidR="00F16F39" w:rsidRPr="00640E2B">
        <w:rPr>
          <w:rFonts w:cs="Arial"/>
          <w:sz w:val="20"/>
          <w:szCs w:val="20"/>
          <w:lang w:val="pl-PL"/>
        </w:rPr>
        <w:t xml:space="preserve"> niskimi dawkami cyklofosfamidu i metotreksatu, kapecytabiny lub winorelbiny (II, B)</w:t>
      </w:r>
      <w:r w:rsidR="00323F79" w:rsidRPr="00640E2B">
        <w:rPr>
          <w:rFonts w:cs="Arial"/>
          <w:sz w:val="20"/>
          <w:szCs w:val="20"/>
          <w:lang w:val="pl-PL"/>
        </w:rPr>
        <w:t>.</w:t>
      </w:r>
    </w:p>
    <w:p w:rsidR="00323F79" w:rsidRPr="00640E2B" w:rsidRDefault="00323F79" w:rsidP="000E721D">
      <w:pPr>
        <w:numPr>
          <w:ilvl w:val="0"/>
          <w:numId w:val="21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640E2B">
        <w:rPr>
          <w:rFonts w:cs="Arial"/>
          <w:sz w:val="20"/>
          <w:szCs w:val="20"/>
          <w:lang w:val="pl-PL"/>
        </w:rPr>
        <w:t xml:space="preserve">U chorych na trójujemnego raka lub raka na podłożu mutacji </w:t>
      </w:r>
      <w:r w:rsidRPr="00640E2B">
        <w:rPr>
          <w:rFonts w:cs="Arial"/>
          <w:i/>
          <w:sz w:val="20"/>
          <w:szCs w:val="20"/>
          <w:lang w:val="pl-PL"/>
        </w:rPr>
        <w:t>BRCA1/2</w:t>
      </w:r>
      <w:r w:rsidRPr="009D6B8A">
        <w:rPr>
          <w:rFonts w:cs="Arial"/>
          <w:sz w:val="20"/>
          <w:szCs w:val="20"/>
          <w:lang w:val="pl-PL"/>
        </w:rPr>
        <w:t xml:space="preserve"> </w:t>
      </w:r>
      <w:r w:rsidR="00E150BA">
        <w:rPr>
          <w:rFonts w:cs="Arial"/>
          <w:sz w:val="20"/>
          <w:szCs w:val="20"/>
          <w:lang w:val="pl-PL"/>
        </w:rPr>
        <w:t xml:space="preserve">w pierwszej linii leczenia </w:t>
      </w:r>
      <w:r w:rsidR="00E150BA" w:rsidRPr="00640E2B">
        <w:rPr>
          <w:rFonts w:cs="Arial"/>
          <w:sz w:val="20"/>
          <w:szCs w:val="20"/>
          <w:lang w:val="pl-PL"/>
        </w:rPr>
        <w:t xml:space="preserve">należy </w:t>
      </w:r>
      <w:r w:rsidR="002019B8" w:rsidRPr="00640E2B">
        <w:rPr>
          <w:rFonts w:cs="Arial"/>
          <w:sz w:val="20"/>
          <w:szCs w:val="20"/>
          <w:lang w:val="pl-PL"/>
        </w:rPr>
        <w:lastRenderedPageBreak/>
        <w:t>rozważyć</w:t>
      </w:r>
      <w:r w:rsidRPr="00640E2B">
        <w:rPr>
          <w:rFonts w:cs="Arial"/>
          <w:sz w:val="20"/>
          <w:szCs w:val="20"/>
          <w:lang w:val="pl-PL"/>
        </w:rPr>
        <w:t xml:space="preserve"> zastosowa</w:t>
      </w:r>
      <w:r w:rsidR="002019B8" w:rsidRPr="00640E2B">
        <w:rPr>
          <w:rFonts w:cs="Arial"/>
          <w:sz w:val="20"/>
          <w:szCs w:val="20"/>
          <w:lang w:val="pl-PL"/>
        </w:rPr>
        <w:t>nie</w:t>
      </w:r>
      <w:r w:rsidRPr="00640E2B">
        <w:rPr>
          <w:rFonts w:cs="Arial"/>
          <w:sz w:val="20"/>
          <w:szCs w:val="20"/>
          <w:lang w:val="pl-PL"/>
        </w:rPr>
        <w:t xml:space="preserve"> pochodn</w:t>
      </w:r>
      <w:r w:rsidR="002019B8" w:rsidRPr="00640E2B">
        <w:rPr>
          <w:rFonts w:cs="Arial"/>
          <w:sz w:val="20"/>
          <w:szCs w:val="20"/>
          <w:lang w:val="pl-PL"/>
        </w:rPr>
        <w:t>ych</w:t>
      </w:r>
      <w:r w:rsidRPr="00640E2B">
        <w:rPr>
          <w:rFonts w:cs="Arial"/>
          <w:sz w:val="20"/>
          <w:szCs w:val="20"/>
          <w:lang w:val="pl-PL"/>
        </w:rPr>
        <w:t xml:space="preserve"> platyny (II, B).</w:t>
      </w:r>
    </w:p>
    <w:p w:rsidR="006A3D31" w:rsidRPr="00F463B2" w:rsidRDefault="006A3D31" w:rsidP="006A3D31">
      <w:pPr>
        <w:pStyle w:val="Nagwek3"/>
        <w:spacing w:before="0" w:after="120" w:line="240" w:lineRule="auto"/>
        <w:rPr>
          <w:rFonts w:ascii="Arial" w:hAnsi="Arial" w:cs="Arial"/>
          <w:color w:val="2E74B5"/>
          <w:sz w:val="20"/>
          <w:szCs w:val="20"/>
          <w:lang w:val="pl-PL"/>
        </w:rPr>
      </w:pPr>
      <w:bookmarkStart w:id="38" w:name="_Toc516233180"/>
      <w:r w:rsidRPr="00F463B2">
        <w:rPr>
          <w:rFonts w:ascii="Arial" w:hAnsi="Arial" w:cs="Arial"/>
          <w:color w:val="2E74B5"/>
          <w:sz w:val="20"/>
          <w:szCs w:val="20"/>
          <w:lang w:val="pl-PL"/>
        </w:rPr>
        <w:t>Specjalne sytuacje kliniczne</w:t>
      </w:r>
      <w:bookmarkEnd w:id="38"/>
    </w:p>
    <w:p w:rsidR="00BE6133" w:rsidRPr="00491961" w:rsidRDefault="00BE6133" w:rsidP="000E721D">
      <w:pPr>
        <w:numPr>
          <w:ilvl w:val="0"/>
          <w:numId w:val="31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491961">
        <w:rPr>
          <w:rFonts w:cs="Arial"/>
          <w:sz w:val="20"/>
          <w:szCs w:val="20"/>
          <w:lang w:val="pl-PL"/>
        </w:rPr>
        <w:t>U chorych z ograniczoną liczbą przerzutów (tzw. choroba oligometastatyczna) można rozważyć miejscowe leczenie ablacyjne (chirurgia, stereotaktyczna RT, t</w:t>
      </w:r>
      <w:r w:rsidR="00DF2212">
        <w:rPr>
          <w:rFonts w:cs="Arial"/>
          <w:sz w:val="20"/>
          <w:szCs w:val="20"/>
          <w:lang w:val="pl-PL"/>
        </w:rPr>
        <w:t>ermoablacja, dotętnicza CHT) (III</w:t>
      </w:r>
      <w:r w:rsidRPr="00491961">
        <w:rPr>
          <w:rFonts w:cs="Arial"/>
          <w:sz w:val="20"/>
          <w:szCs w:val="20"/>
          <w:lang w:val="pl-PL"/>
        </w:rPr>
        <w:t>, C).</w:t>
      </w:r>
    </w:p>
    <w:p w:rsidR="00BE6133" w:rsidRPr="00491961" w:rsidRDefault="00BE6133" w:rsidP="000E721D">
      <w:pPr>
        <w:numPr>
          <w:ilvl w:val="0"/>
          <w:numId w:val="31"/>
        </w:numPr>
        <w:spacing w:after="120" w:line="240" w:lineRule="auto"/>
        <w:ind w:left="714" w:hanging="357"/>
        <w:jc w:val="both"/>
        <w:rPr>
          <w:lang w:val="pl-PL"/>
        </w:rPr>
      </w:pPr>
      <w:r w:rsidRPr="00491961">
        <w:rPr>
          <w:rFonts w:cs="Arial"/>
          <w:sz w:val="20"/>
          <w:szCs w:val="20"/>
          <w:lang w:val="pl-PL"/>
        </w:rPr>
        <w:t>Jeśli przerzutom do mózgu towarzyszy równoczesna progresja pozaczaszkowa, po zastosowaniu leczenia miejscowego należy rozważyć kolejn</w:t>
      </w:r>
      <w:r w:rsidR="00DF2212">
        <w:rPr>
          <w:rFonts w:cs="Arial"/>
          <w:sz w:val="20"/>
          <w:szCs w:val="20"/>
          <w:lang w:val="pl-PL"/>
        </w:rPr>
        <w:t>ą linię systemowego leczenia (III</w:t>
      </w:r>
      <w:r w:rsidRPr="00491961">
        <w:rPr>
          <w:rFonts w:cs="Arial"/>
          <w:sz w:val="20"/>
          <w:szCs w:val="20"/>
          <w:lang w:val="pl-PL"/>
        </w:rPr>
        <w:t>, C).</w:t>
      </w:r>
    </w:p>
    <w:p w:rsidR="000D78B3" w:rsidRPr="00491961" w:rsidRDefault="000D78B3" w:rsidP="000E721D">
      <w:pPr>
        <w:numPr>
          <w:ilvl w:val="0"/>
          <w:numId w:val="31"/>
        </w:numPr>
        <w:spacing w:after="120" w:line="240" w:lineRule="auto"/>
        <w:ind w:left="714" w:hanging="357"/>
        <w:jc w:val="both"/>
        <w:rPr>
          <w:lang w:val="pl-PL"/>
        </w:rPr>
      </w:pPr>
      <w:r w:rsidRPr="00491961">
        <w:rPr>
          <w:rFonts w:cs="Arial"/>
          <w:sz w:val="20"/>
          <w:szCs w:val="20"/>
          <w:lang w:val="pl-PL"/>
        </w:rPr>
        <w:t>U mężczyzn chorych na raka piersi z ekspresją ER w I linii leczenia należy stosować</w:t>
      </w:r>
      <w:r w:rsidR="00DF2212">
        <w:rPr>
          <w:rFonts w:cs="Arial"/>
          <w:sz w:val="20"/>
          <w:szCs w:val="20"/>
          <w:lang w:val="pl-PL"/>
        </w:rPr>
        <w:t xml:space="preserve"> tamoksyfen (III</w:t>
      </w:r>
      <w:r w:rsidRPr="00491961">
        <w:rPr>
          <w:rFonts w:cs="Arial"/>
          <w:sz w:val="20"/>
          <w:szCs w:val="20"/>
          <w:lang w:val="pl-PL"/>
        </w:rPr>
        <w:t xml:space="preserve">, </w:t>
      </w:r>
      <w:r w:rsidR="00CA5AE9" w:rsidRPr="00491961">
        <w:rPr>
          <w:rFonts w:cs="Arial"/>
          <w:sz w:val="20"/>
          <w:szCs w:val="20"/>
          <w:lang w:val="pl-PL"/>
        </w:rPr>
        <w:t>A</w:t>
      </w:r>
      <w:r w:rsidRPr="00491961">
        <w:rPr>
          <w:rFonts w:cs="Arial"/>
          <w:sz w:val="20"/>
          <w:szCs w:val="20"/>
          <w:lang w:val="pl-PL"/>
        </w:rPr>
        <w:t>)</w:t>
      </w:r>
      <w:r w:rsidR="00AC744F">
        <w:rPr>
          <w:rFonts w:cs="Arial"/>
          <w:sz w:val="20"/>
          <w:szCs w:val="20"/>
          <w:lang w:val="pl-PL"/>
        </w:rPr>
        <w:t>, a w </w:t>
      </w:r>
      <w:r w:rsidR="00591045" w:rsidRPr="00491961">
        <w:rPr>
          <w:rFonts w:cs="Arial"/>
          <w:sz w:val="20"/>
          <w:szCs w:val="20"/>
          <w:lang w:val="pl-PL"/>
        </w:rPr>
        <w:t xml:space="preserve">przypadku przeciwwskazań do tamoksyfenu lub z progresją </w:t>
      </w:r>
      <w:r w:rsidR="00AC744F">
        <w:rPr>
          <w:rFonts w:cs="Arial"/>
          <w:sz w:val="20"/>
          <w:szCs w:val="20"/>
          <w:lang w:val="pl-PL"/>
        </w:rPr>
        <w:t>po leczeniu tamoksyfenem – IA w </w:t>
      </w:r>
      <w:r w:rsidR="00591045" w:rsidRPr="00491961">
        <w:rPr>
          <w:rFonts w:cs="Arial"/>
          <w:sz w:val="20"/>
          <w:szCs w:val="20"/>
          <w:lang w:val="pl-PL"/>
        </w:rPr>
        <w:t>skojarzeniu z anal</w:t>
      </w:r>
      <w:r w:rsidR="00DF2212">
        <w:rPr>
          <w:rFonts w:cs="Arial"/>
          <w:sz w:val="20"/>
          <w:szCs w:val="20"/>
          <w:lang w:val="pl-PL"/>
        </w:rPr>
        <w:t>ogiem GnRH lub orchidektomią (III</w:t>
      </w:r>
      <w:r w:rsidR="00591045" w:rsidRPr="00491961">
        <w:rPr>
          <w:rFonts w:cs="Arial"/>
          <w:sz w:val="20"/>
          <w:szCs w:val="20"/>
          <w:lang w:val="pl-PL"/>
        </w:rPr>
        <w:t>, C).</w:t>
      </w:r>
    </w:p>
    <w:p w:rsidR="00591045" w:rsidRPr="00F463B2" w:rsidRDefault="00591045" w:rsidP="00640E2B">
      <w:pPr>
        <w:spacing w:after="0" w:line="240" w:lineRule="auto"/>
        <w:ind w:left="714"/>
        <w:rPr>
          <w:lang w:val="pl-PL"/>
        </w:rPr>
      </w:pPr>
    </w:p>
    <w:p w:rsidR="006A3D31" w:rsidRPr="00F463B2" w:rsidRDefault="006A3D31" w:rsidP="006A3D31">
      <w:pPr>
        <w:pStyle w:val="Nagwek3"/>
        <w:spacing w:before="0" w:after="120" w:line="240" w:lineRule="auto"/>
        <w:rPr>
          <w:rFonts w:ascii="Arial" w:hAnsi="Arial" w:cs="Arial"/>
          <w:color w:val="2E74B5"/>
          <w:sz w:val="20"/>
          <w:szCs w:val="20"/>
          <w:lang w:val="pl-PL"/>
        </w:rPr>
      </w:pPr>
      <w:bookmarkStart w:id="39" w:name="_Toc516233182"/>
      <w:r w:rsidRPr="00F463B2">
        <w:rPr>
          <w:rFonts w:ascii="Arial" w:hAnsi="Arial" w:cs="Arial"/>
          <w:color w:val="2E74B5"/>
          <w:sz w:val="20"/>
          <w:szCs w:val="20"/>
          <w:lang w:val="pl-PL"/>
        </w:rPr>
        <w:t xml:space="preserve">Leczenie wspomagające w przerzutach </w:t>
      </w:r>
      <w:r w:rsidR="00F442EB">
        <w:rPr>
          <w:rFonts w:ascii="Arial" w:hAnsi="Arial" w:cs="Arial"/>
          <w:color w:val="2E74B5"/>
          <w:sz w:val="20"/>
          <w:szCs w:val="20"/>
          <w:lang w:val="pl-PL"/>
        </w:rPr>
        <w:t>kostnych</w:t>
      </w:r>
      <w:bookmarkEnd w:id="39"/>
    </w:p>
    <w:p w:rsidR="00A9048F" w:rsidRDefault="00A9048F" w:rsidP="000E721D">
      <w:pPr>
        <w:numPr>
          <w:ilvl w:val="0"/>
          <w:numId w:val="22"/>
        </w:numPr>
        <w:spacing w:before="240"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 w:rsidRPr="009D6B8A">
        <w:rPr>
          <w:bCs/>
          <w:sz w:val="20"/>
          <w:szCs w:val="20"/>
          <w:lang w:val="pl-PL"/>
        </w:rPr>
        <w:t xml:space="preserve">U chorych z przerzutami </w:t>
      </w:r>
      <w:r w:rsidR="00CA5AE9">
        <w:rPr>
          <w:bCs/>
          <w:sz w:val="20"/>
          <w:szCs w:val="20"/>
          <w:lang w:val="pl-PL"/>
        </w:rPr>
        <w:t>w</w:t>
      </w:r>
      <w:r w:rsidRPr="009D6B8A">
        <w:rPr>
          <w:bCs/>
          <w:sz w:val="20"/>
          <w:szCs w:val="20"/>
          <w:lang w:val="pl-PL"/>
        </w:rPr>
        <w:t xml:space="preserve"> </w:t>
      </w:r>
      <w:r w:rsidR="004C5F6C" w:rsidRPr="00E763C7">
        <w:rPr>
          <w:bCs/>
          <w:sz w:val="20"/>
          <w:szCs w:val="20"/>
          <w:lang w:val="pl-PL"/>
        </w:rPr>
        <w:t>kości</w:t>
      </w:r>
      <w:r w:rsidR="00CA5AE9">
        <w:rPr>
          <w:bCs/>
          <w:sz w:val="20"/>
          <w:szCs w:val="20"/>
          <w:lang w:val="pl-PL"/>
        </w:rPr>
        <w:t>ach</w:t>
      </w:r>
      <w:r w:rsidR="00BC2AF8">
        <w:rPr>
          <w:bCs/>
          <w:sz w:val="20"/>
          <w:szCs w:val="20"/>
          <w:lang w:val="pl-PL"/>
        </w:rPr>
        <w:t>,</w:t>
      </w:r>
      <w:r w:rsidR="004C5F6C" w:rsidRPr="00E763C7">
        <w:rPr>
          <w:bCs/>
          <w:sz w:val="20"/>
          <w:szCs w:val="20"/>
          <w:lang w:val="pl-PL"/>
        </w:rPr>
        <w:t xml:space="preserve"> </w:t>
      </w:r>
      <w:r w:rsidR="00DB2C62" w:rsidRPr="00640E2B">
        <w:rPr>
          <w:bCs/>
          <w:sz w:val="20"/>
          <w:szCs w:val="20"/>
          <w:lang w:val="pl-PL"/>
        </w:rPr>
        <w:t xml:space="preserve">od momentu rozpoznania </w:t>
      </w:r>
      <w:r w:rsidRPr="00640E2B">
        <w:rPr>
          <w:bCs/>
          <w:sz w:val="20"/>
          <w:szCs w:val="20"/>
          <w:lang w:val="pl-PL"/>
        </w:rPr>
        <w:t xml:space="preserve">należy </w:t>
      </w:r>
      <w:r w:rsidR="004C5F6C" w:rsidRPr="00640E2B">
        <w:rPr>
          <w:bCs/>
          <w:sz w:val="20"/>
          <w:szCs w:val="20"/>
          <w:lang w:val="pl-PL"/>
        </w:rPr>
        <w:t>stosować leki modyfikujące metabolizm kostny (bisfosfoniany, denosumab)</w:t>
      </w:r>
      <w:r w:rsidR="00DB2C62" w:rsidRPr="00640E2B">
        <w:rPr>
          <w:bCs/>
          <w:sz w:val="20"/>
          <w:szCs w:val="20"/>
          <w:lang w:val="pl-PL"/>
        </w:rPr>
        <w:t xml:space="preserve"> (I, A)</w:t>
      </w:r>
      <w:r w:rsidR="004C5F6C" w:rsidRPr="00640E2B">
        <w:rPr>
          <w:bCs/>
          <w:sz w:val="20"/>
          <w:szCs w:val="20"/>
          <w:lang w:val="pl-PL"/>
        </w:rPr>
        <w:t>.</w:t>
      </w:r>
    </w:p>
    <w:p w:rsidR="00E12AE8" w:rsidRPr="00640E2B" w:rsidRDefault="00E911CB" w:rsidP="000E721D">
      <w:pPr>
        <w:numPr>
          <w:ilvl w:val="0"/>
          <w:numId w:val="22"/>
        </w:numPr>
        <w:spacing w:after="120" w:line="240" w:lineRule="auto"/>
        <w:ind w:left="714" w:hanging="357"/>
        <w:jc w:val="both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Podstawą kwalifikacji do stosowania leków modyfikujących</w:t>
      </w:r>
      <w:r w:rsidR="00E12AE8">
        <w:rPr>
          <w:bCs/>
          <w:sz w:val="20"/>
          <w:szCs w:val="20"/>
          <w:lang w:val="pl-PL"/>
        </w:rPr>
        <w:t xml:space="preserve"> metabolizm kostny </w:t>
      </w:r>
      <w:r>
        <w:rPr>
          <w:bCs/>
          <w:sz w:val="20"/>
          <w:szCs w:val="20"/>
          <w:lang w:val="pl-PL"/>
        </w:rPr>
        <w:t>jest</w:t>
      </w:r>
      <w:r w:rsidR="00E12AE8">
        <w:rPr>
          <w:bCs/>
          <w:sz w:val="20"/>
          <w:szCs w:val="20"/>
          <w:lang w:val="pl-PL"/>
        </w:rPr>
        <w:t xml:space="preserve"> rozpoznania przerzutów </w:t>
      </w:r>
      <w:r>
        <w:rPr>
          <w:bCs/>
          <w:sz w:val="20"/>
          <w:szCs w:val="20"/>
          <w:lang w:val="pl-PL"/>
        </w:rPr>
        <w:t>w</w:t>
      </w:r>
      <w:r w:rsidR="00E12AE8">
        <w:rPr>
          <w:bCs/>
          <w:sz w:val="20"/>
          <w:szCs w:val="20"/>
          <w:lang w:val="pl-PL"/>
        </w:rPr>
        <w:t xml:space="preserve"> kości</w:t>
      </w:r>
      <w:r>
        <w:rPr>
          <w:bCs/>
          <w:sz w:val="20"/>
          <w:szCs w:val="20"/>
          <w:lang w:val="pl-PL"/>
        </w:rPr>
        <w:t>ach</w:t>
      </w:r>
      <w:r w:rsidR="00E12AE8">
        <w:rPr>
          <w:bCs/>
          <w:sz w:val="20"/>
          <w:szCs w:val="20"/>
          <w:lang w:val="pl-PL"/>
        </w:rPr>
        <w:t xml:space="preserve"> w badaniu radiologicznym (RTG, KT). </w:t>
      </w:r>
      <w:r w:rsidR="00506EC8">
        <w:rPr>
          <w:bCs/>
          <w:sz w:val="20"/>
          <w:szCs w:val="20"/>
          <w:lang w:val="pl-PL"/>
        </w:rPr>
        <w:t>Leków tych n</w:t>
      </w:r>
      <w:r w:rsidR="00E12AE8">
        <w:rPr>
          <w:bCs/>
          <w:sz w:val="20"/>
          <w:szCs w:val="20"/>
          <w:lang w:val="pl-PL"/>
        </w:rPr>
        <w:t xml:space="preserve">ie </w:t>
      </w:r>
      <w:r w:rsidR="00506EC8">
        <w:rPr>
          <w:bCs/>
          <w:sz w:val="20"/>
          <w:szCs w:val="20"/>
          <w:lang w:val="pl-PL"/>
        </w:rPr>
        <w:t>należy stosować</w:t>
      </w:r>
      <w:r w:rsidR="00E12AE8">
        <w:rPr>
          <w:bCs/>
          <w:sz w:val="20"/>
          <w:szCs w:val="20"/>
          <w:lang w:val="pl-PL"/>
        </w:rPr>
        <w:t xml:space="preserve"> na podstawie </w:t>
      </w:r>
      <w:r w:rsidR="00506EC8">
        <w:rPr>
          <w:bCs/>
          <w:sz w:val="20"/>
          <w:szCs w:val="20"/>
          <w:lang w:val="pl-PL"/>
        </w:rPr>
        <w:t xml:space="preserve">stwierdzenia </w:t>
      </w:r>
      <w:r w:rsidR="00E12AE8">
        <w:rPr>
          <w:bCs/>
          <w:sz w:val="20"/>
          <w:szCs w:val="20"/>
          <w:lang w:val="pl-PL"/>
        </w:rPr>
        <w:t xml:space="preserve">zmian </w:t>
      </w:r>
      <w:r w:rsidR="00506EC8">
        <w:rPr>
          <w:bCs/>
          <w:sz w:val="20"/>
          <w:szCs w:val="20"/>
          <w:lang w:val="pl-PL"/>
        </w:rPr>
        <w:t xml:space="preserve">wyłącznie </w:t>
      </w:r>
      <w:r w:rsidR="00E12AE8">
        <w:rPr>
          <w:bCs/>
          <w:sz w:val="20"/>
          <w:szCs w:val="20"/>
          <w:lang w:val="pl-PL"/>
        </w:rPr>
        <w:t>w scyntygrafii (II, A).</w:t>
      </w:r>
    </w:p>
    <w:p w:rsidR="00591045" w:rsidRDefault="00506EC8" w:rsidP="000E721D">
      <w:pPr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 xml:space="preserve">Leki modyfikujące metabolizm kostny </w:t>
      </w:r>
      <w:r w:rsidR="00591045" w:rsidRPr="00640E2B">
        <w:rPr>
          <w:rFonts w:cs="Arial"/>
          <w:sz w:val="20"/>
          <w:szCs w:val="20"/>
          <w:lang w:val="pl-PL"/>
        </w:rPr>
        <w:t>można łączyć z leczeniem przeciwnowotworowym</w:t>
      </w:r>
      <w:r w:rsidR="00DB2C62" w:rsidRPr="00640E2B">
        <w:rPr>
          <w:rFonts w:cs="Arial"/>
          <w:sz w:val="20"/>
          <w:szCs w:val="20"/>
          <w:lang w:val="pl-PL"/>
        </w:rPr>
        <w:t xml:space="preserve"> (III, A)</w:t>
      </w:r>
      <w:r w:rsidR="00591045" w:rsidRPr="00640E2B">
        <w:rPr>
          <w:rFonts w:cs="Arial"/>
          <w:sz w:val="20"/>
          <w:szCs w:val="20"/>
          <w:lang w:val="pl-PL"/>
        </w:rPr>
        <w:t xml:space="preserve">. </w:t>
      </w:r>
    </w:p>
    <w:p w:rsidR="00506EC8" w:rsidRPr="0039791B" w:rsidRDefault="00506EC8" w:rsidP="000E721D">
      <w:pPr>
        <w:numPr>
          <w:ilvl w:val="0"/>
          <w:numId w:val="22"/>
        </w:numPr>
        <w:spacing w:after="120" w:line="240" w:lineRule="auto"/>
        <w:ind w:left="714" w:hanging="357"/>
        <w:jc w:val="both"/>
        <w:rPr>
          <w:lang w:val="pl-PL"/>
        </w:rPr>
      </w:pPr>
      <w:r>
        <w:rPr>
          <w:bCs/>
          <w:sz w:val="20"/>
          <w:szCs w:val="20"/>
          <w:lang w:val="pl-PL"/>
        </w:rPr>
        <w:t xml:space="preserve">Leki modyfikujące metabolizm kostny </w:t>
      </w:r>
      <w:r w:rsidR="00FB59BB" w:rsidRPr="00E763C7">
        <w:rPr>
          <w:bCs/>
          <w:sz w:val="20"/>
          <w:szCs w:val="20"/>
          <w:lang w:val="pl-PL"/>
        </w:rPr>
        <w:t>należy stosować w skojarzeniu z prepa</w:t>
      </w:r>
      <w:r w:rsidR="009137CF">
        <w:rPr>
          <w:bCs/>
          <w:sz w:val="20"/>
          <w:szCs w:val="20"/>
          <w:lang w:val="pl-PL"/>
        </w:rPr>
        <w:t>ratami wapnia i witaminą D (II, </w:t>
      </w:r>
      <w:r w:rsidR="00FB59BB" w:rsidRPr="00E763C7">
        <w:rPr>
          <w:bCs/>
          <w:sz w:val="20"/>
          <w:szCs w:val="20"/>
          <w:lang w:val="pl-PL"/>
        </w:rPr>
        <w:t>A).</w:t>
      </w:r>
      <w:r>
        <w:rPr>
          <w:bCs/>
          <w:sz w:val="20"/>
          <w:szCs w:val="20"/>
          <w:lang w:val="pl-PL"/>
        </w:rPr>
        <w:t xml:space="preserve"> </w:t>
      </w:r>
    </w:p>
    <w:p w:rsidR="00FB59BB" w:rsidRPr="0039791B" w:rsidRDefault="00AA3BCB" w:rsidP="000E721D">
      <w:pPr>
        <w:numPr>
          <w:ilvl w:val="0"/>
          <w:numId w:val="22"/>
        </w:numPr>
        <w:spacing w:after="120" w:line="240" w:lineRule="auto"/>
        <w:ind w:left="714" w:hanging="357"/>
        <w:jc w:val="both"/>
        <w:rPr>
          <w:lang w:val="pl-PL"/>
        </w:rPr>
      </w:pPr>
      <w:r w:rsidRPr="00FB59BB">
        <w:rPr>
          <w:rFonts w:cs="Arial"/>
          <w:sz w:val="20"/>
          <w:szCs w:val="20"/>
          <w:lang w:val="pl-PL"/>
        </w:rPr>
        <w:t xml:space="preserve">Przed rozpoczęciem stosowania </w:t>
      </w:r>
      <w:r w:rsidRPr="00FB59BB">
        <w:rPr>
          <w:bCs/>
          <w:sz w:val="20"/>
          <w:szCs w:val="20"/>
          <w:lang w:val="pl-PL"/>
        </w:rPr>
        <w:t>leków modyfikujących metabolizm kostny należy przeprowadzić sanację jamy ustnej (</w:t>
      </w:r>
      <w:r w:rsidR="00BC2AF8">
        <w:rPr>
          <w:bCs/>
          <w:sz w:val="20"/>
          <w:szCs w:val="20"/>
          <w:lang w:val="pl-PL"/>
        </w:rPr>
        <w:t>I</w:t>
      </w:r>
      <w:r w:rsidRPr="00FB59BB">
        <w:rPr>
          <w:bCs/>
          <w:sz w:val="20"/>
          <w:szCs w:val="20"/>
          <w:lang w:val="pl-PL"/>
        </w:rPr>
        <w:t>V, A).</w:t>
      </w:r>
    </w:p>
    <w:p w:rsidR="00FB59BB" w:rsidRPr="0039791B" w:rsidRDefault="00FB59BB" w:rsidP="000E721D">
      <w:pPr>
        <w:numPr>
          <w:ilvl w:val="0"/>
          <w:numId w:val="22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 w:rsidRPr="0039791B">
        <w:rPr>
          <w:sz w:val="20"/>
          <w:szCs w:val="20"/>
          <w:lang w:val="pl-PL"/>
        </w:rPr>
        <w:t>Podczas stosowania leków modyfikujących metabolizm kostny należy w miarę możliwości unikać zabiegów dentystycznych naruszających ciągłość błony śluzowej. W przypadku konieczności wykonania takiego zabiegu należy przerwać stosowanie bisfosfonianów na co najmniej 4 tygodni</w:t>
      </w:r>
      <w:r w:rsidR="00506EC8" w:rsidRPr="0039791B">
        <w:rPr>
          <w:sz w:val="20"/>
          <w:szCs w:val="20"/>
          <w:lang w:val="pl-PL"/>
        </w:rPr>
        <w:t>e</w:t>
      </w:r>
      <w:r w:rsidRPr="0039791B">
        <w:rPr>
          <w:sz w:val="20"/>
          <w:szCs w:val="20"/>
          <w:lang w:val="pl-PL"/>
        </w:rPr>
        <w:t xml:space="preserve"> przed i </w:t>
      </w:r>
      <w:r w:rsidR="00506EC8" w:rsidRPr="0039791B">
        <w:rPr>
          <w:sz w:val="20"/>
          <w:szCs w:val="20"/>
          <w:lang w:val="pl-PL"/>
        </w:rPr>
        <w:t xml:space="preserve">4 tygodnie </w:t>
      </w:r>
      <w:r w:rsidR="009137CF">
        <w:rPr>
          <w:sz w:val="20"/>
          <w:szCs w:val="20"/>
          <w:lang w:val="pl-PL"/>
        </w:rPr>
        <w:t>po </w:t>
      </w:r>
      <w:r w:rsidRPr="0039791B">
        <w:rPr>
          <w:sz w:val="20"/>
          <w:szCs w:val="20"/>
          <w:lang w:val="pl-PL"/>
        </w:rPr>
        <w:t xml:space="preserve">zabiegu. Co 2–3 miesiące należy oceniać wydolność nerek (stężenie kreatyniny), a w przypadku podejrzenia martwicy kości żuchwy lub/i szczęki, wykonać badanie jamy ustnej </w:t>
      </w:r>
      <w:r w:rsidR="00A458A9" w:rsidRPr="0039791B">
        <w:rPr>
          <w:sz w:val="20"/>
          <w:szCs w:val="20"/>
          <w:lang w:val="pl-PL"/>
        </w:rPr>
        <w:t>oraz panoramiczne zdjęcie RTG (</w:t>
      </w:r>
      <w:r w:rsidR="00BC2AF8">
        <w:rPr>
          <w:sz w:val="20"/>
          <w:szCs w:val="20"/>
          <w:lang w:val="pl-PL"/>
        </w:rPr>
        <w:t>I</w:t>
      </w:r>
      <w:r w:rsidRPr="0039791B">
        <w:rPr>
          <w:sz w:val="20"/>
          <w:szCs w:val="20"/>
          <w:lang w:val="pl-PL"/>
        </w:rPr>
        <w:t>V, A)</w:t>
      </w:r>
    </w:p>
    <w:p w:rsidR="006A3D31" w:rsidRPr="00F463B2" w:rsidRDefault="006A3D31" w:rsidP="006A3D31">
      <w:pPr>
        <w:pStyle w:val="Nagwek3"/>
        <w:spacing w:before="0" w:after="120" w:line="240" w:lineRule="auto"/>
        <w:rPr>
          <w:rFonts w:ascii="Arial" w:hAnsi="Arial" w:cs="Arial"/>
          <w:color w:val="2E74B5"/>
          <w:sz w:val="20"/>
          <w:szCs w:val="20"/>
          <w:lang w:val="pl-PL"/>
        </w:rPr>
      </w:pPr>
      <w:bookmarkStart w:id="40" w:name="_Toc516233184"/>
      <w:r w:rsidRPr="00F463B2">
        <w:rPr>
          <w:rFonts w:ascii="Arial" w:hAnsi="Arial" w:cs="Arial"/>
          <w:color w:val="2E74B5"/>
          <w:sz w:val="20"/>
          <w:szCs w:val="20"/>
          <w:lang w:val="pl-PL"/>
        </w:rPr>
        <w:t>Rola miejscowych metod</w:t>
      </w:r>
      <w:bookmarkEnd w:id="40"/>
    </w:p>
    <w:p w:rsidR="002553ED" w:rsidRPr="00F463B2" w:rsidRDefault="002553ED" w:rsidP="000E721D">
      <w:pPr>
        <w:widowControl/>
        <w:numPr>
          <w:ilvl w:val="0"/>
          <w:numId w:val="14"/>
        </w:numPr>
        <w:spacing w:before="240"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F463B2">
        <w:rPr>
          <w:rFonts w:cs="Arial"/>
          <w:sz w:val="20"/>
          <w:szCs w:val="20"/>
          <w:lang w:val="pl-PL"/>
        </w:rPr>
        <w:t xml:space="preserve">U chorych z ograniczoną liczbą przerzutów w mózgu, w dobrym stanie ogólnym i bez pozamózgowych ognisk nowotworu, leczeniem z wyboru jest chirurgiczna resekcja zmian lub stereotaktyczna </w:t>
      </w:r>
      <w:r w:rsidR="006D07C1">
        <w:rPr>
          <w:rFonts w:cs="Arial"/>
          <w:sz w:val="20"/>
          <w:szCs w:val="20"/>
          <w:lang w:val="pl-PL"/>
        </w:rPr>
        <w:t>RT</w:t>
      </w:r>
      <w:r w:rsidRPr="00F463B2">
        <w:rPr>
          <w:rFonts w:cs="Arial"/>
          <w:sz w:val="20"/>
          <w:szCs w:val="20"/>
          <w:lang w:val="pl-PL"/>
        </w:rPr>
        <w:t xml:space="preserve"> (II, B).</w:t>
      </w:r>
    </w:p>
    <w:p w:rsidR="002553ED" w:rsidRDefault="002553ED" w:rsidP="000E721D">
      <w:pPr>
        <w:widowControl/>
        <w:numPr>
          <w:ilvl w:val="0"/>
          <w:numId w:val="14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F463B2">
        <w:rPr>
          <w:rFonts w:cs="Arial"/>
          <w:sz w:val="20"/>
          <w:szCs w:val="20"/>
          <w:lang w:val="pl-PL"/>
        </w:rPr>
        <w:t xml:space="preserve">W przypadku mnogich przerzutów </w:t>
      </w:r>
      <w:r w:rsidR="00F027C0">
        <w:rPr>
          <w:rFonts w:cs="Arial"/>
          <w:sz w:val="20"/>
          <w:szCs w:val="20"/>
          <w:lang w:val="pl-PL"/>
        </w:rPr>
        <w:t>można zastsować</w:t>
      </w:r>
      <w:r w:rsidRPr="00F463B2">
        <w:rPr>
          <w:rFonts w:cs="Arial"/>
          <w:sz w:val="20"/>
          <w:szCs w:val="20"/>
          <w:lang w:val="pl-PL"/>
        </w:rPr>
        <w:t xml:space="preserve"> </w:t>
      </w:r>
      <w:r w:rsidR="006D07C1">
        <w:rPr>
          <w:rFonts w:cs="Arial"/>
          <w:sz w:val="20"/>
          <w:szCs w:val="20"/>
          <w:lang w:val="pl-PL"/>
        </w:rPr>
        <w:t>RT</w:t>
      </w:r>
      <w:r w:rsidRPr="00F463B2">
        <w:rPr>
          <w:rFonts w:cs="Arial"/>
          <w:sz w:val="20"/>
          <w:szCs w:val="20"/>
          <w:lang w:val="pl-PL"/>
        </w:rPr>
        <w:t xml:space="preserve"> całego mózgu lub leczenie objawowe</w:t>
      </w:r>
      <w:r w:rsidR="00F027C0">
        <w:rPr>
          <w:rFonts w:cs="Arial"/>
          <w:sz w:val="20"/>
          <w:szCs w:val="20"/>
          <w:lang w:val="pl-PL"/>
        </w:rPr>
        <w:t xml:space="preserve"> (II, B</w:t>
      </w:r>
      <w:r w:rsidR="001277FA">
        <w:rPr>
          <w:rFonts w:cs="Arial"/>
          <w:sz w:val="20"/>
          <w:szCs w:val="20"/>
          <w:lang w:val="pl-PL"/>
        </w:rPr>
        <w:t>)</w:t>
      </w:r>
      <w:r w:rsidRPr="00F463B2">
        <w:rPr>
          <w:rFonts w:cs="Arial"/>
          <w:sz w:val="20"/>
          <w:szCs w:val="20"/>
          <w:lang w:val="pl-PL"/>
        </w:rPr>
        <w:t>.</w:t>
      </w:r>
    </w:p>
    <w:p w:rsidR="00C72616" w:rsidRDefault="002553ED" w:rsidP="000E721D">
      <w:pPr>
        <w:widowControl/>
        <w:numPr>
          <w:ilvl w:val="0"/>
          <w:numId w:val="14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F463B2">
        <w:rPr>
          <w:rFonts w:cs="Arial"/>
          <w:sz w:val="20"/>
          <w:szCs w:val="20"/>
          <w:lang w:val="pl-PL"/>
        </w:rPr>
        <w:t xml:space="preserve">Paliatywna </w:t>
      </w:r>
      <w:r w:rsidR="006D07C1">
        <w:rPr>
          <w:rFonts w:cs="Arial"/>
          <w:sz w:val="20"/>
          <w:szCs w:val="20"/>
          <w:lang w:val="pl-PL"/>
        </w:rPr>
        <w:t>RT</w:t>
      </w:r>
      <w:r w:rsidRPr="00F463B2">
        <w:rPr>
          <w:rFonts w:cs="Arial"/>
          <w:sz w:val="20"/>
          <w:szCs w:val="20"/>
          <w:lang w:val="pl-PL"/>
        </w:rPr>
        <w:t xml:space="preserve"> jest postępowaniem z wyboru w nieoperacyjnych wzn</w:t>
      </w:r>
      <w:r w:rsidR="00C72616">
        <w:rPr>
          <w:rFonts w:cs="Arial"/>
          <w:sz w:val="20"/>
          <w:szCs w:val="20"/>
          <w:lang w:val="pl-PL"/>
        </w:rPr>
        <w:t>owach</w:t>
      </w:r>
      <w:r w:rsidRPr="00F463B2">
        <w:rPr>
          <w:rFonts w:cs="Arial"/>
          <w:sz w:val="20"/>
          <w:szCs w:val="20"/>
          <w:lang w:val="pl-PL"/>
        </w:rPr>
        <w:t xml:space="preserve"> miejscowych</w:t>
      </w:r>
      <w:r w:rsidR="00732CF3">
        <w:rPr>
          <w:rFonts w:cs="Arial"/>
          <w:sz w:val="20"/>
          <w:szCs w:val="20"/>
          <w:lang w:val="pl-PL"/>
        </w:rPr>
        <w:t>,</w:t>
      </w:r>
      <w:r w:rsidRPr="00F463B2">
        <w:rPr>
          <w:rFonts w:cs="Arial"/>
          <w:sz w:val="20"/>
          <w:szCs w:val="20"/>
          <w:lang w:val="pl-PL"/>
        </w:rPr>
        <w:t xml:space="preserve"> regionalnych, zespoł</w:t>
      </w:r>
      <w:r w:rsidR="00C72616">
        <w:rPr>
          <w:rFonts w:cs="Arial"/>
          <w:sz w:val="20"/>
          <w:szCs w:val="20"/>
          <w:lang w:val="pl-PL"/>
        </w:rPr>
        <w:t>ach</w:t>
      </w:r>
      <w:r w:rsidRPr="00F463B2">
        <w:rPr>
          <w:rFonts w:cs="Arial"/>
          <w:sz w:val="20"/>
          <w:szCs w:val="20"/>
          <w:lang w:val="pl-PL"/>
        </w:rPr>
        <w:t xml:space="preserve"> uciskowych i bolesnych lub zagrażających złamaniem przerzut</w:t>
      </w:r>
      <w:r w:rsidR="00C72616">
        <w:rPr>
          <w:rFonts w:cs="Arial"/>
          <w:sz w:val="20"/>
          <w:szCs w:val="20"/>
          <w:lang w:val="pl-PL"/>
        </w:rPr>
        <w:t>ach</w:t>
      </w:r>
      <w:r w:rsidRPr="00F463B2">
        <w:rPr>
          <w:rFonts w:cs="Arial"/>
          <w:sz w:val="20"/>
          <w:szCs w:val="20"/>
          <w:lang w:val="pl-PL"/>
        </w:rPr>
        <w:t xml:space="preserve"> </w:t>
      </w:r>
      <w:r w:rsidR="00C72616">
        <w:rPr>
          <w:rFonts w:cs="Arial"/>
          <w:sz w:val="20"/>
          <w:szCs w:val="20"/>
          <w:lang w:val="pl-PL"/>
        </w:rPr>
        <w:t>kostnych</w:t>
      </w:r>
      <w:r w:rsidR="001277FA">
        <w:rPr>
          <w:rFonts w:cs="Arial"/>
          <w:sz w:val="20"/>
          <w:szCs w:val="20"/>
          <w:lang w:val="pl-PL"/>
        </w:rPr>
        <w:t xml:space="preserve"> (I, A)</w:t>
      </w:r>
      <w:r w:rsidRPr="00F463B2">
        <w:rPr>
          <w:rFonts w:cs="Arial"/>
          <w:sz w:val="20"/>
          <w:szCs w:val="20"/>
          <w:lang w:val="pl-PL"/>
        </w:rPr>
        <w:t>.</w:t>
      </w:r>
      <w:r w:rsidR="00C72616" w:rsidRPr="00C72616">
        <w:rPr>
          <w:rFonts w:cs="Arial"/>
          <w:sz w:val="20"/>
          <w:szCs w:val="20"/>
          <w:lang w:val="pl-PL"/>
        </w:rPr>
        <w:t xml:space="preserve"> </w:t>
      </w:r>
    </w:p>
    <w:p w:rsidR="002553ED" w:rsidRPr="00F463B2" w:rsidRDefault="00C72616" w:rsidP="000E721D">
      <w:pPr>
        <w:widowControl/>
        <w:numPr>
          <w:ilvl w:val="0"/>
          <w:numId w:val="14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F463B2">
        <w:rPr>
          <w:rFonts w:cs="Arial"/>
          <w:sz w:val="20"/>
          <w:szCs w:val="20"/>
          <w:lang w:val="pl-PL"/>
        </w:rPr>
        <w:t xml:space="preserve">W </w:t>
      </w:r>
      <w:r>
        <w:rPr>
          <w:rFonts w:cs="Arial"/>
          <w:sz w:val="20"/>
          <w:szCs w:val="20"/>
          <w:lang w:val="pl-PL"/>
        </w:rPr>
        <w:t xml:space="preserve">RT </w:t>
      </w:r>
      <w:r w:rsidRPr="00F463B2">
        <w:rPr>
          <w:rFonts w:cs="Arial"/>
          <w:sz w:val="20"/>
          <w:szCs w:val="20"/>
          <w:lang w:val="pl-PL"/>
        </w:rPr>
        <w:t>przerzut</w:t>
      </w:r>
      <w:r>
        <w:rPr>
          <w:rFonts w:cs="Arial"/>
          <w:sz w:val="20"/>
          <w:szCs w:val="20"/>
          <w:lang w:val="pl-PL"/>
        </w:rPr>
        <w:t>ów</w:t>
      </w:r>
      <w:r w:rsidRPr="00F463B2">
        <w:rPr>
          <w:rFonts w:cs="Arial"/>
          <w:sz w:val="20"/>
          <w:szCs w:val="20"/>
          <w:lang w:val="pl-PL"/>
        </w:rPr>
        <w:t xml:space="preserve"> </w:t>
      </w:r>
      <w:r>
        <w:rPr>
          <w:rFonts w:cs="Arial"/>
          <w:sz w:val="20"/>
          <w:szCs w:val="20"/>
          <w:lang w:val="pl-PL"/>
        </w:rPr>
        <w:t>kostnych</w:t>
      </w:r>
      <w:r w:rsidRPr="00F463B2">
        <w:rPr>
          <w:rFonts w:cs="Arial"/>
          <w:sz w:val="20"/>
          <w:szCs w:val="20"/>
          <w:lang w:val="pl-PL"/>
        </w:rPr>
        <w:t xml:space="preserve"> </w:t>
      </w:r>
      <w:r>
        <w:rPr>
          <w:rFonts w:cs="Arial"/>
          <w:sz w:val="20"/>
          <w:szCs w:val="20"/>
          <w:lang w:val="pl-PL"/>
        </w:rPr>
        <w:t>zaleca się stosowanie pojedynczych wysokich dawek (I, A).</w:t>
      </w:r>
    </w:p>
    <w:p w:rsidR="002553ED" w:rsidRPr="00F463B2" w:rsidRDefault="002553ED" w:rsidP="000E721D">
      <w:pPr>
        <w:widowControl/>
        <w:numPr>
          <w:ilvl w:val="0"/>
          <w:numId w:val="14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F463B2">
        <w:rPr>
          <w:rFonts w:cs="Arial"/>
          <w:sz w:val="20"/>
          <w:szCs w:val="20"/>
          <w:lang w:val="pl-PL"/>
        </w:rPr>
        <w:t>W mnogich bolesnych przerzutach</w:t>
      </w:r>
      <w:r w:rsidR="00C63404">
        <w:rPr>
          <w:rFonts w:cs="Arial"/>
          <w:sz w:val="20"/>
          <w:szCs w:val="20"/>
          <w:lang w:val="pl-PL"/>
        </w:rPr>
        <w:t xml:space="preserve"> kostnych</w:t>
      </w:r>
      <w:r w:rsidRPr="00F463B2">
        <w:rPr>
          <w:rFonts w:cs="Arial"/>
          <w:sz w:val="20"/>
          <w:szCs w:val="20"/>
          <w:lang w:val="pl-PL"/>
        </w:rPr>
        <w:t xml:space="preserve">, zwłaszcza niekwalifikujących się do </w:t>
      </w:r>
      <w:r w:rsidR="006D07C1">
        <w:rPr>
          <w:rFonts w:cs="Arial"/>
          <w:sz w:val="20"/>
          <w:szCs w:val="20"/>
          <w:lang w:val="pl-PL"/>
        </w:rPr>
        <w:t>RT</w:t>
      </w:r>
      <w:r w:rsidRPr="00F463B2">
        <w:rPr>
          <w:rFonts w:cs="Arial"/>
          <w:sz w:val="20"/>
          <w:szCs w:val="20"/>
          <w:lang w:val="pl-PL"/>
        </w:rPr>
        <w:t xml:space="preserve">, można </w:t>
      </w:r>
      <w:r w:rsidR="00A04369" w:rsidRPr="00F463B2">
        <w:rPr>
          <w:rFonts w:cs="Arial"/>
          <w:sz w:val="20"/>
          <w:szCs w:val="20"/>
          <w:lang w:val="pl-PL"/>
        </w:rPr>
        <w:t>rozważyć</w:t>
      </w:r>
      <w:r w:rsidRPr="00F463B2">
        <w:rPr>
          <w:rFonts w:cs="Arial"/>
          <w:sz w:val="20"/>
          <w:szCs w:val="20"/>
          <w:lang w:val="pl-PL"/>
        </w:rPr>
        <w:t xml:space="preserve"> leczenie radioizotopami</w:t>
      </w:r>
      <w:r w:rsidR="001277FA">
        <w:rPr>
          <w:rFonts w:cs="Arial"/>
          <w:sz w:val="20"/>
          <w:szCs w:val="20"/>
          <w:lang w:val="pl-PL"/>
        </w:rPr>
        <w:t xml:space="preserve"> (III, C)</w:t>
      </w:r>
      <w:r w:rsidR="00C72616">
        <w:rPr>
          <w:rFonts w:cs="Arial"/>
          <w:sz w:val="20"/>
          <w:szCs w:val="20"/>
          <w:lang w:val="pl-PL"/>
        </w:rPr>
        <w:t>.</w:t>
      </w:r>
    </w:p>
    <w:p w:rsidR="002553ED" w:rsidRPr="00F463B2" w:rsidRDefault="002553ED" w:rsidP="000E721D">
      <w:pPr>
        <w:widowControl/>
        <w:numPr>
          <w:ilvl w:val="0"/>
          <w:numId w:val="14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F463B2">
        <w:rPr>
          <w:rFonts w:cs="Arial"/>
          <w:sz w:val="20"/>
          <w:szCs w:val="20"/>
          <w:lang w:val="pl-PL"/>
        </w:rPr>
        <w:t xml:space="preserve">W ograniczonych przerzutach w płucach, wątrobie i kościach </w:t>
      </w:r>
      <w:r w:rsidR="00C72616">
        <w:rPr>
          <w:rFonts w:cs="Arial"/>
          <w:sz w:val="20"/>
          <w:szCs w:val="20"/>
          <w:lang w:val="pl-PL"/>
        </w:rPr>
        <w:t>należy rozważyć zastosowanie</w:t>
      </w:r>
      <w:r w:rsidRPr="00F463B2">
        <w:rPr>
          <w:rFonts w:cs="Arial"/>
          <w:sz w:val="20"/>
          <w:szCs w:val="20"/>
          <w:lang w:val="pl-PL"/>
        </w:rPr>
        <w:t xml:space="preserve"> stereotaktyczn</w:t>
      </w:r>
      <w:r w:rsidR="00C72616">
        <w:rPr>
          <w:rFonts w:cs="Arial"/>
          <w:sz w:val="20"/>
          <w:szCs w:val="20"/>
          <w:lang w:val="pl-PL"/>
        </w:rPr>
        <w:t>ej</w:t>
      </w:r>
      <w:r w:rsidRPr="00F463B2">
        <w:rPr>
          <w:rFonts w:cs="Arial"/>
          <w:sz w:val="20"/>
          <w:szCs w:val="20"/>
          <w:lang w:val="pl-PL"/>
        </w:rPr>
        <w:t xml:space="preserve"> </w:t>
      </w:r>
      <w:r w:rsidR="006D07C1">
        <w:rPr>
          <w:rFonts w:cs="Arial"/>
          <w:sz w:val="20"/>
          <w:szCs w:val="20"/>
          <w:lang w:val="pl-PL"/>
        </w:rPr>
        <w:t>RT</w:t>
      </w:r>
      <w:r w:rsidR="001277FA">
        <w:rPr>
          <w:rFonts w:cs="Arial"/>
          <w:sz w:val="20"/>
          <w:szCs w:val="20"/>
          <w:lang w:val="pl-PL"/>
        </w:rPr>
        <w:t xml:space="preserve"> </w:t>
      </w:r>
      <w:r w:rsidR="00C72616">
        <w:rPr>
          <w:rFonts w:cs="Arial"/>
          <w:sz w:val="20"/>
          <w:szCs w:val="20"/>
          <w:lang w:val="pl-PL"/>
        </w:rPr>
        <w:t xml:space="preserve">lub innych miejscowych metod ablacyjnych </w:t>
      </w:r>
      <w:r w:rsidR="001277FA">
        <w:rPr>
          <w:rFonts w:cs="Arial"/>
          <w:sz w:val="20"/>
          <w:szCs w:val="20"/>
          <w:lang w:val="pl-PL"/>
        </w:rPr>
        <w:t>(II, B)</w:t>
      </w:r>
      <w:r w:rsidRPr="00F463B2">
        <w:rPr>
          <w:rFonts w:cs="Arial"/>
          <w:sz w:val="20"/>
          <w:szCs w:val="20"/>
          <w:lang w:val="pl-PL"/>
        </w:rPr>
        <w:t>.</w:t>
      </w:r>
    </w:p>
    <w:p w:rsidR="002553ED" w:rsidRPr="00F463B2" w:rsidRDefault="00CA5AE9" w:rsidP="000E721D">
      <w:pPr>
        <w:widowControl/>
        <w:numPr>
          <w:ilvl w:val="0"/>
          <w:numId w:val="14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>
        <w:rPr>
          <w:rFonts w:cs="Arial"/>
          <w:sz w:val="20"/>
          <w:szCs w:val="20"/>
          <w:lang w:val="pl-PL"/>
        </w:rPr>
        <w:t xml:space="preserve">Nie zaleca się rutynowegp wykonywania </w:t>
      </w:r>
      <w:r w:rsidR="002553ED" w:rsidRPr="00F463B2">
        <w:rPr>
          <w:rFonts w:cs="Arial"/>
          <w:sz w:val="20"/>
          <w:szCs w:val="20"/>
          <w:lang w:val="pl-PL"/>
        </w:rPr>
        <w:t xml:space="preserve">amputacji piersi u chorych w stadium uogólnienia nowotworu </w:t>
      </w:r>
      <w:r w:rsidR="00F027C0">
        <w:rPr>
          <w:rFonts w:cs="Arial"/>
          <w:sz w:val="20"/>
          <w:szCs w:val="20"/>
          <w:lang w:val="pl-PL"/>
        </w:rPr>
        <w:t>(I, C</w:t>
      </w:r>
      <w:r w:rsidR="001277FA">
        <w:rPr>
          <w:rFonts w:cs="Arial"/>
          <w:sz w:val="20"/>
          <w:szCs w:val="20"/>
          <w:lang w:val="pl-PL"/>
        </w:rPr>
        <w:t>)</w:t>
      </w:r>
      <w:r w:rsidR="002553ED" w:rsidRPr="00F463B2">
        <w:rPr>
          <w:rFonts w:cs="Arial"/>
          <w:sz w:val="20"/>
          <w:szCs w:val="20"/>
          <w:lang w:val="pl-PL"/>
        </w:rPr>
        <w:t>.</w:t>
      </w:r>
    </w:p>
    <w:p w:rsidR="002553ED" w:rsidRDefault="002553ED" w:rsidP="000E721D">
      <w:pPr>
        <w:widowControl/>
        <w:numPr>
          <w:ilvl w:val="0"/>
          <w:numId w:val="14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F463B2">
        <w:rPr>
          <w:rFonts w:cs="Arial"/>
          <w:sz w:val="20"/>
          <w:szCs w:val="20"/>
          <w:lang w:val="pl-PL"/>
        </w:rPr>
        <w:t xml:space="preserve">Paliatywne leczenie chirurgiczne </w:t>
      </w:r>
      <w:r w:rsidR="00CA5AE9">
        <w:rPr>
          <w:rFonts w:cs="Arial"/>
          <w:sz w:val="20"/>
          <w:szCs w:val="20"/>
          <w:lang w:val="pl-PL"/>
        </w:rPr>
        <w:t>należy rozważyć</w:t>
      </w:r>
      <w:r w:rsidRPr="00F463B2">
        <w:rPr>
          <w:rFonts w:cs="Arial"/>
          <w:sz w:val="20"/>
          <w:szCs w:val="20"/>
          <w:lang w:val="pl-PL"/>
        </w:rPr>
        <w:t xml:space="preserve"> w celu łagodzenia objawów nowotworu, </w:t>
      </w:r>
      <w:r w:rsidR="00C72616">
        <w:rPr>
          <w:rFonts w:cs="Arial"/>
          <w:sz w:val="20"/>
          <w:szCs w:val="20"/>
          <w:lang w:val="pl-PL"/>
        </w:rPr>
        <w:t>jeśli</w:t>
      </w:r>
      <w:r w:rsidRPr="00F463B2">
        <w:rPr>
          <w:rFonts w:cs="Arial"/>
          <w:sz w:val="20"/>
          <w:szCs w:val="20"/>
          <w:lang w:val="pl-PL"/>
        </w:rPr>
        <w:t xml:space="preserve"> </w:t>
      </w:r>
      <w:r w:rsidR="00BF7AF1">
        <w:rPr>
          <w:rFonts w:cs="Arial"/>
          <w:sz w:val="20"/>
          <w:szCs w:val="20"/>
          <w:lang w:val="pl-PL"/>
        </w:rPr>
        <w:t xml:space="preserve">nie można tego </w:t>
      </w:r>
      <w:r w:rsidRPr="00F463B2">
        <w:rPr>
          <w:rFonts w:cs="Arial"/>
          <w:sz w:val="20"/>
          <w:szCs w:val="20"/>
          <w:lang w:val="pl-PL"/>
        </w:rPr>
        <w:t>osiągn</w:t>
      </w:r>
      <w:r w:rsidR="00BF7AF1">
        <w:rPr>
          <w:rFonts w:cs="Arial"/>
          <w:sz w:val="20"/>
          <w:szCs w:val="20"/>
          <w:lang w:val="pl-PL"/>
        </w:rPr>
        <w:t xml:space="preserve">ąć </w:t>
      </w:r>
      <w:r w:rsidRPr="00F463B2">
        <w:rPr>
          <w:rFonts w:cs="Arial"/>
          <w:sz w:val="20"/>
          <w:szCs w:val="20"/>
          <w:lang w:val="pl-PL"/>
        </w:rPr>
        <w:t>innymi metodami</w:t>
      </w:r>
      <w:r w:rsidR="001277FA">
        <w:rPr>
          <w:rFonts w:cs="Arial"/>
          <w:sz w:val="20"/>
          <w:szCs w:val="20"/>
          <w:lang w:val="pl-PL"/>
        </w:rPr>
        <w:t xml:space="preserve"> (III, B)</w:t>
      </w:r>
      <w:r w:rsidRPr="00F463B2">
        <w:rPr>
          <w:rFonts w:cs="Arial"/>
          <w:sz w:val="20"/>
          <w:szCs w:val="20"/>
          <w:lang w:val="pl-PL"/>
        </w:rPr>
        <w:t>.</w:t>
      </w:r>
    </w:p>
    <w:p w:rsidR="009137CF" w:rsidRPr="00F463B2" w:rsidRDefault="009137CF" w:rsidP="009137CF">
      <w:pPr>
        <w:widowControl/>
        <w:spacing w:after="120" w:line="240" w:lineRule="auto"/>
        <w:ind w:left="714"/>
        <w:jc w:val="both"/>
        <w:rPr>
          <w:rFonts w:cs="Arial"/>
          <w:sz w:val="20"/>
          <w:szCs w:val="20"/>
          <w:lang w:val="pl-PL"/>
        </w:rPr>
      </w:pPr>
    </w:p>
    <w:p w:rsidR="006A3D31" w:rsidRPr="00F463B2" w:rsidRDefault="006A3D31" w:rsidP="006A3D31">
      <w:pPr>
        <w:pStyle w:val="Nagwek1"/>
        <w:spacing w:before="0" w:beforeAutospacing="0" w:after="240" w:afterAutospacing="0"/>
        <w:rPr>
          <w:rFonts w:ascii="Arial" w:hAnsi="Arial" w:cs="Arial"/>
          <w:sz w:val="26"/>
          <w:szCs w:val="26"/>
          <w:lang w:val="pl-PL"/>
        </w:rPr>
      </w:pPr>
      <w:bookmarkStart w:id="41" w:name="_Toc516233186"/>
      <w:r w:rsidRPr="00F463B2">
        <w:rPr>
          <w:rFonts w:ascii="Arial" w:hAnsi="Arial" w:cs="Arial"/>
          <w:color w:val="2E74B5"/>
          <w:sz w:val="28"/>
          <w:szCs w:val="28"/>
          <w:lang w:val="pl-PL"/>
        </w:rPr>
        <w:t>Rehabilitacja</w:t>
      </w:r>
      <w:bookmarkEnd w:id="41"/>
    </w:p>
    <w:p w:rsidR="00A471DB" w:rsidRPr="00F463B2" w:rsidRDefault="00A04369" w:rsidP="000E721D">
      <w:pPr>
        <w:widowControl/>
        <w:numPr>
          <w:ilvl w:val="0"/>
          <w:numId w:val="15"/>
        </w:numPr>
        <w:spacing w:after="120" w:line="240" w:lineRule="auto"/>
        <w:ind w:left="714" w:hanging="357"/>
        <w:jc w:val="both"/>
        <w:rPr>
          <w:rFonts w:cs="Arial"/>
          <w:sz w:val="20"/>
          <w:szCs w:val="20"/>
          <w:lang w:val="pl-PL"/>
        </w:rPr>
      </w:pPr>
      <w:r w:rsidRPr="00F463B2">
        <w:rPr>
          <w:rFonts w:cs="Arial"/>
          <w:sz w:val="20"/>
          <w:szCs w:val="20"/>
          <w:lang w:val="pl-PL"/>
        </w:rPr>
        <w:t>Wszystkie</w:t>
      </w:r>
      <w:r w:rsidR="00A471DB" w:rsidRPr="00F463B2">
        <w:rPr>
          <w:rFonts w:cs="Arial"/>
          <w:sz w:val="20"/>
          <w:szCs w:val="20"/>
          <w:lang w:val="pl-PL"/>
        </w:rPr>
        <w:t xml:space="preserve"> chore na raka piersi powinny mieć </w:t>
      </w:r>
      <w:r w:rsidR="0067234B">
        <w:rPr>
          <w:rFonts w:cs="Arial"/>
          <w:sz w:val="20"/>
          <w:szCs w:val="20"/>
          <w:lang w:val="pl-PL"/>
        </w:rPr>
        <w:t>pełen</w:t>
      </w:r>
      <w:r w:rsidR="00A471DB" w:rsidRPr="00F463B2">
        <w:rPr>
          <w:rFonts w:cs="Arial"/>
          <w:sz w:val="20"/>
          <w:szCs w:val="20"/>
          <w:lang w:val="pl-PL"/>
        </w:rPr>
        <w:t xml:space="preserve"> dostęp do fizycznej i psychicznej</w:t>
      </w:r>
      <w:r w:rsidR="00C63404">
        <w:rPr>
          <w:rFonts w:cs="Arial"/>
          <w:sz w:val="20"/>
          <w:szCs w:val="20"/>
          <w:lang w:val="pl-PL"/>
        </w:rPr>
        <w:t xml:space="preserve"> </w:t>
      </w:r>
      <w:r w:rsidR="00CA5AE9" w:rsidRPr="00F463B2">
        <w:rPr>
          <w:rFonts w:cs="Arial"/>
          <w:sz w:val="20"/>
          <w:szCs w:val="20"/>
          <w:lang w:val="pl-PL"/>
        </w:rPr>
        <w:t xml:space="preserve">rehabilitacji </w:t>
      </w:r>
      <w:r w:rsidR="00C63404">
        <w:rPr>
          <w:rFonts w:cs="Arial"/>
          <w:sz w:val="20"/>
          <w:szCs w:val="20"/>
          <w:lang w:val="pl-PL"/>
        </w:rPr>
        <w:t>(III, A)</w:t>
      </w:r>
      <w:r w:rsidR="00A471DB" w:rsidRPr="00F463B2">
        <w:rPr>
          <w:rFonts w:cs="Arial"/>
          <w:sz w:val="20"/>
          <w:szCs w:val="20"/>
          <w:lang w:val="pl-PL"/>
        </w:rPr>
        <w:t>.</w:t>
      </w:r>
    </w:p>
    <w:p w:rsidR="00A471DB" w:rsidRPr="00F463B2" w:rsidRDefault="00A471DB" w:rsidP="000E721D">
      <w:pPr>
        <w:numPr>
          <w:ilvl w:val="0"/>
          <w:numId w:val="15"/>
        </w:numPr>
        <w:spacing w:after="120" w:line="240" w:lineRule="auto"/>
        <w:ind w:left="714" w:hanging="357"/>
        <w:jc w:val="both"/>
        <w:rPr>
          <w:rFonts w:eastAsia="Franklin Gothic Medium"/>
          <w:sz w:val="20"/>
          <w:szCs w:val="20"/>
          <w:lang w:val="pl-PL"/>
        </w:rPr>
      </w:pPr>
      <w:r w:rsidRPr="00F463B2">
        <w:rPr>
          <w:rFonts w:eastAsia="Franklin Gothic Medium"/>
          <w:sz w:val="20"/>
          <w:szCs w:val="20"/>
          <w:lang w:val="pl-PL"/>
        </w:rPr>
        <w:t xml:space="preserve">W okresie obserwacji po pierwotnym leczeniu konieczne jest zapewnienie możliwości usprawniania </w:t>
      </w:r>
      <w:r w:rsidR="009137CF">
        <w:rPr>
          <w:rFonts w:eastAsia="Franklin Gothic Medium"/>
          <w:sz w:val="20"/>
          <w:szCs w:val="20"/>
          <w:lang w:val="pl-PL"/>
        </w:rPr>
        <w:t>z </w:t>
      </w:r>
      <w:r w:rsidRPr="00F463B2">
        <w:rPr>
          <w:rFonts w:eastAsia="Franklin Gothic Medium"/>
          <w:sz w:val="20"/>
          <w:szCs w:val="20"/>
          <w:lang w:val="pl-PL"/>
        </w:rPr>
        <w:t>powodu ewentualnych współistniejących chorób; rozpoznanie raka piersi nie stanowi przeciwwskazania do</w:t>
      </w:r>
      <w:r w:rsidR="009137CF">
        <w:rPr>
          <w:rFonts w:eastAsia="Franklin Gothic Medium"/>
          <w:sz w:val="20"/>
          <w:szCs w:val="20"/>
          <w:lang w:val="pl-PL"/>
        </w:rPr>
        <w:t> </w:t>
      </w:r>
      <w:r w:rsidRPr="00F463B2">
        <w:rPr>
          <w:rFonts w:eastAsia="Franklin Gothic Medium"/>
          <w:sz w:val="20"/>
          <w:szCs w:val="20"/>
          <w:lang w:val="pl-PL"/>
        </w:rPr>
        <w:t xml:space="preserve">fizjoterapii </w:t>
      </w:r>
      <w:r w:rsidRPr="00F463B2">
        <w:rPr>
          <w:rFonts w:eastAsia="Franklin Gothic Medium"/>
          <w:sz w:val="20"/>
          <w:szCs w:val="20"/>
          <w:lang w:val="pl-PL"/>
        </w:rPr>
        <w:lastRenderedPageBreak/>
        <w:t>(pełen zakres zabiegów)</w:t>
      </w:r>
      <w:r w:rsidR="00C63404">
        <w:rPr>
          <w:rFonts w:eastAsia="Franklin Gothic Medium"/>
          <w:sz w:val="20"/>
          <w:szCs w:val="20"/>
          <w:lang w:val="pl-PL"/>
        </w:rPr>
        <w:t xml:space="preserve"> (III, A)</w:t>
      </w:r>
      <w:r w:rsidRPr="00F463B2">
        <w:rPr>
          <w:rFonts w:eastAsia="Franklin Gothic Medium"/>
          <w:sz w:val="20"/>
          <w:szCs w:val="20"/>
          <w:lang w:val="pl-PL"/>
        </w:rPr>
        <w:t>.</w:t>
      </w:r>
    </w:p>
    <w:p w:rsidR="006A3D31" w:rsidRPr="00F463B2" w:rsidRDefault="006A3D31" w:rsidP="006A3D31">
      <w:pPr>
        <w:spacing w:after="0"/>
        <w:rPr>
          <w:lang w:val="pl-PL"/>
        </w:rPr>
      </w:pPr>
    </w:p>
    <w:p w:rsidR="008605C6" w:rsidRPr="00E82B30" w:rsidRDefault="008605C6" w:rsidP="00E82B30">
      <w:pPr>
        <w:pStyle w:val="Nagwek1"/>
        <w:rPr>
          <w:rFonts w:ascii="Arial" w:hAnsi="Arial" w:cs="Arial"/>
          <w:color w:val="2E74B5"/>
          <w:sz w:val="28"/>
          <w:szCs w:val="28"/>
          <w:lang w:val="pl-PL"/>
        </w:rPr>
      </w:pPr>
      <w:bookmarkStart w:id="42" w:name="_Toc516233188"/>
      <w:r w:rsidRPr="00E82B30">
        <w:rPr>
          <w:rFonts w:ascii="Arial" w:hAnsi="Arial" w:cs="Arial"/>
          <w:bCs w:val="0"/>
          <w:color w:val="2E74B5"/>
          <w:sz w:val="28"/>
          <w:szCs w:val="28"/>
          <w:lang w:val="pl-PL"/>
        </w:rPr>
        <w:t xml:space="preserve">Modyfikacja </w:t>
      </w:r>
      <w:r w:rsidRPr="00E82B30">
        <w:rPr>
          <w:rFonts w:ascii="Arial" w:hAnsi="Arial" w:cs="Arial"/>
          <w:color w:val="2E74B5"/>
          <w:sz w:val="28"/>
          <w:szCs w:val="28"/>
          <w:lang w:val="pl-PL"/>
        </w:rPr>
        <w:t>stylu życia po rozpoznaniu raka piersi</w:t>
      </w:r>
      <w:bookmarkEnd w:id="42"/>
      <w:r w:rsidRPr="00E82B30">
        <w:rPr>
          <w:rFonts w:ascii="Arial" w:hAnsi="Arial" w:cs="Arial"/>
          <w:color w:val="2E74B5"/>
          <w:sz w:val="28"/>
          <w:szCs w:val="28"/>
          <w:lang w:val="pl-PL"/>
        </w:rPr>
        <w:t xml:space="preserve"> </w:t>
      </w:r>
    </w:p>
    <w:p w:rsidR="008605C6" w:rsidRDefault="008605C6" w:rsidP="000E721D">
      <w:pPr>
        <w:numPr>
          <w:ilvl w:val="0"/>
          <w:numId w:val="13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Chorym po rozpoznaniu raka piersi należy zalecić regularną aktywnośc fizycz</w:t>
      </w:r>
      <w:r w:rsidR="009137CF">
        <w:rPr>
          <w:sz w:val="20"/>
          <w:szCs w:val="20"/>
          <w:lang w:val="pl-PL"/>
        </w:rPr>
        <w:t>ną (min. 150 minut/tydzień) (I, </w:t>
      </w:r>
      <w:r>
        <w:rPr>
          <w:sz w:val="20"/>
          <w:szCs w:val="20"/>
          <w:lang w:val="pl-PL"/>
        </w:rPr>
        <w:t>A).</w:t>
      </w:r>
    </w:p>
    <w:p w:rsidR="008605C6" w:rsidRDefault="008605C6" w:rsidP="000E721D">
      <w:pPr>
        <w:numPr>
          <w:ilvl w:val="0"/>
          <w:numId w:val="13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Chorym należy zalecić zapobieganie przyrostowi masy ciała i utrzymanie jej w przedziale BMI 20-25 (II, B).</w:t>
      </w:r>
    </w:p>
    <w:p w:rsidR="008605C6" w:rsidRDefault="008605C6" w:rsidP="000E721D">
      <w:pPr>
        <w:numPr>
          <w:ilvl w:val="0"/>
          <w:numId w:val="13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Chorym należy zalecić og</w:t>
      </w:r>
      <w:r w:rsidR="0063298D">
        <w:rPr>
          <w:sz w:val="20"/>
          <w:szCs w:val="20"/>
          <w:lang w:val="pl-PL"/>
        </w:rPr>
        <w:t>raniczenie spożycia alkoholu (III</w:t>
      </w:r>
      <w:r>
        <w:rPr>
          <w:sz w:val="20"/>
          <w:szCs w:val="20"/>
          <w:lang w:val="pl-PL"/>
        </w:rPr>
        <w:t>, A).</w:t>
      </w:r>
    </w:p>
    <w:p w:rsidR="008605C6" w:rsidRDefault="004A0949" w:rsidP="000E721D">
      <w:pPr>
        <w:numPr>
          <w:ilvl w:val="0"/>
          <w:numId w:val="13"/>
        </w:numPr>
        <w:spacing w:after="120" w:line="240" w:lineRule="auto"/>
        <w:ind w:left="714" w:hanging="357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Palą</w:t>
      </w:r>
      <w:r w:rsidR="008605C6">
        <w:rPr>
          <w:sz w:val="20"/>
          <w:szCs w:val="20"/>
          <w:lang w:val="pl-PL"/>
        </w:rPr>
        <w:t>cym chorym należy zalecić zaprzestanie palenia tytoniu (III, A).</w:t>
      </w:r>
    </w:p>
    <w:p w:rsidR="007D5DCC" w:rsidRDefault="007D5DCC" w:rsidP="007D5DCC">
      <w:pPr>
        <w:spacing w:after="120" w:line="240" w:lineRule="auto"/>
        <w:ind w:left="714"/>
        <w:jc w:val="both"/>
        <w:rPr>
          <w:sz w:val="20"/>
          <w:szCs w:val="20"/>
          <w:lang w:val="pl-PL"/>
        </w:rPr>
      </w:pPr>
    </w:p>
    <w:p w:rsidR="006A3D31" w:rsidRPr="00F463B2" w:rsidRDefault="006A3D31" w:rsidP="006A3D31">
      <w:pPr>
        <w:pStyle w:val="Nagwek1"/>
        <w:spacing w:before="0" w:beforeAutospacing="0" w:after="240" w:afterAutospacing="0"/>
        <w:rPr>
          <w:rFonts w:ascii="Arial" w:hAnsi="Arial" w:cs="Arial"/>
          <w:color w:val="2E74B5"/>
          <w:sz w:val="28"/>
          <w:szCs w:val="28"/>
          <w:lang w:val="pl-PL"/>
        </w:rPr>
      </w:pPr>
      <w:bookmarkStart w:id="43" w:name="_Toc516233190"/>
      <w:r w:rsidRPr="00F463B2">
        <w:rPr>
          <w:rFonts w:ascii="Arial" w:hAnsi="Arial" w:cs="Arial"/>
          <w:color w:val="2E74B5"/>
          <w:sz w:val="28"/>
          <w:szCs w:val="28"/>
          <w:lang w:val="pl-PL"/>
        </w:rPr>
        <w:t xml:space="preserve">Obserwacja po </w:t>
      </w:r>
      <w:r w:rsidRPr="00F463B2">
        <w:rPr>
          <w:rFonts w:ascii="Arial" w:hAnsi="Arial" w:cs="Arial"/>
          <w:color w:val="2E74B5"/>
          <w:w w:val="103"/>
          <w:sz w:val="28"/>
          <w:szCs w:val="28"/>
          <w:lang w:val="pl-PL"/>
        </w:rPr>
        <w:t>leczeniu</w:t>
      </w:r>
      <w:bookmarkEnd w:id="43"/>
    </w:p>
    <w:p w:rsidR="008E76D1" w:rsidRPr="00F463B2" w:rsidRDefault="008E76D1" w:rsidP="000E721D">
      <w:pPr>
        <w:numPr>
          <w:ilvl w:val="0"/>
          <w:numId w:val="23"/>
        </w:numPr>
        <w:spacing w:after="120" w:line="240" w:lineRule="auto"/>
        <w:ind w:left="714" w:right="113" w:hanging="357"/>
        <w:jc w:val="both"/>
        <w:rPr>
          <w:rFonts w:eastAsia="Franklin Gothic Medium"/>
          <w:sz w:val="20"/>
          <w:szCs w:val="20"/>
          <w:lang w:val="pl-PL"/>
        </w:rPr>
      </w:pPr>
      <w:r w:rsidRPr="00F463B2">
        <w:rPr>
          <w:rFonts w:eastAsia="Franklin Gothic Medium"/>
          <w:sz w:val="20"/>
          <w:szCs w:val="20"/>
          <w:lang w:val="pl-PL"/>
        </w:rPr>
        <w:t>U chorych na raka piersi, które otrzymały leczenie z radykalną intencją</w:t>
      </w:r>
      <w:r w:rsidR="0092635C">
        <w:rPr>
          <w:rFonts w:eastAsia="Franklin Gothic Medium"/>
          <w:sz w:val="20"/>
          <w:szCs w:val="20"/>
          <w:lang w:val="pl-PL"/>
        </w:rPr>
        <w:t>,</w:t>
      </w:r>
      <w:r w:rsidRPr="00F463B2">
        <w:rPr>
          <w:rFonts w:eastAsia="Franklin Gothic Medium"/>
          <w:sz w:val="20"/>
          <w:szCs w:val="20"/>
          <w:lang w:val="pl-PL"/>
        </w:rPr>
        <w:t xml:space="preserve"> zaleca się </w:t>
      </w:r>
      <w:r w:rsidR="00A04369" w:rsidRPr="00F463B2">
        <w:rPr>
          <w:rFonts w:eastAsia="Franklin Gothic Medium"/>
          <w:sz w:val="20"/>
          <w:szCs w:val="20"/>
          <w:lang w:val="pl-PL"/>
        </w:rPr>
        <w:t>comiesięczne</w:t>
      </w:r>
      <w:r w:rsidRPr="00F463B2">
        <w:rPr>
          <w:rFonts w:eastAsia="Franklin Gothic Medium"/>
          <w:sz w:val="20"/>
          <w:szCs w:val="20"/>
          <w:lang w:val="pl-PL"/>
        </w:rPr>
        <w:t xml:space="preserve"> samobadanie piersi, okresową kontrolę lekarską obejmującą badanie podmiotowe i przedmiotowe, oraz powtarzaną co rok MMG, w razie potrzeby uzup</w:t>
      </w:r>
      <w:r w:rsidR="0092635C">
        <w:rPr>
          <w:rFonts w:eastAsia="Franklin Gothic Medium"/>
          <w:sz w:val="20"/>
          <w:szCs w:val="20"/>
          <w:lang w:val="pl-PL"/>
        </w:rPr>
        <w:t>ełnioną o USG lub MR piersi (II, B</w:t>
      </w:r>
      <w:r w:rsidRPr="00F463B2">
        <w:rPr>
          <w:rFonts w:eastAsia="Franklin Gothic Medium"/>
          <w:sz w:val="20"/>
          <w:szCs w:val="20"/>
          <w:lang w:val="pl-PL"/>
        </w:rPr>
        <w:t>)</w:t>
      </w:r>
      <w:r w:rsidR="00C63404">
        <w:rPr>
          <w:rFonts w:eastAsia="Franklin Gothic Medium"/>
          <w:sz w:val="20"/>
          <w:szCs w:val="20"/>
          <w:lang w:val="pl-PL"/>
        </w:rPr>
        <w:t>.</w:t>
      </w:r>
    </w:p>
    <w:p w:rsidR="006A3D31" w:rsidRDefault="00A471DB" w:rsidP="000E721D">
      <w:pPr>
        <w:numPr>
          <w:ilvl w:val="0"/>
          <w:numId w:val="23"/>
        </w:numPr>
        <w:spacing w:after="120" w:line="240" w:lineRule="auto"/>
        <w:ind w:left="714" w:right="113" w:hanging="357"/>
        <w:jc w:val="both"/>
        <w:rPr>
          <w:rFonts w:eastAsia="Franklin Gothic Medium"/>
          <w:sz w:val="20"/>
          <w:szCs w:val="20"/>
          <w:lang w:val="pl-PL"/>
        </w:rPr>
      </w:pPr>
      <w:r w:rsidRPr="00F463B2">
        <w:rPr>
          <w:rFonts w:eastAsia="Franklin Gothic Medium"/>
          <w:sz w:val="20"/>
          <w:szCs w:val="20"/>
          <w:lang w:val="pl-PL"/>
        </w:rPr>
        <w:t xml:space="preserve">Nie zaleca się </w:t>
      </w:r>
      <w:r w:rsidR="0067234B">
        <w:rPr>
          <w:rFonts w:eastAsia="Franklin Gothic Medium"/>
          <w:sz w:val="20"/>
          <w:szCs w:val="20"/>
          <w:lang w:val="pl-PL"/>
        </w:rPr>
        <w:t xml:space="preserve">wykonywania </w:t>
      </w:r>
      <w:r w:rsidR="0067234B" w:rsidRPr="00F463B2">
        <w:rPr>
          <w:rFonts w:eastAsia="Franklin Gothic Medium"/>
          <w:sz w:val="20"/>
          <w:szCs w:val="20"/>
          <w:lang w:val="pl-PL"/>
        </w:rPr>
        <w:t xml:space="preserve">rozszerzonego zakresu badań obrazowych lub laboratoryjnych </w:t>
      </w:r>
      <w:r w:rsidR="0067234B">
        <w:rPr>
          <w:rFonts w:eastAsia="Franklin Gothic Medium"/>
          <w:sz w:val="20"/>
          <w:szCs w:val="20"/>
          <w:lang w:val="pl-PL"/>
        </w:rPr>
        <w:t xml:space="preserve">w celu </w:t>
      </w:r>
      <w:r w:rsidRPr="00F463B2">
        <w:rPr>
          <w:rFonts w:eastAsia="Franklin Gothic Medium"/>
          <w:sz w:val="20"/>
          <w:szCs w:val="20"/>
          <w:lang w:val="pl-PL"/>
        </w:rPr>
        <w:t>aktywnego poszukiwania bezobjawowych przerzutów odległych</w:t>
      </w:r>
      <w:r w:rsidR="00CD0278">
        <w:rPr>
          <w:rFonts w:eastAsia="Franklin Gothic Medium"/>
          <w:sz w:val="20"/>
          <w:szCs w:val="20"/>
          <w:lang w:val="pl-PL"/>
        </w:rPr>
        <w:t xml:space="preserve"> (I, </w:t>
      </w:r>
      <w:r w:rsidR="00CA5AE9">
        <w:rPr>
          <w:rFonts w:eastAsia="Franklin Gothic Medium"/>
          <w:sz w:val="20"/>
          <w:szCs w:val="20"/>
          <w:lang w:val="pl-PL"/>
        </w:rPr>
        <w:t>B</w:t>
      </w:r>
      <w:r w:rsidR="00CD0278">
        <w:rPr>
          <w:rFonts w:eastAsia="Franklin Gothic Medium"/>
          <w:sz w:val="20"/>
          <w:szCs w:val="20"/>
          <w:lang w:val="pl-PL"/>
        </w:rPr>
        <w:t>).</w:t>
      </w:r>
      <w:r w:rsidR="00C63404">
        <w:rPr>
          <w:rFonts w:eastAsia="Franklin Gothic Medium"/>
          <w:sz w:val="20"/>
          <w:szCs w:val="20"/>
          <w:lang w:val="pl-PL"/>
        </w:rPr>
        <w:t xml:space="preserve"> Wykonanie tych badań uzasadnione jest natomiast w przypadku klinicznych cech sugerujących nawrót nowotworu (</w:t>
      </w:r>
      <w:r w:rsidR="0092635C">
        <w:rPr>
          <w:rFonts w:eastAsia="Franklin Gothic Medium"/>
          <w:sz w:val="20"/>
          <w:szCs w:val="20"/>
          <w:lang w:val="pl-PL"/>
        </w:rPr>
        <w:t>I</w:t>
      </w:r>
      <w:r w:rsidR="00C63404">
        <w:rPr>
          <w:rFonts w:eastAsia="Franklin Gothic Medium"/>
          <w:sz w:val="20"/>
          <w:szCs w:val="20"/>
          <w:lang w:val="pl-PL"/>
        </w:rPr>
        <w:t>V, C).</w:t>
      </w:r>
    </w:p>
    <w:p w:rsidR="006A3D31" w:rsidRPr="00F463B2" w:rsidRDefault="009137CF" w:rsidP="009137CF">
      <w:pPr>
        <w:spacing w:after="120" w:line="240" w:lineRule="auto"/>
        <w:ind w:left="714" w:right="113"/>
        <w:jc w:val="both"/>
        <w:rPr>
          <w:color w:val="5B9BD5"/>
          <w:sz w:val="28"/>
          <w:lang w:val="pl-PL"/>
        </w:rPr>
      </w:pPr>
      <w:r>
        <w:rPr>
          <w:rFonts w:eastAsia="Franklin Gothic Medium"/>
          <w:sz w:val="20"/>
          <w:szCs w:val="20"/>
          <w:lang w:val="pl-PL"/>
        </w:rPr>
        <w:br w:type="page"/>
      </w:r>
      <w:bookmarkStart w:id="44" w:name="_Toc516233192"/>
      <w:r w:rsidR="006A3D31" w:rsidRPr="00F463B2">
        <w:rPr>
          <w:color w:val="5B9BD5"/>
          <w:sz w:val="28"/>
          <w:lang w:val="pl-PL"/>
        </w:rPr>
        <w:lastRenderedPageBreak/>
        <w:t>Piśmiennictwo</w:t>
      </w:r>
      <w:bookmarkEnd w:id="44"/>
    </w:p>
    <w:p w:rsidR="006A3D31" w:rsidRPr="00F463B2" w:rsidRDefault="006A3D31" w:rsidP="006A3D31">
      <w:pPr>
        <w:spacing w:after="0" w:line="200" w:lineRule="exact"/>
        <w:rPr>
          <w:sz w:val="20"/>
          <w:szCs w:val="20"/>
          <w:lang w:val="pl-PL"/>
        </w:rPr>
      </w:pPr>
    </w:p>
    <w:p w:rsidR="006A3D31" w:rsidRPr="00227ADD" w:rsidRDefault="006A3D31" w:rsidP="00E82B30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108" w:hanging="567"/>
        <w:jc w:val="both"/>
        <w:rPr>
          <w:rFonts w:eastAsia="Franklin Gothic Medium"/>
          <w:w w:val="90"/>
          <w:sz w:val="20"/>
          <w:szCs w:val="20"/>
          <w:lang w:val="pl-PL"/>
        </w:rPr>
      </w:pPr>
      <w:r w:rsidRPr="00227ADD">
        <w:rPr>
          <w:rFonts w:eastAsia="Franklin Gothic Medium"/>
          <w:w w:val="90"/>
          <w:sz w:val="20"/>
          <w:szCs w:val="20"/>
          <w:lang w:val="pl-PL"/>
        </w:rPr>
        <w:t>Didkowska J,, Wojciechowska U. Nowotwory złośliwe w Polsce w 2013 roku. Centrum Onkologii – Instytut im. M. Skłodowskiej-Curie, Warszawa 2015.</w:t>
      </w:r>
    </w:p>
    <w:p w:rsidR="006A3D31" w:rsidRPr="00640E2B" w:rsidRDefault="006A3D31" w:rsidP="00E82B30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ind w:left="706" w:right="108" w:hanging="567"/>
        <w:jc w:val="both"/>
        <w:rPr>
          <w:w w:val="90"/>
          <w:sz w:val="20"/>
          <w:szCs w:val="20"/>
        </w:rPr>
      </w:pPr>
      <w:r w:rsidRPr="00640E2B">
        <w:rPr>
          <w:w w:val="90"/>
          <w:sz w:val="20"/>
          <w:szCs w:val="20"/>
        </w:rPr>
        <w:t>Perry N., Broeders M., de Wolf C. i wsp. European guidelines for quality assurance in breast cancer screening and diagnosis European Commission. Wyd. 4. European Commission, Office for Official Publications of the European Communities, Luksemburg 2006.</w:t>
      </w:r>
    </w:p>
    <w:p w:rsidR="006A3D31" w:rsidRPr="00640E2B" w:rsidRDefault="006A3D31" w:rsidP="00E82B30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ind w:left="706" w:right="68" w:hanging="567"/>
        <w:jc w:val="both"/>
        <w:rPr>
          <w:b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>D’Orsi C.J., Sickles E.A., Mendelson E.B. i wsp. ACR BI-RADS</w:t>
      </w:r>
      <w:r w:rsidRPr="00640E2B">
        <w:rPr>
          <w:w w:val="90"/>
          <w:sz w:val="20"/>
          <w:szCs w:val="20"/>
          <w:vertAlign w:val="superscript"/>
        </w:rPr>
        <w:t>®</w:t>
      </w:r>
      <w:r w:rsidRPr="00640E2B">
        <w:rPr>
          <w:w w:val="90"/>
          <w:sz w:val="20"/>
          <w:szCs w:val="20"/>
        </w:rPr>
        <w:t xml:space="preserve"> Atlas, Breast Imaging Reporting and Data System. </w:t>
      </w:r>
      <w:r w:rsidRPr="00640E2B">
        <w:rPr>
          <w:rFonts w:cs="Arial"/>
          <w:w w:val="90"/>
          <w:sz w:val="20"/>
          <w:szCs w:val="20"/>
          <w:lang w:val="pl-PL"/>
        </w:rPr>
        <w:t>Reston, VA, American College of Radiology; 2013.</w:t>
      </w:r>
    </w:p>
    <w:p w:rsidR="006A3D31" w:rsidRPr="00640E2B" w:rsidRDefault="006A3D31" w:rsidP="00E82B30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706" w:right="28" w:hanging="567"/>
        <w:contextualSpacing/>
        <w:jc w:val="both"/>
        <w:rPr>
          <w:rFonts w:cs="Helvetica"/>
          <w:w w:val="90"/>
          <w:sz w:val="20"/>
          <w:szCs w:val="20"/>
          <w:lang w:val="pl-PL"/>
        </w:rPr>
      </w:pPr>
      <w:r w:rsidRPr="00640E2B">
        <w:rPr>
          <w:rFonts w:cs="Helvetica"/>
          <w:w w:val="90"/>
          <w:sz w:val="20"/>
          <w:szCs w:val="20"/>
          <w:lang w:val="pl-PL"/>
        </w:rPr>
        <w:t>Brożek I., Limon J. Poradnictwo genetyczne w dziedzicznym raku piersi. W: Jassem J, Krzakowski M (red). Rak piersi. Praktyczny przewodnik dla lekarzy. Via Medica, Gdańsk, 2009; 20-31.</w:t>
      </w:r>
    </w:p>
    <w:p w:rsidR="006A3D31" w:rsidRPr="00640E2B" w:rsidRDefault="006A3D31" w:rsidP="00E82B30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709" w:right="28" w:hanging="567"/>
        <w:contextualSpacing/>
        <w:jc w:val="both"/>
        <w:rPr>
          <w:w w:val="90"/>
          <w:sz w:val="20"/>
          <w:szCs w:val="20"/>
        </w:rPr>
      </w:pPr>
      <w:r w:rsidRPr="00640E2B">
        <w:rPr>
          <w:w w:val="90"/>
          <w:sz w:val="20"/>
          <w:szCs w:val="20"/>
        </w:rPr>
        <w:t xml:space="preserve">NCCN Clinical practice guidelines in oncology: genetic/familial high risk assessment: breast &amp; ovarian. Version 2.2016 ed2016. www.nccn.org/professionals/physician_gls/pdf/genetics_screening.pdf (dostęp: 24.10.2017). </w:t>
      </w:r>
    </w:p>
    <w:p w:rsidR="004D41E0" w:rsidRPr="00640E2B" w:rsidRDefault="004D41E0" w:rsidP="00E82B3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28" w:hanging="567"/>
        <w:contextualSpacing/>
        <w:jc w:val="both"/>
        <w:rPr>
          <w:rFonts w:cs="Courier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Paluch-Shimon S., Cardoso F., Sessa C. i wsp. ESMO Guidelines Committee. Prevention and screening in </w:t>
      </w:r>
      <w:r w:rsidRPr="00640E2B">
        <w:rPr>
          <w:i/>
          <w:w w:val="90"/>
          <w:sz w:val="20"/>
          <w:szCs w:val="20"/>
        </w:rPr>
        <w:t>BRCA</w:t>
      </w:r>
      <w:r w:rsidRPr="00640E2B">
        <w:rPr>
          <w:w w:val="90"/>
          <w:sz w:val="20"/>
          <w:szCs w:val="20"/>
        </w:rPr>
        <w:t xml:space="preserve"> mutation carriers and other breast/ovarian hereditary cancer syndromes: ESMO Clinical Practice Guidelines for cancer prevention and screening. </w:t>
      </w:r>
      <w:r w:rsidRPr="00640E2B">
        <w:rPr>
          <w:rFonts w:cs="Courier"/>
          <w:i/>
          <w:w w:val="90"/>
          <w:sz w:val="20"/>
          <w:szCs w:val="20"/>
          <w:lang w:val="pl-PL"/>
        </w:rPr>
        <w:t>Ann. Oncol</w:t>
      </w:r>
      <w:r w:rsidRPr="00640E2B">
        <w:rPr>
          <w:rFonts w:cs="Courier"/>
          <w:w w:val="90"/>
          <w:sz w:val="20"/>
          <w:szCs w:val="20"/>
          <w:lang w:val="pl-PL"/>
        </w:rPr>
        <w:t>. 2016; 27 (supl. 5): v103-v110.</w:t>
      </w:r>
    </w:p>
    <w:p w:rsidR="004D41E0" w:rsidRPr="00640E2B" w:rsidRDefault="004D41E0" w:rsidP="00E82B3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28" w:hanging="567"/>
        <w:contextualSpacing/>
        <w:jc w:val="both"/>
        <w:rPr>
          <w:rFonts w:cs="Helvetica"/>
          <w:w w:val="90"/>
          <w:sz w:val="20"/>
          <w:szCs w:val="20"/>
          <w:lang w:val="pl-PL"/>
        </w:rPr>
      </w:pPr>
      <w:r w:rsidRPr="00640E2B">
        <w:rPr>
          <w:color w:val="231F20"/>
          <w:w w:val="90"/>
          <w:sz w:val="20"/>
          <w:szCs w:val="20"/>
        </w:rPr>
        <w:t xml:space="preserve">Kurian A.W., Hare E.E., Mills M.A. i wsp. Clinical evaluation of a multiplegene sequencing panel for hereditary cancer risk assessment. </w:t>
      </w:r>
      <w:r w:rsidRPr="00227ADD">
        <w:rPr>
          <w:i/>
          <w:color w:val="231F20"/>
          <w:w w:val="90"/>
          <w:sz w:val="20"/>
          <w:szCs w:val="20"/>
          <w:lang w:val="pl-PL"/>
        </w:rPr>
        <w:t>J. Clin. Oncol.</w:t>
      </w:r>
      <w:r w:rsidRPr="009D6B8A">
        <w:rPr>
          <w:color w:val="231F20"/>
          <w:w w:val="90"/>
          <w:sz w:val="20"/>
          <w:szCs w:val="20"/>
          <w:lang w:val="pl-PL"/>
        </w:rPr>
        <w:t xml:space="preserve"> </w:t>
      </w:r>
      <w:r w:rsidRPr="00E763C7">
        <w:rPr>
          <w:color w:val="231F20"/>
          <w:w w:val="90"/>
          <w:sz w:val="20"/>
          <w:szCs w:val="20"/>
          <w:lang w:val="pl-PL"/>
        </w:rPr>
        <w:t>2014; 32: 2001–2009</w:t>
      </w:r>
      <w:r w:rsidRPr="00640E2B">
        <w:rPr>
          <w:rFonts w:cs="Helvetica"/>
          <w:w w:val="90"/>
          <w:sz w:val="20"/>
          <w:szCs w:val="20"/>
          <w:lang w:val="pl-PL"/>
        </w:rPr>
        <w:t>.</w:t>
      </w:r>
    </w:p>
    <w:p w:rsidR="004D41E0" w:rsidRPr="00640E2B" w:rsidRDefault="004D41E0" w:rsidP="00E82B3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28" w:hanging="567"/>
        <w:contextualSpacing/>
        <w:jc w:val="both"/>
        <w:rPr>
          <w:rFonts w:cs="Helvetica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Antoniou A., Hardy R., Walker L. i wsp. Predicting the likelihood of carrying a </w:t>
      </w:r>
      <w:r w:rsidRPr="00640E2B">
        <w:rPr>
          <w:i/>
          <w:w w:val="90"/>
          <w:sz w:val="20"/>
          <w:szCs w:val="20"/>
        </w:rPr>
        <w:t>BRCA1</w:t>
      </w:r>
      <w:r w:rsidRPr="00640E2B">
        <w:rPr>
          <w:w w:val="90"/>
          <w:sz w:val="20"/>
          <w:szCs w:val="20"/>
        </w:rPr>
        <w:t xml:space="preserve"> or </w:t>
      </w:r>
      <w:r w:rsidRPr="00640E2B">
        <w:rPr>
          <w:i/>
          <w:w w:val="90"/>
          <w:sz w:val="20"/>
          <w:szCs w:val="20"/>
        </w:rPr>
        <w:t>BRCA2</w:t>
      </w:r>
      <w:r w:rsidRPr="00640E2B">
        <w:rPr>
          <w:w w:val="90"/>
          <w:sz w:val="20"/>
          <w:szCs w:val="20"/>
        </w:rPr>
        <w:t xml:space="preserve"> mutation: validation of BOADICEA, BRCAPRO, IBIS, Myriad and the Manchester Scoring System using data from UK genetics clinics. </w:t>
      </w:r>
      <w:r w:rsidRPr="00640E2B">
        <w:rPr>
          <w:rFonts w:cs="Helvetica"/>
          <w:i/>
          <w:w w:val="90"/>
          <w:sz w:val="20"/>
          <w:szCs w:val="20"/>
          <w:lang w:val="pl-PL"/>
        </w:rPr>
        <w:t>J. Med. Genet.</w:t>
      </w:r>
      <w:r w:rsidRPr="00640E2B">
        <w:rPr>
          <w:rFonts w:cs="Helvetica"/>
          <w:w w:val="90"/>
          <w:sz w:val="20"/>
          <w:szCs w:val="20"/>
          <w:lang w:val="pl-PL"/>
        </w:rPr>
        <w:t xml:space="preserve"> 2008; 45: 425–431.</w:t>
      </w:r>
    </w:p>
    <w:p w:rsidR="004D41E0" w:rsidRPr="00640E2B" w:rsidRDefault="004D41E0" w:rsidP="00E82B3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28" w:hanging="567"/>
        <w:contextualSpacing/>
        <w:jc w:val="both"/>
        <w:rPr>
          <w:rFonts w:cs="Helvetica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Levy-Lahad E, Friedman E. Cancer risks among </w:t>
      </w:r>
      <w:r w:rsidRPr="00640E2B">
        <w:rPr>
          <w:i/>
          <w:w w:val="90"/>
          <w:sz w:val="20"/>
          <w:szCs w:val="20"/>
        </w:rPr>
        <w:t>BRCA1</w:t>
      </w:r>
      <w:r w:rsidRPr="00640E2B">
        <w:rPr>
          <w:w w:val="90"/>
          <w:sz w:val="20"/>
          <w:szCs w:val="20"/>
        </w:rPr>
        <w:t xml:space="preserve"> and </w:t>
      </w:r>
      <w:r w:rsidRPr="00640E2B">
        <w:rPr>
          <w:i/>
          <w:w w:val="90"/>
          <w:sz w:val="20"/>
          <w:szCs w:val="20"/>
        </w:rPr>
        <w:t>BRCA2</w:t>
      </w:r>
      <w:r w:rsidRPr="00640E2B">
        <w:rPr>
          <w:w w:val="90"/>
          <w:sz w:val="20"/>
          <w:szCs w:val="20"/>
        </w:rPr>
        <w:t xml:space="preserve"> mutations carriers. </w:t>
      </w:r>
      <w:r w:rsidRPr="00640E2B">
        <w:rPr>
          <w:rFonts w:cs="Helvetica"/>
          <w:i/>
          <w:w w:val="90"/>
          <w:sz w:val="20"/>
          <w:szCs w:val="20"/>
          <w:lang w:val="pl-PL"/>
        </w:rPr>
        <w:t>Br. J. Cancer.</w:t>
      </w:r>
      <w:r w:rsidRPr="00640E2B">
        <w:rPr>
          <w:rFonts w:cs="Helvetica"/>
          <w:w w:val="90"/>
          <w:sz w:val="20"/>
          <w:szCs w:val="20"/>
          <w:lang w:val="pl-PL"/>
        </w:rPr>
        <w:t xml:space="preserve"> 2007; 96: 11-15.</w:t>
      </w:r>
    </w:p>
    <w:p w:rsidR="004D41E0" w:rsidRPr="00227ADD" w:rsidRDefault="004D41E0" w:rsidP="00E82B30">
      <w:pPr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cs="Calibri"/>
          <w:w w:val="90"/>
          <w:sz w:val="20"/>
          <w:szCs w:val="20"/>
          <w:lang w:eastAsia="pl-PL"/>
        </w:rPr>
      </w:pPr>
      <w:r w:rsidRPr="007D5A14">
        <w:rPr>
          <w:rFonts w:cs="Calibri"/>
          <w:w w:val="90"/>
          <w:sz w:val="20"/>
          <w:szCs w:val="20"/>
          <w:lang w:val="de-DE" w:eastAsia="pl-PL"/>
        </w:rPr>
        <w:t xml:space="preserve">Kuhl C.K., Schrading S., Leutner C.C. i wsp. </w:t>
      </w:r>
      <w:r w:rsidRPr="00640E2B">
        <w:rPr>
          <w:rFonts w:cs="Calibri"/>
          <w:w w:val="90"/>
          <w:sz w:val="20"/>
          <w:szCs w:val="20"/>
          <w:lang w:eastAsia="pl-PL"/>
        </w:rPr>
        <w:t xml:space="preserve">Mammography, breast ultrasound, and magnetic resonance imaging for surveillance of women at high familial risk for breast cancer. </w:t>
      </w:r>
      <w:r w:rsidRPr="00640E2B">
        <w:rPr>
          <w:rFonts w:cs="Calibri"/>
          <w:i/>
          <w:w w:val="90"/>
          <w:sz w:val="20"/>
          <w:szCs w:val="20"/>
          <w:lang w:eastAsia="pl-PL"/>
        </w:rPr>
        <w:t>J. Clin. Oncol.</w:t>
      </w:r>
      <w:r w:rsidRPr="00227ADD">
        <w:rPr>
          <w:rFonts w:cs="Calibri"/>
          <w:w w:val="90"/>
          <w:sz w:val="20"/>
          <w:szCs w:val="20"/>
          <w:lang w:eastAsia="pl-PL"/>
        </w:rPr>
        <w:t xml:space="preserve"> 2005; 23: 8469–8476.</w:t>
      </w:r>
    </w:p>
    <w:p w:rsidR="004D41E0" w:rsidRPr="00227ADD" w:rsidRDefault="004D41E0" w:rsidP="00E82B30">
      <w:pPr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cs="Calibri"/>
          <w:w w:val="90"/>
          <w:sz w:val="20"/>
          <w:szCs w:val="20"/>
          <w:lang w:eastAsia="pl-PL"/>
        </w:rPr>
      </w:pPr>
      <w:r w:rsidRPr="007D5A14">
        <w:rPr>
          <w:rFonts w:cs="Calibri"/>
          <w:w w:val="90"/>
          <w:sz w:val="20"/>
          <w:szCs w:val="20"/>
          <w:lang w:val="es-ES" w:eastAsia="pl-PL"/>
        </w:rPr>
        <w:t xml:space="preserve">De Felice F., Marchetti C., Musella A. i wsp. </w:t>
      </w:r>
      <w:r w:rsidRPr="00640E2B">
        <w:rPr>
          <w:rFonts w:cs="Calibri"/>
          <w:w w:val="90"/>
          <w:sz w:val="20"/>
          <w:szCs w:val="20"/>
          <w:lang w:eastAsia="pl-PL"/>
        </w:rPr>
        <w:t xml:space="preserve">Bilateral risk-reduction mastectomy in BRCA1 and BRCA2 mutation carriers: A meta-analysis. </w:t>
      </w:r>
      <w:hyperlink r:id="rId10" w:tooltip="Annals of surgical oncology." w:history="1">
        <w:r w:rsidRPr="00640E2B">
          <w:rPr>
            <w:rStyle w:val="highlight"/>
            <w:rFonts w:cs="Calibri"/>
            <w:i/>
            <w:color w:val="333333"/>
            <w:w w:val="90"/>
            <w:sz w:val="20"/>
            <w:szCs w:val="20"/>
          </w:rPr>
          <w:t>Ann. Surg. Oncol</w:t>
        </w:r>
        <w:r w:rsidRPr="00640E2B">
          <w:rPr>
            <w:rStyle w:val="Hipercze"/>
            <w:rFonts w:cs="Calibri"/>
            <w:i/>
            <w:color w:val="333333"/>
            <w:w w:val="90"/>
            <w:sz w:val="20"/>
            <w:szCs w:val="20"/>
            <w:u w:val="none"/>
          </w:rPr>
          <w:t>.</w:t>
        </w:r>
      </w:hyperlink>
      <w:r w:rsidRPr="00640E2B">
        <w:rPr>
          <w:rFonts w:cs="Calibri"/>
          <w:color w:val="000000"/>
          <w:w w:val="90"/>
          <w:sz w:val="20"/>
          <w:szCs w:val="20"/>
        </w:rPr>
        <w:t xml:space="preserve"> </w:t>
      </w:r>
      <w:r w:rsidRPr="00640E2B">
        <w:rPr>
          <w:rStyle w:val="highlight"/>
          <w:rFonts w:cs="Calibri"/>
          <w:color w:val="000000"/>
          <w:w w:val="90"/>
          <w:sz w:val="20"/>
          <w:szCs w:val="20"/>
        </w:rPr>
        <w:t>2015</w:t>
      </w:r>
      <w:r w:rsidRPr="00640E2B">
        <w:rPr>
          <w:rFonts w:cs="Calibri"/>
          <w:color w:val="000000"/>
          <w:w w:val="90"/>
          <w:sz w:val="20"/>
          <w:szCs w:val="20"/>
        </w:rPr>
        <w:t>; 22: 2876-80.</w:t>
      </w:r>
    </w:p>
    <w:p w:rsidR="004D41E0" w:rsidRPr="00227ADD" w:rsidRDefault="004D41E0" w:rsidP="00E82B30">
      <w:pPr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eastAsia="Franklin Gothic Medium" w:cs="Calibri"/>
          <w:w w:val="90"/>
          <w:sz w:val="20"/>
          <w:szCs w:val="20"/>
        </w:rPr>
      </w:pPr>
      <w:r w:rsidRPr="00640E2B">
        <w:rPr>
          <w:rFonts w:cs="Calibri"/>
          <w:w w:val="90"/>
          <w:sz w:val="20"/>
          <w:szCs w:val="20"/>
          <w:lang w:eastAsia="pl-PL"/>
        </w:rPr>
        <w:t>Rebbeck T</w:t>
      </w:r>
      <w:r w:rsidRPr="00227ADD">
        <w:rPr>
          <w:rFonts w:cs="Calibri"/>
          <w:w w:val="90"/>
          <w:sz w:val="20"/>
          <w:szCs w:val="20"/>
          <w:lang w:eastAsia="pl-PL"/>
        </w:rPr>
        <w:t>.</w:t>
      </w:r>
      <w:r w:rsidRPr="00640E2B">
        <w:rPr>
          <w:rFonts w:cs="Calibri"/>
          <w:w w:val="90"/>
          <w:sz w:val="20"/>
          <w:szCs w:val="20"/>
          <w:lang w:eastAsia="pl-PL"/>
        </w:rPr>
        <w:t>R</w:t>
      </w:r>
      <w:r w:rsidRPr="00227ADD">
        <w:rPr>
          <w:rFonts w:cs="Calibri"/>
          <w:w w:val="90"/>
          <w:sz w:val="20"/>
          <w:szCs w:val="20"/>
          <w:lang w:eastAsia="pl-PL"/>
        </w:rPr>
        <w:t>.</w:t>
      </w:r>
      <w:r w:rsidRPr="00640E2B">
        <w:rPr>
          <w:rFonts w:cs="Calibri"/>
          <w:w w:val="90"/>
          <w:sz w:val="20"/>
          <w:szCs w:val="20"/>
          <w:lang w:eastAsia="pl-PL"/>
        </w:rPr>
        <w:t>, Kauff N</w:t>
      </w:r>
      <w:r w:rsidRPr="00227ADD">
        <w:rPr>
          <w:rFonts w:cs="Calibri"/>
          <w:w w:val="90"/>
          <w:sz w:val="20"/>
          <w:szCs w:val="20"/>
          <w:lang w:eastAsia="pl-PL"/>
        </w:rPr>
        <w:t>.</w:t>
      </w:r>
      <w:r w:rsidRPr="00640E2B">
        <w:rPr>
          <w:rFonts w:cs="Calibri"/>
          <w:w w:val="90"/>
          <w:sz w:val="20"/>
          <w:szCs w:val="20"/>
          <w:lang w:eastAsia="pl-PL"/>
        </w:rPr>
        <w:t>D</w:t>
      </w:r>
      <w:r w:rsidRPr="00227ADD">
        <w:rPr>
          <w:rFonts w:cs="Calibri"/>
          <w:w w:val="90"/>
          <w:sz w:val="20"/>
          <w:szCs w:val="20"/>
          <w:lang w:eastAsia="pl-PL"/>
        </w:rPr>
        <w:t>.</w:t>
      </w:r>
      <w:r w:rsidRPr="00640E2B">
        <w:rPr>
          <w:rFonts w:cs="Calibri"/>
          <w:w w:val="90"/>
          <w:sz w:val="20"/>
          <w:szCs w:val="20"/>
          <w:lang w:eastAsia="pl-PL"/>
        </w:rPr>
        <w:t>, Domchek S</w:t>
      </w:r>
      <w:r w:rsidRPr="00227ADD">
        <w:rPr>
          <w:rFonts w:cs="Calibri"/>
          <w:w w:val="90"/>
          <w:sz w:val="20"/>
          <w:szCs w:val="20"/>
          <w:lang w:eastAsia="pl-PL"/>
        </w:rPr>
        <w:t>.</w:t>
      </w:r>
      <w:r w:rsidRPr="00640E2B">
        <w:rPr>
          <w:rFonts w:cs="Calibri"/>
          <w:w w:val="90"/>
          <w:sz w:val="20"/>
          <w:szCs w:val="20"/>
          <w:lang w:eastAsia="pl-PL"/>
        </w:rPr>
        <w:t xml:space="preserve">M. Meta-analysis of risk reduction estimates associated with risk-reducing salpingooophorectomy in BRCA1 or BRCA2 mutation carriers. </w:t>
      </w:r>
      <w:r w:rsidRPr="00640E2B">
        <w:rPr>
          <w:rFonts w:cs="Calibri"/>
          <w:i/>
          <w:w w:val="90"/>
          <w:sz w:val="20"/>
          <w:szCs w:val="20"/>
          <w:lang w:eastAsia="pl-PL"/>
        </w:rPr>
        <w:t>J</w:t>
      </w:r>
      <w:r w:rsidRPr="00227ADD">
        <w:rPr>
          <w:rFonts w:cs="Calibri"/>
          <w:i/>
          <w:w w:val="90"/>
          <w:sz w:val="20"/>
          <w:szCs w:val="20"/>
          <w:lang w:eastAsia="pl-PL"/>
        </w:rPr>
        <w:t>.</w:t>
      </w:r>
      <w:r w:rsidRPr="00640E2B">
        <w:rPr>
          <w:rFonts w:cs="Calibri"/>
          <w:i/>
          <w:w w:val="90"/>
          <w:sz w:val="20"/>
          <w:szCs w:val="20"/>
          <w:lang w:eastAsia="pl-PL"/>
        </w:rPr>
        <w:t xml:space="preserve"> Natl</w:t>
      </w:r>
      <w:r w:rsidRPr="00227ADD">
        <w:rPr>
          <w:rFonts w:cs="Calibri"/>
          <w:i/>
          <w:w w:val="90"/>
          <w:sz w:val="20"/>
          <w:szCs w:val="20"/>
          <w:lang w:eastAsia="pl-PL"/>
        </w:rPr>
        <w:t>.</w:t>
      </w:r>
      <w:r w:rsidRPr="00640E2B">
        <w:rPr>
          <w:rFonts w:cs="Calibri"/>
          <w:i/>
          <w:w w:val="90"/>
          <w:sz w:val="20"/>
          <w:szCs w:val="20"/>
          <w:lang w:eastAsia="pl-PL"/>
        </w:rPr>
        <w:t xml:space="preserve"> Cancer Inst</w:t>
      </w:r>
      <w:r w:rsidRPr="00227ADD">
        <w:rPr>
          <w:rFonts w:cs="Calibri"/>
          <w:i/>
          <w:w w:val="90"/>
          <w:sz w:val="20"/>
          <w:szCs w:val="20"/>
          <w:lang w:eastAsia="pl-PL"/>
        </w:rPr>
        <w:t>.</w:t>
      </w:r>
      <w:r w:rsidRPr="00640E2B">
        <w:rPr>
          <w:rFonts w:cs="Calibri"/>
          <w:w w:val="90"/>
          <w:sz w:val="20"/>
          <w:szCs w:val="20"/>
          <w:lang w:eastAsia="pl-PL"/>
        </w:rPr>
        <w:t xml:space="preserve"> 2009;101:80-87.</w:t>
      </w:r>
    </w:p>
    <w:p w:rsidR="006A3D31" w:rsidRPr="00640E2B" w:rsidRDefault="006A3D31" w:rsidP="00E82B3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567"/>
        <w:contextualSpacing/>
        <w:jc w:val="both"/>
        <w:rPr>
          <w:rFonts w:cs="Arial"/>
          <w:w w:val="90"/>
          <w:sz w:val="20"/>
          <w:szCs w:val="20"/>
          <w:lang w:val="pl-PL"/>
        </w:rPr>
      </w:pPr>
      <w:r w:rsidRPr="00640E2B">
        <w:rPr>
          <w:color w:val="000000"/>
          <w:w w:val="90"/>
          <w:kern w:val="36"/>
          <w:sz w:val="20"/>
          <w:szCs w:val="20"/>
        </w:rPr>
        <w:t>Curigliano</w:t>
      </w:r>
      <w:r w:rsidRPr="00640E2B">
        <w:rPr>
          <w:color w:val="000000"/>
          <w:w w:val="90"/>
          <w:kern w:val="36"/>
          <w:sz w:val="20"/>
          <w:szCs w:val="20"/>
          <w:vertAlign w:val="superscript"/>
        </w:rPr>
        <w:t xml:space="preserve"> </w:t>
      </w:r>
      <w:r w:rsidRPr="00640E2B">
        <w:rPr>
          <w:color w:val="000000"/>
          <w:w w:val="90"/>
          <w:kern w:val="36"/>
          <w:sz w:val="20"/>
          <w:szCs w:val="20"/>
        </w:rPr>
        <w:t>G., Burstein</w:t>
      </w:r>
      <w:r w:rsidRPr="00640E2B">
        <w:rPr>
          <w:color w:val="000000"/>
          <w:w w:val="90"/>
          <w:kern w:val="36"/>
          <w:sz w:val="20"/>
          <w:szCs w:val="20"/>
          <w:vertAlign w:val="superscript"/>
        </w:rPr>
        <w:t xml:space="preserve"> </w:t>
      </w:r>
      <w:r w:rsidRPr="00640E2B">
        <w:rPr>
          <w:color w:val="000000"/>
          <w:w w:val="90"/>
          <w:kern w:val="36"/>
          <w:sz w:val="20"/>
          <w:szCs w:val="20"/>
        </w:rPr>
        <w:t xml:space="preserve">H.J., Winer E.P. i wsp. </w:t>
      </w:r>
      <w:r w:rsidRPr="00640E2B">
        <w:rPr>
          <w:w w:val="90"/>
          <w:sz w:val="20"/>
          <w:szCs w:val="20"/>
        </w:rPr>
        <w:t xml:space="preserve">De-escalating and escalating treatments for early stage breast cancer: </w:t>
      </w:r>
      <w:r w:rsidRPr="00640E2B">
        <w:rPr>
          <w:color w:val="000000"/>
          <w:w w:val="90"/>
          <w:kern w:val="36"/>
          <w:sz w:val="20"/>
          <w:szCs w:val="20"/>
        </w:rPr>
        <w:t>The St. Gallen International Expert Consensus Conference</w:t>
      </w:r>
      <w:r w:rsidRPr="00640E2B">
        <w:rPr>
          <w:w w:val="90"/>
          <w:sz w:val="20"/>
          <w:szCs w:val="20"/>
        </w:rPr>
        <w:t xml:space="preserve"> </w:t>
      </w:r>
      <w:r w:rsidRPr="00640E2B">
        <w:rPr>
          <w:color w:val="000000"/>
          <w:w w:val="90"/>
          <w:kern w:val="36"/>
          <w:sz w:val="20"/>
          <w:szCs w:val="20"/>
        </w:rPr>
        <w:t xml:space="preserve">on the Primary Therapy of Early Breast Cancer 2017. </w:t>
      </w:r>
      <w:r w:rsidRPr="00640E2B">
        <w:rPr>
          <w:rFonts w:eastAsia="Times New Roman" w:cs="Arial"/>
          <w:bCs/>
          <w:i/>
          <w:color w:val="000000"/>
          <w:w w:val="90"/>
          <w:kern w:val="36"/>
          <w:sz w:val="20"/>
          <w:szCs w:val="20"/>
          <w:lang w:val="pl-PL"/>
        </w:rPr>
        <w:t xml:space="preserve">Ann. Oncol. </w:t>
      </w:r>
      <w:r w:rsidRPr="00640E2B">
        <w:rPr>
          <w:rFonts w:eastAsia="Times New Roman" w:cs="Arial"/>
          <w:bCs/>
          <w:color w:val="000000"/>
          <w:w w:val="90"/>
          <w:kern w:val="36"/>
          <w:sz w:val="20"/>
          <w:szCs w:val="20"/>
          <w:lang w:val="pl-PL"/>
        </w:rPr>
        <w:t xml:space="preserve">2017; </w:t>
      </w:r>
      <w:r w:rsidRPr="00640E2B">
        <w:rPr>
          <w:w w:val="90"/>
          <w:sz w:val="20"/>
          <w:szCs w:val="20"/>
          <w:lang w:val="pl-PL"/>
        </w:rPr>
        <w:t>28: 1700-1712.</w:t>
      </w:r>
    </w:p>
    <w:p w:rsidR="006A3D31" w:rsidRPr="00640E2B" w:rsidRDefault="006A3D31" w:rsidP="00E82B30">
      <w:pPr>
        <w:widowControl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567"/>
        <w:contextualSpacing/>
        <w:jc w:val="both"/>
        <w:rPr>
          <w:rFonts w:cs="Arial"/>
          <w:w w:val="90"/>
          <w:sz w:val="20"/>
          <w:szCs w:val="20"/>
          <w:lang w:val="pl-PL" w:eastAsia="x-none"/>
        </w:rPr>
      </w:pPr>
      <w:r w:rsidRPr="007D5A14">
        <w:rPr>
          <w:w w:val="90"/>
          <w:sz w:val="20"/>
          <w:szCs w:val="20"/>
          <w:lang w:val="es-ES"/>
        </w:rPr>
        <w:t xml:space="preserve">Amin B.A., Edge S.B. (red). </w:t>
      </w:r>
      <w:r w:rsidRPr="00640E2B">
        <w:rPr>
          <w:w w:val="90"/>
          <w:sz w:val="20"/>
          <w:szCs w:val="20"/>
        </w:rPr>
        <w:t>AJCC cancer staging manual. 8</w:t>
      </w:r>
      <w:r w:rsidRPr="00640E2B">
        <w:rPr>
          <w:w w:val="90"/>
          <w:sz w:val="20"/>
          <w:szCs w:val="20"/>
          <w:vertAlign w:val="superscript"/>
        </w:rPr>
        <w:t>th</w:t>
      </w:r>
      <w:r w:rsidRPr="00640E2B">
        <w:rPr>
          <w:w w:val="90"/>
          <w:sz w:val="20"/>
          <w:szCs w:val="20"/>
        </w:rPr>
        <w:t xml:space="preserve"> ed. </w:t>
      </w:r>
      <w:r w:rsidRPr="00640E2B">
        <w:rPr>
          <w:rFonts w:cs="Arial"/>
          <w:w w:val="90"/>
          <w:sz w:val="20"/>
          <w:szCs w:val="20"/>
          <w:lang w:val="pl-PL" w:eastAsia="x-none"/>
        </w:rPr>
        <w:t>New York, NY: Springer; 2017.</w:t>
      </w:r>
    </w:p>
    <w:p w:rsidR="006A3D31" w:rsidRPr="00640E2B" w:rsidRDefault="006A3D31" w:rsidP="00E82B30">
      <w:pPr>
        <w:widowControl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</w:rPr>
      </w:pPr>
      <w:r w:rsidRPr="00640E2B">
        <w:rPr>
          <w:rFonts w:cs="Arial"/>
          <w:w w:val="90"/>
          <w:sz w:val="20"/>
          <w:szCs w:val="20"/>
          <w:lang w:val="pl-PL" w:eastAsia="x-none"/>
        </w:rPr>
        <w:t xml:space="preserve">Lakhani S.R., Ellis I.O., Schnitt S.J. i wsp. </w:t>
      </w:r>
      <w:r w:rsidRPr="00640E2B">
        <w:rPr>
          <w:w w:val="90"/>
          <w:sz w:val="20"/>
          <w:szCs w:val="20"/>
        </w:rPr>
        <w:t>WHO Classification of tumours of the breast, Lyon, France: IARC Press; 2013.</w:t>
      </w:r>
    </w:p>
    <w:p w:rsidR="006A3D31" w:rsidRPr="00227ADD" w:rsidRDefault="00A71CC5" w:rsidP="00E82B30">
      <w:pPr>
        <w:widowControl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567"/>
        <w:contextualSpacing/>
        <w:jc w:val="both"/>
        <w:rPr>
          <w:rFonts w:cs="Arial"/>
          <w:w w:val="90"/>
          <w:sz w:val="20"/>
          <w:szCs w:val="20"/>
          <w:lang w:val="pl-PL" w:eastAsia="x-none"/>
        </w:rPr>
      </w:pPr>
      <w:hyperlink r:id="rId11" w:history="1">
        <w:r w:rsidR="006A3D31" w:rsidRPr="007D5A14">
          <w:rPr>
            <w:w w:val="90"/>
            <w:sz w:val="20"/>
            <w:szCs w:val="20"/>
            <w:lang w:val="pl-PL"/>
          </w:rPr>
          <w:t>Singh K</w:t>
        </w:r>
      </w:hyperlink>
      <w:r w:rsidR="006A3D31" w:rsidRPr="007D5A14">
        <w:rPr>
          <w:w w:val="90"/>
          <w:sz w:val="20"/>
          <w:szCs w:val="20"/>
          <w:vertAlign w:val="superscript"/>
          <w:lang w:val="pl-PL"/>
        </w:rPr>
        <w:t>.</w:t>
      </w:r>
      <w:r w:rsidR="006A3D31" w:rsidRPr="007D5A14">
        <w:rPr>
          <w:w w:val="90"/>
          <w:sz w:val="20"/>
          <w:szCs w:val="20"/>
          <w:lang w:val="pl-PL"/>
        </w:rPr>
        <w:t xml:space="preserve">, </w:t>
      </w:r>
      <w:hyperlink r:id="rId12" w:history="1">
        <w:r w:rsidR="006A3D31" w:rsidRPr="007D5A14">
          <w:rPr>
            <w:w w:val="90"/>
            <w:sz w:val="20"/>
            <w:szCs w:val="20"/>
            <w:lang w:val="pl-PL"/>
          </w:rPr>
          <w:t>Tantravahi U</w:t>
        </w:r>
      </w:hyperlink>
      <w:r w:rsidR="006A3D31" w:rsidRPr="007D5A14">
        <w:rPr>
          <w:w w:val="90"/>
          <w:sz w:val="20"/>
          <w:szCs w:val="20"/>
          <w:vertAlign w:val="superscript"/>
          <w:lang w:val="pl-PL"/>
        </w:rPr>
        <w:t>.</w:t>
      </w:r>
      <w:r w:rsidR="006A3D31" w:rsidRPr="007D5A14">
        <w:rPr>
          <w:w w:val="90"/>
          <w:sz w:val="20"/>
          <w:szCs w:val="20"/>
          <w:lang w:val="pl-PL"/>
        </w:rPr>
        <w:t xml:space="preserve">, </w:t>
      </w:r>
      <w:hyperlink r:id="rId13" w:history="1">
        <w:r w:rsidR="006A3D31" w:rsidRPr="007D5A14">
          <w:rPr>
            <w:w w:val="90"/>
            <w:sz w:val="20"/>
            <w:szCs w:val="20"/>
            <w:lang w:val="pl-PL"/>
          </w:rPr>
          <w:t>Lomme M.M</w:t>
        </w:r>
      </w:hyperlink>
      <w:r w:rsidR="006A3D31" w:rsidRPr="007D5A14">
        <w:rPr>
          <w:w w:val="90"/>
          <w:sz w:val="20"/>
          <w:szCs w:val="20"/>
          <w:lang w:val="pl-PL"/>
        </w:rPr>
        <w:t>.</w:t>
      </w:r>
      <w:r w:rsidR="006A3D31" w:rsidRPr="007D5A14">
        <w:rPr>
          <w:w w:val="90"/>
          <w:sz w:val="20"/>
          <w:szCs w:val="20"/>
          <w:vertAlign w:val="superscript"/>
          <w:lang w:val="pl-PL"/>
        </w:rPr>
        <w:t xml:space="preserve"> </w:t>
      </w:r>
      <w:r w:rsidR="006A3D31" w:rsidRPr="007D5A14">
        <w:rPr>
          <w:w w:val="90"/>
          <w:sz w:val="20"/>
          <w:szCs w:val="20"/>
          <w:lang w:val="pl-PL"/>
        </w:rPr>
        <w:t xml:space="preserve">i wsp. </w:t>
      </w:r>
      <w:r w:rsidR="006A3D31" w:rsidRPr="00640E2B">
        <w:rPr>
          <w:w w:val="90"/>
          <w:sz w:val="20"/>
          <w:szCs w:val="20"/>
        </w:rPr>
        <w:t>Updated 2013 College of American Pathologists/American Society of Clinical Oncology (CAP/</w:t>
      </w:r>
      <w:r w:rsidR="006A3D31" w:rsidRPr="00640E2B">
        <w:rPr>
          <w:rStyle w:val="highlight2"/>
          <w:w w:val="90"/>
          <w:sz w:val="20"/>
          <w:szCs w:val="20"/>
        </w:rPr>
        <w:t>ASCO</w:t>
      </w:r>
      <w:r w:rsidR="006A3D31" w:rsidRPr="00640E2B">
        <w:rPr>
          <w:w w:val="90"/>
          <w:sz w:val="20"/>
          <w:szCs w:val="20"/>
        </w:rPr>
        <w:t xml:space="preserve">) guideline </w:t>
      </w:r>
      <w:r w:rsidR="006A3D31" w:rsidRPr="00640E2B">
        <w:rPr>
          <w:rStyle w:val="highlight2"/>
          <w:w w:val="90"/>
          <w:sz w:val="20"/>
          <w:szCs w:val="20"/>
        </w:rPr>
        <w:t>recommendations</w:t>
      </w:r>
      <w:r w:rsidR="006A3D31" w:rsidRPr="00640E2B">
        <w:rPr>
          <w:w w:val="90"/>
          <w:sz w:val="20"/>
          <w:szCs w:val="20"/>
        </w:rPr>
        <w:t xml:space="preserve"> for </w:t>
      </w:r>
      <w:r w:rsidR="006A3D31" w:rsidRPr="00640E2B">
        <w:rPr>
          <w:rStyle w:val="highlight2"/>
          <w:w w:val="90"/>
          <w:sz w:val="20"/>
          <w:szCs w:val="20"/>
        </w:rPr>
        <w:t>human epidermal growth factor receptor 2</w:t>
      </w:r>
      <w:r w:rsidR="006A3D31" w:rsidRPr="00640E2B">
        <w:rPr>
          <w:w w:val="90"/>
          <w:sz w:val="20"/>
          <w:szCs w:val="20"/>
        </w:rPr>
        <w:t xml:space="preserve"> (HER2) fluorescent in situ hybridization (FISH) </w:t>
      </w:r>
      <w:r w:rsidR="006A3D31" w:rsidRPr="00640E2B">
        <w:rPr>
          <w:rStyle w:val="highlight2"/>
          <w:w w:val="90"/>
          <w:sz w:val="20"/>
          <w:szCs w:val="20"/>
        </w:rPr>
        <w:t>testing</w:t>
      </w:r>
      <w:r w:rsidR="006A3D31" w:rsidRPr="00640E2B">
        <w:rPr>
          <w:w w:val="90"/>
          <w:sz w:val="20"/>
          <w:szCs w:val="20"/>
        </w:rPr>
        <w:t xml:space="preserve"> increase HER2 positive and HER2 equivocal </w:t>
      </w:r>
      <w:r w:rsidR="006A3D31" w:rsidRPr="00640E2B">
        <w:rPr>
          <w:rStyle w:val="highlight2"/>
          <w:w w:val="90"/>
          <w:sz w:val="20"/>
          <w:szCs w:val="20"/>
        </w:rPr>
        <w:t>breast cancer</w:t>
      </w:r>
      <w:r w:rsidR="006A3D31" w:rsidRPr="00640E2B">
        <w:rPr>
          <w:w w:val="90"/>
          <w:sz w:val="20"/>
          <w:szCs w:val="20"/>
        </w:rPr>
        <w:t xml:space="preserve"> cases; retrospective study of HER2 FISH results of 836 invasive </w:t>
      </w:r>
      <w:r w:rsidR="006A3D31" w:rsidRPr="00640E2B">
        <w:rPr>
          <w:rStyle w:val="highlight2"/>
          <w:w w:val="90"/>
          <w:sz w:val="20"/>
          <w:szCs w:val="20"/>
        </w:rPr>
        <w:t>breast</w:t>
      </w:r>
      <w:r w:rsidR="006A3D31" w:rsidRPr="00640E2B">
        <w:rPr>
          <w:w w:val="90"/>
          <w:sz w:val="20"/>
          <w:szCs w:val="20"/>
        </w:rPr>
        <w:t xml:space="preserve"> cancers. </w:t>
      </w:r>
      <w:hyperlink r:id="rId14" w:tooltip="Breast cancer research and treatment." w:history="1">
        <w:r w:rsidR="006A3D31" w:rsidRPr="00640E2B">
          <w:rPr>
            <w:rStyle w:val="highlight2"/>
            <w:rFonts w:cs="Arial"/>
            <w:i/>
            <w:w w:val="90"/>
            <w:sz w:val="20"/>
            <w:szCs w:val="20"/>
            <w:lang w:val="pl-PL"/>
          </w:rPr>
          <w:t>Breast Cancer</w:t>
        </w:r>
        <w:r w:rsidR="006A3D31" w:rsidRPr="00640E2B">
          <w:rPr>
            <w:rFonts w:cs="Arial"/>
            <w:i/>
            <w:w w:val="90"/>
            <w:sz w:val="20"/>
            <w:szCs w:val="20"/>
            <w:lang w:val="pl-PL"/>
          </w:rPr>
          <w:t xml:space="preserve"> Res. Treat.</w:t>
        </w:r>
      </w:hyperlink>
      <w:r w:rsidR="006A3D31" w:rsidRPr="00227ADD">
        <w:rPr>
          <w:rFonts w:cs="Arial"/>
          <w:w w:val="90"/>
          <w:sz w:val="20"/>
          <w:szCs w:val="20"/>
          <w:lang w:val="pl-PL"/>
        </w:rPr>
        <w:t xml:space="preserve"> 2016; 15: 405-411.</w:t>
      </w:r>
    </w:p>
    <w:p w:rsidR="006A3D31" w:rsidRPr="00E763C7" w:rsidRDefault="006A3D31" w:rsidP="00E82B30">
      <w:pPr>
        <w:widowControl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567"/>
        <w:contextualSpacing/>
        <w:jc w:val="both"/>
        <w:rPr>
          <w:rFonts w:cs="Arial"/>
          <w:w w:val="90"/>
          <w:sz w:val="20"/>
          <w:szCs w:val="20"/>
          <w:vertAlign w:val="superscript"/>
          <w:lang w:val="pl-PL" w:eastAsia="x-none"/>
        </w:rPr>
      </w:pPr>
      <w:r w:rsidRPr="00640E2B">
        <w:rPr>
          <w:w w:val="90"/>
          <w:sz w:val="20"/>
          <w:szCs w:val="20"/>
        </w:rPr>
        <w:t xml:space="preserve">Pinder S.E., Provenzano E., Earl H., Ellis I.O. Laboratory handling and histology reporting of breast specimens from patients who have received neoadjuvant chemotherapy. </w:t>
      </w:r>
      <w:r w:rsidRPr="00227ADD">
        <w:rPr>
          <w:rFonts w:cs="Arial"/>
          <w:i/>
          <w:w w:val="90"/>
          <w:sz w:val="20"/>
          <w:szCs w:val="20"/>
          <w:lang w:val="pl-PL" w:eastAsia="x-none"/>
        </w:rPr>
        <w:t>Histopathology</w:t>
      </w:r>
      <w:r w:rsidRPr="009D6B8A">
        <w:rPr>
          <w:rFonts w:cs="Arial"/>
          <w:w w:val="90"/>
          <w:sz w:val="20"/>
          <w:szCs w:val="20"/>
          <w:lang w:val="pl-PL" w:eastAsia="x-none"/>
        </w:rPr>
        <w:t xml:space="preserve"> 2007; 50: 409–417.</w:t>
      </w:r>
    </w:p>
    <w:p w:rsidR="006A3D31" w:rsidRPr="00640E2B" w:rsidRDefault="006A3D31" w:rsidP="00E82B3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28" w:hanging="567"/>
        <w:contextualSpacing/>
        <w:jc w:val="both"/>
        <w:rPr>
          <w:rFonts w:eastAsia="Franklin Gothic Medium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Sardanelli F., Fallenberg E.M., Clauster P. i wsp Mammography: an update of the EUSOBI recommendations on information for women. </w:t>
      </w:r>
      <w:r w:rsidRPr="00640E2B">
        <w:rPr>
          <w:rFonts w:eastAsia="Franklin Gothic Medium"/>
          <w:i/>
          <w:w w:val="90"/>
          <w:sz w:val="20"/>
          <w:szCs w:val="20"/>
          <w:lang w:val="pl-PL"/>
        </w:rPr>
        <w:t>Insight Imaging</w:t>
      </w:r>
      <w:r w:rsidRPr="00640E2B">
        <w:rPr>
          <w:rFonts w:eastAsia="Franklin Gothic Medium"/>
          <w:w w:val="90"/>
          <w:sz w:val="20"/>
          <w:szCs w:val="20"/>
          <w:lang w:val="pl-PL"/>
        </w:rPr>
        <w:t xml:space="preserve"> 2017; 8: 11-18. </w:t>
      </w:r>
    </w:p>
    <w:p w:rsidR="006A3D31" w:rsidRPr="00640E2B" w:rsidRDefault="006A3D31" w:rsidP="00E82B3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28" w:hanging="567"/>
        <w:contextualSpacing/>
        <w:jc w:val="both"/>
        <w:rPr>
          <w:rFonts w:eastAsia="Franklin Gothic Medium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Bhimani C., Matta D., Roth R.G. Contrast-enhanced spectral mammography: technique, indications and clinical applications. </w:t>
      </w:r>
      <w:r w:rsidRPr="00640E2B">
        <w:rPr>
          <w:rFonts w:eastAsia="Franklin Gothic Medium"/>
          <w:i/>
          <w:w w:val="90"/>
          <w:sz w:val="20"/>
          <w:szCs w:val="20"/>
          <w:lang w:val="pl-PL"/>
        </w:rPr>
        <w:t>Acad. Radiol</w:t>
      </w:r>
      <w:r w:rsidRPr="00640E2B">
        <w:rPr>
          <w:rFonts w:eastAsia="Franklin Gothic Medium"/>
          <w:w w:val="90"/>
          <w:sz w:val="20"/>
          <w:szCs w:val="20"/>
          <w:lang w:val="pl-PL"/>
        </w:rPr>
        <w:t>. 2017; 24: 84-88.</w:t>
      </w:r>
    </w:p>
    <w:p w:rsidR="006A3D31" w:rsidRPr="00640E2B" w:rsidRDefault="006A3D31" w:rsidP="00E82B3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28" w:hanging="567"/>
        <w:contextualSpacing/>
        <w:jc w:val="both"/>
        <w:rPr>
          <w:rFonts w:eastAsia="Franklin Gothic Medium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Sardanelli F., Boetes C., Borisch B. i wsp. Magnetic resonance imaging of the breast: Recommendations from the EUSOMA working group. </w:t>
      </w:r>
      <w:r w:rsidRPr="00640E2B">
        <w:rPr>
          <w:i/>
          <w:w w:val="90"/>
          <w:sz w:val="20"/>
          <w:szCs w:val="20"/>
          <w:lang w:val="pl-PL"/>
        </w:rPr>
        <w:t>Eur. J. Cancer</w:t>
      </w:r>
      <w:r w:rsidRPr="00640E2B">
        <w:rPr>
          <w:w w:val="90"/>
          <w:sz w:val="20"/>
          <w:szCs w:val="20"/>
          <w:lang w:val="pl-PL"/>
        </w:rPr>
        <w:t xml:space="preserve"> 2010; 46: 1296-1316. </w:t>
      </w:r>
    </w:p>
    <w:p w:rsidR="006A3D31" w:rsidRPr="00640E2B" w:rsidRDefault="006A3D31" w:rsidP="00E82B3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28" w:hanging="567"/>
        <w:contextualSpacing/>
        <w:jc w:val="both"/>
        <w:rPr>
          <w:rFonts w:eastAsia="Franklin Gothic Medium"/>
          <w:w w:val="90"/>
          <w:sz w:val="20"/>
          <w:szCs w:val="20"/>
          <w:lang w:val="pl-PL"/>
        </w:rPr>
      </w:pPr>
      <w:r w:rsidRPr="007D5A14">
        <w:rPr>
          <w:w w:val="90"/>
          <w:sz w:val="20"/>
          <w:szCs w:val="20"/>
          <w:lang w:val="de-DE"/>
        </w:rPr>
        <w:t xml:space="preserve">Mann R.M., Balleyguier C., Baltzer P.A. i wsp. </w:t>
      </w:r>
      <w:r w:rsidRPr="00640E2B">
        <w:rPr>
          <w:w w:val="90"/>
          <w:sz w:val="20"/>
          <w:szCs w:val="20"/>
        </w:rPr>
        <w:t xml:space="preserve">Breast MRI: EUSOBI recommendations for women’s information. </w:t>
      </w:r>
      <w:r w:rsidRPr="00640E2B">
        <w:rPr>
          <w:i/>
          <w:w w:val="90"/>
          <w:sz w:val="20"/>
          <w:szCs w:val="20"/>
          <w:lang w:val="pl-PL"/>
        </w:rPr>
        <w:t>Eur. Radiol.</w:t>
      </w:r>
      <w:r w:rsidRPr="00640E2B">
        <w:rPr>
          <w:w w:val="90"/>
          <w:sz w:val="20"/>
          <w:szCs w:val="20"/>
          <w:lang w:val="pl-PL"/>
        </w:rPr>
        <w:t xml:space="preserve"> 2015; 25: 3669-3678.</w:t>
      </w:r>
    </w:p>
    <w:p w:rsidR="006A3D31" w:rsidRPr="00640E2B" w:rsidRDefault="006A3D31" w:rsidP="00E82B3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28" w:hanging="567"/>
        <w:contextualSpacing/>
        <w:jc w:val="both"/>
        <w:rPr>
          <w:rFonts w:eastAsia="Franklin Gothic Medium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Morrow M., Waters J., Morris E. MRI for breast cancer screening, diagnosis and treatment. </w:t>
      </w:r>
      <w:r w:rsidRPr="00640E2B">
        <w:rPr>
          <w:rFonts w:eastAsia="FrankRuehl" w:cs="FrankRuehl"/>
          <w:i/>
          <w:w w:val="90"/>
          <w:sz w:val="20"/>
          <w:szCs w:val="20"/>
          <w:lang w:val="pl-PL"/>
        </w:rPr>
        <w:t xml:space="preserve">Lancet </w:t>
      </w:r>
      <w:r w:rsidRPr="00640E2B">
        <w:rPr>
          <w:rFonts w:eastAsia="Franklin Gothic Medium"/>
          <w:w w:val="90"/>
          <w:sz w:val="20"/>
          <w:szCs w:val="20"/>
          <w:lang w:val="pl-PL"/>
        </w:rPr>
        <w:t>2011; 378: 1804–1811.</w:t>
      </w:r>
    </w:p>
    <w:p w:rsidR="006A3D31" w:rsidRPr="00640E2B" w:rsidRDefault="006A3D31" w:rsidP="00E82B3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28" w:hanging="567"/>
        <w:contextualSpacing/>
        <w:jc w:val="both"/>
        <w:rPr>
          <w:rFonts w:eastAsia="Franklin Gothic Medium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Iacconi Ch. Diffusion and perfusion of the breast. </w:t>
      </w:r>
      <w:r w:rsidRPr="00640E2B">
        <w:rPr>
          <w:rFonts w:eastAsia="FrankRuehl" w:cs="FrankRuehl"/>
          <w:i/>
          <w:w w:val="90"/>
          <w:sz w:val="20"/>
          <w:szCs w:val="20"/>
          <w:lang w:val="pl-PL"/>
        </w:rPr>
        <w:t>Eur. J. Radiol</w:t>
      </w:r>
      <w:r w:rsidRPr="00640E2B">
        <w:rPr>
          <w:rFonts w:eastAsia="Franklin Gothic Medium"/>
          <w:i/>
          <w:w w:val="90"/>
          <w:sz w:val="20"/>
          <w:szCs w:val="20"/>
          <w:lang w:val="pl-PL"/>
        </w:rPr>
        <w:t>.</w:t>
      </w:r>
      <w:r w:rsidRPr="00640E2B">
        <w:rPr>
          <w:rFonts w:eastAsia="Franklin Gothic Medium"/>
          <w:w w:val="90"/>
          <w:sz w:val="20"/>
          <w:szCs w:val="20"/>
          <w:lang w:val="pl-PL"/>
        </w:rPr>
        <w:t xml:space="preserve"> 2010; 76: 386–390.</w:t>
      </w:r>
    </w:p>
    <w:p w:rsidR="006A3D31" w:rsidRPr="00640E2B" w:rsidRDefault="006A3D31" w:rsidP="00E82B3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28" w:hanging="567"/>
        <w:jc w:val="both"/>
        <w:rPr>
          <w:b/>
          <w:w w:val="90"/>
          <w:sz w:val="20"/>
          <w:szCs w:val="20"/>
          <w:lang w:val="pl-PL"/>
        </w:rPr>
      </w:pPr>
      <w:r w:rsidRPr="00640E2B">
        <w:rPr>
          <w:rFonts w:cs="Humnst777EU"/>
          <w:color w:val="000000"/>
          <w:w w:val="90"/>
          <w:sz w:val="20"/>
          <w:szCs w:val="20"/>
          <w:lang w:val="pl-PL"/>
        </w:rPr>
        <w:t xml:space="preserve">Krzakowski M., Rutkowski P., Jassem J. i wsp. </w:t>
      </w:r>
      <w:r w:rsidRPr="00640E2B">
        <w:rPr>
          <w:color w:val="000000"/>
          <w:w w:val="90"/>
          <w:sz w:val="20"/>
          <w:szCs w:val="20"/>
        </w:rPr>
        <w:t xml:space="preserve">Recommendations on the application of positron emission tomography in oncology. </w:t>
      </w:r>
      <w:r w:rsidRPr="00640E2B">
        <w:rPr>
          <w:rFonts w:cs="Humnst777EU"/>
          <w:i/>
          <w:color w:val="000000"/>
          <w:w w:val="90"/>
          <w:sz w:val="20"/>
          <w:szCs w:val="20"/>
          <w:lang w:val="pl-PL"/>
        </w:rPr>
        <w:t>Oncol. Clin. Pract.</w:t>
      </w:r>
      <w:r w:rsidRPr="00640E2B">
        <w:rPr>
          <w:rFonts w:cs="Humnst777EU"/>
          <w:color w:val="000000"/>
          <w:w w:val="90"/>
          <w:sz w:val="20"/>
          <w:szCs w:val="20"/>
          <w:lang w:val="pl-PL"/>
        </w:rPr>
        <w:t xml:space="preserve"> 2015; 11: 155–171.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  <w:lang w:val="pl-PL"/>
        </w:rPr>
        <w:t xml:space="preserve">Nowecki Z.I., Jeziorski A. (red.). Chirurgiczne leczenie zmian nowotworowych piersi. Konsensus Polskiego Towarzystwa Chirurgii Onkologicznej. </w:t>
      </w:r>
      <w:r w:rsidRPr="00640E2B">
        <w:rPr>
          <w:i/>
          <w:w w:val="90"/>
          <w:sz w:val="20"/>
          <w:szCs w:val="20"/>
          <w:lang w:val="pl-PL"/>
        </w:rPr>
        <w:t xml:space="preserve">Onkol. Prakt. Klin. Edu. </w:t>
      </w:r>
      <w:r w:rsidRPr="00640E2B">
        <w:rPr>
          <w:w w:val="90"/>
          <w:sz w:val="20"/>
          <w:szCs w:val="20"/>
          <w:lang w:val="pl-PL"/>
        </w:rPr>
        <w:t>2017; 3: 93-153.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>Morrow M., Van Zee K.J., Solin L.J. i wsp. Society of Surgical Oncology-American Society for Radiation Oncology-American Society of Clinical Oncology consensus guideline on margins for breast-conserving surgery with whole-</w:t>
      </w:r>
      <w:r w:rsidRPr="00640E2B">
        <w:rPr>
          <w:w w:val="90"/>
          <w:sz w:val="20"/>
          <w:szCs w:val="20"/>
        </w:rPr>
        <w:lastRenderedPageBreak/>
        <w:t xml:space="preserve">breast irradiation in ductal carcinoma in situ. </w:t>
      </w:r>
      <w:r w:rsidRPr="00640E2B">
        <w:rPr>
          <w:i/>
          <w:w w:val="90"/>
          <w:sz w:val="20"/>
          <w:szCs w:val="20"/>
          <w:lang w:val="pl-PL"/>
        </w:rPr>
        <w:t xml:space="preserve">J. Clin. Oncol. </w:t>
      </w:r>
      <w:r w:rsidRPr="00640E2B">
        <w:rPr>
          <w:w w:val="90"/>
          <w:sz w:val="20"/>
          <w:szCs w:val="20"/>
          <w:lang w:val="pl-PL"/>
        </w:rPr>
        <w:t>2016; 34: 4040-4046.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Goodwin A., Parker S., Ghersi D. i wsp. Post-operative radiotherapy for ductal carcinoma in situ of the breast. </w:t>
      </w:r>
      <w:r w:rsidRPr="00640E2B">
        <w:rPr>
          <w:w w:val="90"/>
          <w:sz w:val="20"/>
          <w:szCs w:val="20"/>
          <w:lang w:val="pl-PL"/>
        </w:rPr>
        <w:t>Cochrane Database Syst. Rev. 2013; 11: CD000563.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7D5A14">
        <w:rPr>
          <w:w w:val="90"/>
          <w:sz w:val="20"/>
          <w:szCs w:val="20"/>
          <w:lang w:val="es-ES"/>
        </w:rPr>
        <w:t xml:space="preserve">Sagara Y., Freedman R.A., Vaz-Luis I. i wsp. </w:t>
      </w:r>
      <w:r w:rsidRPr="00640E2B">
        <w:rPr>
          <w:w w:val="90"/>
          <w:sz w:val="20"/>
          <w:szCs w:val="20"/>
        </w:rPr>
        <w:t xml:space="preserve">Patient prognostic score and associations with survival improvement offered by radiotherapy after breast-conserving surgery for ductal carcinoma in situ: a population-based longitudinal cohort study. </w:t>
      </w:r>
      <w:r w:rsidRPr="00640E2B">
        <w:rPr>
          <w:i/>
          <w:w w:val="90"/>
          <w:sz w:val="20"/>
          <w:szCs w:val="20"/>
          <w:lang w:val="pl-PL"/>
        </w:rPr>
        <w:t>J. Clin. Oncol.</w:t>
      </w:r>
      <w:r w:rsidRPr="00640E2B">
        <w:rPr>
          <w:w w:val="90"/>
          <w:sz w:val="20"/>
          <w:szCs w:val="20"/>
          <w:lang w:val="pl-PL"/>
        </w:rPr>
        <w:t xml:space="preserve"> 2016; 34: 1190-1196.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Stuart K.E., Houssami N, Taylor R. i wsp. Long-term outcomes of ductal carcinoma in situ of the breast: a systematic review, meta-analysis and meta-regression analysis. </w:t>
      </w:r>
      <w:r w:rsidRPr="00640E2B">
        <w:rPr>
          <w:i/>
          <w:w w:val="90"/>
          <w:sz w:val="20"/>
          <w:szCs w:val="20"/>
          <w:lang w:val="pl-PL"/>
        </w:rPr>
        <w:t>BMC Cancer</w:t>
      </w:r>
      <w:r w:rsidRPr="00640E2B">
        <w:rPr>
          <w:w w:val="90"/>
          <w:sz w:val="20"/>
          <w:szCs w:val="20"/>
          <w:lang w:val="pl-PL"/>
        </w:rPr>
        <w:t xml:space="preserve"> 2015; 15: 890.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Mitchell K.B., Kuerer H. Ductal carcinoma in situ: treatment update and current trends. </w:t>
      </w:r>
      <w:r w:rsidRPr="00640E2B">
        <w:rPr>
          <w:i/>
          <w:w w:val="90"/>
          <w:sz w:val="20"/>
          <w:szCs w:val="20"/>
          <w:lang w:val="pl-PL"/>
        </w:rPr>
        <w:t>Curr. Oncol. Rep.</w:t>
      </w:r>
      <w:r w:rsidRPr="00640E2B">
        <w:rPr>
          <w:w w:val="90"/>
          <w:sz w:val="20"/>
          <w:szCs w:val="20"/>
          <w:lang w:val="pl-PL"/>
        </w:rPr>
        <w:t xml:space="preserve"> 2015; 17: 48.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Wapnir I.L., Dignam J.J., Fisher B. i wsp. Long-term outcomes of invasive ipsilateral breast tumor recurrences after lumpectomy in NSABP B-17 and B-24 randomized clinical trials for DCIS. </w:t>
      </w:r>
      <w:r w:rsidRPr="00640E2B">
        <w:rPr>
          <w:i/>
          <w:w w:val="90"/>
          <w:sz w:val="20"/>
          <w:szCs w:val="20"/>
        </w:rPr>
        <w:t xml:space="preserve">J. Natl. </w:t>
      </w:r>
      <w:r w:rsidRPr="00640E2B">
        <w:rPr>
          <w:i/>
          <w:w w:val="90"/>
          <w:sz w:val="20"/>
          <w:szCs w:val="20"/>
          <w:lang w:val="pl-PL"/>
        </w:rPr>
        <w:t>Cancer Inst.</w:t>
      </w:r>
      <w:r w:rsidRPr="00640E2B">
        <w:rPr>
          <w:w w:val="90"/>
          <w:sz w:val="20"/>
          <w:szCs w:val="20"/>
          <w:lang w:val="pl-PL"/>
        </w:rPr>
        <w:t xml:space="preserve"> 2011; 103: 478-488.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Narod S.A., Iqbal J., Giannakeas V. i wsp. Breast cancer mortality after a diagnosis of ductal carcinoma in situ. </w:t>
      </w:r>
      <w:r w:rsidRPr="00640E2B">
        <w:rPr>
          <w:i/>
          <w:w w:val="90"/>
          <w:sz w:val="20"/>
          <w:szCs w:val="20"/>
          <w:lang w:val="pl-PL"/>
        </w:rPr>
        <w:t>JAMA Oncol.</w:t>
      </w:r>
      <w:r w:rsidRPr="00640E2B">
        <w:rPr>
          <w:w w:val="90"/>
          <w:sz w:val="20"/>
          <w:szCs w:val="20"/>
          <w:lang w:val="pl-PL"/>
        </w:rPr>
        <w:t xml:space="preserve"> 2015; 1: 888-896.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Cuzick J., Sestak I., Pinder S.E. i wsp. Effect of tamoxifen and radiotherapy in women with locally excised ductal carcinoma in situ: long-term results from the UK/ANZ DCIS trial. </w:t>
      </w:r>
      <w:r w:rsidRPr="00640E2B">
        <w:rPr>
          <w:i/>
          <w:w w:val="90"/>
          <w:sz w:val="20"/>
          <w:szCs w:val="20"/>
          <w:lang w:val="pl-PL"/>
        </w:rPr>
        <w:t xml:space="preserve">Lancet Oncol. </w:t>
      </w:r>
      <w:r w:rsidRPr="00640E2B">
        <w:rPr>
          <w:w w:val="90"/>
          <w:sz w:val="20"/>
          <w:szCs w:val="20"/>
          <w:lang w:val="pl-PL"/>
        </w:rPr>
        <w:t>2011; 12: 21-29.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7D5A14">
        <w:rPr>
          <w:w w:val="90"/>
          <w:sz w:val="20"/>
          <w:szCs w:val="20"/>
          <w:lang w:val="pl-PL"/>
        </w:rPr>
        <w:t xml:space="preserve">Margolese R.G., Cecchini R.S., Julian T.B. i wsp. Anastrozole versus tamoxifen in postmenopausal women with ductal carcinoma in situ undergoing lumpectomy plus radiotherapy (NSABP B-35): a randomised, double-blind, phase 3 clinical trial. </w:t>
      </w:r>
      <w:r w:rsidRPr="00640E2B">
        <w:rPr>
          <w:i/>
          <w:w w:val="90"/>
          <w:sz w:val="20"/>
          <w:szCs w:val="20"/>
          <w:lang w:val="pl-PL"/>
        </w:rPr>
        <w:t>Lancet</w:t>
      </w:r>
      <w:r w:rsidRPr="00640E2B">
        <w:rPr>
          <w:w w:val="90"/>
          <w:sz w:val="20"/>
          <w:szCs w:val="20"/>
          <w:lang w:val="pl-PL"/>
        </w:rPr>
        <w:t xml:space="preserve"> 2016; 387: 849-856.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Fisher B., Anderson S., Bryant J. i wsp. Twenty-year followup of a randomized trial comparing total mastectomy, lumpectomy, and lumpectomy plus irradiation for the treatment of invasive breast cancer. </w:t>
      </w:r>
      <w:r w:rsidRPr="00640E2B">
        <w:rPr>
          <w:i/>
          <w:w w:val="90"/>
          <w:sz w:val="20"/>
          <w:szCs w:val="20"/>
          <w:lang w:val="pl-PL"/>
        </w:rPr>
        <w:t>N. Engl. J. Med.</w:t>
      </w:r>
      <w:r w:rsidRPr="00640E2B">
        <w:rPr>
          <w:w w:val="90"/>
          <w:sz w:val="20"/>
          <w:szCs w:val="20"/>
          <w:lang w:val="pl-PL"/>
        </w:rPr>
        <w:t xml:space="preserve"> 2002; 347: 1233-1241.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E6707C">
        <w:rPr>
          <w:w w:val="90"/>
          <w:sz w:val="20"/>
          <w:szCs w:val="20"/>
          <w:lang w:val="en-GB"/>
        </w:rPr>
        <w:t xml:space="preserve">Veronesi U., Cascinelli N., Mariani L. i wsp. </w:t>
      </w:r>
      <w:r w:rsidRPr="00640E2B">
        <w:rPr>
          <w:w w:val="90"/>
          <w:sz w:val="20"/>
          <w:szCs w:val="20"/>
        </w:rPr>
        <w:t xml:space="preserve">Twenty-year follow-up of a randomized study comparing breast-conserving surgery with radical mastectomy for early breast cancer. </w:t>
      </w:r>
      <w:r w:rsidRPr="00640E2B">
        <w:rPr>
          <w:i/>
          <w:w w:val="90"/>
          <w:sz w:val="20"/>
          <w:szCs w:val="20"/>
          <w:lang w:val="pl-PL"/>
        </w:rPr>
        <w:t>N. Engl. J. Med.</w:t>
      </w:r>
      <w:r w:rsidRPr="00640E2B">
        <w:rPr>
          <w:w w:val="90"/>
          <w:sz w:val="20"/>
          <w:szCs w:val="20"/>
          <w:lang w:val="pl-PL"/>
        </w:rPr>
        <w:t xml:space="preserve"> 2002; 347: 1227-1232.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E6707C">
        <w:rPr>
          <w:w w:val="90"/>
          <w:sz w:val="20"/>
          <w:szCs w:val="20"/>
          <w:lang w:val="pl-PL"/>
        </w:rPr>
        <w:t xml:space="preserve">Moran M.S., Schnitt S.J., Giuliano A.E. i wsp. </w:t>
      </w:r>
      <w:r w:rsidRPr="00640E2B">
        <w:rPr>
          <w:w w:val="90"/>
          <w:sz w:val="20"/>
          <w:szCs w:val="20"/>
        </w:rPr>
        <w:t xml:space="preserve">Society of Surgical Oncology - American Society for Radiation Oncology consensus guideline on margins for breast-conserving surgery with whole-breast irradiation in stages I and II invasive breast cancer. </w:t>
      </w:r>
      <w:r w:rsidRPr="00640E2B">
        <w:rPr>
          <w:i/>
          <w:w w:val="90"/>
          <w:sz w:val="20"/>
          <w:szCs w:val="20"/>
          <w:lang w:val="pl-PL"/>
        </w:rPr>
        <w:t>J. Clin. Oncol.</w:t>
      </w:r>
      <w:r w:rsidRPr="00640E2B">
        <w:rPr>
          <w:w w:val="90"/>
          <w:sz w:val="20"/>
          <w:szCs w:val="20"/>
          <w:lang w:val="pl-PL"/>
        </w:rPr>
        <w:t xml:space="preserve"> 2014; 32: 1507-1515.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E6707C">
        <w:rPr>
          <w:w w:val="90"/>
          <w:sz w:val="20"/>
          <w:szCs w:val="20"/>
          <w:lang w:val="pl-PL"/>
        </w:rPr>
        <w:t xml:space="preserve">Lyman G.H., Temin S., Edge S.B. i wsp. </w:t>
      </w:r>
      <w:r w:rsidRPr="00640E2B">
        <w:rPr>
          <w:w w:val="90"/>
          <w:sz w:val="20"/>
          <w:szCs w:val="20"/>
        </w:rPr>
        <w:t xml:space="preserve">American Society of Clinical Oncology Clinical Practice. Sentinel lymph node biopsy for patients with early-stage breast cancer: American Society of Clinical Oncology clinical practice guideline update. </w:t>
      </w:r>
      <w:r w:rsidRPr="00640E2B">
        <w:rPr>
          <w:i/>
          <w:w w:val="90"/>
          <w:sz w:val="20"/>
          <w:szCs w:val="20"/>
          <w:lang w:val="pl-PL"/>
        </w:rPr>
        <w:t>J. Clin. Oncol.</w:t>
      </w:r>
      <w:r w:rsidRPr="00640E2B">
        <w:rPr>
          <w:w w:val="90"/>
          <w:sz w:val="20"/>
          <w:szCs w:val="20"/>
          <w:lang w:val="pl-PL"/>
        </w:rPr>
        <w:t xml:space="preserve"> 2014; 32: 1365-1383.</w:t>
      </w:r>
    </w:p>
    <w:p w:rsidR="00DA6DC1" w:rsidRPr="00DA6DC1" w:rsidRDefault="00A71CC5" w:rsidP="000E721D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hyperlink r:id="rId15" w:history="1">
        <w:r w:rsidR="00DA6DC1" w:rsidRPr="00DA6DC1">
          <w:rPr>
            <w:rStyle w:val="Hipercze"/>
            <w:rFonts w:cs="Arial"/>
            <w:color w:val="333333"/>
            <w:w w:val="90"/>
            <w:sz w:val="20"/>
            <w:szCs w:val="20"/>
            <w:u w:val="none"/>
          </w:rPr>
          <w:t>Giuliano A</w:t>
        </w:r>
        <w:r w:rsidR="00DA6DC1" w:rsidRPr="00DA6DC1">
          <w:rPr>
            <w:rStyle w:val="Hipercze"/>
            <w:rFonts w:cs="Arial"/>
            <w:color w:val="333333"/>
            <w:w w:val="90"/>
            <w:sz w:val="20"/>
            <w:szCs w:val="20"/>
          </w:rPr>
          <w:t xml:space="preserve">. </w:t>
        </w:r>
        <w:r w:rsidR="00DA6DC1" w:rsidRPr="00DA6DC1">
          <w:rPr>
            <w:rStyle w:val="Hipercze"/>
            <w:rFonts w:cs="Arial"/>
            <w:color w:val="333333"/>
            <w:w w:val="90"/>
            <w:sz w:val="20"/>
            <w:szCs w:val="20"/>
            <w:u w:val="none"/>
          </w:rPr>
          <w:t>E</w:t>
        </w:r>
      </w:hyperlink>
      <w:r w:rsidR="00DA6DC1" w:rsidRPr="00DA6DC1">
        <w:rPr>
          <w:w w:val="90"/>
          <w:sz w:val="20"/>
          <w:szCs w:val="20"/>
        </w:rPr>
        <w:t>.</w:t>
      </w:r>
      <w:r w:rsidR="00DA6DC1" w:rsidRPr="00DA6DC1">
        <w:rPr>
          <w:rFonts w:cs="Arial"/>
          <w:color w:val="000000"/>
          <w:w w:val="90"/>
          <w:sz w:val="20"/>
          <w:szCs w:val="20"/>
        </w:rPr>
        <w:t xml:space="preserve">, </w:t>
      </w:r>
      <w:hyperlink r:id="rId16" w:history="1">
        <w:r w:rsidR="00DA6DC1" w:rsidRPr="00DA6DC1">
          <w:rPr>
            <w:rStyle w:val="Hipercze"/>
            <w:rFonts w:cs="Arial"/>
            <w:color w:val="333333"/>
            <w:w w:val="90"/>
            <w:sz w:val="20"/>
            <w:szCs w:val="20"/>
            <w:u w:val="none"/>
          </w:rPr>
          <w:t>Ballman K</w:t>
        </w:r>
        <w:r w:rsidR="00DA6DC1" w:rsidRPr="00DA6DC1">
          <w:rPr>
            <w:rStyle w:val="Hipercze"/>
            <w:rFonts w:cs="Arial"/>
            <w:color w:val="333333"/>
            <w:w w:val="90"/>
            <w:sz w:val="20"/>
            <w:szCs w:val="20"/>
          </w:rPr>
          <w:t xml:space="preserve">. </w:t>
        </w:r>
        <w:r w:rsidR="00DA6DC1" w:rsidRPr="00DA6DC1">
          <w:rPr>
            <w:rStyle w:val="Hipercze"/>
            <w:rFonts w:cs="Arial"/>
            <w:color w:val="333333"/>
            <w:w w:val="90"/>
            <w:sz w:val="20"/>
            <w:szCs w:val="20"/>
            <w:u w:val="none"/>
          </w:rPr>
          <w:t>V</w:t>
        </w:r>
      </w:hyperlink>
      <w:r w:rsidR="00DA6DC1" w:rsidRPr="00DA6DC1">
        <w:rPr>
          <w:w w:val="90"/>
          <w:sz w:val="20"/>
          <w:szCs w:val="20"/>
        </w:rPr>
        <w:t>.</w:t>
      </w:r>
      <w:r w:rsidR="00DA6DC1" w:rsidRPr="00DA6DC1">
        <w:rPr>
          <w:rFonts w:cs="Arial"/>
          <w:color w:val="000000"/>
          <w:w w:val="90"/>
          <w:sz w:val="20"/>
          <w:szCs w:val="20"/>
        </w:rPr>
        <w:t xml:space="preserve">, </w:t>
      </w:r>
      <w:hyperlink r:id="rId17" w:history="1">
        <w:r w:rsidR="00DA6DC1" w:rsidRPr="00DA6DC1">
          <w:rPr>
            <w:rStyle w:val="Hipercze"/>
            <w:rFonts w:cs="Arial"/>
            <w:color w:val="333333"/>
            <w:w w:val="90"/>
            <w:sz w:val="20"/>
            <w:szCs w:val="20"/>
            <w:u w:val="none"/>
          </w:rPr>
          <w:t>McCall L</w:t>
        </w:r>
      </w:hyperlink>
      <w:r w:rsidR="00DA6DC1" w:rsidRPr="00DA6DC1">
        <w:rPr>
          <w:w w:val="90"/>
          <w:sz w:val="20"/>
          <w:szCs w:val="20"/>
        </w:rPr>
        <w:t xml:space="preserve">. i wsp. </w:t>
      </w:r>
      <w:r w:rsidR="00DA6DC1" w:rsidRPr="00DA6DC1">
        <w:rPr>
          <w:rFonts w:cs="Arial"/>
          <w:bCs/>
          <w:color w:val="000000"/>
          <w:w w:val="90"/>
          <w:sz w:val="20"/>
          <w:szCs w:val="20"/>
        </w:rPr>
        <w:t xml:space="preserve">Effect of axillary dissection vs no axillary dissection on 10-year overall survival among women with invasive breast cancer and sentinel node metastasis: The ACOSOG Z0011 (Alliance) Randomized Clinical Trial. </w:t>
      </w:r>
      <w:hyperlink r:id="rId18" w:tooltip="JAMA." w:history="1">
        <w:r w:rsidR="00DA6DC1" w:rsidRPr="00DA6DC1">
          <w:rPr>
            <w:rStyle w:val="Hipercze"/>
            <w:rFonts w:cs="Arial"/>
            <w:i/>
            <w:color w:val="333333"/>
            <w:w w:val="90"/>
            <w:sz w:val="20"/>
            <w:szCs w:val="20"/>
            <w:u w:val="none"/>
          </w:rPr>
          <w:t>JAMA</w:t>
        </w:r>
        <w:r w:rsidR="00DA6DC1" w:rsidRPr="00DA6DC1">
          <w:rPr>
            <w:rStyle w:val="Hipercze"/>
            <w:rFonts w:cs="Arial"/>
            <w:color w:val="333333"/>
            <w:w w:val="90"/>
            <w:sz w:val="20"/>
            <w:szCs w:val="20"/>
            <w:u w:val="none"/>
          </w:rPr>
          <w:t>.</w:t>
        </w:r>
      </w:hyperlink>
      <w:r w:rsidR="00DA6DC1" w:rsidRPr="00DA6DC1">
        <w:rPr>
          <w:rFonts w:cs="Arial"/>
          <w:color w:val="000000"/>
          <w:w w:val="90"/>
          <w:sz w:val="20"/>
          <w:szCs w:val="20"/>
        </w:rPr>
        <w:t xml:space="preserve"> 2017;318 :918-926.</w:t>
      </w:r>
    </w:p>
    <w:p w:rsidR="006A3D31" w:rsidRPr="00DA6DC1" w:rsidRDefault="006A3D31" w:rsidP="000E721D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DA6DC1">
        <w:rPr>
          <w:w w:val="90"/>
          <w:sz w:val="20"/>
          <w:szCs w:val="20"/>
        </w:rPr>
        <w:t xml:space="preserve">Donker M., van Tienhoven G., Straver M.E. i wsp. Radiotherapy or surgery of the axilla after a positive sentinel node in breast cancer (EORTC 10981-22023 AMAROS): a randomised, multicentre, open-label, phase 3 non-inferiority trial. </w:t>
      </w:r>
      <w:r w:rsidRPr="00DA6DC1">
        <w:rPr>
          <w:i/>
          <w:w w:val="90"/>
          <w:sz w:val="20"/>
          <w:szCs w:val="20"/>
          <w:lang w:val="pl-PL"/>
        </w:rPr>
        <w:t>Lancet Oncol.</w:t>
      </w:r>
      <w:r w:rsidRPr="00DA6DC1">
        <w:rPr>
          <w:w w:val="90"/>
          <w:sz w:val="20"/>
          <w:szCs w:val="20"/>
          <w:lang w:val="pl-PL"/>
        </w:rPr>
        <w:t xml:space="preserve"> 2014; 15: 1303-1310.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  <w:lang w:val="pl-PL"/>
        </w:rPr>
        <w:t>Jeziorski A. (red.). Węzeł chłonny wartowniczy. Via Medica, Gdańsk 2014.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Early Breast Cancer Trialists' Collaborative Group (EBCTCG), Darby S., McGale P., Correa C. i wsp. Effect of radiotherapy after breast-conserving surgery on 10-year recurrence and 15-year breast cancer death: meta-analysis of individual patient data for 10,801 women in 17 randomised trials. </w:t>
      </w:r>
      <w:r w:rsidRPr="00640E2B">
        <w:rPr>
          <w:i/>
          <w:w w:val="90"/>
          <w:sz w:val="20"/>
          <w:szCs w:val="20"/>
          <w:lang w:val="pl-PL"/>
        </w:rPr>
        <w:t>Lancet</w:t>
      </w:r>
      <w:r w:rsidRPr="00640E2B">
        <w:rPr>
          <w:w w:val="90"/>
          <w:sz w:val="20"/>
          <w:szCs w:val="20"/>
          <w:lang w:val="pl-PL"/>
        </w:rPr>
        <w:t xml:space="preserve"> 2011; 378: 1707-1716.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Smith B.D., Bentzen S.M., Correa C.R. i wsp. Fractionation for whole breast irradiation: an American Society for Radiation Oncology (ASTRO) evidence-based guideline. </w:t>
      </w:r>
      <w:r w:rsidRPr="00640E2B">
        <w:rPr>
          <w:i/>
          <w:w w:val="90"/>
          <w:sz w:val="20"/>
          <w:szCs w:val="20"/>
          <w:lang w:val="pl-PL"/>
        </w:rPr>
        <w:t xml:space="preserve">Int. J. Radiat. Oncol. Biol. Phys. </w:t>
      </w:r>
      <w:r w:rsidRPr="00640E2B">
        <w:rPr>
          <w:w w:val="90"/>
          <w:sz w:val="20"/>
          <w:szCs w:val="20"/>
          <w:lang w:val="pl-PL"/>
        </w:rPr>
        <w:t>2011; 81: 59-68.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Bartelink H., Maingon P., Poortmans P. i wsp., European Organisation for Research and Treatment of Cancer Radiation Oncology and Breast Cancer Groups. Whole-breast irradiation with or without a boost for patients treated with breast-conserving surgery for early breast cancer: 20-year follow-up of a randomised phase 3 trial. </w:t>
      </w:r>
      <w:r w:rsidRPr="00640E2B">
        <w:rPr>
          <w:i/>
          <w:w w:val="90"/>
          <w:sz w:val="20"/>
          <w:szCs w:val="20"/>
          <w:lang w:val="pl-PL"/>
        </w:rPr>
        <w:t>Lancet Oncol</w:t>
      </w:r>
      <w:r w:rsidRPr="00640E2B">
        <w:rPr>
          <w:w w:val="90"/>
          <w:sz w:val="20"/>
          <w:szCs w:val="20"/>
          <w:lang w:val="pl-PL"/>
        </w:rPr>
        <w:t xml:space="preserve">. 2015; 16: 47-56. 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Strnad V., Ott O.J., Hildebrandt G. i wsp., Groupe Européen de Curiethérapie of European Society for Radiotherapy and Oncology (GEC-ESTRO). 5-year results of accelerated partial breast irradiation using sole interstitial multicatheter brachytherapy versus whole-breast irradiation with boost after breast-conserving surgery for low-risk invasive and in-situ carcinoma of the female breast: a randomised, phase 3, non-inferiority trial. </w:t>
      </w:r>
      <w:r w:rsidRPr="00640E2B">
        <w:rPr>
          <w:i/>
          <w:w w:val="90"/>
          <w:sz w:val="20"/>
          <w:szCs w:val="20"/>
          <w:lang w:val="pl-PL"/>
        </w:rPr>
        <w:t xml:space="preserve">Lancet </w:t>
      </w:r>
      <w:r w:rsidRPr="00640E2B">
        <w:rPr>
          <w:w w:val="90"/>
          <w:sz w:val="20"/>
          <w:szCs w:val="20"/>
          <w:lang w:val="pl-PL"/>
        </w:rPr>
        <w:t>2016; 387: 229-238.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E6707C">
        <w:rPr>
          <w:w w:val="90"/>
          <w:sz w:val="20"/>
          <w:szCs w:val="20"/>
          <w:lang w:val="pl-PL"/>
        </w:rPr>
        <w:t xml:space="preserve">Vaidya J.S., Wenz F., Bulsara M. i wsp. </w:t>
      </w:r>
      <w:r w:rsidRPr="00640E2B">
        <w:rPr>
          <w:w w:val="90"/>
          <w:sz w:val="20"/>
          <w:szCs w:val="20"/>
        </w:rPr>
        <w:t xml:space="preserve">TARGIT trialists' group. Risk-adapted targeted intraoperative radiotherapy versus whole-breast radiotherapy for breast cancer: 5-year results for local control and overall survival from the TARGIT – A randomised trial. </w:t>
      </w:r>
      <w:r w:rsidRPr="00640E2B">
        <w:rPr>
          <w:i/>
          <w:w w:val="90"/>
          <w:sz w:val="20"/>
          <w:szCs w:val="20"/>
          <w:lang w:val="pl-PL"/>
        </w:rPr>
        <w:t>Lancet</w:t>
      </w:r>
      <w:r w:rsidRPr="00640E2B">
        <w:rPr>
          <w:w w:val="90"/>
          <w:sz w:val="20"/>
          <w:szCs w:val="20"/>
          <w:lang w:val="pl-PL"/>
        </w:rPr>
        <w:t xml:space="preserve"> 2014; 383: 603-613.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Veronesi U., Orecchia R., Maisonneuve P. i wsp. Intraoperative radiotherapy versus external radiotherapy for early breast cancer (ELIOT): a randomised controlled equivalence trial. </w:t>
      </w:r>
      <w:r w:rsidRPr="00640E2B">
        <w:rPr>
          <w:i/>
          <w:w w:val="90"/>
          <w:sz w:val="20"/>
          <w:szCs w:val="20"/>
          <w:lang w:val="pl-PL"/>
        </w:rPr>
        <w:t>Lancet Oncol.</w:t>
      </w:r>
      <w:r w:rsidRPr="00640E2B">
        <w:rPr>
          <w:w w:val="90"/>
          <w:sz w:val="20"/>
          <w:szCs w:val="20"/>
          <w:lang w:val="pl-PL"/>
        </w:rPr>
        <w:t xml:space="preserve"> 2013; 14: 1269-1277.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EBCTCG (Early Breast Cancer Trialists' Collaborative Group), McGale P., Taylor C., Correa C. i wsp. Effect of radiotherapy after mastectomy and axillary surgery on 10-year recurrence and 20-year breast cancer mortality: meta-analysis of individual patient data for 8135 women in 22 randomised trials. </w:t>
      </w:r>
      <w:r w:rsidRPr="00640E2B">
        <w:rPr>
          <w:i/>
          <w:w w:val="90"/>
          <w:sz w:val="20"/>
          <w:szCs w:val="20"/>
          <w:lang w:val="pl-PL"/>
        </w:rPr>
        <w:t>Lancet</w:t>
      </w:r>
      <w:r w:rsidRPr="00640E2B">
        <w:rPr>
          <w:w w:val="90"/>
          <w:sz w:val="20"/>
          <w:szCs w:val="20"/>
          <w:lang w:val="pl-PL"/>
        </w:rPr>
        <w:t xml:space="preserve"> 2014; 383: 2127–2135.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6" w:hanging="567"/>
        <w:jc w:val="both"/>
        <w:rPr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lastRenderedPageBreak/>
        <w:t xml:space="preserve">Poortmans P.M., Collette S., Kirkove C. i wsp. Internal mammary and medial supraclavicular irradiation in breast cancer. </w:t>
      </w:r>
      <w:r w:rsidRPr="00640E2B">
        <w:rPr>
          <w:i/>
          <w:w w:val="90"/>
          <w:sz w:val="20"/>
          <w:szCs w:val="20"/>
          <w:lang w:val="pl-PL"/>
        </w:rPr>
        <w:t>N. Engl. J. Med</w:t>
      </w:r>
      <w:r w:rsidRPr="00640E2B">
        <w:rPr>
          <w:w w:val="90"/>
          <w:sz w:val="20"/>
          <w:szCs w:val="20"/>
          <w:lang w:val="pl-PL"/>
        </w:rPr>
        <w:t>. 2015; 373: 317-327.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640E2B">
        <w:rPr>
          <w:w w:val="90"/>
          <w:sz w:val="20"/>
          <w:szCs w:val="20"/>
        </w:rPr>
        <w:t xml:space="preserve">Mauri D., Pavlidis N., Ioannidis J.P.A. Neoadjuvant versus adjuvant systemic treatment in breast cancer: a meta-analysis.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J. Natl. Cancer Inst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>. 2005; 97: 188-194.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6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E6707C">
        <w:rPr>
          <w:w w:val="90"/>
          <w:sz w:val="20"/>
          <w:szCs w:val="20"/>
          <w:lang w:val="es-ES"/>
        </w:rPr>
        <w:t xml:space="preserve">Gagliato de M., Gonzalez-Angulo A.M., Lei X. i wsp. </w:t>
      </w:r>
      <w:r w:rsidRPr="00640E2B">
        <w:rPr>
          <w:w w:val="90"/>
          <w:sz w:val="20"/>
          <w:szCs w:val="20"/>
        </w:rPr>
        <w:t xml:space="preserve">Clinical impact of delaying initiation of adjuvant chemotherapy in patients with breast cancer.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 xml:space="preserve">J. Clin. Oncol. 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>2014; 32: 735-744.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640E2B">
        <w:rPr>
          <w:w w:val="90"/>
          <w:sz w:val="20"/>
          <w:szCs w:val="20"/>
        </w:rPr>
        <w:t xml:space="preserve">Albain K.S., Barlow W.E., Ravdin P.M. i wsp. Adjuvant chemotherapy and timing of tamoxifen in postmenopausal patients with endocrine-responsive, node-positive breast cancer: a phase 3, open-label, randomised controlled trial.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Lancet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 2009; 374: 2055-2063. 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640E2B">
        <w:rPr>
          <w:rFonts w:eastAsia="SimSun" w:cs="Arial"/>
          <w:w w:val="90"/>
          <w:sz w:val="20"/>
          <w:szCs w:val="20"/>
          <w:lang w:val="pl-PL" w:eastAsia="pl-PL"/>
        </w:rPr>
        <w:t>Yi M., Huo L., Koenig K.B. i wsp.</w:t>
      </w:r>
      <w:r w:rsidRPr="00640E2B" w:rsidDel="00D75C24">
        <w:rPr>
          <w:rFonts w:eastAsia="SimSun" w:cs="Arial"/>
          <w:w w:val="90"/>
          <w:sz w:val="20"/>
          <w:szCs w:val="20"/>
          <w:lang w:val="pl-PL" w:eastAsia="pl-PL"/>
        </w:rPr>
        <w:t xml:space="preserve"> </w:t>
      </w:r>
      <w:r w:rsidRPr="00640E2B">
        <w:rPr>
          <w:w w:val="90"/>
          <w:sz w:val="20"/>
          <w:szCs w:val="20"/>
        </w:rPr>
        <w:t xml:space="preserve">Which threshold for ER positivity? </w:t>
      </w:r>
      <w:r w:rsidRPr="00640E2B">
        <w:rPr>
          <w:rFonts w:eastAsia="SimSun" w:cs="Arial"/>
          <w:w w:val="90"/>
          <w:sz w:val="20"/>
          <w:szCs w:val="20"/>
          <w:lang w:val="pl-PL" w:eastAsia="pl-PL"/>
        </w:rPr>
        <w:t xml:space="preserve">A retrospective study based on 9639 patients. </w:t>
      </w:r>
      <w:r w:rsidRPr="00640E2B">
        <w:rPr>
          <w:rFonts w:eastAsia="SimSun" w:cs="Arial"/>
          <w:i/>
          <w:w w:val="90"/>
          <w:sz w:val="20"/>
          <w:szCs w:val="20"/>
          <w:lang w:val="pl-PL" w:eastAsia="pl-PL"/>
        </w:rPr>
        <w:t>Ann. Oncol.</w:t>
      </w:r>
      <w:r w:rsidRPr="00640E2B">
        <w:rPr>
          <w:rFonts w:eastAsia="SimSun" w:cs="Arial"/>
          <w:w w:val="90"/>
          <w:sz w:val="20"/>
          <w:szCs w:val="20"/>
          <w:lang w:val="pl-PL" w:eastAsia="pl-PL"/>
        </w:rPr>
        <w:t xml:space="preserve"> 2014; 25: 1004–1011. 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Davies C., Pan H., Godwin J. i wsp. </w:t>
      </w:r>
      <w:r w:rsidRPr="00640E2B">
        <w:rPr>
          <w:w w:val="90"/>
          <w:sz w:val="20"/>
          <w:szCs w:val="20"/>
        </w:rPr>
        <w:t xml:space="preserve">Long-term effects of continuing adjuvant tamoxifen to 10 years versus stopping at 5 years after diagnosis of oestrogen receptor-positive breast cancer: ATLAS, a randomised trial.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Lancet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 2013; 381: 805-816.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E6707C">
        <w:rPr>
          <w:rFonts w:eastAsia="SimSun" w:cs="Times New Roman"/>
          <w:w w:val="90"/>
          <w:sz w:val="20"/>
          <w:szCs w:val="20"/>
          <w:lang w:val="en-GB" w:eastAsia="pl-PL"/>
        </w:rPr>
        <w:t xml:space="preserve">Al-Mubarak M., Tibau A., Templeton A.J. i wsp. </w:t>
      </w:r>
      <w:r w:rsidRPr="00640E2B">
        <w:rPr>
          <w:w w:val="90"/>
          <w:sz w:val="20"/>
          <w:szCs w:val="20"/>
        </w:rPr>
        <w:t xml:space="preserve">Extended adjuvant tamoxifen for early breast cancer: a meta-analysis. 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Miller T.W. (red.).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PLoS ONE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 2014; 9: e88238. 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Arial"/>
          <w:w w:val="90"/>
          <w:sz w:val="20"/>
          <w:szCs w:val="20"/>
          <w:lang w:val="pl-PL" w:eastAsia="pl-PL"/>
        </w:rPr>
      </w:pPr>
      <w:r w:rsidRPr="00640E2B">
        <w:rPr>
          <w:rFonts w:eastAsia="SimSun" w:cs="Arial"/>
          <w:w w:val="90"/>
          <w:sz w:val="20"/>
          <w:szCs w:val="20"/>
          <w:lang w:val="pl-PL" w:eastAsia="pl-PL"/>
        </w:rPr>
        <w:t xml:space="preserve">Pagani O., Regan M.M., Walley B.A. i wsp. </w:t>
      </w:r>
      <w:r w:rsidRPr="00640E2B">
        <w:rPr>
          <w:w w:val="90"/>
          <w:sz w:val="20"/>
          <w:szCs w:val="20"/>
        </w:rPr>
        <w:t xml:space="preserve">Adjuvant exemestane with ovarian suppression in premenopausal breast cancer. </w:t>
      </w:r>
      <w:r w:rsidRPr="00640E2B">
        <w:rPr>
          <w:rFonts w:eastAsia="SimSun" w:cs="Arial"/>
          <w:i/>
          <w:w w:val="90"/>
          <w:sz w:val="20"/>
          <w:szCs w:val="20"/>
          <w:lang w:val="pl-PL" w:eastAsia="pl-PL"/>
        </w:rPr>
        <w:t>N. Engl. J. Med.</w:t>
      </w:r>
      <w:r w:rsidRPr="00640E2B">
        <w:rPr>
          <w:rFonts w:eastAsia="SimSun" w:cs="Arial"/>
          <w:w w:val="90"/>
          <w:sz w:val="20"/>
          <w:szCs w:val="20"/>
          <w:lang w:val="pl-PL" w:eastAsia="pl-PL"/>
        </w:rPr>
        <w:t xml:space="preserve"> 2014; 371: 107-118.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640E2B">
        <w:rPr>
          <w:w w:val="90"/>
          <w:sz w:val="20"/>
          <w:szCs w:val="20"/>
        </w:rPr>
        <w:t xml:space="preserve">Francis P.A., Regan M.M., Fleming G.F. i wsp. Adjuvant ovarian suppression in premenopausal breast cancer.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N. Engl. J. Med.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 2015; 372: 436-446.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640E2B">
        <w:rPr>
          <w:w w:val="90"/>
          <w:sz w:val="20"/>
          <w:szCs w:val="20"/>
        </w:rPr>
        <w:t xml:space="preserve">Munhoz R.R., Pereira A.A., Sasse A.D. i wsp. Gonadotropin-releasing hormone agonists for ovarian function preservation in premenopausal women undergoing chemotherapy for early-stage breast cancer: a systematic review and meta-analysis.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JAMA Oncol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>. 2016; 2: 65-73.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Cataliotti L., Buzdar A.U., Noguchi S. i wsp. </w:t>
      </w:r>
      <w:r w:rsidRPr="00640E2B">
        <w:rPr>
          <w:w w:val="90"/>
          <w:sz w:val="20"/>
          <w:szCs w:val="20"/>
        </w:rPr>
        <w:t xml:space="preserve">Comparison of anastrozole versus tamoxifen as preoperative therapy in postmenopausal women with hormone receptor-positive breast cancer: the Pre-Operative "Arimidex" Compared to Tamoxifen (PROACT) trial.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 xml:space="preserve">Cancer 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>2006; 106: 2095-2103.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640E2B">
        <w:rPr>
          <w:w w:val="90"/>
          <w:sz w:val="20"/>
          <w:szCs w:val="20"/>
        </w:rPr>
        <w:t xml:space="preserve">Smith I.E., Dowsett M., Ebbs S.R. i wsp. Neoadjuvant treatment of postmenopausal breast cancer with anastrozole, tamoxifen, or both in combination: the Immediate Preoperative Anastrozole, Tamoxifen, or Combined with Tamoxifen (IMPACT) multicenter double-blind randomized trial.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J. Clin. Oncol.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 2005; 23: 5108-5116.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E6707C">
        <w:rPr>
          <w:w w:val="90"/>
          <w:sz w:val="20"/>
          <w:szCs w:val="20"/>
          <w:lang w:val="de-DE"/>
        </w:rPr>
        <w:t xml:space="preserve">Eiermann W., Paepke S., Appfelstaedt J. i wsp. </w:t>
      </w:r>
      <w:r w:rsidRPr="00640E2B">
        <w:rPr>
          <w:w w:val="90"/>
          <w:sz w:val="20"/>
          <w:szCs w:val="20"/>
        </w:rPr>
        <w:t xml:space="preserve">Preoperative treatment of postmenopausal breast cancer patients with letrozole: A randomized double-blind multicenter study.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Ann. Oncol.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 2001; 12: 1527-1532. 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640E2B">
        <w:rPr>
          <w:w w:val="90"/>
          <w:sz w:val="20"/>
          <w:szCs w:val="20"/>
        </w:rPr>
        <w:t xml:space="preserve">Early Breast Cancer Trialists' Collaborative Group (EBCTCG); Dowsett M., Forbes J.F., Bradley R. i wsp. Aromatase inhibitors versus tamoxifen in early breast cancer: patient-level meta-analysis of the randomised trials.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Lancet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 2015; 386: 1341-1352.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640E2B">
        <w:rPr>
          <w:w w:val="90"/>
          <w:sz w:val="20"/>
          <w:szCs w:val="20"/>
        </w:rPr>
        <w:t xml:space="preserve">Goss P.E., Ingle J.N., Martino S. i wsp. Randomized </w:t>
      </w:r>
      <w:r w:rsidRPr="00640E2B">
        <w:rPr>
          <w:rFonts w:eastAsia="SimSun" w:cs="Times New Roman"/>
          <w:w w:val="90"/>
          <w:sz w:val="20"/>
          <w:szCs w:val="20"/>
          <w:lang w:eastAsia="pl-PL"/>
        </w:rPr>
        <w:t>trial</w:t>
      </w:r>
      <w:r w:rsidRPr="00640E2B">
        <w:rPr>
          <w:w w:val="90"/>
          <w:sz w:val="20"/>
          <w:szCs w:val="20"/>
        </w:rPr>
        <w:t xml:space="preserve"> of </w:t>
      </w:r>
      <w:r w:rsidRPr="00640E2B">
        <w:rPr>
          <w:rFonts w:eastAsia="SimSun" w:cs="Times New Roman"/>
          <w:w w:val="90"/>
          <w:sz w:val="20"/>
          <w:szCs w:val="20"/>
          <w:lang w:eastAsia="pl-PL"/>
        </w:rPr>
        <w:t>letrozole following tamoxifen</w:t>
      </w:r>
      <w:r w:rsidRPr="00640E2B">
        <w:rPr>
          <w:w w:val="90"/>
          <w:sz w:val="20"/>
          <w:szCs w:val="20"/>
        </w:rPr>
        <w:t xml:space="preserve"> as </w:t>
      </w:r>
      <w:r w:rsidRPr="00640E2B">
        <w:rPr>
          <w:rFonts w:eastAsia="SimSun" w:cs="Times New Roman"/>
          <w:w w:val="90"/>
          <w:sz w:val="20"/>
          <w:szCs w:val="20"/>
          <w:lang w:eastAsia="pl-PL"/>
        </w:rPr>
        <w:t>extended adjuvant therapy</w:t>
      </w:r>
      <w:r w:rsidRPr="00640E2B">
        <w:rPr>
          <w:w w:val="90"/>
          <w:sz w:val="20"/>
          <w:szCs w:val="20"/>
        </w:rPr>
        <w:t xml:space="preserve"> in </w:t>
      </w:r>
      <w:r w:rsidRPr="00640E2B">
        <w:rPr>
          <w:rFonts w:eastAsia="SimSun" w:cs="Times New Roman"/>
          <w:w w:val="90"/>
          <w:sz w:val="20"/>
          <w:szCs w:val="20"/>
          <w:lang w:eastAsia="pl-PL"/>
        </w:rPr>
        <w:t>receptor-positive breast cancer</w:t>
      </w:r>
      <w:r w:rsidRPr="00640E2B">
        <w:rPr>
          <w:w w:val="90"/>
          <w:sz w:val="20"/>
          <w:szCs w:val="20"/>
        </w:rPr>
        <w:t xml:space="preserve">: Updated </w:t>
      </w:r>
      <w:r w:rsidRPr="00640E2B">
        <w:rPr>
          <w:rFonts w:eastAsia="SimSun" w:cs="Times New Roman"/>
          <w:w w:val="90"/>
          <w:sz w:val="20"/>
          <w:szCs w:val="20"/>
          <w:lang w:eastAsia="pl-PL"/>
        </w:rPr>
        <w:t>findings</w:t>
      </w:r>
      <w:r w:rsidRPr="00640E2B">
        <w:rPr>
          <w:w w:val="90"/>
          <w:sz w:val="20"/>
          <w:szCs w:val="20"/>
        </w:rPr>
        <w:t xml:space="preserve"> from NCIC CTG MA.17. </w:t>
      </w:r>
      <w:r w:rsidRPr="00640E2B">
        <w:rPr>
          <w:i/>
          <w:w w:val="90"/>
          <w:sz w:val="20"/>
          <w:szCs w:val="20"/>
        </w:rPr>
        <w:t xml:space="preserve">J. Natl.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Cancer Inst.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 2005; 97: 1262–1271. 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E6707C">
        <w:rPr>
          <w:w w:val="90"/>
          <w:sz w:val="20"/>
          <w:szCs w:val="20"/>
          <w:lang w:val="pl-PL"/>
        </w:rPr>
        <w:t xml:space="preserve">Jakesz R., Greil R., Gnant M. i wsp. </w:t>
      </w:r>
      <w:r w:rsidRPr="00640E2B">
        <w:rPr>
          <w:w w:val="90"/>
          <w:sz w:val="20"/>
          <w:szCs w:val="20"/>
        </w:rPr>
        <w:t xml:space="preserve">Extended adjuvant therapy with anastrozole among postmenopausal breast cancer patients: results from the randomized Austrian Breast and Colorectal Cancer Study Group Trial 6a.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J. Natl. Cancer Inst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>. 2007; 99: 1845-1853.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Arial"/>
          <w:w w:val="90"/>
          <w:sz w:val="20"/>
          <w:szCs w:val="20"/>
          <w:lang w:val="pl-PL" w:eastAsia="pl-PL"/>
        </w:rPr>
      </w:pPr>
      <w:r w:rsidRPr="00640E2B">
        <w:rPr>
          <w:w w:val="90"/>
          <w:sz w:val="20"/>
          <w:szCs w:val="20"/>
        </w:rPr>
        <w:t xml:space="preserve">Goss P.E., Ingle J.N., Pritchard K.I. i wsp. Extending aromatase-inhibitor adjuvant therapy to 10 years. </w:t>
      </w:r>
      <w:r w:rsidRPr="00640E2B">
        <w:rPr>
          <w:rFonts w:eastAsia="SimSun" w:cs="Arial"/>
          <w:i/>
          <w:w w:val="90"/>
          <w:sz w:val="20"/>
          <w:szCs w:val="20"/>
          <w:lang w:val="pl-PL" w:eastAsia="pl-PL"/>
        </w:rPr>
        <w:t>N. Engl. J. Med.</w:t>
      </w:r>
      <w:r w:rsidRPr="00640E2B">
        <w:rPr>
          <w:rFonts w:eastAsia="SimSun" w:cs="Arial"/>
          <w:w w:val="90"/>
          <w:sz w:val="20"/>
          <w:szCs w:val="20"/>
          <w:lang w:val="pl-PL" w:eastAsia="pl-PL"/>
        </w:rPr>
        <w:t xml:space="preserve"> 2016; 375: 209-219.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autoSpaceDE w:val="0"/>
        <w:autoSpaceDN w:val="0"/>
        <w:adjustRightInd w:val="0"/>
        <w:spacing w:after="0" w:line="240" w:lineRule="auto"/>
        <w:ind w:left="709" w:hanging="567"/>
        <w:contextualSpacing/>
        <w:jc w:val="both"/>
        <w:rPr>
          <w:color w:val="000066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Metzger-Filho O., Giobbie-Hurder A., Mallon E. i wsp. Relative effectiveness of letrozole compared with tamoxifen for patients with lobular carcinoma in the BIG 1-98 trial.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J. Clin. Oncol.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 2015; 33: 2772-2779.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autoSpaceDE w:val="0"/>
        <w:autoSpaceDN w:val="0"/>
        <w:adjustRightInd w:val="0"/>
        <w:spacing w:after="0" w:line="240" w:lineRule="auto"/>
        <w:ind w:left="709" w:hanging="567"/>
        <w:contextualSpacing/>
        <w:jc w:val="both"/>
        <w:rPr>
          <w:rFonts w:eastAsia="SimSun" w:cs="Arial"/>
          <w:w w:val="90"/>
          <w:sz w:val="20"/>
          <w:szCs w:val="20"/>
          <w:lang w:val="pl-PL" w:eastAsia="pl-PL"/>
        </w:rPr>
      </w:pPr>
      <w:r w:rsidRPr="00640E2B">
        <w:rPr>
          <w:rFonts w:cs="AdvOT863180fb"/>
          <w:w w:val="90"/>
          <w:sz w:val="20"/>
          <w:szCs w:val="20"/>
          <w:lang w:eastAsia="pl-PL"/>
        </w:rPr>
        <w:t xml:space="preserve">Ibrahim EM, Al-Homaidh A. Physical activity and survival after breast cancer diagnosis: a meta-analysis of published studies. </w:t>
      </w:r>
      <w:r w:rsidRPr="00640E2B">
        <w:rPr>
          <w:rFonts w:cs="AdvOT863180fb"/>
          <w:w w:val="90"/>
          <w:sz w:val="20"/>
          <w:szCs w:val="20"/>
          <w:lang w:val="pl-PL" w:eastAsia="pl-PL"/>
        </w:rPr>
        <w:t>Med Oncol 2011;28:753</w:t>
      </w:r>
      <w:r w:rsidRPr="00640E2B">
        <w:rPr>
          <w:rFonts w:cs="AdvPS44A44B"/>
          <w:w w:val="90"/>
          <w:sz w:val="20"/>
          <w:szCs w:val="20"/>
          <w:lang w:val="pl-PL" w:eastAsia="pl-PL"/>
        </w:rPr>
        <w:t>e</w:t>
      </w:r>
      <w:r w:rsidRPr="00640E2B">
        <w:rPr>
          <w:rFonts w:cs="AdvOT863180fb"/>
          <w:w w:val="90"/>
          <w:sz w:val="20"/>
          <w:szCs w:val="20"/>
          <w:lang w:val="pl-PL" w:eastAsia="pl-PL"/>
        </w:rPr>
        <w:t>65.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640E2B">
        <w:rPr>
          <w:w w:val="90"/>
          <w:sz w:val="20"/>
          <w:szCs w:val="20"/>
        </w:rPr>
        <w:t xml:space="preserve">Desmarais J.E., Looper K.J. Interactions between tamoxifen and antidepressants via cytochrome P450 2D6.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J. Clin. Psychiatry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>. 2009; 70: 1688-1697.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Braithwaite R.S., Chlebowski R.T., Lau J. i wsp. </w:t>
      </w:r>
      <w:r w:rsidRPr="00640E2B">
        <w:rPr>
          <w:w w:val="90"/>
          <w:sz w:val="20"/>
          <w:szCs w:val="20"/>
        </w:rPr>
        <w:t xml:space="preserve">Meta-analysis of vascular and neoplastic events associated with tamoxifen.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J. Gen. Intern. Med.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 2003; 18: 937–947.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E6707C">
        <w:rPr>
          <w:rFonts w:eastAsia="SimSun" w:cs="Times New Roman"/>
          <w:w w:val="90"/>
          <w:sz w:val="20"/>
          <w:szCs w:val="20"/>
          <w:lang w:val="en-GB" w:eastAsia="pl-PL"/>
        </w:rPr>
        <w:t xml:space="preserve">Bonadonna G., Valagussa P., Moliterni A. i wsp. </w:t>
      </w:r>
      <w:r w:rsidRPr="00640E2B">
        <w:rPr>
          <w:w w:val="90"/>
          <w:sz w:val="20"/>
          <w:szCs w:val="20"/>
        </w:rPr>
        <w:t xml:space="preserve">Adjuvant cyclophosphamide, methotrexate, and fluorouracil in node-positive breast cancer.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N. Engl. J. Med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>. 1995; 332: 901-906.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E6707C">
        <w:rPr>
          <w:w w:val="90"/>
          <w:sz w:val="20"/>
          <w:szCs w:val="20"/>
          <w:lang w:val="es-ES"/>
        </w:rPr>
        <w:t xml:space="preserve">Del Mastro L., De Placido S., Bruzzi P. i wsp. </w:t>
      </w:r>
      <w:r w:rsidRPr="00640E2B">
        <w:rPr>
          <w:w w:val="90"/>
          <w:sz w:val="20"/>
          <w:szCs w:val="20"/>
        </w:rPr>
        <w:t>Fluorouracil and dose-dense chemotherapy in adjuvant treatment of patients with early-stage breast cancer: an open-label, 2</w:t>
      </w:r>
      <w:r w:rsidRPr="00640E2B">
        <w:rPr>
          <w:rFonts w:ascii="Arial" w:hAnsi="Arial" w:cs="Arial"/>
          <w:w w:val="90"/>
          <w:sz w:val="20"/>
          <w:szCs w:val="20"/>
        </w:rPr>
        <w:t> </w:t>
      </w:r>
      <w:r w:rsidRPr="00640E2B">
        <w:rPr>
          <w:w w:val="90"/>
          <w:sz w:val="20"/>
          <w:szCs w:val="20"/>
        </w:rPr>
        <w:t>×</w:t>
      </w:r>
      <w:r w:rsidRPr="00640E2B">
        <w:rPr>
          <w:rFonts w:ascii="Arial" w:hAnsi="Arial" w:cs="Arial"/>
          <w:w w:val="90"/>
          <w:sz w:val="20"/>
          <w:szCs w:val="20"/>
        </w:rPr>
        <w:t> </w:t>
      </w:r>
      <w:r w:rsidRPr="00640E2B">
        <w:rPr>
          <w:w w:val="90"/>
          <w:sz w:val="20"/>
          <w:szCs w:val="20"/>
        </w:rPr>
        <w:t xml:space="preserve">2 factorial, randomised phase 3 trial.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Lancet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 2015; 385: 1863-1872.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640E2B">
        <w:rPr>
          <w:w w:val="90"/>
          <w:sz w:val="20"/>
          <w:szCs w:val="20"/>
        </w:rPr>
        <w:t xml:space="preserve">Martin M., Segui M.A., Anton A. i wsp. Adjuvant docetaxel for high-risk, node-negative breast cancer.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N. Engl. J. Med.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 2010; 363: 2200-2210.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640E2B">
        <w:rPr>
          <w:w w:val="90"/>
          <w:sz w:val="20"/>
          <w:szCs w:val="20"/>
        </w:rPr>
        <w:t xml:space="preserve">Blum J.L., Flynn P.J., Yothers G. i wsp. Interim joint analysis of the ABC (anthracyclines in early breast cancer) phase III trials (USOR 06-090), NSABP B-46I/USOR 07132, NSABP B-49 [NRG Oncology]) comparing docetaxel </w:t>
      </w:r>
      <w:r w:rsidRPr="00640E2B">
        <w:rPr>
          <w:w w:val="90"/>
          <w:sz w:val="20"/>
          <w:szCs w:val="20"/>
        </w:rPr>
        <w:lastRenderedPageBreak/>
        <w:t>+ cyclophosphamide v anthracycline/taxane-based chemotherapy regimens in women with high-risk HER2-negative breast cancer</w:t>
      </w:r>
      <w:r w:rsidRPr="00640E2B">
        <w:rPr>
          <w:i/>
          <w:w w:val="90"/>
          <w:sz w:val="20"/>
          <w:szCs w:val="20"/>
        </w:rPr>
        <w:t xml:space="preserve">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J. Clin. Oncol.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 2016; 34 (supl.): abstr. 1000. 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Sparano J.A., Zhao F., Marino S. i wsp. </w:t>
      </w:r>
      <w:r w:rsidRPr="00640E2B">
        <w:rPr>
          <w:w w:val="90"/>
          <w:sz w:val="20"/>
          <w:szCs w:val="20"/>
        </w:rPr>
        <w:t>Long-term follow-up of the E1199 Phase III trial evaluating the role of taxane and schedule in operable breast cancer</w:t>
      </w:r>
      <w:r w:rsidRPr="00640E2B">
        <w:rPr>
          <w:i/>
          <w:w w:val="90"/>
          <w:sz w:val="20"/>
          <w:szCs w:val="20"/>
        </w:rPr>
        <w:t xml:space="preserve">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J Clin. Oncol.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 2015; 33: 2353-2360.</w:t>
      </w:r>
      <w:r w:rsidRPr="00640E2B" w:rsidDel="007E7836">
        <w:rPr>
          <w:rFonts w:eastAsia="SimSun" w:cs="Times New Roman"/>
          <w:w w:val="90"/>
          <w:sz w:val="20"/>
          <w:szCs w:val="20"/>
          <w:lang w:val="pl-PL" w:eastAsia="pl-PL"/>
        </w:rPr>
        <w:t xml:space="preserve"> </w:t>
      </w:r>
      <w:r w:rsidRPr="00640E2B">
        <w:rPr>
          <w:rFonts w:ascii="Tahoma" w:hAnsi="Tahoma" w:cs="Tahoma"/>
          <w:w w:val="90"/>
          <w:sz w:val="20"/>
          <w:szCs w:val="20"/>
          <w:lang w:val="pl-PL"/>
        </w:rPr>
        <w:t> </w:t>
      </w:r>
    </w:p>
    <w:p w:rsidR="006A3D31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E6707C">
        <w:rPr>
          <w:w w:val="90"/>
          <w:sz w:val="20"/>
          <w:szCs w:val="20"/>
          <w:lang w:val="es-ES"/>
        </w:rPr>
        <w:t>Bonilla L., Ben-Aharon I., Vidal L. i wsp.</w:t>
      </w:r>
      <w:r w:rsidRPr="00E6707C" w:rsidDel="007E7836">
        <w:rPr>
          <w:w w:val="90"/>
          <w:sz w:val="20"/>
          <w:szCs w:val="20"/>
          <w:lang w:val="es-ES"/>
        </w:rPr>
        <w:t xml:space="preserve"> </w:t>
      </w:r>
      <w:r w:rsidRPr="00640E2B">
        <w:rPr>
          <w:w w:val="90"/>
          <w:sz w:val="20"/>
          <w:szCs w:val="20"/>
        </w:rPr>
        <w:t xml:space="preserve">Dose-dense chemotherapy in nonmetastatic breast cancer: a systematic review and meta-analysis of randomized controlled trials.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J. Natl. Cancer Inst.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 2010; 102: 1845-1854. </w:t>
      </w:r>
    </w:p>
    <w:p w:rsidR="009F4E7C" w:rsidRPr="0071601B" w:rsidRDefault="009F4E7C" w:rsidP="000E721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567"/>
        <w:rPr>
          <w:rFonts w:eastAsia="Times New Roman" w:cs="Times New Roman"/>
          <w:sz w:val="18"/>
          <w:szCs w:val="18"/>
          <w:lang w:eastAsia="pl-PL"/>
        </w:rPr>
      </w:pPr>
      <w:r w:rsidRPr="00E6707C">
        <w:rPr>
          <w:rFonts w:eastAsia="Times New Roman" w:cs="Times New Roman"/>
          <w:sz w:val="20"/>
          <w:szCs w:val="20"/>
          <w:lang w:val="de-DE" w:eastAsia="pl-PL"/>
        </w:rPr>
        <w:t xml:space="preserve">von Minckwitz G., Schneeweiss A., Loibl S. i wsp. </w:t>
      </w:r>
      <w:r w:rsidRPr="00D9597E">
        <w:rPr>
          <w:rFonts w:eastAsia="Times New Roman" w:cs="Times New Roman"/>
          <w:sz w:val="20"/>
          <w:szCs w:val="20"/>
          <w:lang w:eastAsia="pl-PL"/>
        </w:rPr>
        <w:t xml:space="preserve">Neoadjuvant carboplatin in patients with triple-negative and HER2-positive early breast cancer (GeparSixto; GBG 66): a randomised phase 2 trial. </w:t>
      </w:r>
      <w:r w:rsidRPr="00640E2B">
        <w:rPr>
          <w:rFonts w:eastAsia="Times New Roman" w:cs="Times New Roman"/>
          <w:i/>
          <w:sz w:val="20"/>
          <w:szCs w:val="20"/>
          <w:lang w:eastAsia="pl-PL"/>
        </w:rPr>
        <w:t>Lancet Oncol.</w:t>
      </w:r>
      <w:r w:rsidRPr="00D9597E">
        <w:rPr>
          <w:rFonts w:eastAsia="Times New Roman" w:cs="Times New Roman"/>
          <w:sz w:val="20"/>
          <w:szCs w:val="20"/>
          <w:lang w:eastAsia="pl-PL"/>
        </w:rPr>
        <w:t xml:space="preserve"> 2014; 15</w:t>
      </w:r>
      <w:r>
        <w:rPr>
          <w:rFonts w:eastAsia="Times New Roman" w:cs="Times New Roman"/>
          <w:sz w:val="20"/>
          <w:szCs w:val="20"/>
          <w:lang w:eastAsia="pl-PL"/>
        </w:rPr>
        <w:t>:</w:t>
      </w:r>
      <w:r w:rsidRPr="00D9597E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747-</w:t>
      </w:r>
      <w:r w:rsidRPr="00D9597E">
        <w:rPr>
          <w:rFonts w:eastAsia="Times New Roman" w:cs="Times New Roman"/>
          <w:sz w:val="20"/>
          <w:szCs w:val="20"/>
          <w:lang w:eastAsia="pl-PL"/>
        </w:rPr>
        <w:t>756</w:t>
      </w:r>
      <w:r>
        <w:rPr>
          <w:rFonts w:eastAsia="Times New Roman" w:cs="Times New Roman"/>
          <w:sz w:val="18"/>
          <w:szCs w:val="18"/>
          <w:lang w:eastAsia="pl-PL"/>
        </w:rPr>
        <w:t>.</w:t>
      </w:r>
    </w:p>
    <w:p w:rsidR="006A3D31" w:rsidRPr="003A3781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autoSpaceDE w:val="0"/>
        <w:autoSpaceDN w:val="0"/>
        <w:adjustRightInd w:val="0"/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E6707C">
        <w:rPr>
          <w:w w:val="90"/>
          <w:sz w:val="20"/>
          <w:szCs w:val="20"/>
          <w:lang w:val="de-DE"/>
        </w:rPr>
        <w:t xml:space="preserve">von Minckwitz G., Untch M., Blohmer J.U. i wsp. </w:t>
      </w:r>
      <w:r w:rsidRPr="003A3781">
        <w:rPr>
          <w:w w:val="90"/>
          <w:sz w:val="20"/>
          <w:szCs w:val="20"/>
        </w:rPr>
        <w:t xml:space="preserve">Definition and impact of pathologic complete response on prognosis after neoadjuvant chemotherapy in various intrinsic breast cancer subtypes. </w:t>
      </w:r>
      <w:r w:rsidRPr="003A3781">
        <w:rPr>
          <w:rFonts w:eastAsia="SimSun" w:cs="Times New Roman"/>
          <w:i/>
          <w:w w:val="90"/>
          <w:sz w:val="20"/>
          <w:szCs w:val="20"/>
          <w:lang w:val="pl-PL" w:eastAsia="pl-PL"/>
        </w:rPr>
        <w:t>J. Clin. Oncol.</w:t>
      </w:r>
      <w:r w:rsidRPr="003A3781">
        <w:rPr>
          <w:rFonts w:eastAsia="SimSun" w:cs="Times New Roman"/>
          <w:w w:val="90"/>
          <w:sz w:val="20"/>
          <w:szCs w:val="20"/>
          <w:lang w:val="pl-PL" w:eastAsia="pl-PL"/>
        </w:rPr>
        <w:t xml:space="preserve"> 2012; 30: 1796-1804</w:t>
      </w:r>
    </w:p>
    <w:p w:rsidR="00180D4A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num" w:pos="709"/>
        </w:tabs>
        <w:spacing w:after="0" w:line="238" w:lineRule="atLeast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227ADD">
        <w:rPr>
          <w:rFonts w:eastAsia="SimSun" w:cs="Times New Roman"/>
          <w:w w:val="90"/>
          <w:sz w:val="20"/>
          <w:szCs w:val="20"/>
          <w:lang w:val="pl-PL" w:eastAsia="pl-PL"/>
        </w:rPr>
        <w:t xml:space="preserve">Masuda N., Lee </w:t>
      </w:r>
      <w:r w:rsidRPr="009D6B8A">
        <w:rPr>
          <w:rFonts w:eastAsia="SimSun" w:cs="Times New Roman"/>
          <w:w w:val="90"/>
          <w:sz w:val="20"/>
          <w:szCs w:val="20"/>
          <w:lang w:val="pl-PL" w:eastAsia="pl-PL"/>
        </w:rPr>
        <w:t xml:space="preserve">S.-J., Othani S. i wsp. </w:t>
      </w:r>
      <w:r w:rsidRPr="00640E2B">
        <w:rPr>
          <w:w w:val="90"/>
          <w:sz w:val="20"/>
          <w:szCs w:val="20"/>
        </w:rPr>
        <w:t xml:space="preserve">Adjuvant capecitabine for breast cancer after preoperative chemotherapy.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 xml:space="preserve">N. Engl. J. Med. 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>2017; 376: 2147-2159</w:t>
      </w:r>
      <w:r w:rsidR="00180D4A" w:rsidRPr="00640E2B">
        <w:rPr>
          <w:rFonts w:eastAsia="SimSun" w:cs="Times New Roman"/>
          <w:w w:val="90"/>
          <w:sz w:val="20"/>
          <w:szCs w:val="20"/>
          <w:lang w:val="pl-PL" w:eastAsia="pl-PL"/>
        </w:rPr>
        <w:t>.</w:t>
      </w:r>
    </w:p>
    <w:p w:rsidR="00180D4A" w:rsidRPr="00640E2B" w:rsidRDefault="00A71CC5" w:rsidP="000E721D">
      <w:pPr>
        <w:widowControl/>
        <w:numPr>
          <w:ilvl w:val="0"/>
          <w:numId w:val="2"/>
        </w:numPr>
        <w:tabs>
          <w:tab w:val="clear" w:pos="360"/>
          <w:tab w:val="num" w:pos="709"/>
        </w:tabs>
        <w:spacing w:after="0" w:line="238" w:lineRule="atLeast"/>
        <w:ind w:left="709" w:hanging="567"/>
        <w:contextualSpacing/>
        <w:jc w:val="both"/>
        <w:rPr>
          <w:rFonts w:eastAsia="Times New Roman" w:cs="Arial"/>
          <w:bCs/>
          <w:color w:val="000000"/>
          <w:w w:val="90"/>
          <w:kern w:val="36"/>
          <w:sz w:val="20"/>
          <w:szCs w:val="20"/>
          <w:lang w:eastAsia="pl-PL"/>
        </w:rPr>
      </w:pPr>
      <w:hyperlink r:id="rId19" w:history="1">
        <w:r w:rsidR="00180D4A" w:rsidRPr="00640E2B">
          <w:rPr>
            <w:rFonts w:eastAsia="Times New Roman" w:cs="Arial"/>
            <w:color w:val="333333"/>
            <w:w w:val="90"/>
            <w:sz w:val="20"/>
            <w:szCs w:val="20"/>
            <w:lang w:eastAsia="pl-PL"/>
          </w:rPr>
          <w:t>Goldhirsch A</w:t>
        </w:r>
      </w:hyperlink>
      <w:r w:rsidR="00180D4A" w:rsidRPr="00640E2B">
        <w:rPr>
          <w:rFonts w:eastAsia="Times New Roman" w:cs="Arial"/>
          <w:color w:val="000000"/>
          <w:w w:val="90"/>
          <w:sz w:val="20"/>
          <w:szCs w:val="20"/>
          <w:lang w:eastAsia="pl-PL"/>
        </w:rPr>
        <w:t xml:space="preserve">., </w:t>
      </w:r>
      <w:hyperlink r:id="rId20" w:history="1">
        <w:r w:rsidR="00180D4A" w:rsidRPr="00640E2B">
          <w:rPr>
            <w:rFonts w:eastAsia="Times New Roman" w:cs="Arial"/>
            <w:color w:val="333333"/>
            <w:w w:val="90"/>
            <w:sz w:val="20"/>
            <w:szCs w:val="20"/>
            <w:lang w:eastAsia="pl-PL"/>
          </w:rPr>
          <w:t>Gelber R.D</w:t>
        </w:r>
      </w:hyperlink>
      <w:r w:rsidR="00180D4A" w:rsidRPr="00640E2B">
        <w:rPr>
          <w:rFonts w:eastAsia="Times New Roman" w:cs="Arial"/>
          <w:color w:val="000000"/>
          <w:w w:val="90"/>
          <w:sz w:val="20"/>
          <w:szCs w:val="20"/>
          <w:lang w:eastAsia="pl-PL"/>
        </w:rPr>
        <w:t xml:space="preserve">., </w:t>
      </w:r>
      <w:hyperlink r:id="rId21" w:history="1">
        <w:r w:rsidR="00180D4A" w:rsidRPr="00640E2B">
          <w:rPr>
            <w:rFonts w:eastAsia="Times New Roman" w:cs="Arial"/>
            <w:color w:val="333333"/>
            <w:w w:val="90"/>
            <w:sz w:val="20"/>
            <w:szCs w:val="20"/>
            <w:lang w:eastAsia="pl-PL"/>
          </w:rPr>
          <w:t>Piccart-Gebhart M.J</w:t>
        </w:r>
      </w:hyperlink>
      <w:r w:rsidR="00180D4A" w:rsidRPr="00640E2B">
        <w:rPr>
          <w:rFonts w:eastAsia="Times New Roman" w:cs="Arial"/>
          <w:color w:val="000000"/>
          <w:w w:val="90"/>
          <w:sz w:val="20"/>
          <w:szCs w:val="20"/>
          <w:lang w:eastAsia="pl-PL"/>
        </w:rPr>
        <w:t>. i wsp.</w:t>
      </w:r>
      <w:r w:rsidR="00180D4A" w:rsidRPr="00640E2B">
        <w:rPr>
          <w:rFonts w:eastAsia="Times New Roman" w:cs="Arial"/>
          <w:bCs/>
          <w:color w:val="000000"/>
          <w:w w:val="90"/>
          <w:kern w:val="36"/>
          <w:sz w:val="20"/>
          <w:szCs w:val="20"/>
          <w:lang w:eastAsia="pl-PL"/>
        </w:rPr>
        <w:t xml:space="preserve"> 2 years versus 1 year of adjuvant trastuzumab for HER2-positive breast cancer (HERA): an open-label, randomised controlled trial.</w:t>
      </w:r>
      <w:r w:rsidR="00180D4A" w:rsidRPr="00640E2B">
        <w:rPr>
          <w:rFonts w:eastAsia="Times New Roman" w:cs="Arial"/>
          <w:color w:val="000000"/>
          <w:w w:val="90"/>
          <w:sz w:val="20"/>
          <w:szCs w:val="20"/>
          <w:lang w:eastAsia="pl-PL"/>
        </w:rPr>
        <w:t xml:space="preserve"> </w:t>
      </w:r>
      <w:hyperlink r:id="rId22" w:tooltip="Lancet (London, England)." w:history="1">
        <w:r w:rsidR="00180D4A" w:rsidRPr="00640E2B">
          <w:rPr>
            <w:rFonts w:eastAsia="Times New Roman" w:cs="Arial"/>
            <w:i/>
            <w:color w:val="333333"/>
            <w:w w:val="90"/>
            <w:sz w:val="20"/>
            <w:szCs w:val="20"/>
            <w:lang w:eastAsia="pl-PL"/>
          </w:rPr>
          <w:t>Lancet</w:t>
        </w:r>
      </w:hyperlink>
      <w:r w:rsidR="00180D4A" w:rsidRPr="00640E2B">
        <w:rPr>
          <w:rFonts w:eastAsia="Times New Roman" w:cs="Arial"/>
          <w:color w:val="000000"/>
          <w:w w:val="90"/>
          <w:sz w:val="20"/>
          <w:szCs w:val="20"/>
          <w:lang w:eastAsia="pl-PL"/>
        </w:rPr>
        <w:t xml:space="preserve"> 2013; 382: 1021-1028</w:t>
      </w:r>
    </w:p>
    <w:p w:rsidR="006A3D31" w:rsidRPr="00227ADD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640E2B">
        <w:rPr>
          <w:w w:val="90"/>
          <w:sz w:val="20"/>
          <w:szCs w:val="20"/>
        </w:rPr>
        <w:t xml:space="preserve">Slamon D., Eiermann W., Robert N. i wsp. Adjuvant trastuzumab in HER2-positive breast cancer. </w:t>
      </w:r>
      <w:r w:rsidRPr="00227ADD">
        <w:rPr>
          <w:rFonts w:eastAsia="SimSun" w:cs="Times New Roman"/>
          <w:i/>
          <w:w w:val="90"/>
          <w:sz w:val="20"/>
          <w:szCs w:val="20"/>
          <w:lang w:val="pl-PL" w:eastAsia="pl-PL"/>
        </w:rPr>
        <w:t>N. Engl. J. Med.</w:t>
      </w:r>
      <w:r w:rsidRPr="00227ADD">
        <w:rPr>
          <w:rFonts w:eastAsia="SimSun" w:cs="Times New Roman"/>
          <w:w w:val="90"/>
          <w:sz w:val="20"/>
          <w:szCs w:val="20"/>
          <w:lang w:val="pl-PL" w:eastAsia="pl-PL"/>
        </w:rPr>
        <w:t xml:space="preserve"> 2011; 365: 1273-1283.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640E2B">
        <w:rPr>
          <w:w w:val="90"/>
          <w:sz w:val="20"/>
          <w:szCs w:val="20"/>
        </w:rPr>
        <w:t xml:space="preserve">Perez E.A., Romond E.H., Suman V.J. i wsp. Four-year follow-up of trastuzumab plus adjuvant chemotherapy for operable human epidermal growth factor receptor 2-positive breast cancer: joint analysis of data from NCCTG N9831 and NSABP B-31. </w:t>
      </w:r>
      <w:r w:rsidRPr="00640E2B">
        <w:rPr>
          <w:i/>
          <w:w w:val="90"/>
          <w:sz w:val="20"/>
          <w:szCs w:val="20"/>
        </w:rPr>
        <w:t xml:space="preserve">J. Clin.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Oncol.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 2011; 29: 3366-3373.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cs="Times New Roman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Gianni L., Eiermann W., Semiglazov V. i wsp. Neoadjuvant and adjuvant trastuzumab in patients with HER2-positive locally advanced breast cancer (NOAH): follow-up of a randomised controlled superiority trial with a parallel HER2-negative cohort. </w:t>
      </w:r>
      <w:r w:rsidRPr="00640E2B">
        <w:rPr>
          <w:rFonts w:cs="Times New Roman"/>
          <w:i/>
          <w:w w:val="90"/>
          <w:sz w:val="20"/>
          <w:szCs w:val="20"/>
          <w:lang w:val="pl-PL"/>
        </w:rPr>
        <w:t>Lancet Oncol</w:t>
      </w:r>
      <w:r w:rsidRPr="00640E2B">
        <w:rPr>
          <w:rFonts w:cs="Times New Roman"/>
          <w:w w:val="90"/>
          <w:sz w:val="20"/>
          <w:szCs w:val="20"/>
          <w:lang w:val="pl-PL"/>
        </w:rPr>
        <w:t>. 2014; 15: 640-647.</w:t>
      </w:r>
    </w:p>
    <w:p w:rsidR="006A3D31" w:rsidRPr="00227ADD" w:rsidRDefault="006A3D31" w:rsidP="000E721D">
      <w:pPr>
        <w:pStyle w:val="title1"/>
        <w:numPr>
          <w:ilvl w:val="0"/>
          <w:numId w:val="2"/>
        </w:numPr>
        <w:shd w:val="clear" w:color="auto" w:fill="FFFFFF"/>
        <w:tabs>
          <w:tab w:val="clear" w:pos="360"/>
          <w:tab w:val="left" w:pos="709"/>
          <w:tab w:val="num" w:pos="4329"/>
        </w:tabs>
        <w:ind w:left="709" w:hanging="567"/>
        <w:rPr>
          <w:rFonts w:ascii="Franklin Gothic Book" w:hAnsi="Franklin Gothic Book" w:cs="Arial"/>
          <w:color w:val="000000"/>
          <w:w w:val="90"/>
          <w:sz w:val="20"/>
          <w:szCs w:val="20"/>
          <w:lang w:val="pl-PL"/>
        </w:rPr>
      </w:pPr>
      <w:r w:rsidRPr="00640E2B">
        <w:rPr>
          <w:rFonts w:ascii="Franklin Gothic Book" w:hAnsi="Franklin Gothic Book" w:cs="Arial"/>
          <w:bCs/>
          <w:color w:val="000000"/>
          <w:w w:val="90"/>
          <w:sz w:val="20"/>
          <w:szCs w:val="20"/>
          <w:lang w:val="pl-PL"/>
        </w:rPr>
        <w:t>Gianni</w:t>
      </w:r>
      <w:r w:rsidRPr="00640E2B">
        <w:rPr>
          <w:rFonts w:ascii="Franklin Gothic Book" w:hAnsi="Franklin Gothic Book" w:cs="Arial"/>
          <w:color w:val="000000"/>
          <w:w w:val="90"/>
          <w:sz w:val="20"/>
          <w:szCs w:val="20"/>
          <w:lang w:val="pl-PL"/>
        </w:rPr>
        <w:t xml:space="preserve"> L., Pienkowski T., Im Y.H</w:t>
      </w:r>
      <w:r w:rsidRPr="00640E2B">
        <w:rPr>
          <w:rFonts w:ascii="Franklin Gothic Book" w:hAnsi="Franklin Gothic Book"/>
          <w:color w:val="000000"/>
          <w:w w:val="90"/>
          <w:sz w:val="20"/>
          <w:szCs w:val="20"/>
          <w:lang w:val="pl-PL"/>
        </w:rPr>
        <w:t xml:space="preserve">. i wsp. </w:t>
      </w:r>
      <w:hyperlink r:id="rId23" w:history="1">
        <w:r w:rsidRPr="00640E2B">
          <w:rPr>
            <w:rFonts w:ascii="Franklin Gothic Book" w:hAnsi="Franklin Gothic Book" w:cs="Arial"/>
            <w:color w:val="000000"/>
            <w:w w:val="90"/>
            <w:sz w:val="20"/>
            <w:szCs w:val="20"/>
          </w:rPr>
          <w:t xml:space="preserve">5-year analysis of neoadjuvant </w:t>
        </w:r>
        <w:r w:rsidRPr="00640E2B">
          <w:rPr>
            <w:rFonts w:ascii="Franklin Gothic Book" w:hAnsi="Franklin Gothic Book" w:cs="Arial"/>
            <w:bCs/>
            <w:color w:val="000000"/>
            <w:w w:val="90"/>
            <w:sz w:val="20"/>
            <w:szCs w:val="20"/>
          </w:rPr>
          <w:t>pertuzumab</w:t>
        </w:r>
        <w:r w:rsidRPr="00640E2B">
          <w:rPr>
            <w:rFonts w:ascii="Franklin Gothic Book" w:hAnsi="Franklin Gothic Book" w:cs="Arial"/>
            <w:color w:val="000000"/>
            <w:w w:val="90"/>
            <w:sz w:val="20"/>
            <w:szCs w:val="20"/>
          </w:rPr>
          <w:t xml:space="preserve"> and trastuzumab in patients with locally advanced, inflammatory, or early-stage HER2-positive breast cancer (NeoSphere): a multicentre, open-label, phase 2 randomised trial.</w:t>
        </w:r>
      </w:hyperlink>
      <w:r w:rsidRPr="00640E2B">
        <w:rPr>
          <w:rFonts w:ascii="Franklin Gothic Book" w:hAnsi="Franklin Gothic Book"/>
          <w:color w:val="000000"/>
          <w:w w:val="90"/>
          <w:sz w:val="20"/>
          <w:szCs w:val="20"/>
        </w:rPr>
        <w:t xml:space="preserve"> </w:t>
      </w:r>
      <w:r w:rsidRPr="00227ADD">
        <w:rPr>
          <w:rStyle w:val="jrnl"/>
          <w:rFonts w:ascii="Franklin Gothic Book" w:eastAsia="Calibri" w:hAnsi="Franklin Gothic Book"/>
          <w:color w:val="000000"/>
          <w:w w:val="90"/>
          <w:sz w:val="20"/>
          <w:szCs w:val="20"/>
          <w:lang w:val="pl-PL"/>
        </w:rPr>
        <w:t>Lancet Oncol</w:t>
      </w:r>
      <w:r w:rsidRPr="00227ADD">
        <w:rPr>
          <w:rFonts w:ascii="Franklin Gothic Book" w:hAnsi="Franklin Gothic Book"/>
          <w:color w:val="000000"/>
          <w:w w:val="90"/>
          <w:sz w:val="20"/>
          <w:szCs w:val="20"/>
          <w:lang w:val="pl-PL"/>
        </w:rPr>
        <w:t xml:space="preserve">. </w:t>
      </w:r>
      <w:r w:rsidRPr="00227ADD">
        <w:rPr>
          <w:rFonts w:ascii="Franklin Gothic Book" w:hAnsi="Franklin Gothic Book" w:cs="Arial"/>
          <w:color w:val="000000"/>
          <w:w w:val="90"/>
          <w:sz w:val="20"/>
          <w:szCs w:val="20"/>
          <w:lang w:val="pl-PL"/>
        </w:rPr>
        <w:t>2016; 17: 791-800.</w:t>
      </w:r>
    </w:p>
    <w:p w:rsidR="006A3D31" w:rsidRPr="00640E2B" w:rsidRDefault="006A3D31" w:rsidP="000E721D">
      <w:pPr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640E2B">
        <w:rPr>
          <w:w w:val="90"/>
          <w:sz w:val="20"/>
          <w:szCs w:val="20"/>
        </w:rPr>
        <w:t xml:space="preserve">Perez E.A., Suman V.J., Davidson N.E. i wsp. Sequential versus concurrent trastuzumab in adjuvant chemotherapy for breast cancer.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J. Clin. Oncol.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 2011; 29: 4491-4497.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640E2B">
        <w:rPr>
          <w:w w:val="90"/>
          <w:sz w:val="20"/>
          <w:szCs w:val="20"/>
        </w:rPr>
        <w:t xml:space="preserve">Tolaney S. M., Barry W. T., Dangi C. T. i wsp, Adjuvant paclitaxel and trastuzumab for node-negative, HER2-positive breast cancer.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N. Engl. J. Med.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 2015; 372: 134-141.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640E2B">
        <w:rPr>
          <w:color w:val="231F20"/>
          <w:w w:val="90"/>
          <w:sz w:val="20"/>
          <w:szCs w:val="20"/>
        </w:rPr>
        <w:t xml:space="preserve">Piccart-Gebhart M., Holmes E., Baselga J. i wsp. Adjuvant lapatinib and trastuzumab for early human epidermal growth factor receptor 2-positive breast cancer: results from the randomized phase III adjuvant lapatinib and/or trastuzumab treatment optimization trial. </w:t>
      </w:r>
      <w:r w:rsidRPr="00640E2B">
        <w:rPr>
          <w:i/>
          <w:color w:val="231F20"/>
          <w:w w:val="90"/>
          <w:sz w:val="20"/>
          <w:szCs w:val="20"/>
          <w:lang w:val="pl-PL"/>
        </w:rPr>
        <w:t>J Clin Oncol</w:t>
      </w:r>
      <w:r w:rsidRPr="00640E2B">
        <w:rPr>
          <w:color w:val="231F20"/>
          <w:w w:val="90"/>
          <w:sz w:val="20"/>
          <w:szCs w:val="20"/>
          <w:lang w:val="pl-PL"/>
        </w:rPr>
        <w:t xml:space="preserve"> 2016; 34: 1034–1042.</w:t>
      </w:r>
    </w:p>
    <w:p w:rsidR="006A3D31" w:rsidRPr="00227ADD" w:rsidRDefault="006A3D31" w:rsidP="000E721D">
      <w:pPr>
        <w:pStyle w:val="desc2"/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num" w:pos="4329"/>
        </w:tabs>
        <w:ind w:left="709" w:hanging="567"/>
        <w:rPr>
          <w:rFonts w:ascii="Franklin Gothic Book" w:hAnsi="Franklin Gothic Book" w:cs="Arial"/>
          <w:color w:val="000000"/>
          <w:w w:val="90"/>
          <w:sz w:val="20"/>
          <w:szCs w:val="20"/>
          <w:lang w:val="pl-PL"/>
        </w:rPr>
      </w:pPr>
      <w:r w:rsidRPr="00640E2B">
        <w:rPr>
          <w:rFonts w:ascii="Franklin Gothic Book" w:hAnsi="Franklin Gothic Book" w:cs="Arial"/>
          <w:color w:val="000000"/>
          <w:w w:val="90"/>
          <w:sz w:val="20"/>
          <w:szCs w:val="20"/>
        </w:rPr>
        <w:t>von Minckwitz G., Procter M., de Azambuja E</w:t>
      </w:r>
      <w:r w:rsidRPr="00640E2B">
        <w:rPr>
          <w:rFonts w:ascii="Franklin Gothic Book" w:hAnsi="Franklin Gothic Book"/>
          <w:color w:val="000000"/>
          <w:w w:val="90"/>
          <w:sz w:val="20"/>
          <w:szCs w:val="20"/>
        </w:rPr>
        <w:t xml:space="preserve">. i wsp. </w:t>
      </w:r>
      <w:hyperlink r:id="rId24" w:history="1">
        <w:r w:rsidRPr="00640E2B">
          <w:rPr>
            <w:rFonts w:ascii="Franklin Gothic Book" w:hAnsi="Franklin Gothic Book" w:cs="Arial"/>
            <w:color w:val="000000"/>
            <w:w w:val="90"/>
            <w:sz w:val="20"/>
            <w:szCs w:val="20"/>
          </w:rPr>
          <w:t xml:space="preserve">Adjuvant </w:t>
        </w:r>
        <w:r w:rsidRPr="00640E2B">
          <w:rPr>
            <w:rFonts w:ascii="Franklin Gothic Book" w:hAnsi="Franklin Gothic Book" w:cs="Arial"/>
            <w:bCs/>
            <w:color w:val="000000"/>
            <w:w w:val="90"/>
            <w:sz w:val="20"/>
            <w:szCs w:val="20"/>
          </w:rPr>
          <w:t>pertuzumab</w:t>
        </w:r>
        <w:r w:rsidRPr="00640E2B">
          <w:rPr>
            <w:rFonts w:ascii="Franklin Gothic Book" w:hAnsi="Franklin Gothic Book" w:cs="Arial"/>
            <w:color w:val="000000"/>
            <w:w w:val="90"/>
            <w:sz w:val="20"/>
            <w:szCs w:val="20"/>
          </w:rPr>
          <w:t xml:space="preserve"> and trastuzumab in early HER2-positive breast cancer.</w:t>
        </w:r>
      </w:hyperlink>
      <w:r w:rsidRPr="00640E2B">
        <w:rPr>
          <w:rFonts w:ascii="Franklin Gothic Book" w:hAnsi="Franklin Gothic Book" w:cs="Arial"/>
          <w:color w:val="000000"/>
          <w:w w:val="90"/>
          <w:sz w:val="20"/>
          <w:szCs w:val="20"/>
        </w:rPr>
        <w:t xml:space="preserve"> </w:t>
      </w:r>
      <w:r w:rsidRPr="00227ADD">
        <w:rPr>
          <w:rStyle w:val="jrnl"/>
          <w:rFonts w:ascii="Franklin Gothic Book" w:eastAsia="Calibri" w:hAnsi="Franklin Gothic Book" w:cs="Arial"/>
          <w:i/>
          <w:color w:val="000000"/>
          <w:w w:val="90"/>
          <w:sz w:val="20"/>
          <w:szCs w:val="20"/>
          <w:lang w:val="pl-PL"/>
        </w:rPr>
        <w:t>N. Engl. J. Med</w:t>
      </w:r>
      <w:r w:rsidRPr="00227ADD">
        <w:rPr>
          <w:rFonts w:ascii="Franklin Gothic Book" w:hAnsi="Franklin Gothic Book" w:cs="Arial"/>
          <w:i/>
          <w:color w:val="000000"/>
          <w:w w:val="90"/>
          <w:sz w:val="20"/>
          <w:szCs w:val="20"/>
          <w:lang w:val="pl-PL"/>
        </w:rPr>
        <w:t>.</w:t>
      </w:r>
      <w:r w:rsidRPr="00227ADD">
        <w:rPr>
          <w:rFonts w:ascii="Franklin Gothic Book" w:hAnsi="Franklin Gothic Book" w:cs="Arial"/>
          <w:color w:val="000000"/>
          <w:w w:val="90"/>
          <w:sz w:val="20"/>
          <w:szCs w:val="20"/>
          <w:lang w:val="pl-PL"/>
        </w:rPr>
        <w:t xml:space="preserve"> 2017; 377: 122-131.</w:t>
      </w:r>
    </w:p>
    <w:p w:rsidR="006A3D31" w:rsidRPr="00227ADD" w:rsidRDefault="00A71CC5" w:rsidP="000E721D">
      <w:pPr>
        <w:pStyle w:val="Akapitzlist"/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num" w:pos="4329"/>
        </w:tabs>
        <w:spacing w:after="0" w:line="240" w:lineRule="auto"/>
        <w:ind w:left="709" w:hanging="567"/>
        <w:rPr>
          <w:rFonts w:cs="Arial"/>
          <w:color w:val="000000"/>
          <w:w w:val="90"/>
          <w:sz w:val="20"/>
          <w:szCs w:val="20"/>
          <w:lang w:val="pl-PL"/>
        </w:rPr>
      </w:pPr>
      <w:hyperlink r:id="rId25" w:history="1">
        <w:r w:rsidR="006A3D31" w:rsidRPr="00640E2B">
          <w:rPr>
            <w:rFonts w:cs="Arial"/>
            <w:color w:val="000000"/>
            <w:w w:val="90"/>
            <w:sz w:val="20"/>
            <w:szCs w:val="20"/>
          </w:rPr>
          <w:t>Martin M</w:t>
        </w:r>
      </w:hyperlink>
      <w:r w:rsidR="006A3D31" w:rsidRPr="00640E2B">
        <w:rPr>
          <w:rFonts w:cs="Arial"/>
          <w:color w:val="000000"/>
          <w:w w:val="90"/>
          <w:sz w:val="20"/>
          <w:szCs w:val="20"/>
        </w:rPr>
        <w:t xml:space="preserve">., </w:t>
      </w:r>
      <w:hyperlink r:id="rId26" w:history="1">
        <w:r w:rsidR="006A3D31" w:rsidRPr="00640E2B">
          <w:rPr>
            <w:rFonts w:cs="Arial"/>
            <w:color w:val="000000"/>
            <w:w w:val="90"/>
            <w:sz w:val="20"/>
            <w:szCs w:val="20"/>
          </w:rPr>
          <w:t>Holmes F.A</w:t>
        </w:r>
      </w:hyperlink>
      <w:r w:rsidR="006A3D31" w:rsidRPr="00640E2B">
        <w:rPr>
          <w:rFonts w:cs="Arial"/>
          <w:color w:val="000000"/>
          <w:w w:val="90"/>
          <w:sz w:val="20"/>
          <w:szCs w:val="20"/>
        </w:rPr>
        <w:t xml:space="preserve">., </w:t>
      </w:r>
      <w:hyperlink r:id="rId27" w:history="1">
        <w:r w:rsidR="006A3D31" w:rsidRPr="00640E2B">
          <w:rPr>
            <w:rFonts w:cs="Arial"/>
            <w:color w:val="000000"/>
            <w:w w:val="90"/>
            <w:sz w:val="20"/>
            <w:szCs w:val="20"/>
          </w:rPr>
          <w:t>Ejlertsen B</w:t>
        </w:r>
      </w:hyperlink>
      <w:r w:rsidR="006A3D31" w:rsidRPr="00640E2B">
        <w:rPr>
          <w:rFonts w:cs="Arial"/>
          <w:color w:val="000000"/>
          <w:w w:val="90"/>
          <w:sz w:val="20"/>
          <w:szCs w:val="20"/>
        </w:rPr>
        <w:t xml:space="preserve">. i wsp. </w:t>
      </w:r>
      <w:r w:rsidR="006A3D31" w:rsidRPr="00640E2B">
        <w:rPr>
          <w:rStyle w:val="highlight2"/>
          <w:rFonts w:cs="Arial"/>
          <w:color w:val="000000"/>
          <w:w w:val="90"/>
          <w:sz w:val="20"/>
          <w:szCs w:val="20"/>
        </w:rPr>
        <w:t>Neratinib</w:t>
      </w:r>
      <w:r w:rsidR="006A3D31" w:rsidRPr="00640E2B">
        <w:rPr>
          <w:rFonts w:cs="Arial"/>
          <w:color w:val="000000"/>
          <w:w w:val="90"/>
          <w:sz w:val="20"/>
          <w:szCs w:val="20"/>
        </w:rPr>
        <w:t xml:space="preserve"> after trastuzumab-based </w:t>
      </w:r>
      <w:r w:rsidR="006A3D31" w:rsidRPr="00640E2B">
        <w:rPr>
          <w:rStyle w:val="highlight2"/>
          <w:rFonts w:cs="Arial"/>
          <w:color w:val="000000"/>
          <w:w w:val="90"/>
          <w:sz w:val="20"/>
          <w:szCs w:val="20"/>
        </w:rPr>
        <w:t>adjuvant</w:t>
      </w:r>
      <w:r w:rsidR="006A3D31" w:rsidRPr="00640E2B">
        <w:rPr>
          <w:rFonts w:cs="Arial"/>
          <w:color w:val="000000"/>
          <w:w w:val="90"/>
          <w:sz w:val="20"/>
          <w:szCs w:val="20"/>
        </w:rPr>
        <w:t xml:space="preserve"> therapy in HER2-positive </w:t>
      </w:r>
      <w:r w:rsidR="006A3D31" w:rsidRPr="00640E2B">
        <w:rPr>
          <w:rStyle w:val="highlight2"/>
          <w:rFonts w:cs="Arial"/>
          <w:color w:val="000000"/>
          <w:w w:val="90"/>
          <w:sz w:val="20"/>
          <w:szCs w:val="20"/>
        </w:rPr>
        <w:t>breast</w:t>
      </w:r>
      <w:r w:rsidR="006A3D31" w:rsidRPr="00640E2B">
        <w:rPr>
          <w:rFonts w:cs="Arial"/>
          <w:color w:val="000000"/>
          <w:w w:val="90"/>
          <w:sz w:val="20"/>
          <w:szCs w:val="20"/>
        </w:rPr>
        <w:t xml:space="preserve"> cancer (ExteNET): 5-year analysis of a randomised, double-blind, placebo-controlled, phase 3 trial. </w:t>
      </w:r>
      <w:hyperlink r:id="rId28" w:tooltip="The Lancet. Oncology." w:history="1">
        <w:r w:rsidR="006A3D31" w:rsidRPr="00640E2B">
          <w:rPr>
            <w:rFonts w:cs="Arial"/>
            <w:i/>
            <w:color w:val="000000"/>
            <w:w w:val="90"/>
            <w:sz w:val="20"/>
            <w:szCs w:val="20"/>
            <w:lang w:val="pl-PL"/>
          </w:rPr>
          <w:t>Lancet Oncol</w:t>
        </w:r>
        <w:r w:rsidR="006A3D31" w:rsidRPr="00640E2B">
          <w:rPr>
            <w:rFonts w:cs="Arial"/>
            <w:color w:val="000000"/>
            <w:w w:val="90"/>
            <w:sz w:val="20"/>
            <w:szCs w:val="20"/>
            <w:lang w:val="pl-PL"/>
          </w:rPr>
          <w:t>.</w:t>
        </w:r>
      </w:hyperlink>
      <w:r w:rsidR="006A3D31" w:rsidRPr="00227ADD">
        <w:rPr>
          <w:rFonts w:cs="Arial"/>
          <w:color w:val="000000"/>
          <w:w w:val="90"/>
          <w:sz w:val="20"/>
          <w:szCs w:val="20"/>
          <w:lang w:val="pl-PL"/>
        </w:rPr>
        <w:t xml:space="preserve"> 2017; </w:t>
      </w:r>
      <w:r w:rsidR="00456F8D" w:rsidRPr="00640E2B">
        <w:rPr>
          <w:rFonts w:cs="Arial"/>
          <w:color w:val="000000"/>
          <w:w w:val="90"/>
          <w:sz w:val="20"/>
          <w:szCs w:val="20"/>
        </w:rPr>
        <w:t>18: 1688-1700.</w:t>
      </w:r>
      <w:r w:rsidR="00456F8D" w:rsidRPr="00227ADD" w:rsidDel="00456F8D">
        <w:rPr>
          <w:rFonts w:cs="Arial"/>
          <w:color w:val="000000"/>
          <w:w w:val="90"/>
          <w:sz w:val="20"/>
          <w:szCs w:val="20"/>
          <w:lang w:val="pl-PL"/>
        </w:rPr>
        <w:t xml:space="preserve"> 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640E2B">
        <w:rPr>
          <w:w w:val="90"/>
          <w:sz w:val="20"/>
          <w:szCs w:val="20"/>
        </w:rPr>
        <w:t xml:space="preserve">Early Breast Cancer Trialists' Collaborative Group (EBCTCG), Coleman R., Powles T., Paterson A. i wsp. Adjuvant bisphosphonate treatment in early breast cancer: meta-analyses of individual patient data from randomised trials.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 xml:space="preserve">Lancet 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>2015; 386: 1353-1361.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SimSun" w:cs="Times New Roman"/>
          <w:w w:val="90"/>
          <w:sz w:val="20"/>
          <w:szCs w:val="20"/>
          <w:lang w:val="pl-PL" w:eastAsia="pl-PL"/>
        </w:rPr>
      </w:pPr>
      <w:r w:rsidRPr="00640E2B">
        <w:rPr>
          <w:w w:val="90"/>
          <w:sz w:val="20"/>
          <w:szCs w:val="20"/>
        </w:rPr>
        <w:t xml:space="preserve">Muss H.B., Berry D.A., Cirrincione C.T. i wsp. Adjuvant chemotherapy in older women with early-stage breast cancer. </w:t>
      </w:r>
      <w:r w:rsidRPr="00640E2B">
        <w:rPr>
          <w:rFonts w:eastAsia="SimSun" w:cs="Times New Roman"/>
          <w:i/>
          <w:w w:val="90"/>
          <w:sz w:val="20"/>
          <w:szCs w:val="20"/>
          <w:lang w:val="pl-PL" w:eastAsia="pl-PL"/>
        </w:rPr>
        <w:t>N. Engl. J. Med.</w:t>
      </w:r>
      <w:r w:rsidRPr="00640E2B">
        <w:rPr>
          <w:rFonts w:eastAsia="SimSun" w:cs="Times New Roman"/>
          <w:w w:val="90"/>
          <w:sz w:val="20"/>
          <w:szCs w:val="20"/>
          <w:lang w:val="pl-PL" w:eastAsia="pl-PL"/>
        </w:rPr>
        <w:t xml:space="preserve"> 2009; 360: 2055-2065.</w:t>
      </w:r>
    </w:p>
    <w:p w:rsidR="003D3B4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567"/>
        <w:contextualSpacing/>
        <w:jc w:val="both"/>
        <w:rPr>
          <w:rFonts w:eastAsia="Times New Roman" w:cs="Courier New"/>
          <w:color w:val="000000"/>
          <w:w w:val="90"/>
          <w:sz w:val="20"/>
          <w:szCs w:val="20"/>
          <w:lang w:eastAsia="pl-PL"/>
        </w:rPr>
      </w:pPr>
      <w:r w:rsidRPr="00E6707C">
        <w:rPr>
          <w:rFonts w:eastAsia="SimSun" w:cs="Times New Roman"/>
          <w:w w:val="90"/>
          <w:sz w:val="20"/>
          <w:szCs w:val="20"/>
          <w:lang w:val="en-GB" w:eastAsia="pl-PL"/>
        </w:rPr>
        <w:t xml:space="preserve">Perrone F., Nuzzo F., Di Rella F. i wsp. </w:t>
      </w:r>
      <w:r w:rsidRPr="00640E2B">
        <w:rPr>
          <w:w w:val="90"/>
          <w:sz w:val="20"/>
          <w:szCs w:val="20"/>
        </w:rPr>
        <w:t>Weekly docetaxel versus CMF as adjuvant chemotherapy for older</w:t>
      </w:r>
      <w:r w:rsidR="003D3B41" w:rsidRPr="00640E2B">
        <w:rPr>
          <w:w w:val="90"/>
          <w:sz w:val="20"/>
          <w:szCs w:val="20"/>
        </w:rPr>
        <w:br/>
      </w:r>
      <w:r w:rsidRPr="00640E2B">
        <w:rPr>
          <w:w w:val="90"/>
          <w:sz w:val="20"/>
          <w:szCs w:val="20"/>
        </w:rPr>
        <w:t xml:space="preserve">women with early breast cancer: final results of the randomized phase III ELDA trial. </w:t>
      </w:r>
      <w:r w:rsidRPr="00640E2B">
        <w:rPr>
          <w:i/>
          <w:w w:val="90"/>
          <w:sz w:val="20"/>
          <w:szCs w:val="20"/>
          <w:lang w:val="pl-PL"/>
        </w:rPr>
        <w:t>Ann. Oncol</w:t>
      </w:r>
      <w:r w:rsidRPr="00640E2B">
        <w:rPr>
          <w:w w:val="90"/>
          <w:sz w:val="20"/>
          <w:szCs w:val="20"/>
          <w:lang w:val="pl-PL"/>
        </w:rPr>
        <w:t xml:space="preserve">. </w:t>
      </w:r>
      <w:r w:rsidRPr="00640E2B">
        <w:rPr>
          <w:w w:val="90"/>
          <w:sz w:val="20"/>
          <w:szCs w:val="20"/>
        </w:rPr>
        <w:t xml:space="preserve">2015; 26: </w:t>
      </w:r>
      <w:r w:rsidR="003D3B41" w:rsidRPr="00640E2B">
        <w:rPr>
          <w:w w:val="90"/>
          <w:sz w:val="20"/>
          <w:szCs w:val="20"/>
        </w:rPr>
        <w:br/>
      </w:r>
      <w:r w:rsidRPr="00640E2B">
        <w:rPr>
          <w:w w:val="90"/>
          <w:sz w:val="20"/>
          <w:szCs w:val="20"/>
        </w:rPr>
        <w:t>675-682.</w:t>
      </w:r>
    </w:p>
    <w:p w:rsidR="003D3B41" w:rsidRPr="00640E2B" w:rsidRDefault="003D3B41" w:rsidP="000E721D">
      <w:pPr>
        <w:widowControl/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567"/>
        <w:contextualSpacing/>
        <w:jc w:val="both"/>
        <w:rPr>
          <w:rFonts w:eastAsia="Times New Roman" w:cs="Courier New"/>
          <w:color w:val="000000"/>
          <w:w w:val="90"/>
          <w:sz w:val="20"/>
          <w:szCs w:val="20"/>
          <w:lang w:eastAsia="pl-PL"/>
        </w:rPr>
      </w:pPr>
      <w:r w:rsidRPr="00640E2B">
        <w:rPr>
          <w:color w:val="000000"/>
          <w:w w:val="90"/>
          <w:sz w:val="20"/>
          <w:szCs w:val="20"/>
        </w:rPr>
        <w:t xml:space="preserve">Wu S.G., Zhang W.W., Sun J.Y. i wsp.. Comparable survival between additional radiotherapy and local surgery in occult breast cancer after axillary lymph node dissection: A population-based analysis. </w:t>
      </w:r>
      <w:r w:rsidRPr="00640E2B">
        <w:rPr>
          <w:i/>
          <w:color w:val="000000"/>
          <w:w w:val="90"/>
          <w:sz w:val="20"/>
          <w:szCs w:val="20"/>
        </w:rPr>
        <w:t>J. Cancer</w:t>
      </w:r>
      <w:r w:rsidRPr="00640E2B">
        <w:rPr>
          <w:color w:val="000000"/>
          <w:w w:val="90"/>
          <w:sz w:val="20"/>
          <w:szCs w:val="20"/>
        </w:rPr>
        <w:t>. 2017</w:t>
      </w:r>
      <w:r w:rsidRPr="00640E2B">
        <w:rPr>
          <w:rFonts w:eastAsia="Times New Roman" w:cs="Courier New"/>
          <w:color w:val="000000"/>
          <w:w w:val="90"/>
          <w:sz w:val="20"/>
          <w:szCs w:val="20"/>
          <w:lang w:eastAsia="pl-PL"/>
        </w:rPr>
        <w:t>;</w:t>
      </w:r>
      <w:r w:rsidRPr="00640E2B">
        <w:rPr>
          <w:color w:val="000000"/>
          <w:w w:val="90"/>
          <w:sz w:val="20"/>
          <w:szCs w:val="20"/>
        </w:rPr>
        <w:t xml:space="preserve"> </w:t>
      </w:r>
      <w:r w:rsidRPr="00640E2B">
        <w:rPr>
          <w:rFonts w:eastAsia="Times New Roman" w:cs="Courier New"/>
          <w:color w:val="000000"/>
          <w:w w:val="90"/>
          <w:sz w:val="20"/>
          <w:szCs w:val="20"/>
          <w:lang w:eastAsia="pl-PL"/>
        </w:rPr>
        <w:t>8:</w:t>
      </w:r>
      <w:r w:rsidRPr="00640E2B">
        <w:rPr>
          <w:color w:val="000000"/>
          <w:w w:val="90"/>
          <w:sz w:val="20"/>
          <w:szCs w:val="20"/>
        </w:rPr>
        <w:t xml:space="preserve"> </w:t>
      </w:r>
      <w:r w:rsidRPr="00640E2B">
        <w:rPr>
          <w:rFonts w:eastAsia="Times New Roman" w:cs="Courier New"/>
          <w:color w:val="000000"/>
          <w:w w:val="90"/>
          <w:sz w:val="20"/>
          <w:szCs w:val="20"/>
          <w:lang w:eastAsia="pl-PL"/>
        </w:rPr>
        <w:t>3849-3855.</w:t>
      </w:r>
    </w:p>
    <w:p w:rsidR="006A3D31" w:rsidRPr="00E763C7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contextualSpacing/>
        <w:jc w:val="both"/>
        <w:rPr>
          <w:rFonts w:cs="Times New Roman"/>
          <w:w w:val="90"/>
          <w:sz w:val="20"/>
          <w:szCs w:val="20"/>
          <w:lang w:val="pl-PL"/>
        </w:rPr>
      </w:pPr>
      <w:r w:rsidRPr="00E6707C">
        <w:rPr>
          <w:w w:val="90"/>
          <w:sz w:val="20"/>
          <w:szCs w:val="20"/>
          <w:lang w:val="de-DE"/>
        </w:rPr>
        <w:t xml:space="preserve">Aebi S., Gelber S., Anderson S.J., i wsp. </w:t>
      </w:r>
      <w:r w:rsidRPr="00640E2B">
        <w:rPr>
          <w:w w:val="90"/>
          <w:sz w:val="20"/>
          <w:szCs w:val="20"/>
        </w:rPr>
        <w:t xml:space="preserve">Chemotherapy for isolated locoregional recurrence of breast cancer (CALOR): a randomised trial. </w:t>
      </w:r>
      <w:r w:rsidRPr="00227ADD">
        <w:rPr>
          <w:rFonts w:cs="Times New Roman"/>
          <w:i/>
          <w:w w:val="90"/>
          <w:sz w:val="20"/>
          <w:szCs w:val="20"/>
          <w:lang w:val="pl-PL"/>
        </w:rPr>
        <w:t>L</w:t>
      </w:r>
      <w:r w:rsidRPr="009D6B8A">
        <w:rPr>
          <w:rFonts w:cs="Times New Roman"/>
          <w:i/>
          <w:w w:val="90"/>
          <w:sz w:val="20"/>
          <w:szCs w:val="20"/>
          <w:lang w:val="pl-PL"/>
        </w:rPr>
        <w:t>ancet Oncol.</w:t>
      </w:r>
      <w:r w:rsidRPr="00E763C7">
        <w:rPr>
          <w:rFonts w:cs="Times New Roman"/>
          <w:w w:val="90"/>
          <w:sz w:val="20"/>
          <w:szCs w:val="20"/>
          <w:lang w:val="pl-PL"/>
        </w:rPr>
        <w:t xml:space="preserve"> 2014; 15: 156-163.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left" w:pos="1832"/>
          <w:tab w:val="left" w:pos="2748"/>
          <w:tab w:val="left" w:pos="3664"/>
          <w:tab w:val="num" w:pos="43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Cardoso F., Costa A., Senkus E. i wsp. 3rd ESO-ESMO International Consensus Guidelines for Advanced Breast Cancer (ABC 3). </w:t>
      </w:r>
      <w:r w:rsidRPr="00640E2B">
        <w:rPr>
          <w:i/>
          <w:w w:val="90"/>
          <w:sz w:val="20"/>
          <w:szCs w:val="20"/>
          <w:lang w:val="pl-PL"/>
        </w:rPr>
        <w:t>Ann. Oncol.</w:t>
      </w:r>
      <w:r w:rsidRPr="00640E2B">
        <w:rPr>
          <w:w w:val="90"/>
          <w:sz w:val="20"/>
          <w:szCs w:val="20"/>
          <w:lang w:val="pl-PL"/>
        </w:rPr>
        <w:t xml:space="preserve"> 2017; </w:t>
      </w:r>
      <w:r w:rsidRPr="00640E2B">
        <w:rPr>
          <w:w w:val="90"/>
          <w:sz w:val="20"/>
          <w:szCs w:val="20"/>
          <w:shd w:val="clear" w:color="auto" w:fill="FFFFFF"/>
          <w:lang w:val="pl-PL"/>
        </w:rPr>
        <w:t>28: 16-33.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left" w:pos="1832"/>
          <w:tab w:val="left" w:pos="2748"/>
          <w:tab w:val="left" w:pos="3664"/>
          <w:tab w:val="num" w:pos="43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rFonts w:cs="Arial"/>
          <w:w w:val="90"/>
          <w:sz w:val="20"/>
          <w:szCs w:val="20"/>
          <w:lang w:val="pl-PL"/>
        </w:rPr>
      </w:pPr>
      <w:r w:rsidRPr="00640E2B">
        <w:rPr>
          <w:rFonts w:cs="Arial"/>
          <w:w w:val="90"/>
          <w:sz w:val="20"/>
          <w:szCs w:val="20"/>
          <w:lang w:val="pl-PL"/>
        </w:rPr>
        <w:t xml:space="preserve">Klijn J.G., Blamey R.W., Boccardo F. i wsp. </w:t>
      </w:r>
      <w:r w:rsidRPr="00640E2B">
        <w:rPr>
          <w:w w:val="90"/>
          <w:sz w:val="20"/>
          <w:szCs w:val="20"/>
        </w:rPr>
        <w:t xml:space="preserve">Combined tamoxifen and luteinizing hormone-releasing hormone (LHRH) agonist versus LHRH agonist alone in premenopausal advanced breast cancer: a meta- analysis of four randomized trials. </w:t>
      </w:r>
      <w:r w:rsidRPr="00640E2B">
        <w:rPr>
          <w:rFonts w:cs="Arial"/>
          <w:i/>
          <w:w w:val="90"/>
          <w:sz w:val="20"/>
          <w:szCs w:val="20"/>
          <w:lang w:val="pl-PL"/>
        </w:rPr>
        <w:t>J. Clin. Oncol.</w:t>
      </w:r>
      <w:r w:rsidRPr="00640E2B">
        <w:rPr>
          <w:rFonts w:cs="Arial"/>
          <w:w w:val="90"/>
          <w:sz w:val="20"/>
          <w:szCs w:val="20"/>
          <w:lang w:val="pl-PL"/>
        </w:rPr>
        <w:t xml:space="preserve"> 2001; 19: 343-353. </w:t>
      </w:r>
    </w:p>
    <w:p w:rsidR="006A3D31" w:rsidRPr="00640E2B" w:rsidRDefault="00A71CC5" w:rsidP="000E721D">
      <w:pPr>
        <w:pStyle w:val="Akapitzlist"/>
        <w:widowControl/>
        <w:numPr>
          <w:ilvl w:val="0"/>
          <w:numId w:val="2"/>
        </w:numPr>
        <w:shd w:val="clear" w:color="auto" w:fill="FFFFFF"/>
        <w:tabs>
          <w:tab w:val="clear" w:pos="360"/>
          <w:tab w:val="left" w:pos="709"/>
          <w:tab w:val="left" w:pos="1832"/>
          <w:tab w:val="left" w:pos="2748"/>
          <w:tab w:val="left" w:pos="3664"/>
          <w:tab w:val="num" w:pos="43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rFonts w:cs="Arial"/>
          <w:w w:val="90"/>
          <w:sz w:val="20"/>
          <w:szCs w:val="20"/>
          <w:lang w:val="pl-PL"/>
        </w:rPr>
      </w:pPr>
      <w:hyperlink r:id="rId29" w:history="1">
        <w:r w:rsidR="006A3D31" w:rsidRPr="00640E2B">
          <w:rPr>
            <w:rFonts w:eastAsia="Times New Roman" w:cs="Arial"/>
            <w:w w:val="90"/>
            <w:sz w:val="20"/>
            <w:szCs w:val="20"/>
          </w:rPr>
          <w:t>Dear R. F</w:t>
        </w:r>
      </w:hyperlink>
      <w:r w:rsidR="006A3D31" w:rsidRPr="00640E2B">
        <w:rPr>
          <w:rFonts w:eastAsia="Times New Roman" w:cs="Arial"/>
          <w:w w:val="90"/>
          <w:sz w:val="20"/>
          <w:szCs w:val="20"/>
        </w:rPr>
        <w:t xml:space="preserve">., </w:t>
      </w:r>
      <w:hyperlink r:id="rId30" w:history="1">
        <w:r w:rsidR="006A3D31" w:rsidRPr="00640E2B">
          <w:rPr>
            <w:rFonts w:eastAsia="Times New Roman" w:cs="Arial"/>
            <w:w w:val="90"/>
            <w:sz w:val="20"/>
            <w:szCs w:val="20"/>
          </w:rPr>
          <w:t>McGeechan K</w:t>
        </w:r>
      </w:hyperlink>
      <w:r w:rsidR="006A3D31" w:rsidRPr="00640E2B">
        <w:rPr>
          <w:rFonts w:eastAsia="Times New Roman" w:cs="Arial"/>
          <w:w w:val="90"/>
          <w:sz w:val="20"/>
          <w:szCs w:val="20"/>
        </w:rPr>
        <w:t xml:space="preserve">., </w:t>
      </w:r>
      <w:hyperlink r:id="rId31" w:history="1">
        <w:r w:rsidR="006A3D31" w:rsidRPr="00640E2B">
          <w:rPr>
            <w:rFonts w:eastAsia="Times New Roman" w:cs="Arial"/>
            <w:w w:val="90"/>
            <w:sz w:val="20"/>
            <w:szCs w:val="20"/>
          </w:rPr>
          <w:t>Jenkins M. C</w:t>
        </w:r>
      </w:hyperlink>
      <w:r w:rsidR="006A3D31" w:rsidRPr="00640E2B">
        <w:rPr>
          <w:rFonts w:eastAsia="Times New Roman" w:cs="Arial"/>
          <w:w w:val="90"/>
          <w:sz w:val="20"/>
          <w:szCs w:val="20"/>
        </w:rPr>
        <w:t>. i.</w:t>
      </w:r>
      <w:r w:rsidR="006A3D31" w:rsidRPr="00640E2B">
        <w:rPr>
          <w:w w:val="90"/>
          <w:sz w:val="20"/>
          <w:szCs w:val="20"/>
        </w:rPr>
        <w:t xml:space="preserve"> wsp. </w:t>
      </w:r>
      <w:r w:rsidR="006A3D31" w:rsidRPr="00640E2B">
        <w:rPr>
          <w:rFonts w:eastAsia="Times New Roman" w:cs="Arial"/>
          <w:bCs/>
          <w:w w:val="90"/>
          <w:kern w:val="36"/>
          <w:sz w:val="20"/>
          <w:szCs w:val="20"/>
        </w:rPr>
        <w:t>Combination versus sequential single agent chemotherapy for metastatic breast cancer.</w:t>
      </w:r>
      <w:r w:rsidR="006A3D31" w:rsidRPr="00640E2B">
        <w:rPr>
          <w:rFonts w:eastAsia="Times New Roman" w:cs="Arial"/>
          <w:w w:val="90"/>
          <w:sz w:val="20"/>
          <w:szCs w:val="20"/>
        </w:rPr>
        <w:t xml:space="preserve"> </w:t>
      </w:r>
      <w:hyperlink r:id="rId32" w:tooltip="The Cochrane database of systematic reviews." w:history="1">
        <w:r w:rsidR="006A3D31" w:rsidRPr="00640E2B">
          <w:rPr>
            <w:rFonts w:eastAsia="Times New Roman" w:cs="Arial"/>
            <w:w w:val="90"/>
            <w:sz w:val="20"/>
            <w:szCs w:val="20"/>
            <w:lang w:val="pl-PL"/>
          </w:rPr>
          <w:t>Cochrane Database Syst Rev.</w:t>
        </w:r>
      </w:hyperlink>
      <w:r w:rsidR="006A3D31" w:rsidRPr="00227ADD">
        <w:rPr>
          <w:rFonts w:eastAsia="Times New Roman" w:cs="Arial"/>
          <w:w w:val="90"/>
          <w:sz w:val="20"/>
          <w:szCs w:val="20"/>
          <w:lang w:val="pl-PL"/>
        </w:rPr>
        <w:t xml:space="preserve"> 2013;(12):CD008792. doi: 10.1002/14651858.CD008792.pub2.</w:t>
      </w:r>
    </w:p>
    <w:p w:rsidR="0093611B" w:rsidRPr="00640E2B" w:rsidRDefault="0093611B" w:rsidP="000E721D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709" w:right="-851" w:hanging="567"/>
        <w:textAlignment w:val="baseline"/>
        <w:rPr>
          <w:w w:val="90"/>
          <w:sz w:val="20"/>
          <w:szCs w:val="20"/>
        </w:rPr>
      </w:pPr>
      <w:r w:rsidRPr="00640E2B">
        <w:rPr>
          <w:rFonts w:eastAsia="Times New Roman" w:cs="Times New Roman"/>
          <w:w w:val="90"/>
          <w:sz w:val="20"/>
          <w:szCs w:val="20"/>
          <w:lang w:eastAsia="pl-PL"/>
        </w:rPr>
        <w:t xml:space="preserve">Slamon D.J., Leyland-Jones B, Shak S i wsp. </w:t>
      </w:r>
      <w:r w:rsidRPr="00640E2B">
        <w:rPr>
          <w:rFonts w:eastAsia="Times New Roman" w:cs="Times New Roman"/>
          <w:spacing w:val="-7"/>
          <w:w w:val="90"/>
          <w:kern w:val="36"/>
          <w:sz w:val="20"/>
          <w:szCs w:val="20"/>
          <w:bdr w:val="none" w:sz="0" w:space="0" w:color="auto" w:frame="1"/>
          <w:lang w:eastAsia="pl-PL"/>
        </w:rPr>
        <w:t xml:space="preserve">Use of chemotherapy plus a monoclonal antibody against HER2 for metastatic </w:t>
      </w:r>
      <w:r w:rsidRPr="00640E2B">
        <w:rPr>
          <w:rFonts w:eastAsia="Times New Roman" w:cs="Times New Roman"/>
          <w:spacing w:val="-7"/>
          <w:w w:val="90"/>
          <w:kern w:val="36"/>
          <w:sz w:val="20"/>
          <w:szCs w:val="20"/>
          <w:bdr w:val="none" w:sz="0" w:space="0" w:color="auto" w:frame="1"/>
          <w:lang w:eastAsia="pl-PL"/>
        </w:rPr>
        <w:lastRenderedPageBreak/>
        <w:t xml:space="preserve">breast cancer that overexpresses HER2. </w:t>
      </w:r>
      <w:r w:rsidRPr="00640E2B">
        <w:rPr>
          <w:w w:val="90"/>
          <w:sz w:val="20"/>
          <w:szCs w:val="20"/>
        </w:rPr>
        <w:t>N Engl J Med 2001; 344:783-792</w:t>
      </w:r>
    </w:p>
    <w:p w:rsidR="0093611B" w:rsidRPr="00640E2B" w:rsidRDefault="0093611B" w:rsidP="000E721D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567"/>
        <w:rPr>
          <w:rFonts w:eastAsia="Times New Roman" w:cs="Times New Roman"/>
          <w:w w:val="90"/>
          <w:sz w:val="20"/>
          <w:szCs w:val="20"/>
          <w:lang w:eastAsia="pl-PL"/>
        </w:rPr>
      </w:pPr>
      <w:r w:rsidRPr="00640E2B">
        <w:rPr>
          <w:rFonts w:eastAsia="Times New Roman" w:cs="Times New Roman"/>
          <w:w w:val="90"/>
          <w:sz w:val="20"/>
          <w:szCs w:val="20"/>
          <w:lang w:eastAsia="pl-PL"/>
        </w:rPr>
        <w:t xml:space="preserve">Andre F., Bachelot T., Commo F. i wsp. Comparative genomic hybridisation array and DNA sequencing to direct treatment of metastatic breast cancer: a multicentre, prospective trial (SAFIR01/UNICANCER). </w:t>
      </w:r>
      <w:r w:rsidRPr="00640E2B">
        <w:rPr>
          <w:rFonts w:eastAsia="Times New Roman" w:cs="Times New Roman"/>
          <w:i/>
          <w:w w:val="90"/>
          <w:sz w:val="20"/>
          <w:szCs w:val="20"/>
          <w:lang w:eastAsia="pl-PL"/>
        </w:rPr>
        <w:t>Lancet Oncol</w:t>
      </w:r>
      <w:r w:rsidRPr="00640E2B">
        <w:rPr>
          <w:rFonts w:eastAsia="Times New Roman" w:cs="Times New Roman"/>
          <w:w w:val="90"/>
          <w:sz w:val="20"/>
          <w:szCs w:val="20"/>
          <w:lang w:eastAsia="pl-PL"/>
        </w:rPr>
        <w:t>. 2014; 15: 267-274.</w:t>
      </w:r>
    </w:p>
    <w:p w:rsidR="006A3D31" w:rsidRPr="00E763C7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left" w:pos="851"/>
          <w:tab w:val="left" w:pos="1832"/>
          <w:tab w:val="left" w:pos="2748"/>
          <w:tab w:val="left" w:pos="3664"/>
          <w:tab w:val="num" w:pos="43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rFonts w:cs="Arial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Robertson J.F.R., Bondarenko I.M., Trishkina E. i wsp. Fulvestrant 500 mg versus anastrozole 1 mg for hormone receptor-positive advanced breast cancer (FALCON): an international, randomised, double-blind, phase 3 trial. </w:t>
      </w:r>
      <w:r w:rsidRPr="009D6B8A">
        <w:rPr>
          <w:rFonts w:cs="Arial"/>
          <w:i/>
          <w:w w:val="90"/>
          <w:sz w:val="20"/>
          <w:szCs w:val="20"/>
          <w:lang w:val="pl-PL"/>
        </w:rPr>
        <w:t>Lancet</w:t>
      </w:r>
      <w:r w:rsidRPr="00E763C7">
        <w:rPr>
          <w:rFonts w:cs="Arial"/>
          <w:w w:val="90"/>
          <w:sz w:val="20"/>
          <w:szCs w:val="20"/>
          <w:lang w:val="pl-PL"/>
        </w:rPr>
        <w:t xml:space="preserve"> 2016; 388: 2997-3005.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left" w:pos="851"/>
          <w:tab w:val="left" w:pos="1832"/>
          <w:tab w:val="left" w:pos="2748"/>
          <w:tab w:val="left" w:pos="3664"/>
          <w:tab w:val="num" w:pos="43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rFonts w:cs="Arial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Gibson L., Lawrence D., Dawson C. i wsp. Aromatase inhibitors for treatment of advanced breast cancer in postmenopausal women. </w:t>
      </w:r>
      <w:r w:rsidRPr="00640E2B">
        <w:rPr>
          <w:rFonts w:cs="Arial"/>
          <w:i/>
          <w:w w:val="90"/>
          <w:sz w:val="20"/>
          <w:szCs w:val="20"/>
          <w:lang w:val="pl-PL"/>
        </w:rPr>
        <w:t xml:space="preserve">Cochrane Database Syst. Rev. </w:t>
      </w:r>
      <w:r w:rsidRPr="00640E2B">
        <w:rPr>
          <w:rFonts w:cs="Arial"/>
          <w:w w:val="90"/>
          <w:sz w:val="20"/>
          <w:szCs w:val="20"/>
          <w:lang w:val="pl-PL"/>
        </w:rPr>
        <w:t xml:space="preserve">2009; 4: CD003370. 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left" w:pos="851"/>
          <w:tab w:val="left" w:pos="1832"/>
          <w:tab w:val="left" w:pos="2748"/>
          <w:tab w:val="left" w:pos="3664"/>
          <w:tab w:val="num" w:pos="43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Hortobagyi G.N., Stemmer S.M., Burris H.A. i wsp. Ribociclib as </w:t>
      </w:r>
      <w:r w:rsidRPr="00640E2B">
        <w:rPr>
          <w:rFonts w:cs="Arial"/>
          <w:w w:val="90"/>
          <w:sz w:val="20"/>
          <w:szCs w:val="20"/>
        </w:rPr>
        <w:t>first-line therapy</w:t>
      </w:r>
      <w:r w:rsidRPr="00640E2B">
        <w:rPr>
          <w:w w:val="90"/>
          <w:sz w:val="20"/>
          <w:szCs w:val="20"/>
        </w:rPr>
        <w:t xml:space="preserve"> for HR-</w:t>
      </w:r>
      <w:r w:rsidRPr="00640E2B">
        <w:rPr>
          <w:rFonts w:cs="Arial"/>
          <w:w w:val="90"/>
          <w:sz w:val="20"/>
          <w:szCs w:val="20"/>
        </w:rPr>
        <w:t>positive, advanced breast cancer</w:t>
      </w:r>
      <w:r w:rsidRPr="00640E2B">
        <w:rPr>
          <w:w w:val="90"/>
          <w:sz w:val="20"/>
          <w:szCs w:val="20"/>
        </w:rPr>
        <w:t xml:space="preserve">. </w:t>
      </w:r>
      <w:r w:rsidRPr="00640E2B">
        <w:rPr>
          <w:i/>
          <w:w w:val="90"/>
          <w:sz w:val="20"/>
          <w:szCs w:val="20"/>
          <w:lang w:val="pl-PL"/>
        </w:rPr>
        <w:t>N. Engl. J. Med</w:t>
      </w:r>
      <w:r w:rsidRPr="00640E2B">
        <w:rPr>
          <w:w w:val="90"/>
          <w:sz w:val="20"/>
          <w:szCs w:val="20"/>
          <w:lang w:val="pl-PL"/>
        </w:rPr>
        <w:t xml:space="preserve">. 2016; 375: 1738-1748. 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709"/>
          <w:tab w:val="left" w:pos="851"/>
          <w:tab w:val="left" w:pos="1832"/>
          <w:tab w:val="left" w:pos="2748"/>
          <w:tab w:val="left" w:pos="3664"/>
          <w:tab w:val="num" w:pos="43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rFonts w:cs="Arial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Finn R.S., Martin M., Rugo H.S. i wsp. Palbociclib and letrozole in advanced breast cancer. </w:t>
      </w:r>
      <w:r w:rsidRPr="00640E2B">
        <w:rPr>
          <w:rFonts w:cs="Arial"/>
          <w:i/>
          <w:w w:val="90"/>
          <w:sz w:val="20"/>
          <w:szCs w:val="20"/>
          <w:lang w:val="pl-PL"/>
        </w:rPr>
        <w:t>N. Engl. J. Med</w:t>
      </w:r>
      <w:r w:rsidRPr="00640E2B">
        <w:rPr>
          <w:rFonts w:cs="Arial"/>
          <w:w w:val="90"/>
          <w:sz w:val="20"/>
          <w:szCs w:val="20"/>
          <w:lang w:val="pl-PL"/>
        </w:rPr>
        <w:t>. 2016; 375: 1925-1936.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left" w:pos="1832"/>
          <w:tab w:val="left" w:pos="2748"/>
          <w:tab w:val="left" w:pos="3664"/>
          <w:tab w:val="num" w:pos="43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rFonts w:cs="Arial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Turner N.C., Ro J., Andre F. i wsp. Palbociclib in hormone-receptor-positive advanced breast cancer. </w:t>
      </w:r>
      <w:r w:rsidRPr="00640E2B">
        <w:rPr>
          <w:rFonts w:cs="Arial"/>
          <w:i/>
          <w:w w:val="90"/>
          <w:sz w:val="20"/>
          <w:szCs w:val="20"/>
          <w:lang w:val="pl-PL"/>
        </w:rPr>
        <w:t>N. Engl. J. Med</w:t>
      </w:r>
      <w:r w:rsidRPr="00640E2B">
        <w:rPr>
          <w:rFonts w:cs="Arial"/>
          <w:w w:val="90"/>
          <w:sz w:val="20"/>
          <w:szCs w:val="20"/>
          <w:lang w:val="pl-PL"/>
        </w:rPr>
        <w:t xml:space="preserve">. 2015; 373: 209-219. </w:t>
      </w:r>
    </w:p>
    <w:p w:rsidR="003235C7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left" w:pos="1832"/>
          <w:tab w:val="left" w:pos="2748"/>
          <w:tab w:val="left" w:pos="3664"/>
          <w:tab w:val="num" w:pos="43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rFonts w:cs="Arial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Finn R.S., Crown J.P., Lang I. i wsp. The cyclin-dependent kinase 4/6 inhibitor palbociclib in combination with letrozole versus letrozole alone as first-line treatment of oestrogen receptor-positive, HER2-negative, advanced breast cancer (PALOMA-1/TRIO-18): a randomised phase 2 study. </w:t>
      </w:r>
      <w:r w:rsidRPr="00640E2B">
        <w:rPr>
          <w:rFonts w:cs="Arial"/>
          <w:i/>
          <w:w w:val="90"/>
          <w:sz w:val="20"/>
          <w:szCs w:val="20"/>
          <w:lang w:val="pl-PL"/>
        </w:rPr>
        <w:t>Lancet. Oncol.</w:t>
      </w:r>
      <w:r w:rsidRPr="00640E2B">
        <w:rPr>
          <w:rFonts w:cs="Arial"/>
          <w:w w:val="90"/>
          <w:sz w:val="20"/>
          <w:szCs w:val="20"/>
          <w:lang w:val="pl-PL"/>
        </w:rPr>
        <w:t xml:space="preserve"> 2015; 16: 25-35.</w:t>
      </w:r>
    </w:p>
    <w:p w:rsidR="003235C7" w:rsidRPr="00262A26" w:rsidRDefault="00262A26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num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rFonts w:cs="Arial"/>
          <w:color w:val="000000"/>
          <w:w w:val="90"/>
          <w:sz w:val="20"/>
          <w:szCs w:val="20"/>
        </w:rPr>
      </w:pPr>
      <w:r w:rsidRPr="00262A26">
        <w:rPr>
          <w:w w:val="90"/>
          <w:sz w:val="20"/>
          <w:szCs w:val="20"/>
          <w:lang w:val="pl-PL"/>
        </w:rPr>
        <w:t xml:space="preserve">Goetz M.P., Toi M., Campone M. i wsp. </w:t>
      </w:r>
      <w:r w:rsidRPr="00262A26">
        <w:rPr>
          <w:w w:val="90"/>
          <w:sz w:val="20"/>
          <w:szCs w:val="20"/>
        </w:rPr>
        <w:t xml:space="preserve">MONARCH 3: Abemaciclib As Initial Therapy for Advanced Breast Cancer. </w:t>
      </w:r>
      <w:r w:rsidRPr="00262A26">
        <w:rPr>
          <w:i/>
          <w:w w:val="90"/>
          <w:sz w:val="20"/>
          <w:szCs w:val="20"/>
        </w:rPr>
        <w:t>J. Clin. Oncol.</w:t>
      </w:r>
      <w:r w:rsidRPr="00262A26">
        <w:rPr>
          <w:w w:val="90"/>
          <w:sz w:val="20"/>
          <w:szCs w:val="20"/>
        </w:rPr>
        <w:t xml:space="preserve"> 2017;</w:t>
      </w:r>
      <w:r>
        <w:rPr>
          <w:w w:val="90"/>
          <w:sz w:val="20"/>
          <w:szCs w:val="20"/>
        </w:rPr>
        <w:t xml:space="preserve"> </w:t>
      </w:r>
      <w:r w:rsidRPr="00262A26">
        <w:rPr>
          <w:w w:val="90"/>
          <w:sz w:val="20"/>
          <w:szCs w:val="20"/>
        </w:rPr>
        <w:t>35:</w:t>
      </w:r>
      <w:r>
        <w:rPr>
          <w:w w:val="90"/>
          <w:sz w:val="20"/>
          <w:szCs w:val="20"/>
        </w:rPr>
        <w:t xml:space="preserve"> </w:t>
      </w:r>
      <w:r w:rsidRPr="00262A26">
        <w:rPr>
          <w:w w:val="90"/>
          <w:sz w:val="20"/>
          <w:szCs w:val="20"/>
        </w:rPr>
        <w:t>3638-3646.</w:t>
      </w:r>
    </w:p>
    <w:p w:rsidR="006A3D31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left" w:pos="1832"/>
          <w:tab w:val="left" w:pos="2748"/>
          <w:tab w:val="left" w:pos="3664"/>
          <w:tab w:val="num" w:pos="43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rFonts w:cs="Arial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Cristofanilli M., Turner N.C., Bondarenko I. i wsp. Fulvestrant plus palbociclib versus fulvestrant plus placebo for treatment of hormone-receptor-positive, HER2-negative metastatic breast cancer that progressed on previous endocrine therapy (PALOMA-3): final analysis of the multicentre, double-blind, phase 3 randomised controlled trial. </w:t>
      </w:r>
      <w:r w:rsidRPr="00E763C7">
        <w:rPr>
          <w:rFonts w:cs="Arial"/>
          <w:i/>
          <w:w w:val="90"/>
          <w:sz w:val="20"/>
          <w:szCs w:val="20"/>
          <w:lang w:val="pl-PL"/>
        </w:rPr>
        <w:t>Lancet. Oncol</w:t>
      </w:r>
      <w:r w:rsidRPr="00640E2B">
        <w:rPr>
          <w:rFonts w:cs="Arial"/>
          <w:w w:val="90"/>
          <w:sz w:val="20"/>
          <w:szCs w:val="20"/>
          <w:lang w:val="pl-PL"/>
        </w:rPr>
        <w:t>. 2016; 17: 425-439.</w:t>
      </w:r>
    </w:p>
    <w:p w:rsidR="0039791B" w:rsidRPr="00B61643" w:rsidRDefault="00B61643" w:rsidP="000E721D">
      <w:pPr>
        <w:widowControl/>
        <w:numPr>
          <w:ilvl w:val="0"/>
          <w:numId w:val="2"/>
        </w:numPr>
        <w:tabs>
          <w:tab w:val="clear" w:pos="360"/>
          <w:tab w:val="num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rFonts w:cs="Arial"/>
          <w:w w:val="90"/>
          <w:sz w:val="20"/>
          <w:szCs w:val="20"/>
        </w:rPr>
      </w:pPr>
      <w:r w:rsidRPr="00B61643">
        <w:rPr>
          <w:rFonts w:cs="Arial"/>
          <w:w w:val="90"/>
          <w:sz w:val="20"/>
          <w:szCs w:val="20"/>
        </w:rPr>
        <w:t xml:space="preserve">Sledge G.W., Toi M., Neven P. i wsp. MONARCH 2: Abemaciclib in Combination With Fulvestrant in Women With HR+/HER2- Advanced Breast Cancer Who Had Progressed While Receiving Endocrine Therapy. </w:t>
      </w:r>
      <w:r w:rsidR="0039791B" w:rsidRPr="00E461E3">
        <w:rPr>
          <w:rFonts w:cs="Arial"/>
          <w:i/>
          <w:w w:val="90"/>
          <w:sz w:val="20"/>
          <w:szCs w:val="20"/>
        </w:rPr>
        <w:t>J</w:t>
      </w:r>
      <w:r w:rsidRPr="00E461E3">
        <w:rPr>
          <w:rFonts w:cs="Arial"/>
          <w:i/>
          <w:w w:val="90"/>
          <w:sz w:val="20"/>
          <w:szCs w:val="20"/>
        </w:rPr>
        <w:t>.</w:t>
      </w:r>
      <w:r w:rsidR="0039791B" w:rsidRPr="00E461E3">
        <w:rPr>
          <w:rFonts w:cs="Arial"/>
          <w:i/>
          <w:w w:val="90"/>
          <w:sz w:val="20"/>
          <w:szCs w:val="20"/>
        </w:rPr>
        <w:t xml:space="preserve"> Clin</w:t>
      </w:r>
      <w:r w:rsidRPr="00E461E3">
        <w:rPr>
          <w:rFonts w:cs="Arial"/>
          <w:i/>
          <w:w w:val="90"/>
          <w:sz w:val="20"/>
          <w:szCs w:val="20"/>
        </w:rPr>
        <w:t>.</w:t>
      </w:r>
      <w:r w:rsidR="0039791B" w:rsidRPr="00E461E3">
        <w:rPr>
          <w:rFonts w:cs="Arial"/>
          <w:i/>
          <w:w w:val="90"/>
          <w:sz w:val="20"/>
          <w:szCs w:val="20"/>
        </w:rPr>
        <w:t xml:space="preserve"> Oncol.</w:t>
      </w:r>
      <w:r w:rsidR="0039791B" w:rsidRPr="00B61643">
        <w:rPr>
          <w:rFonts w:cs="Arial"/>
          <w:w w:val="90"/>
          <w:sz w:val="20"/>
          <w:szCs w:val="20"/>
        </w:rPr>
        <w:t xml:space="preserve"> 2017;</w:t>
      </w:r>
      <w:r>
        <w:rPr>
          <w:rFonts w:cs="Arial"/>
          <w:w w:val="90"/>
          <w:sz w:val="20"/>
          <w:szCs w:val="20"/>
        </w:rPr>
        <w:t xml:space="preserve"> </w:t>
      </w:r>
      <w:r w:rsidR="0039791B" w:rsidRPr="00B61643">
        <w:rPr>
          <w:rFonts w:cs="Arial"/>
          <w:w w:val="90"/>
          <w:sz w:val="20"/>
          <w:szCs w:val="20"/>
        </w:rPr>
        <w:t>35:</w:t>
      </w:r>
      <w:r>
        <w:rPr>
          <w:rFonts w:cs="Arial"/>
          <w:w w:val="90"/>
          <w:sz w:val="20"/>
          <w:szCs w:val="20"/>
        </w:rPr>
        <w:t xml:space="preserve"> </w:t>
      </w:r>
      <w:r w:rsidR="0039791B" w:rsidRPr="00B61643">
        <w:rPr>
          <w:rFonts w:cs="Arial"/>
          <w:w w:val="90"/>
          <w:sz w:val="20"/>
          <w:szCs w:val="20"/>
        </w:rPr>
        <w:t xml:space="preserve">2875-2884. </w:t>
      </w:r>
    </w:p>
    <w:p w:rsidR="00E572E5" w:rsidRPr="00227ADD" w:rsidRDefault="00E572E5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left" w:pos="1832"/>
          <w:tab w:val="left" w:pos="2748"/>
          <w:tab w:val="left" w:pos="3664"/>
          <w:tab w:val="num" w:pos="43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rFonts w:cs="Arial"/>
          <w:w w:val="90"/>
          <w:sz w:val="20"/>
          <w:szCs w:val="20"/>
          <w:lang w:val="pl-PL"/>
        </w:rPr>
      </w:pPr>
      <w:r w:rsidRPr="001E795B">
        <w:rPr>
          <w:w w:val="90"/>
          <w:sz w:val="20"/>
          <w:szCs w:val="20"/>
        </w:rPr>
        <w:t xml:space="preserve">Baselga J., Campone M., Piccart M. i wsp. Everolimus in postmenopausal hormone-receptor-positive advanced breast cancer. </w:t>
      </w:r>
      <w:r w:rsidRPr="00B61643">
        <w:rPr>
          <w:rFonts w:cs="Arial"/>
          <w:i/>
          <w:w w:val="90"/>
          <w:sz w:val="20"/>
          <w:szCs w:val="20"/>
        </w:rPr>
        <w:t>N. Eng</w:t>
      </w:r>
      <w:r w:rsidRPr="00D9027F">
        <w:rPr>
          <w:rFonts w:cs="Arial"/>
          <w:i/>
          <w:w w:val="90"/>
          <w:sz w:val="20"/>
          <w:szCs w:val="20"/>
          <w:lang w:val="pl-PL"/>
        </w:rPr>
        <w:t xml:space="preserve">l. J. Med. </w:t>
      </w:r>
      <w:r w:rsidRPr="00D9027F">
        <w:rPr>
          <w:rFonts w:cs="Arial"/>
          <w:w w:val="90"/>
          <w:sz w:val="20"/>
          <w:szCs w:val="20"/>
          <w:lang w:val="pl-PL"/>
        </w:rPr>
        <w:t>2012; 366: 520-529</w:t>
      </w:r>
    </w:p>
    <w:p w:rsidR="00596AD5" w:rsidRPr="00D9027F" w:rsidRDefault="00596AD5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left" w:pos="1832"/>
          <w:tab w:val="left" w:pos="2748"/>
          <w:tab w:val="left" w:pos="3664"/>
          <w:tab w:val="num" w:pos="43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rFonts w:cs="Arial"/>
          <w:w w:val="90"/>
          <w:sz w:val="20"/>
          <w:szCs w:val="20"/>
          <w:lang w:val="pl-PL"/>
        </w:rPr>
      </w:pPr>
      <w:r w:rsidRPr="00640E2B">
        <w:rPr>
          <w:color w:val="000000"/>
          <w:w w:val="90"/>
          <w:sz w:val="20"/>
          <w:szCs w:val="20"/>
        </w:rPr>
        <w:t xml:space="preserve">Balduzzi S., Mantarro S., Guarneri V. i wsp. Trastuzumab-containing regimens for metastatic breast cancer. </w:t>
      </w:r>
      <w:r w:rsidRPr="00D9027F">
        <w:rPr>
          <w:rFonts w:cs="Arial"/>
          <w:i/>
          <w:color w:val="000000"/>
          <w:w w:val="90"/>
          <w:sz w:val="20"/>
          <w:szCs w:val="20"/>
          <w:lang w:val="pl-PL"/>
        </w:rPr>
        <w:t>Cochrane Database Syst. Rev</w:t>
      </w:r>
      <w:r w:rsidRPr="00D9027F">
        <w:rPr>
          <w:rFonts w:cs="Arial"/>
          <w:color w:val="000000"/>
          <w:w w:val="90"/>
          <w:sz w:val="20"/>
          <w:szCs w:val="20"/>
          <w:lang w:val="pl-PL"/>
        </w:rPr>
        <w:t>. 2014; 6: CD006242.</w:t>
      </w:r>
    </w:p>
    <w:p w:rsidR="00596AD5" w:rsidRDefault="00596AD5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left" w:pos="1832"/>
          <w:tab w:val="left" w:pos="2748"/>
          <w:tab w:val="left" w:pos="3664"/>
          <w:tab w:val="num" w:pos="43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rFonts w:cs="Arial"/>
          <w:w w:val="90"/>
          <w:sz w:val="20"/>
          <w:szCs w:val="20"/>
          <w:lang w:val="pl-PL"/>
        </w:rPr>
      </w:pPr>
      <w:r w:rsidRPr="00D9027F">
        <w:rPr>
          <w:rFonts w:cs="Arial"/>
          <w:w w:val="90"/>
          <w:sz w:val="20"/>
          <w:szCs w:val="20"/>
          <w:lang w:val="pl-PL"/>
        </w:rPr>
        <w:t xml:space="preserve">Swain S.M., Baselga J., Kim S.B. i wsp. </w:t>
      </w:r>
      <w:r w:rsidRPr="00640E2B">
        <w:rPr>
          <w:w w:val="90"/>
          <w:sz w:val="20"/>
          <w:szCs w:val="20"/>
        </w:rPr>
        <w:t xml:space="preserve">CLEOPATRA Study Group. Pertuzumab, trastuzumab, and docetaxel in HER2-positive metastatic breast cancer. </w:t>
      </w:r>
      <w:r w:rsidRPr="00D9027F">
        <w:rPr>
          <w:rFonts w:cs="Arial"/>
          <w:i/>
          <w:w w:val="90"/>
          <w:sz w:val="20"/>
          <w:szCs w:val="20"/>
          <w:lang w:val="pl-PL"/>
        </w:rPr>
        <w:t>N. Engl. J. Med.</w:t>
      </w:r>
      <w:r w:rsidRPr="00D9027F">
        <w:rPr>
          <w:rFonts w:cs="Arial"/>
          <w:w w:val="90"/>
          <w:sz w:val="20"/>
          <w:szCs w:val="20"/>
          <w:lang w:val="pl-PL"/>
        </w:rPr>
        <w:t xml:space="preserve"> 2015; 372: 724-734.</w:t>
      </w:r>
    </w:p>
    <w:p w:rsidR="00D32C1B" w:rsidRPr="00D32C1B" w:rsidRDefault="00D32C1B" w:rsidP="000E721D">
      <w:pPr>
        <w:widowControl/>
        <w:numPr>
          <w:ilvl w:val="0"/>
          <w:numId w:val="2"/>
        </w:numPr>
        <w:tabs>
          <w:tab w:val="clear" w:pos="360"/>
          <w:tab w:val="num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rFonts w:cs="Arial"/>
          <w:w w:val="90"/>
          <w:sz w:val="20"/>
          <w:szCs w:val="20"/>
        </w:rPr>
      </w:pPr>
      <w:r w:rsidRPr="00D32C1B">
        <w:rPr>
          <w:rFonts w:cs="Arial"/>
          <w:w w:val="90"/>
          <w:sz w:val="20"/>
          <w:szCs w:val="20"/>
        </w:rPr>
        <w:t>Miles D</w:t>
      </w:r>
      <w:r>
        <w:rPr>
          <w:rFonts w:cs="Arial"/>
          <w:w w:val="90"/>
          <w:sz w:val="20"/>
          <w:szCs w:val="20"/>
        </w:rPr>
        <w:t>.</w:t>
      </w:r>
      <w:r w:rsidRPr="00D32C1B">
        <w:rPr>
          <w:rFonts w:cs="Arial"/>
          <w:w w:val="90"/>
          <w:sz w:val="20"/>
          <w:szCs w:val="20"/>
        </w:rPr>
        <w:t>, Im Y</w:t>
      </w:r>
      <w:r>
        <w:rPr>
          <w:rFonts w:cs="Arial"/>
          <w:w w:val="90"/>
          <w:sz w:val="20"/>
          <w:szCs w:val="20"/>
        </w:rPr>
        <w:t>.</w:t>
      </w:r>
      <w:r w:rsidRPr="00D32C1B">
        <w:rPr>
          <w:rFonts w:cs="Arial"/>
          <w:w w:val="90"/>
          <w:sz w:val="20"/>
          <w:szCs w:val="20"/>
        </w:rPr>
        <w:t>H</w:t>
      </w:r>
      <w:r>
        <w:rPr>
          <w:rFonts w:cs="Arial"/>
          <w:w w:val="90"/>
          <w:sz w:val="20"/>
          <w:szCs w:val="20"/>
        </w:rPr>
        <w:t>.</w:t>
      </w:r>
      <w:r w:rsidRPr="00D32C1B">
        <w:rPr>
          <w:rFonts w:cs="Arial"/>
          <w:w w:val="90"/>
          <w:sz w:val="20"/>
          <w:szCs w:val="20"/>
        </w:rPr>
        <w:t>, Fung A</w:t>
      </w:r>
      <w:r>
        <w:rPr>
          <w:rFonts w:cs="Arial"/>
          <w:w w:val="90"/>
          <w:sz w:val="20"/>
          <w:szCs w:val="20"/>
        </w:rPr>
        <w:t xml:space="preserve">. i wsp. </w:t>
      </w:r>
      <w:r w:rsidRPr="00D32C1B">
        <w:rPr>
          <w:rFonts w:cs="Arial"/>
          <w:w w:val="90"/>
          <w:sz w:val="20"/>
          <w:szCs w:val="20"/>
        </w:rPr>
        <w:t>Effect of docetaxel duration on clinical outcomes: exploratory analysis of CLEOPATRA, a phase III randomized controlled trial.</w:t>
      </w:r>
      <w:r w:rsidR="00E661F2" w:rsidRPr="00E661F2">
        <w:t xml:space="preserve"> </w:t>
      </w:r>
      <w:r w:rsidR="00E661F2" w:rsidRPr="00E661F2">
        <w:rPr>
          <w:rFonts w:cs="Arial"/>
          <w:i/>
          <w:w w:val="90"/>
          <w:sz w:val="20"/>
          <w:szCs w:val="20"/>
        </w:rPr>
        <w:t>Ann. Oncol.</w:t>
      </w:r>
      <w:r w:rsidR="00E661F2" w:rsidRPr="00E661F2">
        <w:rPr>
          <w:rFonts w:cs="Arial"/>
          <w:w w:val="90"/>
          <w:sz w:val="20"/>
          <w:szCs w:val="20"/>
        </w:rPr>
        <w:t xml:space="preserve"> 2017;</w:t>
      </w:r>
      <w:r w:rsidR="00E661F2">
        <w:rPr>
          <w:rFonts w:cs="Arial"/>
          <w:w w:val="90"/>
          <w:sz w:val="20"/>
          <w:szCs w:val="20"/>
        </w:rPr>
        <w:t xml:space="preserve"> </w:t>
      </w:r>
      <w:r w:rsidR="00E661F2" w:rsidRPr="00E661F2">
        <w:rPr>
          <w:rFonts w:cs="Arial"/>
          <w:w w:val="90"/>
          <w:sz w:val="20"/>
          <w:szCs w:val="20"/>
        </w:rPr>
        <w:t>28:</w:t>
      </w:r>
      <w:r w:rsidR="00E661F2">
        <w:rPr>
          <w:rFonts w:cs="Arial"/>
          <w:w w:val="90"/>
          <w:sz w:val="20"/>
          <w:szCs w:val="20"/>
        </w:rPr>
        <w:t xml:space="preserve"> </w:t>
      </w:r>
      <w:r w:rsidR="00E661F2" w:rsidRPr="00E661F2">
        <w:rPr>
          <w:rFonts w:cs="Arial"/>
          <w:w w:val="90"/>
          <w:sz w:val="20"/>
          <w:szCs w:val="20"/>
        </w:rPr>
        <w:t>2761-2767.</w:t>
      </w:r>
    </w:p>
    <w:p w:rsidR="00B3038A" w:rsidRPr="00D9027F" w:rsidRDefault="00B3038A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left" w:pos="1832"/>
          <w:tab w:val="left" w:pos="2748"/>
          <w:tab w:val="left" w:pos="3664"/>
          <w:tab w:val="num" w:pos="43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rFonts w:cs="Arial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Kaufman B., Mackey J.R., Clemens M.R. i wsp. Trastuzumab plus anastrozole versus anastrozole alone for the treatment of postmenopausal women with human epidermal growth factor receptor 2-positive, hormone receptor-positive metastatic breast cancer: results from the randomized phase III TAnDEM study. </w:t>
      </w:r>
      <w:r w:rsidRPr="00D9027F">
        <w:rPr>
          <w:rFonts w:cs="Arial"/>
          <w:i/>
          <w:w w:val="90"/>
          <w:sz w:val="20"/>
          <w:szCs w:val="20"/>
          <w:lang w:val="pl-PL"/>
        </w:rPr>
        <w:t>J. Clin. Oncol</w:t>
      </w:r>
      <w:r w:rsidRPr="00D9027F">
        <w:rPr>
          <w:rFonts w:cs="Arial"/>
          <w:w w:val="90"/>
          <w:sz w:val="20"/>
          <w:szCs w:val="20"/>
          <w:lang w:val="pl-PL"/>
        </w:rPr>
        <w:t>. 2009; 27: 5529-5537.</w:t>
      </w:r>
    </w:p>
    <w:p w:rsidR="00B3038A" w:rsidRDefault="00B3038A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left" w:pos="1832"/>
          <w:tab w:val="left" w:pos="2748"/>
          <w:tab w:val="left" w:pos="3664"/>
          <w:tab w:val="num" w:pos="43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rFonts w:cs="Arial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Johnston S., Pippen J. Jr, Pivot X. i wsp. Lapatinib combined with letrozole versus letrozole and placebo as first-line therapy for postmenopausal hormone receptor-positive metastatic breast cancer. </w:t>
      </w:r>
      <w:r w:rsidRPr="00D9027F">
        <w:rPr>
          <w:rFonts w:cs="Arial"/>
          <w:i/>
          <w:w w:val="90"/>
          <w:sz w:val="20"/>
          <w:szCs w:val="20"/>
          <w:lang w:val="pl-PL"/>
        </w:rPr>
        <w:t xml:space="preserve">J. Clin. Oncol. </w:t>
      </w:r>
      <w:r w:rsidRPr="00D9027F">
        <w:rPr>
          <w:rFonts w:cs="Arial"/>
          <w:w w:val="90"/>
          <w:sz w:val="20"/>
          <w:szCs w:val="20"/>
          <w:lang w:val="pl-PL"/>
        </w:rPr>
        <w:t>2009; 27: 5538-5546.</w:t>
      </w:r>
    </w:p>
    <w:p w:rsidR="00B3038A" w:rsidRPr="00362B2A" w:rsidRDefault="00B3038A" w:rsidP="000E721D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709" w:hanging="567"/>
        <w:rPr>
          <w:rFonts w:cs="Arial"/>
          <w:color w:val="000000"/>
          <w:w w:val="90"/>
          <w:sz w:val="20"/>
          <w:szCs w:val="20"/>
        </w:rPr>
      </w:pPr>
      <w:r w:rsidRPr="00362B2A">
        <w:rPr>
          <w:rFonts w:cs="AdvOT863180fb"/>
          <w:w w:val="90"/>
          <w:sz w:val="20"/>
          <w:szCs w:val="20"/>
        </w:rPr>
        <w:t xml:space="preserve">von Minckwitz G., du Bois A., Schmidt M. i wsp Trastuzumab beyond progression in human epidermal growth factor receptor 2-positive advanced breast cancer: a German Breast Group 26/breast international group 03-05 study. </w:t>
      </w:r>
      <w:r w:rsidRPr="00362B2A">
        <w:rPr>
          <w:rFonts w:cs="AdvOT863180fb"/>
          <w:i/>
          <w:w w:val="90"/>
          <w:sz w:val="20"/>
          <w:szCs w:val="20"/>
        </w:rPr>
        <w:t>J. Clin. Oncol.</w:t>
      </w:r>
      <w:r w:rsidRPr="00362B2A">
        <w:rPr>
          <w:rFonts w:cs="AdvOT863180fb"/>
          <w:w w:val="90"/>
          <w:sz w:val="20"/>
          <w:szCs w:val="20"/>
        </w:rPr>
        <w:t xml:space="preserve"> 2009;</w:t>
      </w:r>
      <w:r>
        <w:rPr>
          <w:rFonts w:cs="AdvOT863180fb"/>
          <w:w w:val="90"/>
          <w:sz w:val="20"/>
          <w:szCs w:val="20"/>
        </w:rPr>
        <w:t xml:space="preserve"> </w:t>
      </w:r>
      <w:r w:rsidRPr="00362B2A">
        <w:rPr>
          <w:rFonts w:cs="AdvOT863180fb"/>
          <w:w w:val="90"/>
          <w:sz w:val="20"/>
          <w:szCs w:val="20"/>
        </w:rPr>
        <w:t>27:</w:t>
      </w:r>
      <w:r>
        <w:rPr>
          <w:rFonts w:cs="AdvOT863180fb"/>
          <w:w w:val="90"/>
          <w:sz w:val="20"/>
          <w:szCs w:val="20"/>
        </w:rPr>
        <w:t xml:space="preserve"> </w:t>
      </w:r>
      <w:r w:rsidRPr="00362B2A">
        <w:rPr>
          <w:rFonts w:cs="AdvOT863180fb"/>
          <w:w w:val="90"/>
          <w:sz w:val="20"/>
          <w:szCs w:val="20"/>
        </w:rPr>
        <w:t>1999</w:t>
      </w:r>
      <w:r w:rsidRPr="00362B2A">
        <w:rPr>
          <w:rFonts w:cs="AdvPS44A44B"/>
          <w:w w:val="90"/>
          <w:sz w:val="20"/>
          <w:szCs w:val="20"/>
        </w:rPr>
        <w:t>-</w:t>
      </w:r>
      <w:r w:rsidRPr="00362B2A">
        <w:rPr>
          <w:rFonts w:cs="AdvOT863180fb"/>
          <w:w w:val="90"/>
          <w:sz w:val="20"/>
          <w:szCs w:val="20"/>
        </w:rPr>
        <w:t>2006</w:t>
      </w:r>
      <w:r>
        <w:rPr>
          <w:rFonts w:cs="AdvOT863180fb"/>
          <w:w w:val="90"/>
          <w:sz w:val="20"/>
          <w:szCs w:val="20"/>
        </w:rPr>
        <w:t>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left" w:pos="1832"/>
          <w:tab w:val="left" w:pos="2748"/>
          <w:tab w:val="left" w:pos="3664"/>
          <w:tab w:val="num" w:pos="43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rFonts w:cs="Arial"/>
          <w:w w:val="90"/>
          <w:sz w:val="20"/>
          <w:szCs w:val="20"/>
          <w:lang w:val="pl-PL"/>
        </w:rPr>
      </w:pPr>
      <w:r w:rsidRPr="00E6707C">
        <w:rPr>
          <w:w w:val="90"/>
          <w:sz w:val="20"/>
          <w:szCs w:val="20"/>
          <w:lang w:val="es-ES"/>
        </w:rPr>
        <w:t xml:space="preserve">Cameron D., Casey M., Oliva C. i wsp. </w:t>
      </w:r>
      <w:r w:rsidRPr="00640E2B">
        <w:rPr>
          <w:w w:val="90"/>
          <w:sz w:val="20"/>
          <w:szCs w:val="20"/>
        </w:rPr>
        <w:t xml:space="preserve">Lapatinib plus capecitabine in women with HER-2-positive advanced breast cancer: final survival analysis of a phase III randomized trial. </w:t>
      </w:r>
      <w:r w:rsidRPr="00640E2B">
        <w:rPr>
          <w:rFonts w:cs="Arial"/>
          <w:i/>
          <w:w w:val="90"/>
          <w:sz w:val="20"/>
          <w:szCs w:val="20"/>
          <w:lang w:val="pl-PL"/>
        </w:rPr>
        <w:t>Oncologist</w:t>
      </w:r>
      <w:r w:rsidRPr="00640E2B">
        <w:rPr>
          <w:rFonts w:cs="Arial"/>
          <w:w w:val="90"/>
          <w:sz w:val="20"/>
          <w:szCs w:val="20"/>
          <w:lang w:val="pl-PL"/>
        </w:rPr>
        <w:t xml:space="preserve"> 2010; 15: 924-934.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num" w:pos="4329"/>
        </w:tabs>
        <w:spacing w:after="0" w:line="240" w:lineRule="auto"/>
        <w:ind w:left="709" w:hanging="567"/>
        <w:contextualSpacing/>
        <w:jc w:val="both"/>
        <w:rPr>
          <w:rFonts w:cs="Arial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Blackwell K.L., Burstein H.J., Storniolo A.M, i wsp. Overall survival benefit with lapatinib in combination with trastuzumab for patients with human epidermal growth factor receptor 2-positive metastatic breast cancer: final results from the EGF104900 Study. </w:t>
      </w:r>
      <w:r w:rsidRPr="00640E2B">
        <w:rPr>
          <w:rFonts w:cs="Arial"/>
          <w:i/>
          <w:w w:val="90"/>
          <w:sz w:val="20"/>
          <w:szCs w:val="20"/>
          <w:lang w:val="pl-PL"/>
        </w:rPr>
        <w:t>J. Clin. Oncol.</w:t>
      </w:r>
      <w:r w:rsidRPr="00640E2B">
        <w:rPr>
          <w:rFonts w:cs="Arial"/>
          <w:w w:val="90"/>
          <w:sz w:val="20"/>
          <w:szCs w:val="20"/>
          <w:lang w:val="pl-PL"/>
        </w:rPr>
        <w:t xml:space="preserve"> 2012; 30: 2585-2592. 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Times New Roman" w:cs="Arial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Verma S., Miles D., Gianni L. i wsp. Trastuzumab emtansine for HER2-positive advanced breast cancer. </w:t>
      </w:r>
      <w:r w:rsidRPr="00640E2B">
        <w:rPr>
          <w:i/>
          <w:w w:val="90"/>
          <w:sz w:val="20"/>
          <w:szCs w:val="20"/>
          <w:lang w:val="pl-PL"/>
        </w:rPr>
        <w:t>N. Engl. J. Med.</w:t>
      </w:r>
      <w:r w:rsidRPr="00640E2B">
        <w:rPr>
          <w:w w:val="90"/>
          <w:sz w:val="20"/>
          <w:szCs w:val="20"/>
          <w:lang w:val="pl-PL"/>
        </w:rPr>
        <w:t xml:space="preserve"> 2012; 367: 1783- 1791.</w:t>
      </w:r>
      <w:r w:rsidRPr="00640E2B">
        <w:rPr>
          <w:rFonts w:eastAsia="Times New Roman" w:cs="Arial"/>
          <w:w w:val="90"/>
          <w:sz w:val="20"/>
          <w:szCs w:val="20"/>
          <w:lang w:val="pl-PL"/>
        </w:rPr>
        <w:t xml:space="preserve"> 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left" w:pos="1832"/>
          <w:tab w:val="left" w:pos="2748"/>
          <w:tab w:val="left" w:pos="3664"/>
          <w:tab w:val="num" w:pos="43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rFonts w:cs="Arial"/>
          <w:w w:val="90"/>
          <w:sz w:val="20"/>
          <w:szCs w:val="20"/>
          <w:lang w:val="pl-PL"/>
        </w:rPr>
      </w:pPr>
      <w:r w:rsidRPr="00640E2B">
        <w:rPr>
          <w:rFonts w:cs="Arial"/>
          <w:w w:val="90"/>
          <w:sz w:val="20"/>
          <w:szCs w:val="20"/>
          <w:lang w:val="pl-PL"/>
        </w:rPr>
        <w:t xml:space="preserve">Krop I.E., Kim S.B., Martin A.G. i wsp. </w:t>
      </w:r>
      <w:r w:rsidRPr="00640E2B">
        <w:rPr>
          <w:w w:val="90"/>
          <w:sz w:val="20"/>
          <w:szCs w:val="20"/>
        </w:rPr>
        <w:t xml:space="preserve">Trastuzumab emtansine versus treatment of physician's choice in patients with previously treated HER2-positive metastatic breast cancer (TH3RESA): final overall survival results from a randomised open-label phase 3 trial. </w:t>
      </w:r>
      <w:r w:rsidRPr="00640E2B">
        <w:rPr>
          <w:rFonts w:cs="Arial"/>
          <w:i/>
          <w:w w:val="90"/>
          <w:sz w:val="20"/>
          <w:szCs w:val="20"/>
          <w:lang w:val="pl-PL"/>
        </w:rPr>
        <w:t xml:space="preserve">Lancet Oncol. </w:t>
      </w:r>
      <w:r w:rsidRPr="00640E2B">
        <w:rPr>
          <w:rFonts w:cs="Arial"/>
          <w:w w:val="90"/>
          <w:sz w:val="20"/>
          <w:szCs w:val="20"/>
          <w:lang w:val="pl-PL"/>
        </w:rPr>
        <w:t>2017; 18: 743-754.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left" w:pos="1832"/>
          <w:tab w:val="left" w:pos="2748"/>
          <w:tab w:val="left" w:pos="3664"/>
          <w:tab w:val="num" w:pos="43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Munzone E., Colleoni M. Clinical overview of metronomic chemotherapy in breast cancer. </w:t>
      </w:r>
      <w:r w:rsidRPr="00640E2B">
        <w:rPr>
          <w:i/>
          <w:w w:val="90"/>
          <w:sz w:val="20"/>
          <w:szCs w:val="20"/>
          <w:lang w:val="pl-PL"/>
        </w:rPr>
        <w:t>Nat. Rev. Clin. Oncol</w:t>
      </w:r>
      <w:r w:rsidRPr="00640E2B">
        <w:rPr>
          <w:w w:val="90"/>
          <w:sz w:val="20"/>
          <w:szCs w:val="20"/>
          <w:lang w:val="pl-PL"/>
        </w:rPr>
        <w:t>. 2015; 12: 631–644.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left" w:pos="1832"/>
          <w:tab w:val="left" w:pos="2748"/>
          <w:tab w:val="left" w:pos="3664"/>
          <w:tab w:val="num" w:pos="43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rFonts w:cs="Arial"/>
          <w:w w:val="90"/>
          <w:sz w:val="20"/>
          <w:szCs w:val="20"/>
          <w:lang w:val="pl-PL"/>
        </w:rPr>
      </w:pPr>
      <w:r w:rsidRPr="00E6707C">
        <w:rPr>
          <w:w w:val="90"/>
          <w:sz w:val="20"/>
          <w:szCs w:val="20"/>
          <w:lang w:val="de-DE"/>
        </w:rPr>
        <w:t xml:space="preserve">Tutt A., Ellis P., Kilbum L. i wsp. </w:t>
      </w:r>
      <w:r w:rsidRPr="00640E2B">
        <w:rPr>
          <w:w w:val="90"/>
          <w:sz w:val="20"/>
          <w:szCs w:val="20"/>
        </w:rPr>
        <w:t xml:space="preserve">TNT: a randomized phase III trial of carboplatin compared to docetaxel for patients with metastatic or recurrent locally advanced triple-negative or BRCA1/2 breast cancer. </w:t>
      </w:r>
      <w:r w:rsidRPr="00640E2B">
        <w:rPr>
          <w:rFonts w:cs="Arial"/>
          <w:i/>
          <w:w w:val="90"/>
          <w:sz w:val="20"/>
          <w:szCs w:val="20"/>
          <w:lang w:val="pl-PL"/>
        </w:rPr>
        <w:t xml:space="preserve">Cancer. Res. </w:t>
      </w:r>
      <w:r w:rsidRPr="00640E2B">
        <w:rPr>
          <w:rFonts w:cs="Arial"/>
          <w:w w:val="90"/>
          <w:sz w:val="20"/>
          <w:szCs w:val="20"/>
          <w:lang w:val="pl-PL"/>
        </w:rPr>
        <w:t>2015; 75 (9 Supl.): S3–01.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left" w:pos="1832"/>
          <w:tab w:val="left" w:pos="2748"/>
          <w:tab w:val="left" w:pos="3664"/>
          <w:tab w:val="num" w:pos="43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rFonts w:cs="Arial"/>
          <w:w w:val="90"/>
          <w:sz w:val="20"/>
          <w:szCs w:val="20"/>
          <w:lang w:val="pl-PL"/>
        </w:rPr>
      </w:pPr>
      <w:r w:rsidRPr="00640E2B">
        <w:rPr>
          <w:rFonts w:cs="Arial"/>
          <w:w w:val="90"/>
          <w:sz w:val="20"/>
          <w:szCs w:val="20"/>
          <w:lang w:val="pl-PL"/>
        </w:rPr>
        <w:lastRenderedPageBreak/>
        <w:t xml:space="preserve">Ramakrishna N., Temin S., Chandarlapaty S. i wsp. </w:t>
      </w:r>
      <w:r w:rsidRPr="00640E2B">
        <w:rPr>
          <w:w w:val="90"/>
          <w:sz w:val="20"/>
          <w:szCs w:val="20"/>
        </w:rPr>
        <w:t xml:space="preserve">Recommendations on disease management for patients with advanced human epidermal growth factor receptor 2-positive breast cancer and brain metastases: American Society of Clinical Oncology clinical practice guideline. </w:t>
      </w:r>
      <w:r w:rsidRPr="00640E2B">
        <w:rPr>
          <w:rFonts w:cs="Arial"/>
          <w:i/>
          <w:w w:val="90"/>
          <w:sz w:val="20"/>
          <w:szCs w:val="20"/>
          <w:lang w:val="pl-PL"/>
        </w:rPr>
        <w:t>J. Clin. Oncol.</w:t>
      </w:r>
      <w:r w:rsidRPr="00640E2B">
        <w:rPr>
          <w:rFonts w:cs="Arial"/>
          <w:w w:val="90"/>
          <w:sz w:val="20"/>
          <w:szCs w:val="20"/>
          <w:lang w:val="pl-PL"/>
        </w:rPr>
        <w:t xml:space="preserve"> 2014; 32: 2100-2108.</w:t>
      </w:r>
    </w:p>
    <w:p w:rsidR="00591045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num" w:pos="4329"/>
        </w:tabs>
        <w:spacing w:after="0" w:line="240" w:lineRule="auto"/>
        <w:ind w:left="709" w:hanging="567"/>
        <w:contextualSpacing/>
        <w:jc w:val="both"/>
        <w:rPr>
          <w:rFonts w:cs="Arial"/>
          <w:color w:val="000000"/>
          <w:w w:val="90"/>
          <w:sz w:val="20"/>
          <w:szCs w:val="20"/>
          <w:lang w:val="pl-PL"/>
        </w:rPr>
      </w:pPr>
      <w:r w:rsidRPr="00640E2B">
        <w:rPr>
          <w:color w:val="000000"/>
          <w:w w:val="90"/>
          <w:sz w:val="20"/>
          <w:szCs w:val="20"/>
          <w:shd w:val="clear" w:color="auto" w:fill="FFFFFF"/>
        </w:rPr>
        <w:t>Kantarjian H., Yap H.Y., Hortobagyi G. i wsp. Hormonal therapy for metastatic male breast cancer.</w:t>
      </w:r>
      <w:r w:rsidRPr="00640E2B">
        <w:rPr>
          <w:color w:val="000000"/>
          <w:w w:val="90"/>
          <w:sz w:val="20"/>
          <w:szCs w:val="20"/>
        </w:rPr>
        <w:t xml:space="preserve"> </w:t>
      </w:r>
      <w:r w:rsidRPr="00640E2B">
        <w:rPr>
          <w:rFonts w:cs="Arial"/>
          <w:i/>
          <w:color w:val="000000"/>
          <w:w w:val="90"/>
          <w:sz w:val="20"/>
          <w:szCs w:val="20"/>
          <w:lang w:val="pl-PL"/>
        </w:rPr>
        <w:t>Arch. Intern. Med</w:t>
      </w:r>
      <w:r w:rsidRPr="00640E2B">
        <w:rPr>
          <w:rFonts w:cs="Arial"/>
          <w:color w:val="000000"/>
          <w:w w:val="90"/>
          <w:sz w:val="20"/>
          <w:szCs w:val="20"/>
          <w:lang w:val="pl-PL"/>
        </w:rPr>
        <w:t>. 1983; 143: 237–240.</w:t>
      </w:r>
    </w:p>
    <w:p w:rsidR="00591045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num" w:pos="4329"/>
        </w:tabs>
        <w:spacing w:after="0" w:line="240" w:lineRule="auto"/>
        <w:ind w:left="709" w:hanging="567"/>
        <w:contextualSpacing/>
        <w:jc w:val="both"/>
        <w:rPr>
          <w:rFonts w:cs="Arial"/>
          <w:color w:val="000000"/>
          <w:w w:val="90"/>
          <w:sz w:val="20"/>
          <w:szCs w:val="20"/>
          <w:lang w:val="pl-PL"/>
        </w:rPr>
      </w:pPr>
      <w:r w:rsidRPr="00640E2B">
        <w:rPr>
          <w:rFonts w:cs="Arial"/>
          <w:color w:val="000000"/>
          <w:w w:val="90"/>
          <w:sz w:val="20"/>
          <w:szCs w:val="20"/>
          <w:lang w:val="pl-PL"/>
        </w:rPr>
        <w:t xml:space="preserve">Mauras N., O’Brien K.O., Klein K.O. i wsp.. </w:t>
      </w:r>
      <w:r w:rsidRPr="00640E2B">
        <w:rPr>
          <w:color w:val="000000"/>
          <w:w w:val="90"/>
          <w:sz w:val="20"/>
          <w:szCs w:val="20"/>
        </w:rPr>
        <w:t xml:space="preserve">Estrogen suppression in males: metabolic effects. </w:t>
      </w:r>
      <w:r w:rsidRPr="00640E2B">
        <w:rPr>
          <w:rFonts w:cs="Arial"/>
          <w:i/>
          <w:color w:val="000000"/>
          <w:w w:val="90"/>
          <w:sz w:val="20"/>
          <w:szCs w:val="20"/>
          <w:lang w:val="pl-PL"/>
        </w:rPr>
        <w:t xml:space="preserve">J. Clin. Endocrinol. Metab. </w:t>
      </w:r>
      <w:r w:rsidRPr="00640E2B">
        <w:rPr>
          <w:rFonts w:cs="Arial"/>
          <w:color w:val="000000"/>
          <w:w w:val="90"/>
          <w:sz w:val="20"/>
          <w:szCs w:val="20"/>
          <w:lang w:val="pl-PL"/>
        </w:rPr>
        <w:t>2000; 85: 2370–2377.</w:t>
      </w:r>
    </w:p>
    <w:p w:rsidR="00591045" w:rsidRPr="00640E2B" w:rsidRDefault="00A71CC5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num" w:pos="4329"/>
        </w:tabs>
        <w:spacing w:after="0" w:line="240" w:lineRule="auto"/>
        <w:ind w:left="709" w:hanging="567"/>
        <w:contextualSpacing/>
        <w:jc w:val="both"/>
        <w:rPr>
          <w:rFonts w:cs="Arial"/>
          <w:color w:val="000000"/>
          <w:w w:val="90"/>
          <w:sz w:val="20"/>
          <w:szCs w:val="20"/>
        </w:rPr>
      </w:pPr>
      <w:hyperlink r:id="rId33" w:history="1">
        <w:r w:rsidR="00591045" w:rsidRPr="00E6707C">
          <w:rPr>
            <w:rStyle w:val="Hipercze"/>
            <w:rFonts w:cs="Arial"/>
            <w:color w:val="333333"/>
            <w:w w:val="90"/>
            <w:sz w:val="20"/>
            <w:szCs w:val="20"/>
            <w:u w:val="none"/>
            <w:lang w:val="pl-PL"/>
          </w:rPr>
          <w:t>Zagouri F</w:t>
        </w:r>
      </w:hyperlink>
      <w:r w:rsidR="00591045" w:rsidRPr="00E6707C">
        <w:rPr>
          <w:rFonts w:cs="Arial"/>
          <w:color w:val="000000"/>
          <w:w w:val="90"/>
          <w:sz w:val="20"/>
          <w:szCs w:val="20"/>
          <w:lang w:val="pl-PL"/>
        </w:rPr>
        <w:t xml:space="preserve">., </w:t>
      </w:r>
      <w:hyperlink r:id="rId34" w:history="1">
        <w:r w:rsidR="00591045" w:rsidRPr="00E6707C">
          <w:rPr>
            <w:rStyle w:val="Hipercze"/>
            <w:rFonts w:cs="Arial"/>
            <w:color w:val="333333"/>
            <w:w w:val="90"/>
            <w:sz w:val="20"/>
            <w:szCs w:val="20"/>
            <w:u w:val="none"/>
            <w:lang w:val="pl-PL"/>
          </w:rPr>
          <w:t>Sergentanis T</w:t>
        </w:r>
        <w:r w:rsidR="00591045" w:rsidRPr="00E6707C">
          <w:rPr>
            <w:rStyle w:val="Hipercze"/>
            <w:rFonts w:cs="Arial"/>
            <w:color w:val="333333"/>
            <w:w w:val="90"/>
            <w:sz w:val="20"/>
            <w:szCs w:val="20"/>
            <w:lang w:val="pl-PL"/>
          </w:rPr>
          <w:t>.</w:t>
        </w:r>
        <w:r w:rsidR="00591045" w:rsidRPr="00E6707C">
          <w:rPr>
            <w:rStyle w:val="Hipercze"/>
            <w:rFonts w:cs="Arial"/>
            <w:color w:val="333333"/>
            <w:w w:val="90"/>
            <w:sz w:val="20"/>
            <w:szCs w:val="20"/>
            <w:u w:val="none"/>
            <w:lang w:val="pl-PL"/>
          </w:rPr>
          <w:t>N</w:t>
        </w:r>
      </w:hyperlink>
      <w:r w:rsidR="00591045" w:rsidRPr="00E6707C">
        <w:rPr>
          <w:rFonts w:cs="Arial"/>
          <w:color w:val="000000"/>
          <w:w w:val="90"/>
          <w:sz w:val="20"/>
          <w:szCs w:val="20"/>
          <w:lang w:val="pl-PL"/>
        </w:rPr>
        <w:t xml:space="preserve">., </w:t>
      </w:r>
      <w:hyperlink r:id="rId35" w:history="1">
        <w:r w:rsidR="00591045" w:rsidRPr="00E6707C">
          <w:rPr>
            <w:rStyle w:val="Hipercze"/>
            <w:rFonts w:cs="Arial"/>
            <w:color w:val="333333"/>
            <w:w w:val="90"/>
            <w:sz w:val="20"/>
            <w:szCs w:val="20"/>
            <w:u w:val="none"/>
            <w:lang w:val="pl-PL"/>
          </w:rPr>
          <w:t>Azim H</w:t>
        </w:r>
        <w:r w:rsidR="00591045" w:rsidRPr="00E6707C">
          <w:rPr>
            <w:rStyle w:val="Hipercze"/>
            <w:rFonts w:cs="Arial"/>
            <w:color w:val="333333"/>
            <w:w w:val="90"/>
            <w:sz w:val="20"/>
            <w:szCs w:val="20"/>
            <w:lang w:val="pl-PL"/>
          </w:rPr>
          <w:t>.</w:t>
        </w:r>
        <w:r w:rsidR="00591045" w:rsidRPr="00E6707C">
          <w:rPr>
            <w:rStyle w:val="Hipercze"/>
            <w:rFonts w:cs="Arial"/>
            <w:color w:val="333333"/>
            <w:w w:val="90"/>
            <w:sz w:val="20"/>
            <w:szCs w:val="20"/>
            <w:u w:val="none"/>
            <w:lang w:val="pl-PL"/>
          </w:rPr>
          <w:t>A</w:t>
        </w:r>
        <w:r w:rsidR="00591045" w:rsidRPr="00E6707C">
          <w:rPr>
            <w:rStyle w:val="Hipercze"/>
            <w:rFonts w:cs="Arial"/>
            <w:color w:val="333333"/>
            <w:w w:val="90"/>
            <w:sz w:val="20"/>
            <w:szCs w:val="20"/>
            <w:lang w:val="pl-PL"/>
          </w:rPr>
          <w:t>.</w:t>
        </w:r>
        <w:r w:rsidR="00591045" w:rsidRPr="00E6707C">
          <w:rPr>
            <w:rStyle w:val="Hipercze"/>
            <w:rFonts w:cs="Arial"/>
            <w:color w:val="333333"/>
            <w:w w:val="90"/>
            <w:sz w:val="20"/>
            <w:szCs w:val="20"/>
            <w:u w:val="none"/>
            <w:lang w:val="pl-PL"/>
          </w:rPr>
          <w:t xml:space="preserve"> Jr</w:t>
        </w:r>
      </w:hyperlink>
      <w:r w:rsidR="00591045" w:rsidRPr="00E6707C">
        <w:rPr>
          <w:rFonts w:cs="Arial"/>
          <w:color w:val="000000"/>
          <w:w w:val="90"/>
          <w:sz w:val="20"/>
          <w:szCs w:val="20"/>
          <w:lang w:val="pl-PL"/>
        </w:rPr>
        <w:t xml:space="preserve"> i wsp. </w:t>
      </w:r>
      <w:r w:rsidR="00591045" w:rsidRPr="00640E2B">
        <w:rPr>
          <w:rFonts w:cs="Arial"/>
          <w:color w:val="000000"/>
          <w:w w:val="90"/>
          <w:sz w:val="20"/>
          <w:szCs w:val="20"/>
        </w:rPr>
        <w:t xml:space="preserve">Aromatase inhibitors in male </w:t>
      </w:r>
      <w:r w:rsidR="00591045" w:rsidRPr="00640E2B">
        <w:rPr>
          <w:rStyle w:val="highlight"/>
          <w:rFonts w:cs="Arial"/>
          <w:color w:val="000000"/>
          <w:w w:val="90"/>
          <w:sz w:val="20"/>
          <w:szCs w:val="20"/>
        </w:rPr>
        <w:t>breast cancer</w:t>
      </w:r>
      <w:r w:rsidR="00591045" w:rsidRPr="00640E2B">
        <w:rPr>
          <w:rFonts w:cs="Arial"/>
          <w:color w:val="000000"/>
          <w:w w:val="90"/>
          <w:sz w:val="20"/>
          <w:szCs w:val="20"/>
        </w:rPr>
        <w:t xml:space="preserve">: a pooled analysis. </w:t>
      </w:r>
      <w:hyperlink r:id="rId36" w:tooltip="Breast cancer research and treatment." w:history="1">
        <w:r w:rsidR="00591045" w:rsidRPr="00640E2B">
          <w:rPr>
            <w:rStyle w:val="highlight"/>
            <w:rFonts w:cs="Arial"/>
            <w:i/>
            <w:color w:val="333333"/>
            <w:w w:val="90"/>
            <w:sz w:val="20"/>
            <w:szCs w:val="20"/>
          </w:rPr>
          <w:t>Breast Cancer</w:t>
        </w:r>
        <w:r w:rsidR="00591045" w:rsidRPr="00640E2B">
          <w:rPr>
            <w:rStyle w:val="Hipercze"/>
            <w:rFonts w:cs="Arial"/>
            <w:i/>
            <w:color w:val="333333"/>
            <w:w w:val="90"/>
            <w:sz w:val="20"/>
            <w:szCs w:val="20"/>
            <w:u w:val="none"/>
          </w:rPr>
          <w:t xml:space="preserve"> Res. Treat</w:t>
        </w:r>
        <w:r w:rsidR="00591045" w:rsidRPr="00640E2B">
          <w:rPr>
            <w:rStyle w:val="Hipercze"/>
            <w:rFonts w:cs="Arial"/>
            <w:color w:val="333333"/>
            <w:w w:val="90"/>
            <w:sz w:val="20"/>
            <w:szCs w:val="20"/>
            <w:u w:val="none"/>
          </w:rPr>
          <w:t>.</w:t>
        </w:r>
      </w:hyperlink>
      <w:r w:rsidR="00591045" w:rsidRPr="00640E2B">
        <w:rPr>
          <w:rFonts w:cs="Arial"/>
          <w:color w:val="000000"/>
          <w:w w:val="90"/>
          <w:sz w:val="20"/>
          <w:szCs w:val="20"/>
        </w:rPr>
        <w:t xml:space="preserve"> 2015; 151: 141-147.</w:t>
      </w:r>
    </w:p>
    <w:p w:rsidR="00E12AE8" w:rsidRPr="00E12AE8" w:rsidRDefault="00E12AE8" w:rsidP="000E721D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567"/>
        <w:rPr>
          <w:w w:val="90"/>
        </w:rPr>
      </w:pPr>
      <w:r w:rsidRPr="00E12AE8">
        <w:rPr>
          <w:rFonts w:eastAsia="Times New Roman" w:cs="Arial"/>
          <w:iCs/>
          <w:color w:val="303030"/>
          <w:w w:val="90"/>
          <w:sz w:val="20"/>
          <w:szCs w:val="20"/>
          <w:lang w:val="pl-PL" w:eastAsia="zh-CN"/>
        </w:rPr>
        <w:t>Van Poznak C.H., Temin S., Yee G.C. i wsp</w:t>
      </w:r>
      <w:r w:rsidRPr="00E12AE8">
        <w:rPr>
          <w:rFonts w:eastAsia="Times New Roman" w:cs="Arial"/>
          <w:i/>
          <w:iCs/>
          <w:color w:val="303030"/>
          <w:w w:val="90"/>
          <w:sz w:val="20"/>
          <w:szCs w:val="20"/>
          <w:lang w:val="pl-PL" w:eastAsia="zh-CN"/>
        </w:rPr>
        <w:t xml:space="preserve">. </w:t>
      </w:r>
      <w:r w:rsidRPr="00E12AE8">
        <w:rPr>
          <w:rFonts w:eastAsia="Times New Roman" w:cs="Arial"/>
          <w:color w:val="303030"/>
          <w:w w:val="90"/>
          <w:sz w:val="20"/>
          <w:szCs w:val="20"/>
          <w:shd w:val="clear" w:color="auto" w:fill="FFFFFF"/>
          <w:lang w:eastAsia="zh-CN"/>
        </w:rPr>
        <w:t xml:space="preserve">American Society of Clinical Oncology executive summary of the clinical practice guideline update on the role of bone-modifying agents in metastatic breast cancer. </w:t>
      </w:r>
      <w:r w:rsidRPr="00E12AE8">
        <w:rPr>
          <w:rFonts w:eastAsia="Times New Roman" w:cs="Arial"/>
          <w:i/>
          <w:iCs/>
          <w:color w:val="303030"/>
          <w:w w:val="90"/>
          <w:sz w:val="20"/>
          <w:szCs w:val="20"/>
          <w:lang w:val="pl-PL" w:eastAsia="zh-CN"/>
        </w:rPr>
        <w:t xml:space="preserve">J Clin Oncol. </w:t>
      </w:r>
      <w:r w:rsidRPr="00E12AE8">
        <w:rPr>
          <w:rFonts w:eastAsia="Times New Roman" w:cs="Arial"/>
          <w:iCs/>
          <w:color w:val="303030"/>
          <w:w w:val="90"/>
          <w:sz w:val="20"/>
          <w:szCs w:val="20"/>
          <w:lang w:val="pl-PL" w:eastAsia="zh-CN"/>
        </w:rPr>
        <w:t>2011; 29:1221-1277.</w:t>
      </w:r>
    </w:p>
    <w:p w:rsidR="006A3D31" w:rsidRPr="00640E2B" w:rsidRDefault="00A71CC5" w:rsidP="000E721D">
      <w:pPr>
        <w:pStyle w:val="Akapitzlist"/>
        <w:numPr>
          <w:ilvl w:val="0"/>
          <w:numId w:val="2"/>
        </w:numPr>
        <w:shd w:val="clear" w:color="auto" w:fill="FFFFFF"/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rPr>
          <w:w w:val="90"/>
          <w:sz w:val="20"/>
          <w:szCs w:val="20"/>
          <w:lang w:val="pl-PL"/>
        </w:rPr>
      </w:pPr>
      <w:hyperlink r:id="rId37" w:history="1">
        <w:r w:rsidR="006A3D31" w:rsidRPr="00E6707C">
          <w:rPr>
            <w:rFonts w:eastAsia="Times New Roman" w:cs="Arial"/>
            <w:w w:val="90"/>
            <w:sz w:val="20"/>
            <w:szCs w:val="20"/>
            <w:lang w:val="pl-PL"/>
          </w:rPr>
          <w:t>Hortobagyi G.N</w:t>
        </w:r>
      </w:hyperlink>
      <w:r w:rsidR="006A3D31" w:rsidRPr="00E6707C">
        <w:rPr>
          <w:rFonts w:eastAsia="Times New Roman" w:cs="Arial"/>
          <w:w w:val="90"/>
          <w:sz w:val="20"/>
          <w:szCs w:val="20"/>
          <w:lang w:val="pl-PL"/>
        </w:rPr>
        <w:t xml:space="preserve">., </w:t>
      </w:r>
      <w:hyperlink r:id="rId38" w:history="1">
        <w:r w:rsidR="006A3D31" w:rsidRPr="00E6707C">
          <w:rPr>
            <w:rFonts w:eastAsia="Times New Roman" w:cs="Arial"/>
            <w:w w:val="90"/>
            <w:sz w:val="20"/>
            <w:szCs w:val="20"/>
            <w:lang w:val="pl-PL"/>
          </w:rPr>
          <w:t>Van Poznak C</w:t>
        </w:r>
      </w:hyperlink>
      <w:r w:rsidR="006A3D31" w:rsidRPr="00E6707C">
        <w:rPr>
          <w:rFonts w:eastAsia="Times New Roman" w:cs="Arial"/>
          <w:w w:val="90"/>
          <w:sz w:val="20"/>
          <w:szCs w:val="20"/>
          <w:lang w:val="pl-PL"/>
        </w:rPr>
        <w:t xml:space="preserve">., </w:t>
      </w:r>
      <w:hyperlink r:id="rId39" w:history="1">
        <w:r w:rsidR="006A3D31" w:rsidRPr="00E6707C">
          <w:rPr>
            <w:rFonts w:eastAsia="Times New Roman" w:cs="Arial"/>
            <w:w w:val="90"/>
            <w:sz w:val="20"/>
            <w:szCs w:val="20"/>
            <w:lang w:val="pl-PL"/>
          </w:rPr>
          <w:t>Harker W. G</w:t>
        </w:r>
      </w:hyperlink>
      <w:r w:rsidR="006A3D31" w:rsidRPr="00E6707C">
        <w:rPr>
          <w:rFonts w:eastAsia="Times New Roman" w:cs="Arial"/>
          <w:w w:val="90"/>
          <w:sz w:val="20"/>
          <w:szCs w:val="20"/>
          <w:lang w:val="pl-PL"/>
        </w:rPr>
        <w:t>.</w:t>
      </w:r>
      <w:r w:rsidR="006A3D31" w:rsidRPr="00E6707C">
        <w:rPr>
          <w:w w:val="90"/>
          <w:sz w:val="20"/>
          <w:szCs w:val="20"/>
          <w:vertAlign w:val="superscript"/>
          <w:lang w:val="pl-PL"/>
        </w:rPr>
        <w:t xml:space="preserve"> </w:t>
      </w:r>
      <w:r w:rsidR="006A3D31" w:rsidRPr="00E6707C">
        <w:rPr>
          <w:w w:val="90"/>
          <w:sz w:val="20"/>
          <w:szCs w:val="20"/>
          <w:lang w:val="pl-PL"/>
        </w:rPr>
        <w:t>i wsp.</w:t>
      </w:r>
      <w:r w:rsidR="006A3D31" w:rsidRPr="00E6707C">
        <w:rPr>
          <w:w w:val="90"/>
          <w:kern w:val="36"/>
          <w:sz w:val="20"/>
          <w:szCs w:val="20"/>
          <w:lang w:val="pl-PL"/>
        </w:rPr>
        <w:t xml:space="preserve"> </w:t>
      </w:r>
      <w:r w:rsidR="006A3D31" w:rsidRPr="00640E2B">
        <w:rPr>
          <w:rFonts w:eastAsia="Times New Roman" w:cs="Arial"/>
          <w:bCs/>
          <w:w w:val="90"/>
          <w:kern w:val="36"/>
          <w:sz w:val="20"/>
          <w:szCs w:val="20"/>
        </w:rPr>
        <w:t>Continued treatment effect of zoledronic acid</w:t>
      </w:r>
      <w:r w:rsidR="006A3D31" w:rsidRPr="00640E2B">
        <w:rPr>
          <w:w w:val="90"/>
          <w:kern w:val="36"/>
          <w:sz w:val="20"/>
          <w:szCs w:val="20"/>
        </w:rPr>
        <w:t xml:space="preserve"> every 12 vs 4 weeks in women with breast cancer metastatic to bone: The OPTIMIZE-2 randomized clinical trial.</w:t>
      </w:r>
      <w:r w:rsidR="006A3D31" w:rsidRPr="00640E2B">
        <w:rPr>
          <w:w w:val="90"/>
          <w:sz w:val="20"/>
          <w:szCs w:val="20"/>
        </w:rPr>
        <w:t xml:space="preserve"> </w:t>
      </w:r>
      <w:hyperlink r:id="rId40" w:tooltip="JAMA oncology." w:history="1">
        <w:r w:rsidR="006A3D31" w:rsidRPr="00640E2B">
          <w:rPr>
            <w:rFonts w:eastAsia="Times New Roman" w:cs="Arial"/>
            <w:i/>
            <w:w w:val="90"/>
            <w:sz w:val="20"/>
            <w:szCs w:val="20"/>
            <w:lang w:val="pl-PL"/>
          </w:rPr>
          <w:t>JAMA Oncol.</w:t>
        </w:r>
      </w:hyperlink>
      <w:r w:rsidR="006A3D31" w:rsidRPr="00640E2B">
        <w:rPr>
          <w:rFonts w:eastAsia="Times New Roman" w:cs="Arial"/>
          <w:i/>
          <w:w w:val="90"/>
          <w:sz w:val="20"/>
          <w:szCs w:val="20"/>
          <w:lang w:val="pl-PL"/>
        </w:rPr>
        <w:t xml:space="preserve"> </w:t>
      </w:r>
      <w:r w:rsidR="006A3D31" w:rsidRPr="00227ADD">
        <w:rPr>
          <w:rFonts w:eastAsia="Times New Roman" w:cs="Arial"/>
          <w:w w:val="90"/>
          <w:sz w:val="20"/>
          <w:szCs w:val="20"/>
          <w:lang w:val="pl-PL"/>
        </w:rPr>
        <w:t xml:space="preserve">2017; 3: 906-912. </w:t>
      </w:r>
    </w:p>
    <w:p w:rsidR="00FC14D4" w:rsidRPr="00227ADD" w:rsidRDefault="00A71CC5" w:rsidP="000E721D">
      <w:pPr>
        <w:pStyle w:val="Akapitzlist"/>
        <w:numPr>
          <w:ilvl w:val="0"/>
          <w:numId w:val="2"/>
        </w:numPr>
        <w:shd w:val="clear" w:color="auto" w:fill="FFFFFF"/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rPr>
          <w:w w:val="90"/>
          <w:sz w:val="20"/>
          <w:szCs w:val="20"/>
          <w:lang w:val="pl-PL"/>
        </w:rPr>
      </w:pPr>
      <w:hyperlink r:id="rId41" w:history="1">
        <w:r w:rsidR="00FC14D4" w:rsidRPr="00E6707C">
          <w:rPr>
            <w:rStyle w:val="Hipercze"/>
            <w:rFonts w:cs="Arial"/>
            <w:color w:val="333333"/>
            <w:w w:val="90"/>
            <w:sz w:val="20"/>
            <w:szCs w:val="20"/>
            <w:u w:val="none"/>
            <w:lang w:val="pl-PL"/>
          </w:rPr>
          <w:t>Amadori D</w:t>
        </w:r>
      </w:hyperlink>
      <w:r w:rsidR="00FC14D4" w:rsidRPr="00E6707C">
        <w:rPr>
          <w:rFonts w:cs="Arial"/>
          <w:color w:val="000000"/>
          <w:w w:val="90"/>
          <w:sz w:val="20"/>
          <w:szCs w:val="20"/>
          <w:lang w:val="pl-PL"/>
        </w:rPr>
        <w:t xml:space="preserve">., </w:t>
      </w:r>
      <w:hyperlink r:id="rId42" w:history="1">
        <w:r w:rsidR="00FC14D4" w:rsidRPr="00E6707C">
          <w:rPr>
            <w:rStyle w:val="Hipercze"/>
            <w:rFonts w:cs="Arial"/>
            <w:color w:val="333333"/>
            <w:w w:val="90"/>
            <w:sz w:val="20"/>
            <w:szCs w:val="20"/>
            <w:u w:val="none"/>
            <w:lang w:val="pl-PL"/>
          </w:rPr>
          <w:t>Aglietta M</w:t>
        </w:r>
      </w:hyperlink>
      <w:r w:rsidR="00FC14D4" w:rsidRPr="00E6707C">
        <w:rPr>
          <w:rFonts w:cs="Arial"/>
          <w:color w:val="000000"/>
          <w:w w:val="90"/>
          <w:sz w:val="20"/>
          <w:szCs w:val="20"/>
          <w:lang w:val="pl-PL"/>
        </w:rPr>
        <w:t xml:space="preserve">., </w:t>
      </w:r>
      <w:hyperlink r:id="rId43" w:history="1">
        <w:r w:rsidR="00FC14D4" w:rsidRPr="00E6707C">
          <w:rPr>
            <w:rStyle w:val="Hipercze"/>
            <w:rFonts w:cs="Arial"/>
            <w:color w:val="333333"/>
            <w:w w:val="90"/>
            <w:sz w:val="20"/>
            <w:szCs w:val="20"/>
            <w:u w:val="none"/>
            <w:lang w:val="pl-PL"/>
          </w:rPr>
          <w:t>Alessi B</w:t>
        </w:r>
      </w:hyperlink>
      <w:r w:rsidR="00FC14D4" w:rsidRPr="00E6707C">
        <w:rPr>
          <w:rFonts w:cs="Arial"/>
          <w:color w:val="000000"/>
          <w:w w:val="90"/>
          <w:sz w:val="20"/>
          <w:szCs w:val="20"/>
          <w:lang w:val="pl-PL"/>
        </w:rPr>
        <w:t xml:space="preserve">. i wsp. </w:t>
      </w:r>
      <w:r w:rsidR="00FC14D4" w:rsidRPr="00D44A35">
        <w:rPr>
          <w:rFonts w:cs="Arial"/>
          <w:color w:val="000000"/>
          <w:w w:val="90"/>
          <w:sz w:val="20"/>
          <w:szCs w:val="20"/>
        </w:rPr>
        <w:t xml:space="preserve">Efficacy and safety of 12-weekly versus 4-weekly zoledronic acid for prolonged treatment of patients with bone metastases from breast cancer (ZOOM): a phase 3, open-label, randomised, non-inferiority trial. </w:t>
      </w:r>
      <w:hyperlink r:id="rId44" w:tooltip="The Lancet. Oncology." w:history="1">
        <w:r w:rsidR="00FC14D4" w:rsidRPr="00D44A35">
          <w:rPr>
            <w:rStyle w:val="Hipercze"/>
            <w:rFonts w:cs="Arial"/>
            <w:i/>
            <w:color w:val="333333"/>
            <w:w w:val="90"/>
            <w:sz w:val="20"/>
            <w:szCs w:val="20"/>
            <w:u w:val="none"/>
          </w:rPr>
          <w:t>Lancet Oncol</w:t>
        </w:r>
        <w:r w:rsidR="00FC14D4" w:rsidRPr="00D44A35">
          <w:rPr>
            <w:rStyle w:val="Hipercze"/>
            <w:rFonts w:cs="Arial"/>
            <w:color w:val="333333"/>
            <w:w w:val="90"/>
            <w:sz w:val="20"/>
            <w:szCs w:val="20"/>
            <w:u w:val="none"/>
          </w:rPr>
          <w:t>.</w:t>
        </w:r>
      </w:hyperlink>
      <w:r w:rsidR="00FC14D4" w:rsidRPr="00D44A35">
        <w:rPr>
          <w:rFonts w:cs="Arial"/>
          <w:color w:val="000000"/>
          <w:w w:val="90"/>
          <w:sz w:val="20"/>
          <w:szCs w:val="20"/>
        </w:rPr>
        <w:t xml:space="preserve"> 2013; 14 :663-670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left" w:pos="1832"/>
          <w:tab w:val="left" w:pos="2748"/>
          <w:tab w:val="left" w:pos="3664"/>
          <w:tab w:val="num" w:pos="43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567"/>
        <w:jc w:val="both"/>
        <w:rPr>
          <w:rFonts w:cs="Arial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Stopeck A.T., Lipton A., Body J.J. i wsp. Denosumab compared with zoledronic acid for the treatment of bone metastases in patients with advanced breast cancer: A randomized, double-blind study. </w:t>
      </w:r>
      <w:r w:rsidRPr="009D6B8A">
        <w:rPr>
          <w:rFonts w:cs="Arial"/>
          <w:i/>
          <w:w w:val="90"/>
          <w:sz w:val="20"/>
          <w:szCs w:val="20"/>
          <w:lang w:val="pl-PL"/>
        </w:rPr>
        <w:t>J Clin Oncol</w:t>
      </w:r>
      <w:r w:rsidRPr="00E763C7">
        <w:rPr>
          <w:rFonts w:cs="Arial"/>
          <w:i/>
          <w:w w:val="90"/>
          <w:sz w:val="20"/>
          <w:szCs w:val="20"/>
          <w:shd w:val="clear" w:color="auto" w:fill="FFFFFF"/>
          <w:lang w:val="pl-PL"/>
        </w:rPr>
        <w:t>.</w:t>
      </w:r>
      <w:r w:rsidRPr="00640E2B">
        <w:rPr>
          <w:rFonts w:cs="Arial"/>
          <w:w w:val="90"/>
          <w:sz w:val="20"/>
          <w:szCs w:val="20"/>
          <w:shd w:val="clear" w:color="auto" w:fill="FFFFFF"/>
          <w:lang w:val="pl-PL"/>
        </w:rPr>
        <w:t xml:space="preserve"> 2010; 28: 5132-5139.</w:t>
      </w:r>
    </w:p>
    <w:p w:rsidR="006A3D31" w:rsidRPr="00640E2B" w:rsidRDefault="006A3D31" w:rsidP="000E721D">
      <w:pPr>
        <w:pStyle w:val="Akapitzlist"/>
        <w:numPr>
          <w:ilvl w:val="0"/>
          <w:numId w:val="2"/>
        </w:numPr>
        <w:tabs>
          <w:tab w:val="clear" w:pos="360"/>
          <w:tab w:val="left" w:pos="709"/>
          <w:tab w:val="num" w:pos="4329"/>
        </w:tabs>
        <w:spacing w:after="0" w:line="240" w:lineRule="auto"/>
        <w:ind w:left="709" w:hanging="567"/>
        <w:rPr>
          <w:rFonts w:eastAsia="Times New Roman" w:cs="Times New Roman"/>
          <w:w w:val="90"/>
          <w:sz w:val="20"/>
          <w:szCs w:val="20"/>
          <w:lang w:val="pl-PL"/>
        </w:rPr>
      </w:pPr>
      <w:r w:rsidRPr="00640E2B">
        <w:rPr>
          <w:rFonts w:eastAsia="Times New Roman" w:cs="Times New Roman"/>
          <w:w w:val="90"/>
          <w:sz w:val="20"/>
          <w:szCs w:val="20"/>
          <w:lang w:val="pl-PL"/>
        </w:rPr>
        <w:t>Lutz S., Balboni T., Jones J. i wsp. </w:t>
      </w:r>
      <w:r w:rsidRPr="00640E2B">
        <w:rPr>
          <w:rFonts w:eastAsia="Times New Roman" w:cs="Times New Roman"/>
          <w:w w:val="90"/>
          <w:sz w:val="20"/>
          <w:szCs w:val="20"/>
        </w:rPr>
        <w:t xml:space="preserve">Palliative radiation therapy for bone metastases: Update of an ASTRO Evidence-Based Guideline. </w:t>
      </w:r>
      <w:r w:rsidRPr="00640E2B">
        <w:rPr>
          <w:rFonts w:eastAsia="Times New Roman" w:cs="Times New Roman"/>
          <w:w w:val="90"/>
          <w:sz w:val="20"/>
          <w:szCs w:val="20"/>
          <w:lang w:val="pl-PL"/>
        </w:rPr>
        <w:t xml:space="preserve">Pract Radiat Oncol. 2017; 7: 4-12. </w:t>
      </w:r>
    </w:p>
    <w:p w:rsidR="006A3D31" w:rsidRPr="00640E2B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num" w:pos="4329"/>
        </w:tabs>
        <w:spacing w:after="0" w:line="240" w:lineRule="auto"/>
        <w:ind w:left="709" w:hanging="567"/>
        <w:contextualSpacing/>
        <w:jc w:val="both"/>
        <w:rPr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Finlay I.G., Mason M.D., Shelley M. Radioisotopes for the palliation of metastatic bone cancer: a systematic review. </w:t>
      </w:r>
      <w:r w:rsidRPr="00640E2B">
        <w:rPr>
          <w:i/>
          <w:w w:val="90"/>
          <w:sz w:val="20"/>
          <w:szCs w:val="20"/>
          <w:lang w:val="pl-PL"/>
        </w:rPr>
        <w:t xml:space="preserve">Lancet Oncol. </w:t>
      </w:r>
      <w:r w:rsidRPr="00640E2B">
        <w:rPr>
          <w:w w:val="90"/>
          <w:sz w:val="20"/>
          <w:szCs w:val="20"/>
          <w:lang w:val="pl-PL"/>
        </w:rPr>
        <w:t>2005; 6: 392-400. </w:t>
      </w:r>
    </w:p>
    <w:p w:rsidR="006A3D31" w:rsidRPr="00EC3522" w:rsidRDefault="006A3D31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Times New Roman" w:cs="Arial"/>
          <w:w w:val="90"/>
          <w:sz w:val="20"/>
          <w:szCs w:val="20"/>
          <w:lang w:val="pl-PL"/>
        </w:rPr>
      </w:pPr>
      <w:r w:rsidRPr="00640E2B">
        <w:rPr>
          <w:w w:val="90"/>
          <w:sz w:val="20"/>
          <w:szCs w:val="20"/>
        </w:rPr>
        <w:t xml:space="preserve">Thomas A., Khan S.A., Chrischilles E.A. i wsp. Initial surgery and survival in stage IV breast cancer in the United States, 1988-2011. </w:t>
      </w:r>
      <w:r w:rsidRPr="00640E2B">
        <w:rPr>
          <w:rFonts w:cs="Arial"/>
          <w:i/>
          <w:w w:val="90"/>
          <w:sz w:val="20"/>
          <w:szCs w:val="20"/>
          <w:lang w:val="pl-PL"/>
        </w:rPr>
        <w:t>JAMA Surg.</w:t>
      </w:r>
      <w:r w:rsidRPr="00640E2B">
        <w:rPr>
          <w:rFonts w:cs="Arial"/>
          <w:w w:val="90"/>
          <w:sz w:val="20"/>
          <w:szCs w:val="20"/>
          <w:lang w:val="pl-PL"/>
        </w:rPr>
        <w:t xml:space="preserve"> 2016; 151: 424–431.</w:t>
      </w:r>
    </w:p>
    <w:p w:rsidR="00EC3522" w:rsidRPr="00572E5C" w:rsidRDefault="00EC3522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Times New Roman" w:cs="Arial"/>
          <w:w w:val="90"/>
          <w:sz w:val="20"/>
          <w:szCs w:val="20"/>
        </w:rPr>
      </w:pPr>
      <w:r w:rsidRPr="00EC3522">
        <w:rPr>
          <w:rFonts w:cs="Arial"/>
          <w:w w:val="90"/>
          <w:sz w:val="20"/>
          <w:szCs w:val="20"/>
        </w:rPr>
        <w:t>Playdon M</w:t>
      </w:r>
      <w:r>
        <w:rPr>
          <w:rFonts w:cs="Arial"/>
          <w:w w:val="90"/>
          <w:sz w:val="20"/>
          <w:szCs w:val="20"/>
        </w:rPr>
        <w:t>.</w:t>
      </w:r>
      <w:r w:rsidRPr="00EC3522">
        <w:rPr>
          <w:rFonts w:cs="Arial"/>
          <w:w w:val="90"/>
          <w:sz w:val="20"/>
          <w:szCs w:val="20"/>
        </w:rPr>
        <w:t>C</w:t>
      </w:r>
      <w:r>
        <w:rPr>
          <w:rFonts w:cs="Arial"/>
          <w:w w:val="90"/>
          <w:sz w:val="20"/>
          <w:szCs w:val="20"/>
        </w:rPr>
        <w:t>.</w:t>
      </w:r>
      <w:r w:rsidRPr="00EC3522">
        <w:rPr>
          <w:rFonts w:cs="Arial"/>
          <w:w w:val="90"/>
          <w:sz w:val="20"/>
          <w:szCs w:val="20"/>
        </w:rPr>
        <w:t>, Bracken M</w:t>
      </w:r>
      <w:r>
        <w:rPr>
          <w:rFonts w:cs="Arial"/>
          <w:w w:val="90"/>
          <w:sz w:val="20"/>
          <w:szCs w:val="20"/>
        </w:rPr>
        <w:t>.</w:t>
      </w:r>
      <w:r w:rsidRPr="00EC3522">
        <w:rPr>
          <w:rFonts w:cs="Arial"/>
          <w:w w:val="90"/>
          <w:sz w:val="20"/>
          <w:szCs w:val="20"/>
        </w:rPr>
        <w:t>B</w:t>
      </w:r>
      <w:r>
        <w:rPr>
          <w:rFonts w:cs="Arial"/>
          <w:w w:val="90"/>
          <w:sz w:val="20"/>
          <w:szCs w:val="20"/>
        </w:rPr>
        <w:t>.</w:t>
      </w:r>
      <w:r w:rsidRPr="00EC3522">
        <w:rPr>
          <w:rFonts w:cs="Arial"/>
          <w:w w:val="90"/>
          <w:sz w:val="20"/>
          <w:szCs w:val="20"/>
        </w:rPr>
        <w:t>, Sanft T</w:t>
      </w:r>
      <w:r>
        <w:rPr>
          <w:rFonts w:cs="Arial"/>
          <w:w w:val="90"/>
          <w:sz w:val="20"/>
          <w:szCs w:val="20"/>
        </w:rPr>
        <w:t>.</w:t>
      </w:r>
      <w:r w:rsidRPr="00EC3522">
        <w:rPr>
          <w:rFonts w:cs="Arial"/>
          <w:w w:val="90"/>
          <w:sz w:val="20"/>
          <w:szCs w:val="20"/>
        </w:rPr>
        <w:t>B</w:t>
      </w:r>
      <w:r>
        <w:rPr>
          <w:rFonts w:cs="Arial"/>
          <w:w w:val="90"/>
          <w:sz w:val="20"/>
          <w:szCs w:val="20"/>
        </w:rPr>
        <w:t>. i wsp</w:t>
      </w:r>
      <w:r w:rsidRPr="00EC3522">
        <w:rPr>
          <w:rFonts w:cs="Arial"/>
          <w:w w:val="90"/>
          <w:sz w:val="20"/>
          <w:szCs w:val="20"/>
        </w:rPr>
        <w:t xml:space="preserve">. Weight </w:t>
      </w:r>
      <w:r w:rsidR="00572E5C">
        <w:rPr>
          <w:rFonts w:cs="Arial"/>
          <w:w w:val="90"/>
          <w:sz w:val="20"/>
          <w:szCs w:val="20"/>
        </w:rPr>
        <w:t>g</w:t>
      </w:r>
      <w:r w:rsidRPr="00EC3522">
        <w:rPr>
          <w:rFonts w:cs="Arial"/>
          <w:w w:val="90"/>
          <w:sz w:val="20"/>
          <w:szCs w:val="20"/>
        </w:rPr>
        <w:t xml:space="preserve">ain </w:t>
      </w:r>
      <w:r w:rsidR="00572E5C">
        <w:rPr>
          <w:rFonts w:cs="Arial"/>
          <w:w w:val="90"/>
          <w:sz w:val="20"/>
          <w:szCs w:val="20"/>
        </w:rPr>
        <w:t>a</w:t>
      </w:r>
      <w:r w:rsidRPr="00EC3522">
        <w:rPr>
          <w:rFonts w:cs="Arial"/>
          <w:w w:val="90"/>
          <w:sz w:val="20"/>
          <w:szCs w:val="20"/>
        </w:rPr>
        <w:t xml:space="preserve">fter </w:t>
      </w:r>
      <w:r w:rsidR="00572E5C">
        <w:rPr>
          <w:rFonts w:cs="Arial"/>
          <w:w w:val="90"/>
          <w:sz w:val="20"/>
          <w:szCs w:val="20"/>
        </w:rPr>
        <w:t>b</w:t>
      </w:r>
      <w:r w:rsidRPr="00EC3522">
        <w:rPr>
          <w:rFonts w:cs="Arial"/>
          <w:w w:val="90"/>
          <w:sz w:val="20"/>
          <w:szCs w:val="20"/>
        </w:rPr>
        <w:t xml:space="preserve">reast </w:t>
      </w:r>
      <w:r w:rsidR="00572E5C">
        <w:rPr>
          <w:rFonts w:cs="Arial"/>
          <w:w w:val="90"/>
          <w:sz w:val="20"/>
          <w:szCs w:val="20"/>
        </w:rPr>
        <w:t>c</w:t>
      </w:r>
      <w:r w:rsidRPr="00EC3522">
        <w:rPr>
          <w:rFonts w:cs="Arial"/>
          <w:w w:val="90"/>
          <w:sz w:val="20"/>
          <w:szCs w:val="20"/>
        </w:rPr>
        <w:t xml:space="preserve">ancer </w:t>
      </w:r>
      <w:r w:rsidR="00572E5C">
        <w:rPr>
          <w:rFonts w:cs="Arial"/>
          <w:w w:val="90"/>
          <w:sz w:val="20"/>
          <w:szCs w:val="20"/>
        </w:rPr>
        <w:t>d</w:t>
      </w:r>
      <w:r w:rsidRPr="00EC3522">
        <w:rPr>
          <w:rFonts w:cs="Arial"/>
          <w:w w:val="90"/>
          <w:sz w:val="20"/>
          <w:szCs w:val="20"/>
        </w:rPr>
        <w:t xml:space="preserve">iagnosis and </w:t>
      </w:r>
      <w:r w:rsidR="00572E5C">
        <w:rPr>
          <w:rFonts w:cs="Arial"/>
          <w:w w:val="90"/>
          <w:sz w:val="20"/>
          <w:szCs w:val="20"/>
        </w:rPr>
        <w:t>a</w:t>
      </w:r>
      <w:r w:rsidRPr="00EC3522">
        <w:rPr>
          <w:rFonts w:cs="Arial"/>
          <w:w w:val="90"/>
          <w:sz w:val="20"/>
          <w:szCs w:val="20"/>
        </w:rPr>
        <w:t>ll-</w:t>
      </w:r>
      <w:r w:rsidR="00572E5C">
        <w:rPr>
          <w:rFonts w:cs="Arial"/>
          <w:w w:val="90"/>
          <w:sz w:val="20"/>
          <w:szCs w:val="20"/>
        </w:rPr>
        <w:t>c</w:t>
      </w:r>
      <w:r w:rsidRPr="00EC3522">
        <w:rPr>
          <w:rFonts w:cs="Arial"/>
          <w:w w:val="90"/>
          <w:sz w:val="20"/>
          <w:szCs w:val="20"/>
        </w:rPr>
        <w:t xml:space="preserve">ause </w:t>
      </w:r>
      <w:r w:rsidR="00572E5C">
        <w:rPr>
          <w:rFonts w:cs="Arial"/>
          <w:w w:val="90"/>
          <w:sz w:val="20"/>
          <w:szCs w:val="20"/>
        </w:rPr>
        <w:t>m</w:t>
      </w:r>
      <w:r w:rsidRPr="00EC3522">
        <w:rPr>
          <w:rFonts w:cs="Arial"/>
          <w:w w:val="90"/>
          <w:sz w:val="20"/>
          <w:szCs w:val="20"/>
        </w:rPr>
        <w:t xml:space="preserve">ortality: </w:t>
      </w:r>
      <w:r w:rsidR="00572E5C">
        <w:rPr>
          <w:rFonts w:cs="Arial"/>
          <w:w w:val="90"/>
          <w:sz w:val="20"/>
          <w:szCs w:val="20"/>
        </w:rPr>
        <w:t>s</w:t>
      </w:r>
      <w:r w:rsidRPr="00EC3522">
        <w:rPr>
          <w:rFonts w:cs="Arial"/>
          <w:w w:val="90"/>
          <w:sz w:val="20"/>
          <w:szCs w:val="20"/>
        </w:rPr>
        <w:t xml:space="preserve">ystematic </w:t>
      </w:r>
      <w:r w:rsidR="00572E5C">
        <w:rPr>
          <w:rFonts w:cs="Arial"/>
          <w:w w:val="90"/>
          <w:sz w:val="20"/>
          <w:szCs w:val="20"/>
        </w:rPr>
        <w:t>r</w:t>
      </w:r>
      <w:r w:rsidRPr="00EC3522">
        <w:rPr>
          <w:rFonts w:cs="Arial"/>
          <w:w w:val="90"/>
          <w:sz w:val="20"/>
          <w:szCs w:val="20"/>
        </w:rPr>
        <w:t xml:space="preserve">eview and </w:t>
      </w:r>
      <w:r w:rsidR="00572E5C">
        <w:rPr>
          <w:rFonts w:cs="Arial"/>
          <w:w w:val="90"/>
          <w:sz w:val="20"/>
          <w:szCs w:val="20"/>
        </w:rPr>
        <w:t>m</w:t>
      </w:r>
      <w:r w:rsidRPr="00EC3522">
        <w:rPr>
          <w:rFonts w:cs="Arial"/>
          <w:w w:val="90"/>
          <w:sz w:val="20"/>
          <w:szCs w:val="20"/>
        </w:rPr>
        <w:t>eta-</w:t>
      </w:r>
      <w:r w:rsidR="00572E5C">
        <w:rPr>
          <w:rFonts w:cs="Arial"/>
          <w:w w:val="90"/>
          <w:sz w:val="20"/>
          <w:szCs w:val="20"/>
        </w:rPr>
        <w:t>a</w:t>
      </w:r>
      <w:r w:rsidRPr="00EC3522">
        <w:rPr>
          <w:rFonts w:cs="Arial"/>
          <w:w w:val="90"/>
          <w:sz w:val="20"/>
          <w:szCs w:val="20"/>
        </w:rPr>
        <w:t xml:space="preserve">nalysis. </w:t>
      </w:r>
      <w:r w:rsidRPr="00572E5C">
        <w:rPr>
          <w:rFonts w:cs="Arial"/>
          <w:i/>
          <w:w w:val="90"/>
          <w:sz w:val="20"/>
          <w:szCs w:val="20"/>
        </w:rPr>
        <w:t>J. Natl. Cancer Inst.</w:t>
      </w:r>
      <w:r w:rsidRPr="00EC3522">
        <w:rPr>
          <w:rFonts w:cs="Arial"/>
          <w:w w:val="90"/>
          <w:sz w:val="20"/>
          <w:szCs w:val="20"/>
        </w:rPr>
        <w:t xml:space="preserve"> 2015</w:t>
      </w:r>
      <w:r>
        <w:rPr>
          <w:rFonts w:cs="Arial"/>
          <w:w w:val="90"/>
          <w:sz w:val="20"/>
          <w:szCs w:val="20"/>
        </w:rPr>
        <w:t>;</w:t>
      </w:r>
      <w:r w:rsidRPr="00EC3522">
        <w:rPr>
          <w:rFonts w:cs="Arial"/>
          <w:w w:val="90"/>
          <w:sz w:val="20"/>
          <w:szCs w:val="20"/>
        </w:rPr>
        <w:t xml:space="preserve"> 107: djv275</w:t>
      </w:r>
      <w:r>
        <w:rPr>
          <w:rFonts w:cs="Arial"/>
          <w:w w:val="90"/>
          <w:sz w:val="20"/>
          <w:szCs w:val="20"/>
        </w:rPr>
        <w:t>.</w:t>
      </w:r>
    </w:p>
    <w:p w:rsidR="00E00B1F" w:rsidRPr="00572E5C" w:rsidRDefault="00572E5C" w:rsidP="000E721D">
      <w:pPr>
        <w:widowControl/>
        <w:numPr>
          <w:ilvl w:val="0"/>
          <w:numId w:val="2"/>
        </w:numPr>
        <w:tabs>
          <w:tab w:val="clear" w:pos="360"/>
          <w:tab w:val="left" w:pos="426"/>
          <w:tab w:val="left" w:pos="709"/>
          <w:tab w:val="left" w:pos="851"/>
          <w:tab w:val="num" w:pos="4329"/>
        </w:tabs>
        <w:spacing w:after="0" w:line="240" w:lineRule="auto"/>
        <w:ind w:left="709" w:hanging="567"/>
        <w:contextualSpacing/>
        <w:jc w:val="both"/>
        <w:rPr>
          <w:rFonts w:eastAsia="Times New Roman" w:cs="Arial"/>
          <w:w w:val="90"/>
          <w:sz w:val="20"/>
          <w:szCs w:val="20"/>
        </w:rPr>
      </w:pPr>
      <w:r w:rsidRPr="00572E5C">
        <w:rPr>
          <w:rFonts w:eastAsia="Times New Roman" w:cs="Arial"/>
          <w:w w:val="90"/>
          <w:sz w:val="20"/>
          <w:szCs w:val="20"/>
        </w:rPr>
        <w:t>Passarelli M</w:t>
      </w:r>
      <w:r>
        <w:rPr>
          <w:rFonts w:eastAsia="Times New Roman" w:cs="Arial"/>
          <w:w w:val="90"/>
          <w:sz w:val="20"/>
          <w:szCs w:val="20"/>
        </w:rPr>
        <w:t>.</w:t>
      </w:r>
      <w:r w:rsidRPr="00572E5C">
        <w:rPr>
          <w:rFonts w:eastAsia="Times New Roman" w:cs="Arial"/>
          <w:w w:val="90"/>
          <w:sz w:val="20"/>
          <w:szCs w:val="20"/>
        </w:rPr>
        <w:t>N</w:t>
      </w:r>
      <w:r>
        <w:rPr>
          <w:rFonts w:eastAsia="Times New Roman" w:cs="Arial"/>
          <w:w w:val="90"/>
          <w:sz w:val="20"/>
          <w:szCs w:val="20"/>
        </w:rPr>
        <w:t>.</w:t>
      </w:r>
      <w:r w:rsidRPr="00572E5C">
        <w:rPr>
          <w:rFonts w:eastAsia="Times New Roman" w:cs="Arial"/>
          <w:w w:val="90"/>
          <w:sz w:val="20"/>
          <w:szCs w:val="20"/>
        </w:rPr>
        <w:t>, Newcomb P</w:t>
      </w:r>
      <w:r>
        <w:rPr>
          <w:rFonts w:eastAsia="Times New Roman" w:cs="Arial"/>
          <w:w w:val="90"/>
          <w:sz w:val="20"/>
          <w:szCs w:val="20"/>
        </w:rPr>
        <w:t>.</w:t>
      </w:r>
      <w:r w:rsidRPr="00572E5C">
        <w:rPr>
          <w:rFonts w:eastAsia="Times New Roman" w:cs="Arial"/>
          <w:w w:val="90"/>
          <w:sz w:val="20"/>
          <w:szCs w:val="20"/>
        </w:rPr>
        <w:t>A</w:t>
      </w:r>
      <w:r>
        <w:rPr>
          <w:rFonts w:eastAsia="Times New Roman" w:cs="Arial"/>
          <w:w w:val="90"/>
          <w:sz w:val="20"/>
          <w:szCs w:val="20"/>
        </w:rPr>
        <w:t>.</w:t>
      </w:r>
      <w:r w:rsidRPr="00572E5C">
        <w:rPr>
          <w:rFonts w:eastAsia="Times New Roman" w:cs="Arial"/>
          <w:w w:val="90"/>
          <w:sz w:val="20"/>
          <w:szCs w:val="20"/>
        </w:rPr>
        <w:t>, Hampton J</w:t>
      </w:r>
      <w:r>
        <w:rPr>
          <w:rFonts w:eastAsia="Times New Roman" w:cs="Arial"/>
          <w:w w:val="90"/>
          <w:sz w:val="20"/>
          <w:szCs w:val="20"/>
        </w:rPr>
        <w:t>.</w:t>
      </w:r>
      <w:r w:rsidRPr="00572E5C">
        <w:rPr>
          <w:rFonts w:eastAsia="Times New Roman" w:cs="Arial"/>
          <w:w w:val="90"/>
          <w:sz w:val="20"/>
          <w:szCs w:val="20"/>
        </w:rPr>
        <w:t>M</w:t>
      </w:r>
      <w:r>
        <w:rPr>
          <w:rFonts w:eastAsia="Times New Roman" w:cs="Arial"/>
          <w:w w:val="90"/>
          <w:sz w:val="20"/>
          <w:szCs w:val="20"/>
        </w:rPr>
        <w:t>. i wsp.</w:t>
      </w:r>
      <w:r w:rsidRPr="00572E5C">
        <w:rPr>
          <w:rFonts w:eastAsia="Times New Roman" w:cs="Arial"/>
          <w:w w:val="90"/>
          <w:sz w:val="20"/>
          <w:szCs w:val="20"/>
        </w:rPr>
        <w:t xml:space="preserve"> Cigarette </w:t>
      </w:r>
      <w:r>
        <w:rPr>
          <w:rFonts w:eastAsia="Times New Roman" w:cs="Arial"/>
          <w:w w:val="90"/>
          <w:sz w:val="20"/>
          <w:szCs w:val="20"/>
        </w:rPr>
        <w:t>s</w:t>
      </w:r>
      <w:r w:rsidRPr="00572E5C">
        <w:rPr>
          <w:rFonts w:eastAsia="Times New Roman" w:cs="Arial"/>
          <w:w w:val="90"/>
          <w:sz w:val="20"/>
          <w:szCs w:val="20"/>
        </w:rPr>
        <w:t xml:space="preserve">moking </w:t>
      </w:r>
      <w:r>
        <w:rPr>
          <w:rFonts w:eastAsia="Times New Roman" w:cs="Arial"/>
          <w:w w:val="90"/>
          <w:sz w:val="20"/>
          <w:szCs w:val="20"/>
        </w:rPr>
        <w:t>b</w:t>
      </w:r>
      <w:r w:rsidRPr="00572E5C">
        <w:rPr>
          <w:rFonts w:eastAsia="Times New Roman" w:cs="Arial"/>
          <w:w w:val="90"/>
          <w:sz w:val="20"/>
          <w:szCs w:val="20"/>
        </w:rPr>
        <w:t xml:space="preserve">efore and </w:t>
      </w:r>
      <w:r>
        <w:rPr>
          <w:rFonts w:eastAsia="Times New Roman" w:cs="Arial"/>
          <w:w w:val="90"/>
          <w:sz w:val="20"/>
          <w:szCs w:val="20"/>
        </w:rPr>
        <w:t>a</w:t>
      </w:r>
      <w:r w:rsidRPr="00572E5C">
        <w:rPr>
          <w:rFonts w:eastAsia="Times New Roman" w:cs="Arial"/>
          <w:w w:val="90"/>
          <w:sz w:val="20"/>
          <w:szCs w:val="20"/>
        </w:rPr>
        <w:t xml:space="preserve">fter </w:t>
      </w:r>
      <w:r>
        <w:rPr>
          <w:rFonts w:eastAsia="Times New Roman" w:cs="Arial"/>
          <w:w w:val="90"/>
          <w:sz w:val="20"/>
          <w:szCs w:val="20"/>
        </w:rPr>
        <w:t>b</w:t>
      </w:r>
      <w:r w:rsidRPr="00572E5C">
        <w:rPr>
          <w:rFonts w:eastAsia="Times New Roman" w:cs="Arial"/>
          <w:w w:val="90"/>
          <w:sz w:val="20"/>
          <w:szCs w:val="20"/>
        </w:rPr>
        <w:t xml:space="preserve">reast </w:t>
      </w:r>
      <w:r>
        <w:rPr>
          <w:rFonts w:eastAsia="Times New Roman" w:cs="Arial"/>
          <w:w w:val="90"/>
          <w:sz w:val="20"/>
          <w:szCs w:val="20"/>
        </w:rPr>
        <w:t>c</w:t>
      </w:r>
      <w:r w:rsidRPr="00572E5C">
        <w:rPr>
          <w:rFonts w:eastAsia="Times New Roman" w:cs="Arial"/>
          <w:w w:val="90"/>
          <w:sz w:val="20"/>
          <w:szCs w:val="20"/>
        </w:rPr>
        <w:t xml:space="preserve">ancer </w:t>
      </w:r>
      <w:r>
        <w:rPr>
          <w:rFonts w:eastAsia="Times New Roman" w:cs="Arial"/>
          <w:w w:val="90"/>
          <w:sz w:val="20"/>
          <w:szCs w:val="20"/>
        </w:rPr>
        <w:t>d</w:t>
      </w:r>
      <w:r w:rsidRPr="00572E5C">
        <w:rPr>
          <w:rFonts w:eastAsia="Times New Roman" w:cs="Arial"/>
          <w:w w:val="90"/>
          <w:sz w:val="20"/>
          <w:szCs w:val="20"/>
        </w:rPr>
        <w:t xml:space="preserve">iagnosis: </w:t>
      </w:r>
      <w:r>
        <w:rPr>
          <w:rFonts w:eastAsia="Times New Roman" w:cs="Arial"/>
          <w:w w:val="90"/>
          <w:sz w:val="20"/>
          <w:szCs w:val="20"/>
        </w:rPr>
        <w:t>m</w:t>
      </w:r>
      <w:r w:rsidRPr="00572E5C">
        <w:rPr>
          <w:rFonts w:eastAsia="Times New Roman" w:cs="Arial"/>
          <w:w w:val="90"/>
          <w:sz w:val="20"/>
          <w:szCs w:val="20"/>
        </w:rPr>
        <w:t xml:space="preserve">ortality </w:t>
      </w:r>
      <w:r>
        <w:rPr>
          <w:rFonts w:eastAsia="Times New Roman" w:cs="Arial"/>
          <w:w w:val="90"/>
          <w:sz w:val="20"/>
          <w:szCs w:val="20"/>
        </w:rPr>
        <w:t>f</w:t>
      </w:r>
      <w:r w:rsidRPr="00572E5C">
        <w:rPr>
          <w:rFonts w:eastAsia="Times New Roman" w:cs="Arial"/>
          <w:w w:val="90"/>
          <w:sz w:val="20"/>
          <w:szCs w:val="20"/>
        </w:rPr>
        <w:t xml:space="preserve">rom </w:t>
      </w:r>
      <w:r>
        <w:rPr>
          <w:rFonts w:eastAsia="Times New Roman" w:cs="Arial"/>
          <w:w w:val="90"/>
          <w:sz w:val="20"/>
          <w:szCs w:val="20"/>
        </w:rPr>
        <w:t>b</w:t>
      </w:r>
      <w:r w:rsidRPr="00572E5C">
        <w:rPr>
          <w:rFonts w:eastAsia="Times New Roman" w:cs="Arial"/>
          <w:w w:val="90"/>
          <w:sz w:val="20"/>
          <w:szCs w:val="20"/>
        </w:rPr>
        <w:t xml:space="preserve">reast </w:t>
      </w:r>
      <w:r>
        <w:rPr>
          <w:rFonts w:eastAsia="Times New Roman" w:cs="Arial"/>
          <w:w w:val="90"/>
          <w:sz w:val="20"/>
          <w:szCs w:val="20"/>
        </w:rPr>
        <w:t>c</w:t>
      </w:r>
      <w:r w:rsidRPr="00572E5C">
        <w:rPr>
          <w:rFonts w:eastAsia="Times New Roman" w:cs="Arial"/>
          <w:w w:val="90"/>
          <w:sz w:val="20"/>
          <w:szCs w:val="20"/>
        </w:rPr>
        <w:t xml:space="preserve">ancer and </w:t>
      </w:r>
      <w:r>
        <w:rPr>
          <w:rFonts w:eastAsia="Times New Roman" w:cs="Arial"/>
          <w:w w:val="90"/>
          <w:sz w:val="20"/>
          <w:szCs w:val="20"/>
        </w:rPr>
        <w:t>s</w:t>
      </w:r>
      <w:r w:rsidRPr="00572E5C">
        <w:rPr>
          <w:rFonts w:eastAsia="Times New Roman" w:cs="Arial"/>
          <w:w w:val="90"/>
          <w:sz w:val="20"/>
          <w:szCs w:val="20"/>
        </w:rPr>
        <w:t>moking-</w:t>
      </w:r>
      <w:r>
        <w:rPr>
          <w:rFonts w:eastAsia="Times New Roman" w:cs="Arial"/>
          <w:w w:val="90"/>
          <w:sz w:val="20"/>
          <w:szCs w:val="20"/>
        </w:rPr>
        <w:t>r</w:t>
      </w:r>
      <w:r w:rsidRPr="00572E5C">
        <w:rPr>
          <w:rFonts w:eastAsia="Times New Roman" w:cs="Arial"/>
          <w:w w:val="90"/>
          <w:sz w:val="20"/>
          <w:szCs w:val="20"/>
        </w:rPr>
        <w:t xml:space="preserve">elated </w:t>
      </w:r>
      <w:r>
        <w:rPr>
          <w:rFonts w:eastAsia="Times New Roman" w:cs="Arial"/>
          <w:w w:val="90"/>
          <w:sz w:val="20"/>
          <w:szCs w:val="20"/>
        </w:rPr>
        <w:t>d</w:t>
      </w:r>
      <w:r w:rsidRPr="00572E5C">
        <w:rPr>
          <w:rFonts w:eastAsia="Times New Roman" w:cs="Arial"/>
          <w:w w:val="90"/>
          <w:sz w:val="20"/>
          <w:szCs w:val="20"/>
        </w:rPr>
        <w:t xml:space="preserve">iseases. </w:t>
      </w:r>
      <w:r w:rsidRPr="00572E5C">
        <w:rPr>
          <w:rFonts w:eastAsia="Times New Roman" w:cs="Arial"/>
          <w:i/>
          <w:w w:val="90"/>
          <w:sz w:val="20"/>
          <w:szCs w:val="20"/>
        </w:rPr>
        <w:t>J. Clin. Oncol.</w:t>
      </w:r>
      <w:r w:rsidRPr="00572E5C">
        <w:rPr>
          <w:rFonts w:eastAsia="Times New Roman" w:cs="Arial"/>
          <w:w w:val="90"/>
          <w:sz w:val="20"/>
          <w:szCs w:val="20"/>
        </w:rPr>
        <w:t xml:space="preserve"> 2016;</w:t>
      </w:r>
      <w:r>
        <w:rPr>
          <w:rFonts w:eastAsia="Times New Roman" w:cs="Arial"/>
          <w:w w:val="90"/>
          <w:sz w:val="20"/>
          <w:szCs w:val="20"/>
        </w:rPr>
        <w:t xml:space="preserve"> </w:t>
      </w:r>
      <w:r w:rsidRPr="00572E5C">
        <w:rPr>
          <w:rFonts w:eastAsia="Times New Roman" w:cs="Arial"/>
          <w:w w:val="90"/>
          <w:sz w:val="20"/>
          <w:szCs w:val="20"/>
        </w:rPr>
        <w:t>34:</w:t>
      </w:r>
      <w:r>
        <w:rPr>
          <w:rFonts w:eastAsia="Times New Roman" w:cs="Arial"/>
          <w:w w:val="90"/>
          <w:sz w:val="20"/>
          <w:szCs w:val="20"/>
        </w:rPr>
        <w:t xml:space="preserve"> </w:t>
      </w:r>
      <w:r w:rsidRPr="00572E5C">
        <w:rPr>
          <w:rFonts w:eastAsia="Times New Roman" w:cs="Arial"/>
          <w:w w:val="90"/>
          <w:sz w:val="20"/>
          <w:szCs w:val="20"/>
        </w:rPr>
        <w:t>1315-</w:t>
      </w:r>
      <w:r>
        <w:rPr>
          <w:rFonts w:eastAsia="Times New Roman" w:cs="Arial"/>
          <w:w w:val="90"/>
          <w:sz w:val="20"/>
          <w:szCs w:val="20"/>
        </w:rPr>
        <w:t>13</w:t>
      </w:r>
      <w:r w:rsidRPr="00572E5C">
        <w:rPr>
          <w:rFonts w:eastAsia="Times New Roman" w:cs="Arial"/>
          <w:w w:val="90"/>
          <w:sz w:val="20"/>
          <w:szCs w:val="20"/>
        </w:rPr>
        <w:t>22</w:t>
      </w:r>
      <w:r>
        <w:rPr>
          <w:rFonts w:eastAsia="Times New Roman" w:cs="Arial"/>
          <w:w w:val="90"/>
          <w:sz w:val="20"/>
          <w:szCs w:val="20"/>
        </w:rPr>
        <w:t>.</w:t>
      </w:r>
    </w:p>
    <w:p w:rsidR="006A3D31" w:rsidRPr="00227ADD" w:rsidRDefault="00A71CC5" w:rsidP="000E721D">
      <w:pPr>
        <w:widowControl/>
        <w:numPr>
          <w:ilvl w:val="0"/>
          <w:numId w:val="2"/>
        </w:numPr>
        <w:shd w:val="clear" w:color="auto" w:fill="FFFFFF"/>
        <w:tabs>
          <w:tab w:val="clear" w:pos="360"/>
          <w:tab w:val="left" w:pos="426"/>
          <w:tab w:val="left" w:pos="709"/>
          <w:tab w:val="left" w:pos="851"/>
          <w:tab w:val="num" w:pos="4329"/>
        </w:tabs>
        <w:spacing w:after="0" w:line="240" w:lineRule="auto"/>
        <w:ind w:left="709" w:hanging="567"/>
        <w:jc w:val="both"/>
        <w:rPr>
          <w:rFonts w:eastAsia="Times New Roman" w:cs="Times New Roman"/>
          <w:w w:val="90"/>
          <w:sz w:val="20"/>
          <w:szCs w:val="20"/>
          <w:lang w:val="pl-PL"/>
        </w:rPr>
      </w:pPr>
      <w:hyperlink r:id="rId45" w:history="1">
        <w:r w:rsidR="006A3D31" w:rsidRPr="00E6707C">
          <w:rPr>
            <w:w w:val="90"/>
            <w:sz w:val="20"/>
            <w:szCs w:val="20"/>
            <w:lang w:val="de-DE"/>
          </w:rPr>
          <w:t xml:space="preserve">de Bock G.H., Bonnema J., van der Hage J. i wsp. </w:t>
        </w:r>
        <w:r w:rsidR="006A3D31" w:rsidRPr="00640E2B">
          <w:rPr>
            <w:w w:val="90"/>
            <w:sz w:val="20"/>
            <w:szCs w:val="20"/>
          </w:rPr>
          <w:t xml:space="preserve">Effectiveness of routine visits and routine tests in detecting isolated locoregional recurrences after treatment for early-stage invasive breast cancer: a meta-analysis and systematic review. </w:t>
        </w:r>
        <w:r w:rsidR="006A3D31" w:rsidRPr="00640E2B">
          <w:rPr>
            <w:rFonts w:eastAsia="Times New Roman" w:cs="Times New Roman"/>
            <w:i/>
            <w:w w:val="90"/>
            <w:sz w:val="20"/>
            <w:szCs w:val="20"/>
            <w:lang w:val="pl-PL"/>
          </w:rPr>
          <w:t>J. Clin. Oncol.</w:t>
        </w:r>
        <w:r w:rsidR="006A3D31" w:rsidRPr="00640E2B">
          <w:rPr>
            <w:rFonts w:eastAsia="Times New Roman" w:cs="Times New Roman"/>
            <w:w w:val="90"/>
            <w:sz w:val="20"/>
            <w:szCs w:val="20"/>
            <w:lang w:val="pl-PL"/>
          </w:rPr>
          <w:t xml:space="preserve"> 2004; 22: 4010-4418.</w:t>
        </w:r>
      </w:hyperlink>
    </w:p>
    <w:p w:rsidR="006A3D31" w:rsidRPr="00227ADD" w:rsidRDefault="00A71CC5" w:rsidP="000E721D">
      <w:pPr>
        <w:widowControl/>
        <w:numPr>
          <w:ilvl w:val="0"/>
          <w:numId w:val="2"/>
        </w:numPr>
        <w:shd w:val="clear" w:color="auto" w:fill="FFFFFF"/>
        <w:tabs>
          <w:tab w:val="clear" w:pos="360"/>
          <w:tab w:val="left" w:pos="426"/>
          <w:tab w:val="left" w:pos="709"/>
          <w:tab w:val="left" w:pos="851"/>
          <w:tab w:val="num" w:pos="4329"/>
        </w:tabs>
        <w:spacing w:after="0" w:line="240" w:lineRule="auto"/>
        <w:ind w:left="709" w:right="114" w:hanging="567"/>
        <w:jc w:val="both"/>
        <w:rPr>
          <w:rFonts w:eastAsia="Franklin Gothic Medium"/>
          <w:w w:val="90"/>
          <w:sz w:val="20"/>
          <w:szCs w:val="20"/>
          <w:lang w:val="pl-PL"/>
        </w:rPr>
      </w:pPr>
      <w:hyperlink r:id="rId46" w:history="1">
        <w:r w:rsidR="006A3D31" w:rsidRPr="00640E2B">
          <w:rPr>
            <w:rFonts w:eastAsia="Times New Roman" w:cs="Times New Roman"/>
            <w:w w:val="90"/>
            <w:sz w:val="20"/>
            <w:szCs w:val="20"/>
            <w:lang w:val="pl-PL"/>
          </w:rPr>
          <w:t xml:space="preserve">Montgomery DA, Krupa K, Cooke TG. </w:t>
        </w:r>
        <w:r w:rsidR="006A3D31" w:rsidRPr="00640E2B">
          <w:rPr>
            <w:w w:val="90"/>
            <w:sz w:val="20"/>
            <w:szCs w:val="20"/>
          </w:rPr>
          <w:t xml:space="preserve">Follow-up in breast cancer: does routine clinical examination improve outcome? </w:t>
        </w:r>
        <w:r w:rsidR="006A3D31" w:rsidRPr="00640E2B">
          <w:rPr>
            <w:rFonts w:eastAsia="Times New Roman" w:cs="Times New Roman"/>
            <w:w w:val="90"/>
            <w:sz w:val="20"/>
            <w:szCs w:val="20"/>
            <w:lang w:val="pl-PL"/>
          </w:rPr>
          <w:t xml:space="preserve">A systematic review of the literature. </w:t>
        </w:r>
        <w:r w:rsidR="006A3D31" w:rsidRPr="00640E2B">
          <w:rPr>
            <w:rFonts w:eastAsia="Times New Roman" w:cs="Times New Roman"/>
            <w:i/>
            <w:w w:val="90"/>
            <w:sz w:val="20"/>
            <w:szCs w:val="20"/>
            <w:lang w:val="pl-PL"/>
          </w:rPr>
          <w:t>Br. J. Cancer</w:t>
        </w:r>
        <w:r w:rsidR="006A3D31" w:rsidRPr="00640E2B">
          <w:rPr>
            <w:rFonts w:eastAsia="Times New Roman" w:cs="Times New Roman"/>
            <w:w w:val="90"/>
            <w:sz w:val="20"/>
            <w:szCs w:val="20"/>
            <w:lang w:val="pl-PL"/>
          </w:rPr>
          <w:t xml:space="preserve"> 2007; 97: 1632-1641.</w:t>
        </w:r>
      </w:hyperlink>
    </w:p>
    <w:p w:rsidR="006A3D31" w:rsidRPr="00227ADD" w:rsidRDefault="00A71CC5" w:rsidP="000E721D">
      <w:pPr>
        <w:widowControl/>
        <w:numPr>
          <w:ilvl w:val="0"/>
          <w:numId w:val="2"/>
        </w:numPr>
        <w:shd w:val="clear" w:color="auto" w:fill="FFFFFF"/>
        <w:tabs>
          <w:tab w:val="clear" w:pos="360"/>
          <w:tab w:val="left" w:pos="426"/>
          <w:tab w:val="left" w:pos="709"/>
          <w:tab w:val="left" w:pos="851"/>
          <w:tab w:val="num" w:pos="4329"/>
        </w:tabs>
        <w:spacing w:after="0" w:line="240" w:lineRule="auto"/>
        <w:ind w:left="709" w:right="114" w:hanging="567"/>
        <w:jc w:val="both"/>
        <w:rPr>
          <w:rFonts w:cs="Arial"/>
          <w:w w:val="90"/>
          <w:sz w:val="20"/>
          <w:szCs w:val="20"/>
          <w:lang w:val="pl-PL"/>
        </w:rPr>
      </w:pPr>
      <w:hyperlink r:id="rId47" w:history="1">
        <w:r w:rsidR="006A3D31" w:rsidRPr="00E6707C">
          <w:rPr>
            <w:w w:val="90"/>
            <w:sz w:val="20"/>
            <w:szCs w:val="20"/>
            <w:lang w:val="de-DE"/>
          </w:rPr>
          <w:t xml:space="preserve">Lu W., de Bock G.H., Schaapveld M i wsp. </w:t>
        </w:r>
        <w:r w:rsidR="006A3D31" w:rsidRPr="00640E2B">
          <w:rPr>
            <w:w w:val="90"/>
            <w:sz w:val="20"/>
            <w:szCs w:val="20"/>
          </w:rPr>
          <w:t xml:space="preserve">The value of routine physical examination in the follow up of women with a history of early breast cancer. </w:t>
        </w:r>
        <w:r w:rsidR="006A3D31" w:rsidRPr="00640E2B">
          <w:rPr>
            <w:rFonts w:eastAsia="Times New Roman" w:cs="Times New Roman"/>
            <w:i/>
            <w:w w:val="90"/>
            <w:sz w:val="20"/>
            <w:szCs w:val="20"/>
            <w:lang w:val="pl-PL"/>
          </w:rPr>
          <w:t xml:space="preserve">Eur. J. Cancer </w:t>
        </w:r>
        <w:r w:rsidR="006A3D31" w:rsidRPr="00640E2B">
          <w:rPr>
            <w:rFonts w:eastAsia="Times New Roman" w:cs="Times New Roman"/>
            <w:w w:val="90"/>
            <w:sz w:val="20"/>
            <w:szCs w:val="20"/>
            <w:lang w:val="pl-PL"/>
          </w:rPr>
          <w:t>2011; 47: 676-682.</w:t>
        </w:r>
      </w:hyperlink>
    </w:p>
    <w:p w:rsidR="006A3D31" w:rsidRPr="00227ADD" w:rsidRDefault="00A71CC5" w:rsidP="000E721D">
      <w:pPr>
        <w:widowControl/>
        <w:numPr>
          <w:ilvl w:val="0"/>
          <w:numId w:val="2"/>
        </w:numPr>
        <w:shd w:val="clear" w:color="auto" w:fill="FFFFFF"/>
        <w:tabs>
          <w:tab w:val="clear" w:pos="360"/>
          <w:tab w:val="left" w:pos="426"/>
          <w:tab w:val="left" w:pos="709"/>
          <w:tab w:val="left" w:pos="851"/>
          <w:tab w:val="num" w:pos="4329"/>
        </w:tabs>
        <w:spacing w:after="0" w:line="240" w:lineRule="auto"/>
        <w:ind w:left="709" w:right="114" w:hanging="567"/>
        <w:contextualSpacing/>
        <w:jc w:val="both"/>
        <w:rPr>
          <w:w w:val="90"/>
          <w:sz w:val="20"/>
          <w:szCs w:val="20"/>
          <w:lang w:val="pl-PL"/>
        </w:rPr>
      </w:pPr>
      <w:hyperlink r:id="rId48" w:history="1">
        <w:r w:rsidR="006A3D31" w:rsidRPr="00E6707C">
          <w:rPr>
            <w:w w:val="90"/>
            <w:sz w:val="20"/>
            <w:szCs w:val="20"/>
            <w:lang w:val="pl-PL"/>
          </w:rPr>
          <w:t>Moschetti I</w:t>
        </w:r>
      </w:hyperlink>
      <w:r w:rsidR="006A3D31" w:rsidRPr="00E6707C">
        <w:rPr>
          <w:w w:val="90"/>
          <w:sz w:val="20"/>
          <w:szCs w:val="20"/>
          <w:lang w:val="pl-PL"/>
        </w:rPr>
        <w:t xml:space="preserve">., </w:t>
      </w:r>
      <w:hyperlink r:id="rId49" w:history="1">
        <w:r w:rsidR="006A3D31" w:rsidRPr="00E6707C">
          <w:rPr>
            <w:w w:val="90"/>
            <w:sz w:val="20"/>
            <w:szCs w:val="20"/>
            <w:lang w:val="pl-PL"/>
          </w:rPr>
          <w:t>Cinquini M</w:t>
        </w:r>
      </w:hyperlink>
      <w:r w:rsidR="006A3D31" w:rsidRPr="00E6707C">
        <w:rPr>
          <w:w w:val="90"/>
          <w:sz w:val="20"/>
          <w:szCs w:val="20"/>
          <w:lang w:val="pl-PL"/>
        </w:rPr>
        <w:t xml:space="preserve">., </w:t>
      </w:r>
      <w:hyperlink r:id="rId50" w:history="1">
        <w:r w:rsidR="006A3D31" w:rsidRPr="00E6707C">
          <w:rPr>
            <w:w w:val="90"/>
            <w:sz w:val="20"/>
            <w:szCs w:val="20"/>
            <w:lang w:val="pl-PL"/>
          </w:rPr>
          <w:t>Lambertini M</w:t>
        </w:r>
      </w:hyperlink>
      <w:r w:rsidR="006A3D31" w:rsidRPr="00E6707C">
        <w:rPr>
          <w:w w:val="90"/>
          <w:sz w:val="20"/>
          <w:szCs w:val="20"/>
          <w:lang w:val="pl-PL"/>
        </w:rPr>
        <w:t xml:space="preserve">. i wsp. </w:t>
      </w:r>
      <w:r w:rsidR="006A3D31" w:rsidRPr="00640E2B">
        <w:rPr>
          <w:w w:val="90"/>
          <w:sz w:val="20"/>
          <w:szCs w:val="20"/>
        </w:rPr>
        <w:t>F</w:t>
      </w:r>
      <w:r w:rsidR="006A3D31" w:rsidRPr="00640E2B">
        <w:rPr>
          <w:w w:val="90"/>
          <w:kern w:val="36"/>
          <w:sz w:val="20"/>
          <w:szCs w:val="20"/>
        </w:rPr>
        <w:t xml:space="preserve">ollow-up strategies for women treated for early breast cancer. </w:t>
      </w:r>
      <w:hyperlink r:id="rId51" w:tooltip="The Cochrane database of systematic reviews." w:history="1">
        <w:r w:rsidR="006A3D31" w:rsidRPr="00640E2B">
          <w:rPr>
            <w:rFonts w:cs="Arial"/>
            <w:i/>
            <w:w w:val="90"/>
            <w:sz w:val="20"/>
            <w:szCs w:val="20"/>
            <w:lang w:val="pl-PL"/>
          </w:rPr>
          <w:t>Cochrane Database Syst. Rev.</w:t>
        </w:r>
      </w:hyperlink>
      <w:r w:rsidR="006A3D31" w:rsidRPr="00227ADD">
        <w:rPr>
          <w:rFonts w:cs="Arial"/>
          <w:w w:val="90"/>
          <w:sz w:val="20"/>
          <w:szCs w:val="20"/>
          <w:lang w:val="pl-PL"/>
        </w:rPr>
        <w:t xml:space="preserve"> 2016; 5: CD001768.</w:t>
      </w:r>
    </w:p>
    <w:p w:rsidR="006A3D31" w:rsidRPr="006A47CB" w:rsidRDefault="006A3D31" w:rsidP="000E721D">
      <w:pPr>
        <w:widowControl/>
        <w:numPr>
          <w:ilvl w:val="0"/>
          <w:numId w:val="2"/>
        </w:numPr>
        <w:shd w:val="clear" w:color="auto" w:fill="FFFFFF"/>
        <w:tabs>
          <w:tab w:val="clear" w:pos="360"/>
          <w:tab w:val="left" w:pos="426"/>
          <w:tab w:val="left" w:pos="709"/>
          <w:tab w:val="left" w:pos="851"/>
          <w:tab w:val="num" w:pos="4329"/>
        </w:tabs>
        <w:spacing w:after="0" w:line="240" w:lineRule="auto"/>
        <w:ind w:left="709" w:right="114" w:hanging="567"/>
        <w:contextualSpacing/>
        <w:jc w:val="both"/>
        <w:rPr>
          <w:w w:val="90"/>
          <w:sz w:val="20"/>
          <w:szCs w:val="20"/>
          <w:lang w:val="pl-PL"/>
        </w:rPr>
      </w:pPr>
      <w:r w:rsidRPr="00227ADD">
        <w:rPr>
          <w:rFonts w:cs="Arial"/>
          <w:w w:val="90"/>
          <w:sz w:val="20"/>
          <w:szCs w:val="20"/>
          <w:lang w:val="pl-PL"/>
        </w:rPr>
        <w:t>Jassem J, Duchnowska R., Kawecki A. i wsp.</w:t>
      </w:r>
      <w:r w:rsidRPr="00227ADD">
        <w:rPr>
          <w:rFonts w:cs="Myriad Pro"/>
          <w:w w:val="90"/>
          <w:sz w:val="20"/>
          <w:szCs w:val="20"/>
          <w:lang w:val="pl-PL"/>
        </w:rPr>
        <w:t xml:space="preserve"> </w:t>
      </w:r>
      <w:r w:rsidRPr="009D6B8A">
        <w:rPr>
          <w:rFonts w:cs="Myriad Pro"/>
          <w:bCs/>
          <w:w w:val="90"/>
          <w:sz w:val="20"/>
          <w:szCs w:val="20"/>
          <w:lang w:val="pl-PL"/>
        </w:rPr>
        <w:t>Badania kontrolne po leczeniu w najczęstszych nowotworach litych u dorosłych.</w:t>
      </w:r>
      <w:r w:rsidRPr="00E763C7">
        <w:rPr>
          <w:rFonts w:cs="Myriad Pro"/>
          <w:w w:val="90"/>
          <w:sz w:val="20"/>
          <w:szCs w:val="20"/>
          <w:lang w:val="pl-PL"/>
        </w:rPr>
        <w:t xml:space="preserve"> </w:t>
      </w:r>
      <w:r w:rsidRPr="00640E2B">
        <w:rPr>
          <w:rFonts w:cs="Myriad Pro"/>
          <w:i/>
          <w:w w:val="90"/>
          <w:sz w:val="20"/>
          <w:szCs w:val="20"/>
          <w:lang w:val="pl-PL"/>
        </w:rPr>
        <w:t>Nowotwory J. Oncol.</w:t>
      </w:r>
      <w:r w:rsidRPr="00640E2B">
        <w:rPr>
          <w:rFonts w:cs="Myriad Pro"/>
          <w:w w:val="90"/>
          <w:sz w:val="20"/>
          <w:szCs w:val="20"/>
          <w:lang w:val="pl-PL"/>
        </w:rPr>
        <w:t xml:space="preserve"> 2014; 64: 415–435.</w:t>
      </w:r>
      <w:r w:rsidRPr="00640E2B">
        <w:rPr>
          <w:rFonts w:cs="Myriad Pro"/>
          <w:bCs/>
          <w:w w:val="90"/>
          <w:sz w:val="20"/>
          <w:szCs w:val="20"/>
          <w:lang w:val="pl-PL"/>
        </w:rPr>
        <w:t xml:space="preserve"> </w:t>
      </w:r>
    </w:p>
    <w:p w:rsidR="006A47CB" w:rsidRPr="006A47CB" w:rsidRDefault="006A47CB" w:rsidP="000E721D">
      <w:pPr>
        <w:widowControl/>
        <w:numPr>
          <w:ilvl w:val="0"/>
          <w:numId w:val="2"/>
        </w:numPr>
        <w:shd w:val="clear" w:color="auto" w:fill="FFFFFF"/>
        <w:tabs>
          <w:tab w:val="clear" w:pos="360"/>
          <w:tab w:val="left" w:pos="709"/>
          <w:tab w:val="num" w:pos="851"/>
        </w:tabs>
        <w:spacing w:after="0" w:line="240" w:lineRule="auto"/>
        <w:ind w:left="709" w:right="114" w:hanging="567"/>
        <w:contextualSpacing/>
        <w:jc w:val="both"/>
        <w:rPr>
          <w:w w:val="90"/>
          <w:sz w:val="20"/>
          <w:szCs w:val="20"/>
          <w:lang w:val="pl-PL"/>
        </w:rPr>
      </w:pPr>
      <w:r w:rsidRPr="00E6707C">
        <w:rPr>
          <w:w w:val="90"/>
          <w:sz w:val="20"/>
          <w:szCs w:val="20"/>
          <w:lang w:val="es-ES"/>
        </w:rPr>
        <w:t xml:space="preserve">Rosselli Del Turco M., Palli D. i wsp. </w:t>
      </w:r>
      <w:r w:rsidRPr="006A47CB">
        <w:rPr>
          <w:w w:val="90"/>
          <w:sz w:val="20"/>
          <w:szCs w:val="20"/>
        </w:rPr>
        <w:t xml:space="preserve">Intensive diagnostic follow-up after treatment of primary breast cancer. A randomized trial. National Research Council Project on Breast Cancer follow-up. </w:t>
      </w:r>
      <w:r w:rsidRPr="006A47CB">
        <w:rPr>
          <w:i/>
          <w:w w:val="90"/>
          <w:sz w:val="20"/>
          <w:szCs w:val="20"/>
          <w:lang w:val="pl-PL"/>
        </w:rPr>
        <w:t>JAMA</w:t>
      </w:r>
      <w:r w:rsidRPr="006A47CB">
        <w:rPr>
          <w:w w:val="90"/>
          <w:sz w:val="20"/>
          <w:szCs w:val="20"/>
          <w:lang w:val="pl-PL"/>
        </w:rPr>
        <w:t xml:space="preserve"> 1994; 271: 1593-1597.</w:t>
      </w:r>
    </w:p>
    <w:p w:rsidR="00A241DA" w:rsidRPr="002E0604" w:rsidRDefault="006A47CB" w:rsidP="000E721D">
      <w:pPr>
        <w:widowControl/>
        <w:numPr>
          <w:ilvl w:val="0"/>
          <w:numId w:val="2"/>
        </w:numPr>
        <w:shd w:val="clear" w:color="auto" w:fill="FFFFFF"/>
        <w:tabs>
          <w:tab w:val="clear" w:pos="360"/>
          <w:tab w:val="left" w:pos="709"/>
          <w:tab w:val="num" w:pos="851"/>
        </w:tabs>
        <w:spacing w:after="0" w:line="240" w:lineRule="auto"/>
        <w:ind w:left="709" w:right="114" w:hanging="567"/>
        <w:contextualSpacing/>
        <w:jc w:val="both"/>
        <w:rPr>
          <w:sz w:val="28"/>
          <w:szCs w:val="28"/>
          <w:lang w:val="pl-PL"/>
        </w:rPr>
      </w:pPr>
      <w:r w:rsidRPr="002E0604">
        <w:rPr>
          <w:w w:val="90"/>
          <w:sz w:val="20"/>
          <w:szCs w:val="20"/>
        </w:rPr>
        <w:t xml:space="preserve">The GIVIO Investigators. Impact of follow-up testing on survival and health-related quality of life in breast cancer patients. </w:t>
      </w:r>
      <w:r w:rsidRPr="002E0604">
        <w:rPr>
          <w:w w:val="90"/>
          <w:sz w:val="20"/>
          <w:szCs w:val="20"/>
          <w:lang w:val="pl-PL"/>
        </w:rPr>
        <w:t xml:space="preserve">A multicenter randomized controlled trial. </w:t>
      </w:r>
      <w:r w:rsidRPr="002E0604">
        <w:rPr>
          <w:i/>
          <w:w w:val="90"/>
          <w:sz w:val="20"/>
          <w:szCs w:val="20"/>
          <w:lang w:val="pl-PL"/>
        </w:rPr>
        <w:t>JAMA</w:t>
      </w:r>
      <w:r w:rsidRPr="002E0604">
        <w:rPr>
          <w:w w:val="90"/>
          <w:sz w:val="20"/>
          <w:szCs w:val="20"/>
          <w:lang w:val="pl-PL"/>
        </w:rPr>
        <w:t xml:space="preserve"> 1994; 271: 1587-1592.</w:t>
      </w:r>
    </w:p>
    <w:p w:rsidR="00AD590C" w:rsidRDefault="00AD590C" w:rsidP="003603B3">
      <w:pPr>
        <w:spacing w:after="0" w:line="240" w:lineRule="auto"/>
        <w:rPr>
          <w:lang w:val="pl-PL"/>
        </w:rPr>
      </w:pPr>
    </w:p>
    <w:p w:rsidR="002E0604" w:rsidRDefault="002E0604" w:rsidP="00E82B30">
      <w:pPr>
        <w:rPr>
          <w:lang w:val="pl-PL"/>
        </w:rPr>
      </w:pPr>
    </w:p>
    <w:p w:rsidR="00C76B5E" w:rsidRPr="00F463B2" w:rsidRDefault="00C76B5E" w:rsidP="00E82B30">
      <w:pPr>
        <w:rPr>
          <w:rFonts w:ascii="Arial" w:eastAsia="Arial" w:hAnsi="Arial" w:cs="Arial"/>
          <w:sz w:val="23"/>
          <w:szCs w:val="23"/>
          <w:lang w:val="pl-PL"/>
        </w:rPr>
      </w:pPr>
    </w:p>
    <w:sectPr w:rsidR="00C76B5E" w:rsidRPr="00F463B2" w:rsidSect="00585F5C">
      <w:headerReference w:type="even" r:id="rId52"/>
      <w:headerReference w:type="default" r:id="rId53"/>
      <w:headerReference w:type="first" r:id="rId5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CC5" w:rsidRDefault="00A71CC5">
      <w:pPr>
        <w:spacing w:after="0" w:line="240" w:lineRule="auto"/>
      </w:pPr>
      <w:r>
        <w:separator/>
      </w:r>
    </w:p>
  </w:endnote>
  <w:endnote w:type="continuationSeparator" w:id="0">
    <w:p w:rsidR="00A71CC5" w:rsidRDefault="00A71CC5">
      <w:pPr>
        <w:spacing w:after="0" w:line="240" w:lineRule="auto"/>
      </w:pPr>
      <w:r>
        <w:continuationSeparator/>
      </w:r>
    </w:p>
  </w:endnote>
  <w:endnote w:type="continuationNotice" w:id="1">
    <w:p w:rsidR="00A71CC5" w:rsidRDefault="00A71C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-Ibis EE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wis721P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nst777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FrankfurtGothic">
    <w:altName w:val="Arial"/>
    <w:panose1 w:val="00000000000000000000"/>
    <w:charset w:val="00"/>
    <w:family w:val="modern"/>
    <w:notTrueType/>
    <w:pitch w:val="variable"/>
    <w:sig w:usb0="00000003" w:usb1="00000048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rankRuehl">
    <w:altName w:val="Times New Roman"/>
    <w:charset w:val="B1"/>
    <w:family w:val="swiss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dvOT863180f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44A44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EED" w:rsidRDefault="00E16EE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627F2" w:rsidRPr="00E627F2">
      <w:rPr>
        <w:noProof/>
        <w:lang w:val="pl-PL"/>
      </w:rPr>
      <w:t>4</w:t>
    </w:r>
    <w:r>
      <w:fldChar w:fldCharType="end"/>
    </w:r>
  </w:p>
  <w:p w:rsidR="00E16EED" w:rsidRDefault="00E16E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3F7" w:rsidRDefault="00AC43F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627F2" w:rsidRPr="00E627F2">
      <w:rPr>
        <w:noProof/>
        <w:lang w:val="pl-PL"/>
      </w:rPr>
      <w:t>5</w:t>
    </w:r>
    <w:r>
      <w:fldChar w:fldCharType="end"/>
    </w:r>
  </w:p>
  <w:p w:rsidR="00AC43F7" w:rsidRDefault="00AC43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CC5" w:rsidRDefault="00A71CC5">
      <w:pPr>
        <w:spacing w:after="0" w:line="240" w:lineRule="auto"/>
      </w:pPr>
      <w:r>
        <w:separator/>
      </w:r>
    </w:p>
  </w:footnote>
  <w:footnote w:type="continuationSeparator" w:id="0">
    <w:p w:rsidR="00A71CC5" w:rsidRDefault="00A71CC5">
      <w:pPr>
        <w:spacing w:after="0" w:line="240" w:lineRule="auto"/>
      </w:pPr>
      <w:r>
        <w:continuationSeparator/>
      </w:r>
    </w:p>
  </w:footnote>
  <w:footnote w:type="continuationNotice" w:id="1">
    <w:p w:rsidR="00A71CC5" w:rsidRDefault="00A71CC5">
      <w:pPr>
        <w:spacing w:after="0" w:line="240" w:lineRule="auto"/>
      </w:pPr>
    </w:p>
  </w:footnote>
  <w:footnote w:id="2">
    <w:p w:rsidR="00E627F2" w:rsidRDefault="00E627F2" w:rsidP="00E627F2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rPr>
          <w:vertAlign w:val="superscript"/>
        </w:rPr>
        <w:tab/>
      </w:r>
      <w:r>
        <w:t xml:space="preserve">Minister Zdrowia </w:t>
      </w:r>
      <w:r w:rsidRPr="0084549D">
        <w:t xml:space="preserve">kieruje działem administracji rządowej </w:t>
      </w:r>
      <w:r>
        <w:t>-</w:t>
      </w:r>
      <w:r w:rsidRPr="0084549D">
        <w:t xml:space="preserve"> </w:t>
      </w:r>
      <w:r w:rsidRPr="003B26E0">
        <w:t xml:space="preserve">zdrowie, na podstawie § 1 ust. 2 rozporządzenia </w:t>
      </w:r>
      <w:r>
        <w:t>Prezesa Rady Ministrów z dnia 10</w:t>
      </w:r>
      <w:r w:rsidRPr="003B26E0">
        <w:t xml:space="preserve"> </w:t>
      </w:r>
      <w:r>
        <w:t xml:space="preserve">stycznia </w:t>
      </w:r>
      <w:r w:rsidRPr="003B26E0">
        <w:t>201</w:t>
      </w:r>
      <w:r>
        <w:t>8</w:t>
      </w:r>
      <w:r w:rsidRPr="003B26E0">
        <w:t xml:space="preserve"> r. w sprawie szczegółowego zakresu działania Mi</w:t>
      </w:r>
      <w:r>
        <w:t>nistra Zdrowia (Dz. U. poz. 95</w:t>
      </w:r>
      <w:r w:rsidRPr="003B26E0">
        <w:t>).</w:t>
      </w:r>
    </w:p>
  </w:footnote>
  <w:footnote w:id="3">
    <w:p w:rsidR="00E627F2" w:rsidRDefault="00E627F2" w:rsidP="00E627F2">
      <w:pPr>
        <w:pStyle w:val="ODNONIKtreodnonika"/>
      </w:pPr>
      <w:r>
        <w:rPr>
          <w:rStyle w:val="Odwoanieprzypisudolnego"/>
        </w:rPr>
        <w:t>2)</w:t>
      </w:r>
      <w:r>
        <w:t xml:space="preserve">   Zmiany tekstu jednolitego wymienionej ustawy zostały ogłoszone w Dz. U. z 2017 r. poz. </w:t>
      </w:r>
      <w:r w:rsidRPr="00FB657A">
        <w:t>2110, 2217, 2361 i</w:t>
      </w:r>
      <w:r>
        <w:t xml:space="preserve"> 2434 oraz z 2018 r. poz. 107, </w:t>
      </w:r>
      <w:r w:rsidRPr="00FB657A">
        <w:t>138</w:t>
      </w:r>
      <w:r>
        <w:t xml:space="preserve">, 650, 697, 730, </w:t>
      </w:r>
      <w:r w:rsidRPr="001717D9">
        <w:t>771</w:t>
      </w:r>
      <w:r>
        <w:t>,</w:t>
      </w:r>
      <w:r w:rsidRPr="001717D9">
        <w:t xml:space="preserve"> 858</w:t>
      </w:r>
      <w:r>
        <w:t>, 912 i 932.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EED" w:rsidRDefault="00E16E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EED" w:rsidRDefault="00E16EE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EED" w:rsidRDefault="00E16E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67EB"/>
      </v:shape>
    </w:pict>
  </w:numPicBullet>
  <w:abstractNum w:abstractNumId="0" w15:restartNumberingAfterBreak="0">
    <w:nsid w:val="00696E11"/>
    <w:multiLevelType w:val="hybridMultilevel"/>
    <w:tmpl w:val="C64CE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970E0"/>
    <w:multiLevelType w:val="hybridMultilevel"/>
    <w:tmpl w:val="02E0A4BC"/>
    <w:lvl w:ilvl="0" w:tplc="341A4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396E"/>
    <w:multiLevelType w:val="hybridMultilevel"/>
    <w:tmpl w:val="E19CD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C403C"/>
    <w:multiLevelType w:val="hybridMultilevel"/>
    <w:tmpl w:val="E130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084B"/>
    <w:multiLevelType w:val="hybridMultilevel"/>
    <w:tmpl w:val="97A4E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D30A8"/>
    <w:multiLevelType w:val="hybridMultilevel"/>
    <w:tmpl w:val="62FE3138"/>
    <w:lvl w:ilvl="0" w:tplc="53D48478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969DF"/>
    <w:multiLevelType w:val="hybridMultilevel"/>
    <w:tmpl w:val="A0A8D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E08BA"/>
    <w:multiLevelType w:val="hybridMultilevel"/>
    <w:tmpl w:val="DB5CE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C0E04"/>
    <w:multiLevelType w:val="hybridMultilevel"/>
    <w:tmpl w:val="BAE80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377B3"/>
    <w:multiLevelType w:val="hybridMultilevel"/>
    <w:tmpl w:val="DB6EC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F5377"/>
    <w:multiLevelType w:val="hybridMultilevel"/>
    <w:tmpl w:val="A9860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207A9"/>
    <w:multiLevelType w:val="hybridMultilevel"/>
    <w:tmpl w:val="0FB84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D03"/>
    <w:multiLevelType w:val="hybridMultilevel"/>
    <w:tmpl w:val="30746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2FB6"/>
    <w:multiLevelType w:val="hybridMultilevel"/>
    <w:tmpl w:val="A3187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F159B"/>
    <w:multiLevelType w:val="hybridMultilevel"/>
    <w:tmpl w:val="5E347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25D91"/>
    <w:multiLevelType w:val="hybridMultilevel"/>
    <w:tmpl w:val="8EB8B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54AC0"/>
    <w:multiLevelType w:val="hybridMultilevel"/>
    <w:tmpl w:val="EBFA6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B69E3"/>
    <w:multiLevelType w:val="hybridMultilevel"/>
    <w:tmpl w:val="CB4A5E5E"/>
    <w:lvl w:ilvl="0" w:tplc="04150001">
      <w:start w:val="1"/>
      <w:numFmt w:val="bullet"/>
      <w:lvlText w:val=""/>
      <w:lvlJc w:val="left"/>
      <w:pPr>
        <w:ind w:left="12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890" w:hanging="360"/>
      </w:pPr>
      <w:rPr>
        <w:rFonts w:ascii="Wingdings" w:hAnsi="Wingdings" w:hint="default"/>
      </w:rPr>
    </w:lvl>
  </w:abstractNum>
  <w:abstractNum w:abstractNumId="18" w15:restartNumberingAfterBreak="0">
    <w:nsid w:val="32FE7F6B"/>
    <w:multiLevelType w:val="hybridMultilevel"/>
    <w:tmpl w:val="0E48219E"/>
    <w:lvl w:ilvl="0" w:tplc="C3E6FE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83156C"/>
    <w:multiLevelType w:val="hybridMultilevel"/>
    <w:tmpl w:val="06D8E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16B05"/>
    <w:multiLevelType w:val="hybridMultilevel"/>
    <w:tmpl w:val="BD0CE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F1511"/>
    <w:multiLevelType w:val="hybridMultilevel"/>
    <w:tmpl w:val="B7306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70D5D"/>
    <w:multiLevelType w:val="hybridMultilevel"/>
    <w:tmpl w:val="72DA8FCE"/>
    <w:lvl w:ilvl="0" w:tplc="C3E6FEC4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3" w15:restartNumberingAfterBreak="0">
    <w:nsid w:val="3BEE6B09"/>
    <w:multiLevelType w:val="hybridMultilevel"/>
    <w:tmpl w:val="2FF65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A68A4"/>
    <w:multiLevelType w:val="hybridMultilevel"/>
    <w:tmpl w:val="77E03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838F6"/>
    <w:multiLevelType w:val="hybridMultilevel"/>
    <w:tmpl w:val="0D16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A582B"/>
    <w:multiLevelType w:val="hybridMultilevel"/>
    <w:tmpl w:val="5EF2C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F60D3"/>
    <w:multiLevelType w:val="hybridMultilevel"/>
    <w:tmpl w:val="885CC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9B7B3F"/>
    <w:multiLevelType w:val="hybridMultilevel"/>
    <w:tmpl w:val="F2180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A100C"/>
    <w:multiLevelType w:val="hybridMultilevel"/>
    <w:tmpl w:val="95D23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B16C7"/>
    <w:multiLevelType w:val="hybridMultilevel"/>
    <w:tmpl w:val="1D627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E3114"/>
    <w:multiLevelType w:val="hybridMultilevel"/>
    <w:tmpl w:val="FF005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C42A9"/>
    <w:multiLevelType w:val="hybridMultilevel"/>
    <w:tmpl w:val="FE4E8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177391"/>
    <w:multiLevelType w:val="hybridMultilevel"/>
    <w:tmpl w:val="84423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F61D6"/>
    <w:multiLevelType w:val="hybridMultilevel"/>
    <w:tmpl w:val="549E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706CC"/>
    <w:multiLevelType w:val="hybridMultilevel"/>
    <w:tmpl w:val="E4948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B31D6"/>
    <w:multiLevelType w:val="hybridMultilevel"/>
    <w:tmpl w:val="50044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55512"/>
    <w:multiLevelType w:val="hybridMultilevel"/>
    <w:tmpl w:val="C4488A92"/>
    <w:lvl w:ilvl="0" w:tplc="C3E6FE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3C1C99"/>
    <w:multiLevelType w:val="hybridMultilevel"/>
    <w:tmpl w:val="BA780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23E73"/>
    <w:multiLevelType w:val="hybridMultilevel"/>
    <w:tmpl w:val="0E0EA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F73D7"/>
    <w:multiLevelType w:val="hybridMultilevel"/>
    <w:tmpl w:val="331E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A13AF"/>
    <w:multiLevelType w:val="hybridMultilevel"/>
    <w:tmpl w:val="BEDA4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121D0"/>
    <w:multiLevelType w:val="hybridMultilevel"/>
    <w:tmpl w:val="13643492"/>
    <w:lvl w:ilvl="0" w:tplc="42C03A72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hint="default"/>
        <w:b w:val="0"/>
        <w:sz w:val="20"/>
        <w:szCs w:val="2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022F2"/>
    <w:multiLevelType w:val="hybridMultilevel"/>
    <w:tmpl w:val="D2F0BFE8"/>
    <w:lvl w:ilvl="0" w:tplc="341A4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A12630"/>
    <w:multiLevelType w:val="hybridMultilevel"/>
    <w:tmpl w:val="8A489468"/>
    <w:lvl w:ilvl="0" w:tplc="341A4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5"/>
  </w:num>
  <w:num w:numId="3">
    <w:abstractNumId w:val="17"/>
  </w:num>
  <w:num w:numId="4">
    <w:abstractNumId w:val="22"/>
  </w:num>
  <w:num w:numId="5">
    <w:abstractNumId w:val="25"/>
  </w:num>
  <w:num w:numId="6">
    <w:abstractNumId w:val="34"/>
  </w:num>
  <w:num w:numId="7">
    <w:abstractNumId w:val="1"/>
  </w:num>
  <w:num w:numId="8">
    <w:abstractNumId w:val="26"/>
  </w:num>
  <w:num w:numId="9">
    <w:abstractNumId w:val="13"/>
  </w:num>
  <w:num w:numId="10">
    <w:abstractNumId w:val="43"/>
  </w:num>
  <w:num w:numId="11">
    <w:abstractNumId w:val="44"/>
  </w:num>
  <w:num w:numId="12">
    <w:abstractNumId w:val="12"/>
  </w:num>
  <w:num w:numId="13">
    <w:abstractNumId w:val="14"/>
  </w:num>
  <w:num w:numId="14">
    <w:abstractNumId w:val="11"/>
  </w:num>
  <w:num w:numId="15">
    <w:abstractNumId w:val="3"/>
  </w:num>
  <w:num w:numId="16">
    <w:abstractNumId w:val="39"/>
  </w:num>
  <w:num w:numId="17">
    <w:abstractNumId w:val="8"/>
  </w:num>
  <w:num w:numId="18">
    <w:abstractNumId w:val="33"/>
  </w:num>
  <w:num w:numId="19">
    <w:abstractNumId w:val="7"/>
  </w:num>
  <w:num w:numId="20">
    <w:abstractNumId w:val="15"/>
  </w:num>
  <w:num w:numId="21">
    <w:abstractNumId w:val="10"/>
  </w:num>
  <w:num w:numId="22">
    <w:abstractNumId w:val="28"/>
  </w:num>
  <w:num w:numId="23">
    <w:abstractNumId w:val="2"/>
  </w:num>
  <w:num w:numId="24">
    <w:abstractNumId w:val="16"/>
  </w:num>
  <w:num w:numId="25">
    <w:abstractNumId w:val="40"/>
  </w:num>
  <w:num w:numId="26">
    <w:abstractNumId w:val="29"/>
  </w:num>
  <w:num w:numId="27">
    <w:abstractNumId w:val="0"/>
  </w:num>
  <w:num w:numId="28">
    <w:abstractNumId w:val="36"/>
  </w:num>
  <w:num w:numId="29">
    <w:abstractNumId w:val="21"/>
  </w:num>
  <w:num w:numId="30">
    <w:abstractNumId w:val="23"/>
  </w:num>
  <w:num w:numId="31">
    <w:abstractNumId w:val="38"/>
  </w:num>
  <w:num w:numId="32">
    <w:abstractNumId w:val="6"/>
  </w:num>
  <w:num w:numId="33">
    <w:abstractNumId w:val="30"/>
  </w:num>
  <w:num w:numId="34">
    <w:abstractNumId w:val="9"/>
  </w:num>
  <w:num w:numId="35">
    <w:abstractNumId w:val="24"/>
  </w:num>
  <w:num w:numId="36">
    <w:abstractNumId w:val="19"/>
  </w:num>
  <w:num w:numId="37">
    <w:abstractNumId w:val="41"/>
  </w:num>
  <w:num w:numId="38">
    <w:abstractNumId w:val="4"/>
  </w:num>
  <w:num w:numId="39">
    <w:abstractNumId w:val="27"/>
  </w:num>
  <w:num w:numId="40">
    <w:abstractNumId w:val="32"/>
  </w:num>
  <w:num w:numId="41">
    <w:abstractNumId w:val="18"/>
  </w:num>
  <w:num w:numId="42">
    <w:abstractNumId w:val="31"/>
  </w:num>
  <w:num w:numId="43">
    <w:abstractNumId w:val="35"/>
  </w:num>
  <w:num w:numId="44">
    <w:abstractNumId w:val="37"/>
  </w:num>
  <w:num w:numId="45">
    <w:abstractNumId w:val="2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evenAndOddHeaders/>
  <w:drawingGridHorizontalSpacing w:val="20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84"/>
    <w:rsid w:val="00001D08"/>
    <w:rsid w:val="00002FA3"/>
    <w:rsid w:val="00005C22"/>
    <w:rsid w:val="000070BB"/>
    <w:rsid w:val="00011908"/>
    <w:rsid w:val="00011F08"/>
    <w:rsid w:val="0001229C"/>
    <w:rsid w:val="00013193"/>
    <w:rsid w:val="000138F6"/>
    <w:rsid w:val="00014E85"/>
    <w:rsid w:val="0001501A"/>
    <w:rsid w:val="000157C3"/>
    <w:rsid w:val="00016178"/>
    <w:rsid w:val="0001630D"/>
    <w:rsid w:val="00016470"/>
    <w:rsid w:val="00016A3C"/>
    <w:rsid w:val="0002002A"/>
    <w:rsid w:val="00020297"/>
    <w:rsid w:val="0002059E"/>
    <w:rsid w:val="00020780"/>
    <w:rsid w:val="00021ED3"/>
    <w:rsid w:val="00022FC3"/>
    <w:rsid w:val="000237C3"/>
    <w:rsid w:val="00024385"/>
    <w:rsid w:val="00026186"/>
    <w:rsid w:val="000304E8"/>
    <w:rsid w:val="000315A4"/>
    <w:rsid w:val="000320E3"/>
    <w:rsid w:val="00032A69"/>
    <w:rsid w:val="00032F6A"/>
    <w:rsid w:val="000362DC"/>
    <w:rsid w:val="00036334"/>
    <w:rsid w:val="00036B18"/>
    <w:rsid w:val="00041218"/>
    <w:rsid w:val="00041CA8"/>
    <w:rsid w:val="00042671"/>
    <w:rsid w:val="0004512D"/>
    <w:rsid w:val="0004529D"/>
    <w:rsid w:val="000458E1"/>
    <w:rsid w:val="000459A4"/>
    <w:rsid w:val="00045A5C"/>
    <w:rsid w:val="00046569"/>
    <w:rsid w:val="000469EB"/>
    <w:rsid w:val="00050F13"/>
    <w:rsid w:val="00051CD5"/>
    <w:rsid w:val="000527E9"/>
    <w:rsid w:val="0005377D"/>
    <w:rsid w:val="00054B82"/>
    <w:rsid w:val="00055C1A"/>
    <w:rsid w:val="00055F08"/>
    <w:rsid w:val="000566F0"/>
    <w:rsid w:val="000567ED"/>
    <w:rsid w:val="00060457"/>
    <w:rsid w:val="00061524"/>
    <w:rsid w:val="0006186F"/>
    <w:rsid w:val="00062EE6"/>
    <w:rsid w:val="00064CC8"/>
    <w:rsid w:val="00066097"/>
    <w:rsid w:val="00066DDF"/>
    <w:rsid w:val="00067297"/>
    <w:rsid w:val="00067D23"/>
    <w:rsid w:val="0007076A"/>
    <w:rsid w:val="00070C47"/>
    <w:rsid w:val="0007333F"/>
    <w:rsid w:val="00073348"/>
    <w:rsid w:val="000739BA"/>
    <w:rsid w:val="00073B35"/>
    <w:rsid w:val="000744D7"/>
    <w:rsid w:val="000745FF"/>
    <w:rsid w:val="00074842"/>
    <w:rsid w:val="000753B2"/>
    <w:rsid w:val="000770B8"/>
    <w:rsid w:val="00080964"/>
    <w:rsid w:val="00081993"/>
    <w:rsid w:val="00082299"/>
    <w:rsid w:val="00082C0D"/>
    <w:rsid w:val="00083059"/>
    <w:rsid w:val="0008346F"/>
    <w:rsid w:val="00083501"/>
    <w:rsid w:val="00083983"/>
    <w:rsid w:val="00086370"/>
    <w:rsid w:val="0008678D"/>
    <w:rsid w:val="00087638"/>
    <w:rsid w:val="0008788A"/>
    <w:rsid w:val="00087A80"/>
    <w:rsid w:val="00087EA7"/>
    <w:rsid w:val="0009003F"/>
    <w:rsid w:val="000909D2"/>
    <w:rsid w:val="0009206A"/>
    <w:rsid w:val="00092685"/>
    <w:rsid w:val="000938FB"/>
    <w:rsid w:val="00094A92"/>
    <w:rsid w:val="00095947"/>
    <w:rsid w:val="00096101"/>
    <w:rsid w:val="000969FA"/>
    <w:rsid w:val="00096C85"/>
    <w:rsid w:val="00096E4B"/>
    <w:rsid w:val="000976A2"/>
    <w:rsid w:val="000A1B36"/>
    <w:rsid w:val="000A21CE"/>
    <w:rsid w:val="000A28FD"/>
    <w:rsid w:val="000A4404"/>
    <w:rsid w:val="000B020B"/>
    <w:rsid w:val="000B27BE"/>
    <w:rsid w:val="000B33BD"/>
    <w:rsid w:val="000B389F"/>
    <w:rsid w:val="000B4ED1"/>
    <w:rsid w:val="000B577A"/>
    <w:rsid w:val="000B616C"/>
    <w:rsid w:val="000B6606"/>
    <w:rsid w:val="000B7A85"/>
    <w:rsid w:val="000B7BD4"/>
    <w:rsid w:val="000C089F"/>
    <w:rsid w:val="000C2FC4"/>
    <w:rsid w:val="000C39C2"/>
    <w:rsid w:val="000C49C7"/>
    <w:rsid w:val="000C6057"/>
    <w:rsid w:val="000C6072"/>
    <w:rsid w:val="000C7B19"/>
    <w:rsid w:val="000D0282"/>
    <w:rsid w:val="000D0834"/>
    <w:rsid w:val="000D1858"/>
    <w:rsid w:val="000D210E"/>
    <w:rsid w:val="000D240D"/>
    <w:rsid w:val="000D3E77"/>
    <w:rsid w:val="000D4F07"/>
    <w:rsid w:val="000D51E9"/>
    <w:rsid w:val="000D6383"/>
    <w:rsid w:val="000D71F4"/>
    <w:rsid w:val="000D78B3"/>
    <w:rsid w:val="000E0094"/>
    <w:rsid w:val="000E16EA"/>
    <w:rsid w:val="000E1E16"/>
    <w:rsid w:val="000E23B4"/>
    <w:rsid w:val="000E3D41"/>
    <w:rsid w:val="000E42B4"/>
    <w:rsid w:val="000E4377"/>
    <w:rsid w:val="000E44A7"/>
    <w:rsid w:val="000E486A"/>
    <w:rsid w:val="000E4F5C"/>
    <w:rsid w:val="000E500B"/>
    <w:rsid w:val="000E652B"/>
    <w:rsid w:val="000E7186"/>
    <w:rsid w:val="000E721D"/>
    <w:rsid w:val="000F0333"/>
    <w:rsid w:val="000F087F"/>
    <w:rsid w:val="000F17CC"/>
    <w:rsid w:val="000F234C"/>
    <w:rsid w:val="000F2B45"/>
    <w:rsid w:val="000F34A0"/>
    <w:rsid w:val="000F4483"/>
    <w:rsid w:val="000F5853"/>
    <w:rsid w:val="000F640F"/>
    <w:rsid w:val="000F6499"/>
    <w:rsid w:val="000F70FC"/>
    <w:rsid w:val="000F7C8A"/>
    <w:rsid w:val="00102736"/>
    <w:rsid w:val="00102B6F"/>
    <w:rsid w:val="00103023"/>
    <w:rsid w:val="001034E6"/>
    <w:rsid w:val="00103D09"/>
    <w:rsid w:val="00104487"/>
    <w:rsid w:val="001051F8"/>
    <w:rsid w:val="00105C03"/>
    <w:rsid w:val="00106855"/>
    <w:rsid w:val="0010693A"/>
    <w:rsid w:val="00110887"/>
    <w:rsid w:val="00111669"/>
    <w:rsid w:val="00111837"/>
    <w:rsid w:val="00112158"/>
    <w:rsid w:val="0011322A"/>
    <w:rsid w:val="001135D6"/>
    <w:rsid w:val="00113793"/>
    <w:rsid w:val="00113ACC"/>
    <w:rsid w:val="00114047"/>
    <w:rsid w:val="00114DEF"/>
    <w:rsid w:val="00115E09"/>
    <w:rsid w:val="00116763"/>
    <w:rsid w:val="0011677D"/>
    <w:rsid w:val="00116DC8"/>
    <w:rsid w:val="00116E25"/>
    <w:rsid w:val="00117A48"/>
    <w:rsid w:val="00117FF5"/>
    <w:rsid w:val="0012002A"/>
    <w:rsid w:val="00122D26"/>
    <w:rsid w:val="001246A5"/>
    <w:rsid w:val="00124941"/>
    <w:rsid w:val="00125D09"/>
    <w:rsid w:val="00126373"/>
    <w:rsid w:val="00127696"/>
    <w:rsid w:val="001277FA"/>
    <w:rsid w:val="00130200"/>
    <w:rsid w:val="00130461"/>
    <w:rsid w:val="00130607"/>
    <w:rsid w:val="00130BB3"/>
    <w:rsid w:val="00130CEC"/>
    <w:rsid w:val="00130E04"/>
    <w:rsid w:val="00131937"/>
    <w:rsid w:val="00132ABC"/>
    <w:rsid w:val="00133DE4"/>
    <w:rsid w:val="001352BC"/>
    <w:rsid w:val="0013542C"/>
    <w:rsid w:val="00136A84"/>
    <w:rsid w:val="00140574"/>
    <w:rsid w:val="001407F7"/>
    <w:rsid w:val="00140E5D"/>
    <w:rsid w:val="0014143B"/>
    <w:rsid w:val="00141C54"/>
    <w:rsid w:val="00143792"/>
    <w:rsid w:val="00143C86"/>
    <w:rsid w:val="00146092"/>
    <w:rsid w:val="001468E5"/>
    <w:rsid w:val="001504F7"/>
    <w:rsid w:val="0015183D"/>
    <w:rsid w:val="00151CFE"/>
    <w:rsid w:val="00153066"/>
    <w:rsid w:val="0015348F"/>
    <w:rsid w:val="001539B9"/>
    <w:rsid w:val="00153B70"/>
    <w:rsid w:val="001556B4"/>
    <w:rsid w:val="0015730B"/>
    <w:rsid w:val="00157AF7"/>
    <w:rsid w:val="0016176B"/>
    <w:rsid w:val="001623D4"/>
    <w:rsid w:val="001635A8"/>
    <w:rsid w:val="00164107"/>
    <w:rsid w:val="00164842"/>
    <w:rsid w:val="00164F7D"/>
    <w:rsid w:val="00167227"/>
    <w:rsid w:val="00167245"/>
    <w:rsid w:val="0016742E"/>
    <w:rsid w:val="0017098D"/>
    <w:rsid w:val="00171BF7"/>
    <w:rsid w:val="001728F8"/>
    <w:rsid w:val="00173125"/>
    <w:rsid w:val="001732CA"/>
    <w:rsid w:val="0017365A"/>
    <w:rsid w:val="00175B90"/>
    <w:rsid w:val="00177784"/>
    <w:rsid w:val="00180AD1"/>
    <w:rsid w:val="00180D4A"/>
    <w:rsid w:val="001811AC"/>
    <w:rsid w:val="001818D5"/>
    <w:rsid w:val="00181F18"/>
    <w:rsid w:val="0018269E"/>
    <w:rsid w:val="0018352F"/>
    <w:rsid w:val="00183784"/>
    <w:rsid w:val="001844A9"/>
    <w:rsid w:val="00184635"/>
    <w:rsid w:val="00186037"/>
    <w:rsid w:val="0018657B"/>
    <w:rsid w:val="00186689"/>
    <w:rsid w:val="00187157"/>
    <w:rsid w:val="00187416"/>
    <w:rsid w:val="00192998"/>
    <w:rsid w:val="0019447D"/>
    <w:rsid w:val="00194C10"/>
    <w:rsid w:val="00194EEA"/>
    <w:rsid w:val="001A02D4"/>
    <w:rsid w:val="001A0E88"/>
    <w:rsid w:val="001A0F04"/>
    <w:rsid w:val="001A1560"/>
    <w:rsid w:val="001A1E76"/>
    <w:rsid w:val="001A2DBB"/>
    <w:rsid w:val="001A52A7"/>
    <w:rsid w:val="001A579C"/>
    <w:rsid w:val="001A59B3"/>
    <w:rsid w:val="001A5B94"/>
    <w:rsid w:val="001A7006"/>
    <w:rsid w:val="001A716D"/>
    <w:rsid w:val="001B0248"/>
    <w:rsid w:val="001B1503"/>
    <w:rsid w:val="001B17CC"/>
    <w:rsid w:val="001B1BA7"/>
    <w:rsid w:val="001B2FC7"/>
    <w:rsid w:val="001B31E4"/>
    <w:rsid w:val="001B3DFF"/>
    <w:rsid w:val="001B4545"/>
    <w:rsid w:val="001B58AF"/>
    <w:rsid w:val="001B62D7"/>
    <w:rsid w:val="001B6C12"/>
    <w:rsid w:val="001B6D3E"/>
    <w:rsid w:val="001B7124"/>
    <w:rsid w:val="001B7825"/>
    <w:rsid w:val="001C199B"/>
    <w:rsid w:val="001C2245"/>
    <w:rsid w:val="001C2402"/>
    <w:rsid w:val="001C2A69"/>
    <w:rsid w:val="001C32DC"/>
    <w:rsid w:val="001C3BB8"/>
    <w:rsid w:val="001C44AE"/>
    <w:rsid w:val="001C44E6"/>
    <w:rsid w:val="001C5465"/>
    <w:rsid w:val="001C62A7"/>
    <w:rsid w:val="001C699A"/>
    <w:rsid w:val="001C7FD9"/>
    <w:rsid w:val="001D06E2"/>
    <w:rsid w:val="001D0EED"/>
    <w:rsid w:val="001D2633"/>
    <w:rsid w:val="001D64AC"/>
    <w:rsid w:val="001D7C2D"/>
    <w:rsid w:val="001D7F4B"/>
    <w:rsid w:val="001E266D"/>
    <w:rsid w:val="001E2DE7"/>
    <w:rsid w:val="001E2E7C"/>
    <w:rsid w:val="001E343D"/>
    <w:rsid w:val="001E4139"/>
    <w:rsid w:val="001E56A5"/>
    <w:rsid w:val="001E688F"/>
    <w:rsid w:val="001E77E5"/>
    <w:rsid w:val="001F050B"/>
    <w:rsid w:val="001F09E4"/>
    <w:rsid w:val="001F2218"/>
    <w:rsid w:val="001F2289"/>
    <w:rsid w:val="001F44E2"/>
    <w:rsid w:val="001F459B"/>
    <w:rsid w:val="001F4D1D"/>
    <w:rsid w:val="001F5478"/>
    <w:rsid w:val="001F5698"/>
    <w:rsid w:val="001F5AF4"/>
    <w:rsid w:val="001F5B92"/>
    <w:rsid w:val="001F6319"/>
    <w:rsid w:val="001F6863"/>
    <w:rsid w:val="001F755E"/>
    <w:rsid w:val="001F7B84"/>
    <w:rsid w:val="00200474"/>
    <w:rsid w:val="002019B8"/>
    <w:rsid w:val="00201B9F"/>
    <w:rsid w:val="00202D92"/>
    <w:rsid w:val="002038BF"/>
    <w:rsid w:val="00203DD5"/>
    <w:rsid w:val="00204541"/>
    <w:rsid w:val="002063A5"/>
    <w:rsid w:val="0020654A"/>
    <w:rsid w:val="00206749"/>
    <w:rsid w:val="00207916"/>
    <w:rsid w:val="00211A69"/>
    <w:rsid w:val="002139BC"/>
    <w:rsid w:val="00213AB9"/>
    <w:rsid w:val="00214116"/>
    <w:rsid w:val="00214CCA"/>
    <w:rsid w:val="0021503B"/>
    <w:rsid w:val="002156E1"/>
    <w:rsid w:val="00216EB1"/>
    <w:rsid w:val="002172D6"/>
    <w:rsid w:val="00217504"/>
    <w:rsid w:val="0021791C"/>
    <w:rsid w:val="0022042D"/>
    <w:rsid w:val="002204D2"/>
    <w:rsid w:val="0022106D"/>
    <w:rsid w:val="002218A7"/>
    <w:rsid w:val="00221F60"/>
    <w:rsid w:val="00221FC2"/>
    <w:rsid w:val="00222D8E"/>
    <w:rsid w:val="0022342C"/>
    <w:rsid w:val="00223FB5"/>
    <w:rsid w:val="0022413F"/>
    <w:rsid w:val="002259BF"/>
    <w:rsid w:val="00225A62"/>
    <w:rsid w:val="00225EAB"/>
    <w:rsid w:val="00226460"/>
    <w:rsid w:val="0022724F"/>
    <w:rsid w:val="00227ADD"/>
    <w:rsid w:val="0023054D"/>
    <w:rsid w:val="00230861"/>
    <w:rsid w:val="00231A6C"/>
    <w:rsid w:val="00233839"/>
    <w:rsid w:val="00235C6D"/>
    <w:rsid w:val="00241AC3"/>
    <w:rsid w:val="00242086"/>
    <w:rsid w:val="0024460C"/>
    <w:rsid w:val="00245D5A"/>
    <w:rsid w:val="00245D71"/>
    <w:rsid w:val="002474DC"/>
    <w:rsid w:val="00250D30"/>
    <w:rsid w:val="0025344E"/>
    <w:rsid w:val="0025356E"/>
    <w:rsid w:val="00253EB6"/>
    <w:rsid w:val="0025428F"/>
    <w:rsid w:val="002553ED"/>
    <w:rsid w:val="00256D33"/>
    <w:rsid w:val="00260400"/>
    <w:rsid w:val="00261842"/>
    <w:rsid w:val="002620C8"/>
    <w:rsid w:val="00262A26"/>
    <w:rsid w:val="00263059"/>
    <w:rsid w:val="002635C3"/>
    <w:rsid w:val="00263686"/>
    <w:rsid w:val="00264A31"/>
    <w:rsid w:val="00264B6C"/>
    <w:rsid w:val="002653A9"/>
    <w:rsid w:val="0027188B"/>
    <w:rsid w:val="00273861"/>
    <w:rsid w:val="0027627B"/>
    <w:rsid w:val="00276E2A"/>
    <w:rsid w:val="00277C1E"/>
    <w:rsid w:val="00280211"/>
    <w:rsid w:val="0028043A"/>
    <w:rsid w:val="00280C54"/>
    <w:rsid w:val="00281C8D"/>
    <w:rsid w:val="00283134"/>
    <w:rsid w:val="00283859"/>
    <w:rsid w:val="002867F5"/>
    <w:rsid w:val="00287022"/>
    <w:rsid w:val="00290ED2"/>
    <w:rsid w:val="002921EA"/>
    <w:rsid w:val="00293952"/>
    <w:rsid w:val="002939B5"/>
    <w:rsid w:val="00294351"/>
    <w:rsid w:val="0029446F"/>
    <w:rsid w:val="00294798"/>
    <w:rsid w:val="00294C1F"/>
    <w:rsid w:val="00295DF0"/>
    <w:rsid w:val="00295F00"/>
    <w:rsid w:val="002A0048"/>
    <w:rsid w:val="002A08A2"/>
    <w:rsid w:val="002A14AB"/>
    <w:rsid w:val="002A18DA"/>
    <w:rsid w:val="002A1BCA"/>
    <w:rsid w:val="002A1BD0"/>
    <w:rsid w:val="002A21F8"/>
    <w:rsid w:val="002A5A31"/>
    <w:rsid w:val="002B0C8E"/>
    <w:rsid w:val="002B255E"/>
    <w:rsid w:val="002B2707"/>
    <w:rsid w:val="002B323C"/>
    <w:rsid w:val="002B4139"/>
    <w:rsid w:val="002B684E"/>
    <w:rsid w:val="002B6C9E"/>
    <w:rsid w:val="002B7077"/>
    <w:rsid w:val="002C0D62"/>
    <w:rsid w:val="002C16FB"/>
    <w:rsid w:val="002C17A1"/>
    <w:rsid w:val="002C287C"/>
    <w:rsid w:val="002C343F"/>
    <w:rsid w:val="002C4D71"/>
    <w:rsid w:val="002C4DB3"/>
    <w:rsid w:val="002C5AF6"/>
    <w:rsid w:val="002C5BE8"/>
    <w:rsid w:val="002C5D88"/>
    <w:rsid w:val="002C614F"/>
    <w:rsid w:val="002C7501"/>
    <w:rsid w:val="002C777E"/>
    <w:rsid w:val="002D0448"/>
    <w:rsid w:val="002D0758"/>
    <w:rsid w:val="002D118A"/>
    <w:rsid w:val="002D137D"/>
    <w:rsid w:val="002D1D36"/>
    <w:rsid w:val="002D2D08"/>
    <w:rsid w:val="002D2E2F"/>
    <w:rsid w:val="002D3F5C"/>
    <w:rsid w:val="002D3FF3"/>
    <w:rsid w:val="002D48B8"/>
    <w:rsid w:val="002D4C27"/>
    <w:rsid w:val="002D58F5"/>
    <w:rsid w:val="002D62FE"/>
    <w:rsid w:val="002D7BF5"/>
    <w:rsid w:val="002D7F65"/>
    <w:rsid w:val="002E0047"/>
    <w:rsid w:val="002E0604"/>
    <w:rsid w:val="002E0F29"/>
    <w:rsid w:val="002E1E83"/>
    <w:rsid w:val="002E2BA1"/>
    <w:rsid w:val="002E2BE9"/>
    <w:rsid w:val="002E346F"/>
    <w:rsid w:val="002E3D39"/>
    <w:rsid w:val="002E41F2"/>
    <w:rsid w:val="002E55EA"/>
    <w:rsid w:val="002E6249"/>
    <w:rsid w:val="002E64F2"/>
    <w:rsid w:val="002F0D7F"/>
    <w:rsid w:val="002F334E"/>
    <w:rsid w:val="002F40AC"/>
    <w:rsid w:val="002F43FC"/>
    <w:rsid w:val="002F4753"/>
    <w:rsid w:val="002F4857"/>
    <w:rsid w:val="002F4A6D"/>
    <w:rsid w:val="002F7024"/>
    <w:rsid w:val="003019DD"/>
    <w:rsid w:val="003029B1"/>
    <w:rsid w:val="0030335C"/>
    <w:rsid w:val="003052CF"/>
    <w:rsid w:val="0030554E"/>
    <w:rsid w:val="003058F5"/>
    <w:rsid w:val="00305A9A"/>
    <w:rsid w:val="00305AD2"/>
    <w:rsid w:val="00306172"/>
    <w:rsid w:val="00306342"/>
    <w:rsid w:val="00307C33"/>
    <w:rsid w:val="00310C88"/>
    <w:rsid w:val="0031165F"/>
    <w:rsid w:val="00311DA0"/>
    <w:rsid w:val="00313B18"/>
    <w:rsid w:val="00314277"/>
    <w:rsid w:val="00315553"/>
    <w:rsid w:val="00320997"/>
    <w:rsid w:val="00320C93"/>
    <w:rsid w:val="00322DDA"/>
    <w:rsid w:val="003235C7"/>
    <w:rsid w:val="00323F79"/>
    <w:rsid w:val="003244BF"/>
    <w:rsid w:val="00324F96"/>
    <w:rsid w:val="003267CF"/>
    <w:rsid w:val="00330A0A"/>
    <w:rsid w:val="00330AA5"/>
    <w:rsid w:val="00330BEB"/>
    <w:rsid w:val="00331DD2"/>
    <w:rsid w:val="00332025"/>
    <w:rsid w:val="003325C6"/>
    <w:rsid w:val="00332F08"/>
    <w:rsid w:val="003337DB"/>
    <w:rsid w:val="00333E2B"/>
    <w:rsid w:val="0033542B"/>
    <w:rsid w:val="003363E0"/>
    <w:rsid w:val="00340E40"/>
    <w:rsid w:val="00341CBB"/>
    <w:rsid w:val="003428C4"/>
    <w:rsid w:val="00342D89"/>
    <w:rsid w:val="003430A4"/>
    <w:rsid w:val="00343D8C"/>
    <w:rsid w:val="003502C7"/>
    <w:rsid w:val="00351014"/>
    <w:rsid w:val="00351175"/>
    <w:rsid w:val="00351B4D"/>
    <w:rsid w:val="00356E7E"/>
    <w:rsid w:val="0035746C"/>
    <w:rsid w:val="00357615"/>
    <w:rsid w:val="003603B3"/>
    <w:rsid w:val="003608EE"/>
    <w:rsid w:val="00361C88"/>
    <w:rsid w:val="00361FC3"/>
    <w:rsid w:val="0036249A"/>
    <w:rsid w:val="003631BA"/>
    <w:rsid w:val="0036425E"/>
    <w:rsid w:val="00364483"/>
    <w:rsid w:val="003648B0"/>
    <w:rsid w:val="00365098"/>
    <w:rsid w:val="00367802"/>
    <w:rsid w:val="00372367"/>
    <w:rsid w:val="00372F2D"/>
    <w:rsid w:val="00374B5D"/>
    <w:rsid w:val="00380379"/>
    <w:rsid w:val="00381929"/>
    <w:rsid w:val="00382677"/>
    <w:rsid w:val="00384CFF"/>
    <w:rsid w:val="003859D5"/>
    <w:rsid w:val="003874BD"/>
    <w:rsid w:val="0038756E"/>
    <w:rsid w:val="00390484"/>
    <w:rsid w:val="00392E31"/>
    <w:rsid w:val="00394862"/>
    <w:rsid w:val="00395417"/>
    <w:rsid w:val="0039622F"/>
    <w:rsid w:val="003970AA"/>
    <w:rsid w:val="003972D2"/>
    <w:rsid w:val="0039791B"/>
    <w:rsid w:val="003979C5"/>
    <w:rsid w:val="00397A7E"/>
    <w:rsid w:val="00397ADB"/>
    <w:rsid w:val="003A3127"/>
    <w:rsid w:val="003A3781"/>
    <w:rsid w:val="003A4C6F"/>
    <w:rsid w:val="003A5084"/>
    <w:rsid w:val="003A511F"/>
    <w:rsid w:val="003A649E"/>
    <w:rsid w:val="003A7020"/>
    <w:rsid w:val="003A71A2"/>
    <w:rsid w:val="003B09DD"/>
    <w:rsid w:val="003B0B33"/>
    <w:rsid w:val="003B11B4"/>
    <w:rsid w:val="003B25B8"/>
    <w:rsid w:val="003B2872"/>
    <w:rsid w:val="003B367E"/>
    <w:rsid w:val="003B3CF5"/>
    <w:rsid w:val="003B43D9"/>
    <w:rsid w:val="003B72EF"/>
    <w:rsid w:val="003B73AD"/>
    <w:rsid w:val="003B7EEE"/>
    <w:rsid w:val="003C11BF"/>
    <w:rsid w:val="003C15A9"/>
    <w:rsid w:val="003C1643"/>
    <w:rsid w:val="003C1D61"/>
    <w:rsid w:val="003C25B5"/>
    <w:rsid w:val="003C295A"/>
    <w:rsid w:val="003C3884"/>
    <w:rsid w:val="003C5232"/>
    <w:rsid w:val="003C554A"/>
    <w:rsid w:val="003C5835"/>
    <w:rsid w:val="003C7899"/>
    <w:rsid w:val="003D1833"/>
    <w:rsid w:val="003D3B41"/>
    <w:rsid w:val="003D7FBD"/>
    <w:rsid w:val="003E0301"/>
    <w:rsid w:val="003E082A"/>
    <w:rsid w:val="003E0BD7"/>
    <w:rsid w:val="003E1140"/>
    <w:rsid w:val="003E2868"/>
    <w:rsid w:val="003E30D6"/>
    <w:rsid w:val="003E5326"/>
    <w:rsid w:val="003E58B8"/>
    <w:rsid w:val="003E5914"/>
    <w:rsid w:val="003E5962"/>
    <w:rsid w:val="003E5D13"/>
    <w:rsid w:val="003E6D4E"/>
    <w:rsid w:val="003E7A10"/>
    <w:rsid w:val="003F1F55"/>
    <w:rsid w:val="003F2AD2"/>
    <w:rsid w:val="003F375D"/>
    <w:rsid w:val="003F3F08"/>
    <w:rsid w:val="003F4269"/>
    <w:rsid w:val="003F6022"/>
    <w:rsid w:val="003F6423"/>
    <w:rsid w:val="003F737C"/>
    <w:rsid w:val="003F73BA"/>
    <w:rsid w:val="003F7AA5"/>
    <w:rsid w:val="003F7DEB"/>
    <w:rsid w:val="003F7FC2"/>
    <w:rsid w:val="00400066"/>
    <w:rsid w:val="0040063C"/>
    <w:rsid w:val="00401154"/>
    <w:rsid w:val="00401AE0"/>
    <w:rsid w:val="00401C2A"/>
    <w:rsid w:val="00401E7E"/>
    <w:rsid w:val="0040498F"/>
    <w:rsid w:val="00404D89"/>
    <w:rsid w:val="00404FD7"/>
    <w:rsid w:val="00405090"/>
    <w:rsid w:val="004077CF"/>
    <w:rsid w:val="00410EA3"/>
    <w:rsid w:val="00412819"/>
    <w:rsid w:val="00413440"/>
    <w:rsid w:val="004136A3"/>
    <w:rsid w:val="00413763"/>
    <w:rsid w:val="00414302"/>
    <w:rsid w:val="00414C78"/>
    <w:rsid w:val="00414F5A"/>
    <w:rsid w:val="00416774"/>
    <w:rsid w:val="00416A3B"/>
    <w:rsid w:val="00416F7E"/>
    <w:rsid w:val="0041730B"/>
    <w:rsid w:val="00417719"/>
    <w:rsid w:val="004202C4"/>
    <w:rsid w:val="00423223"/>
    <w:rsid w:val="00423650"/>
    <w:rsid w:val="004239E2"/>
    <w:rsid w:val="00423BDE"/>
    <w:rsid w:val="00424348"/>
    <w:rsid w:val="00424603"/>
    <w:rsid w:val="00424776"/>
    <w:rsid w:val="00424DA2"/>
    <w:rsid w:val="00424EBC"/>
    <w:rsid w:val="00426867"/>
    <w:rsid w:val="00427014"/>
    <w:rsid w:val="00427A96"/>
    <w:rsid w:val="00430A74"/>
    <w:rsid w:val="00430D1C"/>
    <w:rsid w:val="00431C41"/>
    <w:rsid w:val="00434CEF"/>
    <w:rsid w:val="004351F0"/>
    <w:rsid w:val="00435659"/>
    <w:rsid w:val="0043746D"/>
    <w:rsid w:val="004375BA"/>
    <w:rsid w:val="004379CC"/>
    <w:rsid w:val="00437C1F"/>
    <w:rsid w:val="00437D8B"/>
    <w:rsid w:val="00437E1C"/>
    <w:rsid w:val="004406C0"/>
    <w:rsid w:val="00441217"/>
    <w:rsid w:val="00441337"/>
    <w:rsid w:val="00441AFB"/>
    <w:rsid w:val="00441DDE"/>
    <w:rsid w:val="00443438"/>
    <w:rsid w:val="00443B26"/>
    <w:rsid w:val="004453AD"/>
    <w:rsid w:val="00446FEE"/>
    <w:rsid w:val="00450A6C"/>
    <w:rsid w:val="00451C95"/>
    <w:rsid w:val="00451E55"/>
    <w:rsid w:val="00453619"/>
    <w:rsid w:val="004545CB"/>
    <w:rsid w:val="00456F8D"/>
    <w:rsid w:val="00460441"/>
    <w:rsid w:val="004609C2"/>
    <w:rsid w:val="0046202A"/>
    <w:rsid w:val="0046208E"/>
    <w:rsid w:val="00462A36"/>
    <w:rsid w:val="004648C6"/>
    <w:rsid w:val="00464F4E"/>
    <w:rsid w:val="00465B12"/>
    <w:rsid w:val="00465CC1"/>
    <w:rsid w:val="0046600C"/>
    <w:rsid w:val="0047007D"/>
    <w:rsid w:val="00470F56"/>
    <w:rsid w:val="0047108E"/>
    <w:rsid w:val="00471970"/>
    <w:rsid w:val="00471B48"/>
    <w:rsid w:val="00471BB3"/>
    <w:rsid w:val="00472AF8"/>
    <w:rsid w:val="00473341"/>
    <w:rsid w:val="00473FD1"/>
    <w:rsid w:val="00474CD3"/>
    <w:rsid w:val="00475419"/>
    <w:rsid w:val="00475A34"/>
    <w:rsid w:val="004761BC"/>
    <w:rsid w:val="00476962"/>
    <w:rsid w:val="004800EC"/>
    <w:rsid w:val="00482C08"/>
    <w:rsid w:val="00483356"/>
    <w:rsid w:val="00484164"/>
    <w:rsid w:val="0048417C"/>
    <w:rsid w:val="00484327"/>
    <w:rsid w:val="00484511"/>
    <w:rsid w:val="00486376"/>
    <w:rsid w:val="00486837"/>
    <w:rsid w:val="00487708"/>
    <w:rsid w:val="00487864"/>
    <w:rsid w:val="00487A7E"/>
    <w:rsid w:val="00487D92"/>
    <w:rsid w:val="00490573"/>
    <w:rsid w:val="00490577"/>
    <w:rsid w:val="00490757"/>
    <w:rsid w:val="00490A69"/>
    <w:rsid w:val="00491961"/>
    <w:rsid w:val="00494F63"/>
    <w:rsid w:val="004A04FA"/>
    <w:rsid w:val="004A08B7"/>
    <w:rsid w:val="004A0949"/>
    <w:rsid w:val="004A1399"/>
    <w:rsid w:val="004A2D54"/>
    <w:rsid w:val="004A3BFB"/>
    <w:rsid w:val="004A3FCB"/>
    <w:rsid w:val="004B0A32"/>
    <w:rsid w:val="004B13E7"/>
    <w:rsid w:val="004B218E"/>
    <w:rsid w:val="004B2E3E"/>
    <w:rsid w:val="004B311D"/>
    <w:rsid w:val="004B37C0"/>
    <w:rsid w:val="004B6ACC"/>
    <w:rsid w:val="004B75BA"/>
    <w:rsid w:val="004B7BBE"/>
    <w:rsid w:val="004B7D42"/>
    <w:rsid w:val="004B7DBC"/>
    <w:rsid w:val="004C00C0"/>
    <w:rsid w:val="004C145C"/>
    <w:rsid w:val="004C16F1"/>
    <w:rsid w:val="004C1F9A"/>
    <w:rsid w:val="004C3F02"/>
    <w:rsid w:val="004C4E0B"/>
    <w:rsid w:val="004C5147"/>
    <w:rsid w:val="004C5752"/>
    <w:rsid w:val="004C5E73"/>
    <w:rsid w:val="004C5F6C"/>
    <w:rsid w:val="004C5F88"/>
    <w:rsid w:val="004C6BB2"/>
    <w:rsid w:val="004C783E"/>
    <w:rsid w:val="004D118F"/>
    <w:rsid w:val="004D154F"/>
    <w:rsid w:val="004D2D18"/>
    <w:rsid w:val="004D3176"/>
    <w:rsid w:val="004D3DC4"/>
    <w:rsid w:val="004D41E0"/>
    <w:rsid w:val="004D54E9"/>
    <w:rsid w:val="004D5902"/>
    <w:rsid w:val="004E01E4"/>
    <w:rsid w:val="004E047A"/>
    <w:rsid w:val="004E3D74"/>
    <w:rsid w:val="004E4019"/>
    <w:rsid w:val="004E42AA"/>
    <w:rsid w:val="004E43D1"/>
    <w:rsid w:val="004E4FE8"/>
    <w:rsid w:val="004E512A"/>
    <w:rsid w:val="004E5741"/>
    <w:rsid w:val="004E5C45"/>
    <w:rsid w:val="004E75B4"/>
    <w:rsid w:val="004E7D4F"/>
    <w:rsid w:val="004E7F61"/>
    <w:rsid w:val="004F04E9"/>
    <w:rsid w:val="004F09A7"/>
    <w:rsid w:val="004F1DED"/>
    <w:rsid w:val="004F225A"/>
    <w:rsid w:val="004F2C43"/>
    <w:rsid w:val="004F3AF2"/>
    <w:rsid w:val="004F3B85"/>
    <w:rsid w:val="004F59DF"/>
    <w:rsid w:val="004F69BB"/>
    <w:rsid w:val="00500C49"/>
    <w:rsid w:val="00500C92"/>
    <w:rsid w:val="00501926"/>
    <w:rsid w:val="00501A31"/>
    <w:rsid w:val="00502318"/>
    <w:rsid w:val="005046B8"/>
    <w:rsid w:val="00505E6B"/>
    <w:rsid w:val="00506EC8"/>
    <w:rsid w:val="005109F7"/>
    <w:rsid w:val="0051175D"/>
    <w:rsid w:val="005120E7"/>
    <w:rsid w:val="00512A6D"/>
    <w:rsid w:val="00513B89"/>
    <w:rsid w:val="00515483"/>
    <w:rsid w:val="0051723E"/>
    <w:rsid w:val="005205A5"/>
    <w:rsid w:val="00521356"/>
    <w:rsid w:val="00521942"/>
    <w:rsid w:val="00521EDF"/>
    <w:rsid w:val="00522B77"/>
    <w:rsid w:val="00522DE2"/>
    <w:rsid w:val="00524A30"/>
    <w:rsid w:val="00525BCF"/>
    <w:rsid w:val="005307F2"/>
    <w:rsid w:val="005311E0"/>
    <w:rsid w:val="00531D9F"/>
    <w:rsid w:val="00531E24"/>
    <w:rsid w:val="00532913"/>
    <w:rsid w:val="00534FD8"/>
    <w:rsid w:val="00536A1C"/>
    <w:rsid w:val="00536B6B"/>
    <w:rsid w:val="005370F9"/>
    <w:rsid w:val="00540122"/>
    <w:rsid w:val="00540178"/>
    <w:rsid w:val="00540492"/>
    <w:rsid w:val="00540D1B"/>
    <w:rsid w:val="00541886"/>
    <w:rsid w:val="00541F10"/>
    <w:rsid w:val="00543C51"/>
    <w:rsid w:val="00545B65"/>
    <w:rsid w:val="00547471"/>
    <w:rsid w:val="00547DCE"/>
    <w:rsid w:val="00550990"/>
    <w:rsid w:val="00551D86"/>
    <w:rsid w:val="00552372"/>
    <w:rsid w:val="00552434"/>
    <w:rsid w:val="00552464"/>
    <w:rsid w:val="00553A9D"/>
    <w:rsid w:val="005555AD"/>
    <w:rsid w:val="0055705E"/>
    <w:rsid w:val="005575C6"/>
    <w:rsid w:val="00560C3B"/>
    <w:rsid w:val="00563EB7"/>
    <w:rsid w:val="005648F5"/>
    <w:rsid w:val="0056499C"/>
    <w:rsid w:val="00565255"/>
    <w:rsid w:val="005652FF"/>
    <w:rsid w:val="005653EF"/>
    <w:rsid w:val="005656E0"/>
    <w:rsid w:val="00565EE4"/>
    <w:rsid w:val="00566391"/>
    <w:rsid w:val="00566DB5"/>
    <w:rsid w:val="00567621"/>
    <w:rsid w:val="005706FF"/>
    <w:rsid w:val="00572E5C"/>
    <w:rsid w:val="005732F9"/>
    <w:rsid w:val="00576995"/>
    <w:rsid w:val="005800EF"/>
    <w:rsid w:val="005811D2"/>
    <w:rsid w:val="00582C6C"/>
    <w:rsid w:val="005838E7"/>
    <w:rsid w:val="00583CFD"/>
    <w:rsid w:val="00583F2B"/>
    <w:rsid w:val="005848FF"/>
    <w:rsid w:val="00584D70"/>
    <w:rsid w:val="005851CC"/>
    <w:rsid w:val="00585906"/>
    <w:rsid w:val="00585F5C"/>
    <w:rsid w:val="00587B20"/>
    <w:rsid w:val="00587E9B"/>
    <w:rsid w:val="00590220"/>
    <w:rsid w:val="00590FFE"/>
    <w:rsid w:val="00591045"/>
    <w:rsid w:val="00591A22"/>
    <w:rsid w:val="0059280D"/>
    <w:rsid w:val="00592977"/>
    <w:rsid w:val="00596402"/>
    <w:rsid w:val="005968C9"/>
    <w:rsid w:val="00596AD5"/>
    <w:rsid w:val="00596C1B"/>
    <w:rsid w:val="005977BB"/>
    <w:rsid w:val="005A024A"/>
    <w:rsid w:val="005A0A07"/>
    <w:rsid w:val="005A1D7C"/>
    <w:rsid w:val="005A573B"/>
    <w:rsid w:val="005A72A8"/>
    <w:rsid w:val="005A7971"/>
    <w:rsid w:val="005A7FA9"/>
    <w:rsid w:val="005B0100"/>
    <w:rsid w:val="005B029A"/>
    <w:rsid w:val="005B0F2C"/>
    <w:rsid w:val="005B1DFA"/>
    <w:rsid w:val="005B34D6"/>
    <w:rsid w:val="005B3D9D"/>
    <w:rsid w:val="005B6072"/>
    <w:rsid w:val="005B789C"/>
    <w:rsid w:val="005C129B"/>
    <w:rsid w:val="005C1B8A"/>
    <w:rsid w:val="005C21CD"/>
    <w:rsid w:val="005C31F4"/>
    <w:rsid w:val="005C385C"/>
    <w:rsid w:val="005C4C65"/>
    <w:rsid w:val="005C523E"/>
    <w:rsid w:val="005C5CD6"/>
    <w:rsid w:val="005C609A"/>
    <w:rsid w:val="005C7379"/>
    <w:rsid w:val="005D19CE"/>
    <w:rsid w:val="005D1F8F"/>
    <w:rsid w:val="005D2435"/>
    <w:rsid w:val="005D25B4"/>
    <w:rsid w:val="005D2B7D"/>
    <w:rsid w:val="005D2F9D"/>
    <w:rsid w:val="005D381E"/>
    <w:rsid w:val="005D3B67"/>
    <w:rsid w:val="005D400E"/>
    <w:rsid w:val="005D4C0A"/>
    <w:rsid w:val="005D571E"/>
    <w:rsid w:val="005D6DC7"/>
    <w:rsid w:val="005D7371"/>
    <w:rsid w:val="005E0372"/>
    <w:rsid w:val="005E0D1D"/>
    <w:rsid w:val="005E18C6"/>
    <w:rsid w:val="005E1DEC"/>
    <w:rsid w:val="005E2B41"/>
    <w:rsid w:val="005E32A6"/>
    <w:rsid w:val="005E38C9"/>
    <w:rsid w:val="005E4C0C"/>
    <w:rsid w:val="005E4F5E"/>
    <w:rsid w:val="005E53CC"/>
    <w:rsid w:val="005E5F7A"/>
    <w:rsid w:val="005E66A3"/>
    <w:rsid w:val="005E782B"/>
    <w:rsid w:val="005E788A"/>
    <w:rsid w:val="005F022C"/>
    <w:rsid w:val="005F10EE"/>
    <w:rsid w:val="005F1F9D"/>
    <w:rsid w:val="005F3A39"/>
    <w:rsid w:val="005F3A71"/>
    <w:rsid w:val="005F48E4"/>
    <w:rsid w:val="005F4F8E"/>
    <w:rsid w:val="005F53B0"/>
    <w:rsid w:val="005F645B"/>
    <w:rsid w:val="005F68CA"/>
    <w:rsid w:val="005F7F50"/>
    <w:rsid w:val="00601970"/>
    <w:rsid w:val="0060292A"/>
    <w:rsid w:val="00603060"/>
    <w:rsid w:val="00603908"/>
    <w:rsid w:val="00603CE0"/>
    <w:rsid w:val="006045C8"/>
    <w:rsid w:val="00604687"/>
    <w:rsid w:val="00604ADE"/>
    <w:rsid w:val="00605BC5"/>
    <w:rsid w:val="00606C67"/>
    <w:rsid w:val="00613543"/>
    <w:rsid w:val="00613847"/>
    <w:rsid w:val="00613AD1"/>
    <w:rsid w:val="006174C4"/>
    <w:rsid w:val="00617B92"/>
    <w:rsid w:val="00620127"/>
    <w:rsid w:val="006213F9"/>
    <w:rsid w:val="00621BEA"/>
    <w:rsid w:val="006238DC"/>
    <w:rsid w:val="00623A06"/>
    <w:rsid w:val="00623AD3"/>
    <w:rsid w:val="00624629"/>
    <w:rsid w:val="006253BA"/>
    <w:rsid w:val="006279C4"/>
    <w:rsid w:val="00631DFB"/>
    <w:rsid w:val="00632785"/>
    <w:rsid w:val="0063298D"/>
    <w:rsid w:val="006343DE"/>
    <w:rsid w:val="00635054"/>
    <w:rsid w:val="006352E5"/>
    <w:rsid w:val="00640E2B"/>
    <w:rsid w:val="00642435"/>
    <w:rsid w:val="006435C3"/>
    <w:rsid w:val="00643B39"/>
    <w:rsid w:val="006450BF"/>
    <w:rsid w:val="00650BC0"/>
    <w:rsid w:val="00650EB2"/>
    <w:rsid w:val="00652505"/>
    <w:rsid w:val="00652906"/>
    <w:rsid w:val="00654EAD"/>
    <w:rsid w:val="0065561F"/>
    <w:rsid w:val="00656DD6"/>
    <w:rsid w:val="006572B4"/>
    <w:rsid w:val="00657FA7"/>
    <w:rsid w:val="00660643"/>
    <w:rsid w:val="00660FC2"/>
    <w:rsid w:val="00661758"/>
    <w:rsid w:val="00662316"/>
    <w:rsid w:val="00664500"/>
    <w:rsid w:val="0066482B"/>
    <w:rsid w:val="00666228"/>
    <w:rsid w:val="006662CD"/>
    <w:rsid w:val="0066777B"/>
    <w:rsid w:val="0067073F"/>
    <w:rsid w:val="0067234B"/>
    <w:rsid w:val="00672BBC"/>
    <w:rsid w:val="0067315D"/>
    <w:rsid w:val="006732EE"/>
    <w:rsid w:val="00673544"/>
    <w:rsid w:val="00676217"/>
    <w:rsid w:val="00676CBC"/>
    <w:rsid w:val="00680AC3"/>
    <w:rsid w:val="0068101C"/>
    <w:rsid w:val="00681F4F"/>
    <w:rsid w:val="00684BFB"/>
    <w:rsid w:val="00685319"/>
    <w:rsid w:val="0068559C"/>
    <w:rsid w:val="0068596D"/>
    <w:rsid w:val="00685B4C"/>
    <w:rsid w:val="00685C59"/>
    <w:rsid w:val="00686BAE"/>
    <w:rsid w:val="006873AA"/>
    <w:rsid w:val="00687726"/>
    <w:rsid w:val="00687F3E"/>
    <w:rsid w:val="00690128"/>
    <w:rsid w:val="00690309"/>
    <w:rsid w:val="00690751"/>
    <w:rsid w:val="00690760"/>
    <w:rsid w:val="00691050"/>
    <w:rsid w:val="00691B86"/>
    <w:rsid w:val="00691E2D"/>
    <w:rsid w:val="006928F9"/>
    <w:rsid w:val="0069320F"/>
    <w:rsid w:val="006941D2"/>
    <w:rsid w:val="00694B96"/>
    <w:rsid w:val="00694F00"/>
    <w:rsid w:val="00694F01"/>
    <w:rsid w:val="006968C7"/>
    <w:rsid w:val="006968E2"/>
    <w:rsid w:val="00696CB9"/>
    <w:rsid w:val="006A0178"/>
    <w:rsid w:val="006A0BB1"/>
    <w:rsid w:val="006A15A6"/>
    <w:rsid w:val="006A1600"/>
    <w:rsid w:val="006A1EED"/>
    <w:rsid w:val="006A3D31"/>
    <w:rsid w:val="006A45F7"/>
    <w:rsid w:val="006A47CB"/>
    <w:rsid w:val="006A4E7B"/>
    <w:rsid w:val="006A53A5"/>
    <w:rsid w:val="006A6B44"/>
    <w:rsid w:val="006A6BAF"/>
    <w:rsid w:val="006A7D1B"/>
    <w:rsid w:val="006B1676"/>
    <w:rsid w:val="006B2553"/>
    <w:rsid w:val="006B2ED8"/>
    <w:rsid w:val="006B35CA"/>
    <w:rsid w:val="006B4228"/>
    <w:rsid w:val="006B4251"/>
    <w:rsid w:val="006B57F4"/>
    <w:rsid w:val="006B59A3"/>
    <w:rsid w:val="006B5C0F"/>
    <w:rsid w:val="006B6100"/>
    <w:rsid w:val="006B674D"/>
    <w:rsid w:val="006B6E82"/>
    <w:rsid w:val="006B76A0"/>
    <w:rsid w:val="006C0856"/>
    <w:rsid w:val="006C1009"/>
    <w:rsid w:val="006C15FB"/>
    <w:rsid w:val="006C2969"/>
    <w:rsid w:val="006C5B9A"/>
    <w:rsid w:val="006C64DA"/>
    <w:rsid w:val="006C739D"/>
    <w:rsid w:val="006D0214"/>
    <w:rsid w:val="006D07C1"/>
    <w:rsid w:val="006D0D29"/>
    <w:rsid w:val="006D169A"/>
    <w:rsid w:val="006D3BDA"/>
    <w:rsid w:val="006D4093"/>
    <w:rsid w:val="006D4425"/>
    <w:rsid w:val="006D4485"/>
    <w:rsid w:val="006D451B"/>
    <w:rsid w:val="006D483C"/>
    <w:rsid w:val="006D54FE"/>
    <w:rsid w:val="006D5749"/>
    <w:rsid w:val="006D6FED"/>
    <w:rsid w:val="006D739F"/>
    <w:rsid w:val="006E0334"/>
    <w:rsid w:val="006E1CFD"/>
    <w:rsid w:val="006E2031"/>
    <w:rsid w:val="006E3DAD"/>
    <w:rsid w:val="006E445D"/>
    <w:rsid w:val="006E4829"/>
    <w:rsid w:val="006E541F"/>
    <w:rsid w:val="006E5A1E"/>
    <w:rsid w:val="006F02A4"/>
    <w:rsid w:val="006F0A9A"/>
    <w:rsid w:val="006F1AC8"/>
    <w:rsid w:val="006F1ADA"/>
    <w:rsid w:val="006F29C8"/>
    <w:rsid w:val="006F2DEF"/>
    <w:rsid w:val="006F352C"/>
    <w:rsid w:val="006F3BF4"/>
    <w:rsid w:val="006F40D0"/>
    <w:rsid w:val="006F61E9"/>
    <w:rsid w:val="006F78D8"/>
    <w:rsid w:val="006F7B3A"/>
    <w:rsid w:val="006F7E13"/>
    <w:rsid w:val="007007AF"/>
    <w:rsid w:val="00702179"/>
    <w:rsid w:val="007035E6"/>
    <w:rsid w:val="007044F6"/>
    <w:rsid w:val="0070479A"/>
    <w:rsid w:val="007047C3"/>
    <w:rsid w:val="007054AA"/>
    <w:rsid w:val="00705E89"/>
    <w:rsid w:val="007073CB"/>
    <w:rsid w:val="007079DF"/>
    <w:rsid w:val="00707C97"/>
    <w:rsid w:val="00711727"/>
    <w:rsid w:val="00712638"/>
    <w:rsid w:val="00713777"/>
    <w:rsid w:val="00714A7B"/>
    <w:rsid w:val="00720F25"/>
    <w:rsid w:val="00724D17"/>
    <w:rsid w:val="0072535C"/>
    <w:rsid w:val="007305F2"/>
    <w:rsid w:val="00730F04"/>
    <w:rsid w:val="00731320"/>
    <w:rsid w:val="00731321"/>
    <w:rsid w:val="00731FF6"/>
    <w:rsid w:val="00732CF3"/>
    <w:rsid w:val="00732E2A"/>
    <w:rsid w:val="007339A3"/>
    <w:rsid w:val="007378AD"/>
    <w:rsid w:val="00737AE6"/>
    <w:rsid w:val="00737CF7"/>
    <w:rsid w:val="00737F9A"/>
    <w:rsid w:val="00741D33"/>
    <w:rsid w:val="00742673"/>
    <w:rsid w:val="00742ECD"/>
    <w:rsid w:val="0074457A"/>
    <w:rsid w:val="00744B1D"/>
    <w:rsid w:val="00745C11"/>
    <w:rsid w:val="0074717E"/>
    <w:rsid w:val="007471ED"/>
    <w:rsid w:val="0074760E"/>
    <w:rsid w:val="00747CD9"/>
    <w:rsid w:val="007506DC"/>
    <w:rsid w:val="00750767"/>
    <w:rsid w:val="0075144C"/>
    <w:rsid w:val="007521DA"/>
    <w:rsid w:val="00752B0D"/>
    <w:rsid w:val="007532B7"/>
    <w:rsid w:val="00753483"/>
    <w:rsid w:val="007538D2"/>
    <w:rsid w:val="00754E8F"/>
    <w:rsid w:val="007550F6"/>
    <w:rsid w:val="00755A1F"/>
    <w:rsid w:val="00755AA2"/>
    <w:rsid w:val="00756652"/>
    <w:rsid w:val="007613E6"/>
    <w:rsid w:val="007625DF"/>
    <w:rsid w:val="00762DB8"/>
    <w:rsid w:val="00763E63"/>
    <w:rsid w:val="00764066"/>
    <w:rsid w:val="00764633"/>
    <w:rsid w:val="00764932"/>
    <w:rsid w:val="00766472"/>
    <w:rsid w:val="0076689A"/>
    <w:rsid w:val="00771667"/>
    <w:rsid w:val="00771C0F"/>
    <w:rsid w:val="00771D74"/>
    <w:rsid w:val="00771DBF"/>
    <w:rsid w:val="007742CD"/>
    <w:rsid w:val="00775A8E"/>
    <w:rsid w:val="00775F79"/>
    <w:rsid w:val="007770D0"/>
    <w:rsid w:val="007805BD"/>
    <w:rsid w:val="00781158"/>
    <w:rsid w:val="007823C9"/>
    <w:rsid w:val="00782847"/>
    <w:rsid w:val="0078305B"/>
    <w:rsid w:val="0078436B"/>
    <w:rsid w:val="007869EE"/>
    <w:rsid w:val="00786C3C"/>
    <w:rsid w:val="00786D51"/>
    <w:rsid w:val="00787008"/>
    <w:rsid w:val="00787136"/>
    <w:rsid w:val="00787601"/>
    <w:rsid w:val="00787FDD"/>
    <w:rsid w:val="00790509"/>
    <w:rsid w:val="00791192"/>
    <w:rsid w:val="00791D29"/>
    <w:rsid w:val="00794BD0"/>
    <w:rsid w:val="00796576"/>
    <w:rsid w:val="00797C27"/>
    <w:rsid w:val="007A04F0"/>
    <w:rsid w:val="007A0CD0"/>
    <w:rsid w:val="007A0F4E"/>
    <w:rsid w:val="007A1083"/>
    <w:rsid w:val="007A2CA9"/>
    <w:rsid w:val="007A375D"/>
    <w:rsid w:val="007A4FCE"/>
    <w:rsid w:val="007B2178"/>
    <w:rsid w:val="007B3253"/>
    <w:rsid w:val="007B36C9"/>
    <w:rsid w:val="007B54C6"/>
    <w:rsid w:val="007C38D4"/>
    <w:rsid w:val="007C400D"/>
    <w:rsid w:val="007C497D"/>
    <w:rsid w:val="007C49DA"/>
    <w:rsid w:val="007C5302"/>
    <w:rsid w:val="007C5673"/>
    <w:rsid w:val="007C5C76"/>
    <w:rsid w:val="007C796B"/>
    <w:rsid w:val="007C7D3F"/>
    <w:rsid w:val="007D177C"/>
    <w:rsid w:val="007D32BB"/>
    <w:rsid w:val="007D3C9D"/>
    <w:rsid w:val="007D44ED"/>
    <w:rsid w:val="007D45A5"/>
    <w:rsid w:val="007D47AC"/>
    <w:rsid w:val="007D4D1D"/>
    <w:rsid w:val="007D5A14"/>
    <w:rsid w:val="007D5DCC"/>
    <w:rsid w:val="007D6C5D"/>
    <w:rsid w:val="007D6D75"/>
    <w:rsid w:val="007D768D"/>
    <w:rsid w:val="007D7B8E"/>
    <w:rsid w:val="007D7C6A"/>
    <w:rsid w:val="007E0A19"/>
    <w:rsid w:val="007E0C3B"/>
    <w:rsid w:val="007E0F21"/>
    <w:rsid w:val="007E2E44"/>
    <w:rsid w:val="007E2F55"/>
    <w:rsid w:val="007E38B3"/>
    <w:rsid w:val="007E5BD6"/>
    <w:rsid w:val="007E5F30"/>
    <w:rsid w:val="007E5F50"/>
    <w:rsid w:val="007E7B55"/>
    <w:rsid w:val="007F212E"/>
    <w:rsid w:val="007F37DA"/>
    <w:rsid w:val="007F5334"/>
    <w:rsid w:val="007F586C"/>
    <w:rsid w:val="007F5ADA"/>
    <w:rsid w:val="007F5F6C"/>
    <w:rsid w:val="007F7870"/>
    <w:rsid w:val="0080084A"/>
    <w:rsid w:val="00801175"/>
    <w:rsid w:val="008032E5"/>
    <w:rsid w:val="00804B18"/>
    <w:rsid w:val="00806391"/>
    <w:rsid w:val="00806669"/>
    <w:rsid w:val="00806BC4"/>
    <w:rsid w:val="00807971"/>
    <w:rsid w:val="00807F88"/>
    <w:rsid w:val="00810989"/>
    <w:rsid w:val="00810BBE"/>
    <w:rsid w:val="00811B4E"/>
    <w:rsid w:val="00813A1B"/>
    <w:rsid w:val="00813BF8"/>
    <w:rsid w:val="00815889"/>
    <w:rsid w:val="00815EE4"/>
    <w:rsid w:val="008169EC"/>
    <w:rsid w:val="00817059"/>
    <w:rsid w:val="00817EFD"/>
    <w:rsid w:val="008204BF"/>
    <w:rsid w:val="00823BF5"/>
    <w:rsid w:val="00823E76"/>
    <w:rsid w:val="008240F2"/>
    <w:rsid w:val="0082468C"/>
    <w:rsid w:val="00826EE8"/>
    <w:rsid w:val="0082760E"/>
    <w:rsid w:val="00827D41"/>
    <w:rsid w:val="00827E2E"/>
    <w:rsid w:val="0083066E"/>
    <w:rsid w:val="00832DD6"/>
    <w:rsid w:val="00834E54"/>
    <w:rsid w:val="0083721F"/>
    <w:rsid w:val="00837E31"/>
    <w:rsid w:val="0084064C"/>
    <w:rsid w:val="00842327"/>
    <w:rsid w:val="00843043"/>
    <w:rsid w:val="008435E2"/>
    <w:rsid w:val="008447E9"/>
    <w:rsid w:val="00844CC9"/>
    <w:rsid w:val="00844E7A"/>
    <w:rsid w:val="00844F67"/>
    <w:rsid w:val="00845B83"/>
    <w:rsid w:val="00845F3A"/>
    <w:rsid w:val="00845FA7"/>
    <w:rsid w:val="00845FEC"/>
    <w:rsid w:val="00846374"/>
    <w:rsid w:val="008463CF"/>
    <w:rsid w:val="008501A4"/>
    <w:rsid w:val="0085047A"/>
    <w:rsid w:val="00850BE3"/>
    <w:rsid w:val="00850E21"/>
    <w:rsid w:val="00853E4A"/>
    <w:rsid w:val="00855659"/>
    <w:rsid w:val="00855E5D"/>
    <w:rsid w:val="00856A62"/>
    <w:rsid w:val="00856B83"/>
    <w:rsid w:val="00857EB6"/>
    <w:rsid w:val="008605C6"/>
    <w:rsid w:val="00861458"/>
    <w:rsid w:val="008619A3"/>
    <w:rsid w:val="008628A3"/>
    <w:rsid w:val="008634FC"/>
    <w:rsid w:val="0086369B"/>
    <w:rsid w:val="00863C2E"/>
    <w:rsid w:val="00864BDC"/>
    <w:rsid w:val="00866471"/>
    <w:rsid w:val="0086790A"/>
    <w:rsid w:val="00870D39"/>
    <w:rsid w:val="008728D5"/>
    <w:rsid w:val="00872BE8"/>
    <w:rsid w:val="00872D08"/>
    <w:rsid w:val="008733A7"/>
    <w:rsid w:val="00874017"/>
    <w:rsid w:val="0087669F"/>
    <w:rsid w:val="00883C70"/>
    <w:rsid w:val="00883CBE"/>
    <w:rsid w:val="00883F5E"/>
    <w:rsid w:val="00885052"/>
    <w:rsid w:val="0088574B"/>
    <w:rsid w:val="00885887"/>
    <w:rsid w:val="00885C7E"/>
    <w:rsid w:val="008860BA"/>
    <w:rsid w:val="008864C2"/>
    <w:rsid w:val="008873FE"/>
    <w:rsid w:val="00890952"/>
    <w:rsid w:val="008926AD"/>
    <w:rsid w:val="00893187"/>
    <w:rsid w:val="00893AA3"/>
    <w:rsid w:val="00895594"/>
    <w:rsid w:val="008960D6"/>
    <w:rsid w:val="008A0C86"/>
    <w:rsid w:val="008A0EAC"/>
    <w:rsid w:val="008A24C4"/>
    <w:rsid w:val="008A2D56"/>
    <w:rsid w:val="008A2D66"/>
    <w:rsid w:val="008A4102"/>
    <w:rsid w:val="008A5E69"/>
    <w:rsid w:val="008A675A"/>
    <w:rsid w:val="008B0BE8"/>
    <w:rsid w:val="008B159F"/>
    <w:rsid w:val="008B1EF6"/>
    <w:rsid w:val="008B29B0"/>
    <w:rsid w:val="008B6CFB"/>
    <w:rsid w:val="008B70D4"/>
    <w:rsid w:val="008B7FEB"/>
    <w:rsid w:val="008C1918"/>
    <w:rsid w:val="008C22DE"/>
    <w:rsid w:val="008C25BE"/>
    <w:rsid w:val="008C2ADD"/>
    <w:rsid w:val="008C3CF2"/>
    <w:rsid w:val="008C46DA"/>
    <w:rsid w:val="008C4DFD"/>
    <w:rsid w:val="008C52BF"/>
    <w:rsid w:val="008D0536"/>
    <w:rsid w:val="008D0D04"/>
    <w:rsid w:val="008D1111"/>
    <w:rsid w:val="008D192C"/>
    <w:rsid w:val="008D24A0"/>
    <w:rsid w:val="008D2FD2"/>
    <w:rsid w:val="008D3FFC"/>
    <w:rsid w:val="008D5389"/>
    <w:rsid w:val="008D5A7D"/>
    <w:rsid w:val="008D6A27"/>
    <w:rsid w:val="008D7333"/>
    <w:rsid w:val="008D7AC0"/>
    <w:rsid w:val="008D7B9C"/>
    <w:rsid w:val="008E29F5"/>
    <w:rsid w:val="008E61C1"/>
    <w:rsid w:val="008E662E"/>
    <w:rsid w:val="008E73D5"/>
    <w:rsid w:val="008E76D1"/>
    <w:rsid w:val="008F0C03"/>
    <w:rsid w:val="008F454A"/>
    <w:rsid w:val="008F4FDC"/>
    <w:rsid w:val="008F55C5"/>
    <w:rsid w:val="008F668A"/>
    <w:rsid w:val="008F69B2"/>
    <w:rsid w:val="008F788A"/>
    <w:rsid w:val="00900473"/>
    <w:rsid w:val="00900D40"/>
    <w:rsid w:val="00900DD9"/>
    <w:rsid w:val="00901BAF"/>
    <w:rsid w:val="00902C78"/>
    <w:rsid w:val="00902C84"/>
    <w:rsid w:val="00902CB7"/>
    <w:rsid w:val="009033D1"/>
    <w:rsid w:val="0090390A"/>
    <w:rsid w:val="00903CE2"/>
    <w:rsid w:val="0090596D"/>
    <w:rsid w:val="009061E0"/>
    <w:rsid w:val="009068B8"/>
    <w:rsid w:val="00906FC2"/>
    <w:rsid w:val="00910D2B"/>
    <w:rsid w:val="00910DDF"/>
    <w:rsid w:val="00910F6E"/>
    <w:rsid w:val="0091121B"/>
    <w:rsid w:val="00911A6B"/>
    <w:rsid w:val="009137CF"/>
    <w:rsid w:val="00913D1C"/>
    <w:rsid w:val="009154CE"/>
    <w:rsid w:val="00915958"/>
    <w:rsid w:val="0091677B"/>
    <w:rsid w:val="00917869"/>
    <w:rsid w:val="009209A4"/>
    <w:rsid w:val="00921D2F"/>
    <w:rsid w:val="00924B00"/>
    <w:rsid w:val="00924D8B"/>
    <w:rsid w:val="00925DA3"/>
    <w:rsid w:val="0092635C"/>
    <w:rsid w:val="0092653C"/>
    <w:rsid w:val="009269FE"/>
    <w:rsid w:val="00927040"/>
    <w:rsid w:val="009271C4"/>
    <w:rsid w:val="00930495"/>
    <w:rsid w:val="0093206E"/>
    <w:rsid w:val="009329D3"/>
    <w:rsid w:val="0093611B"/>
    <w:rsid w:val="00936798"/>
    <w:rsid w:val="00937C11"/>
    <w:rsid w:val="00942FD8"/>
    <w:rsid w:val="00943BB3"/>
    <w:rsid w:val="00944140"/>
    <w:rsid w:val="00944F6C"/>
    <w:rsid w:val="00945F98"/>
    <w:rsid w:val="009462F2"/>
    <w:rsid w:val="00946D85"/>
    <w:rsid w:val="00947036"/>
    <w:rsid w:val="00947BD9"/>
    <w:rsid w:val="00947DF0"/>
    <w:rsid w:val="00952D33"/>
    <w:rsid w:val="00953005"/>
    <w:rsid w:val="0095328D"/>
    <w:rsid w:val="009534DB"/>
    <w:rsid w:val="009537F4"/>
    <w:rsid w:val="00953A1A"/>
    <w:rsid w:val="00957D18"/>
    <w:rsid w:val="00960E3F"/>
    <w:rsid w:val="00962E53"/>
    <w:rsid w:val="009640A9"/>
    <w:rsid w:val="00965B61"/>
    <w:rsid w:val="00965D13"/>
    <w:rsid w:val="009704E0"/>
    <w:rsid w:val="00971064"/>
    <w:rsid w:val="009714CA"/>
    <w:rsid w:val="00971787"/>
    <w:rsid w:val="00971C9B"/>
    <w:rsid w:val="00971E92"/>
    <w:rsid w:val="00972A8C"/>
    <w:rsid w:val="00974149"/>
    <w:rsid w:val="00974A35"/>
    <w:rsid w:val="009750DD"/>
    <w:rsid w:val="009759FD"/>
    <w:rsid w:val="0097655E"/>
    <w:rsid w:val="009800AD"/>
    <w:rsid w:val="00981E5C"/>
    <w:rsid w:val="00982A9C"/>
    <w:rsid w:val="00984216"/>
    <w:rsid w:val="0098567F"/>
    <w:rsid w:val="00986526"/>
    <w:rsid w:val="00992F1B"/>
    <w:rsid w:val="00993134"/>
    <w:rsid w:val="00996925"/>
    <w:rsid w:val="009A14B4"/>
    <w:rsid w:val="009A192E"/>
    <w:rsid w:val="009A22FD"/>
    <w:rsid w:val="009A258F"/>
    <w:rsid w:val="009A2ACE"/>
    <w:rsid w:val="009A385E"/>
    <w:rsid w:val="009A39D0"/>
    <w:rsid w:val="009A424E"/>
    <w:rsid w:val="009A54D7"/>
    <w:rsid w:val="009A67C2"/>
    <w:rsid w:val="009B1781"/>
    <w:rsid w:val="009B1F1D"/>
    <w:rsid w:val="009B56BC"/>
    <w:rsid w:val="009B6273"/>
    <w:rsid w:val="009B6EC2"/>
    <w:rsid w:val="009B7A63"/>
    <w:rsid w:val="009C0A74"/>
    <w:rsid w:val="009C1ACF"/>
    <w:rsid w:val="009C1C12"/>
    <w:rsid w:val="009C210E"/>
    <w:rsid w:val="009C3F30"/>
    <w:rsid w:val="009C4E98"/>
    <w:rsid w:val="009C4FBB"/>
    <w:rsid w:val="009C661B"/>
    <w:rsid w:val="009D6AF1"/>
    <w:rsid w:val="009D6AF9"/>
    <w:rsid w:val="009D6B8A"/>
    <w:rsid w:val="009D7D14"/>
    <w:rsid w:val="009E0F0F"/>
    <w:rsid w:val="009E172F"/>
    <w:rsid w:val="009E1BA1"/>
    <w:rsid w:val="009E22F8"/>
    <w:rsid w:val="009E2704"/>
    <w:rsid w:val="009E2A06"/>
    <w:rsid w:val="009E3BF8"/>
    <w:rsid w:val="009E427F"/>
    <w:rsid w:val="009E42F4"/>
    <w:rsid w:val="009E643E"/>
    <w:rsid w:val="009E670D"/>
    <w:rsid w:val="009E7B72"/>
    <w:rsid w:val="009F0DBD"/>
    <w:rsid w:val="009F1BF8"/>
    <w:rsid w:val="009F446A"/>
    <w:rsid w:val="009F4E7C"/>
    <w:rsid w:val="009F4F6C"/>
    <w:rsid w:val="009F5A87"/>
    <w:rsid w:val="00A002D5"/>
    <w:rsid w:val="00A0081E"/>
    <w:rsid w:val="00A019F1"/>
    <w:rsid w:val="00A033B7"/>
    <w:rsid w:val="00A03797"/>
    <w:rsid w:val="00A03B18"/>
    <w:rsid w:val="00A03BAA"/>
    <w:rsid w:val="00A04369"/>
    <w:rsid w:val="00A052C1"/>
    <w:rsid w:val="00A05758"/>
    <w:rsid w:val="00A06B9A"/>
    <w:rsid w:val="00A075E5"/>
    <w:rsid w:val="00A07CB0"/>
    <w:rsid w:val="00A107E5"/>
    <w:rsid w:val="00A11C11"/>
    <w:rsid w:val="00A124E2"/>
    <w:rsid w:val="00A15D76"/>
    <w:rsid w:val="00A16078"/>
    <w:rsid w:val="00A1612A"/>
    <w:rsid w:val="00A1612C"/>
    <w:rsid w:val="00A16208"/>
    <w:rsid w:val="00A165FF"/>
    <w:rsid w:val="00A16EB5"/>
    <w:rsid w:val="00A16F12"/>
    <w:rsid w:val="00A21CC8"/>
    <w:rsid w:val="00A22B39"/>
    <w:rsid w:val="00A22E3B"/>
    <w:rsid w:val="00A2342D"/>
    <w:rsid w:val="00A241DA"/>
    <w:rsid w:val="00A245BA"/>
    <w:rsid w:val="00A24735"/>
    <w:rsid w:val="00A255F2"/>
    <w:rsid w:val="00A26096"/>
    <w:rsid w:val="00A26AD7"/>
    <w:rsid w:val="00A26BBA"/>
    <w:rsid w:val="00A27455"/>
    <w:rsid w:val="00A308F2"/>
    <w:rsid w:val="00A30E60"/>
    <w:rsid w:val="00A31526"/>
    <w:rsid w:val="00A319BF"/>
    <w:rsid w:val="00A3683D"/>
    <w:rsid w:val="00A3704F"/>
    <w:rsid w:val="00A372F1"/>
    <w:rsid w:val="00A37694"/>
    <w:rsid w:val="00A4056A"/>
    <w:rsid w:val="00A412CD"/>
    <w:rsid w:val="00A416B4"/>
    <w:rsid w:val="00A42790"/>
    <w:rsid w:val="00A43098"/>
    <w:rsid w:val="00A43FAD"/>
    <w:rsid w:val="00A455D0"/>
    <w:rsid w:val="00A458A9"/>
    <w:rsid w:val="00A461FD"/>
    <w:rsid w:val="00A46373"/>
    <w:rsid w:val="00A46423"/>
    <w:rsid w:val="00A47100"/>
    <w:rsid w:val="00A471DB"/>
    <w:rsid w:val="00A47A64"/>
    <w:rsid w:val="00A47FCC"/>
    <w:rsid w:val="00A51064"/>
    <w:rsid w:val="00A51A2F"/>
    <w:rsid w:val="00A52FA3"/>
    <w:rsid w:val="00A535CC"/>
    <w:rsid w:val="00A5492C"/>
    <w:rsid w:val="00A55484"/>
    <w:rsid w:val="00A555ED"/>
    <w:rsid w:val="00A5563F"/>
    <w:rsid w:val="00A61008"/>
    <w:rsid w:val="00A62462"/>
    <w:rsid w:val="00A6358B"/>
    <w:rsid w:val="00A64591"/>
    <w:rsid w:val="00A661EE"/>
    <w:rsid w:val="00A66A5B"/>
    <w:rsid w:val="00A67B4C"/>
    <w:rsid w:val="00A701E8"/>
    <w:rsid w:val="00A7069A"/>
    <w:rsid w:val="00A7179E"/>
    <w:rsid w:val="00A71CC5"/>
    <w:rsid w:val="00A7247A"/>
    <w:rsid w:val="00A736DC"/>
    <w:rsid w:val="00A74446"/>
    <w:rsid w:val="00A74F1D"/>
    <w:rsid w:val="00A75650"/>
    <w:rsid w:val="00A75E6E"/>
    <w:rsid w:val="00A802CB"/>
    <w:rsid w:val="00A80382"/>
    <w:rsid w:val="00A8041E"/>
    <w:rsid w:val="00A82C48"/>
    <w:rsid w:val="00A82E15"/>
    <w:rsid w:val="00A83FB3"/>
    <w:rsid w:val="00A9048F"/>
    <w:rsid w:val="00A90FE4"/>
    <w:rsid w:val="00A913F9"/>
    <w:rsid w:val="00A91508"/>
    <w:rsid w:val="00A916AD"/>
    <w:rsid w:val="00A92E43"/>
    <w:rsid w:val="00A955C1"/>
    <w:rsid w:val="00A96CB9"/>
    <w:rsid w:val="00AA003C"/>
    <w:rsid w:val="00AA0E61"/>
    <w:rsid w:val="00AA1545"/>
    <w:rsid w:val="00AA25F4"/>
    <w:rsid w:val="00AA318D"/>
    <w:rsid w:val="00AA3BCB"/>
    <w:rsid w:val="00AA64AA"/>
    <w:rsid w:val="00AA728E"/>
    <w:rsid w:val="00AB041C"/>
    <w:rsid w:val="00AB0FF8"/>
    <w:rsid w:val="00AB128D"/>
    <w:rsid w:val="00AB162E"/>
    <w:rsid w:val="00AB1AD6"/>
    <w:rsid w:val="00AB262D"/>
    <w:rsid w:val="00AB2B30"/>
    <w:rsid w:val="00AB306A"/>
    <w:rsid w:val="00AB391D"/>
    <w:rsid w:val="00AB3AE6"/>
    <w:rsid w:val="00AB4D28"/>
    <w:rsid w:val="00AB5E85"/>
    <w:rsid w:val="00AB6011"/>
    <w:rsid w:val="00AB60B9"/>
    <w:rsid w:val="00AB65A3"/>
    <w:rsid w:val="00AB6DFD"/>
    <w:rsid w:val="00AB7073"/>
    <w:rsid w:val="00AC04A9"/>
    <w:rsid w:val="00AC13E1"/>
    <w:rsid w:val="00AC224A"/>
    <w:rsid w:val="00AC246E"/>
    <w:rsid w:val="00AC293B"/>
    <w:rsid w:val="00AC30CB"/>
    <w:rsid w:val="00AC313B"/>
    <w:rsid w:val="00AC368C"/>
    <w:rsid w:val="00AC43F7"/>
    <w:rsid w:val="00AC4E1D"/>
    <w:rsid w:val="00AC4F80"/>
    <w:rsid w:val="00AC5465"/>
    <w:rsid w:val="00AC5AB9"/>
    <w:rsid w:val="00AC670A"/>
    <w:rsid w:val="00AC6CD7"/>
    <w:rsid w:val="00AC6F60"/>
    <w:rsid w:val="00AC744F"/>
    <w:rsid w:val="00AC7D06"/>
    <w:rsid w:val="00AD02D3"/>
    <w:rsid w:val="00AD0708"/>
    <w:rsid w:val="00AD0959"/>
    <w:rsid w:val="00AD125D"/>
    <w:rsid w:val="00AD18AF"/>
    <w:rsid w:val="00AD18DA"/>
    <w:rsid w:val="00AD24D4"/>
    <w:rsid w:val="00AD39C0"/>
    <w:rsid w:val="00AD39E5"/>
    <w:rsid w:val="00AD590C"/>
    <w:rsid w:val="00AD5D08"/>
    <w:rsid w:val="00AD7F06"/>
    <w:rsid w:val="00AE09A4"/>
    <w:rsid w:val="00AE0AAB"/>
    <w:rsid w:val="00AE34EC"/>
    <w:rsid w:val="00AE596E"/>
    <w:rsid w:val="00AE67C1"/>
    <w:rsid w:val="00AE694E"/>
    <w:rsid w:val="00AE6BB1"/>
    <w:rsid w:val="00AE7BB0"/>
    <w:rsid w:val="00AF179B"/>
    <w:rsid w:val="00AF38B0"/>
    <w:rsid w:val="00AF59F9"/>
    <w:rsid w:val="00AF6956"/>
    <w:rsid w:val="00AF7061"/>
    <w:rsid w:val="00AF70D5"/>
    <w:rsid w:val="00AF752E"/>
    <w:rsid w:val="00AF7C0D"/>
    <w:rsid w:val="00B00D50"/>
    <w:rsid w:val="00B010DC"/>
    <w:rsid w:val="00B018D9"/>
    <w:rsid w:val="00B02371"/>
    <w:rsid w:val="00B04491"/>
    <w:rsid w:val="00B06276"/>
    <w:rsid w:val="00B068D4"/>
    <w:rsid w:val="00B0768A"/>
    <w:rsid w:val="00B07CEE"/>
    <w:rsid w:val="00B101CD"/>
    <w:rsid w:val="00B106E7"/>
    <w:rsid w:val="00B11137"/>
    <w:rsid w:val="00B120A2"/>
    <w:rsid w:val="00B1339B"/>
    <w:rsid w:val="00B13536"/>
    <w:rsid w:val="00B13629"/>
    <w:rsid w:val="00B1413C"/>
    <w:rsid w:val="00B14170"/>
    <w:rsid w:val="00B1472C"/>
    <w:rsid w:val="00B149E0"/>
    <w:rsid w:val="00B14AB2"/>
    <w:rsid w:val="00B173DA"/>
    <w:rsid w:val="00B17BC6"/>
    <w:rsid w:val="00B17DC5"/>
    <w:rsid w:val="00B219A3"/>
    <w:rsid w:val="00B23C26"/>
    <w:rsid w:val="00B23C46"/>
    <w:rsid w:val="00B23CD8"/>
    <w:rsid w:val="00B258D7"/>
    <w:rsid w:val="00B25FBC"/>
    <w:rsid w:val="00B26725"/>
    <w:rsid w:val="00B3038A"/>
    <w:rsid w:val="00B309B6"/>
    <w:rsid w:val="00B31EA7"/>
    <w:rsid w:val="00B32264"/>
    <w:rsid w:val="00B32B9B"/>
    <w:rsid w:val="00B32FD2"/>
    <w:rsid w:val="00B33974"/>
    <w:rsid w:val="00B33A77"/>
    <w:rsid w:val="00B34834"/>
    <w:rsid w:val="00B3499C"/>
    <w:rsid w:val="00B349AA"/>
    <w:rsid w:val="00B353BA"/>
    <w:rsid w:val="00B357A9"/>
    <w:rsid w:val="00B359A0"/>
    <w:rsid w:val="00B359C6"/>
    <w:rsid w:val="00B3634A"/>
    <w:rsid w:val="00B374B1"/>
    <w:rsid w:val="00B4001D"/>
    <w:rsid w:val="00B41E98"/>
    <w:rsid w:val="00B42F6C"/>
    <w:rsid w:val="00B43CD8"/>
    <w:rsid w:val="00B45018"/>
    <w:rsid w:val="00B466AE"/>
    <w:rsid w:val="00B4687F"/>
    <w:rsid w:val="00B46B01"/>
    <w:rsid w:val="00B46FAC"/>
    <w:rsid w:val="00B47374"/>
    <w:rsid w:val="00B506B4"/>
    <w:rsid w:val="00B50F1E"/>
    <w:rsid w:val="00B53832"/>
    <w:rsid w:val="00B5425F"/>
    <w:rsid w:val="00B54B9F"/>
    <w:rsid w:val="00B55B43"/>
    <w:rsid w:val="00B56B3F"/>
    <w:rsid w:val="00B60259"/>
    <w:rsid w:val="00B602A4"/>
    <w:rsid w:val="00B6116A"/>
    <w:rsid w:val="00B61643"/>
    <w:rsid w:val="00B6247B"/>
    <w:rsid w:val="00B63999"/>
    <w:rsid w:val="00B63EC2"/>
    <w:rsid w:val="00B65135"/>
    <w:rsid w:val="00B65944"/>
    <w:rsid w:val="00B65A1C"/>
    <w:rsid w:val="00B664BB"/>
    <w:rsid w:val="00B67DFF"/>
    <w:rsid w:val="00B701AF"/>
    <w:rsid w:val="00B70302"/>
    <w:rsid w:val="00B7126D"/>
    <w:rsid w:val="00B73A89"/>
    <w:rsid w:val="00B73AD5"/>
    <w:rsid w:val="00B74B61"/>
    <w:rsid w:val="00B769E1"/>
    <w:rsid w:val="00B77DAE"/>
    <w:rsid w:val="00B77DE3"/>
    <w:rsid w:val="00B80263"/>
    <w:rsid w:val="00B8167F"/>
    <w:rsid w:val="00B81868"/>
    <w:rsid w:val="00B81897"/>
    <w:rsid w:val="00B82637"/>
    <w:rsid w:val="00B8269E"/>
    <w:rsid w:val="00B82D68"/>
    <w:rsid w:val="00B84356"/>
    <w:rsid w:val="00B85C1D"/>
    <w:rsid w:val="00B91CEB"/>
    <w:rsid w:val="00B92BD9"/>
    <w:rsid w:val="00B93E25"/>
    <w:rsid w:val="00B96095"/>
    <w:rsid w:val="00B96E2C"/>
    <w:rsid w:val="00BA0E4D"/>
    <w:rsid w:val="00BA0EAB"/>
    <w:rsid w:val="00BA1296"/>
    <w:rsid w:val="00BA468F"/>
    <w:rsid w:val="00BA55C7"/>
    <w:rsid w:val="00BA5806"/>
    <w:rsid w:val="00BA5D4C"/>
    <w:rsid w:val="00BA6C3C"/>
    <w:rsid w:val="00BA7887"/>
    <w:rsid w:val="00BA7B49"/>
    <w:rsid w:val="00BB2198"/>
    <w:rsid w:val="00BB37C9"/>
    <w:rsid w:val="00BB4494"/>
    <w:rsid w:val="00BB45C9"/>
    <w:rsid w:val="00BB45E2"/>
    <w:rsid w:val="00BB48BB"/>
    <w:rsid w:val="00BB4C2D"/>
    <w:rsid w:val="00BB6AF9"/>
    <w:rsid w:val="00BB7231"/>
    <w:rsid w:val="00BB7D2A"/>
    <w:rsid w:val="00BC0E25"/>
    <w:rsid w:val="00BC12E6"/>
    <w:rsid w:val="00BC22FB"/>
    <w:rsid w:val="00BC2AF8"/>
    <w:rsid w:val="00BC4ADA"/>
    <w:rsid w:val="00BC5A96"/>
    <w:rsid w:val="00BC5CA7"/>
    <w:rsid w:val="00BC60F5"/>
    <w:rsid w:val="00BC7365"/>
    <w:rsid w:val="00BC754E"/>
    <w:rsid w:val="00BD0A57"/>
    <w:rsid w:val="00BD0C3A"/>
    <w:rsid w:val="00BD13B8"/>
    <w:rsid w:val="00BD36DD"/>
    <w:rsid w:val="00BD4EFC"/>
    <w:rsid w:val="00BD5614"/>
    <w:rsid w:val="00BD592C"/>
    <w:rsid w:val="00BD5C01"/>
    <w:rsid w:val="00BD7DB0"/>
    <w:rsid w:val="00BE0073"/>
    <w:rsid w:val="00BE0190"/>
    <w:rsid w:val="00BE10C2"/>
    <w:rsid w:val="00BE145D"/>
    <w:rsid w:val="00BE1F85"/>
    <w:rsid w:val="00BE2028"/>
    <w:rsid w:val="00BE2979"/>
    <w:rsid w:val="00BE359C"/>
    <w:rsid w:val="00BE35BF"/>
    <w:rsid w:val="00BE4009"/>
    <w:rsid w:val="00BE6133"/>
    <w:rsid w:val="00BE6330"/>
    <w:rsid w:val="00BE68A5"/>
    <w:rsid w:val="00BE6929"/>
    <w:rsid w:val="00BE6B5B"/>
    <w:rsid w:val="00BE6B8C"/>
    <w:rsid w:val="00BE7CB6"/>
    <w:rsid w:val="00BE7EDF"/>
    <w:rsid w:val="00BF0E79"/>
    <w:rsid w:val="00BF2FE8"/>
    <w:rsid w:val="00BF3455"/>
    <w:rsid w:val="00BF3735"/>
    <w:rsid w:val="00BF61A2"/>
    <w:rsid w:val="00BF77C0"/>
    <w:rsid w:val="00BF7AF1"/>
    <w:rsid w:val="00C00D04"/>
    <w:rsid w:val="00C0149A"/>
    <w:rsid w:val="00C01CD2"/>
    <w:rsid w:val="00C021E5"/>
    <w:rsid w:val="00C02382"/>
    <w:rsid w:val="00C02698"/>
    <w:rsid w:val="00C02919"/>
    <w:rsid w:val="00C02D7F"/>
    <w:rsid w:val="00C03770"/>
    <w:rsid w:val="00C0489A"/>
    <w:rsid w:val="00C05B5B"/>
    <w:rsid w:val="00C0607C"/>
    <w:rsid w:val="00C07412"/>
    <w:rsid w:val="00C07F45"/>
    <w:rsid w:val="00C1157C"/>
    <w:rsid w:val="00C132F8"/>
    <w:rsid w:val="00C142C7"/>
    <w:rsid w:val="00C16B05"/>
    <w:rsid w:val="00C20283"/>
    <w:rsid w:val="00C20FCA"/>
    <w:rsid w:val="00C21268"/>
    <w:rsid w:val="00C21294"/>
    <w:rsid w:val="00C22386"/>
    <w:rsid w:val="00C231F0"/>
    <w:rsid w:val="00C23D7E"/>
    <w:rsid w:val="00C26429"/>
    <w:rsid w:val="00C277C8"/>
    <w:rsid w:val="00C300F8"/>
    <w:rsid w:val="00C33C58"/>
    <w:rsid w:val="00C3447F"/>
    <w:rsid w:val="00C345C2"/>
    <w:rsid w:val="00C346FC"/>
    <w:rsid w:val="00C353B7"/>
    <w:rsid w:val="00C35B12"/>
    <w:rsid w:val="00C35FC0"/>
    <w:rsid w:val="00C36A41"/>
    <w:rsid w:val="00C37684"/>
    <w:rsid w:val="00C4018B"/>
    <w:rsid w:val="00C408B9"/>
    <w:rsid w:val="00C439D0"/>
    <w:rsid w:val="00C43C8D"/>
    <w:rsid w:val="00C44369"/>
    <w:rsid w:val="00C465BE"/>
    <w:rsid w:val="00C512DE"/>
    <w:rsid w:val="00C5239A"/>
    <w:rsid w:val="00C52C59"/>
    <w:rsid w:val="00C540CD"/>
    <w:rsid w:val="00C5454E"/>
    <w:rsid w:val="00C549DB"/>
    <w:rsid w:val="00C54C3D"/>
    <w:rsid w:val="00C54F6D"/>
    <w:rsid w:val="00C55C71"/>
    <w:rsid w:val="00C60A11"/>
    <w:rsid w:val="00C60DBE"/>
    <w:rsid w:val="00C63404"/>
    <w:rsid w:val="00C635CB"/>
    <w:rsid w:val="00C63D26"/>
    <w:rsid w:val="00C63FC4"/>
    <w:rsid w:val="00C64728"/>
    <w:rsid w:val="00C6527E"/>
    <w:rsid w:val="00C65D87"/>
    <w:rsid w:val="00C67588"/>
    <w:rsid w:val="00C6772F"/>
    <w:rsid w:val="00C71D7C"/>
    <w:rsid w:val="00C71EF2"/>
    <w:rsid w:val="00C72616"/>
    <w:rsid w:val="00C755CE"/>
    <w:rsid w:val="00C75C73"/>
    <w:rsid w:val="00C76B5E"/>
    <w:rsid w:val="00C77466"/>
    <w:rsid w:val="00C774BD"/>
    <w:rsid w:val="00C80E79"/>
    <w:rsid w:val="00C81388"/>
    <w:rsid w:val="00C81B24"/>
    <w:rsid w:val="00C82223"/>
    <w:rsid w:val="00C85F6D"/>
    <w:rsid w:val="00C86091"/>
    <w:rsid w:val="00C87150"/>
    <w:rsid w:val="00C904AF"/>
    <w:rsid w:val="00C911EA"/>
    <w:rsid w:val="00C923C0"/>
    <w:rsid w:val="00C9316B"/>
    <w:rsid w:val="00C931F5"/>
    <w:rsid w:val="00C93FFF"/>
    <w:rsid w:val="00C946BC"/>
    <w:rsid w:val="00C94FD8"/>
    <w:rsid w:val="00C970A4"/>
    <w:rsid w:val="00CA0CD0"/>
    <w:rsid w:val="00CA0E77"/>
    <w:rsid w:val="00CA1DF6"/>
    <w:rsid w:val="00CA37B9"/>
    <w:rsid w:val="00CA4062"/>
    <w:rsid w:val="00CA47A1"/>
    <w:rsid w:val="00CA5609"/>
    <w:rsid w:val="00CA5AE9"/>
    <w:rsid w:val="00CA651D"/>
    <w:rsid w:val="00CA67F3"/>
    <w:rsid w:val="00CA70B7"/>
    <w:rsid w:val="00CA7D27"/>
    <w:rsid w:val="00CB0039"/>
    <w:rsid w:val="00CB0EC7"/>
    <w:rsid w:val="00CB3E6F"/>
    <w:rsid w:val="00CB3F6B"/>
    <w:rsid w:val="00CB3FBE"/>
    <w:rsid w:val="00CB4379"/>
    <w:rsid w:val="00CB5671"/>
    <w:rsid w:val="00CB6B5D"/>
    <w:rsid w:val="00CB715C"/>
    <w:rsid w:val="00CC0EE7"/>
    <w:rsid w:val="00CC1A6E"/>
    <w:rsid w:val="00CC289E"/>
    <w:rsid w:val="00CC29BD"/>
    <w:rsid w:val="00CC3E3F"/>
    <w:rsid w:val="00CC46C2"/>
    <w:rsid w:val="00CC4DCA"/>
    <w:rsid w:val="00CC5F58"/>
    <w:rsid w:val="00CC75A3"/>
    <w:rsid w:val="00CC7711"/>
    <w:rsid w:val="00CC7A24"/>
    <w:rsid w:val="00CD0278"/>
    <w:rsid w:val="00CD0308"/>
    <w:rsid w:val="00CD08E4"/>
    <w:rsid w:val="00CD1EB4"/>
    <w:rsid w:val="00CD612B"/>
    <w:rsid w:val="00CD66A2"/>
    <w:rsid w:val="00CD785C"/>
    <w:rsid w:val="00CE0157"/>
    <w:rsid w:val="00CE1921"/>
    <w:rsid w:val="00CE1F19"/>
    <w:rsid w:val="00CE2CB1"/>
    <w:rsid w:val="00CE434E"/>
    <w:rsid w:val="00CE4BE1"/>
    <w:rsid w:val="00CE5289"/>
    <w:rsid w:val="00CE5E66"/>
    <w:rsid w:val="00CE7244"/>
    <w:rsid w:val="00CF412A"/>
    <w:rsid w:val="00CF421A"/>
    <w:rsid w:val="00CF5296"/>
    <w:rsid w:val="00CF620A"/>
    <w:rsid w:val="00CF7318"/>
    <w:rsid w:val="00CF74D9"/>
    <w:rsid w:val="00D0294F"/>
    <w:rsid w:val="00D03398"/>
    <w:rsid w:val="00D03428"/>
    <w:rsid w:val="00D03565"/>
    <w:rsid w:val="00D04883"/>
    <w:rsid w:val="00D04C78"/>
    <w:rsid w:val="00D0655B"/>
    <w:rsid w:val="00D10664"/>
    <w:rsid w:val="00D13490"/>
    <w:rsid w:val="00D13522"/>
    <w:rsid w:val="00D1433B"/>
    <w:rsid w:val="00D148B9"/>
    <w:rsid w:val="00D15F82"/>
    <w:rsid w:val="00D2131D"/>
    <w:rsid w:val="00D22489"/>
    <w:rsid w:val="00D22B36"/>
    <w:rsid w:val="00D23F9C"/>
    <w:rsid w:val="00D240A9"/>
    <w:rsid w:val="00D2586A"/>
    <w:rsid w:val="00D25938"/>
    <w:rsid w:val="00D25B6C"/>
    <w:rsid w:val="00D25CE3"/>
    <w:rsid w:val="00D26B7D"/>
    <w:rsid w:val="00D27AB0"/>
    <w:rsid w:val="00D30BB5"/>
    <w:rsid w:val="00D3274C"/>
    <w:rsid w:val="00D32C1B"/>
    <w:rsid w:val="00D33A84"/>
    <w:rsid w:val="00D33DC3"/>
    <w:rsid w:val="00D341A0"/>
    <w:rsid w:val="00D34A25"/>
    <w:rsid w:val="00D3521D"/>
    <w:rsid w:val="00D3578E"/>
    <w:rsid w:val="00D35F8D"/>
    <w:rsid w:val="00D36671"/>
    <w:rsid w:val="00D36A50"/>
    <w:rsid w:val="00D406F0"/>
    <w:rsid w:val="00D42B97"/>
    <w:rsid w:val="00D42F7A"/>
    <w:rsid w:val="00D4350E"/>
    <w:rsid w:val="00D43A1C"/>
    <w:rsid w:val="00D442FB"/>
    <w:rsid w:val="00D443E4"/>
    <w:rsid w:val="00D45EE8"/>
    <w:rsid w:val="00D461EA"/>
    <w:rsid w:val="00D46A8C"/>
    <w:rsid w:val="00D47059"/>
    <w:rsid w:val="00D4749A"/>
    <w:rsid w:val="00D47609"/>
    <w:rsid w:val="00D47CE9"/>
    <w:rsid w:val="00D500AE"/>
    <w:rsid w:val="00D51531"/>
    <w:rsid w:val="00D51D00"/>
    <w:rsid w:val="00D53275"/>
    <w:rsid w:val="00D54124"/>
    <w:rsid w:val="00D54F13"/>
    <w:rsid w:val="00D55313"/>
    <w:rsid w:val="00D568CD"/>
    <w:rsid w:val="00D56971"/>
    <w:rsid w:val="00D5778E"/>
    <w:rsid w:val="00D606AB"/>
    <w:rsid w:val="00D60925"/>
    <w:rsid w:val="00D60BFE"/>
    <w:rsid w:val="00D65038"/>
    <w:rsid w:val="00D66FDE"/>
    <w:rsid w:val="00D7101B"/>
    <w:rsid w:val="00D72377"/>
    <w:rsid w:val="00D7289E"/>
    <w:rsid w:val="00D74E11"/>
    <w:rsid w:val="00D75F16"/>
    <w:rsid w:val="00D768D2"/>
    <w:rsid w:val="00D76990"/>
    <w:rsid w:val="00D76A76"/>
    <w:rsid w:val="00D7732E"/>
    <w:rsid w:val="00D80716"/>
    <w:rsid w:val="00D83E80"/>
    <w:rsid w:val="00D84FAB"/>
    <w:rsid w:val="00D857F3"/>
    <w:rsid w:val="00D86450"/>
    <w:rsid w:val="00D86A43"/>
    <w:rsid w:val="00D901A5"/>
    <w:rsid w:val="00D90816"/>
    <w:rsid w:val="00D91178"/>
    <w:rsid w:val="00D92AB7"/>
    <w:rsid w:val="00D942C0"/>
    <w:rsid w:val="00D94855"/>
    <w:rsid w:val="00D94A37"/>
    <w:rsid w:val="00D950B1"/>
    <w:rsid w:val="00D95435"/>
    <w:rsid w:val="00D96483"/>
    <w:rsid w:val="00D9719D"/>
    <w:rsid w:val="00D97F06"/>
    <w:rsid w:val="00DA2B27"/>
    <w:rsid w:val="00DA3092"/>
    <w:rsid w:val="00DA5ACE"/>
    <w:rsid w:val="00DA6DC1"/>
    <w:rsid w:val="00DA75DA"/>
    <w:rsid w:val="00DA7BB6"/>
    <w:rsid w:val="00DB0999"/>
    <w:rsid w:val="00DB0FB7"/>
    <w:rsid w:val="00DB2C62"/>
    <w:rsid w:val="00DB3788"/>
    <w:rsid w:val="00DB3FC6"/>
    <w:rsid w:val="00DB41CB"/>
    <w:rsid w:val="00DB4678"/>
    <w:rsid w:val="00DB4C3E"/>
    <w:rsid w:val="00DB5E3B"/>
    <w:rsid w:val="00DB616A"/>
    <w:rsid w:val="00DB786C"/>
    <w:rsid w:val="00DC0B0D"/>
    <w:rsid w:val="00DC1277"/>
    <w:rsid w:val="00DC17A6"/>
    <w:rsid w:val="00DC3657"/>
    <w:rsid w:val="00DC42DF"/>
    <w:rsid w:val="00DC4BCF"/>
    <w:rsid w:val="00DC4E84"/>
    <w:rsid w:val="00DC68CC"/>
    <w:rsid w:val="00DC6D7F"/>
    <w:rsid w:val="00DC7048"/>
    <w:rsid w:val="00DD08AF"/>
    <w:rsid w:val="00DD156C"/>
    <w:rsid w:val="00DD2054"/>
    <w:rsid w:val="00DD261D"/>
    <w:rsid w:val="00DD2CFA"/>
    <w:rsid w:val="00DD44BB"/>
    <w:rsid w:val="00DD4DDC"/>
    <w:rsid w:val="00DD6026"/>
    <w:rsid w:val="00DE047B"/>
    <w:rsid w:val="00DE0816"/>
    <w:rsid w:val="00DE2447"/>
    <w:rsid w:val="00DE274D"/>
    <w:rsid w:val="00DE5569"/>
    <w:rsid w:val="00DE5E92"/>
    <w:rsid w:val="00DE65A2"/>
    <w:rsid w:val="00DE69EE"/>
    <w:rsid w:val="00DE6C27"/>
    <w:rsid w:val="00DE6FBC"/>
    <w:rsid w:val="00DE79FA"/>
    <w:rsid w:val="00DF081E"/>
    <w:rsid w:val="00DF2212"/>
    <w:rsid w:val="00DF2EF7"/>
    <w:rsid w:val="00DF3398"/>
    <w:rsid w:val="00DF439F"/>
    <w:rsid w:val="00DF5EE5"/>
    <w:rsid w:val="00DF6125"/>
    <w:rsid w:val="00DF7018"/>
    <w:rsid w:val="00E0079D"/>
    <w:rsid w:val="00E00B1F"/>
    <w:rsid w:val="00E00DC5"/>
    <w:rsid w:val="00E01352"/>
    <w:rsid w:val="00E01AB1"/>
    <w:rsid w:val="00E02B79"/>
    <w:rsid w:val="00E04271"/>
    <w:rsid w:val="00E0554A"/>
    <w:rsid w:val="00E057B8"/>
    <w:rsid w:val="00E06772"/>
    <w:rsid w:val="00E06A8B"/>
    <w:rsid w:val="00E06B4A"/>
    <w:rsid w:val="00E06C36"/>
    <w:rsid w:val="00E071B7"/>
    <w:rsid w:val="00E102A8"/>
    <w:rsid w:val="00E1083F"/>
    <w:rsid w:val="00E108B1"/>
    <w:rsid w:val="00E11234"/>
    <w:rsid w:val="00E126B3"/>
    <w:rsid w:val="00E12AE8"/>
    <w:rsid w:val="00E1366C"/>
    <w:rsid w:val="00E1369D"/>
    <w:rsid w:val="00E150BA"/>
    <w:rsid w:val="00E1615E"/>
    <w:rsid w:val="00E16EED"/>
    <w:rsid w:val="00E17F38"/>
    <w:rsid w:val="00E26727"/>
    <w:rsid w:val="00E26C0A"/>
    <w:rsid w:val="00E26C6C"/>
    <w:rsid w:val="00E310DA"/>
    <w:rsid w:val="00E31CCA"/>
    <w:rsid w:val="00E33BD7"/>
    <w:rsid w:val="00E344B2"/>
    <w:rsid w:val="00E34564"/>
    <w:rsid w:val="00E349CA"/>
    <w:rsid w:val="00E37C68"/>
    <w:rsid w:val="00E40835"/>
    <w:rsid w:val="00E40D4B"/>
    <w:rsid w:val="00E42E5D"/>
    <w:rsid w:val="00E45199"/>
    <w:rsid w:val="00E46089"/>
    <w:rsid w:val="00E4616F"/>
    <w:rsid w:val="00E461E3"/>
    <w:rsid w:val="00E46BB0"/>
    <w:rsid w:val="00E46FC3"/>
    <w:rsid w:val="00E51699"/>
    <w:rsid w:val="00E52B99"/>
    <w:rsid w:val="00E52BE9"/>
    <w:rsid w:val="00E53514"/>
    <w:rsid w:val="00E54E5D"/>
    <w:rsid w:val="00E55400"/>
    <w:rsid w:val="00E56814"/>
    <w:rsid w:val="00E572E5"/>
    <w:rsid w:val="00E57CF4"/>
    <w:rsid w:val="00E608CA"/>
    <w:rsid w:val="00E611E8"/>
    <w:rsid w:val="00E622E5"/>
    <w:rsid w:val="00E627F2"/>
    <w:rsid w:val="00E6308E"/>
    <w:rsid w:val="00E661F2"/>
    <w:rsid w:val="00E66C32"/>
    <w:rsid w:val="00E66C59"/>
    <w:rsid w:val="00E66D77"/>
    <w:rsid w:val="00E6707C"/>
    <w:rsid w:val="00E67438"/>
    <w:rsid w:val="00E71271"/>
    <w:rsid w:val="00E72EC2"/>
    <w:rsid w:val="00E753FD"/>
    <w:rsid w:val="00E763C7"/>
    <w:rsid w:val="00E814B1"/>
    <w:rsid w:val="00E82AD8"/>
    <w:rsid w:val="00E82B30"/>
    <w:rsid w:val="00E843B8"/>
    <w:rsid w:val="00E8530F"/>
    <w:rsid w:val="00E86F6B"/>
    <w:rsid w:val="00E8703A"/>
    <w:rsid w:val="00E874B6"/>
    <w:rsid w:val="00E878BB"/>
    <w:rsid w:val="00E879CA"/>
    <w:rsid w:val="00E87F8F"/>
    <w:rsid w:val="00E905FB"/>
    <w:rsid w:val="00E911CB"/>
    <w:rsid w:val="00E91F17"/>
    <w:rsid w:val="00E9280D"/>
    <w:rsid w:val="00E93203"/>
    <w:rsid w:val="00EA168B"/>
    <w:rsid w:val="00EA3233"/>
    <w:rsid w:val="00EA33EA"/>
    <w:rsid w:val="00EA352D"/>
    <w:rsid w:val="00EA453F"/>
    <w:rsid w:val="00EA50B9"/>
    <w:rsid w:val="00EA50D7"/>
    <w:rsid w:val="00EA5804"/>
    <w:rsid w:val="00EA72BA"/>
    <w:rsid w:val="00EB09F4"/>
    <w:rsid w:val="00EB0DFD"/>
    <w:rsid w:val="00EB1BD5"/>
    <w:rsid w:val="00EB22FA"/>
    <w:rsid w:val="00EB23C1"/>
    <w:rsid w:val="00EB29F0"/>
    <w:rsid w:val="00EB320E"/>
    <w:rsid w:val="00EB3309"/>
    <w:rsid w:val="00EB3F34"/>
    <w:rsid w:val="00EB5A60"/>
    <w:rsid w:val="00EB6967"/>
    <w:rsid w:val="00EB6C88"/>
    <w:rsid w:val="00EB6FB6"/>
    <w:rsid w:val="00EB7A1C"/>
    <w:rsid w:val="00EC0665"/>
    <w:rsid w:val="00EC3522"/>
    <w:rsid w:val="00EC3A90"/>
    <w:rsid w:val="00EC57F9"/>
    <w:rsid w:val="00EC63B2"/>
    <w:rsid w:val="00EC643C"/>
    <w:rsid w:val="00EC7B75"/>
    <w:rsid w:val="00ED3745"/>
    <w:rsid w:val="00ED7525"/>
    <w:rsid w:val="00EE01E2"/>
    <w:rsid w:val="00EE053F"/>
    <w:rsid w:val="00EE137D"/>
    <w:rsid w:val="00EE15AE"/>
    <w:rsid w:val="00EE16CD"/>
    <w:rsid w:val="00EE1CC6"/>
    <w:rsid w:val="00EE2154"/>
    <w:rsid w:val="00EE2CC2"/>
    <w:rsid w:val="00EE3E73"/>
    <w:rsid w:val="00EE5F3E"/>
    <w:rsid w:val="00EE67B3"/>
    <w:rsid w:val="00EE6DCB"/>
    <w:rsid w:val="00EE6EB4"/>
    <w:rsid w:val="00EE7010"/>
    <w:rsid w:val="00EF0324"/>
    <w:rsid w:val="00EF055A"/>
    <w:rsid w:val="00EF067D"/>
    <w:rsid w:val="00EF1163"/>
    <w:rsid w:val="00EF1406"/>
    <w:rsid w:val="00EF2000"/>
    <w:rsid w:val="00EF25B5"/>
    <w:rsid w:val="00EF2840"/>
    <w:rsid w:val="00EF3285"/>
    <w:rsid w:val="00EF793F"/>
    <w:rsid w:val="00EF7A15"/>
    <w:rsid w:val="00F002CB"/>
    <w:rsid w:val="00F00EDD"/>
    <w:rsid w:val="00F01298"/>
    <w:rsid w:val="00F01358"/>
    <w:rsid w:val="00F01E8D"/>
    <w:rsid w:val="00F027C0"/>
    <w:rsid w:val="00F02AC7"/>
    <w:rsid w:val="00F02DC5"/>
    <w:rsid w:val="00F02E35"/>
    <w:rsid w:val="00F055AC"/>
    <w:rsid w:val="00F05CA4"/>
    <w:rsid w:val="00F0779B"/>
    <w:rsid w:val="00F078B2"/>
    <w:rsid w:val="00F10E0B"/>
    <w:rsid w:val="00F118D1"/>
    <w:rsid w:val="00F11FDF"/>
    <w:rsid w:val="00F13A97"/>
    <w:rsid w:val="00F14052"/>
    <w:rsid w:val="00F14235"/>
    <w:rsid w:val="00F14BF9"/>
    <w:rsid w:val="00F16246"/>
    <w:rsid w:val="00F166DE"/>
    <w:rsid w:val="00F16F2A"/>
    <w:rsid w:val="00F16F39"/>
    <w:rsid w:val="00F20499"/>
    <w:rsid w:val="00F216FB"/>
    <w:rsid w:val="00F21ED3"/>
    <w:rsid w:val="00F22457"/>
    <w:rsid w:val="00F22DE2"/>
    <w:rsid w:val="00F230F6"/>
    <w:rsid w:val="00F2425C"/>
    <w:rsid w:val="00F25741"/>
    <w:rsid w:val="00F26496"/>
    <w:rsid w:val="00F267DC"/>
    <w:rsid w:val="00F27EB7"/>
    <w:rsid w:val="00F30291"/>
    <w:rsid w:val="00F323B3"/>
    <w:rsid w:val="00F32EA6"/>
    <w:rsid w:val="00F34A48"/>
    <w:rsid w:val="00F34B5E"/>
    <w:rsid w:val="00F356C2"/>
    <w:rsid w:val="00F36EB8"/>
    <w:rsid w:val="00F370A9"/>
    <w:rsid w:val="00F40F0B"/>
    <w:rsid w:val="00F429E0"/>
    <w:rsid w:val="00F42BAA"/>
    <w:rsid w:val="00F442EB"/>
    <w:rsid w:val="00F4451A"/>
    <w:rsid w:val="00F45046"/>
    <w:rsid w:val="00F461B6"/>
    <w:rsid w:val="00F463B2"/>
    <w:rsid w:val="00F46C32"/>
    <w:rsid w:val="00F478AF"/>
    <w:rsid w:val="00F47AF4"/>
    <w:rsid w:val="00F50956"/>
    <w:rsid w:val="00F5217A"/>
    <w:rsid w:val="00F529F6"/>
    <w:rsid w:val="00F536B1"/>
    <w:rsid w:val="00F53AF6"/>
    <w:rsid w:val="00F53EC8"/>
    <w:rsid w:val="00F54AA0"/>
    <w:rsid w:val="00F55501"/>
    <w:rsid w:val="00F556E6"/>
    <w:rsid w:val="00F558F9"/>
    <w:rsid w:val="00F570F7"/>
    <w:rsid w:val="00F57943"/>
    <w:rsid w:val="00F61F1C"/>
    <w:rsid w:val="00F627F5"/>
    <w:rsid w:val="00F62DD5"/>
    <w:rsid w:val="00F65698"/>
    <w:rsid w:val="00F65F8F"/>
    <w:rsid w:val="00F665DC"/>
    <w:rsid w:val="00F67887"/>
    <w:rsid w:val="00F705E3"/>
    <w:rsid w:val="00F731A4"/>
    <w:rsid w:val="00F73893"/>
    <w:rsid w:val="00F75D28"/>
    <w:rsid w:val="00F7654C"/>
    <w:rsid w:val="00F76F33"/>
    <w:rsid w:val="00F77671"/>
    <w:rsid w:val="00F825FD"/>
    <w:rsid w:val="00F827FF"/>
    <w:rsid w:val="00F82B11"/>
    <w:rsid w:val="00F86E95"/>
    <w:rsid w:val="00F871E9"/>
    <w:rsid w:val="00F873B0"/>
    <w:rsid w:val="00F8781E"/>
    <w:rsid w:val="00F90BC7"/>
    <w:rsid w:val="00F9159F"/>
    <w:rsid w:val="00F93FA9"/>
    <w:rsid w:val="00F9512B"/>
    <w:rsid w:val="00F952EE"/>
    <w:rsid w:val="00F954FD"/>
    <w:rsid w:val="00F95AE5"/>
    <w:rsid w:val="00F962C7"/>
    <w:rsid w:val="00F9752A"/>
    <w:rsid w:val="00FA1142"/>
    <w:rsid w:val="00FA1BAE"/>
    <w:rsid w:val="00FA2CCD"/>
    <w:rsid w:val="00FA3636"/>
    <w:rsid w:val="00FA4A92"/>
    <w:rsid w:val="00FA68E5"/>
    <w:rsid w:val="00FA6BE8"/>
    <w:rsid w:val="00FA79FE"/>
    <w:rsid w:val="00FA7AB1"/>
    <w:rsid w:val="00FA7D73"/>
    <w:rsid w:val="00FA7E7E"/>
    <w:rsid w:val="00FB19FC"/>
    <w:rsid w:val="00FB2B91"/>
    <w:rsid w:val="00FB4788"/>
    <w:rsid w:val="00FB59BB"/>
    <w:rsid w:val="00FB6AF0"/>
    <w:rsid w:val="00FB6E25"/>
    <w:rsid w:val="00FC14D4"/>
    <w:rsid w:val="00FC153C"/>
    <w:rsid w:val="00FC16FD"/>
    <w:rsid w:val="00FC1C70"/>
    <w:rsid w:val="00FC1CAA"/>
    <w:rsid w:val="00FC204C"/>
    <w:rsid w:val="00FC212C"/>
    <w:rsid w:val="00FC4580"/>
    <w:rsid w:val="00FC4D15"/>
    <w:rsid w:val="00FC54A3"/>
    <w:rsid w:val="00FC572F"/>
    <w:rsid w:val="00FC7D36"/>
    <w:rsid w:val="00FD0F7D"/>
    <w:rsid w:val="00FD1289"/>
    <w:rsid w:val="00FD18EF"/>
    <w:rsid w:val="00FD272B"/>
    <w:rsid w:val="00FD2D48"/>
    <w:rsid w:val="00FD41B8"/>
    <w:rsid w:val="00FD425E"/>
    <w:rsid w:val="00FD455D"/>
    <w:rsid w:val="00FD4A17"/>
    <w:rsid w:val="00FD61BD"/>
    <w:rsid w:val="00FD62AC"/>
    <w:rsid w:val="00FD7C14"/>
    <w:rsid w:val="00FD7E1D"/>
    <w:rsid w:val="00FD7FCC"/>
    <w:rsid w:val="00FE36BB"/>
    <w:rsid w:val="00FE3B59"/>
    <w:rsid w:val="00FE401E"/>
    <w:rsid w:val="00FE564B"/>
    <w:rsid w:val="00FE5B04"/>
    <w:rsid w:val="00FE5DA8"/>
    <w:rsid w:val="00FE5ECA"/>
    <w:rsid w:val="00FE78B9"/>
    <w:rsid w:val="00FF0226"/>
    <w:rsid w:val="00FF0692"/>
    <w:rsid w:val="00FF235B"/>
    <w:rsid w:val="00FF2F68"/>
    <w:rsid w:val="00FF46A4"/>
    <w:rsid w:val="00FF4D7B"/>
    <w:rsid w:val="00FF686D"/>
    <w:rsid w:val="00FF694A"/>
    <w:rsid w:val="00FF6CA9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BB7DD9-B7F6-481F-8D5C-16B4D79B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Book" w:eastAsia="Calibri" w:hAnsi="Franklin Gothic Book" w:cs="Franklin Gothic Medium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  <w:pPr>
      <w:widowControl w:val="0"/>
      <w:spacing w:after="200" w:line="276" w:lineRule="auto"/>
    </w:pPr>
    <w:rPr>
      <w:w w:val="92"/>
      <w:sz w:val="22"/>
      <w:szCs w:val="22"/>
      <w:lang w:val="en-US" w:eastAsia="en-US"/>
    </w:rPr>
  </w:style>
  <w:style w:type="paragraph" w:styleId="Nagwek1">
    <w:name w:val="heading 1"/>
    <w:basedOn w:val="Normalny"/>
    <w:link w:val="Nagwek1Znak"/>
    <w:uiPriority w:val="9"/>
    <w:qFormat/>
    <w:rsid w:val="00D75F16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w w:val="100"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6C1B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6C1B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5F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39C2"/>
    <w:pPr>
      <w:spacing w:after="0" w:line="240" w:lineRule="auto"/>
    </w:pPr>
    <w:rPr>
      <w:rFonts w:ascii="Segoe UI" w:hAnsi="Segoe UI" w:cs="Times New Roman"/>
      <w:w w:val="100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C39C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16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6FB"/>
  </w:style>
  <w:style w:type="paragraph" w:styleId="Stopka">
    <w:name w:val="footer"/>
    <w:basedOn w:val="Normalny"/>
    <w:link w:val="StopkaZnak"/>
    <w:uiPriority w:val="99"/>
    <w:unhideWhenUsed/>
    <w:rsid w:val="002C16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6FB"/>
  </w:style>
  <w:style w:type="table" w:customStyle="1" w:styleId="Tabela-Siatka1">
    <w:name w:val="Tabela - Siatka1"/>
    <w:basedOn w:val="Standardowy"/>
    <w:uiPriority w:val="59"/>
    <w:rsid w:val="00BB7231"/>
    <w:rPr>
      <w:rFonts w:ascii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rsid w:val="00BB7231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7231"/>
    <w:pPr>
      <w:spacing w:line="240" w:lineRule="auto"/>
    </w:pPr>
    <w:rPr>
      <w:rFonts w:ascii="Calibri" w:hAnsi="Calibri" w:cs="Times New Roman"/>
      <w:w w:val="100"/>
      <w:sz w:val="20"/>
      <w:szCs w:val="20"/>
      <w:lang w:val="x-none" w:eastAsia="x-none"/>
    </w:rPr>
  </w:style>
  <w:style w:type="table" w:customStyle="1" w:styleId="Tabela-Siatka10">
    <w:name w:val="Tabela - Siatka1"/>
    <w:basedOn w:val="Standardowy"/>
    <w:next w:val="Tabela-Siatka1"/>
    <w:uiPriority w:val="39"/>
    <w:rsid w:val="00BB7231"/>
    <w:rPr>
      <w:rFonts w:ascii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BB7231"/>
    <w:pPr>
      <w:widowControl/>
      <w:spacing w:after="0" w:line="240" w:lineRule="auto"/>
    </w:pPr>
    <w:rPr>
      <w:rFonts w:ascii="Calibri" w:hAnsi="Calibri" w:cs="Times New Roman"/>
      <w:w w:val="100"/>
      <w:sz w:val="20"/>
      <w:szCs w:val="20"/>
      <w:lang w:val="pl-PL" w:eastAsia="x-none"/>
    </w:rPr>
  </w:style>
  <w:style w:type="character" w:customStyle="1" w:styleId="TekstprzypisukocowegoZnak">
    <w:name w:val="Tekst przypisu końcowego Znak"/>
    <w:link w:val="Tekstprzypisukocowego"/>
    <w:uiPriority w:val="99"/>
    <w:rsid w:val="00BB7231"/>
    <w:rPr>
      <w:rFonts w:ascii="Calibri" w:eastAsia="Calibri" w:hAnsi="Calibri" w:cs="Times New Roman"/>
      <w:sz w:val="20"/>
      <w:szCs w:val="20"/>
      <w:lang w:val="pl-PL"/>
    </w:rPr>
  </w:style>
  <w:style w:type="character" w:styleId="Odwoanieprzypisukocowego">
    <w:name w:val="endnote reference"/>
    <w:uiPriority w:val="99"/>
    <w:unhideWhenUsed/>
    <w:rsid w:val="00BB7231"/>
    <w:rPr>
      <w:vertAlign w:val="superscript"/>
    </w:rPr>
  </w:style>
  <w:style w:type="character" w:customStyle="1" w:styleId="TematkomentarzaZnak">
    <w:name w:val="Temat komentarza Znak"/>
    <w:link w:val="Tematkomentarza"/>
    <w:uiPriority w:val="99"/>
    <w:semiHidden/>
    <w:rsid w:val="00BB7231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231"/>
    <w:pPr>
      <w:widowControl/>
    </w:pPr>
    <w:rPr>
      <w:b/>
      <w:bCs/>
      <w:lang w:val="pl-PL"/>
    </w:rPr>
  </w:style>
  <w:style w:type="character" w:customStyle="1" w:styleId="element-citation">
    <w:name w:val="element-citation"/>
    <w:basedOn w:val="Domylnaczcionkaakapitu"/>
    <w:rsid w:val="00BB7231"/>
  </w:style>
  <w:style w:type="character" w:customStyle="1" w:styleId="ref-journal">
    <w:name w:val="ref-journal"/>
    <w:basedOn w:val="Domylnaczcionkaakapitu"/>
    <w:rsid w:val="00BB7231"/>
  </w:style>
  <w:style w:type="character" w:customStyle="1" w:styleId="ref-vol">
    <w:name w:val="ref-vol"/>
    <w:basedOn w:val="Domylnaczcionkaakapitu"/>
    <w:rsid w:val="00BB7231"/>
  </w:style>
  <w:style w:type="character" w:styleId="Odwoaniedokomentarza">
    <w:name w:val="annotation reference"/>
    <w:uiPriority w:val="99"/>
    <w:semiHidden/>
    <w:unhideWhenUsed/>
    <w:rsid w:val="00C65D87"/>
    <w:rPr>
      <w:sz w:val="16"/>
      <w:szCs w:val="16"/>
    </w:rPr>
  </w:style>
  <w:style w:type="character" w:styleId="Hipercze">
    <w:name w:val="Hyperlink"/>
    <w:uiPriority w:val="99"/>
    <w:unhideWhenUsed/>
    <w:rsid w:val="002F4753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D75F1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it">
    <w:name w:val="cit"/>
    <w:basedOn w:val="Domylnaczcionkaakapitu"/>
    <w:rsid w:val="00E46BB0"/>
  </w:style>
  <w:style w:type="paragraph" w:customStyle="1" w:styleId="Tytu1">
    <w:name w:val="Tytuł1"/>
    <w:basedOn w:val="Normalny"/>
    <w:rsid w:val="00E46BB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sc">
    <w:name w:val="desc"/>
    <w:basedOn w:val="Normalny"/>
    <w:rsid w:val="00E46BB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jrnl">
    <w:name w:val="jrnl"/>
    <w:basedOn w:val="Domylnaczcionkaakapitu"/>
    <w:rsid w:val="00E46BB0"/>
  </w:style>
  <w:style w:type="paragraph" w:customStyle="1" w:styleId="details">
    <w:name w:val="details"/>
    <w:basedOn w:val="Normalny"/>
    <w:rsid w:val="00844E7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E7186"/>
    <w:pPr>
      <w:autoSpaceDE w:val="0"/>
      <w:autoSpaceDN w:val="0"/>
      <w:adjustRightInd w:val="0"/>
    </w:pPr>
    <w:rPr>
      <w:rFonts w:ascii="Time-Ibis EE" w:hAnsi="Time-Ibis EE" w:cs="Time-Ibis EE"/>
      <w:color w:val="000000"/>
      <w:w w:val="92"/>
      <w:sz w:val="24"/>
      <w:szCs w:val="24"/>
      <w:lang w:val="en-US" w:eastAsia="en-US"/>
    </w:rPr>
  </w:style>
  <w:style w:type="paragraph" w:customStyle="1" w:styleId="Pa0">
    <w:name w:val="Pa0"/>
    <w:basedOn w:val="Default"/>
    <w:next w:val="Default"/>
    <w:uiPriority w:val="99"/>
    <w:rsid w:val="000E7186"/>
    <w:pPr>
      <w:spacing w:line="19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E7186"/>
    <w:rPr>
      <w:rFonts w:cs="Time-Ibis EE"/>
      <w:i/>
      <w:iCs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0E7186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0E7186"/>
    <w:rPr>
      <w:rFonts w:ascii="Swis721PL" w:hAnsi="Swis721PL" w:cs="Swis721PL"/>
      <w:color w:val="000000"/>
      <w:sz w:val="12"/>
      <w:szCs w:val="12"/>
    </w:rPr>
  </w:style>
  <w:style w:type="character" w:customStyle="1" w:styleId="A5">
    <w:name w:val="A5"/>
    <w:uiPriority w:val="99"/>
    <w:rsid w:val="000E7186"/>
    <w:rPr>
      <w:rFonts w:cs="Time-Ibis EE"/>
      <w:b/>
      <w:bCs/>
      <w:color w:val="000000"/>
      <w:sz w:val="15"/>
      <w:szCs w:val="15"/>
    </w:rPr>
  </w:style>
  <w:style w:type="paragraph" w:customStyle="1" w:styleId="Pa2">
    <w:name w:val="Pa2"/>
    <w:basedOn w:val="Default"/>
    <w:next w:val="Default"/>
    <w:uiPriority w:val="99"/>
    <w:rsid w:val="000E7186"/>
    <w:pPr>
      <w:spacing w:line="13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0E7186"/>
    <w:rPr>
      <w:rFonts w:cs="Humnst777EU"/>
      <w:color w:val="000000"/>
      <w:sz w:val="14"/>
      <w:szCs w:val="14"/>
    </w:rPr>
  </w:style>
  <w:style w:type="character" w:styleId="UyteHipercze">
    <w:name w:val="FollowedHyperlink"/>
    <w:uiPriority w:val="99"/>
    <w:semiHidden/>
    <w:unhideWhenUsed/>
    <w:rsid w:val="00CE434E"/>
    <w:rPr>
      <w:color w:val="800080"/>
      <w:u w:val="single"/>
    </w:rPr>
  </w:style>
  <w:style w:type="character" w:customStyle="1" w:styleId="TekstkomentarzaZnak1">
    <w:name w:val="Tekst komentarza Znak1"/>
    <w:uiPriority w:val="99"/>
    <w:semiHidden/>
    <w:locked/>
    <w:rsid w:val="00CE434E"/>
    <w:rPr>
      <w:rFonts w:ascii="Calibri" w:hAnsi="Calibri" w:cs="Times New Roman"/>
    </w:rPr>
  </w:style>
  <w:style w:type="character" w:customStyle="1" w:styleId="TematkomentarzaZnak1">
    <w:name w:val="Temat komentarza Znak1"/>
    <w:uiPriority w:val="99"/>
    <w:semiHidden/>
    <w:locked/>
    <w:rsid w:val="00CE434E"/>
    <w:rPr>
      <w:rFonts w:ascii="Calibri" w:hAnsi="Calibri" w:cs="Times New Roman"/>
      <w:b/>
      <w:bCs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75B90"/>
  </w:style>
  <w:style w:type="paragraph" w:styleId="Poprawka">
    <w:name w:val="Revision"/>
    <w:hidden/>
    <w:uiPriority w:val="99"/>
    <w:semiHidden/>
    <w:rsid w:val="00175B90"/>
    <w:rPr>
      <w:rFonts w:ascii="Calibri" w:eastAsia="SimSun" w:hAnsi="Calibri" w:cs="Arial"/>
      <w:sz w:val="22"/>
      <w:szCs w:val="22"/>
    </w:rPr>
  </w:style>
  <w:style w:type="character" w:customStyle="1" w:styleId="apple-converted-space">
    <w:name w:val="apple-converted-space"/>
    <w:rsid w:val="00175B90"/>
  </w:style>
  <w:style w:type="table" w:customStyle="1" w:styleId="Tabela-Siatka2">
    <w:name w:val="Tabela - Siatka2"/>
    <w:basedOn w:val="Standardowy"/>
    <w:next w:val="Tabela-Siatka1"/>
    <w:uiPriority w:val="59"/>
    <w:rsid w:val="00175B90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2">
    <w:name w:val="highlight2"/>
    <w:rsid w:val="00A241DA"/>
  </w:style>
  <w:style w:type="paragraph" w:styleId="Tekstpodstawowy">
    <w:name w:val="Body Text"/>
    <w:basedOn w:val="Normalny"/>
    <w:link w:val="TekstpodstawowyZnak"/>
    <w:rsid w:val="00F16246"/>
    <w:pPr>
      <w:widowControl/>
      <w:spacing w:after="120" w:line="240" w:lineRule="auto"/>
    </w:pPr>
    <w:rPr>
      <w:rFonts w:ascii="Univers 55" w:eastAsia="Times New Roman" w:hAnsi="Univers 55" w:cs="Times New Roman"/>
      <w:w w:val="100"/>
      <w:kern w:val="20"/>
      <w:szCs w:val="20"/>
      <w:lang w:val="en-AU"/>
    </w:rPr>
  </w:style>
  <w:style w:type="character" w:customStyle="1" w:styleId="TekstpodstawowyZnak">
    <w:name w:val="Tekst podstawowy Znak"/>
    <w:link w:val="Tekstpodstawowy"/>
    <w:rsid w:val="00F16246"/>
    <w:rPr>
      <w:rFonts w:ascii="Univers 55" w:eastAsia="Times New Roman" w:hAnsi="Univers 55" w:cs="Times New Roman"/>
      <w:kern w:val="20"/>
      <w:sz w:val="22"/>
      <w:lang w:val="en-AU" w:eastAsia="en-US"/>
    </w:rPr>
  </w:style>
  <w:style w:type="character" w:customStyle="1" w:styleId="Nagwek2Znak">
    <w:name w:val="Nagłówek 2 Znak"/>
    <w:link w:val="Nagwek2"/>
    <w:uiPriority w:val="9"/>
    <w:rsid w:val="00596C1B"/>
    <w:rPr>
      <w:rFonts w:ascii="Calibri Light" w:eastAsia="Times New Roman" w:hAnsi="Calibri Light" w:cs="Times New Roman"/>
      <w:b/>
      <w:bCs/>
      <w:i/>
      <w:iCs/>
      <w:w w:val="92"/>
      <w:sz w:val="28"/>
      <w:szCs w:val="28"/>
      <w:lang w:val="en-US" w:eastAsia="en-US"/>
    </w:rPr>
  </w:style>
  <w:style w:type="character" w:customStyle="1" w:styleId="Nagwek3Znak">
    <w:name w:val="Nagłówek 3 Znak"/>
    <w:link w:val="Nagwek3"/>
    <w:uiPriority w:val="9"/>
    <w:rsid w:val="00596C1B"/>
    <w:rPr>
      <w:rFonts w:ascii="Calibri Light" w:eastAsia="Times New Roman" w:hAnsi="Calibri Light" w:cs="Times New Roman"/>
      <w:b/>
      <w:bCs/>
      <w:w w:val="92"/>
      <w:sz w:val="26"/>
      <w:szCs w:val="26"/>
      <w:lang w:val="en-US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E5569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C699A"/>
    <w:pPr>
      <w:tabs>
        <w:tab w:val="right" w:leader="dot" w:pos="8931"/>
      </w:tabs>
      <w:spacing w:after="0" w:line="240" w:lineRule="auto"/>
      <w:contextualSpacing/>
    </w:pPr>
    <w:rPr>
      <w:rFonts w:cs="Arial"/>
      <w:noProof/>
      <w:lang w:val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5653EF"/>
    <w:pPr>
      <w:tabs>
        <w:tab w:val="right" w:leader="dot" w:pos="8931"/>
      </w:tabs>
      <w:spacing w:after="0" w:line="240" w:lineRule="auto"/>
      <w:ind w:left="221"/>
    </w:pPr>
  </w:style>
  <w:style w:type="paragraph" w:styleId="Spistreci3">
    <w:name w:val="toc 3"/>
    <w:basedOn w:val="Normalny"/>
    <w:next w:val="Normalny"/>
    <w:autoRedefine/>
    <w:uiPriority w:val="39"/>
    <w:unhideWhenUsed/>
    <w:rsid w:val="00AC43F7"/>
    <w:pPr>
      <w:tabs>
        <w:tab w:val="right" w:leader="dot" w:pos="8931"/>
        <w:tab w:val="right" w:leader="dot" w:pos="9017"/>
      </w:tabs>
      <w:spacing w:after="0" w:line="240" w:lineRule="auto"/>
      <w:ind w:left="142"/>
    </w:pPr>
  </w:style>
  <w:style w:type="paragraph" w:customStyle="1" w:styleId="headinganchor">
    <w:name w:val="headinganchor"/>
    <w:basedOn w:val="Normalny"/>
    <w:rsid w:val="00F665D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h2">
    <w:name w:val="h2"/>
    <w:basedOn w:val="Domylnaczcionkaakapitu"/>
    <w:rsid w:val="00F665DC"/>
  </w:style>
  <w:style w:type="character" w:customStyle="1" w:styleId="headingendmark">
    <w:name w:val="headingendmark"/>
    <w:basedOn w:val="Domylnaczcionkaakapitu"/>
    <w:rsid w:val="00F665DC"/>
  </w:style>
  <w:style w:type="character" w:customStyle="1" w:styleId="h3">
    <w:name w:val="h3"/>
    <w:basedOn w:val="Domylnaczcionkaakapitu"/>
    <w:rsid w:val="00F665DC"/>
  </w:style>
  <w:style w:type="paragraph" w:styleId="NormalnyWeb">
    <w:name w:val="Normal (Web)"/>
    <w:basedOn w:val="Normalny"/>
    <w:uiPriority w:val="99"/>
    <w:unhideWhenUsed/>
    <w:rsid w:val="00F665D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w w:val="100"/>
      <w:sz w:val="24"/>
      <w:szCs w:val="24"/>
    </w:rPr>
  </w:style>
  <w:style w:type="paragraph" w:customStyle="1" w:styleId="title1">
    <w:name w:val="title1"/>
    <w:basedOn w:val="Normalny"/>
    <w:rsid w:val="00731320"/>
    <w:pPr>
      <w:widowControl/>
      <w:spacing w:after="0" w:line="240" w:lineRule="auto"/>
    </w:pPr>
    <w:rPr>
      <w:rFonts w:ascii="Times New Roman" w:eastAsia="Times New Roman" w:hAnsi="Times New Roman" w:cs="Times New Roman"/>
      <w:w w:val="100"/>
      <w:sz w:val="27"/>
      <w:szCs w:val="27"/>
    </w:rPr>
  </w:style>
  <w:style w:type="paragraph" w:customStyle="1" w:styleId="desc2">
    <w:name w:val="desc2"/>
    <w:basedOn w:val="Normalny"/>
    <w:rsid w:val="00731320"/>
    <w:pPr>
      <w:widowControl/>
      <w:spacing w:after="0" w:line="240" w:lineRule="auto"/>
    </w:pPr>
    <w:rPr>
      <w:rFonts w:ascii="Times New Roman" w:eastAsia="Times New Roman" w:hAnsi="Times New Roman" w:cs="Times New Roman"/>
      <w:w w:val="100"/>
      <w:sz w:val="26"/>
      <w:szCs w:val="26"/>
    </w:rPr>
  </w:style>
  <w:style w:type="paragraph" w:customStyle="1" w:styleId="details1">
    <w:name w:val="details1"/>
    <w:basedOn w:val="Normalny"/>
    <w:rsid w:val="00731320"/>
    <w:pPr>
      <w:widowControl/>
      <w:spacing w:after="0" w:line="240" w:lineRule="auto"/>
    </w:pPr>
    <w:rPr>
      <w:rFonts w:ascii="Times New Roman" w:eastAsia="Times New Roman" w:hAnsi="Times New Roman" w:cs="Times New Roman"/>
      <w:w w:val="100"/>
    </w:rPr>
  </w:style>
  <w:style w:type="character" w:customStyle="1" w:styleId="A4">
    <w:name w:val="A4"/>
    <w:uiPriority w:val="99"/>
    <w:rsid w:val="00AD590C"/>
    <w:rPr>
      <w:rFonts w:cs="Myriad Pro"/>
      <w:color w:val="000000"/>
      <w:sz w:val="16"/>
      <w:szCs w:val="16"/>
    </w:rPr>
  </w:style>
  <w:style w:type="character" w:customStyle="1" w:styleId="A2">
    <w:name w:val="A2"/>
    <w:uiPriority w:val="99"/>
    <w:rsid w:val="00AD590C"/>
    <w:rPr>
      <w:rFonts w:cs="Myriad Pro"/>
      <w:color w:val="000000"/>
      <w:sz w:val="12"/>
      <w:szCs w:val="12"/>
    </w:rPr>
  </w:style>
  <w:style w:type="character" w:customStyle="1" w:styleId="st">
    <w:name w:val="st"/>
    <w:rsid w:val="001034E6"/>
  </w:style>
  <w:style w:type="character" w:styleId="Uwydatnienie">
    <w:name w:val="Emphasis"/>
    <w:uiPriority w:val="20"/>
    <w:qFormat/>
    <w:rsid w:val="001034E6"/>
    <w:rPr>
      <w:i/>
      <w:iCs/>
    </w:rPr>
  </w:style>
  <w:style w:type="character" w:customStyle="1" w:styleId="highlight">
    <w:name w:val="highlight"/>
    <w:rsid w:val="00EE16CD"/>
  </w:style>
  <w:style w:type="paragraph" w:customStyle="1" w:styleId="Tytu10">
    <w:name w:val="Tytuł1"/>
    <w:basedOn w:val="Normalny"/>
    <w:rsid w:val="003C1D6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2">
    <w:name w:val="Tytuł2"/>
    <w:basedOn w:val="Normalny"/>
    <w:rsid w:val="00DE556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B58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w w:val="100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1B58AF"/>
    <w:rPr>
      <w:rFonts w:ascii="Courier New" w:eastAsia="Times New Roman" w:hAnsi="Courier New" w:cs="Courier New"/>
    </w:rPr>
  </w:style>
  <w:style w:type="table" w:styleId="Tabela-Siatka">
    <w:name w:val="Table Grid"/>
    <w:basedOn w:val="Standardowy"/>
    <w:uiPriority w:val="39"/>
    <w:rsid w:val="006F0A9A"/>
    <w:rPr>
      <w:rFonts w:ascii="Calibri" w:hAnsi="Calibri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B068D4"/>
    <w:pPr>
      <w:widowControl/>
      <w:spacing w:after="100" w:line="259" w:lineRule="auto"/>
      <w:ind w:left="660"/>
    </w:pPr>
    <w:rPr>
      <w:rFonts w:ascii="Calibri" w:eastAsia="Times New Roman" w:hAnsi="Calibri" w:cs="Times New Roman"/>
      <w:w w:val="100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068D4"/>
    <w:pPr>
      <w:widowControl/>
      <w:spacing w:after="100" w:line="259" w:lineRule="auto"/>
      <w:ind w:left="880"/>
    </w:pPr>
    <w:rPr>
      <w:rFonts w:ascii="Calibri" w:eastAsia="Times New Roman" w:hAnsi="Calibri" w:cs="Times New Roman"/>
      <w:w w:val="100"/>
      <w:lang w:val="pl-PL"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B068D4"/>
    <w:pPr>
      <w:widowControl/>
      <w:spacing w:after="100" w:line="259" w:lineRule="auto"/>
      <w:ind w:left="1100"/>
    </w:pPr>
    <w:rPr>
      <w:rFonts w:ascii="Calibri" w:eastAsia="Times New Roman" w:hAnsi="Calibri" w:cs="Times New Roman"/>
      <w:w w:val="100"/>
      <w:lang w:val="pl-PL"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B068D4"/>
    <w:pPr>
      <w:widowControl/>
      <w:spacing w:after="100" w:line="259" w:lineRule="auto"/>
      <w:ind w:left="1320"/>
    </w:pPr>
    <w:rPr>
      <w:rFonts w:ascii="Calibri" w:eastAsia="Times New Roman" w:hAnsi="Calibri" w:cs="Times New Roman"/>
      <w:w w:val="100"/>
      <w:lang w:val="pl-PL"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B068D4"/>
    <w:pPr>
      <w:widowControl/>
      <w:spacing w:after="100" w:line="259" w:lineRule="auto"/>
      <w:ind w:left="1540"/>
    </w:pPr>
    <w:rPr>
      <w:rFonts w:ascii="Calibri" w:eastAsia="Times New Roman" w:hAnsi="Calibri" w:cs="Times New Roman"/>
      <w:w w:val="100"/>
      <w:lang w:val="pl-PL"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B068D4"/>
    <w:pPr>
      <w:widowControl/>
      <w:spacing w:after="100" w:line="259" w:lineRule="auto"/>
      <w:ind w:left="1760"/>
    </w:pPr>
    <w:rPr>
      <w:rFonts w:ascii="Calibri" w:eastAsia="Times New Roman" w:hAnsi="Calibri" w:cs="Times New Roman"/>
      <w:w w:val="100"/>
      <w:lang w:val="pl-PL" w:eastAsia="pl-PL"/>
    </w:rPr>
  </w:style>
  <w:style w:type="paragraph" w:customStyle="1" w:styleId="99pismiennictwo">
    <w:name w:val="99 pismiennictwo"/>
    <w:basedOn w:val="Normalny"/>
    <w:uiPriority w:val="99"/>
    <w:rsid w:val="001C7FD9"/>
    <w:pPr>
      <w:tabs>
        <w:tab w:val="left" w:pos="369"/>
      </w:tabs>
      <w:autoSpaceDE w:val="0"/>
      <w:autoSpaceDN w:val="0"/>
      <w:adjustRightInd w:val="0"/>
      <w:spacing w:after="0" w:line="210" w:lineRule="atLeast"/>
      <w:ind w:left="283" w:hanging="283"/>
      <w:jc w:val="both"/>
      <w:textAlignment w:val="center"/>
    </w:pPr>
    <w:rPr>
      <w:rFonts w:ascii="FrankfurtGothic" w:eastAsia="Times New Roman" w:hAnsi="FrankfurtGothic" w:cs="FrankfurtGothic"/>
      <w:color w:val="000000"/>
      <w:w w:val="90"/>
      <w:sz w:val="17"/>
      <w:szCs w:val="17"/>
      <w:lang w:val="pl-PL" w:eastAsia="pl-PL"/>
    </w:rPr>
  </w:style>
  <w:style w:type="paragraph" w:customStyle="1" w:styleId="05tabelaprzypistabela">
    <w:name w:val="05 tabela przypis (tabela)"/>
    <w:basedOn w:val="Normalny"/>
    <w:uiPriority w:val="99"/>
    <w:rsid w:val="001C7FD9"/>
    <w:pPr>
      <w:widowControl/>
      <w:autoSpaceDE w:val="0"/>
      <w:autoSpaceDN w:val="0"/>
      <w:adjustRightInd w:val="0"/>
      <w:spacing w:after="0" w:line="172" w:lineRule="atLeast"/>
      <w:jc w:val="both"/>
      <w:textAlignment w:val="center"/>
    </w:pPr>
    <w:rPr>
      <w:rFonts w:ascii="FrankfurtGothic" w:eastAsia="Times New Roman" w:hAnsi="FrankfurtGothic" w:cs="FrankfurtGothic"/>
      <w:color w:val="000000"/>
      <w:w w:val="90"/>
      <w:sz w:val="14"/>
      <w:szCs w:val="14"/>
      <w:lang w:val="pl-PL" w:eastAsia="pl-PL"/>
    </w:rPr>
  </w:style>
  <w:style w:type="character" w:styleId="Odwoanieprzypisudolnego">
    <w:name w:val="footnote reference"/>
    <w:semiHidden/>
    <w:rsid w:val="00E627F2"/>
    <w:rPr>
      <w:rFonts w:cs="Times New Roman"/>
      <w:vertAlign w:val="superscript"/>
    </w:rPr>
  </w:style>
  <w:style w:type="paragraph" w:customStyle="1" w:styleId="ODNONIKtreodnonika">
    <w:name w:val="ODNOŚNIK – treść odnośnika"/>
    <w:qFormat/>
    <w:rsid w:val="00E627F2"/>
    <w:pPr>
      <w:ind w:left="284" w:hanging="284"/>
      <w:jc w:val="both"/>
    </w:pPr>
    <w:rPr>
      <w:rFonts w:ascii="Times New Roman" w:eastAsia="Times New Roman" w:hAnsi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9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8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7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44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6941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9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78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63374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0690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7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94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0851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360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47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7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ubmed/?term=Lomme%20MM%5BAuthor%5D&amp;cauthor=true&amp;cauthor_uid=27180259" TargetMode="External"/><Relationship Id="rId18" Type="http://schemas.openxmlformats.org/officeDocument/2006/relationships/hyperlink" Target="https://www.ncbi.nlm.nih.gov/pubmed/28898379" TargetMode="External"/><Relationship Id="rId26" Type="http://schemas.openxmlformats.org/officeDocument/2006/relationships/hyperlink" Target="https://www.ncbi.nlm.nih.gov/pubmed/?term=Holmes%20FA%5BAuthor%5D&amp;cauthor=true&amp;cauthor_uid=29146401" TargetMode="External"/><Relationship Id="rId39" Type="http://schemas.openxmlformats.org/officeDocument/2006/relationships/hyperlink" Target="https://www.ncbi.nlm.nih.gov/pubmed/?term=Harker%20WG%5BAuthor%5D&amp;cauthor=true&amp;cauthor_uid=28125763" TargetMode="External"/><Relationship Id="rId21" Type="http://schemas.openxmlformats.org/officeDocument/2006/relationships/hyperlink" Target="https://www.ncbi.nlm.nih.gov/pubmed/?term=Piccart-Gebhart%20MJ%5BAuthor%5D&amp;cauthor=true&amp;cauthor_uid=23871490" TargetMode="External"/><Relationship Id="rId34" Type="http://schemas.openxmlformats.org/officeDocument/2006/relationships/hyperlink" Target="https://www.ncbi.nlm.nih.gov/pubmed/?term=Sergentanis%20TN%5BAuthor%5D&amp;cauthor=true&amp;cauthor_uid=25850534" TargetMode="External"/><Relationship Id="rId42" Type="http://schemas.openxmlformats.org/officeDocument/2006/relationships/hyperlink" Target="https://www.ncbi.nlm.nih.gov/pubmed/?term=Aglietta%20M%5BAuthor%5D&amp;cauthor=true&amp;cauthor_uid=23684411" TargetMode="External"/><Relationship Id="rId47" Type="http://schemas.openxmlformats.org/officeDocument/2006/relationships/hyperlink" Target="https://www.uptodate.com/contents/approach-to-the-patient-following-treatment-for-breast-cancer/abstract/10" TargetMode="External"/><Relationship Id="rId50" Type="http://schemas.openxmlformats.org/officeDocument/2006/relationships/hyperlink" Target="https://www.ncbi.nlm.nih.gov/pubmed/?term=Lambertini%20M%5BAuthor%5D&amp;cauthor=true&amp;cauthor_uid=27230946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Ballman%20KV%5BAuthor%5D&amp;cauthor=true&amp;cauthor_uid=28898379" TargetMode="External"/><Relationship Id="rId29" Type="http://schemas.openxmlformats.org/officeDocument/2006/relationships/hyperlink" Target="https://www.ncbi.nlm.nih.gov/pubmed/?term=Dear%20RF%5BAuthor%5D&amp;cauthor=true&amp;cauthor_uid=24347031" TargetMode="External"/><Relationship Id="rId11" Type="http://schemas.openxmlformats.org/officeDocument/2006/relationships/hyperlink" Target="https://www.ncbi.nlm.nih.gov/pubmed/?term=Singh%20K%5BAuthor%5D&amp;cauthor=true&amp;cauthor_uid=27180259" TargetMode="External"/><Relationship Id="rId24" Type="http://schemas.openxmlformats.org/officeDocument/2006/relationships/hyperlink" Target="https://www.ncbi.nlm.nih.gov/pubmed/28581356" TargetMode="External"/><Relationship Id="rId32" Type="http://schemas.openxmlformats.org/officeDocument/2006/relationships/hyperlink" Target="https://www.ncbi.nlm.nih.gov/pubmed/?term=Dear+RF+Cochrane+Database+Syst+Rev+2013%3B+%3ACD008792." TargetMode="External"/><Relationship Id="rId37" Type="http://schemas.openxmlformats.org/officeDocument/2006/relationships/hyperlink" Target="https://www.ncbi.nlm.nih.gov/pubmed/?term=Hortobagyi%20GN%5BAuthor%5D&amp;cauthor=true&amp;cauthor_uid=28125763" TargetMode="External"/><Relationship Id="rId40" Type="http://schemas.openxmlformats.org/officeDocument/2006/relationships/hyperlink" Target="https://www.ncbi.nlm.nih.gov/pubmed/?term=OPTIMIZE-2+trial" TargetMode="External"/><Relationship Id="rId45" Type="http://schemas.openxmlformats.org/officeDocument/2006/relationships/hyperlink" Target="https://www.uptodate.com/contents/approach-to-the-patient-following-treatment-for-breast-cancer/abstract/8" TargetMode="External"/><Relationship Id="rId53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ncbi.nlm.nih.gov/pubmed/?term=De+Felice+F%2C+Marchetti+C%2C+Musella+A%2C+et+al.+Bilateral+Risk-Reduction+Mastectomy+in+BRCA1+and+BRCA2+Mutation+Carriers%3A+A+Meta-analysis.+Ann+Surg+Oncol+2015." TargetMode="External"/><Relationship Id="rId19" Type="http://schemas.openxmlformats.org/officeDocument/2006/relationships/hyperlink" Target="https://www.ncbi.nlm.nih.gov/pubmed/?term=Goldhirsch%20A%5BAuthor%5D&amp;cauthor=true&amp;cauthor_uid=23871490" TargetMode="External"/><Relationship Id="rId31" Type="http://schemas.openxmlformats.org/officeDocument/2006/relationships/hyperlink" Target="https://www.ncbi.nlm.nih.gov/pubmed/?term=Jenkins%20MC%5BAuthor%5D&amp;cauthor=true&amp;cauthor_uid=24347031" TargetMode="External"/><Relationship Id="rId44" Type="http://schemas.openxmlformats.org/officeDocument/2006/relationships/hyperlink" Target="https://www.ncbi.nlm.nih.gov/pubmed/23684411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ncbi.nlm.nih.gov/pubmed/27180259" TargetMode="External"/><Relationship Id="rId22" Type="http://schemas.openxmlformats.org/officeDocument/2006/relationships/hyperlink" Target="https://www.ncbi.nlm.nih.gov/pubmed/23871490" TargetMode="External"/><Relationship Id="rId27" Type="http://schemas.openxmlformats.org/officeDocument/2006/relationships/hyperlink" Target="https://www.ncbi.nlm.nih.gov/pubmed/?term=Ejlertsen%20B%5BAuthor%5D&amp;cauthor=true&amp;cauthor_uid=29146401" TargetMode="External"/><Relationship Id="rId30" Type="http://schemas.openxmlformats.org/officeDocument/2006/relationships/hyperlink" Target="https://www.ncbi.nlm.nih.gov/pubmed/?term=McGeechan%20K%5BAuthor%5D&amp;cauthor=true&amp;cauthor_uid=24347031" TargetMode="External"/><Relationship Id="rId35" Type="http://schemas.openxmlformats.org/officeDocument/2006/relationships/hyperlink" Target="https://www.ncbi.nlm.nih.gov/pubmed/?term=Azim%20HA%20Jr%5BAuthor%5D&amp;cauthor=true&amp;cauthor_uid=25850534" TargetMode="External"/><Relationship Id="rId43" Type="http://schemas.openxmlformats.org/officeDocument/2006/relationships/hyperlink" Target="https://www.ncbi.nlm.nih.gov/pubmed/?term=Alessi%20B%5BAuthor%5D&amp;cauthor=true&amp;cauthor_uid=23684411" TargetMode="External"/><Relationship Id="rId48" Type="http://schemas.openxmlformats.org/officeDocument/2006/relationships/hyperlink" Target="https://www.ncbi.nlm.nih.gov/pubmed/?term=Moschetti%20I%5BAuthor%5D&amp;cauthor=true&amp;cauthor_uid=27230946" TargetMode="External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s://www.ncbi.nlm.nih.gov/pubmed/27230946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cbi.nlm.nih.gov/pubmed/?term=Tantravahi%20U%5BAuthor%5D&amp;cauthor=true&amp;cauthor_uid=27180259" TargetMode="External"/><Relationship Id="rId17" Type="http://schemas.openxmlformats.org/officeDocument/2006/relationships/hyperlink" Target="https://www.ncbi.nlm.nih.gov/pubmed/?term=McCall%20L%5BAuthor%5D&amp;cauthor=true&amp;cauthor_uid=28898379" TargetMode="External"/><Relationship Id="rId25" Type="http://schemas.openxmlformats.org/officeDocument/2006/relationships/hyperlink" Target="https://www.ncbi.nlm.nih.gov/pubmed/?term=Martin%20M%5BAuthor%5D&amp;cauthor=true&amp;cauthor_uid=29146401" TargetMode="External"/><Relationship Id="rId33" Type="http://schemas.openxmlformats.org/officeDocument/2006/relationships/hyperlink" Target="https://www.ncbi.nlm.nih.gov/pubmed/?term=Zagouri%20F%5BAuthor%5D&amp;cauthor=true&amp;cauthor_uid=25850534" TargetMode="External"/><Relationship Id="rId38" Type="http://schemas.openxmlformats.org/officeDocument/2006/relationships/hyperlink" Target="https://www.ncbi.nlm.nih.gov/pubmed/?term=Van%20Poznak%20C%5BAuthor%5D&amp;cauthor=true&amp;cauthor_uid=28125763" TargetMode="External"/><Relationship Id="rId46" Type="http://schemas.openxmlformats.org/officeDocument/2006/relationships/hyperlink" Target="https://www.uptodate.com/contents/approach-to-the-patient-following-treatment-for-breast-cancer/abstract/9" TargetMode="External"/><Relationship Id="rId20" Type="http://schemas.openxmlformats.org/officeDocument/2006/relationships/hyperlink" Target="https://www.ncbi.nlm.nih.gov/pubmed/?term=Gelber%20RD%5BAuthor%5D&amp;cauthor=true&amp;cauthor_uid=23871490" TargetMode="External"/><Relationship Id="rId41" Type="http://schemas.openxmlformats.org/officeDocument/2006/relationships/hyperlink" Target="https://www.ncbi.nlm.nih.gov/pubmed/?term=Amadori%20D%5BAuthor%5D&amp;cauthor=true&amp;cauthor_uid=23684411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cbi.nlm.nih.gov/pubmed/?term=Giuliano%20AE%5BAuthor%5D&amp;cauthor=true&amp;cauthor_uid=28898379" TargetMode="External"/><Relationship Id="rId23" Type="http://schemas.openxmlformats.org/officeDocument/2006/relationships/hyperlink" Target="https://www.ncbi.nlm.nih.gov/pubmed/27179402" TargetMode="External"/><Relationship Id="rId28" Type="http://schemas.openxmlformats.org/officeDocument/2006/relationships/hyperlink" Target="https://www.ncbi.nlm.nih.gov/pubmed/29146401" TargetMode="External"/><Relationship Id="rId36" Type="http://schemas.openxmlformats.org/officeDocument/2006/relationships/hyperlink" Target="https://www.ncbi.nlm.nih.gov/pubmed/25850534" TargetMode="External"/><Relationship Id="rId49" Type="http://schemas.openxmlformats.org/officeDocument/2006/relationships/hyperlink" Target="https://www.ncbi.nlm.nih.gov/pubmed/?term=Cinquini%20M%5BAuthor%5D&amp;cauthor=true&amp;cauthor_uid=2723094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1362D-75BC-4CCF-86FF-EC19BE28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10252</Words>
  <Characters>61512</Characters>
  <Application>Microsoft Office Word</Application>
  <DocSecurity>0</DocSecurity>
  <Lines>512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71621</CharactersWithSpaces>
  <SharedDoc>false</SharedDoc>
  <HLinks>
    <vt:vector size="252" baseType="variant">
      <vt:variant>
        <vt:i4>327775</vt:i4>
      </vt:variant>
      <vt:variant>
        <vt:i4>123</vt:i4>
      </vt:variant>
      <vt:variant>
        <vt:i4>0</vt:i4>
      </vt:variant>
      <vt:variant>
        <vt:i4>5</vt:i4>
      </vt:variant>
      <vt:variant>
        <vt:lpwstr>https://www.ncbi.nlm.nih.gov/pubmed/27230946</vt:lpwstr>
      </vt:variant>
      <vt:variant>
        <vt:lpwstr/>
      </vt:variant>
      <vt:variant>
        <vt:i4>4456565</vt:i4>
      </vt:variant>
      <vt:variant>
        <vt:i4>120</vt:i4>
      </vt:variant>
      <vt:variant>
        <vt:i4>0</vt:i4>
      </vt:variant>
      <vt:variant>
        <vt:i4>5</vt:i4>
      </vt:variant>
      <vt:variant>
        <vt:lpwstr>https://www.ncbi.nlm.nih.gov/pubmed/?term=Lambertini%20M%5BAuthor%5D&amp;cauthor=true&amp;cauthor_uid=27230946</vt:lpwstr>
      </vt:variant>
      <vt:variant>
        <vt:lpwstr/>
      </vt:variant>
      <vt:variant>
        <vt:i4>2949149</vt:i4>
      </vt:variant>
      <vt:variant>
        <vt:i4>117</vt:i4>
      </vt:variant>
      <vt:variant>
        <vt:i4>0</vt:i4>
      </vt:variant>
      <vt:variant>
        <vt:i4>5</vt:i4>
      </vt:variant>
      <vt:variant>
        <vt:lpwstr>https://www.ncbi.nlm.nih.gov/pubmed/?term=Cinquini%20M%5BAuthor%5D&amp;cauthor=true&amp;cauthor_uid=27230946</vt:lpwstr>
      </vt:variant>
      <vt:variant>
        <vt:lpwstr/>
      </vt:variant>
      <vt:variant>
        <vt:i4>5177397</vt:i4>
      </vt:variant>
      <vt:variant>
        <vt:i4>114</vt:i4>
      </vt:variant>
      <vt:variant>
        <vt:i4>0</vt:i4>
      </vt:variant>
      <vt:variant>
        <vt:i4>5</vt:i4>
      </vt:variant>
      <vt:variant>
        <vt:lpwstr>https://www.ncbi.nlm.nih.gov/pubmed/?term=Moschetti%20I%5BAuthor%5D&amp;cauthor=true&amp;cauthor_uid=27230946</vt:lpwstr>
      </vt:variant>
      <vt:variant>
        <vt:lpwstr/>
      </vt:variant>
      <vt:variant>
        <vt:i4>6815852</vt:i4>
      </vt:variant>
      <vt:variant>
        <vt:i4>111</vt:i4>
      </vt:variant>
      <vt:variant>
        <vt:i4>0</vt:i4>
      </vt:variant>
      <vt:variant>
        <vt:i4>5</vt:i4>
      </vt:variant>
      <vt:variant>
        <vt:lpwstr>https://www.uptodate.com/contents/approach-to-the-patient-following-treatment-for-breast-cancer/abstract/10</vt:lpwstr>
      </vt:variant>
      <vt:variant>
        <vt:lpwstr/>
      </vt:variant>
      <vt:variant>
        <vt:i4>6291564</vt:i4>
      </vt:variant>
      <vt:variant>
        <vt:i4>108</vt:i4>
      </vt:variant>
      <vt:variant>
        <vt:i4>0</vt:i4>
      </vt:variant>
      <vt:variant>
        <vt:i4>5</vt:i4>
      </vt:variant>
      <vt:variant>
        <vt:lpwstr>https://www.uptodate.com/contents/approach-to-the-patient-following-treatment-for-breast-cancer/abstract/9</vt:lpwstr>
      </vt:variant>
      <vt:variant>
        <vt:lpwstr/>
      </vt:variant>
      <vt:variant>
        <vt:i4>6357100</vt:i4>
      </vt:variant>
      <vt:variant>
        <vt:i4>105</vt:i4>
      </vt:variant>
      <vt:variant>
        <vt:i4>0</vt:i4>
      </vt:variant>
      <vt:variant>
        <vt:i4>5</vt:i4>
      </vt:variant>
      <vt:variant>
        <vt:lpwstr>https://www.uptodate.com/contents/approach-to-the-patient-following-treatment-for-breast-cancer/abstract/8</vt:lpwstr>
      </vt:variant>
      <vt:variant>
        <vt:lpwstr/>
      </vt:variant>
      <vt:variant>
        <vt:i4>90</vt:i4>
      </vt:variant>
      <vt:variant>
        <vt:i4>102</vt:i4>
      </vt:variant>
      <vt:variant>
        <vt:i4>0</vt:i4>
      </vt:variant>
      <vt:variant>
        <vt:i4>5</vt:i4>
      </vt:variant>
      <vt:variant>
        <vt:lpwstr>https://www.ncbi.nlm.nih.gov/pubmed/23684411</vt:lpwstr>
      </vt:variant>
      <vt:variant>
        <vt:lpwstr/>
      </vt:variant>
      <vt:variant>
        <vt:i4>4784249</vt:i4>
      </vt:variant>
      <vt:variant>
        <vt:i4>99</vt:i4>
      </vt:variant>
      <vt:variant>
        <vt:i4>0</vt:i4>
      </vt:variant>
      <vt:variant>
        <vt:i4>5</vt:i4>
      </vt:variant>
      <vt:variant>
        <vt:lpwstr>https://www.ncbi.nlm.nih.gov/pubmed/?term=Alessi%20B%5BAuthor%5D&amp;cauthor=true&amp;cauthor_uid=23684411</vt:lpwstr>
      </vt:variant>
      <vt:variant>
        <vt:lpwstr/>
      </vt:variant>
      <vt:variant>
        <vt:i4>2818066</vt:i4>
      </vt:variant>
      <vt:variant>
        <vt:i4>96</vt:i4>
      </vt:variant>
      <vt:variant>
        <vt:i4>0</vt:i4>
      </vt:variant>
      <vt:variant>
        <vt:i4>5</vt:i4>
      </vt:variant>
      <vt:variant>
        <vt:lpwstr>https://www.ncbi.nlm.nih.gov/pubmed/?term=Aglietta%20M%5BAuthor%5D&amp;cauthor=true&amp;cauthor_uid=23684411</vt:lpwstr>
      </vt:variant>
      <vt:variant>
        <vt:lpwstr/>
      </vt:variant>
      <vt:variant>
        <vt:i4>2883671</vt:i4>
      </vt:variant>
      <vt:variant>
        <vt:i4>93</vt:i4>
      </vt:variant>
      <vt:variant>
        <vt:i4>0</vt:i4>
      </vt:variant>
      <vt:variant>
        <vt:i4>5</vt:i4>
      </vt:variant>
      <vt:variant>
        <vt:lpwstr>https://www.ncbi.nlm.nih.gov/pubmed/?term=Amadori%20D%5BAuthor%5D&amp;cauthor=true&amp;cauthor_uid=23684411</vt:lpwstr>
      </vt:variant>
      <vt:variant>
        <vt:lpwstr/>
      </vt:variant>
      <vt:variant>
        <vt:i4>6488181</vt:i4>
      </vt:variant>
      <vt:variant>
        <vt:i4>90</vt:i4>
      </vt:variant>
      <vt:variant>
        <vt:i4>0</vt:i4>
      </vt:variant>
      <vt:variant>
        <vt:i4>5</vt:i4>
      </vt:variant>
      <vt:variant>
        <vt:lpwstr>https://www.ncbi.nlm.nih.gov/pubmed/?term=OPTIMIZE-2+trial</vt:lpwstr>
      </vt:variant>
      <vt:variant>
        <vt:lpwstr/>
      </vt:variant>
      <vt:variant>
        <vt:i4>8257544</vt:i4>
      </vt:variant>
      <vt:variant>
        <vt:i4>87</vt:i4>
      </vt:variant>
      <vt:variant>
        <vt:i4>0</vt:i4>
      </vt:variant>
      <vt:variant>
        <vt:i4>5</vt:i4>
      </vt:variant>
      <vt:variant>
        <vt:lpwstr>https://www.ncbi.nlm.nih.gov/pubmed/?term=Harker%20WG%5BAuthor%5D&amp;cauthor=true&amp;cauthor_uid=28125763</vt:lpwstr>
      </vt:variant>
      <vt:variant>
        <vt:lpwstr/>
      </vt:variant>
      <vt:variant>
        <vt:i4>2097230</vt:i4>
      </vt:variant>
      <vt:variant>
        <vt:i4>84</vt:i4>
      </vt:variant>
      <vt:variant>
        <vt:i4>0</vt:i4>
      </vt:variant>
      <vt:variant>
        <vt:i4>5</vt:i4>
      </vt:variant>
      <vt:variant>
        <vt:lpwstr>https://www.ncbi.nlm.nih.gov/pubmed/?term=Van%20Poznak%20C%5BAuthor%5D&amp;cauthor=true&amp;cauthor_uid=28125763</vt:lpwstr>
      </vt:variant>
      <vt:variant>
        <vt:lpwstr/>
      </vt:variant>
      <vt:variant>
        <vt:i4>6357011</vt:i4>
      </vt:variant>
      <vt:variant>
        <vt:i4>81</vt:i4>
      </vt:variant>
      <vt:variant>
        <vt:i4>0</vt:i4>
      </vt:variant>
      <vt:variant>
        <vt:i4>5</vt:i4>
      </vt:variant>
      <vt:variant>
        <vt:lpwstr>https://www.ncbi.nlm.nih.gov/pubmed/?term=Hortobagyi%20GN%5BAuthor%5D&amp;cauthor=true&amp;cauthor_uid=28125763</vt:lpwstr>
      </vt:variant>
      <vt:variant>
        <vt:lpwstr/>
      </vt:variant>
      <vt:variant>
        <vt:i4>983122</vt:i4>
      </vt:variant>
      <vt:variant>
        <vt:i4>78</vt:i4>
      </vt:variant>
      <vt:variant>
        <vt:i4>0</vt:i4>
      </vt:variant>
      <vt:variant>
        <vt:i4>5</vt:i4>
      </vt:variant>
      <vt:variant>
        <vt:lpwstr>https://www.ncbi.nlm.nih.gov/pubmed/25850534</vt:lpwstr>
      </vt:variant>
      <vt:variant>
        <vt:lpwstr/>
      </vt:variant>
      <vt:variant>
        <vt:i4>4849719</vt:i4>
      </vt:variant>
      <vt:variant>
        <vt:i4>75</vt:i4>
      </vt:variant>
      <vt:variant>
        <vt:i4>0</vt:i4>
      </vt:variant>
      <vt:variant>
        <vt:i4>5</vt:i4>
      </vt:variant>
      <vt:variant>
        <vt:lpwstr>https://www.ncbi.nlm.nih.gov/pubmed/?term=Azim%20HA%20Jr%5BAuthor%5D&amp;cauthor=true&amp;cauthor_uid=25850534</vt:lpwstr>
      </vt:variant>
      <vt:variant>
        <vt:lpwstr/>
      </vt:variant>
      <vt:variant>
        <vt:i4>8323160</vt:i4>
      </vt:variant>
      <vt:variant>
        <vt:i4>72</vt:i4>
      </vt:variant>
      <vt:variant>
        <vt:i4>0</vt:i4>
      </vt:variant>
      <vt:variant>
        <vt:i4>5</vt:i4>
      </vt:variant>
      <vt:variant>
        <vt:lpwstr>https://www.ncbi.nlm.nih.gov/pubmed/?term=Sergentanis%20TN%5BAuthor%5D&amp;cauthor=true&amp;cauthor_uid=25850534</vt:lpwstr>
      </vt:variant>
      <vt:variant>
        <vt:lpwstr/>
      </vt:variant>
      <vt:variant>
        <vt:i4>2293848</vt:i4>
      </vt:variant>
      <vt:variant>
        <vt:i4>69</vt:i4>
      </vt:variant>
      <vt:variant>
        <vt:i4>0</vt:i4>
      </vt:variant>
      <vt:variant>
        <vt:i4>5</vt:i4>
      </vt:variant>
      <vt:variant>
        <vt:lpwstr>https://www.ncbi.nlm.nih.gov/pubmed/?term=Zagouri%20F%5BAuthor%5D&amp;cauthor=true&amp;cauthor_uid=25850534</vt:lpwstr>
      </vt:variant>
      <vt:variant>
        <vt:lpwstr/>
      </vt:variant>
      <vt:variant>
        <vt:i4>655368</vt:i4>
      </vt:variant>
      <vt:variant>
        <vt:i4>66</vt:i4>
      </vt:variant>
      <vt:variant>
        <vt:i4>0</vt:i4>
      </vt:variant>
      <vt:variant>
        <vt:i4>5</vt:i4>
      </vt:variant>
      <vt:variant>
        <vt:lpwstr>https://www.ncbi.nlm.nih.gov/pubmed/?term=Dear+RF+Cochrane+Database+Syst+Rev+2013%3B+%3ACD008792.</vt:lpwstr>
      </vt:variant>
      <vt:variant>
        <vt:lpwstr/>
      </vt:variant>
      <vt:variant>
        <vt:i4>7733342</vt:i4>
      </vt:variant>
      <vt:variant>
        <vt:i4>63</vt:i4>
      </vt:variant>
      <vt:variant>
        <vt:i4>0</vt:i4>
      </vt:variant>
      <vt:variant>
        <vt:i4>5</vt:i4>
      </vt:variant>
      <vt:variant>
        <vt:lpwstr>https://www.ncbi.nlm.nih.gov/pubmed/?term=Jenkins%20MC%5BAuthor%5D&amp;cauthor=true&amp;cauthor_uid=24347031</vt:lpwstr>
      </vt:variant>
      <vt:variant>
        <vt:lpwstr/>
      </vt:variant>
      <vt:variant>
        <vt:i4>5701688</vt:i4>
      </vt:variant>
      <vt:variant>
        <vt:i4>60</vt:i4>
      </vt:variant>
      <vt:variant>
        <vt:i4>0</vt:i4>
      </vt:variant>
      <vt:variant>
        <vt:i4>5</vt:i4>
      </vt:variant>
      <vt:variant>
        <vt:lpwstr>https://www.ncbi.nlm.nih.gov/pubmed/?term=McGeechan%20K%5BAuthor%5D&amp;cauthor=true&amp;cauthor_uid=24347031</vt:lpwstr>
      </vt:variant>
      <vt:variant>
        <vt:lpwstr/>
      </vt:variant>
      <vt:variant>
        <vt:i4>1114238</vt:i4>
      </vt:variant>
      <vt:variant>
        <vt:i4>57</vt:i4>
      </vt:variant>
      <vt:variant>
        <vt:i4>0</vt:i4>
      </vt:variant>
      <vt:variant>
        <vt:i4>5</vt:i4>
      </vt:variant>
      <vt:variant>
        <vt:lpwstr>https://www.ncbi.nlm.nih.gov/pubmed/?term=Dear%20RF%5BAuthor%5D&amp;cauthor=true&amp;cauthor_uid=24347031</vt:lpwstr>
      </vt:variant>
      <vt:variant>
        <vt:lpwstr/>
      </vt:variant>
      <vt:variant>
        <vt:i4>393310</vt:i4>
      </vt:variant>
      <vt:variant>
        <vt:i4>54</vt:i4>
      </vt:variant>
      <vt:variant>
        <vt:i4>0</vt:i4>
      </vt:variant>
      <vt:variant>
        <vt:i4>5</vt:i4>
      </vt:variant>
      <vt:variant>
        <vt:lpwstr>https://www.ncbi.nlm.nih.gov/pubmed/29146401</vt:lpwstr>
      </vt:variant>
      <vt:variant>
        <vt:lpwstr/>
      </vt:variant>
      <vt:variant>
        <vt:i4>5046327</vt:i4>
      </vt:variant>
      <vt:variant>
        <vt:i4>51</vt:i4>
      </vt:variant>
      <vt:variant>
        <vt:i4>0</vt:i4>
      </vt:variant>
      <vt:variant>
        <vt:i4>5</vt:i4>
      </vt:variant>
      <vt:variant>
        <vt:lpwstr>https://www.ncbi.nlm.nih.gov/pubmed/?term=Ejlertsen%20B%5BAuthor%5D&amp;cauthor=true&amp;cauthor_uid=29146401</vt:lpwstr>
      </vt:variant>
      <vt:variant>
        <vt:lpwstr/>
      </vt:variant>
      <vt:variant>
        <vt:i4>6488084</vt:i4>
      </vt:variant>
      <vt:variant>
        <vt:i4>48</vt:i4>
      </vt:variant>
      <vt:variant>
        <vt:i4>0</vt:i4>
      </vt:variant>
      <vt:variant>
        <vt:i4>5</vt:i4>
      </vt:variant>
      <vt:variant>
        <vt:lpwstr>https://www.ncbi.nlm.nih.gov/pubmed/?term=Holmes%20FA%5BAuthor%5D&amp;cauthor=true&amp;cauthor_uid=29146401</vt:lpwstr>
      </vt:variant>
      <vt:variant>
        <vt:lpwstr/>
      </vt:variant>
      <vt:variant>
        <vt:i4>5046396</vt:i4>
      </vt:variant>
      <vt:variant>
        <vt:i4>45</vt:i4>
      </vt:variant>
      <vt:variant>
        <vt:i4>0</vt:i4>
      </vt:variant>
      <vt:variant>
        <vt:i4>5</vt:i4>
      </vt:variant>
      <vt:variant>
        <vt:lpwstr>https://www.ncbi.nlm.nih.gov/pubmed/?term=Martin%20M%5BAuthor%5D&amp;cauthor=true&amp;cauthor_uid=29146401</vt:lpwstr>
      </vt:variant>
      <vt:variant>
        <vt:lpwstr/>
      </vt:variant>
      <vt:variant>
        <vt:i4>720984</vt:i4>
      </vt:variant>
      <vt:variant>
        <vt:i4>42</vt:i4>
      </vt:variant>
      <vt:variant>
        <vt:i4>0</vt:i4>
      </vt:variant>
      <vt:variant>
        <vt:i4>5</vt:i4>
      </vt:variant>
      <vt:variant>
        <vt:lpwstr>https://www.ncbi.nlm.nih.gov/pubmed/28581356</vt:lpwstr>
      </vt:variant>
      <vt:variant>
        <vt:lpwstr/>
      </vt:variant>
      <vt:variant>
        <vt:i4>524369</vt:i4>
      </vt:variant>
      <vt:variant>
        <vt:i4>39</vt:i4>
      </vt:variant>
      <vt:variant>
        <vt:i4>0</vt:i4>
      </vt:variant>
      <vt:variant>
        <vt:i4>5</vt:i4>
      </vt:variant>
      <vt:variant>
        <vt:lpwstr>https://www.ncbi.nlm.nih.gov/pubmed/27179402</vt:lpwstr>
      </vt:variant>
      <vt:variant>
        <vt:lpwstr/>
      </vt:variant>
      <vt:variant>
        <vt:i4>917593</vt:i4>
      </vt:variant>
      <vt:variant>
        <vt:i4>36</vt:i4>
      </vt:variant>
      <vt:variant>
        <vt:i4>0</vt:i4>
      </vt:variant>
      <vt:variant>
        <vt:i4>5</vt:i4>
      </vt:variant>
      <vt:variant>
        <vt:lpwstr>https://www.ncbi.nlm.nih.gov/pubmed/23871490</vt:lpwstr>
      </vt:variant>
      <vt:variant>
        <vt:lpwstr/>
      </vt:variant>
      <vt:variant>
        <vt:i4>3407953</vt:i4>
      </vt:variant>
      <vt:variant>
        <vt:i4>33</vt:i4>
      </vt:variant>
      <vt:variant>
        <vt:i4>0</vt:i4>
      </vt:variant>
      <vt:variant>
        <vt:i4>5</vt:i4>
      </vt:variant>
      <vt:variant>
        <vt:lpwstr>https://www.ncbi.nlm.nih.gov/pubmed/?term=Piccart-Gebhart%20MJ%5BAuthor%5D&amp;cauthor=true&amp;cauthor_uid=23871490</vt:lpwstr>
      </vt:variant>
      <vt:variant>
        <vt:lpwstr/>
      </vt:variant>
      <vt:variant>
        <vt:i4>7602199</vt:i4>
      </vt:variant>
      <vt:variant>
        <vt:i4>30</vt:i4>
      </vt:variant>
      <vt:variant>
        <vt:i4>0</vt:i4>
      </vt:variant>
      <vt:variant>
        <vt:i4>5</vt:i4>
      </vt:variant>
      <vt:variant>
        <vt:lpwstr>https://www.ncbi.nlm.nih.gov/pubmed/?term=Gelber%20RD%5BAuthor%5D&amp;cauthor=true&amp;cauthor_uid=23871490</vt:lpwstr>
      </vt:variant>
      <vt:variant>
        <vt:lpwstr/>
      </vt:variant>
      <vt:variant>
        <vt:i4>4915327</vt:i4>
      </vt:variant>
      <vt:variant>
        <vt:i4>27</vt:i4>
      </vt:variant>
      <vt:variant>
        <vt:i4>0</vt:i4>
      </vt:variant>
      <vt:variant>
        <vt:i4>5</vt:i4>
      </vt:variant>
      <vt:variant>
        <vt:lpwstr>https://www.ncbi.nlm.nih.gov/pubmed/?term=Goldhirsch%20A%5BAuthor%5D&amp;cauthor=true&amp;cauthor_uid=23871490</vt:lpwstr>
      </vt:variant>
      <vt:variant>
        <vt:lpwstr/>
      </vt:variant>
      <vt:variant>
        <vt:i4>327774</vt:i4>
      </vt:variant>
      <vt:variant>
        <vt:i4>24</vt:i4>
      </vt:variant>
      <vt:variant>
        <vt:i4>0</vt:i4>
      </vt:variant>
      <vt:variant>
        <vt:i4>5</vt:i4>
      </vt:variant>
      <vt:variant>
        <vt:lpwstr>https://www.ncbi.nlm.nih.gov/pubmed/28898379</vt:lpwstr>
      </vt:variant>
      <vt:variant>
        <vt:lpwstr/>
      </vt:variant>
      <vt:variant>
        <vt:i4>5898344</vt:i4>
      </vt:variant>
      <vt:variant>
        <vt:i4>21</vt:i4>
      </vt:variant>
      <vt:variant>
        <vt:i4>0</vt:i4>
      </vt:variant>
      <vt:variant>
        <vt:i4>5</vt:i4>
      </vt:variant>
      <vt:variant>
        <vt:lpwstr>https://www.ncbi.nlm.nih.gov/pubmed/?term=McCall%20L%5BAuthor%5D&amp;cauthor=true&amp;cauthor_uid=28898379</vt:lpwstr>
      </vt:variant>
      <vt:variant>
        <vt:lpwstr/>
      </vt:variant>
      <vt:variant>
        <vt:i4>6619211</vt:i4>
      </vt:variant>
      <vt:variant>
        <vt:i4>18</vt:i4>
      </vt:variant>
      <vt:variant>
        <vt:i4>0</vt:i4>
      </vt:variant>
      <vt:variant>
        <vt:i4>5</vt:i4>
      </vt:variant>
      <vt:variant>
        <vt:lpwstr>https://www.ncbi.nlm.nih.gov/pubmed/?term=Ballman%20KV%5BAuthor%5D&amp;cauthor=true&amp;cauthor_uid=28898379</vt:lpwstr>
      </vt:variant>
      <vt:variant>
        <vt:lpwstr/>
      </vt:variant>
      <vt:variant>
        <vt:i4>1966191</vt:i4>
      </vt:variant>
      <vt:variant>
        <vt:i4>15</vt:i4>
      </vt:variant>
      <vt:variant>
        <vt:i4>0</vt:i4>
      </vt:variant>
      <vt:variant>
        <vt:i4>5</vt:i4>
      </vt:variant>
      <vt:variant>
        <vt:lpwstr>https://www.ncbi.nlm.nih.gov/pubmed/?term=Giuliano%20AE%5BAuthor%5D&amp;cauthor=true&amp;cauthor_uid=28898379</vt:lpwstr>
      </vt:variant>
      <vt:variant>
        <vt:lpwstr/>
      </vt:variant>
      <vt:variant>
        <vt:i4>655453</vt:i4>
      </vt:variant>
      <vt:variant>
        <vt:i4>12</vt:i4>
      </vt:variant>
      <vt:variant>
        <vt:i4>0</vt:i4>
      </vt:variant>
      <vt:variant>
        <vt:i4>5</vt:i4>
      </vt:variant>
      <vt:variant>
        <vt:lpwstr>https://www.ncbi.nlm.nih.gov/pubmed/27180259</vt:lpwstr>
      </vt:variant>
      <vt:variant>
        <vt:lpwstr/>
      </vt:variant>
      <vt:variant>
        <vt:i4>2031655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https://www.ncbi.nlm.nih.gov/pubmed/?term=Lomme%20MM%5BAuthor%5D&amp;cauthor=true&amp;cauthor_uid=27180259</vt:lpwstr>
      </vt:variant>
      <vt:variant>
        <vt:lpwstr/>
      </vt:variant>
      <vt:variant>
        <vt:i4>6160511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https://www.ncbi.nlm.nih.gov/pubmed/?term=Tantravahi%20U%5BAuthor%5D&amp;cauthor=true&amp;cauthor_uid=27180259</vt:lpwstr>
      </vt:variant>
      <vt:variant>
        <vt:lpwstr/>
      </vt:variant>
      <vt:variant>
        <vt:i4>6160425</vt:i4>
      </vt:variant>
      <vt:variant>
        <vt:i4>3</vt:i4>
      </vt:variant>
      <vt:variant>
        <vt:i4>0</vt:i4>
      </vt:variant>
      <vt:variant>
        <vt:i4>5</vt:i4>
      </vt:variant>
      <vt:variant>
        <vt:lpwstr>https://www.ncbi.nlm.nih.gov/pubmed/?term=Singh%20K%5BAuthor%5D&amp;cauthor=true&amp;cauthor_uid=27180259</vt:lpwstr>
      </vt:variant>
      <vt:variant>
        <vt:lpwstr/>
      </vt:variant>
      <vt:variant>
        <vt:i4>327681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https://www.ncbi.nlm.nih.gov/pubmed/?term=De+Felice+F%2C+Marchetti+C%2C+Musella+A%2C+et+al.+Bilateral+Risk-Reduction+Mastectomy+in+BRCA1+and+BRCA2+Mutation+Carriers%3A+A+Meta-analysis.+Ann+Surg+Oncol+2015.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Jassem</dc:creator>
  <cp:keywords/>
  <cp:lastModifiedBy>Malinowska Kamila</cp:lastModifiedBy>
  <cp:revision>2</cp:revision>
  <cp:lastPrinted>2018-05-30T16:31:00Z</cp:lastPrinted>
  <dcterms:created xsi:type="dcterms:W3CDTF">2018-06-21T07:03:00Z</dcterms:created>
  <dcterms:modified xsi:type="dcterms:W3CDTF">2018-06-21T07:03:00Z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2014-10-27T00:00:00Z</vt:filetime>
  </property>
  <property fmtid="{D5CDD505-2E9C-101B-9397-08002B2CF9AE}" pid="3" name="LastSaved">
    <vt:filetime>2016-07-19T00:00:00Z</vt:filetime>
  </property>
</Properties>
</file>