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79" w14:textId="06910D55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206615A2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42063BCE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Inspektor Ochrony Danych (IOD) w Ministerstwie Sprawiedliwości</w:t>
      </w:r>
      <w:r w:rsidR="00547F57">
        <w:rPr>
          <w:rFonts w:ascii="Cambria" w:hAnsi="Cambria" w:cs="Times New Roman"/>
          <w:color w:val="000000" w:themeColor="text1"/>
        </w:rPr>
        <w:t xml:space="preserve">, dane </w:t>
      </w:r>
      <w:r w:rsidRPr="00A07953">
        <w:rPr>
          <w:rFonts w:ascii="Cambria" w:hAnsi="Cambria" w:cs="Times New Roman"/>
          <w:color w:val="000000" w:themeColor="text1"/>
        </w:rPr>
        <w:t xml:space="preserve">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AAE58B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 r. poz.</w:t>
      </w:r>
      <w:r w:rsidR="009943B5">
        <w:rPr>
          <w:rFonts w:ascii="Cambria" w:eastAsia="Times New Roman" w:hAnsi="Cambria" w:cs="Times New Roman"/>
          <w:lang w:eastAsia="pl-PL"/>
        </w:rPr>
        <w:t xml:space="preserve"> 1802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67B7C5BE" w14:textId="590941FB" w:rsidR="00827FFD" w:rsidRDefault="00A07953" w:rsidP="0008719D">
      <w:pPr>
        <w:spacing w:line="240" w:lineRule="auto"/>
        <w:jc w:val="both"/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  <w:bookmarkEnd w:id="2"/>
    </w:p>
    <w:sectPr w:rsidR="00827FFD" w:rsidSect="00C353DA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6C49" w14:textId="77777777" w:rsidR="001444CE" w:rsidRDefault="001444CE" w:rsidP="000B668F">
      <w:pPr>
        <w:spacing w:after="0" w:line="240" w:lineRule="auto"/>
      </w:pPr>
      <w:r>
        <w:separator/>
      </w:r>
    </w:p>
  </w:endnote>
  <w:endnote w:type="continuationSeparator" w:id="0">
    <w:p w14:paraId="051A731D" w14:textId="77777777" w:rsidR="001444CE" w:rsidRDefault="001444CE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6AD8" w14:textId="77777777" w:rsidR="001444CE" w:rsidRDefault="001444CE" w:rsidP="000B668F">
      <w:pPr>
        <w:spacing w:after="0" w:line="240" w:lineRule="auto"/>
      </w:pPr>
      <w:r>
        <w:separator/>
      </w:r>
    </w:p>
  </w:footnote>
  <w:footnote w:type="continuationSeparator" w:id="0">
    <w:p w14:paraId="4BE06E45" w14:textId="77777777" w:rsidR="001444CE" w:rsidRDefault="001444CE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r w:rsidR="00351803">
        <w:rPr>
          <w:rFonts w:ascii="Cambria" w:hAnsi="Cambria"/>
          <w:bCs/>
        </w:rPr>
        <w:t>Maloletnich.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52B0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8719D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D6E6C"/>
    <w:rsid w:val="000E2CE6"/>
    <w:rsid w:val="000E31D6"/>
    <w:rsid w:val="000E5BDB"/>
    <w:rsid w:val="000E78CD"/>
    <w:rsid w:val="000E7A4A"/>
    <w:rsid w:val="000F0B8E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260F6"/>
    <w:rsid w:val="0013054E"/>
    <w:rsid w:val="00131CA1"/>
    <w:rsid w:val="0013211B"/>
    <w:rsid w:val="00133805"/>
    <w:rsid w:val="00135E46"/>
    <w:rsid w:val="0014337E"/>
    <w:rsid w:val="0014354B"/>
    <w:rsid w:val="001444CE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4F40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1A31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7B4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063A"/>
    <w:rsid w:val="005427D0"/>
    <w:rsid w:val="00542D1B"/>
    <w:rsid w:val="00547148"/>
    <w:rsid w:val="00547273"/>
    <w:rsid w:val="005472A8"/>
    <w:rsid w:val="0054789B"/>
    <w:rsid w:val="00547D0C"/>
    <w:rsid w:val="00547F57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29CB"/>
    <w:rsid w:val="0059334A"/>
    <w:rsid w:val="005A1728"/>
    <w:rsid w:val="005A2378"/>
    <w:rsid w:val="005A3534"/>
    <w:rsid w:val="005A4174"/>
    <w:rsid w:val="005A428A"/>
    <w:rsid w:val="005A4487"/>
    <w:rsid w:val="005A4951"/>
    <w:rsid w:val="005B2F72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5363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0FF6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43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BCC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07A2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024C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B4AC8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3827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Bochińska Magdalena  (DSRiN)</cp:lastModifiedBy>
  <cp:revision>2</cp:revision>
  <dcterms:created xsi:type="dcterms:W3CDTF">2026-05-11T17:11:00Z</dcterms:created>
  <dcterms:modified xsi:type="dcterms:W3CDTF">2026-05-11T17:11:00Z</dcterms:modified>
</cp:coreProperties>
</file>