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Pr="00D604FF" w:rsidRDefault="00D93818" w:rsidP="00D9381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R</w:t>
      </w:r>
      <w:r>
        <w:rPr>
          <w:rFonts w:ascii="Times New Roman" w:hAnsi="Times New Roman"/>
          <w:sz w:val="24"/>
          <w:szCs w:val="24"/>
        </w:rPr>
        <w:t>zeszowie</w:t>
      </w:r>
      <w:r>
        <w:rPr>
          <w:rFonts w:ascii="Times New Roman" w:hAnsi="Times New Roman"/>
          <w:sz w:val="24"/>
          <w:szCs w:val="24"/>
        </w:rPr>
        <w:t>.</w:t>
      </w: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93818" w:rsidRDefault="00D93818" w:rsidP="00D9381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R</w:t>
      </w:r>
      <w:r>
        <w:rPr>
          <w:rFonts w:ascii="Times New Roman" w:hAnsi="Times New Roman"/>
          <w:sz w:val="24"/>
          <w:szCs w:val="24"/>
        </w:rPr>
        <w:t>zeszowie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R</w:t>
      </w:r>
      <w:r>
        <w:rPr>
          <w:rFonts w:ascii="Times New Roman" w:hAnsi="Times New Roman"/>
          <w:sz w:val="24"/>
          <w:szCs w:val="24"/>
        </w:rPr>
        <w:t>zeszowie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 rekrutacji i powołania na stanowisko dyrektora tego sądu.</w:t>
      </w:r>
    </w:p>
    <w:p w:rsidR="00D93818" w:rsidRDefault="00D93818" w:rsidP="00D938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</w:p>
    <w:p w:rsidR="00D93818" w:rsidRDefault="00D93818" w:rsidP="00D938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D93818" w:rsidRPr="0053684E" w:rsidRDefault="00D93818" w:rsidP="00D938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3818" w:rsidRDefault="00D93818" w:rsidP="00D93818"/>
    <w:p w:rsidR="00D93818" w:rsidRDefault="00D93818" w:rsidP="00D93818"/>
    <w:p w:rsidR="00D93818" w:rsidRDefault="00D93818" w:rsidP="00D93818"/>
    <w:p w:rsidR="006F2185" w:rsidRDefault="006F2185"/>
    <w:sectPr w:rsidR="006F218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818"/>
    <w:rsid w:val="006F2185"/>
    <w:rsid w:val="00D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E6CC"/>
  <w15:chartTrackingRefBased/>
  <w15:docId w15:val="{FECB0D8C-396B-4C59-BC00-93BA4EDC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8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810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2020-01-22T08:47:00Z</dcterms:created>
  <dcterms:modified xsi:type="dcterms:W3CDTF">2020-01-22T08:48:00Z</dcterms:modified>
</cp:coreProperties>
</file>