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DFD5E" w14:textId="77777777" w:rsidR="00961586" w:rsidRPr="00634A5B" w:rsidRDefault="00961586" w:rsidP="005A31A5">
      <w:pPr>
        <w:spacing w:line="360" w:lineRule="auto"/>
        <w:contextualSpacing/>
        <w:rPr>
          <w:rFonts w:ascii="Arial" w:eastAsia="Calibri" w:hAnsi="Arial" w:cs="Arial"/>
        </w:rPr>
      </w:pPr>
    </w:p>
    <w:p w14:paraId="3B83CE74" w14:textId="77777777" w:rsidR="006F52C0" w:rsidRPr="00634A5B" w:rsidRDefault="006F52C0" w:rsidP="005A31A5">
      <w:pPr>
        <w:spacing w:line="360" w:lineRule="auto"/>
        <w:rPr>
          <w:rFonts w:ascii="Arial" w:eastAsia="Calibri" w:hAnsi="Arial" w:cs="Arial"/>
        </w:rPr>
      </w:pPr>
      <w:r w:rsidRPr="00634A5B">
        <w:rPr>
          <w:rFonts w:ascii="Arial" w:eastAsia="Calibri" w:hAnsi="Arial" w:cs="Arial"/>
        </w:rPr>
        <w:t>W nagłówku, po lewej stronie, znajduje się logo Komisji do spraw reprywatyzacji nieruchomości warszawskich zawierające godło państwa polskiego i podkreślenie w formie miniaturki flagi RP</w:t>
      </w:r>
    </w:p>
    <w:p w14:paraId="06A1C024" w14:textId="77777777" w:rsidR="006F52C0" w:rsidRPr="00634A5B" w:rsidRDefault="006F52C0" w:rsidP="005A31A5">
      <w:pPr>
        <w:spacing w:line="360" w:lineRule="auto"/>
        <w:contextualSpacing/>
        <w:rPr>
          <w:rFonts w:ascii="Arial" w:eastAsia="Calibri" w:hAnsi="Arial" w:cs="Arial"/>
        </w:rPr>
      </w:pPr>
    </w:p>
    <w:p w14:paraId="099DCB21" w14:textId="3FE1DB77" w:rsidR="00961586" w:rsidRPr="00634A5B" w:rsidRDefault="00662E3A" w:rsidP="005A31A5">
      <w:pPr>
        <w:spacing w:line="360" w:lineRule="auto"/>
        <w:contextualSpacing/>
        <w:rPr>
          <w:rFonts w:ascii="Arial" w:eastAsia="Calibri" w:hAnsi="Arial" w:cs="Arial"/>
        </w:rPr>
      </w:pPr>
      <w:r w:rsidRPr="00634A5B">
        <w:rPr>
          <w:rFonts w:ascii="Arial" w:eastAsia="Calibri" w:hAnsi="Arial" w:cs="Arial"/>
        </w:rPr>
        <w:t xml:space="preserve">Warszawa, dnia </w:t>
      </w:r>
      <w:r w:rsidR="00A96EB3">
        <w:rPr>
          <w:rFonts w:ascii="Arial" w:eastAsia="Calibri" w:hAnsi="Arial" w:cs="Arial"/>
        </w:rPr>
        <w:t>15</w:t>
      </w:r>
      <w:r w:rsidR="007E57CE" w:rsidRPr="00634A5B">
        <w:rPr>
          <w:rFonts w:ascii="Arial" w:eastAsia="Calibri" w:hAnsi="Arial" w:cs="Arial"/>
        </w:rPr>
        <w:t xml:space="preserve"> </w:t>
      </w:r>
      <w:r w:rsidR="00A96EB3">
        <w:rPr>
          <w:rFonts w:ascii="Arial" w:eastAsia="Calibri" w:hAnsi="Arial" w:cs="Arial"/>
        </w:rPr>
        <w:t>lutego</w:t>
      </w:r>
      <w:r w:rsidR="004A3D61" w:rsidRPr="00634A5B">
        <w:rPr>
          <w:rFonts w:ascii="Arial" w:eastAsia="Calibri" w:hAnsi="Arial" w:cs="Arial"/>
        </w:rPr>
        <w:t xml:space="preserve"> </w:t>
      </w:r>
      <w:r w:rsidRPr="00634A5B">
        <w:rPr>
          <w:rFonts w:ascii="Arial" w:eastAsia="Calibri" w:hAnsi="Arial" w:cs="Arial"/>
        </w:rPr>
        <w:t>202</w:t>
      </w:r>
      <w:r w:rsidR="00A96EB3">
        <w:rPr>
          <w:rFonts w:ascii="Arial" w:eastAsia="Calibri" w:hAnsi="Arial" w:cs="Arial"/>
        </w:rPr>
        <w:t>3</w:t>
      </w:r>
      <w:r w:rsidRPr="00634A5B">
        <w:rPr>
          <w:rFonts w:ascii="Arial" w:eastAsia="Calibri" w:hAnsi="Arial" w:cs="Arial"/>
        </w:rPr>
        <w:t xml:space="preserve"> r.</w:t>
      </w:r>
    </w:p>
    <w:p w14:paraId="51AB9B4E" w14:textId="26DF4E41" w:rsidR="007E57CE" w:rsidRPr="00634A5B" w:rsidRDefault="007E57CE" w:rsidP="005A31A5">
      <w:pPr>
        <w:spacing w:line="360" w:lineRule="auto"/>
        <w:contextualSpacing/>
        <w:rPr>
          <w:rFonts w:ascii="Arial" w:eastAsia="Calibri" w:hAnsi="Arial" w:cs="Arial"/>
        </w:rPr>
      </w:pPr>
    </w:p>
    <w:p w14:paraId="5FC9D45A" w14:textId="516D4279" w:rsidR="007E57CE" w:rsidRPr="00634A5B" w:rsidRDefault="007E57CE" w:rsidP="005A31A5">
      <w:pPr>
        <w:spacing w:line="360" w:lineRule="auto"/>
        <w:contextualSpacing/>
        <w:rPr>
          <w:rFonts w:ascii="Arial" w:eastAsia="Calibri" w:hAnsi="Arial" w:cs="Arial"/>
        </w:rPr>
      </w:pPr>
      <w:r w:rsidRPr="00634A5B">
        <w:rPr>
          <w:rFonts w:ascii="Arial" w:eastAsia="Calibri" w:hAnsi="Arial" w:cs="Arial"/>
        </w:rPr>
        <w:t xml:space="preserve">Sygn. akt KR III R </w:t>
      </w:r>
      <w:r w:rsidR="006A5282">
        <w:rPr>
          <w:rFonts w:ascii="Arial" w:eastAsia="Calibri" w:hAnsi="Arial" w:cs="Arial"/>
        </w:rPr>
        <w:t>4</w:t>
      </w:r>
      <w:r w:rsidR="007802A7" w:rsidRPr="00634A5B">
        <w:rPr>
          <w:rFonts w:ascii="Arial" w:eastAsia="Calibri" w:hAnsi="Arial" w:cs="Arial"/>
        </w:rPr>
        <w:t xml:space="preserve"> ukośnik </w:t>
      </w:r>
      <w:r w:rsidR="00A96EB3">
        <w:rPr>
          <w:rFonts w:ascii="Arial" w:eastAsia="Calibri" w:hAnsi="Arial" w:cs="Arial"/>
        </w:rPr>
        <w:t>23</w:t>
      </w:r>
    </w:p>
    <w:p w14:paraId="2A292B08" w14:textId="77777777" w:rsidR="00961586" w:rsidRPr="00634A5B" w:rsidRDefault="00961586" w:rsidP="005A31A5">
      <w:pPr>
        <w:spacing w:line="360" w:lineRule="auto"/>
        <w:contextualSpacing/>
        <w:rPr>
          <w:rFonts w:ascii="Arial" w:eastAsia="Calibri" w:hAnsi="Arial" w:cs="Arial"/>
          <w:b/>
        </w:rPr>
      </w:pPr>
    </w:p>
    <w:p w14:paraId="08649CFD" w14:textId="66E6511F" w:rsidR="00961586" w:rsidRPr="00634A5B" w:rsidRDefault="00662E3A" w:rsidP="005A31A5">
      <w:pPr>
        <w:spacing w:line="360" w:lineRule="auto"/>
        <w:contextualSpacing/>
        <w:rPr>
          <w:rFonts w:ascii="Arial" w:eastAsia="Calibri" w:hAnsi="Arial" w:cs="Arial"/>
          <w:b/>
          <w:sz w:val="28"/>
          <w:szCs w:val="28"/>
        </w:rPr>
      </w:pPr>
      <w:r w:rsidRPr="00634A5B">
        <w:rPr>
          <w:rFonts w:ascii="Arial" w:eastAsia="Calibri" w:hAnsi="Arial" w:cs="Arial"/>
          <w:b/>
          <w:sz w:val="28"/>
          <w:szCs w:val="28"/>
        </w:rPr>
        <w:t>D</w:t>
      </w:r>
      <w:r w:rsidR="006F52C0" w:rsidRPr="00634A5B">
        <w:rPr>
          <w:rFonts w:ascii="Arial" w:eastAsia="Calibri" w:hAnsi="Arial" w:cs="Arial"/>
          <w:b/>
          <w:sz w:val="28"/>
          <w:szCs w:val="28"/>
        </w:rPr>
        <w:t xml:space="preserve">ecyzja </w:t>
      </w:r>
      <w:r w:rsidRPr="00634A5B">
        <w:rPr>
          <w:rFonts w:ascii="Arial" w:eastAsia="Calibri" w:hAnsi="Arial" w:cs="Arial"/>
          <w:b/>
          <w:sz w:val="28"/>
          <w:szCs w:val="28"/>
        </w:rPr>
        <w:t xml:space="preserve">nr KR III R </w:t>
      </w:r>
      <w:r w:rsidR="006A5282">
        <w:rPr>
          <w:rFonts w:ascii="Arial" w:eastAsia="Calibri" w:hAnsi="Arial" w:cs="Arial"/>
          <w:b/>
          <w:sz w:val="28"/>
          <w:szCs w:val="28"/>
        </w:rPr>
        <w:t>4</w:t>
      </w:r>
      <w:r w:rsidR="00726D51" w:rsidRPr="00634A5B">
        <w:rPr>
          <w:rFonts w:ascii="Arial" w:eastAsia="Calibri" w:hAnsi="Arial" w:cs="Arial"/>
          <w:b/>
          <w:sz w:val="28"/>
          <w:szCs w:val="28"/>
        </w:rPr>
        <w:t xml:space="preserve"> ukośnik </w:t>
      </w:r>
      <w:r w:rsidR="00A96EB3">
        <w:rPr>
          <w:rFonts w:ascii="Arial" w:eastAsia="Calibri" w:hAnsi="Arial" w:cs="Arial"/>
          <w:b/>
          <w:sz w:val="28"/>
          <w:szCs w:val="28"/>
        </w:rPr>
        <w:t>23</w:t>
      </w:r>
    </w:p>
    <w:p w14:paraId="16E7498A" w14:textId="77777777" w:rsidR="00961586" w:rsidRPr="00634A5B" w:rsidRDefault="00961586" w:rsidP="005A31A5">
      <w:pPr>
        <w:spacing w:line="360" w:lineRule="auto"/>
        <w:contextualSpacing/>
        <w:rPr>
          <w:rFonts w:ascii="Arial" w:eastAsia="Calibri" w:hAnsi="Arial" w:cs="Arial"/>
        </w:rPr>
      </w:pPr>
    </w:p>
    <w:p w14:paraId="41FCEC61" w14:textId="77777777" w:rsidR="00961586" w:rsidRPr="00634A5B" w:rsidRDefault="00662E3A" w:rsidP="005A31A5">
      <w:pPr>
        <w:spacing w:line="360" w:lineRule="auto"/>
        <w:contextualSpacing/>
        <w:rPr>
          <w:rFonts w:ascii="Arial" w:eastAsia="Calibri" w:hAnsi="Arial" w:cs="Arial"/>
        </w:rPr>
      </w:pPr>
      <w:r w:rsidRPr="00634A5B">
        <w:rPr>
          <w:rFonts w:ascii="Arial" w:eastAsia="Calibri" w:hAnsi="Arial" w:cs="Arial"/>
        </w:rPr>
        <w:t>Komisja do spraw reprywatyzacji nieruchomości warszawskich w składzie:</w:t>
      </w:r>
    </w:p>
    <w:p w14:paraId="1F051663" w14:textId="77777777" w:rsidR="00961586" w:rsidRPr="00634A5B" w:rsidRDefault="00662E3A" w:rsidP="005A31A5">
      <w:pPr>
        <w:tabs>
          <w:tab w:val="left" w:pos="3253"/>
        </w:tabs>
        <w:spacing w:line="360" w:lineRule="auto"/>
        <w:contextualSpacing/>
        <w:rPr>
          <w:rFonts w:ascii="Arial" w:eastAsia="Calibri" w:hAnsi="Arial" w:cs="Arial"/>
          <w:b/>
        </w:rPr>
      </w:pPr>
      <w:r w:rsidRPr="00634A5B">
        <w:rPr>
          <w:rFonts w:ascii="Arial" w:eastAsia="Calibri" w:hAnsi="Arial" w:cs="Arial"/>
          <w:b/>
        </w:rPr>
        <w:t xml:space="preserve">Przewodniczący Komisji: </w:t>
      </w:r>
    </w:p>
    <w:p w14:paraId="2138A2F1" w14:textId="77777777" w:rsidR="00961586" w:rsidRPr="00634A5B" w:rsidRDefault="00662E3A" w:rsidP="005A31A5">
      <w:pPr>
        <w:tabs>
          <w:tab w:val="left" w:pos="3253"/>
        </w:tabs>
        <w:spacing w:line="360" w:lineRule="auto"/>
        <w:contextualSpacing/>
        <w:rPr>
          <w:rFonts w:ascii="Arial" w:eastAsia="Calibri" w:hAnsi="Arial" w:cs="Arial"/>
          <w:b/>
        </w:rPr>
      </w:pPr>
      <w:r w:rsidRPr="00634A5B">
        <w:rPr>
          <w:rFonts w:ascii="Arial" w:eastAsia="Calibri" w:hAnsi="Arial" w:cs="Arial"/>
        </w:rPr>
        <w:t>Sebastian Kaleta</w:t>
      </w:r>
    </w:p>
    <w:p w14:paraId="2FF97D9D" w14:textId="4039AD2C" w:rsidR="00DF09DD" w:rsidRPr="00634A5B" w:rsidRDefault="00662E3A" w:rsidP="005A31A5">
      <w:pPr>
        <w:spacing w:line="360" w:lineRule="auto"/>
        <w:contextualSpacing/>
        <w:rPr>
          <w:rFonts w:ascii="Arial" w:eastAsia="Calibri" w:hAnsi="Arial" w:cs="Arial"/>
          <w:bCs/>
        </w:rPr>
      </w:pPr>
      <w:r w:rsidRPr="00634A5B">
        <w:rPr>
          <w:rFonts w:ascii="Arial" w:eastAsia="Calibri" w:hAnsi="Arial" w:cs="Arial"/>
          <w:b/>
        </w:rPr>
        <w:t xml:space="preserve">Członkowie Komisji: </w:t>
      </w:r>
      <w:r w:rsidR="00A96EB3" w:rsidRPr="00A96EB3">
        <w:rPr>
          <w:rFonts w:ascii="Arial" w:eastAsia="Calibri" w:hAnsi="Arial" w:cs="Arial"/>
          <w:bCs/>
        </w:rPr>
        <w:t xml:space="preserve">Paweł Lisiecki, Wiktor </w:t>
      </w:r>
      <w:proofErr w:type="spellStart"/>
      <w:r w:rsidR="00A96EB3" w:rsidRPr="00A96EB3">
        <w:rPr>
          <w:rFonts w:ascii="Arial" w:eastAsia="Calibri" w:hAnsi="Arial" w:cs="Arial"/>
          <w:bCs/>
        </w:rPr>
        <w:t>Klimiuk</w:t>
      </w:r>
      <w:proofErr w:type="spellEnd"/>
      <w:r w:rsidR="00A96EB3" w:rsidRPr="00A96EB3">
        <w:rPr>
          <w:rFonts w:ascii="Arial" w:eastAsia="Calibri" w:hAnsi="Arial" w:cs="Arial"/>
          <w:bCs/>
        </w:rPr>
        <w:t xml:space="preserve">, Łukasz </w:t>
      </w:r>
      <w:proofErr w:type="spellStart"/>
      <w:r w:rsidR="00A96EB3" w:rsidRPr="00A96EB3">
        <w:rPr>
          <w:rFonts w:ascii="Arial" w:eastAsia="Calibri" w:hAnsi="Arial" w:cs="Arial"/>
          <w:bCs/>
        </w:rPr>
        <w:t>Kondratko</w:t>
      </w:r>
      <w:proofErr w:type="spellEnd"/>
      <w:r w:rsidR="00A96EB3" w:rsidRPr="00A96EB3">
        <w:rPr>
          <w:rFonts w:ascii="Arial" w:eastAsia="Calibri" w:hAnsi="Arial" w:cs="Arial"/>
          <w:bCs/>
        </w:rPr>
        <w:t>, Robert Kropiwnicki, Jan Mosiński, Sławomir Potapowicz, Adam Zieliński</w:t>
      </w:r>
    </w:p>
    <w:p w14:paraId="18EACA10" w14:textId="7C3E79B1" w:rsidR="00EE56B1" w:rsidRPr="00EE56B1" w:rsidRDefault="007802A7" w:rsidP="00EE56B1">
      <w:pPr>
        <w:spacing w:line="360" w:lineRule="auto"/>
        <w:contextualSpacing/>
        <w:rPr>
          <w:rFonts w:ascii="Arial" w:eastAsia="Calibri" w:hAnsi="Arial" w:cs="Arial"/>
        </w:rPr>
      </w:pPr>
      <w:r w:rsidRPr="00634A5B">
        <w:rPr>
          <w:rFonts w:ascii="Arial" w:eastAsia="Calibri" w:hAnsi="Arial" w:cs="Arial"/>
        </w:rPr>
        <w:t xml:space="preserve">po rozpoznaniu w dniu </w:t>
      </w:r>
      <w:r w:rsidR="00A96EB3">
        <w:rPr>
          <w:rFonts w:ascii="Arial" w:eastAsia="Calibri" w:hAnsi="Arial" w:cs="Arial"/>
        </w:rPr>
        <w:t>15</w:t>
      </w:r>
      <w:r w:rsidRPr="00634A5B">
        <w:rPr>
          <w:rFonts w:ascii="Arial" w:eastAsia="Calibri" w:hAnsi="Arial" w:cs="Arial"/>
        </w:rPr>
        <w:t xml:space="preserve"> </w:t>
      </w:r>
      <w:r w:rsidR="00A96EB3">
        <w:rPr>
          <w:rFonts w:ascii="Arial" w:eastAsia="Calibri" w:hAnsi="Arial" w:cs="Arial"/>
        </w:rPr>
        <w:t>lutego</w:t>
      </w:r>
      <w:r w:rsidRPr="00634A5B">
        <w:rPr>
          <w:rFonts w:ascii="Arial" w:eastAsia="Calibri" w:hAnsi="Arial" w:cs="Arial"/>
        </w:rPr>
        <w:t xml:space="preserve"> 202</w:t>
      </w:r>
      <w:r w:rsidR="00A96EB3">
        <w:rPr>
          <w:rFonts w:ascii="Arial" w:eastAsia="Calibri" w:hAnsi="Arial" w:cs="Arial"/>
        </w:rPr>
        <w:t>3</w:t>
      </w:r>
      <w:r w:rsidRPr="00634A5B">
        <w:rPr>
          <w:rFonts w:ascii="Arial" w:eastAsia="Calibri" w:hAnsi="Arial" w:cs="Arial"/>
        </w:rPr>
        <w:t xml:space="preserve"> r. na posiedzeniu niejawnym sprawy w przedmiocie </w:t>
      </w:r>
      <w:r w:rsidR="00EE56B1" w:rsidRPr="00EE56B1">
        <w:rPr>
          <w:rFonts w:ascii="Arial" w:eastAsia="Calibri" w:hAnsi="Arial" w:cs="Arial"/>
        </w:rPr>
        <w:t>decyzji Prezydenta m.st. Warszawy z dnia 29 lipca 2014 r. nr 319</w:t>
      </w:r>
      <w:r w:rsidR="00EE56B1">
        <w:rPr>
          <w:rFonts w:ascii="Arial" w:eastAsia="Calibri" w:hAnsi="Arial" w:cs="Arial"/>
        </w:rPr>
        <w:t xml:space="preserve"> ukośnik </w:t>
      </w:r>
      <w:r w:rsidR="00EE56B1" w:rsidRPr="00EE56B1">
        <w:rPr>
          <w:rFonts w:ascii="Arial" w:eastAsia="Calibri" w:hAnsi="Arial" w:cs="Arial"/>
        </w:rPr>
        <w:t>GK</w:t>
      </w:r>
      <w:r w:rsidR="00EE56B1">
        <w:rPr>
          <w:rFonts w:ascii="Arial" w:eastAsia="Calibri" w:hAnsi="Arial" w:cs="Arial"/>
        </w:rPr>
        <w:t xml:space="preserve"> ukośnik </w:t>
      </w:r>
      <w:r w:rsidR="00EE56B1" w:rsidRPr="00EE56B1">
        <w:rPr>
          <w:rFonts w:ascii="Arial" w:eastAsia="Calibri" w:hAnsi="Arial" w:cs="Arial"/>
        </w:rPr>
        <w:t>DW</w:t>
      </w:r>
      <w:r w:rsidR="00EE56B1">
        <w:rPr>
          <w:rFonts w:ascii="Arial" w:eastAsia="Calibri" w:hAnsi="Arial" w:cs="Arial"/>
        </w:rPr>
        <w:t xml:space="preserve"> ukośnik </w:t>
      </w:r>
      <w:r w:rsidR="00EE56B1" w:rsidRPr="00EE56B1">
        <w:rPr>
          <w:rFonts w:ascii="Arial" w:eastAsia="Calibri" w:hAnsi="Arial" w:cs="Arial"/>
        </w:rPr>
        <w:t>2014, dotyczącej nieruchomości położonej w Warszawie przy ul. Twardej 10 (obecnie ul. Twarda 8</w:t>
      </w:r>
      <w:r w:rsidR="00EE56B1">
        <w:rPr>
          <w:rFonts w:ascii="Arial" w:eastAsia="Calibri" w:hAnsi="Arial" w:cs="Arial"/>
        </w:rPr>
        <w:t xml:space="preserve"> ukośnik </w:t>
      </w:r>
      <w:r w:rsidR="00EE56B1" w:rsidRPr="00EE56B1">
        <w:rPr>
          <w:rFonts w:ascii="Arial" w:eastAsia="Calibri" w:hAnsi="Arial" w:cs="Arial"/>
        </w:rPr>
        <w:t>12), stanowiącej działkę ewidencyjną nr w obrębie, dla której Sąd Rejonowy dla Warszawy</w:t>
      </w:r>
      <w:r w:rsidR="00EE56B1">
        <w:rPr>
          <w:rFonts w:ascii="Arial" w:eastAsia="Calibri" w:hAnsi="Arial" w:cs="Arial"/>
        </w:rPr>
        <w:t xml:space="preserve"> myślnik </w:t>
      </w:r>
      <w:r w:rsidR="00EE56B1" w:rsidRPr="00EE56B1">
        <w:rPr>
          <w:rFonts w:ascii="Arial" w:eastAsia="Calibri" w:hAnsi="Arial" w:cs="Arial"/>
        </w:rPr>
        <w:t xml:space="preserve">Mokotowa w Warszawie X Wydział Ksiąg Wieczystych prowadzi księgę wieczystą </w:t>
      </w:r>
    </w:p>
    <w:p w14:paraId="025688A1" w14:textId="6600ECF0" w:rsidR="00EE56B1" w:rsidRPr="00EE56B1" w:rsidRDefault="00EE56B1" w:rsidP="00EE56B1">
      <w:pPr>
        <w:spacing w:line="360" w:lineRule="auto"/>
        <w:contextualSpacing/>
        <w:rPr>
          <w:rFonts w:ascii="Arial" w:eastAsia="Calibri" w:hAnsi="Arial" w:cs="Arial"/>
        </w:rPr>
      </w:pPr>
      <w:r w:rsidRPr="00EE56B1">
        <w:rPr>
          <w:rFonts w:ascii="Arial" w:eastAsia="Calibri" w:hAnsi="Arial" w:cs="Arial"/>
        </w:rPr>
        <w:t>z udziałem stron: Miasta Stołecznego Warszawy i M</w:t>
      </w:r>
      <w:r>
        <w:rPr>
          <w:rFonts w:ascii="Arial" w:eastAsia="Calibri" w:hAnsi="Arial" w:cs="Arial"/>
        </w:rPr>
        <w:t>.</w:t>
      </w:r>
      <w:r w:rsidRPr="00EE56B1">
        <w:rPr>
          <w:rFonts w:ascii="Arial" w:eastAsia="Calibri" w:hAnsi="Arial" w:cs="Arial"/>
        </w:rPr>
        <w:t xml:space="preserve"> A</w:t>
      </w:r>
      <w:r>
        <w:rPr>
          <w:rFonts w:ascii="Arial" w:eastAsia="Calibri" w:hAnsi="Arial" w:cs="Arial"/>
        </w:rPr>
        <w:t>.</w:t>
      </w:r>
      <w:r w:rsidRPr="00EE56B1">
        <w:rPr>
          <w:rFonts w:ascii="Arial" w:eastAsia="Calibri" w:hAnsi="Arial" w:cs="Arial"/>
        </w:rPr>
        <w:t xml:space="preserve"> M</w:t>
      </w:r>
      <w:r>
        <w:rPr>
          <w:rFonts w:ascii="Arial" w:eastAsia="Calibri" w:hAnsi="Arial" w:cs="Arial"/>
        </w:rPr>
        <w:t>.</w:t>
      </w:r>
    </w:p>
    <w:p w14:paraId="7BF217C8" w14:textId="0D7675F4" w:rsidR="002446A8" w:rsidRDefault="00EE56B1" w:rsidP="00EE56B1">
      <w:pPr>
        <w:spacing w:line="360" w:lineRule="auto"/>
        <w:contextualSpacing/>
        <w:rPr>
          <w:rFonts w:ascii="Arial" w:eastAsia="Calibri" w:hAnsi="Arial" w:cs="Arial"/>
        </w:rPr>
      </w:pPr>
      <w:r w:rsidRPr="00EE56B1">
        <w:rPr>
          <w:rFonts w:ascii="Arial" w:eastAsia="Calibri" w:hAnsi="Arial" w:cs="Arial"/>
        </w:rPr>
        <w:t xml:space="preserve">na podstawie art. 29 ust. 1 </w:t>
      </w:r>
      <w:r>
        <w:rPr>
          <w:rFonts w:ascii="Arial" w:eastAsia="Calibri" w:hAnsi="Arial" w:cs="Arial"/>
        </w:rPr>
        <w:t>punkt</w:t>
      </w:r>
      <w:r w:rsidRPr="00EE56B1">
        <w:rPr>
          <w:rFonts w:ascii="Arial" w:eastAsia="Calibri" w:hAnsi="Arial" w:cs="Arial"/>
        </w:rPr>
        <w:t xml:space="preserve"> 5 ustawy z dnia 9 marca 2017 r. o szczególnych zasadach usuwania skutków prawnych decyzji reprywatyzacyjnych dotyczących nieruchomości warszawskich, wydanych z naruszeniem prawa (Dz. U. z 2021 r. poz. 795, dalej: ustawa z 9 marca 2017 r.) w związku z art. 105</w:t>
      </w:r>
      <w:r>
        <w:rPr>
          <w:rFonts w:ascii="Arial" w:eastAsia="Calibri" w:hAnsi="Arial" w:cs="Arial"/>
        </w:rPr>
        <w:t xml:space="preserve"> paragraf </w:t>
      </w:r>
      <w:r w:rsidRPr="00EE56B1">
        <w:rPr>
          <w:rFonts w:ascii="Arial" w:eastAsia="Calibri" w:hAnsi="Arial" w:cs="Arial"/>
        </w:rPr>
        <w:t>1 ustawy z dnia 14 czerwca 1960 r. Kodeks postępowania administracyjnego (Dz. U. z 2022 r. poz. 2000 z późn. zm., dalej: k.p.a.) w związku z art. 38 ust. 1 ustawy z dnia 9 marca 2017 r</w:t>
      </w:r>
      <w:r w:rsidR="002446A8" w:rsidRPr="00634A5B">
        <w:rPr>
          <w:rFonts w:ascii="Arial" w:eastAsia="Calibri" w:hAnsi="Arial" w:cs="Arial"/>
        </w:rPr>
        <w:t>.</w:t>
      </w:r>
    </w:p>
    <w:p w14:paraId="27AC8F93" w14:textId="220CC422" w:rsidR="006A5282" w:rsidRDefault="006A5282" w:rsidP="005A31A5">
      <w:pPr>
        <w:spacing w:line="360" w:lineRule="auto"/>
        <w:contextualSpacing/>
        <w:rPr>
          <w:rFonts w:ascii="Arial" w:eastAsia="Calibri" w:hAnsi="Arial" w:cs="Arial"/>
        </w:rPr>
      </w:pPr>
    </w:p>
    <w:p w14:paraId="5ECD1C00" w14:textId="34178BCB" w:rsidR="006A5282" w:rsidRDefault="006A5282" w:rsidP="005A31A5">
      <w:pPr>
        <w:spacing w:line="360" w:lineRule="auto"/>
        <w:contextualSpacing/>
        <w:rPr>
          <w:rFonts w:ascii="Arial" w:eastAsia="Calibri" w:hAnsi="Arial" w:cs="Arial"/>
        </w:rPr>
      </w:pPr>
      <w:r>
        <w:rPr>
          <w:rFonts w:ascii="Arial" w:eastAsia="Calibri" w:hAnsi="Arial" w:cs="Arial"/>
        </w:rPr>
        <w:t>orzeka:</w:t>
      </w:r>
    </w:p>
    <w:p w14:paraId="065AB052" w14:textId="77777777" w:rsidR="006A5282" w:rsidRPr="00634A5B" w:rsidRDefault="006A5282" w:rsidP="005A31A5">
      <w:pPr>
        <w:spacing w:line="360" w:lineRule="auto"/>
        <w:contextualSpacing/>
        <w:rPr>
          <w:rFonts w:ascii="Arial" w:eastAsia="Calibri" w:hAnsi="Arial" w:cs="Arial"/>
        </w:rPr>
      </w:pPr>
    </w:p>
    <w:p w14:paraId="38B95823" w14:textId="428FF6E1" w:rsidR="002446A8" w:rsidRPr="00634A5B" w:rsidRDefault="00EE56B1" w:rsidP="005A31A5">
      <w:pPr>
        <w:spacing w:line="360" w:lineRule="auto"/>
        <w:contextualSpacing/>
        <w:rPr>
          <w:rFonts w:ascii="Arial" w:eastAsia="Calibri" w:hAnsi="Arial" w:cs="Arial"/>
        </w:rPr>
      </w:pPr>
      <w:r w:rsidRPr="00EE56B1">
        <w:rPr>
          <w:rFonts w:ascii="Arial" w:eastAsia="Calibri" w:hAnsi="Arial" w:cs="Arial"/>
        </w:rPr>
        <w:t>umorzyć postępowanie rozpoznawcze w przedmiocie decyzji Prezydenta m.st. Warszawy z dnia 29 lipca 2014 r. nr 319</w:t>
      </w:r>
      <w:r>
        <w:rPr>
          <w:rFonts w:ascii="Arial" w:eastAsia="Calibri" w:hAnsi="Arial" w:cs="Arial"/>
        </w:rPr>
        <w:t xml:space="preserve"> ukośnik </w:t>
      </w:r>
      <w:r w:rsidRPr="00EE56B1">
        <w:rPr>
          <w:rFonts w:ascii="Arial" w:eastAsia="Calibri" w:hAnsi="Arial" w:cs="Arial"/>
        </w:rPr>
        <w:t>GK</w:t>
      </w:r>
      <w:r>
        <w:rPr>
          <w:rFonts w:ascii="Arial" w:eastAsia="Calibri" w:hAnsi="Arial" w:cs="Arial"/>
        </w:rPr>
        <w:t xml:space="preserve"> ukośnik </w:t>
      </w:r>
      <w:r w:rsidRPr="00EE56B1">
        <w:rPr>
          <w:rFonts w:ascii="Arial" w:eastAsia="Calibri" w:hAnsi="Arial" w:cs="Arial"/>
        </w:rPr>
        <w:t>DW</w:t>
      </w:r>
      <w:r>
        <w:rPr>
          <w:rFonts w:ascii="Arial" w:eastAsia="Calibri" w:hAnsi="Arial" w:cs="Arial"/>
        </w:rPr>
        <w:t xml:space="preserve"> ukośnik </w:t>
      </w:r>
      <w:r w:rsidRPr="00EE56B1">
        <w:rPr>
          <w:rFonts w:ascii="Arial" w:eastAsia="Calibri" w:hAnsi="Arial" w:cs="Arial"/>
        </w:rPr>
        <w:t>2014 w całości</w:t>
      </w:r>
      <w:r w:rsidR="007802A7" w:rsidRPr="00634A5B">
        <w:rPr>
          <w:rFonts w:ascii="Arial" w:eastAsia="Calibri" w:hAnsi="Arial" w:cs="Arial"/>
        </w:rPr>
        <w:t>.</w:t>
      </w:r>
    </w:p>
    <w:p w14:paraId="241CB34A" w14:textId="77777777" w:rsidR="002446A8" w:rsidRPr="00634A5B" w:rsidRDefault="002446A8" w:rsidP="005A31A5">
      <w:pPr>
        <w:spacing w:line="360" w:lineRule="auto"/>
        <w:contextualSpacing/>
        <w:rPr>
          <w:rFonts w:ascii="Arial" w:eastAsia="Calibri" w:hAnsi="Arial" w:cs="Arial"/>
        </w:rPr>
      </w:pPr>
    </w:p>
    <w:p w14:paraId="1797AC7A" w14:textId="02EBD294" w:rsidR="002446A8" w:rsidRPr="004C4E97" w:rsidRDefault="002446A8" w:rsidP="005A31A5">
      <w:pPr>
        <w:pStyle w:val="Styl2"/>
        <w:rPr>
          <w:sz w:val="28"/>
          <w:szCs w:val="28"/>
        </w:rPr>
      </w:pPr>
      <w:r w:rsidRPr="004C4E97">
        <w:rPr>
          <w:sz w:val="28"/>
          <w:szCs w:val="28"/>
        </w:rPr>
        <w:t>UZASADNIENIE</w:t>
      </w:r>
    </w:p>
    <w:p w14:paraId="03A1088C" w14:textId="77777777" w:rsidR="00A96EB3" w:rsidRDefault="00CD3CFA" w:rsidP="005A31A5">
      <w:pPr>
        <w:spacing w:line="360" w:lineRule="auto"/>
        <w:contextualSpacing/>
        <w:rPr>
          <w:rFonts w:ascii="Arial" w:eastAsia="Calibri" w:hAnsi="Arial" w:cs="Arial"/>
          <w:b/>
          <w:bCs/>
          <w:sz w:val="28"/>
          <w:szCs w:val="28"/>
        </w:rPr>
      </w:pPr>
      <w:r w:rsidRPr="004C4E97">
        <w:rPr>
          <w:rFonts w:ascii="Arial" w:eastAsia="Calibri" w:hAnsi="Arial" w:cs="Arial"/>
          <w:b/>
          <w:bCs/>
          <w:sz w:val="28"/>
          <w:szCs w:val="28"/>
        </w:rPr>
        <w:t>Punkt pierwszy.</w:t>
      </w:r>
      <w:r w:rsidR="00A96EB3">
        <w:rPr>
          <w:rFonts w:ascii="Arial" w:eastAsia="Calibri" w:hAnsi="Arial" w:cs="Arial"/>
          <w:b/>
          <w:bCs/>
          <w:sz w:val="28"/>
          <w:szCs w:val="28"/>
        </w:rPr>
        <w:t xml:space="preserve"> </w:t>
      </w:r>
    </w:p>
    <w:p w14:paraId="0C362340" w14:textId="148D1666" w:rsidR="002446A8" w:rsidRPr="004C4E97" w:rsidRDefault="00A96EB3" w:rsidP="005A31A5">
      <w:pPr>
        <w:spacing w:line="360" w:lineRule="auto"/>
        <w:contextualSpacing/>
        <w:rPr>
          <w:rFonts w:ascii="Arial" w:eastAsia="Calibri" w:hAnsi="Arial" w:cs="Arial"/>
          <w:b/>
          <w:bCs/>
          <w:sz w:val="28"/>
          <w:szCs w:val="28"/>
        </w:rPr>
      </w:pPr>
      <w:r w:rsidRPr="00A96EB3">
        <w:rPr>
          <w:rFonts w:ascii="Arial" w:eastAsia="Calibri" w:hAnsi="Arial" w:cs="Arial"/>
          <w:b/>
          <w:bCs/>
          <w:sz w:val="28"/>
          <w:szCs w:val="28"/>
        </w:rPr>
        <w:t>Przebieg postępowania administracyjnego</w:t>
      </w:r>
      <w:r>
        <w:rPr>
          <w:rFonts w:ascii="Arial" w:eastAsia="Calibri" w:hAnsi="Arial" w:cs="Arial"/>
          <w:b/>
          <w:bCs/>
          <w:sz w:val="28"/>
          <w:szCs w:val="28"/>
        </w:rPr>
        <w:t>.</w:t>
      </w:r>
    </w:p>
    <w:p w14:paraId="3759BB33" w14:textId="77777777" w:rsidR="008B1C94" w:rsidRPr="00634A5B" w:rsidRDefault="008B1C94" w:rsidP="005A31A5">
      <w:pPr>
        <w:spacing w:line="360" w:lineRule="auto"/>
        <w:contextualSpacing/>
        <w:rPr>
          <w:rFonts w:ascii="Arial" w:eastAsia="Calibri" w:hAnsi="Arial" w:cs="Arial"/>
        </w:rPr>
      </w:pPr>
    </w:p>
    <w:p w14:paraId="6513C9AA" w14:textId="300C83E7" w:rsidR="00EE56B1" w:rsidRPr="00EE56B1" w:rsidRDefault="00EE56B1" w:rsidP="00EE56B1">
      <w:pPr>
        <w:spacing w:line="360" w:lineRule="auto"/>
        <w:contextualSpacing/>
        <w:rPr>
          <w:rFonts w:ascii="Arial" w:eastAsia="Calibri" w:hAnsi="Arial" w:cs="Arial"/>
        </w:rPr>
      </w:pPr>
      <w:r w:rsidRPr="00EE56B1">
        <w:rPr>
          <w:rFonts w:ascii="Arial" w:eastAsia="Calibri" w:hAnsi="Arial" w:cs="Arial"/>
        </w:rPr>
        <w:t>Postanowieniem z dnia 12 czerwca 2017 r. Komisja do spraw reprywatyzacji nieruchomości warszawskich (dalej: Komisja) wszczęła postępowanie rozpoznawcze o sygn. akt R 2</w:t>
      </w:r>
      <w:r>
        <w:rPr>
          <w:rFonts w:ascii="Arial" w:eastAsia="Calibri" w:hAnsi="Arial" w:cs="Arial"/>
        </w:rPr>
        <w:t xml:space="preserve"> ukośnik </w:t>
      </w:r>
      <w:r w:rsidRPr="00EE56B1">
        <w:rPr>
          <w:rFonts w:ascii="Arial" w:eastAsia="Calibri" w:hAnsi="Arial" w:cs="Arial"/>
        </w:rPr>
        <w:t>17 w sprawie decyzji Prezydenta m. st. Warszawy z dnia 29 lipca 2014 r., nr 319</w:t>
      </w:r>
      <w:r>
        <w:rPr>
          <w:rFonts w:ascii="Arial" w:eastAsia="Calibri" w:hAnsi="Arial" w:cs="Arial"/>
        </w:rPr>
        <w:t xml:space="preserve"> ukośnik </w:t>
      </w:r>
      <w:r w:rsidRPr="00EE56B1">
        <w:rPr>
          <w:rFonts w:ascii="Arial" w:eastAsia="Calibri" w:hAnsi="Arial" w:cs="Arial"/>
        </w:rPr>
        <w:t>GK</w:t>
      </w:r>
      <w:r>
        <w:rPr>
          <w:rFonts w:ascii="Arial" w:eastAsia="Calibri" w:hAnsi="Arial" w:cs="Arial"/>
        </w:rPr>
        <w:t xml:space="preserve"> ukośnik </w:t>
      </w:r>
      <w:r w:rsidRPr="00EE56B1">
        <w:rPr>
          <w:rFonts w:ascii="Arial" w:eastAsia="Calibri" w:hAnsi="Arial" w:cs="Arial"/>
        </w:rPr>
        <w:t>DW</w:t>
      </w:r>
      <w:r>
        <w:rPr>
          <w:rFonts w:ascii="Arial" w:eastAsia="Calibri" w:hAnsi="Arial" w:cs="Arial"/>
        </w:rPr>
        <w:t xml:space="preserve"> ukośnik </w:t>
      </w:r>
      <w:r w:rsidRPr="00EE56B1">
        <w:rPr>
          <w:rFonts w:ascii="Arial" w:eastAsia="Calibri" w:hAnsi="Arial" w:cs="Arial"/>
        </w:rPr>
        <w:t>2014 (dalej: decyzja reprywatyzacyjna)</w:t>
      </w:r>
      <w:r>
        <w:rPr>
          <w:rFonts w:ascii="Arial" w:eastAsia="Calibri" w:hAnsi="Arial" w:cs="Arial"/>
        </w:rPr>
        <w:t xml:space="preserve"> myślnik </w:t>
      </w:r>
      <w:r w:rsidRPr="00EE56B1">
        <w:rPr>
          <w:rFonts w:ascii="Arial" w:eastAsia="Calibri" w:hAnsi="Arial" w:cs="Arial"/>
        </w:rPr>
        <w:t>w przedmiocie ustanowienia na lat prawa użytkowania wieczystego w udziale wynoszącym części do zabudowanego gruntu o pow</w:t>
      </w:r>
      <w:r>
        <w:rPr>
          <w:rFonts w:ascii="Arial" w:eastAsia="Calibri" w:hAnsi="Arial" w:cs="Arial"/>
        </w:rPr>
        <w:t>ierzchni</w:t>
      </w:r>
      <w:r w:rsidRPr="00EE56B1">
        <w:rPr>
          <w:rFonts w:ascii="Arial" w:eastAsia="Calibri" w:hAnsi="Arial" w:cs="Arial"/>
        </w:rPr>
        <w:t xml:space="preserve"> m</w:t>
      </w:r>
      <w:r>
        <w:rPr>
          <w:rFonts w:ascii="Arial" w:eastAsia="Calibri" w:hAnsi="Arial" w:cs="Arial"/>
        </w:rPr>
        <w:t>etrów kwadratowych</w:t>
      </w:r>
      <w:r w:rsidRPr="00EE56B1">
        <w:rPr>
          <w:rFonts w:ascii="Arial" w:eastAsia="Calibri" w:hAnsi="Arial" w:cs="Arial"/>
        </w:rPr>
        <w:t xml:space="preserve">, położonego w Warszawie przy ul. Twardej, opisanego w ewidencji gruntów jako działka nr z obrębu, uregulowanego w księdze wieczystej nr </w:t>
      </w:r>
      <w:r>
        <w:rPr>
          <w:rFonts w:ascii="Arial" w:eastAsia="Calibri" w:hAnsi="Arial" w:cs="Arial"/>
        </w:rPr>
        <w:t xml:space="preserve">myślnik </w:t>
      </w:r>
      <w:r w:rsidRPr="00EE56B1">
        <w:rPr>
          <w:rFonts w:ascii="Arial" w:eastAsia="Calibri" w:hAnsi="Arial" w:cs="Arial"/>
        </w:rPr>
        <w:t>na rzecz M</w:t>
      </w:r>
      <w:r>
        <w:rPr>
          <w:rFonts w:ascii="Arial" w:eastAsia="Calibri" w:hAnsi="Arial" w:cs="Arial"/>
        </w:rPr>
        <w:t>.</w:t>
      </w:r>
      <w:r w:rsidRPr="00EE56B1">
        <w:rPr>
          <w:rFonts w:ascii="Arial" w:eastAsia="Calibri" w:hAnsi="Arial" w:cs="Arial"/>
        </w:rPr>
        <w:t xml:space="preserve"> A</w:t>
      </w:r>
      <w:r>
        <w:rPr>
          <w:rFonts w:ascii="Arial" w:eastAsia="Calibri" w:hAnsi="Arial" w:cs="Arial"/>
        </w:rPr>
        <w:t>.</w:t>
      </w:r>
      <w:r w:rsidRPr="00EE56B1">
        <w:rPr>
          <w:rFonts w:ascii="Arial" w:eastAsia="Calibri" w:hAnsi="Arial" w:cs="Arial"/>
        </w:rPr>
        <w:t xml:space="preserve"> M.</w:t>
      </w:r>
    </w:p>
    <w:p w14:paraId="432C7658" w14:textId="6259A1B9" w:rsidR="00EE56B1" w:rsidRPr="00EE56B1" w:rsidRDefault="00EE56B1" w:rsidP="00EE56B1">
      <w:pPr>
        <w:spacing w:line="360" w:lineRule="auto"/>
        <w:contextualSpacing/>
        <w:rPr>
          <w:rFonts w:ascii="Arial" w:eastAsia="Calibri" w:hAnsi="Arial" w:cs="Arial"/>
        </w:rPr>
      </w:pPr>
      <w:r w:rsidRPr="00EE56B1">
        <w:rPr>
          <w:rFonts w:ascii="Arial" w:eastAsia="Calibri" w:hAnsi="Arial" w:cs="Arial"/>
        </w:rPr>
        <w:t>Decyzją z dnia 10 lipca 2017 r. nr R 2</w:t>
      </w:r>
      <w:r>
        <w:rPr>
          <w:rFonts w:ascii="Arial" w:eastAsia="Calibri" w:hAnsi="Arial" w:cs="Arial"/>
        </w:rPr>
        <w:t xml:space="preserve"> ukośnik </w:t>
      </w:r>
      <w:r w:rsidRPr="00EE56B1">
        <w:rPr>
          <w:rFonts w:ascii="Arial" w:eastAsia="Calibri" w:hAnsi="Arial" w:cs="Arial"/>
        </w:rPr>
        <w:t xml:space="preserve">17 Komisja, w </w:t>
      </w:r>
      <w:r>
        <w:rPr>
          <w:rFonts w:ascii="Arial" w:eastAsia="Calibri" w:hAnsi="Arial" w:cs="Arial"/>
        </w:rPr>
        <w:t>punkt</w:t>
      </w:r>
      <w:r w:rsidRPr="00EE56B1">
        <w:rPr>
          <w:rFonts w:ascii="Arial" w:eastAsia="Calibri" w:hAnsi="Arial" w:cs="Arial"/>
        </w:rPr>
        <w:t xml:space="preserve"> 1 uchyliła w całości decyzję reprywatyzacyjną i odmówiła ustanowienia prawa użytkowania wieczystego, zaś w </w:t>
      </w:r>
      <w:r>
        <w:rPr>
          <w:rFonts w:ascii="Arial" w:eastAsia="Calibri" w:hAnsi="Arial" w:cs="Arial"/>
        </w:rPr>
        <w:t>punkt</w:t>
      </w:r>
      <w:r w:rsidRPr="00EE56B1">
        <w:rPr>
          <w:rFonts w:ascii="Arial" w:eastAsia="Calibri" w:hAnsi="Arial" w:cs="Arial"/>
        </w:rPr>
        <w:t xml:space="preserve"> 2 nadała decyzji rygor natychmiastowej wykonalności.</w:t>
      </w:r>
    </w:p>
    <w:p w14:paraId="1BC4E3EA" w14:textId="7AEF507E" w:rsidR="00EE56B1" w:rsidRPr="00EE56B1" w:rsidRDefault="00EE56B1" w:rsidP="00EE56B1">
      <w:pPr>
        <w:spacing w:line="360" w:lineRule="auto"/>
        <w:contextualSpacing/>
        <w:rPr>
          <w:rFonts w:ascii="Arial" w:eastAsia="Calibri" w:hAnsi="Arial" w:cs="Arial"/>
        </w:rPr>
      </w:pPr>
      <w:r w:rsidRPr="00EE56B1">
        <w:rPr>
          <w:rFonts w:ascii="Arial" w:eastAsia="Calibri" w:hAnsi="Arial" w:cs="Arial"/>
        </w:rPr>
        <w:t>Skargi na powyższą decyzję złożyli Miasto Stołeczne Warszawa oraz M</w:t>
      </w:r>
      <w:r w:rsidR="007A467D">
        <w:rPr>
          <w:rFonts w:ascii="Arial" w:eastAsia="Calibri" w:hAnsi="Arial" w:cs="Arial"/>
        </w:rPr>
        <w:t>.</w:t>
      </w:r>
      <w:r w:rsidRPr="00EE56B1">
        <w:rPr>
          <w:rFonts w:ascii="Arial" w:eastAsia="Calibri" w:hAnsi="Arial" w:cs="Arial"/>
        </w:rPr>
        <w:t xml:space="preserve"> A</w:t>
      </w:r>
      <w:r w:rsidR="007A467D">
        <w:rPr>
          <w:rFonts w:ascii="Arial" w:eastAsia="Calibri" w:hAnsi="Arial" w:cs="Arial"/>
        </w:rPr>
        <w:t>.</w:t>
      </w:r>
      <w:r w:rsidRPr="00EE56B1">
        <w:rPr>
          <w:rFonts w:ascii="Arial" w:eastAsia="Calibri" w:hAnsi="Arial" w:cs="Arial"/>
        </w:rPr>
        <w:t xml:space="preserve"> M.</w:t>
      </w:r>
    </w:p>
    <w:p w14:paraId="6B684898" w14:textId="6A9B98A4" w:rsidR="00EE56B1" w:rsidRPr="00EE56B1" w:rsidRDefault="00EE56B1" w:rsidP="00EE56B1">
      <w:pPr>
        <w:spacing w:line="360" w:lineRule="auto"/>
        <w:contextualSpacing/>
        <w:rPr>
          <w:rFonts w:ascii="Arial" w:eastAsia="Calibri" w:hAnsi="Arial" w:cs="Arial"/>
        </w:rPr>
      </w:pPr>
      <w:r w:rsidRPr="00EE56B1">
        <w:rPr>
          <w:rFonts w:ascii="Arial" w:eastAsia="Calibri" w:hAnsi="Arial" w:cs="Arial"/>
        </w:rPr>
        <w:t>Wojewódzki Sąd Administracyjny w Warszawie po rozpoznaniu w dniu 28 września 2020 r. sprawy o sygnaturze akt ze skarg M</w:t>
      </w:r>
      <w:r w:rsidR="007A467D">
        <w:rPr>
          <w:rFonts w:ascii="Arial" w:eastAsia="Calibri" w:hAnsi="Arial" w:cs="Arial"/>
        </w:rPr>
        <w:t>.</w:t>
      </w:r>
      <w:r w:rsidRPr="00EE56B1">
        <w:rPr>
          <w:rFonts w:ascii="Arial" w:eastAsia="Calibri" w:hAnsi="Arial" w:cs="Arial"/>
        </w:rPr>
        <w:t xml:space="preserve"> A</w:t>
      </w:r>
      <w:r w:rsidR="007A467D">
        <w:rPr>
          <w:rFonts w:ascii="Arial" w:eastAsia="Calibri" w:hAnsi="Arial" w:cs="Arial"/>
        </w:rPr>
        <w:t>.</w:t>
      </w:r>
      <w:r w:rsidRPr="00EE56B1">
        <w:rPr>
          <w:rFonts w:ascii="Arial" w:eastAsia="Calibri" w:hAnsi="Arial" w:cs="Arial"/>
        </w:rPr>
        <w:t xml:space="preserve"> M</w:t>
      </w:r>
      <w:r w:rsidR="007A467D">
        <w:rPr>
          <w:rFonts w:ascii="Arial" w:eastAsia="Calibri" w:hAnsi="Arial" w:cs="Arial"/>
        </w:rPr>
        <w:t>.</w:t>
      </w:r>
      <w:r w:rsidRPr="00EE56B1">
        <w:rPr>
          <w:rFonts w:ascii="Arial" w:eastAsia="Calibri" w:hAnsi="Arial" w:cs="Arial"/>
        </w:rPr>
        <w:t xml:space="preserve"> oraz Miasta Stołecznego Warszawy wydał wyrok, w którym stwierdził nieważność decyzji Komisji z dnia 10 lipca 2017 r. nr R 2</w:t>
      </w:r>
      <w:r>
        <w:rPr>
          <w:rFonts w:ascii="Arial" w:eastAsia="Calibri" w:hAnsi="Arial" w:cs="Arial"/>
        </w:rPr>
        <w:t xml:space="preserve"> ukośnik </w:t>
      </w:r>
      <w:r w:rsidRPr="00EE56B1">
        <w:rPr>
          <w:rFonts w:ascii="Arial" w:eastAsia="Calibri" w:hAnsi="Arial" w:cs="Arial"/>
        </w:rPr>
        <w:t>17 oraz decyzji Prezydenta m. st. Warszawy z dnia 29 lipca 2014 r. nr 319</w:t>
      </w:r>
      <w:r>
        <w:rPr>
          <w:rFonts w:ascii="Arial" w:eastAsia="Calibri" w:hAnsi="Arial" w:cs="Arial"/>
        </w:rPr>
        <w:t xml:space="preserve"> ukośnik </w:t>
      </w:r>
      <w:r w:rsidRPr="00EE56B1">
        <w:rPr>
          <w:rFonts w:ascii="Arial" w:eastAsia="Calibri" w:hAnsi="Arial" w:cs="Arial"/>
        </w:rPr>
        <w:t>GK</w:t>
      </w:r>
      <w:r>
        <w:rPr>
          <w:rFonts w:ascii="Arial" w:eastAsia="Calibri" w:hAnsi="Arial" w:cs="Arial"/>
        </w:rPr>
        <w:t xml:space="preserve"> ukośnik </w:t>
      </w:r>
      <w:r w:rsidRPr="00EE56B1">
        <w:rPr>
          <w:rFonts w:ascii="Arial" w:eastAsia="Calibri" w:hAnsi="Arial" w:cs="Arial"/>
        </w:rPr>
        <w:t>DW</w:t>
      </w:r>
      <w:r>
        <w:rPr>
          <w:rFonts w:ascii="Arial" w:eastAsia="Calibri" w:hAnsi="Arial" w:cs="Arial"/>
        </w:rPr>
        <w:t xml:space="preserve"> ukośnik </w:t>
      </w:r>
      <w:r w:rsidRPr="00EE56B1">
        <w:rPr>
          <w:rFonts w:ascii="Arial" w:eastAsia="Calibri" w:hAnsi="Arial" w:cs="Arial"/>
        </w:rPr>
        <w:t>2014.</w:t>
      </w:r>
    </w:p>
    <w:p w14:paraId="1AB5DF17" w14:textId="2FA291FA" w:rsidR="00EE56B1" w:rsidRPr="00EE56B1" w:rsidRDefault="00EE56B1" w:rsidP="00EE56B1">
      <w:pPr>
        <w:spacing w:line="360" w:lineRule="auto"/>
        <w:contextualSpacing/>
        <w:rPr>
          <w:rFonts w:ascii="Arial" w:eastAsia="Calibri" w:hAnsi="Arial" w:cs="Arial"/>
        </w:rPr>
      </w:pPr>
      <w:r w:rsidRPr="00EE56B1">
        <w:rPr>
          <w:rFonts w:ascii="Arial" w:eastAsia="Calibri" w:hAnsi="Arial" w:cs="Arial"/>
        </w:rPr>
        <w:t>W uzasadnieniu wyroku Sąd wskazał, że zarówno decyzja Komisji jak i poprzedzająca ją decyzja Prezydenta m. st. Warszawy z 29 lipca 2014 r. naruszają prawo w sposób rażący, co z mocy art. 145</w:t>
      </w:r>
      <w:r>
        <w:rPr>
          <w:rFonts w:ascii="Arial" w:eastAsia="Calibri" w:hAnsi="Arial" w:cs="Arial"/>
        </w:rPr>
        <w:t xml:space="preserve"> paragraf </w:t>
      </w:r>
      <w:r w:rsidRPr="00EE56B1">
        <w:rPr>
          <w:rFonts w:ascii="Arial" w:eastAsia="Calibri" w:hAnsi="Arial" w:cs="Arial"/>
        </w:rPr>
        <w:t xml:space="preserve">1 </w:t>
      </w:r>
      <w:r>
        <w:rPr>
          <w:rFonts w:ascii="Arial" w:eastAsia="Calibri" w:hAnsi="Arial" w:cs="Arial"/>
        </w:rPr>
        <w:t>punkt</w:t>
      </w:r>
      <w:r w:rsidRPr="00EE56B1">
        <w:rPr>
          <w:rFonts w:ascii="Arial" w:eastAsia="Calibri" w:hAnsi="Arial" w:cs="Arial"/>
        </w:rPr>
        <w:t xml:space="preserve"> 2 p.p.s.a. w związku z art. 135 p.p.s.a. obligowało Sąd do stwierdzenia ich nieważności. Podniesiono, że na skutek decyzji Prezydenta m. st. Warszawy, M</w:t>
      </w:r>
      <w:r w:rsidR="007A467D">
        <w:rPr>
          <w:rFonts w:ascii="Arial" w:eastAsia="Calibri" w:hAnsi="Arial" w:cs="Arial"/>
        </w:rPr>
        <w:t>.</w:t>
      </w:r>
      <w:r w:rsidRPr="00EE56B1">
        <w:rPr>
          <w:rFonts w:ascii="Arial" w:eastAsia="Calibri" w:hAnsi="Arial" w:cs="Arial"/>
        </w:rPr>
        <w:t xml:space="preserve"> M</w:t>
      </w:r>
      <w:r w:rsidR="007A467D">
        <w:rPr>
          <w:rFonts w:ascii="Arial" w:eastAsia="Calibri" w:hAnsi="Arial" w:cs="Arial"/>
        </w:rPr>
        <w:t>.</w:t>
      </w:r>
      <w:r w:rsidRPr="00EE56B1">
        <w:rPr>
          <w:rFonts w:ascii="Arial" w:eastAsia="Calibri" w:hAnsi="Arial" w:cs="Arial"/>
        </w:rPr>
        <w:t xml:space="preserve"> jako następca prawny dawnych </w:t>
      </w:r>
      <w:r w:rsidRPr="00EE56B1">
        <w:rPr>
          <w:rFonts w:ascii="Arial" w:eastAsia="Calibri" w:hAnsi="Arial" w:cs="Arial"/>
        </w:rPr>
        <w:lastRenderedPageBreak/>
        <w:t>właścicieli jednej nieruchomości dekretowej uzyskał udziały w prawie użytkowania wieczystego trzech nieruchomości dekretowych, z których dwie nigdy nie stanowiły własności osób, od których nabywał roszczenia dekretowe. Przyznanie prawa użytkowania wieczystego do nieruchomości nie stanowiącej własności poprzednika prawnego beneficjenta decyzji reprywatyzacyjnej stanowi rażące naruszenie art. 7 ust. 1 i ust. 2 dekretu warszawskiego. W konsekwencji uznać należało, że decyzja Prezydenta wydana została z rażącym naruszeniem art. 7 ust. 1 i ust. 2 dekretu warszawskiego.</w:t>
      </w:r>
    </w:p>
    <w:p w14:paraId="4E3C302C" w14:textId="4995DD1C" w:rsidR="00EE56B1" w:rsidRPr="00EE56B1" w:rsidRDefault="00EE56B1" w:rsidP="00EE56B1">
      <w:pPr>
        <w:spacing w:line="360" w:lineRule="auto"/>
        <w:contextualSpacing/>
        <w:rPr>
          <w:rFonts w:ascii="Arial" w:eastAsia="Calibri" w:hAnsi="Arial" w:cs="Arial"/>
        </w:rPr>
      </w:pPr>
      <w:r w:rsidRPr="00EE56B1">
        <w:rPr>
          <w:rFonts w:ascii="Arial" w:eastAsia="Calibri" w:hAnsi="Arial" w:cs="Arial"/>
        </w:rPr>
        <w:t>W odniesieniu do decyzji Komisji Sąd wskazał, że po uchyleniu decyzji Prezydenta Komisja rozpoznała wniosek dekretowy i odmówiła ustanowienia prawa użytkowania wieczystego. W ocenie Sądu z sentencji decyzji Komisji nie wynika jednak jakiemu podmiotowi odmówiła ona przyznania prawa użytkowania wieczystego. Komisja uznawała M</w:t>
      </w:r>
      <w:r w:rsidR="007A467D">
        <w:rPr>
          <w:rFonts w:ascii="Arial" w:eastAsia="Calibri" w:hAnsi="Arial" w:cs="Arial"/>
        </w:rPr>
        <w:t>.</w:t>
      </w:r>
      <w:r w:rsidRPr="00EE56B1">
        <w:rPr>
          <w:rFonts w:ascii="Arial" w:eastAsia="Calibri" w:hAnsi="Arial" w:cs="Arial"/>
        </w:rPr>
        <w:t xml:space="preserve"> M</w:t>
      </w:r>
      <w:r w:rsidR="007A467D">
        <w:rPr>
          <w:rFonts w:ascii="Arial" w:eastAsia="Calibri" w:hAnsi="Arial" w:cs="Arial"/>
        </w:rPr>
        <w:t>.</w:t>
      </w:r>
      <w:r w:rsidRPr="00EE56B1">
        <w:rPr>
          <w:rFonts w:ascii="Arial" w:eastAsia="Calibri" w:hAnsi="Arial" w:cs="Arial"/>
        </w:rPr>
        <w:t xml:space="preserve"> za podmiot nieuprawniony w rozumieniu art. 7 ust. 1 dekretu. Jednak w punkcie 5.1. uzasadnienia decyzji Komisji jako stronę postępowania wskazano beneficjenta decyzji reprywatyzacyjnej, czyli M</w:t>
      </w:r>
      <w:r w:rsidR="007A467D">
        <w:rPr>
          <w:rFonts w:ascii="Arial" w:eastAsia="Calibri" w:hAnsi="Arial" w:cs="Arial"/>
        </w:rPr>
        <w:t>.</w:t>
      </w:r>
      <w:r w:rsidRPr="00EE56B1">
        <w:rPr>
          <w:rFonts w:ascii="Arial" w:eastAsia="Calibri" w:hAnsi="Arial" w:cs="Arial"/>
        </w:rPr>
        <w:t xml:space="preserve"> M. Sąd po dokonaniu analizy uzasadnienia decyzji Komisji zauważył, że odmowa przyznania prawa użytkowania wieczystego do gruntu podyktowana była okolicznościami o charakterze przedmiotowym, to jest wystąpieniem przesłanek, o których mowa w art. 214a ustawy o gospodarce nieruchomościami. Doszedł do wniosku, że Komisja uznała beneficjenta decyzji reprywatyzacyjnej za osobę nieuprawnioną w rozumieniu art. 7 ust. 1 dekretu warszawskiego i jednocześnie skierowała do niego rozstrzygnięcie odmawiające mu ustanowienia prawa użytkowania wieczystego z uwagi na zaistnienie okoliczności, o których mowa w art. 214a ustawy o gospodarce nieruchomościami. Innymi słowy, Komisja skierowała rozstrzygnięcie merytoryczne o odmowie ustanowienia prawa użytkowania wieczystego do podmiotu, który w jej ocenie nie powinien być stroną postępowania dekretowego, co uznano za wydanie decyzji w warunkach art. 156</w:t>
      </w:r>
      <w:r>
        <w:rPr>
          <w:rFonts w:ascii="Arial" w:eastAsia="Calibri" w:hAnsi="Arial" w:cs="Arial"/>
        </w:rPr>
        <w:t xml:space="preserve"> paragraf </w:t>
      </w:r>
      <w:r w:rsidRPr="00EE56B1">
        <w:rPr>
          <w:rFonts w:ascii="Arial" w:eastAsia="Calibri" w:hAnsi="Arial" w:cs="Arial"/>
        </w:rPr>
        <w:t xml:space="preserve">1 </w:t>
      </w:r>
      <w:r>
        <w:rPr>
          <w:rFonts w:ascii="Arial" w:eastAsia="Calibri" w:hAnsi="Arial" w:cs="Arial"/>
        </w:rPr>
        <w:t>punkt</w:t>
      </w:r>
      <w:r w:rsidRPr="00EE56B1">
        <w:rPr>
          <w:rFonts w:ascii="Arial" w:eastAsia="Calibri" w:hAnsi="Arial" w:cs="Arial"/>
        </w:rPr>
        <w:t xml:space="preserve"> 4 k.p.a. Sąd podkreślił również, że z rozstrzygnięcia Komisji nie wynika, czy Komisja odmówiła M</w:t>
      </w:r>
      <w:r w:rsidR="007A467D">
        <w:rPr>
          <w:rFonts w:ascii="Arial" w:eastAsia="Calibri" w:hAnsi="Arial" w:cs="Arial"/>
        </w:rPr>
        <w:t>.</w:t>
      </w:r>
      <w:r w:rsidRPr="00EE56B1">
        <w:rPr>
          <w:rFonts w:ascii="Arial" w:eastAsia="Calibri" w:hAnsi="Arial" w:cs="Arial"/>
        </w:rPr>
        <w:t xml:space="preserve"> M</w:t>
      </w:r>
      <w:r w:rsidR="007A467D">
        <w:rPr>
          <w:rFonts w:ascii="Arial" w:eastAsia="Calibri" w:hAnsi="Arial" w:cs="Arial"/>
        </w:rPr>
        <w:t>.</w:t>
      </w:r>
      <w:r w:rsidRPr="00EE56B1">
        <w:rPr>
          <w:rFonts w:ascii="Arial" w:eastAsia="Calibri" w:hAnsi="Arial" w:cs="Arial"/>
        </w:rPr>
        <w:t xml:space="preserve"> przyznania prawa użytkowania wieczystego do całej działki nr, do dawnej nieruchomości hipotecznej, czy też odmówiła ustanowienia prawa użytkowania wieczystego do ułamkowej części nieruchomości. Takie rozstrzygnięcie Sąd uznał za rażąco sprzeczne z art. 7 ust. 1 i ust. 2 dekretu warszawskiego. Brak określenia w decyzji dekretowej jakiego konkretnie przedmiotu ono dotyczy uznane zostało za rażące naruszenie powołanych przepisów dekretu, bowiem rozstrzygnięcie wniosku dekretowego dotyczyć może jedynie konkretnej dawnej nieruchomości warszawskiej. Nie wskazanie zaś tej </w:t>
      </w:r>
      <w:r w:rsidRPr="00EE56B1">
        <w:rPr>
          <w:rFonts w:ascii="Arial" w:eastAsia="Calibri" w:hAnsi="Arial" w:cs="Arial"/>
        </w:rPr>
        <w:lastRenderedPageBreak/>
        <w:t>nieruchomości, jak również pozostawienie wątpliwości czy rozstrzygnięcie dotyczy udziału w nieruchomości, w skład której wchodzą nieruchomości nie objęte dawnym wnioskiem dekretowym, ewentualnie całości działki, która obejmuje m.in. działkę do której zgłoszone zostały roszczenia dekretowe stanowi również rażące naruszenie art. 7 ust. 2 dekretu warszawskiego.</w:t>
      </w:r>
    </w:p>
    <w:p w14:paraId="7610F860" w14:textId="55B0D693" w:rsidR="00EE56B1" w:rsidRPr="00EE56B1" w:rsidRDefault="00EE56B1" w:rsidP="00EE56B1">
      <w:pPr>
        <w:spacing w:line="360" w:lineRule="auto"/>
        <w:contextualSpacing/>
        <w:rPr>
          <w:rFonts w:ascii="Arial" w:eastAsia="Calibri" w:hAnsi="Arial" w:cs="Arial"/>
        </w:rPr>
      </w:pPr>
      <w:r w:rsidRPr="00EE56B1">
        <w:rPr>
          <w:rFonts w:ascii="Arial" w:eastAsia="Calibri" w:hAnsi="Arial" w:cs="Arial"/>
        </w:rPr>
        <w:t>Od powyższego wyroku M</w:t>
      </w:r>
      <w:r w:rsidR="007A467D">
        <w:rPr>
          <w:rFonts w:ascii="Arial" w:eastAsia="Calibri" w:hAnsi="Arial" w:cs="Arial"/>
        </w:rPr>
        <w:t>.</w:t>
      </w:r>
      <w:r w:rsidRPr="00EE56B1">
        <w:rPr>
          <w:rFonts w:ascii="Arial" w:eastAsia="Calibri" w:hAnsi="Arial" w:cs="Arial"/>
        </w:rPr>
        <w:t xml:space="preserve"> M</w:t>
      </w:r>
      <w:r w:rsidR="007A467D">
        <w:rPr>
          <w:rFonts w:ascii="Arial" w:eastAsia="Calibri" w:hAnsi="Arial" w:cs="Arial"/>
        </w:rPr>
        <w:t>.</w:t>
      </w:r>
      <w:r w:rsidRPr="00EE56B1">
        <w:rPr>
          <w:rFonts w:ascii="Arial" w:eastAsia="Calibri" w:hAnsi="Arial" w:cs="Arial"/>
        </w:rPr>
        <w:t xml:space="preserve"> wniósł skargę kasacyjną, zaskarżając wyrok w części dotyczącej stwierdzenia nieważności decyzji Prezydenta m.st. Warszawy z 29 lipca 2014 r. nr 319</w:t>
      </w:r>
      <w:r>
        <w:rPr>
          <w:rFonts w:ascii="Arial" w:eastAsia="Calibri" w:hAnsi="Arial" w:cs="Arial"/>
        </w:rPr>
        <w:t xml:space="preserve"> ukośnik </w:t>
      </w:r>
      <w:r w:rsidRPr="00EE56B1">
        <w:rPr>
          <w:rFonts w:ascii="Arial" w:eastAsia="Calibri" w:hAnsi="Arial" w:cs="Arial"/>
        </w:rPr>
        <w:t>GK</w:t>
      </w:r>
      <w:r>
        <w:rPr>
          <w:rFonts w:ascii="Arial" w:eastAsia="Calibri" w:hAnsi="Arial" w:cs="Arial"/>
        </w:rPr>
        <w:t xml:space="preserve"> ukośnik </w:t>
      </w:r>
      <w:r w:rsidRPr="00EE56B1">
        <w:rPr>
          <w:rFonts w:ascii="Arial" w:eastAsia="Calibri" w:hAnsi="Arial" w:cs="Arial"/>
        </w:rPr>
        <w:t>DW</w:t>
      </w:r>
      <w:r>
        <w:rPr>
          <w:rFonts w:ascii="Arial" w:eastAsia="Calibri" w:hAnsi="Arial" w:cs="Arial"/>
        </w:rPr>
        <w:t xml:space="preserve"> ukośnik </w:t>
      </w:r>
      <w:r w:rsidRPr="00EE56B1">
        <w:rPr>
          <w:rFonts w:ascii="Arial" w:eastAsia="Calibri" w:hAnsi="Arial" w:cs="Arial"/>
        </w:rPr>
        <w:t>2014 i wniósł o jego uchylenie.</w:t>
      </w:r>
    </w:p>
    <w:p w14:paraId="04156667" w14:textId="2090B1B8" w:rsidR="00EE56B1" w:rsidRPr="00EE56B1" w:rsidRDefault="00EE56B1" w:rsidP="00EE56B1">
      <w:pPr>
        <w:spacing w:line="360" w:lineRule="auto"/>
        <w:contextualSpacing/>
        <w:rPr>
          <w:rFonts w:ascii="Arial" w:eastAsia="Calibri" w:hAnsi="Arial" w:cs="Arial"/>
        </w:rPr>
      </w:pPr>
      <w:r w:rsidRPr="00EE56B1">
        <w:rPr>
          <w:rFonts w:ascii="Arial" w:eastAsia="Calibri" w:hAnsi="Arial" w:cs="Arial"/>
        </w:rPr>
        <w:t xml:space="preserve">Wyrokiem z dnia 6 października 2022 r. </w:t>
      </w:r>
      <w:r w:rsidR="007A467D">
        <w:rPr>
          <w:rFonts w:ascii="Arial" w:eastAsia="Calibri" w:hAnsi="Arial" w:cs="Arial"/>
        </w:rPr>
        <w:t>sygn.</w:t>
      </w:r>
      <w:r w:rsidRPr="00EE56B1">
        <w:rPr>
          <w:rFonts w:ascii="Arial" w:eastAsia="Calibri" w:hAnsi="Arial" w:cs="Arial"/>
        </w:rPr>
        <w:t>, Naczelny Sąd Administracyjny oddalił skargę kasacyjną M</w:t>
      </w:r>
      <w:r w:rsidR="007A467D">
        <w:rPr>
          <w:rFonts w:ascii="Arial" w:eastAsia="Calibri" w:hAnsi="Arial" w:cs="Arial"/>
        </w:rPr>
        <w:t>.</w:t>
      </w:r>
      <w:r w:rsidRPr="00EE56B1">
        <w:rPr>
          <w:rFonts w:ascii="Arial" w:eastAsia="Calibri" w:hAnsi="Arial" w:cs="Arial"/>
        </w:rPr>
        <w:t xml:space="preserve"> M.</w:t>
      </w:r>
    </w:p>
    <w:p w14:paraId="440623B5" w14:textId="5DD63934" w:rsidR="00EE56B1" w:rsidRPr="00EE56B1" w:rsidRDefault="00EE56B1" w:rsidP="00EE56B1">
      <w:pPr>
        <w:spacing w:line="360" w:lineRule="auto"/>
        <w:contextualSpacing/>
        <w:rPr>
          <w:rFonts w:ascii="Arial" w:eastAsia="Calibri" w:hAnsi="Arial" w:cs="Arial"/>
        </w:rPr>
      </w:pPr>
      <w:r w:rsidRPr="00EE56B1">
        <w:rPr>
          <w:rFonts w:ascii="Arial" w:eastAsia="Calibri" w:hAnsi="Arial" w:cs="Arial"/>
        </w:rPr>
        <w:t>W uzasadnieniu wyroku wskazano, że Naczelny Sąd Administracyjny nie poddał ocenie zaskarżonego wyroku w części dotyczącej stwierdzenia nieważności decyzji Komisji z dnia 10 lipca 2017 r. nr R 2</w:t>
      </w:r>
      <w:r>
        <w:rPr>
          <w:rFonts w:ascii="Arial" w:eastAsia="Calibri" w:hAnsi="Arial" w:cs="Arial"/>
        </w:rPr>
        <w:t xml:space="preserve"> ukośnik </w:t>
      </w:r>
      <w:r w:rsidRPr="00EE56B1">
        <w:rPr>
          <w:rFonts w:ascii="Arial" w:eastAsia="Calibri" w:hAnsi="Arial" w:cs="Arial"/>
        </w:rPr>
        <w:t>17 ze względu na brak zaskarżenia powołanego wyroku w tej części.</w:t>
      </w:r>
    </w:p>
    <w:p w14:paraId="3A94A9A0" w14:textId="1272B25F" w:rsidR="00EE56B1" w:rsidRPr="00EE56B1" w:rsidRDefault="00EE56B1" w:rsidP="00EE56B1">
      <w:pPr>
        <w:spacing w:line="360" w:lineRule="auto"/>
        <w:contextualSpacing/>
        <w:rPr>
          <w:rFonts w:ascii="Arial" w:eastAsia="Calibri" w:hAnsi="Arial" w:cs="Arial"/>
        </w:rPr>
      </w:pPr>
      <w:r w:rsidRPr="00EE56B1">
        <w:rPr>
          <w:rFonts w:ascii="Arial" w:eastAsia="Calibri" w:hAnsi="Arial" w:cs="Arial"/>
        </w:rPr>
        <w:t>Odnosząc się natomiast do zaskarżonej części powołanego wyroku, tj. rozstrzygnięcia o stwierdzeniu nieważności decyzji Prezydenta m.st. Warszawy z 29 lipca 2014 r. nr 319</w:t>
      </w:r>
      <w:r>
        <w:rPr>
          <w:rFonts w:ascii="Arial" w:eastAsia="Calibri" w:hAnsi="Arial" w:cs="Arial"/>
        </w:rPr>
        <w:t xml:space="preserve"> ukośnik </w:t>
      </w:r>
      <w:r w:rsidRPr="00EE56B1">
        <w:rPr>
          <w:rFonts w:ascii="Arial" w:eastAsia="Calibri" w:hAnsi="Arial" w:cs="Arial"/>
        </w:rPr>
        <w:t>GK</w:t>
      </w:r>
      <w:r>
        <w:rPr>
          <w:rFonts w:ascii="Arial" w:eastAsia="Calibri" w:hAnsi="Arial" w:cs="Arial"/>
        </w:rPr>
        <w:t xml:space="preserve"> ukośnik </w:t>
      </w:r>
      <w:r w:rsidRPr="00EE56B1">
        <w:rPr>
          <w:rFonts w:ascii="Arial" w:eastAsia="Calibri" w:hAnsi="Arial" w:cs="Arial"/>
        </w:rPr>
        <w:t>DW</w:t>
      </w:r>
      <w:r>
        <w:rPr>
          <w:rFonts w:ascii="Arial" w:eastAsia="Calibri" w:hAnsi="Arial" w:cs="Arial"/>
        </w:rPr>
        <w:t xml:space="preserve"> ukośnik </w:t>
      </w:r>
      <w:r w:rsidRPr="00EE56B1">
        <w:rPr>
          <w:rFonts w:ascii="Arial" w:eastAsia="Calibri" w:hAnsi="Arial" w:cs="Arial"/>
        </w:rPr>
        <w:t>2014 zważył, że Prezydent m. st. Warszawy wywiódł uprawnienie M</w:t>
      </w:r>
      <w:r w:rsidR="0050334F">
        <w:rPr>
          <w:rFonts w:ascii="Arial" w:eastAsia="Calibri" w:hAnsi="Arial" w:cs="Arial"/>
        </w:rPr>
        <w:t>.</w:t>
      </w:r>
      <w:r w:rsidRPr="00EE56B1">
        <w:rPr>
          <w:rFonts w:ascii="Arial" w:eastAsia="Calibri" w:hAnsi="Arial" w:cs="Arial"/>
        </w:rPr>
        <w:t xml:space="preserve"> M</w:t>
      </w:r>
      <w:r w:rsidR="0050334F">
        <w:rPr>
          <w:rFonts w:ascii="Arial" w:eastAsia="Calibri" w:hAnsi="Arial" w:cs="Arial"/>
        </w:rPr>
        <w:t>.</w:t>
      </w:r>
      <w:r w:rsidRPr="00EE56B1">
        <w:rPr>
          <w:rFonts w:ascii="Arial" w:eastAsia="Calibri" w:hAnsi="Arial" w:cs="Arial"/>
        </w:rPr>
        <w:t xml:space="preserve"> do orzeczenia w drodze decyzji administracyjnej o ustanowieniu na jego rzecz prawa użytkowania wieczystego z umów sprzedaży oraz zniesienia wspólności praw i roszczeń do przedmiotowej nieruchomości. Skutki czynności prawnej dokonanej przez podmioty prawa cywilnego samoistnie nie stanowią jednak źródła interesu prawnego w sferze prawa administracyjnego. Takie źródło mogą stanowić tylko wtedy, gdy istnieje norma prawna nawiązująca w swojej treści do takich aktów i czynności ze sfery prawa cywilnego. Interes prawny w prawie administracyjnym nie jest bowiem wyznaczany wolą stron adresatów tego prawa, lecz wolą prawodawcy kształtującego podmiotowy zakres stosowania tego prawa. Dla uzyskania przymiotu strony postępowania administracyjnego, w rozumieniu art. 28 k.p.a., konieczne jest zatem istnienie normy prawa materialnego, która łączyłaby z faktem zawarcia umowy cywilnoprawnej skutek w postaci przypisania stronom takiej umowy interesu prawnego w sferze prawnoadministracyjnej.</w:t>
      </w:r>
    </w:p>
    <w:p w14:paraId="743C34EA" w14:textId="7686E326" w:rsidR="00EE56B1" w:rsidRPr="00EE56B1" w:rsidRDefault="00EE56B1" w:rsidP="00EE56B1">
      <w:pPr>
        <w:spacing w:line="360" w:lineRule="auto"/>
        <w:contextualSpacing/>
        <w:rPr>
          <w:rFonts w:ascii="Arial" w:eastAsia="Calibri" w:hAnsi="Arial" w:cs="Arial"/>
        </w:rPr>
      </w:pPr>
      <w:r w:rsidRPr="00EE56B1">
        <w:rPr>
          <w:rFonts w:ascii="Arial" w:eastAsia="Calibri" w:hAnsi="Arial" w:cs="Arial"/>
        </w:rPr>
        <w:t>Obecne w sprawie umowy notarialne przeniesienia praw i roszczeń nie legitymowały</w:t>
      </w:r>
      <w:r>
        <w:rPr>
          <w:rFonts w:ascii="Arial" w:eastAsia="Calibri" w:hAnsi="Arial" w:cs="Arial"/>
        </w:rPr>
        <w:t xml:space="preserve"> myślnik </w:t>
      </w:r>
      <w:r w:rsidRPr="00EE56B1">
        <w:rPr>
          <w:rFonts w:ascii="Arial" w:eastAsia="Calibri" w:hAnsi="Arial" w:cs="Arial"/>
        </w:rPr>
        <w:t>w rozumieniu art. 7 ust. 1 dekretu warszawskiego oraz w rozumieniu art. 28 k.p.a. (tj. w rozumieniu prawa administracyjnego)</w:t>
      </w:r>
      <w:r>
        <w:rPr>
          <w:rFonts w:ascii="Arial" w:eastAsia="Calibri" w:hAnsi="Arial" w:cs="Arial"/>
        </w:rPr>
        <w:t xml:space="preserve"> myślnik </w:t>
      </w:r>
      <w:r w:rsidRPr="00EE56B1">
        <w:rPr>
          <w:rFonts w:ascii="Arial" w:eastAsia="Calibri" w:hAnsi="Arial" w:cs="Arial"/>
        </w:rPr>
        <w:t xml:space="preserve">osoby w nich wskazanej, jako nabywcy praw i roszczeń (w rozumieniu prawa cywilnego) do skutecznego </w:t>
      </w:r>
      <w:r w:rsidRPr="00EE56B1">
        <w:rPr>
          <w:rFonts w:ascii="Arial" w:eastAsia="Calibri" w:hAnsi="Arial" w:cs="Arial"/>
        </w:rPr>
        <w:lastRenderedPageBreak/>
        <w:t>ubiegania się o przyznanie prawa użytkowania wieczystego na podstawie dekretu warszawskiego do gruntu nieruchomości warszawskiej określonej w decyzji Prezydenta m.st. Warszawy z 29 lipca 2014 r. Uznanie tych umów za skuteczną podstawę, w rozumieniu prawa administracyjnego, do przyznania praw powołaną decyzją osobie wskazanej w tych umowach, jako nabywcy praw i roszczeń, stanowiło rażące naruszenie art. 7 ust. 1 dekretu warszawskiego w zw. z art. 28 k.p.a., określających podmiotowy zakres przyznania prawa do gruntu nieruchomości warszawskiej, co wyczerpało przesłankę nieważności decyzji Prezydenta m. st. Warszawy z 29 lipca 2014 r. nr 319</w:t>
      </w:r>
      <w:r>
        <w:rPr>
          <w:rFonts w:ascii="Arial" w:eastAsia="Calibri" w:hAnsi="Arial" w:cs="Arial"/>
        </w:rPr>
        <w:t xml:space="preserve"> ukośnik </w:t>
      </w:r>
      <w:r w:rsidRPr="00EE56B1">
        <w:rPr>
          <w:rFonts w:ascii="Arial" w:eastAsia="Calibri" w:hAnsi="Arial" w:cs="Arial"/>
        </w:rPr>
        <w:t>GK</w:t>
      </w:r>
      <w:r>
        <w:rPr>
          <w:rFonts w:ascii="Arial" w:eastAsia="Calibri" w:hAnsi="Arial" w:cs="Arial"/>
        </w:rPr>
        <w:t xml:space="preserve"> ukośnik </w:t>
      </w:r>
      <w:r w:rsidRPr="00EE56B1">
        <w:rPr>
          <w:rFonts w:ascii="Arial" w:eastAsia="Calibri" w:hAnsi="Arial" w:cs="Arial"/>
        </w:rPr>
        <w:t>DW</w:t>
      </w:r>
      <w:r>
        <w:rPr>
          <w:rFonts w:ascii="Arial" w:eastAsia="Calibri" w:hAnsi="Arial" w:cs="Arial"/>
        </w:rPr>
        <w:t xml:space="preserve"> ukośnik </w:t>
      </w:r>
      <w:r w:rsidRPr="00EE56B1">
        <w:rPr>
          <w:rFonts w:ascii="Arial" w:eastAsia="Calibri" w:hAnsi="Arial" w:cs="Arial"/>
        </w:rPr>
        <w:t>2014, określoną w art. 156</w:t>
      </w:r>
      <w:r>
        <w:rPr>
          <w:rFonts w:ascii="Arial" w:eastAsia="Calibri" w:hAnsi="Arial" w:cs="Arial"/>
        </w:rPr>
        <w:t xml:space="preserve"> paragraf </w:t>
      </w:r>
      <w:r w:rsidRPr="00EE56B1">
        <w:rPr>
          <w:rFonts w:ascii="Arial" w:eastAsia="Calibri" w:hAnsi="Arial" w:cs="Arial"/>
        </w:rPr>
        <w:t xml:space="preserve">1 </w:t>
      </w:r>
      <w:r>
        <w:rPr>
          <w:rFonts w:ascii="Arial" w:eastAsia="Calibri" w:hAnsi="Arial" w:cs="Arial"/>
        </w:rPr>
        <w:t>punkt</w:t>
      </w:r>
      <w:r w:rsidRPr="00EE56B1">
        <w:rPr>
          <w:rFonts w:ascii="Arial" w:eastAsia="Calibri" w:hAnsi="Arial" w:cs="Arial"/>
        </w:rPr>
        <w:t xml:space="preserve"> 2 k.p.a. Tym samym zaskarżony wyrok Wojewódzkiego Sądu Administracyjnego w Warszawie z dnia 28 września 2020 r., sygn. akt</w:t>
      </w:r>
      <w:r w:rsidR="0050334F">
        <w:rPr>
          <w:rFonts w:ascii="Arial" w:eastAsia="Calibri" w:hAnsi="Arial" w:cs="Arial"/>
        </w:rPr>
        <w:t xml:space="preserve"> </w:t>
      </w:r>
      <w:r w:rsidRPr="00EE56B1">
        <w:rPr>
          <w:rFonts w:ascii="Arial" w:eastAsia="Calibri" w:hAnsi="Arial" w:cs="Arial"/>
        </w:rPr>
        <w:t>pozostawał w prawie, zaś skarga kasacyjna M</w:t>
      </w:r>
      <w:r w:rsidR="0050334F">
        <w:rPr>
          <w:rFonts w:ascii="Arial" w:eastAsia="Calibri" w:hAnsi="Arial" w:cs="Arial"/>
        </w:rPr>
        <w:t>.</w:t>
      </w:r>
      <w:r w:rsidRPr="00EE56B1">
        <w:rPr>
          <w:rFonts w:ascii="Arial" w:eastAsia="Calibri" w:hAnsi="Arial" w:cs="Arial"/>
        </w:rPr>
        <w:t xml:space="preserve"> M</w:t>
      </w:r>
      <w:r w:rsidR="0050334F">
        <w:rPr>
          <w:rFonts w:ascii="Arial" w:eastAsia="Calibri" w:hAnsi="Arial" w:cs="Arial"/>
        </w:rPr>
        <w:t>.</w:t>
      </w:r>
      <w:r w:rsidRPr="00EE56B1">
        <w:rPr>
          <w:rFonts w:ascii="Arial" w:eastAsia="Calibri" w:hAnsi="Arial" w:cs="Arial"/>
        </w:rPr>
        <w:t xml:space="preserve"> podlegała oddaleniu.</w:t>
      </w:r>
    </w:p>
    <w:p w14:paraId="44C6F463" w14:textId="67F52864" w:rsidR="00EE56B1" w:rsidRPr="00EE56B1" w:rsidRDefault="00EE56B1" w:rsidP="00EE56B1">
      <w:pPr>
        <w:spacing w:line="360" w:lineRule="auto"/>
        <w:contextualSpacing/>
        <w:rPr>
          <w:rFonts w:ascii="Arial" w:eastAsia="Calibri" w:hAnsi="Arial" w:cs="Arial"/>
        </w:rPr>
      </w:pPr>
      <w:r w:rsidRPr="00EE56B1">
        <w:rPr>
          <w:rFonts w:ascii="Arial" w:eastAsia="Calibri" w:hAnsi="Arial" w:cs="Arial"/>
        </w:rPr>
        <w:t>W dniu 17 stycznia 2023 r. Wojewódzki Sąd Administracyjny w Warszawie zwrócił Komisji akta sprawy prowadzonej pod sygn. R 2</w:t>
      </w:r>
      <w:r>
        <w:rPr>
          <w:rFonts w:ascii="Arial" w:eastAsia="Calibri" w:hAnsi="Arial" w:cs="Arial"/>
        </w:rPr>
        <w:t xml:space="preserve"> ukośnik </w:t>
      </w:r>
      <w:r w:rsidRPr="00EE56B1">
        <w:rPr>
          <w:rFonts w:ascii="Arial" w:eastAsia="Calibri" w:hAnsi="Arial" w:cs="Arial"/>
        </w:rPr>
        <w:t>17 w przedmiocie decyzji Prezydenta m.st. Warszawy z dnia 29 lipca 2014 r. nr 319</w:t>
      </w:r>
      <w:r>
        <w:rPr>
          <w:rFonts w:ascii="Arial" w:eastAsia="Calibri" w:hAnsi="Arial" w:cs="Arial"/>
        </w:rPr>
        <w:t xml:space="preserve"> ukośnik </w:t>
      </w:r>
      <w:r w:rsidRPr="00EE56B1">
        <w:rPr>
          <w:rFonts w:ascii="Arial" w:eastAsia="Calibri" w:hAnsi="Arial" w:cs="Arial"/>
        </w:rPr>
        <w:t>GK</w:t>
      </w:r>
      <w:r>
        <w:rPr>
          <w:rFonts w:ascii="Arial" w:eastAsia="Calibri" w:hAnsi="Arial" w:cs="Arial"/>
        </w:rPr>
        <w:t xml:space="preserve"> ukośnik </w:t>
      </w:r>
      <w:r w:rsidRPr="00EE56B1">
        <w:rPr>
          <w:rFonts w:ascii="Arial" w:eastAsia="Calibri" w:hAnsi="Arial" w:cs="Arial"/>
        </w:rPr>
        <w:t>DW</w:t>
      </w:r>
      <w:r>
        <w:rPr>
          <w:rFonts w:ascii="Arial" w:eastAsia="Calibri" w:hAnsi="Arial" w:cs="Arial"/>
        </w:rPr>
        <w:t xml:space="preserve"> ukośnik </w:t>
      </w:r>
      <w:r w:rsidRPr="00EE56B1">
        <w:rPr>
          <w:rFonts w:ascii="Arial" w:eastAsia="Calibri" w:hAnsi="Arial" w:cs="Arial"/>
        </w:rPr>
        <w:t>2014, dotyczącej nieruchomości położonej w Warszawie przy ul. Twardej 10</w:t>
      </w:r>
    </w:p>
    <w:p w14:paraId="1F9A4BB7" w14:textId="0D4E79E8" w:rsidR="00EE56B1" w:rsidRPr="00EE56B1" w:rsidRDefault="00EE56B1" w:rsidP="00EE56B1">
      <w:pPr>
        <w:spacing w:line="360" w:lineRule="auto"/>
        <w:contextualSpacing/>
        <w:rPr>
          <w:rFonts w:ascii="Arial" w:eastAsia="Calibri" w:hAnsi="Arial" w:cs="Arial"/>
        </w:rPr>
      </w:pPr>
      <w:r w:rsidRPr="00EE56B1">
        <w:rPr>
          <w:rFonts w:ascii="Arial" w:eastAsia="Calibri" w:hAnsi="Arial" w:cs="Arial"/>
        </w:rPr>
        <w:t>Sprawie nadano nową sygnaturę: KR III R 4</w:t>
      </w:r>
      <w:r>
        <w:rPr>
          <w:rFonts w:ascii="Arial" w:eastAsia="Calibri" w:hAnsi="Arial" w:cs="Arial"/>
        </w:rPr>
        <w:t xml:space="preserve"> ukośnik </w:t>
      </w:r>
      <w:r w:rsidRPr="00EE56B1">
        <w:rPr>
          <w:rFonts w:ascii="Arial" w:eastAsia="Calibri" w:hAnsi="Arial" w:cs="Arial"/>
        </w:rPr>
        <w:t>23.</w:t>
      </w:r>
    </w:p>
    <w:p w14:paraId="7D576579" w14:textId="3131F292" w:rsidR="00EE56B1" w:rsidRPr="00EE56B1" w:rsidRDefault="00EE56B1" w:rsidP="00EE56B1">
      <w:pPr>
        <w:spacing w:line="360" w:lineRule="auto"/>
        <w:contextualSpacing/>
        <w:rPr>
          <w:rFonts w:ascii="Arial" w:eastAsia="Calibri" w:hAnsi="Arial" w:cs="Arial"/>
        </w:rPr>
      </w:pPr>
      <w:r w:rsidRPr="00EE56B1">
        <w:rPr>
          <w:rFonts w:ascii="Arial" w:eastAsia="Calibri" w:hAnsi="Arial" w:cs="Arial"/>
        </w:rPr>
        <w:t>W dniu 20 stycznia 2023 roku w Biuletynie Informacji Publicznej na stronie podmiotowej urzędu obsługującego Ministra Sprawiedliwości zamieszczono informację o zmianie sygnatury sprawy dotyczącej ulicy Twardej 10, prowadzonej uprzednio pod sygnaturą R 2</w:t>
      </w:r>
      <w:r>
        <w:rPr>
          <w:rFonts w:ascii="Arial" w:eastAsia="Calibri" w:hAnsi="Arial" w:cs="Arial"/>
        </w:rPr>
        <w:t xml:space="preserve"> ukośnik </w:t>
      </w:r>
      <w:r w:rsidRPr="00EE56B1">
        <w:rPr>
          <w:rFonts w:ascii="Arial" w:eastAsia="Calibri" w:hAnsi="Arial" w:cs="Arial"/>
        </w:rPr>
        <w:t>17.</w:t>
      </w:r>
    </w:p>
    <w:p w14:paraId="1CDCC36D" w14:textId="37DD08F0" w:rsidR="00EE56B1" w:rsidRPr="00EE56B1" w:rsidRDefault="00EE56B1" w:rsidP="00EE56B1">
      <w:pPr>
        <w:spacing w:line="360" w:lineRule="auto"/>
        <w:contextualSpacing/>
        <w:rPr>
          <w:rFonts w:ascii="Arial" w:eastAsia="Calibri" w:hAnsi="Arial" w:cs="Arial"/>
        </w:rPr>
      </w:pPr>
      <w:r w:rsidRPr="00EE56B1">
        <w:rPr>
          <w:rFonts w:ascii="Arial" w:eastAsia="Calibri" w:hAnsi="Arial" w:cs="Arial"/>
        </w:rPr>
        <w:t>Zawiadomieniem z dnia 23 stycznia 2023 r. poinformowano strony o zakończeniu postępowania rozpoznawczego oraz o możliwości wypowiedzenia się, co do zebranych dowodów i materiałów oraz zgłoszonych żądań, na podstawie art. 10</w:t>
      </w:r>
      <w:r>
        <w:rPr>
          <w:rFonts w:ascii="Arial" w:eastAsia="Calibri" w:hAnsi="Arial" w:cs="Arial"/>
        </w:rPr>
        <w:t xml:space="preserve"> paragraf </w:t>
      </w:r>
      <w:r w:rsidRPr="00EE56B1">
        <w:rPr>
          <w:rFonts w:ascii="Arial" w:eastAsia="Calibri" w:hAnsi="Arial" w:cs="Arial"/>
        </w:rPr>
        <w:t>1 k.p.a. Zawiadomienie zostało opublikowane w Biuletynie Informacji Publicznej, na stronie podmiotowej urzędu obsługującego Ministra Sprawiedliwości w dniu 24 stycznia 2023 r.</w:t>
      </w:r>
    </w:p>
    <w:p w14:paraId="5C41F8CC" w14:textId="2A9CD0AE" w:rsidR="00EE56B1" w:rsidRPr="00EE56B1" w:rsidRDefault="00EE56B1" w:rsidP="00EE56B1">
      <w:pPr>
        <w:spacing w:line="360" w:lineRule="auto"/>
        <w:contextualSpacing/>
        <w:rPr>
          <w:rFonts w:ascii="Arial" w:eastAsia="Calibri" w:hAnsi="Arial" w:cs="Arial"/>
        </w:rPr>
      </w:pPr>
      <w:r w:rsidRPr="00EE56B1">
        <w:rPr>
          <w:rFonts w:ascii="Arial" w:eastAsia="Calibri" w:hAnsi="Arial" w:cs="Arial"/>
        </w:rPr>
        <w:t>Na etapie prowadzonego postępowania rozpoznawczego o sygn. KR III R 4</w:t>
      </w:r>
      <w:r>
        <w:rPr>
          <w:rFonts w:ascii="Arial" w:eastAsia="Calibri" w:hAnsi="Arial" w:cs="Arial"/>
        </w:rPr>
        <w:t xml:space="preserve"> ukośnik </w:t>
      </w:r>
      <w:r w:rsidRPr="00EE56B1">
        <w:rPr>
          <w:rFonts w:ascii="Arial" w:eastAsia="Calibri" w:hAnsi="Arial" w:cs="Arial"/>
        </w:rPr>
        <w:t>23 strony postępowania nie zgłosiły żadnych wniosków dowodowych i procesowych.</w:t>
      </w:r>
    </w:p>
    <w:p w14:paraId="69F29FE5" w14:textId="681D8E4B" w:rsidR="00EE56B1" w:rsidRPr="00EE56B1" w:rsidRDefault="00EE56B1" w:rsidP="00EE56B1">
      <w:pPr>
        <w:spacing w:line="360" w:lineRule="auto"/>
        <w:contextualSpacing/>
        <w:rPr>
          <w:rFonts w:ascii="Arial" w:eastAsia="Calibri" w:hAnsi="Arial" w:cs="Arial"/>
        </w:rPr>
      </w:pPr>
      <w:r w:rsidRPr="00EE56B1">
        <w:rPr>
          <w:rFonts w:ascii="Arial" w:eastAsia="Calibri" w:hAnsi="Arial" w:cs="Arial"/>
        </w:rPr>
        <w:t>Społeczna Rada w dniu 1 lutego 2023 r. przedstawiła opinię nr, w przedmiocie decyzji Prezydenta m. st. Warszawy nr 319</w:t>
      </w:r>
      <w:r>
        <w:rPr>
          <w:rFonts w:ascii="Arial" w:eastAsia="Calibri" w:hAnsi="Arial" w:cs="Arial"/>
        </w:rPr>
        <w:t xml:space="preserve"> ukośnik </w:t>
      </w:r>
      <w:r w:rsidRPr="00EE56B1">
        <w:rPr>
          <w:rFonts w:ascii="Arial" w:eastAsia="Calibri" w:hAnsi="Arial" w:cs="Arial"/>
        </w:rPr>
        <w:t>GK</w:t>
      </w:r>
      <w:r>
        <w:rPr>
          <w:rFonts w:ascii="Arial" w:eastAsia="Calibri" w:hAnsi="Arial" w:cs="Arial"/>
        </w:rPr>
        <w:t xml:space="preserve"> ukośnik </w:t>
      </w:r>
      <w:r w:rsidRPr="00EE56B1">
        <w:rPr>
          <w:rFonts w:ascii="Arial" w:eastAsia="Calibri" w:hAnsi="Arial" w:cs="Arial"/>
        </w:rPr>
        <w:t>DW</w:t>
      </w:r>
      <w:r>
        <w:rPr>
          <w:rFonts w:ascii="Arial" w:eastAsia="Calibri" w:hAnsi="Arial" w:cs="Arial"/>
        </w:rPr>
        <w:t xml:space="preserve"> ukośnik </w:t>
      </w:r>
      <w:r w:rsidRPr="00EE56B1">
        <w:rPr>
          <w:rFonts w:ascii="Arial" w:eastAsia="Calibri" w:hAnsi="Arial" w:cs="Arial"/>
        </w:rPr>
        <w:t>2014 z dnia 29 lipca 2014 r., dotyczącej zabudowanego gruntu o powierzchni m</w:t>
      </w:r>
      <w:r w:rsidR="00175418">
        <w:rPr>
          <w:rFonts w:ascii="Arial" w:eastAsia="Calibri" w:hAnsi="Arial" w:cs="Arial"/>
        </w:rPr>
        <w:t>etrów kwadratowych</w:t>
      </w:r>
      <w:r w:rsidRPr="00EE56B1">
        <w:rPr>
          <w:rFonts w:ascii="Arial" w:eastAsia="Calibri" w:hAnsi="Arial" w:cs="Arial"/>
        </w:rPr>
        <w:t>, położonego w Warszawie przy ul. Twardej 8</w:t>
      </w:r>
      <w:r>
        <w:rPr>
          <w:rFonts w:ascii="Arial" w:eastAsia="Calibri" w:hAnsi="Arial" w:cs="Arial"/>
        </w:rPr>
        <w:t xml:space="preserve"> ukośnik </w:t>
      </w:r>
      <w:r w:rsidRPr="00EE56B1">
        <w:rPr>
          <w:rFonts w:ascii="Arial" w:eastAsia="Calibri" w:hAnsi="Arial" w:cs="Arial"/>
        </w:rPr>
        <w:t xml:space="preserve">12 (dawna Twarda 10), stanowiącego działkę ewidencyjną nr z obrębu, dawne oznaczenie hip. Wniosła o umorzenie postępowania przed Komisją w sprawie decyzji Prezydenta m. </w:t>
      </w:r>
      <w:r w:rsidRPr="00EE56B1">
        <w:rPr>
          <w:rFonts w:ascii="Arial" w:eastAsia="Calibri" w:hAnsi="Arial" w:cs="Arial"/>
        </w:rPr>
        <w:lastRenderedPageBreak/>
        <w:t>st. Warszawy nr 319</w:t>
      </w:r>
      <w:r>
        <w:rPr>
          <w:rFonts w:ascii="Arial" w:eastAsia="Calibri" w:hAnsi="Arial" w:cs="Arial"/>
        </w:rPr>
        <w:t xml:space="preserve"> ukośnik </w:t>
      </w:r>
      <w:r w:rsidRPr="00EE56B1">
        <w:rPr>
          <w:rFonts w:ascii="Arial" w:eastAsia="Calibri" w:hAnsi="Arial" w:cs="Arial"/>
        </w:rPr>
        <w:t>GK</w:t>
      </w:r>
      <w:r>
        <w:rPr>
          <w:rFonts w:ascii="Arial" w:eastAsia="Calibri" w:hAnsi="Arial" w:cs="Arial"/>
        </w:rPr>
        <w:t xml:space="preserve"> ukośnik </w:t>
      </w:r>
      <w:r w:rsidRPr="00EE56B1">
        <w:rPr>
          <w:rFonts w:ascii="Arial" w:eastAsia="Calibri" w:hAnsi="Arial" w:cs="Arial"/>
        </w:rPr>
        <w:t>DW</w:t>
      </w:r>
      <w:r>
        <w:rPr>
          <w:rFonts w:ascii="Arial" w:eastAsia="Calibri" w:hAnsi="Arial" w:cs="Arial"/>
        </w:rPr>
        <w:t xml:space="preserve"> ukośnik </w:t>
      </w:r>
      <w:r w:rsidRPr="00EE56B1">
        <w:rPr>
          <w:rFonts w:ascii="Arial" w:eastAsia="Calibri" w:hAnsi="Arial" w:cs="Arial"/>
        </w:rPr>
        <w:t>2014 z dnia 29 lipca 2014 r., wobec uprawomocnienia się wyroku Wojewódzkiego Sądu Administracyjnego w Warszawie stwierdzającego nieważność tej decyzji.</w:t>
      </w:r>
    </w:p>
    <w:p w14:paraId="0306D407" w14:textId="65A24BC1" w:rsidR="002446A8" w:rsidRPr="00634A5B" w:rsidRDefault="00EE56B1" w:rsidP="00EE56B1">
      <w:pPr>
        <w:spacing w:line="360" w:lineRule="auto"/>
        <w:contextualSpacing/>
        <w:rPr>
          <w:rFonts w:ascii="Arial" w:eastAsia="Calibri" w:hAnsi="Arial" w:cs="Arial"/>
        </w:rPr>
      </w:pPr>
      <w:r w:rsidRPr="00EE56B1">
        <w:rPr>
          <w:rFonts w:ascii="Arial" w:eastAsia="Calibri" w:hAnsi="Arial" w:cs="Arial"/>
        </w:rPr>
        <w:t>M</w:t>
      </w:r>
      <w:r w:rsidR="00175418">
        <w:rPr>
          <w:rFonts w:ascii="Arial" w:eastAsia="Calibri" w:hAnsi="Arial" w:cs="Arial"/>
        </w:rPr>
        <w:t>.</w:t>
      </w:r>
      <w:r w:rsidRPr="00EE56B1">
        <w:rPr>
          <w:rFonts w:ascii="Arial" w:eastAsia="Calibri" w:hAnsi="Arial" w:cs="Arial"/>
        </w:rPr>
        <w:t xml:space="preserve"> M</w:t>
      </w:r>
      <w:r w:rsidR="00175418">
        <w:rPr>
          <w:rFonts w:ascii="Arial" w:eastAsia="Calibri" w:hAnsi="Arial" w:cs="Arial"/>
        </w:rPr>
        <w:t>.</w:t>
      </w:r>
      <w:r w:rsidRPr="00EE56B1">
        <w:rPr>
          <w:rFonts w:ascii="Arial" w:eastAsia="Calibri" w:hAnsi="Arial" w:cs="Arial"/>
        </w:rPr>
        <w:t xml:space="preserve"> wyraził swoje stanowisko w sprawie poprzez pismo z dnia 6 lutego 2023 roku. Wskazał w nim, iż podtrzymuję dotychczasowe stanowisko wyrażane w toku postępowania toczącego się przed Komisją, a także Wojewódzkim Sądem Administracyjnym w Warszawie oraz Naczelnym Sądem Administracyjnym i wskazał, że zachodzą przesłanki do ustanowienia na jego rzecz prawa użytkowania wieczystego przedmiotowej nieruchomości. Zaznaczył także, iż argumentacja zawarta w wyroku Naczelnego Sądu Administracyjnego z dnia 6 października 2022 r. o sygn. akt jest co najmniej dyskusyjna i kontrowersyjna i jako taka nie powinna stanowić podstawy dla wydania negatywnej dla niego decyzji przez Komisję w niniejszej sprawie. W przypadku uznania przez Komisję, że jest związana powyżej wskazanym wyrokiem Naczelnego Sądu Administracyjnego M</w:t>
      </w:r>
      <w:r w:rsidR="00175418">
        <w:rPr>
          <w:rFonts w:ascii="Arial" w:eastAsia="Calibri" w:hAnsi="Arial" w:cs="Arial"/>
        </w:rPr>
        <w:t xml:space="preserve">. </w:t>
      </w:r>
      <w:r w:rsidRPr="00EE56B1">
        <w:rPr>
          <w:rFonts w:ascii="Arial" w:eastAsia="Calibri" w:hAnsi="Arial" w:cs="Arial"/>
        </w:rPr>
        <w:t>M</w:t>
      </w:r>
      <w:r w:rsidR="00175418">
        <w:rPr>
          <w:rFonts w:ascii="Arial" w:eastAsia="Calibri" w:hAnsi="Arial" w:cs="Arial"/>
        </w:rPr>
        <w:t>.</w:t>
      </w:r>
      <w:r w:rsidRPr="00EE56B1">
        <w:rPr>
          <w:rFonts w:ascii="Arial" w:eastAsia="Calibri" w:hAnsi="Arial" w:cs="Arial"/>
        </w:rPr>
        <w:t xml:space="preserve"> wniósł o podjęcie przez Komisję działań zmierzających do prawidłowego ustalenia stron niniejszego postępowania w szczególności poprzez ustalenie spadkobierców dawnych właścicieli nieruchomości warszawskiej, będącej przedmiotem niniejszego postępowania.</w:t>
      </w:r>
    </w:p>
    <w:p w14:paraId="3800C345" w14:textId="77777777" w:rsidR="002446A8" w:rsidRPr="00634A5B" w:rsidRDefault="002446A8" w:rsidP="005A31A5">
      <w:pPr>
        <w:spacing w:line="360" w:lineRule="auto"/>
        <w:contextualSpacing/>
        <w:rPr>
          <w:rFonts w:ascii="Arial" w:eastAsia="Calibri" w:hAnsi="Arial" w:cs="Arial"/>
        </w:rPr>
      </w:pPr>
    </w:p>
    <w:p w14:paraId="692119E5" w14:textId="3C16EE4A" w:rsidR="002446A8" w:rsidRPr="00A96EB3" w:rsidRDefault="00CD3CFA" w:rsidP="005A31A5">
      <w:pPr>
        <w:spacing w:line="360" w:lineRule="auto"/>
        <w:contextualSpacing/>
        <w:rPr>
          <w:rFonts w:ascii="Arial" w:eastAsia="Calibri" w:hAnsi="Arial" w:cs="Arial"/>
          <w:b/>
          <w:bCs/>
          <w:sz w:val="28"/>
          <w:szCs w:val="28"/>
        </w:rPr>
      </w:pPr>
      <w:r w:rsidRPr="00A96EB3">
        <w:rPr>
          <w:rFonts w:ascii="Arial" w:eastAsia="Calibri" w:hAnsi="Arial" w:cs="Arial"/>
          <w:b/>
          <w:bCs/>
          <w:sz w:val="28"/>
          <w:szCs w:val="28"/>
        </w:rPr>
        <w:t>Punkt drugi</w:t>
      </w:r>
      <w:r w:rsidR="002446A8" w:rsidRPr="00A96EB3">
        <w:rPr>
          <w:rFonts w:ascii="Arial" w:eastAsia="Calibri" w:hAnsi="Arial" w:cs="Arial"/>
          <w:b/>
          <w:bCs/>
          <w:sz w:val="28"/>
          <w:szCs w:val="28"/>
        </w:rPr>
        <w:t>.</w:t>
      </w:r>
    </w:p>
    <w:p w14:paraId="546EA1FB" w14:textId="674D1E37" w:rsidR="008B1C94" w:rsidRPr="00A96EB3" w:rsidRDefault="00A96EB3" w:rsidP="005A31A5">
      <w:pPr>
        <w:spacing w:line="360" w:lineRule="auto"/>
        <w:rPr>
          <w:rFonts w:ascii="Arial" w:eastAsia="Calibri" w:hAnsi="Arial" w:cs="Arial"/>
          <w:b/>
          <w:bCs/>
          <w:sz w:val="28"/>
          <w:szCs w:val="28"/>
        </w:rPr>
      </w:pPr>
      <w:r w:rsidRPr="00A96EB3">
        <w:rPr>
          <w:rFonts w:ascii="Arial" w:eastAsia="Calibri" w:hAnsi="Arial" w:cs="Arial"/>
          <w:b/>
          <w:bCs/>
          <w:sz w:val="28"/>
          <w:szCs w:val="28"/>
        </w:rPr>
        <w:t>Komisja zważyła, co następuje:</w:t>
      </w:r>
    </w:p>
    <w:p w14:paraId="7C343DBC" w14:textId="7B4468C4" w:rsidR="00EE56B1" w:rsidRPr="00EE56B1" w:rsidRDefault="00EE56B1" w:rsidP="00EE56B1">
      <w:pPr>
        <w:spacing w:line="360" w:lineRule="auto"/>
        <w:contextualSpacing/>
        <w:rPr>
          <w:rFonts w:ascii="Arial" w:eastAsia="Calibri" w:hAnsi="Arial" w:cs="Arial"/>
        </w:rPr>
      </w:pPr>
      <w:r w:rsidRPr="00EE56B1">
        <w:rPr>
          <w:rFonts w:ascii="Arial" w:eastAsia="Calibri" w:hAnsi="Arial" w:cs="Arial"/>
        </w:rPr>
        <w:t>Postępowanie rozpoznawcze w przedmiocie decyzji Prezydenta m.st. Warszawy z dnia 29 lipca 2014 r. nr 319</w:t>
      </w:r>
      <w:r>
        <w:rPr>
          <w:rFonts w:ascii="Arial" w:eastAsia="Calibri" w:hAnsi="Arial" w:cs="Arial"/>
        </w:rPr>
        <w:t xml:space="preserve"> ukośnik </w:t>
      </w:r>
      <w:r w:rsidRPr="00EE56B1">
        <w:rPr>
          <w:rFonts w:ascii="Arial" w:eastAsia="Calibri" w:hAnsi="Arial" w:cs="Arial"/>
        </w:rPr>
        <w:t>GK</w:t>
      </w:r>
      <w:r>
        <w:rPr>
          <w:rFonts w:ascii="Arial" w:eastAsia="Calibri" w:hAnsi="Arial" w:cs="Arial"/>
        </w:rPr>
        <w:t xml:space="preserve"> ukośnik </w:t>
      </w:r>
      <w:r w:rsidRPr="00EE56B1">
        <w:rPr>
          <w:rFonts w:ascii="Arial" w:eastAsia="Calibri" w:hAnsi="Arial" w:cs="Arial"/>
        </w:rPr>
        <w:t>DW</w:t>
      </w:r>
      <w:r>
        <w:rPr>
          <w:rFonts w:ascii="Arial" w:eastAsia="Calibri" w:hAnsi="Arial" w:cs="Arial"/>
        </w:rPr>
        <w:t xml:space="preserve"> ukośnik </w:t>
      </w:r>
      <w:r w:rsidRPr="00EE56B1">
        <w:rPr>
          <w:rFonts w:ascii="Arial" w:eastAsia="Calibri" w:hAnsi="Arial" w:cs="Arial"/>
        </w:rPr>
        <w:t>2014, dotyczącej nieruchomości położonej w Warszawie przy ul. Twardej 10 (obecnie ul. Twarda 8</w:t>
      </w:r>
      <w:r>
        <w:rPr>
          <w:rFonts w:ascii="Arial" w:eastAsia="Calibri" w:hAnsi="Arial" w:cs="Arial"/>
        </w:rPr>
        <w:t xml:space="preserve"> ukośnik </w:t>
      </w:r>
      <w:r w:rsidRPr="00EE56B1">
        <w:rPr>
          <w:rFonts w:ascii="Arial" w:eastAsia="Calibri" w:hAnsi="Arial" w:cs="Arial"/>
        </w:rPr>
        <w:t>12) podlegało umorzeniu.</w:t>
      </w:r>
    </w:p>
    <w:p w14:paraId="7B314610" w14:textId="4A88513E" w:rsidR="00EE56B1" w:rsidRPr="00EE56B1" w:rsidRDefault="00EE56B1" w:rsidP="00EE56B1">
      <w:pPr>
        <w:spacing w:line="360" w:lineRule="auto"/>
        <w:contextualSpacing/>
        <w:rPr>
          <w:rFonts w:ascii="Arial" w:eastAsia="Calibri" w:hAnsi="Arial" w:cs="Arial"/>
        </w:rPr>
      </w:pPr>
      <w:r w:rsidRPr="00EE56B1">
        <w:rPr>
          <w:rFonts w:ascii="Arial" w:eastAsia="Calibri" w:hAnsi="Arial" w:cs="Arial"/>
        </w:rPr>
        <w:t xml:space="preserve">Zgodnie z art. 29 ust. 1 </w:t>
      </w:r>
      <w:r>
        <w:rPr>
          <w:rFonts w:ascii="Arial" w:eastAsia="Calibri" w:hAnsi="Arial" w:cs="Arial"/>
        </w:rPr>
        <w:t>punkt</w:t>
      </w:r>
      <w:r w:rsidRPr="00EE56B1">
        <w:rPr>
          <w:rFonts w:ascii="Arial" w:eastAsia="Calibri" w:hAnsi="Arial" w:cs="Arial"/>
        </w:rPr>
        <w:t xml:space="preserve"> 5 ustawy z dnia 9 marca 2017 r. w wyniku postępowania rozpoznawczego Komisja wydaje decyzję, w której umarza postępowanie rozpoznawcze.</w:t>
      </w:r>
    </w:p>
    <w:p w14:paraId="2C59BBE4" w14:textId="6EB8C623" w:rsidR="00EE56B1" w:rsidRPr="00EE56B1" w:rsidRDefault="00EE56B1" w:rsidP="00EE56B1">
      <w:pPr>
        <w:spacing w:line="360" w:lineRule="auto"/>
        <w:contextualSpacing/>
        <w:rPr>
          <w:rFonts w:ascii="Arial" w:eastAsia="Calibri" w:hAnsi="Arial" w:cs="Arial"/>
        </w:rPr>
      </w:pPr>
      <w:r w:rsidRPr="00EE56B1">
        <w:rPr>
          <w:rFonts w:ascii="Arial" w:eastAsia="Calibri" w:hAnsi="Arial" w:cs="Arial"/>
        </w:rPr>
        <w:t xml:space="preserve">Jak stanowi natomiast art. 38 ust. 1 in </w:t>
      </w:r>
      <w:proofErr w:type="spellStart"/>
      <w:r w:rsidRPr="00EE56B1">
        <w:rPr>
          <w:rFonts w:ascii="Arial" w:eastAsia="Calibri" w:hAnsi="Arial" w:cs="Arial"/>
        </w:rPr>
        <w:t>principio</w:t>
      </w:r>
      <w:proofErr w:type="spellEnd"/>
      <w:r w:rsidRPr="00EE56B1">
        <w:rPr>
          <w:rFonts w:ascii="Arial" w:eastAsia="Calibri" w:hAnsi="Arial" w:cs="Arial"/>
        </w:rPr>
        <w:t xml:space="preserve"> ustawy z dnia 9 marca 2017 r w sprawach nieuregulowanych niniejszą ustawą stosuje się odpowiednio przepisy ustawy z dnia 14 czerwca 1960 r.</w:t>
      </w:r>
      <w:r>
        <w:rPr>
          <w:rFonts w:ascii="Arial" w:eastAsia="Calibri" w:hAnsi="Arial" w:cs="Arial"/>
        </w:rPr>
        <w:t xml:space="preserve"> myślnik </w:t>
      </w:r>
      <w:r w:rsidRPr="00EE56B1">
        <w:rPr>
          <w:rFonts w:ascii="Arial" w:eastAsia="Calibri" w:hAnsi="Arial" w:cs="Arial"/>
        </w:rPr>
        <w:t>Kodeks postępowania administracyjnego.</w:t>
      </w:r>
    </w:p>
    <w:p w14:paraId="0989D8D9" w14:textId="508F20FC" w:rsidR="00EE56B1" w:rsidRPr="00EE56B1" w:rsidRDefault="00EE56B1" w:rsidP="00EE56B1">
      <w:pPr>
        <w:spacing w:line="360" w:lineRule="auto"/>
        <w:contextualSpacing/>
        <w:rPr>
          <w:rFonts w:ascii="Arial" w:eastAsia="Calibri" w:hAnsi="Arial" w:cs="Arial"/>
        </w:rPr>
      </w:pPr>
      <w:r w:rsidRPr="00EE56B1">
        <w:rPr>
          <w:rFonts w:ascii="Arial" w:eastAsia="Calibri" w:hAnsi="Arial" w:cs="Arial"/>
        </w:rPr>
        <w:t>Stosownie zaś do treści art. 105</w:t>
      </w:r>
      <w:r>
        <w:rPr>
          <w:rFonts w:ascii="Arial" w:eastAsia="Calibri" w:hAnsi="Arial" w:cs="Arial"/>
        </w:rPr>
        <w:t xml:space="preserve"> paragraf </w:t>
      </w:r>
      <w:r w:rsidRPr="00EE56B1">
        <w:rPr>
          <w:rFonts w:ascii="Arial" w:eastAsia="Calibri" w:hAnsi="Arial" w:cs="Arial"/>
        </w:rPr>
        <w:t xml:space="preserve">1 k.p.a., gdy postępowanie z jakiejkolwiek przyczyny stało się bezprzedmiotowe w całości albo w części, organ administracji </w:t>
      </w:r>
      <w:r w:rsidRPr="00EE56B1">
        <w:rPr>
          <w:rFonts w:ascii="Arial" w:eastAsia="Calibri" w:hAnsi="Arial" w:cs="Arial"/>
        </w:rPr>
        <w:lastRenderedPageBreak/>
        <w:t>publicznej wydaje decyzję o umorzeniu postępowania odpowiednio w całości albo w części.</w:t>
      </w:r>
    </w:p>
    <w:p w14:paraId="0850A718" w14:textId="16F4166B" w:rsidR="00EE56B1" w:rsidRPr="00EE56B1" w:rsidRDefault="00EE56B1" w:rsidP="00EE56B1">
      <w:pPr>
        <w:spacing w:line="360" w:lineRule="auto"/>
        <w:contextualSpacing/>
        <w:rPr>
          <w:rFonts w:ascii="Arial" w:eastAsia="Calibri" w:hAnsi="Arial" w:cs="Arial"/>
        </w:rPr>
      </w:pPr>
      <w:r w:rsidRPr="00EE56B1">
        <w:rPr>
          <w:rFonts w:ascii="Arial" w:eastAsia="Calibri" w:hAnsi="Arial" w:cs="Arial"/>
        </w:rPr>
        <w:t>Podstawą do wydania decyzji o umorzeniu w świetle ww. przepisu, jest bezprzedmiotowość postępowania. O bezprzedmiotowości postępowania można mówić, gdy w świetle prawa oraz ustalonego stanu faktycznego nie można załatwić sprawy przez jej rozstrzygnięcie merytoryczne (co do istoty). Innymi słowy, sprawa administracyjna jest bezprzedmiotowa w rozumieniu art. 105</w:t>
      </w:r>
      <w:r>
        <w:rPr>
          <w:rFonts w:ascii="Arial" w:eastAsia="Calibri" w:hAnsi="Arial" w:cs="Arial"/>
        </w:rPr>
        <w:t xml:space="preserve"> paragraf </w:t>
      </w:r>
      <w:r w:rsidRPr="00EE56B1">
        <w:rPr>
          <w:rFonts w:ascii="Arial" w:eastAsia="Calibri" w:hAnsi="Arial" w:cs="Arial"/>
        </w:rPr>
        <w:t>1 k.p.a. wtedy, gdy nie ma materialnoprawnych podstaw do władczej ingerencji organu administracyjnego. Wówczas jakiekolwiek rozstrzygnięcie merytoryczne pozytywne czy negatywne staje się prawnie niedopuszczalne (por. wyrok WSA w Poznaniu z 22.01.2019 r., III SA</w:t>
      </w:r>
      <w:r>
        <w:rPr>
          <w:rFonts w:ascii="Arial" w:eastAsia="Calibri" w:hAnsi="Arial" w:cs="Arial"/>
        </w:rPr>
        <w:t xml:space="preserve"> ukośnik </w:t>
      </w:r>
      <w:r w:rsidRPr="00EE56B1">
        <w:rPr>
          <w:rFonts w:ascii="Arial" w:eastAsia="Calibri" w:hAnsi="Arial" w:cs="Arial"/>
        </w:rPr>
        <w:t>Po 601</w:t>
      </w:r>
      <w:r>
        <w:rPr>
          <w:rFonts w:ascii="Arial" w:eastAsia="Calibri" w:hAnsi="Arial" w:cs="Arial"/>
        </w:rPr>
        <w:t xml:space="preserve"> ukośnik </w:t>
      </w:r>
      <w:r w:rsidRPr="00EE56B1">
        <w:rPr>
          <w:rFonts w:ascii="Arial" w:eastAsia="Calibri" w:hAnsi="Arial" w:cs="Arial"/>
        </w:rPr>
        <w:t>18, LEX nr 2616326).</w:t>
      </w:r>
    </w:p>
    <w:p w14:paraId="19270848" w14:textId="6318AEA3" w:rsidR="00EE56B1" w:rsidRPr="00EE56B1" w:rsidRDefault="00EE56B1" w:rsidP="00EE56B1">
      <w:pPr>
        <w:spacing w:line="360" w:lineRule="auto"/>
        <w:contextualSpacing/>
        <w:rPr>
          <w:rFonts w:ascii="Arial" w:eastAsia="Calibri" w:hAnsi="Arial" w:cs="Arial"/>
        </w:rPr>
      </w:pPr>
      <w:r w:rsidRPr="00EE56B1">
        <w:rPr>
          <w:rFonts w:ascii="Arial" w:eastAsia="Calibri" w:hAnsi="Arial" w:cs="Arial"/>
        </w:rPr>
        <w:t>Instytucję umorzenia postępowania, przewidzianą w art. 105 k.p.a., wiąże się w piśmiennictwie z powstaniem trwałej i nieusuwalnej przeszkody w kontynuacji postępowania, przy czym przepis ten kładzie jednak akcent nie na przeszkodę w prowadzeniu postępowania, lecz na bezprzedmiotowość całego postępowania, czyli brak przedmiotu postępowania administracyjnego. Z bezprzedmiotowością postępowania administracyjnego w rozumieniu art. 105</w:t>
      </w:r>
      <w:r>
        <w:rPr>
          <w:rFonts w:ascii="Arial" w:eastAsia="Calibri" w:hAnsi="Arial" w:cs="Arial"/>
        </w:rPr>
        <w:t xml:space="preserve"> paragraf </w:t>
      </w:r>
      <w:r w:rsidRPr="00EE56B1">
        <w:rPr>
          <w:rFonts w:ascii="Arial" w:eastAsia="Calibri" w:hAnsi="Arial" w:cs="Arial"/>
        </w:rPr>
        <w:t xml:space="preserve">1 k.p.a. mamy do czynienia wówczas, gdy odpadł jeden z konstytutywnych elementów sprawy administracyjnej, o której mowa w art. 1 </w:t>
      </w:r>
      <w:r>
        <w:rPr>
          <w:rFonts w:ascii="Arial" w:eastAsia="Calibri" w:hAnsi="Arial" w:cs="Arial"/>
        </w:rPr>
        <w:t>punkt</w:t>
      </w:r>
      <w:r w:rsidRPr="00EE56B1">
        <w:rPr>
          <w:rFonts w:ascii="Arial" w:eastAsia="Calibri" w:hAnsi="Arial" w:cs="Arial"/>
        </w:rPr>
        <w:t xml:space="preserve"> 1 k.p.a. Przyczyny, dla których sprawa będąca przedmiotem postępowania administracyjnego utraciła rację jej rozstrzygania (odpadła przyczyna załatwienia sprawy w drodze postępowania administracyjnego), mogą być różnorodnej natury. W piśmiennictwie dzieli się te przyczyny na podmiotowe i przedmiotowe. Przyczyny podmiotowe związane są z podmiotem stosunku prawnego w taki sposób, że w razie jego braku nie mogą w jego miejsce wstąpić następcy prawni. Będzie to śmierć osoby fizycznej lub likwidacja osoby prawnej, także podmiotu, który był stroną postępowania. Przyczyny przedmiotowe zachodzą wówczas, gdy brak jest przedmiotu postępowania, gdy nie istnieje sprawa, która mogłaby stanowić przedmiot postępowania. </w:t>
      </w:r>
    </w:p>
    <w:p w14:paraId="09756D5A" w14:textId="77777777" w:rsidR="00EE56B1" w:rsidRPr="00EE56B1" w:rsidRDefault="00EE56B1" w:rsidP="00EE56B1">
      <w:pPr>
        <w:spacing w:line="360" w:lineRule="auto"/>
        <w:contextualSpacing/>
        <w:rPr>
          <w:rFonts w:ascii="Arial" w:eastAsia="Calibri" w:hAnsi="Arial" w:cs="Arial"/>
        </w:rPr>
      </w:pPr>
      <w:r w:rsidRPr="00EE56B1">
        <w:rPr>
          <w:rFonts w:ascii="Arial" w:eastAsia="Calibri" w:hAnsi="Arial" w:cs="Arial"/>
        </w:rPr>
        <w:t>Zważyć trzeba, iż decyzja umarzająca postępowanie nie rozstrzyga o istocie sprawy, wywiera natomiast skutek procesowy i kończy sprawę w danej instancji. Istotą umorzenia postępowania jest jego przerwanie, uchylenie wszystkich dokonanych w nim czynności oraz orzeczenie o dalszym jego nieprowadzeniu. Jest to rozstrzygnięcie proceduralne o charakterze formalnym.</w:t>
      </w:r>
    </w:p>
    <w:p w14:paraId="78F0DC33" w14:textId="07F13DF2" w:rsidR="00EE56B1" w:rsidRPr="00EE56B1" w:rsidRDefault="00EE56B1" w:rsidP="00EE56B1">
      <w:pPr>
        <w:spacing w:line="360" w:lineRule="auto"/>
        <w:contextualSpacing/>
        <w:rPr>
          <w:rFonts w:ascii="Arial" w:eastAsia="Calibri" w:hAnsi="Arial" w:cs="Arial"/>
        </w:rPr>
      </w:pPr>
      <w:r w:rsidRPr="00EE56B1">
        <w:rPr>
          <w:rFonts w:ascii="Arial" w:eastAsia="Calibri" w:hAnsi="Arial" w:cs="Arial"/>
        </w:rPr>
        <w:t>Przenosząc powyższe na grunt niniejszej sprawy, wskazać należy, że w dniu 12 czerwca 2017 r. Komisja wszczęła z urzędu pod sygnaturą R 2</w:t>
      </w:r>
      <w:r>
        <w:rPr>
          <w:rFonts w:ascii="Arial" w:eastAsia="Calibri" w:hAnsi="Arial" w:cs="Arial"/>
        </w:rPr>
        <w:t xml:space="preserve"> ukośnik </w:t>
      </w:r>
      <w:r w:rsidRPr="00EE56B1">
        <w:rPr>
          <w:rFonts w:ascii="Arial" w:eastAsia="Calibri" w:hAnsi="Arial" w:cs="Arial"/>
        </w:rPr>
        <w:t xml:space="preserve">17 </w:t>
      </w:r>
      <w:r w:rsidRPr="00EE56B1">
        <w:rPr>
          <w:rFonts w:ascii="Arial" w:eastAsia="Calibri" w:hAnsi="Arial" w:cs="Arial"/>
        </w:rPr>
        <w:lastRenderedPageBreak/>
        <w:t>postępowanie w przedmiocie decyzji Prezydenta m.st. Warszawy z dnia 29 lipca 2014 r. nr 319</w:t>
      </w:r>
      <w:r>
        <w:rPr>
          <w:rFonts w:ascii="Arial" w:eastAsia="Calibri" w:hAnsi="Arial" w:cs="Arial"/>
        </w:rPr>
        <w:t xml:space="preserve"> ukośnik </w:t>
      </w:r>
      <w:r w:rsidRPr="00EE56B1">
        <w:rPr>
          <w:rFonts w:ascii="Arial" w:eastAsia="Calibri" w:hAnsi="Arial" w:cs="Arial"/>
        </w:rPr>
        <w:t>GK</w:t>
      </w:r>
      <w:r>
        <w:rPr>
          <w:rFonts w:ascii="Arial" w:eastAsia="Calibri" w:hAnsi="Arial" w:cs="Arial"/>
        </w:rPr>
        <w:t xml:space="preserve"> ukośnik </w:t>
      </w:r>
      <w:r w:rsidRPr="00EE56B1">
        <w:rPr>
          <w:rFonts w:ascii="Arial" w:eastAsia="Calibri" w:hAnsi="Arial" w:cs="Arial"/>
        </w:rPr>
        <w:t>DW</w:t>
      </w:r>
      <w:r>
        <w:rPr>
          <w:rFonts w:ascii="Arial" w:eastAsia="Calibri" w:hAnsi="Arial" w:cs="Arial"/>
        </w:rPr>
        <w:t xml:space="preserve"> ukośnik </w:t>
      </w:r>
      <w:r w:rsidRPr="00EE56B1">
        <w:rPr>
          <w:rFonts w:ascii="Arial" w:eastAsia="Calibri" w:hAnsi="Arial" w:cs="Arial"/>
        </w:rPr>
        <w:t>2014, dotyczącej nieruchomości położonej w Warszawie przy ul. Twardej 10 (obecnie ul. Twarda 8</w:t>
      </w:r>
      <w:r>
        <w:rPr>
          <w:rFonts w:ascii="Arial" w:eastAsia="Calibri" w:hAnsi="Arial" w:cs="Arial"/>
        </w:rPr>
        <w:t xml:space="preserve"> ukośnik </w:t>
      </w:r>
      <w:r w:rsidRPr="00EE56B1">
        <w:rPr>
          <w:rFonts w:ascii="Arial" w:eastAsia="Calibri" w:hAnsi="Arial" w:cs="Arial"/>
        </w:rPr>
        <w:t>12), stanowiącej działkę ewidencyjną nr w obrębie, dla której Sąd Rejonowy dla Warszawy</w:t>
      </w:r>
      <w:r>
        <w:rPr>
          <w:rFonts w:ascii="Arial" w:eastAsia="Calibri" w:hAnsi="Arial" w:cs="Arial"/>
        </w:rPr>
        <w:t xml:space="preserve"> myślnik </w:t>
      </w:r>
      <w:r w:rsidRPr="00EE56B1">
        <w:rPr>
          <w:rFonts w:ascii="Arial" w:eastAsia="Calibri" w:hAnsi="Arial" w:cs="Arial"/>
        </w:rPr>
        <w:t>Mokotowa w Warszawie X Wydział Ksiąg Wieczystych prowadzi księgę wieczystą. W konsekwencji powyższego, Komisja decyzją z dnia 10 lipca 2017 r. nr R 2</w:t>
      </w:r>
      <w:r>
        <w:rPr>
          <w:rFonts w:ascii="Arial" w:eastAsia="Calibri" w:hAnsi="Arial" w:cs="Arial"/>
        </w:rPr>
        <w:t xml:space="preserve"> ukośnik </w:t>
      </w:r>
      <w:r w:rsidRPr="00EE56B1">
        <w:rPr>
          <w:rFonts w:ascii="Arial" w:eastAsia="Calibri" w:hAnsi="Arial" w:cs="Arial"/>
        </w:rPr>
        <w:t xml:space="preserve">17 Komisja, w </w:t>
      </w:r>
      <w:r>
        <w:rPr>
          <w:rFonts w:ascii="Arial" w:eastAsia="Calibri" w:hAnsi="Arial" w:cs="Arial"/>
        </w:rPr>
        <w:t>punkt</w:t>
      </w:r>
      <w:r w:rsidRPr="00EE56B1">
        <w:rPr>
          <w:rFonts w:ascii="Arial" w:eastAsia="Calibri" w:hAnsi="Arial" w:cs="Arial"/>
        </w:rPr>
        <w:t xml:space="preserve"> 1 uchyliła w całości ww. decyzję Prezydenta m. st. Warszawy i odmówiła ustanowienia prawa użytkowania wieczystego. Powyższe decyzje: Prezydenta m. st. Warszawy z dnia 29 lipca 2014 roku oraz Komisji z dnia 10 lipca 2017 roku prawomocnym wyrokiem Wojewódzkiego Sądu Administracyjnego w Warszawie z dnia 28 września 2020 r. sygn. zostały wyeliminowane z obrotu prawnego poprzez stwierdzenie ich nieważności. </w:t>
      </w:r>
    </w:p>
    <w:p w14:paraId="4B3C8DCF" w14:textId="6B413044" w:rsidR="00EE56B1" w:rsidRPr="00EE56B1" w:rsidRDefault="00EE56B1" w:rsidP="00EE56B1">
      <w:pPr>
        <w:spacing w:line="360" w:lineRule="auto"/>
        <w:contextualSpacing/>
        <w:rPr>
          <w:rFonts w:ascii="Arial" w:eastAsia="Calibri" w:hAnsi="Arial" w:cs="Arial"/>
        </w:rPr>
      </w:pPr>
      <w:r w:rsidRPr="00EE56B1">
        <w:rPr>
          <w:rFonts w:ascii="Arial" w:eastAsia="Calibri" w:hAnsi="Arial" w:cs="Arial"/>
        </w:rPr>
        <w:t>W tym miejscu należy zaznaczyć, iż istotą działania Komisji jako organu administracji publicznej stojącego na straży interesu publicznego w zakresie postępowań w przedmiocie wydania decyzji reprywatyzacyjnych dotyczących nieruchomości warszawskich jest wyjaśnianie nieprawidłowości i uchybień w działalności organów i osób prowadzących postępowania w przedmiocie wydawania tych decyzji. Jak zaś już wcześniej wskazano, bezprzedmiotowość postępowania administracyjnego (w tym prowadzonego przez Komisję) zachodzi wówczas, gdy przestaje istnieć sprawa wymagająca rozstrzygnięcia decyzją administracyjną, tj. gdy w sprawie zachodzi brak przedmiotu sprawy, tzn. gdy nie ma materialnoprawnych podstaw do wydania decyzji administracyjnej (wyrok Wojewódzkiego Sądu Administracyjnego w Warszawie z dnia 16 lutego 2022 r. sygn. VII SA</w:t>
      </w:r>
      <w:r>
        <w:rPr>
          <w:rFonts w:ascii="Arial" w:eastAsia="Calibri" w:hAnsi="Arial" w:cs="Arial"/>
        </w:rPr>
        <w:t xml:space="preserve"> ukośnik </w:t>
      </w:r>
      <w:proofErr w:type="spellStart"/>
      <w:r w:rsidRPr="00EE56B1">
        <w:rPr>
          <w:rFonts w:ascii="Arial" w:eastAsia="Calibri" w:hAnsi="Arial" w:cs="Arial"/>
        </w:rPr>
        <w:t>Wa</w:t>
      </w:r>
      <w:proofErr w:type="spellEnd"/>
      <w:r w:rsidRPr="00EE56B1">
        <w:rPr>
          <w:rFonts w:ascii="Arial" w:eastAsia="Calibri" w:hAnsi="Arial" w:cs="Arial"/>
        </w:rPr>
        <w:t xml:space="preserve"> 1365</w:t>
      </w:r>
      <w:r>
        <w:rPr>
          <w:rFonts w:ascii="Arial" w:eastAsia="Calibri" w:hAnsi="Arial" w:cs="Arial"/>
        </w:rPr>
        <w:t xml:space="preserve"> ukośnik </w:t>
      </w:r>
      <w:r w:rsidRPr="00EE56B1">
        <w:rPr>
          <w:rFonts w:ascii="Arial" w:eastAsia="Calibri" w:hAnsi="Arial" w:cs="Arial"/>
        </w:rPr>
        <w:t xml:space="preserve">21). </w:t>
      </w:r>
    </w:p>
    <w:p w14:paraId="6D190CA6" w14:textId="2DD48666" w:rsidR="00EE56B1" w:rsidRPr="00EE56B1" w:rsidRDefault="00EE56B1" w:rsidP="00EE56B1">
      <w:pPr>
        <w:spacing w:line="360" w:lineRule="auto"/>
        <w:contextualSpacing/>
        <w:rPr>
          <w:rFonts w:ascii="Arial" w:eastAsia="Calibri" w:hAnsi="Arial" w:cs="Arial"/>
        </w:rPr>
      </w:pPr>
      <w:r w:rsidRPr="00EE56B1">
        <w:rPr>
          <w:rFonts w:ascii="Arial" w:eastAsia="Calibri" w:hAnsi="Arial" w:cs="Arial"/>
        </w:rPr>
        <w:t>W niniejszej sprawie, zdaniem Komisji, wystąpiła bezprzedmiotowość postępowania w kontekście przyczyny przedmiotowej, albowiem brak jest materialnoprawnych podstaw do władczej ingerencji organu administracyjnego realizowanej w formie decyzji administracyjnej. W tej sprawie brak jest możliwości merytorycznego rozpoznania sprawy z uwagi wyeliminowanie przez Wojewódzki Sąd Administracyjny w Warszawie decyzji reprywatyzacyjnej, która była przedmiotem badania Komisji. Brak przedmiotu postępowania powoduje, że nie można wydać decyzji rozstrzygającej na podstawie przepisów prawa materialnego o prawach lub obowiązkach indywidualnego podmiotu (por. wyrok NSA z 9 września 1998 r. sygn. IV SA 1634</w:t>
      </w:r>
      <w:r>
        <w:rPr>
          <w:rFonts w:ascii="Arial" w:eastAsia="Calibri" w:hAnsi="Arial" w:cs="Arial"/>
        </w:rPr>
        <w:t xml:space="preserve"> ukośnik </w:t>
      </w:r>
      <w:r w:rsidRPr="00EE56B1">
        <w:rPr>
          <w:rFonts w:ascii="Arial" w:eastAsia="Calibri" w:hAnsi="Arial" w:cs="Arial"/>
        </w:rPr>
        <w:t>96, wyrok NSA z 12 kwietnia 2022 r. sygn. II GSK 258</w:t>
      </w:r>
      <w:r>
        <w:rPr>
          <w:rFonts w:ascii="Arial" w:eastAsia="Calibri" w:hAnsi="Arial" w:cs="Arial"/>
        </w:rPr>
        <w:t xml:space="preserve"> ukośnik </w:t>
      </w:r>
      <w:r w:rsidRPr="00EE56B1">
        <w:rPr>
          <w:rFonts w:ascii="Arial" w:eastAsia="Calibri" w:hAnsi="Arial" w:cs="Arial"/>
        </w:rPr>
        <w:t>22, wyrok WSA z 22 maja 2007 r. sygn. III SA</w:t>
      </w:r>
      <w:r>
        <w:rPr>
          <w:rFonts w:ascii="Arial" w:eastAsia="Calibri" w:hAnsi="Arial" w:cs="Arial"/>
        </w:rPr>
        <w:t xml:space="preserve"> ukośnik </w:t>
      </w:r>
      <w:proofErr w:type="spellStart"/>
      <w:r w:rsidRPr="00EE56B1">
        <w:rPr>
          <w:rFonts w:ascii="Arial" w:eastAsia="Calibri" w:hAnsi="Arial" w:cs="Arial"/>
        </w:rPr>
        <w:t>Wa</w:t>
      </w:r>
      <w:proofErr w:type="spellEnd"/>
      <w:r w:rsidRPr="00EE56B1">
        <w:rPr>
          <w:rFonts w:ascii="Arial" w:eastAsia="Calibri" w:hAnsi="Arial" w:cs="Arial"/>
        </w:rPr>
        <w:t xml:space="preserve"> 689</w:t>
      </w:r>
      <w:r>
        <w:rPr>
          <w:rFonts w:ascii="Arial" w:eastAsia="Calibri" w:hAnsi="Arial" w:cs="Arial"/>
        </w:rPr>
        <w:t xml:space="preserve"> ukośnik </w:t>
      </w:r>
      <w:r w:rsidRPr="00EE56B1">
        <w:rPr>
          <w:rFonts w:ascii="Arial" w:eastAsia="Calibri" w:hAnsi="Arial" w:cs="Arial"/>
        </w:rPr>
        <w:t xml:space="preserve">07). Skoro w sprawie wystąpiła bezprzedmiotowość postępowania, to jakiekolwiek rozstrzygnięcie </w:t>
      </w:r>
      <w:r w:rsidRPr="00EE56B1">
        <w:rPr>
          <w:rFonts w:ascii="Arial" w:eastAsia="Calibri" w:hAnsi="Arial" w:cs="Arial"/>
        </w:rPr>
        <w:lastRenderedPageBreak/>
        <w:t>merytoryczne</w:t>
      </w:r>
      <w:r>
        <w:rPr>
          <w:rFonts w:ascii="Arial" w:eastAsia="Calibri" w:hAnsi="Arial" w:cs="Arial"/>
        </w:rPr>
        <w:t xml:space="preserve"> myślnik </w:t>
      </w:r>
      <w:r w:rsidRPr="00EE56B1">
        <w:rPr>
          <w:rFonts w:ascii="Arial" w:eastAsia="Calibri" w:hAnsi="Arial" w:cs="Arial"/>
        </w:rPr>
        <w:t>pozytywne czy negatywne, staje się prawnie niedopuszczalne (por. Kodeks postępowania administracyjnego, Komentarz pod red. Romana Hausera i Marka Wierzbowskiego, Wydawnictwo C. H. Beck, Warszawa 2015 r., str. 526 oraz powołane tam orzecznictwo, a także wyrok NSA z dnia 10 września 2019 r. sygn. I GSK 1266</w:t>
      </w:r>
      <w:r>
        <w:rPr>
          <w:rFonts w:ascii="Arial" w:eastAsia="Calibri" w:hAnsi="Arial" w:cs="Arial"/>
        </w:rPr>
        <w:t xml:space="preserve"> ukośnik </w:t>
      </w:r>
      <w:r w:rsidRPr="00EE56B1">
        <w:rPr>
          <w:rFonts w:ascii="Arial" w:eastAsia="Calibri" w:hAnsi="Arial" w:cs="Arial"/>
        </w:rPr>
        <w:t>19).</w:t>
      </w:r>
    </w:p>
    <w:p w14:paraId="75071CF6" w14:textId="4CE2220A" w:rsidR="00EE56B1" w:rsidRPr="00EE56B1" w:rsidRDefault="00EE56B1" w:rsidP="00EE56B1">
      <w:pPr>
        <w:spacing w:line="360" w:lineRule="auto"/>
        <w:contextualSpacing/>
        <w:rPr>
          <w:rFonts w:ascii="Arial" w:eastAsia="Calibri" w:hAnsi="Arial" w:cs="Arial"/>
        </w:rPr>
      </w:pPr>
      <w:r w:rsidRPr="00EE56B1">
        <w:rPr>
          <w:rFonts w:ascii="Arial" w:eastAsia="Calibri" w:hAnsi="Arial" w:cs="Arial"/>
        </w:rPr>
        <w:t>W konsekwencji powyższego, niniejsze postępowanie w kontekście przesądzonej w wyroku z dnia 28 września 2020 r. sygn. kwestii nieważności decyzji reprywatyzacyjnej Prezydenta m. st. Warszawy</w:t>
      </w:r>
      <w:r>
        <w:rPr>
          <w:rFonts w:ascii="Arial" w:eastAsia="Calibri" w:hAnsi="Arial" w:cs="Arial"/>
        </w:rPr>
        <w:t xml:space="preserve"> myślnik </w:t>
      </w:r>
      <w:r w:rsidRPr="00EE56B1">
        <w:rPr>
          <w:rFonts w:ascii="Arial" w:eastAsia="Calibri" w:hAnsi="Arial" w:cs="Arial"/>
        </w:rPr>
        <w:t xml:space="preserve">jest bezprzedmiotowe. Kwestia przesądzona przez sąd spowodowała, że w sprawie nie występuje stan prawny, który wymagałby uzasadnionej przepisami prawa reakcji organu. </w:t>
      </w:r>
    </w:p>
    <w:p w14:paraId="2CEEEF7F" w14:textId="104B7E76" w:rsidR="00EE56B1" w:rsidRPr="00EE56B1" w:rsidRDefault="00EE56B1" w:rsidP="00EE56B1">
      <w:pPr>
        <w:spacing w:line="360" w:lineRule="auto"/>
        <w:contextualSpacing/>
        <w:rPr>
          <w:rFonts w:ascii="Arial" w:eastAsia="Calibri" w:hAnsi="Arial" w:cs="Arial"/>
        </w:rPr>
      </w:pPr>
      <w:r w:rsidRPr="00EE56B1">
        <w:rPr>
          <w:rFonts w:ascii="Arial" w:eastAsia="Calibri" w:hAnsi="Arial" w:cs="Arial"/>
        </w:rPr>
        <w:t>Tym samym rozważania odnoszące się do stanowiska M</w:t>
      </w:r>
      <w:r w:rsidR="002248F1">
        <w:rPr>
          <w:rFonts w:ascii="Arial" w:eastAsia="Calibri" w:hAnsi="Arial" w:cs="Arial"/>
        </w:rPr>
        <w:t>.</w:t>
      </w:r>
      <w:r w:rsidRPr="00EE56B1">
        <w:rPr>
          <w:rFonts w:ascii="Arial" w:eastAsia="Calibri" w:hAnsi="Arial" w:cs="Arial"/>
        </w:rPr>
        <w:t xml:space="preserve"> M</w:t>
      </w:r>
      <w:r w:rsidR="002248F1">
        <w:rPr>
          <w:rFonts w:ascii="Arial" w:eastAsia="Calibri" w:hAnsi="Arial" w:cs="Arial"/>
        </w:rPr>
        <w:t>.</w:t>
      </w:r>
      <w:r w:rsidRPr="00EE56B1">
        <w:rPr>
          <w:rFonts w:ascii="Arial" w:eastAsia="Calibri" w:hAnsi="Arial" w:cs="Arial"/>
        </w:rPr>
        <w:t xml:space="preserve"> jawią się jako bezcelowe, bowiem dotyczyły merytorycznego rozstrzygnięcia sprawy poprzez ustanowienie prawa użytkowania wieczystego, bądź odmowę ustanowienia tego prawa.</w:t>
      </w:r>
    </w:p>
    <w:p w14:paraId="7BCA010C" w14:textId="3FFBC77A" w:rsidR="002446A8" w:rsidRDefault="00EE56B1" w:rsidP="00EE56B1">
      <w:pPr>
        <w:spacing w:line="360" w:lineRule="auto"/>
        <w:contextualSpacing/>
        <w:rPr>
          <w:rFonts w:ascii="Arial" w:eastAsia="Calibri" w:hAnsi="Arial" w:cs="Arial"/>
        </w:rPr>
      </w:pPr>
      <w:r w:rsidRPr="00EE56B1">
        <w:rPr>
          <w:rFonts w:ascii="Arial" w:eastAsia="Calibri" w:hAnsi="Arial" w:cs="Arial"/>
        </w:rPr>
        <w:t xml:space="preserve">Z uwagi na bezprzedmiotowość postępowania, Komisja mogła wydać wyłącznie rozstrzygnięcie formalne, tj. umorzyć postępowanie rozpoznawcze w sprawie na podstawie art. 29 ust. 1 </w:t>
      </w:r>
      <w:r>
        <w:rPr>
          <w:rFonts w:ascii="Arial" w:eastAsia="Calibri" w:hAnsi="Arial" w:cs="Arial"/>
        </w:rPr>
        <w:t>punkt</w:t>
      </w:r>
      <w:r w:rsidRPr="00EE56B1">
        <w:rPr>
          <w:rFonts w:ascii="Arial" w:eastAsia="Calibri" w:hAnsi="Arial" w:cs="Arial"/>
        </w:rPr>
        <w:t xml:space="preserve"> 5 ustawy z dnia 9 marca 2017 r. w związku z art. 105</w:t>
      </w:r>
      <w:r>
        <w:rPr>
          <w:rFonts w:ascii="Arial" w:eastAsia="Calibri" w:hAnsi="Arial" w:cs="Arial"/>
        </w:rPr>
        <w:t xml:space="preserve"> paragraf </w:t>
      </w:r>
      <w:r w:rsidRPr="00EE56B1">
        <w:rPr>
          <w:rFonts w:ascii="Arial" w:eastAsia="Calibri" w:hAnsi="Arial" w:cs="Arial"/>
        </w:rPr>
        <w:t>1 k.p.a. w związku z art. 38 ust. 1 ustawy z dnia 9 marca 2017 r.</w:t>
      </w:r>
    </w:p>
    <w:p w14:paraId="532BA405" w14:textId="77777777" w:rsidR="00A96EB3" w:rsidRPr="00634A5B" w:rsidRDefault="00A96EB3" w:rsidP="00A96EB3">
      <w:pPr>
        <w:spacing w:line="360" w:lineRule="auto"/>
        <w:contextualSpacing/>
        <w:rPr>
          <w:rFonts w:ascii="Arial" w:eastAsia="Calibri" w:hAnsi="Arial" w:cs="Arial"/>
        </w:rPr>
      </w:pPr>
    </w:p>
    <w:p w14:paraId="0F972897" w14:textId="77777777" w:rsidR="002446A8" w:rsidRPr="00634A5B" w:rsidRDefault="002446A8" w:rsidP="005A31A5">
      <w:pPr>
        <w:spacing w:line="360" w:lineRule="auto"/>
        <w:contextualSpacing/>
        <w:rPr>
          <w:rFonts w:ascii="Arial" w:eastAsia="Calibri" w:hAnsi="Arial" w:cs="Arial"/>
        </w:rPr>
      </w:pPr>
      <w:r w:rsidRPr="00634A5B">
        <w:rPr>
          <w:rFonts w:ascii="Arial" w:eastAsia="Calibri" w:hAnsi="Arial" w:cs="Arial"/>
        </w:rPr>
        <w:t>Przewodniczący Komisji</w:t>
      </w:r>
    </w:p>
    <w:p w14:paraId="34FCECD1" w14:textId="4613C6E9" w:rsidR="002446A8" w:rsidRPr="00634A5B" w:rsidRDefault="002446A8" w:rsidP="005A31A5">
      <w:pPr>
        <w:spacing w:line="360" w:lineRule="auto"/>
        <w:contextualSpacing/>
        <w:rPr>
          <w:rFonts w:ascii="Arial" w:eastAsia="Calibri" w:hAnsi="Arial" w:cs="Arial"/>
        </w:rPr>
      </w:pPr>
      <w:r w:rsidRPr="00634A5B">
        <w:rPr>
          <w:rFonts w:ascii="Arial" w:eastAsia="Calibri" w:hAnsi="Arial" w:cs="Arial"/>
        </w:rPr>
        <w:t>Sebastian Kaleta</w:t>
      </w:r>
    </w:p>
    <w:p w14:paraId="7FC2A584" w14:textId="77777777" w:rsidR="008E6DAB" w:rsidRPr="00634A5B" w:rsidRDefault="008E6DAB" w:rsidP="005A31A5">
      <w:pPr>
        <w:spacing w:line="360" w:lineRule="auto"/>
        <w:contextualSpacing/>
        <w:rPr>
          <w:rFonts w:ascii="Arial" w:eastAsia="Calibri" w:hAnsi="Arial" w:cs="Arial"/>
        </w:rPr>
      </w:pPr>
    </w:p>
    <w:p w14:paraId="6615DE19" w14:textId="77777777" w:rsidR="002446A8" w:rsidRPr="00634A5B" w:rsidRDefault="002446A8" w:rsidP="005A31A5">
      <w:pPr>
        <w:spacing w:line="360" w:lineRule="auto"/>
        <w:contextualSpacing/>
        <w:rPr>
          <w:rFonts w:ascii="Arial" w:eastAsia="Calibri" w:hAnsi="Arial" w:cs="Arial"/>
        </w:rPr>
      </w:pPr>
      <w:r w:rsidRPr="00634A5B">
        <w:rPr>
          <w:rFonts w:ascii="Arial" w:eastAsia="Calibri" w:hAnsi="Arial" w:cs="Arial"/>
        </w:rPr>
        <w:t>Pouczenie:</w:t>
      </w:r>
    </w:p>
    <w:p w14:paraId="416471BC" w14:textId="08E4D311" w:rsidR="008E6DAB" w:rsidRPr="00634A5B" w:rsidRDefault="008E6DAB" w:rsidP="005A31A5">
      <w:pPr>
        <w:spacing w:line="360" w:lineRule="auto"/>
        <w:contextualSpacing/>
        <w:rPr>
          <w:rFonts w:ascii="Arial" w:eastAsia="Calibri" w:hAnsi="Arial" w:cs="Arial"/>
        </w:rPr>
      </w:pPr>
      <w:r w:rsidRPr="00634A5B">
        <w:rPr>
          <w:rFonts w:ascii="Arial" w:eastAsia="Calibri" w:hAnsi="Arial" w:cs="Arial"/>
        </w:rPr>
        <w:t>1. Niniejsza decyzja jest ostateczna (</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16 k.p.a.). Strona może wnieść skargę do Wojewódzkiego Sądu Administracyjnego w Warszawie, ul. Jasna 2</w:t>
      </w:r>
      <w:r w:rsidR="00EB6613" w:rsidRPr="00634A5B">
        <w:rPr>
          <w:rFonts w:ascii="Arial" w:eastAsia="Calibri" w:hAnsi="Arial" w:cs="Arial"/>
        </w:rPr>
        <w:t xml:space="preserve"> ukośnik </w:t>
      </w:r>
      <w:r w:rsidRPr="00634A5B">
        <w:rPr>
          <w:rFonts w:ascii="Arial" w:eastAsia="Calibri" w:hAnsi="Arial" w:cs="Arial"/>
        </w:rPr>
        <w:t>4, 00</w:t>
      </w:r>
      <w:r w:rsidR="00EB6613" w:rsidRPr="00634A5B">
        <w:rPr>
          <w:rFonts w:ascii="Arial" w:eastAsia="Calibri" w:hAnsi="Arial" w:cs="Arial"/>
        </w:rPr>
        <w:t xml:space="preserve"> myślnik </w:t>
      </w:r>
      <w:r w:rsidRPr="00634A5B">
        <w:rPr>
          <w:rFonts w:ascii="Arial" w:eastAsia="Calibri" w:hAnsi="Arial" w:cs="Arial"/>
        </w:rPr>
        <w:t>013 Warszawa, za pośrednictwem Komisji do spraw reprywatyzacji nieruchomości warszawskich w terminie 30 dni od dnia doręczenia decyzji (</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52</w:t>
      </w:r>
      <w:r w:rsidR="00CD3CFA" w:rsidRPr="00634A5B">
        <w:rPr>
          <w:rFonts w:ascii="Arial" w:eastAsia="Calibri" w:hAnsi="Arial" w:cs="Arial"/>
        </w:rPr>
        <w:t xml:space="preserve"> paragraf </w:t>
      </w:r>
      <w:r w:rsidRPr="00634A5B">
        <w:rPr>
          <w:rFonts w:ascii="Arial" w:eastAsia="Calibri" w:hAnsi="Arial" w:cs="Arial"/>
        </w:rPr>
        <w:t>1 p.p.s.a.,</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53</w:t>
      </w:r>
      <w:r w:rsidR="00CD3CFA" w:rsidRPr="00634A5B">
        <w:rPr>
          <w:rFonts w:ascii="Arial" w:eastAsia="Calibri" w:hAnsi="Arial" w:cs="Arial"/>
        </w:rPr>
        <w:t xml:space="preserve"> paragraf </w:t>
      </w:r>
      <w:r w:rsidRPr="00634A5B">
        <w:rPr>
          <w:rFonts w:ascii="Arial" w:eastAsia="Calibri" w:hAnsi="Arial" w:cs="Arial"/>
        </w:rPr>
        <w:t>1 p.p.s.a oraz</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54</w:t>
      </w:r>
      <w:r w:rsidR="00CD3CFA" w:rsidRPr="00634A5B">
        <w:rPr>
          <w:rFonts w:ascii="Arial" w:eastAsia="Calibri" w:hAnsi="Arial" w:cs="Arial"/>
        </w:rPr>
        <w:t xml:space="preserve"> paragraf </w:t>
      </w:r>
      <w:r w:rsidRPr="00634A5B">
        <w:rPr>
          <w:rFonts w:ascii="Arial" w:eastAsia="Calibri" w:hAnsi="Arial" w:cs="Arial"/>
        </w:rPr>
        <w:t>1 p.p.s.a). Skarga powinna czynić zadość wymogom określonym w</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57 p.p.s.a. Do skargi należy dołączyć jej odpisy i odpisy załączników dla doręczenia ich stronom (w tym dla tut. organu), a ponadto jeżeli w Sądzie nie złożono załączników w oryginale po jednym odpisie każdego załącznika do akt sądowych (</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47</w:t>
      </w:r>
      <w:r w:rsidR="00CD3CFA" w:rsidRPr="00634A5B">
        <w:rPr>
          <w:rFonts w:ascii="Arial" w:eastAsia="Calibri" w:hAnsi="Arial" w:cs="Arial"/>
        </w:rPr>
        <w:t xml:space="preserve"> paragraf </w:t>
      </w:r>
      <w:r w:rsidRPr="00634A5B">
        <w:rPr>
          <w:rFonts w:ascii="Arial" w:eastAsia="Calibri" w:hAnsi="Arial" w:cs="Arial"/>
        </w:rPr>
        <w:t>1 p.p.s.a.).</w:t>
      </w:r>
    </w:p>
    <w:p w14:paraId="456C1B87" w14:textId="690BF72C" w:rsidR="008E6DAB" w:rsidRPr="00634A5B" w:rsidRDefault="008E6DAB" w:rsidP="005A31A5">
      <w:pPr>
        <w:spacing w:line="360" w:lineRule="auto"/>
        <w:contextualSpacing/>
        <w:rPr>
          <w:rFonts w:ascii="Arial" w:eastAsia="Calibri" w:hAnsi="Arial" w:cs="Arial"/>
        </w:rPr>
      </w:pPr>
      <w:r w:rsidRPr="00634A5B">
        <w:rPr>
          <w:rFonts w:ascii="Arial" w:eastAsia="Calibri" w:hAnsi="Arial" w:cs="Arial"/>
        </w:rPr>
        <w:t>2. Wpis od skargi do sądu administracyjnego ma charakter stały i wynosi 200 (dwieście) zł zgodnie z</w:t>
      </w:r>
      <w:r w:rsidR="00CD3CFA" w:rsidRPr="00634A5B">
        <w:rPr>
          <w:rFonts w:ascii="Arial" w:eastAsia="Calibri" w:hAnsi="Arial" w:cs="Arial"/>
        </w:rPr>
        <w:t xml:space="preserve"> paragraf </w:t>
      </w:r>
      <w:r w:rsidRPr="00634A5B">
        <w:rPr>
          <w:rFonts w:ascii="Arial" w:eastAsia="Calibri" w:hAnsi="Arial" w:cs="Arial"/>
        </w:rPr>
        <w:t>2</w:t>
      </w:r>
      <w:r w:rsidR="00A735F1" w:rsidRPr="00634A5B">
        <w:rPr>
          <w:rFonts w:ascii="Arial" w:eastAsia="Calibri" w:hAnsi="Arial" w:cs="Arial"/>
        </w:rPr>
        <w:t xml:space="preserve"> </w:t>
      </w:r>
      <w:r w:rsidR="00634A5B" w:rsidRPr="00634A5B">
        <w:rPr>
          <w:rFonts w:ascii="Arial" w:eastAsia="Calibri" w:hAnsi="Arial" w:cs="Arial"/>
        </w:rPr>
        <w:t>ust.</w:t>
      </w:r>
      <w:r w:rsidRPr="00634A5B">
        <w:rPr>
          <w:rFonts w:ascii="Arial" w:eastAsia="Calibri" w:hAnsi="Arial" w:cs="Arial"/>
        </w:rPr>
        <w:t xml:space="preserve"> 3</w:t>
      </w:r>
      <w:r w:rsidR="00A735F1" w:rsidRPr="00634A5B">
        <w:rPr>
          <w:rFonts w:ascii="Arial" w:eastAsia="Calibri" w:hAnsi="Arial" w:cs="Arial"/>
        </w:rPr>
        <w:t xml:space="preserve"> punkt </w:t>
      </w:r>
      <w:r w:rsidRPr="00634A5B">
        <w:rPr>
          <w:rFonts w:ascii="Arial" w:eastAsia="Calibri" w:hAnsi="Arial" w:cs="Arial"/>
        </w:rPr>
        <w:t xml:space="preserve">5 rozporządzenia Rady Ministrów z </w:t>
      </w:r>
      <w:r w:rsidRPr="00634A5B">
        <w:rPr>
          <w:rFonts w:ascii="Arial" w:eastAsia="Calibri" w:hAnsi="Arial" w:cs="Arial"/>
        </w:rPr>
        <w:lastRenderedPageBreak/>
        <w:t>dnia 16 grudnia 2003 r. w sprawie wysokości oraz szczegółowych zasad pobierania wpisu w postępowaniu przed sądami administracyjnymi (Dz. U. z 2021 r. poz. 535).</w:t>
      </w:r>
    </w:p>
    <w:p w14:paraId="5F68E8E7" w14:textId="780123FD" w:rsidR="008E6DAB" w:rsidRPr="00634A5B" w:rsidRDefault="008E6DAB" w:rsidP="005A31A5">
      <w:pPr>
        <w:spacing w:line="360" w:lineRule="auto"/>
        <w:contextualSpacing/>
        <w:rPr>
          <w:rFonts w:ascii="Arial" w:eastAsia="Calibri" w:hAnsi="Arial" w:cs="Arial"/>
        </w:rPr>
      </w:pPr>
      <w:r w:rsidRPr="00634A5B">
        <w:rPr>
          <w:rFonts w:ascii="Arial" w:eastAsia="Calibri" w:hAnsi="Arial" w:cs="Arial"/>
        </w:rPr>
        <w:t>3. W myśl zaś</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243</w:t>
      </w:r>
      <w:r w:rsidR="00CD3CFA" w:rsidRPr="00634A5B">
        <w:rPr>
          <w:rFonts w:ascii="Arial" w:eastAsia="Calibri" w:hAnsi="Arial" w:cs="Arial"/>
        </w:rPr>
        <w:t xml:space="preserve"> paragraf </w:t>
      </w:r>
      <w:r w:rsidRPr="00634A5B">
        <w:rPr>
          <w:rFonts w:ascii="Arial" w:eastAsia="Calibri" w:hAnsi="Arial" w:cs="Arial"/>
        </w:rPr>
        <w:t>1 p.p.s.a. stronie może być przyznane</w:t>
      </w:r>
      <w:r w:rsidR="00BF78B1" w:rsidRPr="00634A5B">
        <w:rPr>
          <w:rFonts w:ascii="Arial" w:eastAsia="Calibri" w:hAnsi="Arial" w:cs="Arial"/>
        </w:rPr>
        <w:t xml:space="preserve"> myślnik </w:t>
      </w:r>
      <w:r w:rsidRPr="00634A5B">
        <w:rPr>
          <w:rFonts w:ascii="Arial" w:eastAsia="Calibri" w:hAnsi="Arial" w:cs="Arial"/>
        </w:rPr>
        <w:t>na jej wniosek</w:t>
      </w:r>
      <w:r w:rsidR="00BF78B1" w:rsidRPr="00634A5B">
        <w:rPr>
          <w:rFonts w:ascii="Arial" w:eastAsia="Calibri" w:hAnsi="Arial" w:cs="Arial"/>
        </w:rPr>
        <w:t xml:space="preserve"> myślnik </w:t>
      </w:r>
      <w:r w:rsidRPr="00634A5B">
        <w:rPr>
          <w:rFonts w:ascii="Arial" w:eastAsia="Calibri" w:hAnsi="Arial" w:cs="Arial"/>
        </w:rPr>
        <w:t>prawo pomocy. Wniosek ten wolny jest od opłat sądowych. Wniosek o przyznanie prawa pomocy powinien zawierać oświadczenie strony obejmujące dokładne dane o stanie majątkowym i dochodach, a jeżeli wniosek składa osoba fizyczna, ponadto dokładne dane o stanie rodzinnym oraz oświadczenie strony o niezatrudnieniu lub niepozostawaniu w innym stosunku prawnym z adwokatem, radcą prawnym, doradcą podatkowym lub rzecznikiem patentowym. Wniosek składa się na urzędowym formularzu według ustalonego wzoru (</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252</w:t>
      </w:r>
      <w:r w:rsidR="00CD3CFA" w:rsidRPr="00634A5B">
        <w:rPr>
          <w:rFonts w:ascii="Arial" w:eastAsia="Calibri" w:hAnsi="Arial" w:cs="Arial"/>
        </w:rPr>
        <w:t xml:space="preserve"> paragraf </w:t>
      </w:r>
      <w:r w:rsidRPr="00634A5B">
        <w:rPr>
          <w:rFonts w:ascii="Arial" w:eastAsia="Calibri" w:hAnsi="Arial" w:cs="Arial"/>
        </w:rPr>
        <w:t>1 i</w:t>
      </w:r>
      <w:r w:rsidR="00CD3CFA" w:rsidRPr="00634A5B">
        <w:rPr>
          <w:rFonts w:ascii="Arial" w:eastAsia="Calibri" w:hAnsi="Arial" w:cs="Arial"/>
        </w:rPr>
        <w:t xml:space="preserve"> paragraf </w:t>
      </w:r>
      <w:r w:rsidRPr="00634A5B">
        <w:rPr>
          <w:rFonts w:ascii="Arial" w:eastAsia="Calibri" w:hAnsi="Arial" w:cs="Arial"/>
        </w:rPr>
        <w:t>2 p.p.s.a.). Zgodnie zaś z</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244</w:t>
      </w:r>
      <w:r w:rsidR="00CD3CFA" w:rsidRPr="00634A5B">
        <w:rPr>
          <w:rFonts w:ascii="Arial" w:eastAsia="Calibri" w:hAnsi="Arial" w:cs="Arial"/>
        </w:rPr>
        <w:t xml:space="preserve"> paragraf </w:t>
      </w:r>
      <w:r w:rsidRPr="00634A5B">
        <w:rPr>
          <w:rFonts w:ascii="Arial" w:eastAsia="Calibri" w:hAnsi="Arial" w:cs="Arial"/>
        </w:rPr>
        <w:t xml:space="preserve">1 p.p.s.a. prawo pomocy obejmuje zwolnienie od kosztów sądowych oraz ustanowienie adwokata, radcy prawnego, doradcy podatkowego lub rzecznika patentowego. </w:t>
      </w:r>
    </w:p>
    <w:p w14:paraId="56BBBE1C" w14:textId="723A4D57" w:rsidR="008E6DAB" w:rsidRPr="00634A5B" w:rsidRDefault="008E6DAB" w:rsidP="005A31A5">
      <w:pPr>
        <w:spacing w:line="360" w:lineRule="auto"/>
        <w:contextualSpacing/>
        <w:rPr>
          <w:rFonts w:ascii="Arial" w:eastAsia="Calibri" w:hAnsi="Arial" w:cs="Arial"/>
        </w:rPr>
      </w:pPr>
      <w:r w:rsidRPr="00634A5B">
        <w:rPr>
          <w:rFonts w:ascii="Arial" w:eastAsia="Calibri" w:hAnsi="Arial" w:cs="Arial"/>
        </w:rPr>
        <w:t>4. Z uwagi na to, że doręczenie decyzji następuje w formie publicznego ogłoszenia na podstawie</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16</w:t>
      </w:r>
      <w:r w:rsidR="00A735F1" w:rsidRPr="00634A5B">
        <w:rPr>
          <w:rFonts w:ascii="Arial" w:eastAsia="Calibri" w:hAnsi="Arial" w:cs="Arial"/>
        </w:rPr>
        <w:t xml:space="preserve"> </w:t>
      </w:r>
      <w:r w:rsidR="00634A5B" w:rsidRPr="00634A5B">
        <w:rPr>
          <w:rFonts w:ascii="Arial" w:eastAsia="Calibri" w:hAnsi="Arial" w:cs="Arial"/>
        </w:rPr>
        <w:t>ust.</w:t>
      </w:r>
      <w:r w:rsidRPr="00634A5B">
        <w:rPr>
          <w:rFonts w:ascii="Arial" w:eastAsia="Calibri" w:hAnsi="Arial" w:cs="Arial"/>
        </w:rPr>
        <w:t xml:space="preserve"> 3 ustawy z dnia 9 marca 2017 r. (Dz. U. z 2021 r. poz. 795). w zw. z</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49</w:t>
      </w:r>
      <w:r w:rsidR="00CD3CFA" w:rsidRPr="00634A5B">
        <w:rPr>
          <w:rFonts w:ascii="Arial" w:eastAsia="Calibri" w:hAnsi="Arial" w:cs="Arial"/>
        </w:rPr>
        <w:t xml:space="preserve"> paragraf </w:t>
      </w:r>
      <w:r w:rsidRPr="00634A5B">
        <w:rPr>
          <w:rFonts w:ascii="Arial" w:eastAsia="Calibri" w:hAnsi="Arial" w:cs="Arial"/>
        </w:rPr>
        <w:t xml:space="preserve">1 k.p.a. Komisja informuje, że z treścią decyzji strony mogą zapoznać się w urzędzie zapewniającym obsługę </w:t>
      </w:r>
      <w:proofErr w:type="spellStart"/>
      <w:r w:rsidRPr="00634A5B">
        <w:rPr>
          <w:rFonts w:ascii="Arial" w:eastAsia="Calibri" w:hAnsi="Arial" w:cs="Arial"/>
        </w:rPr>
        <w:t>administracyjno</w:t>
      </w:r>
      <w:proofErr w:type="spellEnd"/>
      <w:r w:rsidR="00EB6613" w:rsidRPr="00634A5B">
        <w:rPr>
          <w:rFonts w:ascii="Arial" w:eastAsia="Calibri" w:hAnsi="Arial" w:cs="Arial"/>
        </w:rPr>
        <w:t xml:space="preserve"> myślnik </w:t>
      </w:r>
      <w:r w:rsidRPr="00634A5B">
        <w:rPr>
          <w:rFonts w:ascii="Arial" w:eastAsia="Calibri" w:hAnsi="Arial" w:cs="Arial"/>
        </w:rPr>
        <w:t>biurową Komisji w dniach i godzinach pracy tego urzędu.</w:t>
      </w:r>
    </w:p>
    <w:p w14:paraId="6253E364" w14:textId="7CB68677" w:rsidR="004D5A24" w:rsidRPr="00634A5B" w:rsidRDefault="008E6DAB" w:rsidP="005A31A5">
      <w:pPr>
        <w:spacing w:line="360" w:lineRule="auto"/>
        <w:contextualSpacing/>
        <w:rPr>
          <w:rFonts w:ascii="Arial" w:eastAsia="Calibri" w:hAnsi="Arial" w:cs="Arial"/>
        </w:rPr>
      </w:pPr>
      <w:r w:rsidRPr="00634A5B">
        <w:rPr>
          <w:rFonts w:ascii="Arial" w:eastAsia="Calibri" w:hAnsi="Arial" w:cs="Arial"/>
        </w:rPr>
        <w:t>5. W myśl zaś</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16</w:t>
      </w:r>
      <w:r w:rsidR="00A735F1" w:rsidRPr="00634A5B">
        <w:rPr>
          <w:rFonts w:ascii="Arial" w:eastAsia="Calibri" w:hAnsi="Arial" w:cs="Arial"/>
        </w:rPr>
        <w:t xml:space="preserve"> </w:t>
      </w:r>
      <w:r w:rsidR="00634A5B" w:rsidRPr="00634A5B">
        <w:rPr>
          <w:rFonts w:ascii="Arial" w:eastAsia="Calibri" w:hAnsi="Arial" w:cs="Arial"/>
        </w:rPr>
        <w:t>ust.</w:t>
      </w:r>
      <w:r w:rsidRPr="00634A5B">
        <w:rPr>
          <w:rFonts w:ascii="Arial" w:eastAsia="Calibri" w:hAnsi="Arial" w:cs="Arial"/>
        </w:rPr>
        <w:t xml:space="preserve"> 3 ustawy z dnia 9 marca 2017 r. (Dz. U. z 2021 r. poz. 795) strony mogą być zawiadamiane o wszczęciu postępowania, decyzjach i innych czynnościach Komisji poprzez ogłoszenie w Biuletynie Informacji Publicznej, na stronie podmiotowej urzędu obsługującego Ministra Sprawiedliwości. Zawiadomienie albo doręczenie uważa się za dokonane po upływie 7 dni od dnia publicznego ogłoszenia</w:t>
      </w:r>
      <w:r w:rsidR="002446A8" w:rsidRPr="00634A5B">
        <w:rPr>
          <w:rFonts w:ascii="Arial" w:eastAsia="Calibri" w:hAnsi="Arial" w:cs="Arial"/>
        </w:rPr>
        <w:t>.</w:t>
      </w:r>
    </w:p>
    <w:sectPr w:rsidR="004D5A24" w:rsidRPr="00634A5B">
      <w:footerReference w:type="even" r:id="rId8"/>
      <w:footerReference w:type="default" r:id="rId9"/>
      <w:headerReference w:type="first" r:id="rId10"/>
      <w:pgSz w:w="11906" w:h="16838"/>
      <w:pgMar w:top="708" w:right="1417" w:bottom="1417" w:left="1417" w:header="708"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010C1" w14:textId="77777777" w:rsidR="00325F8A" w:rsidRDefault="00325F8A">
      <w:pPr>
        <w:spacing w:after="0"/>
      </w:pPr>
      <w:r>
        <w:separator/>
      </w:r>
    </w:p>
  </w:endnote>
  <w:endnote w:type="continuationSeparator" w:id="0">
    <w:p w14:paraId="3D23A5A0" w14:textId="77777777" w:rsidR="00325F8A" w:rsidRDefault="00325F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Franklin Gothic Medium Cond">
    <w:panose1 w:val="020B06060304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BDDEB" w14:textId="24DD5478" w:rsidR="00805711" w:rsidRDefault="00805711" w:rsidP="00747AA4">
    <w:pPr>
      <w:pStyle w:val="Stopka"/>
      <w:framePr w:wrap="around" w:vAnchor="text" w:hAnchor="margin" w:xAlign="center" w:y="1"/>
      <w:rPr>
        <w:rStyle w:val="Numerstrony"/>
      </w:rPr>
    </w:pPr>
    <w:r>
      <w:rPr>
        <w:rStyle w:val="Numerstrony"/>
      </w:rPr>
      <w:fldChar w:fldCharType="begin"/>
    </w:r>
    <w:r>
      <w:rPr>
        <w:rStyle w:val="Numerstrony"/>
      </w:rPr>
      <w:instrText xml:space="preserve"> PAGE </w:instrText>
    </w:r>
    <w:r>
      <w:rPr>
        <w:rStyle w:val="Numerstrony"/>
      </w:rPr>
      <w:fldChar w:fldCharType="separate"/>
    </w:r>
    <w:r w:rsidR="00726D51">
      <w:rPr>
        <w:rStyle w:val="Numerstrony"/>
        <w:noProof/>
      </w:rPr>
      <w:t>2</w:t>
    </w:r>
    <w:r>
      <w:rPr>
        <w:rStyle w:val="Numerstrony"/>
      </w:rPr>
      <w:fldChar w:fldCharType="end"/>
    </w:r>
  </w:p>
  <w:p w14:paraId="5FF986F9" w14:textId="77777777" w:rsidR="00805711" w:rsidRDefault="00805711" w:rsidP="0080571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9D0D1" w14:textId="545F6373" w:rsidR="00805711" w:rsidRDefault="00805711" w:rsidP="00747AA4">
    <w:pPr>
      <w:pStyle w:val="Stopka"/>
      <w:framePr w:wrap="around" w:vAnchor="text" w:hAnchor="margin" w:xAlign="center" w:y="1"/>
      <w:rPr>
        <w:rStyle w:val="Numerstrony"/>
      </w:rPr>
    </w:pPr>
    <w:r>
      <w:rPr>
        <w:rStyle w:val="Numerstrony"/>
      </w:rPr>
      <w:fldChar w:fldCharType="begin"/>
    </w:r>
    <w:r>
      <w:rPr>
        <w:rStyle w:val="Numerstrony"/>
      </w:rPr>
      <w:instrText xml:space="preserve"> PAGE </w:instrText>
    </w:r>
    <w:r>
      <w:rPr>
        <w:rStyle w:val="Numerstrony"/>
      </w:rPr>
      <w:fldChar w:fldCharType="separate"/>
    </w:r>
    <w:r w:rsidR="0067295B">
      <w:rPr>
        <w:rStyle w:val="Numerstrony"/>
        <w:noProof/>
      </w:rPr>
      <w:t>12</w:t>
    </w:r>
    <w:r>
      <w:rPr>
        <w:rStyle w:val="Numerstrony"/>
      </w:rPr>
      <w:fldChar w:fldCharType="end"/>
    </w:r>
  </w:p>
  <w:p w14:paraId="1E5E3936" w14:textId="1261F07F" w:rsidR="00961586" w:rsidRDefault="00961586" w:rsidP="00805711">
    <w:pPr>
      <w:pStyle w:val="Stopka"/>
      <w:ind w:right="360"/>
      <w:jc w:val="center"/>
      <w:rPr>
        <w:rFonts w:ascii="Times New Roman" w:hAnsi="Times New Roman" w:cs="Times New Roman"/>
        <w:sz w:val="24"/>
      </w:rPr>
    </w:pPr>
  </w:p>
  <w:p w14:paraId="2435CCA5" w14:textId="77777777" w:rsidR="00ED4E8F" w:rsidRDefault="00ED4E8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BFAC9" w14:textId="77777777" w:rsidR="00325F8A" w:rsidRDefault="00325F8A">
      <w:pPr>
        <w:spacing w:after="0"/>
      </w:pPr>
      <w:r>
        <w:separator/>
      </w:r>
    </w:p>
  </w:footnote>
  <w:footnote w:type="continuationSeparator" w:id="0">
    <w:p w14:paraId="4C13FD3E" w14:textId="77777777" w:rsidR="00325F8A" w:rsidRDefault="00325F8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DFD20" w14:textId="327AF293" w:rsidR="00961586" w:rsidRDefault="00662E3A" w:rsidP="00726D51">
    <w:pPr>
      <w:pStyle w:val="Nagwek"/>
    </w:pPr>
    <w:r>
      <w:rPr>
        <w:noProof/>
        <w:lang w:eastAsia="pl-PL"/>
      </w:rPr>
      <w:drawing>
        <wp:inline distT="0" distB="0" distL="0" distR="0" wp14:anchorId="6604DD4F" wp14:editId="2896E456">
          <wp:extent cx="2591435" cy="623570"/>
          <wp:effectExtent l="0" t="0" r="0" b="5080"/>
          <wp:docPr id="1" name="Obraz 2" descr="W nagłówku, po lewej stronie, znajduje się logo Komisji do spraw reprywatyzacji nieruchomości warszawskich zawierające godło państwa polskiego i podkreślenie w formie miniaturki flagi 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descr="W nagłówku, po lewej stronie, znajduje się logo Komisji do spraw reprywatyzacji nieruchomości warszawskich zawierające godło państwa polskiego i podkreślenie w formie miniaturki flagi RP"/>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91435" cy="6235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9E4506A"/>
    <w:lvl w:ilvl="0">
      <w:numFmt w:val="bullet"/>
      <w:lvlText w:val="*"/>
      <w:lvlJc w:val="left"/>
    </w:lvl>
  </w:abstractNum>
  <w:abstractNum w:abstractNumId="1" w15:restartNumberingAfterBreak="0">
    <w:nsid w:val="1ED04C10"/>
    <w:multiLevelType w:val="singleLevel"/>
    <w:tmpl w:val="B3DED832"/>
    <w:lvl w:ilvl="0">
      <w:start w:val="3"/>
      <w:numFmt w:val="decimal"/>
      <w:lvlText w:val="1.%1."/>
      <w:legacy w:legacy="1" w:legacySpace="0" w:legacyIndent="408"/>
      <w:lvlJc w:val="left"/>
      <w:rPr>
        <w:rFonts w:ascii="Times New Roman" w:hAnsi="Times New Roman" w:cs="Times New Roman" w:hint="default"/>
      </w:rPr>
    </w:lvl>
  </w:abstractNum>
  <w:abstractNum w:abstractNumId="2" w15:restartNumberingAfterBreak="0">
    <w:nsid w:val="267C2B05"/>
    <w:multiLevelType w:val="multilevel"/>
    <w:tmpl w:val="244CD9C2"/>
    <w:lvl w:ilvl="0">
      <w:start w:val="2"/>
      <w:numFmt w:val="decimal"/>
      <w:lvlText w:val="%1."/>
      <w:lvlJc w:val="left"/>
      <w:pPr>
        <w:tabs>
          <w:tab w:val="num" w:pos="0"/>
        </w:tabs>
        <w:ind w:left="360" w:hanging="360"/>
      </w:pPr>
    </w:lvl>
    <w:lvl w:ilvl="1">
      <w:start w:val="4"/>
      <w:numFmt w:val="decimal"/>
      <w:lvlText w:val="%1.%2."/>
      <w:lvlJc w:val="left"/>
      <w:pPr>
        <w:tabs>
          <w:tab w:val="num" w:pos="0"/>
        </w:tabs>
        <w:ind w:left="786" w:hanging="360"/>
      </w:pPr>
    </w:lvl>
    <w:lvl w:ilvl="2">
      <w:start w:val="1"/>
      <w:numFmt w:val="decimal"/>
      <w:lvlText w:val="%1.%2.%3."/>
      <w:lvlJc w:val="left"/>
      <w:pPr>
        <w:tabs>
          <w:tab w:val="num" w:pos="0"/>
        </w:tabs>
        <w:ind w:left="1572" w:hanging="720"/>
      </w:pPr>
    </w:lvl>
    <w:lvl w:ilvl="3">
      <w:start w:val="1"/>
      <w:numFmt w:val="decimal"/>
      <w:lvlText w:val="%1.%2.%3.%4."/>
      <w:lvlJc w:val="left"/>
      <w:pPr>
        <w:tabs>
          <w:tab w:val="num" w:pos="0"/>
        </w:tabs>
        <w:ind w:left="1998" w:hanging="720"/>
      </w:pPr>
    </w:lvl>
    <w:lvl w:ilvl="4">
      <w:start w:val="1"/>
      <w:numFmt w:val="decimal"/>
      <w:lvlText w:val="%1.%2.%3.%4.%5."/>
      <w:lvlJc w:val="left"/>
      <w:pPr>
        <w:tabs>
          <w:tab w:val="num" w:pos="0"/>
        </w:tabs>
        <w:ind w:left="2784" w:hanging="1080"/>
      </w:pPr>
    </w:lvl>
    <w:lvl w:ilvl="5">
      <w:start w:val="1"/>
      <w:numFmt w:val="decimal"/>
      <w:lvlText w:val="%1.%2.%3.%4.%5.%6."/>
      <w:lvlJc w:val="left"/>
      <w:pPr>
        <w:tabs>
          <w:tab w:val="num" w:pos="0"/>
        </w:tabs>
        <w:ind w:left="3210" w:hanging="1080"/>
      </w:pPr>
    </w:lvl>
    <w:lvl w:ilvl="6">
      <w:start w:val="1"/>
      <w:numFmt w:val="decimal"/>
      <w:lvlText w:val="%1.%2.%3.%4.%5.%6.%7."/>
      <w:lvlJc w:val="left"/>
      <w:pPr>
        <w:tabs>
          <w:tab w:val="num" w:pos="0"/>
        </w:tabs>
        <w:ind w:left="3996" w:hanging="1440"/>
      </w:pPr>
    </w:lvl>
    <w:lvl w:ilvl="7">
      <w:start w:val="1"/>
      <w:numFmt w:val="decimal"/>
      <w:lvlText w:val="%1.%2.%3.%4.%5.%6.%7.%8."/>
      <w:lvlJc w:val="left"/>
      <w:pPr>
        <w:tabs>
          <w:tab w:val="num" w:pos="0"/>
        </w:tabs>
        <w:ind w:left="4422" w:hanging="1440"/>
      </w:pPr>
    </w:lvl>
    <w:lvl w:ilvl="8">
      <w:start w:val="1"/>
      <w:numFmt w:val="decimal"/>
      <w:lvlText w:val="%1.%2.%3.%4.%5.%6.%7.%8.%9."/>
      <w:lvlJc w:val="left"/>
      <w:pPr>
        <w:tabs>
          <w:tab w:val="num" w:pos="0"/>
        </w:tabs>
        <w:ind w:left="5208" w:hanging="1800"/>
      </w:pPr>
    </w:lvl>
  </w:abstractNum>
  <w:abstractNum w:abstractNumId="3" w15:restartNumberingAfterBreak="0">
    <w:nsid w:val="297C307F"/>
    <w:multiLevelType w:val="multilevel"/>
    <w:tmpl w:val="8EE6A3F4"/>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ADE4537"/>
    <w:multiLevelType w:val="multilevel"/>
    <w:tmpl w:val="1C0A1822"/>
    <w:lvl w:ilvl="0">
      <w:start w:val="1"/>
      <w:numFmt w:val="decimal"/>
      <w:lvlText w:val="%1."/>
      <w:lvlJc w:val="left"/>
      <w:pPr>
        <w:tabs>
          <w:tab w:val="num" w:pos="0"/>
        </w:tabs>
        <w:ind w:left="786" w:hanging="360"/>
      </w:pPr>
    </w:lvl>
    <w:lvl w:ilvl="1">
      <w:start w:val="2"/>
      <w:numFmt w:val="decimal"/>
      <w:lvlText w:val="%1.%2."/>
      <w:lvlJc w:val="left"/>
      <w:pPr>
        <w:tabs>
          <w:tab w:val="num" w:pos="0"/>
        </w:tabs>
        <w:ind w:left="786" w:hanging="360"/>
      </w:pPr>
    </w:lvl>
    <w:lvl w:ilvl="2">
      <w:start w:val="1"/>
      <w:numFmt w:val="decimal"/>
      <w:lvlText w:val="%1.%2.%3."/>
      <w:lvlJc w:val="left"/>
      <w:pPr>
        <w:tabs>
          <w:tab w:val="num" w:pos="0"/>
        </w:tabs>
        <w:ind w:left="1146" w:hanging="720"/>
      </w:pPr>
    </w:lvl>
    <w:lvl w:ilvl="3">
      <w:start w:val="1"/>
      <w:numFmt w:val="decimal"/>
      <w:lvlText w:val="%1.%2.%3.%4."/>
      <w:lvlJc w:val="left"/>
      <w:pPr>
        <w:tabs>
          <w:tab w:val="num" w:pos="0"/>
        </w:tabs>
        <w:ind w:left="1146" w:hanging="720"/>
      </w:pPr>
    </w:lvl>
    <w:lvl w:ilvl="4">
      <w:start w:val="1"/>
      <w:numFmt w:val="decimal"/>
      <w:lvlText w:val="%1.%2.%3.%4.%5."/>
      <w:lvlJc w:val="left"/>
      <w:pPr>
        <w:tabs>
          <w:tab w:val="num" w:pos="0"/>
        </w:tabs>
        <w:ind w:left="1506" w:hanging="1080"/>
      </w:pPr>
    </w:lvl>
    <w:lvl w:ilvl="5">
      <w:start w:val="1"/>
      <w:numFmt w:val="decimal"/>
      <w:lvlText w:val="%1.%2.%3.%4.%5.%6."/>
      <w:lvlJc w:val="left"/>
      <w:pPr>
        <w:tabs>
          <w:tab w:val="num" w:pos="0"/>
        </w:tabs>
        <w:ind w:left="1506" w:hanging="1080"/>
      </w:pPr>
    </w:lvl>
    <w:lvl w:ilvl="6">
      <w:start w:val="1"/>
      <w:numFmt w:val="decimal"/>
      <w:lvlText w:val="%1.%2.%3.%4.%5.%6.%7."/>
      <w:lvlJc w:val="left"/>
      <w:pPr>
        <w:tabs>
          <w:tab w:val="num" w:pos="0"/>
        </w:tabs>
        <w:ind w:left="1866" w:hanging="1440"/>
      </w:pPr>
    </w:lvl>
    <w:lvl w:ilvl="7">
      <w:start w:val="1"/>
      <w:numFmt w:val="decimal"/>
      <w:lvlText w:val="%1.%2.%3.%4.%5.%6.%7.%8."/>
      <w:lvlJc w:val="left"/>
      <w:pPr>
        <w:tabs>
          <w:tab w:val="num" w:pos="0"/>
        </w:tabs>
        <w:ind w:left="1866" w:hanging="1440"/>
      </w:pPr>
    </w:lvl>
    <w:lvl w:ilvl="8">
      <w:start w:val="1"/>
      <w:numFmt w:val="decimal"/>
      <w:lvlText w:val="%1.%2.%3.%4.%5.%6.%7.%8.%9."/>
      <w:lvlJc w:val="left"/>
      <w:pPr>
        <w:tabs>
          <w:tab w:val="num" w:pos="0"/>
        </w:tabs>
        <w:ind w:left="2226" w:hanging="1800"/>
      </w:pPr>
    </w:lvl>
  </w:abstractNum>
  <w:abstractNum w:abstractNumId="5" w15:restartNumberingAfterBreak="0">
    <w:nsid w:val="34D57F47"/>
    <w:multiLevelType w:val="singleLevel"/>
    <w:tmpl w:val="5A2E03B2"/>
    <w:lvl w:ilvl="0">
      <w:start w:val="2"/>
      <w:numFmt w:val="decimal"/>
      <w:lvlText w:val="1.%1."/>
      <w:legacy w:legacy="1" w:legacySpace="0" w:legacyIndent="418"/>
      <w:lvlJc w:val="left"/>
      <w:rPr>
        <w:rFonts w:ascii="Times New Roman" w:hAnsi="Times New Roman" w:cs="Times New Roman" w:hint="default"/>
      </w:rPr>
    </w:lvl>
  </w:abstractNum>
  <w:abstractNum w:abstractNumId="6" w15:restartNumberingAfterBreak="0">
    <w:nsid w:val="46CB0EF1"/>
    <w:multiLevelType w:val="multilevel"/>
    <w:tmpl w:val="ADD206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493C3D12"/>
    <w:multiLevelType w:val="multilevel"/>
    <w:tmpl w:val="89AC04CC"/>
    <w:lvl w:ilvl="0">
      <w:start w:val="1"/>
      <w:numFmt w:val="lowerLetter"/>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4D45277A"/>
    <w:multiLevelType w:val="hybridMultilevel"/>
    <w:tmpl w:val="D938FD40"/>
    <w:lvl w:ilvl="0" w:tplc="7F764F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81E3AD2"/>
    <w:multiLevelType w:val="hybridMultilevel"/>
    <w:tmpl w:val="F418DC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91555EE"/>
    <w:multiLevelType w:val="singleLevel"/>
    <w:tmpl w:val="C35E723C"/>
    <w:lvl w:ilvl="0">
      <w:start w:val="1"/>
      <w:numFmt w:val="decimal"/>
      <w:lvlText w:val="1.%1."/>
      <w:legacy w:legacy="1" w:legacySpace="0" w:legacyIndent="418"/>
      <w:lvlJc w:val="left"/>
      <w:rPr>
        <w:rFonts w:ascii="Times New Roman" w:hAnsi="Times New Roman" w:cs="Times New Roman" w:hint="default"/>
      </w:rPr>
    </w:lvl>
  </w:abstractNum>
  <w:abstractNum w:abstractNumId="11" w15:restartNumberingAfterBreak="0">
    <w:nsid w:val="5A5415A6"/>
    <w:multiLevelType w:val="multilevel"/>
    <w:tmpl w:val="DC4CE110"/>
    <w:lvl w:ilvl="0">
      <w:start w:val="1"/>
      <w:numFmt w:val="decimal"/>
      <w:lvlText w:val="%1."/>
      <w:lvlJc w:val="left"/>
      <w:pPr>
        <w:tabs>
          <w:tab w:val="num" w:pos="0"/>
        </w:tabs>
        <w:ind w:left="720" w:hanging="360"/>
      </w:pPr>
      <w:rPr>
        <w:rFonts w:ascii="Arial" w:eastAsia="Calibri" w:hAnsi="Arial" w:cs="Arial" w:hint="default"/>
        <w:b w:val="0"/>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6E9235DB"/>
    <w:multiLevelType w:val="multilevel"/>
    <w:tmpl w:val="89AC04CC"/>
    <w:lvl w:ilvl="0">
      <w:start w:val="1"/>
      <w:numFmt w:val="lowerLetter"/>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574823240">
    <w:abstractNumId w:val="11"/>
  </w:num>
  <w:num w:numId="2" w16cid:durableId="99839289">
    <w:abstractNumId w:val="12"/>
  </w:num>
  <w:num w:numId="3" w16cid:durableId="853961619">
    <w:abstractNumId w:val="4"/>
  </w:num>
  <w:num w:numId="4" w16cid:durableId="1987389785">
    <w:abstractNumId w:val="2"/>
  </w:num>
  <w:num w:numId="5" w16cid:durableId="1411654037">
    <w:abstractNumId w:val="6"/>
  </w:num>
  <w:num w:numId="6" w16cid:durableId="154761654">
    <w:abstractNumId w:val="11"/>
    <w:lvlOverride w:ilvl="0">
      <w:startOverride w:val="1"/>
    </w:lvlOverride>
  </w:num>
  <w:num w:numId="7" w16cid:durableId="71584668">
    <w:abstractNumId w:val="7"/>
  </w:num>
  <w:num w:numId="8" w16cid:durableId="1229607335">
    <w:abstractNumId w:val="0"/>
    <w:lvlOverride w:ilvl="0">
      <w:lvl w:ilvl="0">
        <w:start w:val="65535"/>
        <w:numFmt w:val="bullet"/>
        <w:lvlText w:val="-"/>
        <w:legacy w:legacy="1" w:legacySpace="0" w:legacyIndent="211"/>
        <w:lvlJc w:val="left"/>
        <w:rPr>
          <w:rFonts w:ascii="Arial" w:hAnsi="Arial" w:cs="Arial" w:hint="default"/>
        </w:rPr>
      </w:lvl>
    </w:lvlOverride>
  </w:num>
  <w:num w:numId="9" w16cid:durableId="1173572244">
    <w:abstractNumId w:val="10"/>
  </w:num>
  <w:num w:numId="10" w16cid:durableId="1266034109">
    <w:abstractNumId w:val="5"/>
  </w:num>
  <w:num w:numId="11" w16cid:durableId="1317611570">
    <w:abstractNumId w:val="1"/>
  </w:num>
  <w:num w:numId="12" w16cid:durableId="1957250678">
    <w:abstractNumId w:val="1"/>
    <w:lvlOverride w:ilvl="0">
      <w:lvl w:ilvl="0">
        <w:start w:val="5"/>
        <w:numFmt w:val="decimal"/>
        <w:lvlText w:val="1.%1."/>
        <w:legacy w:legacy="1" w:legacySpace="0" w:legacyIndent="466"/>
        <w:lvlJc w:val="left"/>
        <w:rPr>
          <w:rFonts w:ascii="Times New Roman" w:hAnsi="Times New Roman" w:cs="Times New Roman" w:hint="default"/>
        </w:rPr>
      </w:lvl>
    </w:lvlOverride>
  </w:num>
  <w:num w:numId="13" w16cid:durableId="74908286">
    <w:abstractNumId w:val="1"/>
    <w:lvlOverride w:ilvl="0">
      <w:lvl w:ilvl="0">
        <w:start w:val="5"/>
        <w:numFmt w:val="decimal"/>
        <w:lvlText w:val="1.%1."/>
        <w:legacy w:legacy="1" w:legacySpace="0" w:legacyIndent="408"/>
        <w:lvlJc w:val="left"/>
        <w:rPr>
          <w:rFonts w:ascii="Times New Roman" w:hAnsi="Times New Roman" w:cs="Times New Roman" w:hint="default"/>
        </w:rPr>
      </w:lvl>
    </w:lvlOverride>
  </w:num>
  <w:num w:numId="14" w16cid:durableId="1298143488">
    <w:abstractNumId w:val="3"/>
  </w:num>
  <w:num w:numId="15" w16cid:durableId="617880704">
    <w:abstractNumId w:val="8"/>
  </w:num>
  <w:num w:numId="16" w16cid:durableId="20022749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586"/>
    <w:rsid w:val="000000BD"/>
    <w:rsid w:val="00001A5F"/>
    <w:rsid w:val="00002CC9"/>
    <w:rsid w:val="000045F9"/>
    <w:rsid w:val="000128A3"/>
    <w:rsid w:val="00013182"/>
    <w:rsid w:val="00013CBA"/>
    <w:rsid w:val="00023ADB"/>
    <w:rsid w:val="00023B9A"/>
    <w:rsid w:val="000268DC"/>
    <w:rsid w:val="00027E08"/>
    <w:rsid w:val="00032291"/>
    <w:rsid w:val="0003586F"/>
    <w:rsid w:val="00036C9D"/>
    <w:rsid w:val="00043398"/>
    <w:rsid w:val="00053BF4"/>
    <w:rsid w:val="000662C8"/>
    <w:rsid w:val="00077BDD"/>
    <w:rsid w:val="00077DFD"/>
    <w:rsid w:val="0008231A"/>
    <w:rsid w:val="000933A1"/>
    <w:rsid w:val="000944DB"/>
    <w:rsid w:val="000961B4"/>
    <w:rsid w:val="000971D7"/>
    <w:rsid w:val="00097D6C"/>
    <w:rsid w:val="000A518F"/>
    <w:rsid w:val="000A6C5C"/>
    <w:rsid w:val="000A7A63"/>
    <w:rsid w:val="000B3745"/>
    <w:rsid w:val="000B6ECA"/>
    <w:rsid w:val="000B747C"/>
    <w:rsid w:val="000C0662"/>
    <w:rsid w:val="000C502E"/>
    <w:rsid w:val="000C76A0"/>
    <w:rsid w:val="000D0361"/>
    <w:rsid w:val="000D03EE"/>
    <w:rsid w:val="000D5037"/>
    <w:rsid w:val="001063B5"/>
    <w:rsid w:val="001065E9"/>
    <w:rsid w:val="0010750A"/>
    <w:rsid w:val="001125C4"/>
    <w:rsid w:val="00117B6B"/>
    <w:rsid w:val="00117B7A"/>
    <w:rsid w:val="001204F5"/>
    <w:rsid w:val="001258E3"/>
    <w:rsid w:val="00126BE8"/>
    <w:rsid w:val="00131B37"/>
    <w:rsid w:val="00136172"/>
    <w:rsid w:val="001452B5"/>
    <w:rsid w:val="001476C7"/>
    <w:rsid w:val="001523B9"/>
    <w:rsid w:val="00154434"/>
    <w:rsid w:val="001566D0"/>
    <w:rsid w:val="00156806"/>
    <w:rsid w:val="00175418"/>
    <w:rsid w:val="00176F81"/>
    <w:rsid w:val="00190E93"/>
    <w:rsid w:val="00191333"/>
    <w:rsid w:val="001A3EB1"/>
    <w:rsid w:val="001B3A60"/>
    <w:rsid w:val="001B418B"/>
    <w:rsid w:val="001E5B09"/>
    <w:rsid w:val="001F0B53"/>
    <w:rsid w:val="001F0FBB"/>
    <w:rsid w:val="001F384F"/>
    <w:rsid w:val="00207877"/>
    <w:rsid w:val="00207C8D"/>
    <w:rsid w:val="00212EC5"/>
    <w:rsid w:val="00214273"/>
    <w:rsid w:val="0022310A"/>
    <w:rsid w:val="002248F1"/>
    <w:rsid w:val="00234436"/>
    <w:rsid w:val="002446A8"/>
    <w:rsid w:val="00250548"/>
    <w:rsid w:val="002514EA"/>
    <w:rsid w:val="00252A16"/>
    <w:rsid w:val="00256634"/>
    <w:rsid w:val="00261D93"/>
    <w:rsid w:val="00261DC9"/>
    <w:rsid w:val="0026339B"/>
    <w:rsid w:val="002712FE"/>
    <w:rsid w:val="00272050"/>
    <w:rsid w:val="00275506"/>
    <w:rsid w:val="00276E2C"/>
    <w:rsid w:val="00281D8C"/>
    <w:rsid w:val="00281E79"/>
    <w:rsid w:val="00287FC6"/>
    <w:rsid w:val="002A240B"/>
    <w:rsid w:val="002A6FFD"/>
    <w:rsid w:val="002B3BC3"/>
    <w:rsid w:val="002C0290"/>
    <w:rsid w:val="002C6383"/>
    <w:rsid w:val="002D1574"/>
    <w:rsid w:val="002D4D4B"/>
    <w:rsid w:val="002E22DE"/>
    <w:rsid w:val="002E44D5"/>
    <w:rsid w:val="002E5B28"/>
    <w:rsid w:val="002E5FBA"/>
    <w:rsid w:val="002F0E11"/>
    <w:rsid w:val="002F1C05"/>
    <w:rsid w:val="00302E0C"/>
    <w:rsid w:val="003031A1"/>
    <w:rsid w:val="00303968"/>
    <w:rsid w:val="00304A2D"/>
    <w:rsid w:val="00304D03"/>
    <w:rsid w:val="00304E3E"/>
    <w:rsid w:val="003116E8"/>
    <w:rsid w:val="00312E8D"/>
    <w:rsid w:val="00322075"/>
    <w:rsid w:val="003251C8"/>
    <w:rsid w:val="00325F8A"/>
    <w:rsid w:val="00340E8C"/>
    <w:rsid w:val="00351567"/>
    <w:rsid w:val="00352FBF"/>
    <w:rsid w:val="003600F7"/>
    <w:rsid w:val="003610CF"/>
    <w:rsid w:val="0036271A"/>
    <w:rsid w:val="003655CE"/>
    <w:rsid w:val="003747A1"/>
    <w:rsid w:val="0037539E"/>
    <w:rsid w:val="003826ED"/>
    <w:rsid w:val="003832E8"/>
    <w:rsid w:val="003847D8"/>
    <w:rsid w:val="003961F5"/>
    <w:rsid w:val="003A6862"/>
    <w:rsid w:val="003B531E"/>
    <w:rsid w:val="003B7EE6"/>
    <w:rsid w:val="003C1A94"/>
    <w:rsid w:val="003C3E0F"/>
    <w:rsid w:val="003D325E"/>
    <w:rsid w:val="003D532F"/>
    <w:rsid w:val="003D7DFE"/>
    <w:rsid w:val="003E3977"/>
    <w:rsid w:val="003F077D"/>
    <w:rsid w:val="003F19E2"/>
    <w:rsid w:val="003F5D5D"/>
    <w:rsid w:val="003F7945"/>
    <w:rsid w:val="004022DD"/>
    <w:rsid w:val="004024AE"/>
    <w:rsid w:val="00406812"/>
    <w:rsid w:val="00416081"/>
    <w:rsid w:val="00416FCA"/>
    <w:rsid w:val="00427387"/>
    <w:rsid w:val="004318D3"/>
    <w:rsid w:val="00432CC3"/>
    <w:rsid w:val="0044661A"/>
    <w:rsid w:val="00446B2D"/>
    <w:rsid w:val="004479AB"/>
    <w:rsid w:val="004546DC"/>
    <w:rsid w:val="00461424"/>
    <w:rsid w:val="00466F0D"/>
    <w:rsid w:val="00472788"/>
    <w:rsid w:val="00477075"/>
    <w:rsid w:val="00485954"/>
    <w:rsid w:val="00486CB0"/>
    <w:rsid w:val="00491868"/>
    <w:rsid w:val="00491ACF"/>
    <w:rsid w:val="0049248A"/>
    <w:rsid w:val="00494603"/>
    <w:rsid w:val="00496B58"/>
    <w:rsid w:val="00496C77"/>
    <w:rsid w:val="004A20E6"/>
    <w:rsid w:val="004A3D61"/>
    <w:rsid w:val="004A4ED3"/>
    <w:rsid w:val="004A65AC"/>
    <w:rsid w:val="004B2669"/>
    <w:rsid w:val="004B5309"/>
    <w:rsid w:val="004B5C20"/>
    <w:rsid w:val="004C1E67"/>
    <w:rsid w:val="004C367B"/>
    <w:rsid w:val="004C482F"/>
    <w:rsid w:val="004C4E97"/>
    <w:rsid w:val="004D009E"/>
    <w:rsid w:val="004D5A24"/>
    <w:rsid w:val="004E3057"/>
    <w:rsid w:val="004F212B"/>
    <w:rsid w:val="004F479D"/>
    <w:rsid w:val="005016EA"/>
    <w:rsid w:val="0050334F"/>
    <w:rsid w:val="00504E06"/>
    <w:rsid w:val="0051283E"/>
    <w:rsid w:val="00516946"/>
    <w:rsid w:val="005176A9"/>
    <w:rsid w:val="00524279"/>
    <w:rsid w:val="00527B89"/>
    <w:rsid w:val="00527D2E"/>
    <w:rsid w:val="005301BF"/>
    <w:rsid w:val="00541359"/>
    <w:rsid w:val="00542E81"/>
    <w:rsid w:val="00556BB2"/>
    <w:rsid w:val="00556BF1"/>
    <w:rsid w:val="00560B67"/>
    <w:rsid w:val="005610CA"/>
    <w:rsid w:val="0057181C"/>
    <w:rsid w:val="00575289"/>
    <w:rsid w:val="005759A5"/>
    <w:rsid w:val="00575E80"/>
    <w:rsid w:val="00585DE5"/>
    <w:rsid w:val="00593890"/>
    <w:rsid w:val="00594F92"/>
    <w:rsid w:val="005A31A5"/>
    <w:rsid w:val="005A3FC1"/>
    <w:rsid w:val="005A5363"/>
    <w:rsid w:val="005A6F59"/>
    <w:rsid w:val="005A7209"/>
    <w:rsid w:val="005B4AD5"/>
    <w:rsid w:val="005C1BBA"/>
    <w:rsid w:val="005C51A3"/>
    <w:rsid w:val="005D04B5"/>
    <w:rsid w:val="005D3CF0"/>
    <w:rsid w:val="005D46D3"/>
    <w:rsid w:val="005D55EF"/>
    <w:rsid w:val="005F360C"/>
    <w:rsid w:val="005F685A"/>
    <w:rsid w:val="005F7719"/>
    <w:rsid w:val="006006D8"/>
    <w:rsid w:val="00605FA5"/>
    <w:rsid w:val="0060622F"/>
    <w:rsid w:val="00607C1A"/>
    <w:rsid w:val="00616628"/>
    <w:rsid w:val="00616C8B"/>
    <w:rsid w:val="00616D13"/>
    <w:rsid w:val="00623321"/>
    <w:rsid w:val="006236F5"/>
    <w:rsid w:val="006263B6"/>
    <w:rsid w:val="00634A5B"/>
    <w:rsid w:val="00641C80"/>
    <w:rsid w:val="00644FD9"/>
    <w:rsid w:val="00647D48"/>
    <w:rsid w:val="00650A2D"/>
    <w:rsid w:val="00650B1A"/>
    <w:rsid w:val="0065548A"/>
    <w:rsid w:val="00661A6F"/>
    <w:rsid w:val="00662E3A"/>
    <w:rsid w:val="00671428"/>
    <w:rsid w:val="0067295B"/>
    <w:rsid w:val="006731FE"/>
    <w:rsid w:val="00681364"/>
    <w:rsid w:val="0068201C"/>
    <w:rsid w:val="00683C41"/>
    <w:rsid w:val="00686281"/>
    <w:rsid w:val="006A1E75"/>
    <w:rsid w:val="006A5282"/>
    <w:rsid w:val="006B6516"/>
    <w:rsid w:val="006B71A0"/>
    <w:rsid w:val="006C0960"/>
    <w:rsid w:val="006C20F6"/>
    <w:rsid w:val="006C2E6B"/>
    <w:rsid w:val="006C570A"/>
    <w:rsid w:val="006D0A22"/>
    <w:rsid w:val="006D73B8"/>
    <w:rsid w:val="006D74F8"/>
    <w:rsid w:val="006E2C2F"/>
    <w:rsid w:val="006E3C36"/>
    <w:rsid w:val="006E4859"/>
    <w:rsid w:val="006E661D"/>
    <w:rsid w:val="006F125E"/>
    <w:rsid w:val="006F2E32"/>
    <w:rsid w:val="006F52C0"/>
    <w:rsid w:val="006F7392"/>
    <w:rsid w:val="006F7CEE"/>
    <w:rsid w:val="0070315C"/>
    <w:rsid w:val="00706F0A"/>
    <w:rsid w:val="007200AD"/>
    <w:rsid w:val="00722287"/>
    <w:rsid w:val="00725A80"/>
    <w:rsid w:val="00726D51"/>
    <w:rsid w:val="007345FF"/>
    <w:rsid w:val="0073558F"/>
    <w:rsid w:val="007372F5"/>
    <w:rsid w:val="0074652B"/>
    <w:rsid w:val="00746B89"/>
    <w:rsid w:val="00746C9C"/>
    <w:rsid w:val="00747AA4"/>
    <w:rsid w:val="00752C29"/>
    <w:rsid w:val="00755058"/>
    <w:rsid w:val="00764C18"/>
    <w:rsid w:val="00767CC1"/>
    <w:rsid w:val="00770F17"/>
    <w:rsid w:val="007802A7"/>
    <w:rsid w:val="00783E62"/>
    <w:rsid w:val="0078477D"/>
    <w:rsid w:val="00787970"/>
    <w:rsid w:val="007934FC"/>
    <w:rsid w:val="007A467D"/>
    <w:rsid w:val="007B1DBE"/>
    <w:rsid w:val="007B1F18"/>
    <w:rsid w:val="007B4ABA"/>
    <w:rsid w:val="007B528D"/>
    <w:rsid w:val="007B5E06"/>
    <w:rsid w:val="007C24DF"/>
    <w:rsid w:val="007C43B1"/>
    <w:rsid w:val="007C7B60"/>
    <w:rsid w:val="007D7327"/>
    <w:rsid w:val="007E57CE"/>
    <w:rsid w:val="007F4842"/>
    <w:rsid w:val="0080167B"/>
    <w:rsid w:val="008034ED"/>
    <w:rsid w:val="008049BD"/>
    <w:rsid w:val="00805711"/>
    <w:rsid w:val="008077D4"/>
    <w:rsid w:val="008174D0"/>
    <w:rsid w:val="00817B82"/>
    <w:rsid w:val="00817DB4"/>
    <w:rsid w:val="00831449"/>
    <w:rsid w:val="00834C31"/>
    <w:rsid w:val="00837878"/>
    <w:rsid w:val="00843F0A"/>
    <w:rsid w:val="008479D2"/>
    <w:rsid w:val="00850806"/>
    <w:rsid w:val="00851294"/>
    <w:rsid w:val="00853000"/>
    <w:rsid w:val="008604DB"/>
    <w:rsid w:val="00865169"/>
    <w:rsid w:val="008666B4"/>
    <w:rsid w:val="008711FF"/>
    <w:rsid w:val="0087223D"/>
    <w:rsid w:val="00887E7E"/>
    <w:rsid w:val="008A14EF"/>
    <w:rsid w:val="008A22F2"/>
    <w:rsid w:val="008A5042"/>
    <w:rsid w:val="008B0FCF"/>
    <w:rsid w:val="008B1C94"/>
    <w:rsid w:val="008B5C89"/>
    <w:rsid w:val="008C0AAE"/>
    <w:rsid w:val="008C1A2B"/>
    <w:rsid w:val="008C2E36"/>
    <w:rsid w:val="008C528D"/>
    <w:rsid w:val="008C620B"/>
    <w:rsid w:val="008C710D"/>
    <w:rsid w:val="008C7980"/>
    <w:rsid w:val="008D2A4A"/>
    <w:rsid w:val="008D43E0"/>
    <w:rsid w:val="008E3F32"/>
    <w:rsid w:val="008E4004"/>
    <w:rsid w:val="008E6DAB"/>
    <w:rsid w:val="008F0A55"/>
    <w:rsid w:val="008F245B"/>
    <w:rsid w:val="008F41EE"/>
    <w:rsid w:val="008F51C6"/>
    <w:rsid w:val="00904915"/>
    <w:rsid w:val="00905470"/>
    <w:rsid w:val="009056C1"/>
    <w:rsid w:val="00911F2E"/>
    <w:rsid w:val="00915677"/>
    <w:rsid w:val="009274B7"/>
    <w:rsid w:val="00930DF3"/>
    <w:rsid w:val="00933C9A"/>
    <w:rsid w:val="009360B3"/>
    <w:rsid w:val="00936257"/>
    <w:rsid w:val="00937751"/>
    <w:rsid w:val="009400EF"/>
    <w:rsid w:val="00942DC3"/>
    <w:rsid w:val="00946F1C"/>
    <w:rsid w:val="00954DA3"/>
    <w:rsid w:val="00961586"/>
    <w:rsid w:val="009838AE"/>
    <w:rsid w:val="00991406"/>
    <w:rsid w:val="009923AB"/>
    <w:rsid w:val="00995487"/>
    <w:rsid w:val="009A0CC0"/>
    <w:rsid w:val="009A5B9A"/>
    <w:rsid w:val="009B388B"/>
    <w:rsid w:val="009B4964"/>
    <w:rsid w:val="009B548A"/>
    <w:rsid w:val="009C0884"/>
    <w:rsid w:val="009C2CB9"/>
    <w:rsid w:val="009C3A0C"/>
    <w:rsid w:val="009D145E"/>
    <w:rsid w:val="009D796A"/>
    <w:rsid w:val="009E1465"/>
    <w:rsid w:val="009E3656"/>
    <w:rsid w:val="009E4AD0"/>
    <w:rsid w:val="009E608D"/>
    <w:rsid w:val="009E71EB"/>
    <w:rsid w:val="009F08BE"/>
    <w:rsid w:val="009F3974"/>
    <w:rsid w:val="00A1117B"/>
    <w:rsid w:val="00A156A2"/>
    <w:rsid w:val="00A2029C"/>
    <w:rsid w:val="00A20CEA"/>
    <w:rsid w:val="00A21C98"/>
    <w:rsid w:val="00A23F6C"/>
    <w:rsid w:val="00A263E6"/>
    <w:rsid w:val="00A35E1B"/>
    <w:rsid w:val="00A42D87"/>
    <w:rsid w:val="00A47F40"/>
    <w:rsid w:val="00A551EB"/>
    <w:rsid w:val="00A5614C"/>
    <w:rsid w:val="00A735F1"/>
    <w:rsid w:val="00A801AD"/>
    <w:rsid w:val="00A92961"/>
    <w:rsid w:val="00A948AF"/>
    <w:rsid w:val="00A95087"/>
    <w:rsid w:val="00A96EB3"/>
    <w:rsid w:val="00AB22A8"/>
    <w:rsid w:val="00AB2768"/>
    <w:rsid w:val="00AB2E82"/>
    <w:rsid w:val="00AB44D8"/>
    <w:rsid w:val="00AC3F59"/>
    <w:rsid w:val="00AC516C"/>
    <w:rsid w:val="00AD00E1"/>
    <w:rsid w:val="00AD42F7"/>
    <w:rsid w:val="00AE191C"/>
    <w:rsid w:val="00AF5EB8"/>
    <w:rsid w:val="00B112E1"/>
    <w:rsid w:val="00B312BD"/>
    <w:rsid w:val="00B336E2"/>
    <w:rsid w:val="00B34549"/>
    <w:rsid w:val="00B402D3"/>
    <w:rsid w:val="00B46FA9"/>
    <w:rsid w:val="00B50504"/>
    <w:rsid w:val="00B5185B"/>
    <w:rsid w:val="00B552C9"/>
    <w:rsid w:val="00B564E3"/>
    <w:rsid w:val="00B62D4E"/>
    <w:rsid w:val="00B726B7"/>
    <w:rsid w:val="00B82F3E"/>
    <w:rsid w:val="00B8412B"/>
    <w:rsid w:val="00B97FAF"/>
    <w:rsid w:val="00BB2D4F"/>
    <w:rsid w:val="00BB507D"/>
    <w:rsid w:val="00BC3992"/>
    <w:rsid w:val="00BC6B3F"/>
    <w:rsid w:val="00BD17D7"/>
    <w:rsid w:val="00BD1A9B"/>
    <w:rsid w:val="00BD256E"/>
    <w:rsid w:val="00BD7179"/>
    <w:rsid w:val="00BD7F87"/>
    <w:rsid w:val="00BE3EED"/>
    <w:rsid w:val="00BF07E7"/>
    <w:rsid w:val="00BF0AE7"/>
    <w:rsid w:val="00BF4FDB"/>
    <w:rsid w:val="00BF78B1"/>
    <w:rsid w:val="00C10C9A"/>
    <w:rsid w:val="00C10D77"/>
    <w:rsid w:val="00C142BC"/>
    <w:rsid w:val="00C24813"/>
    <w:rsid w:val="00C406E3"/>
    <w:rsid w:val="00C42FC1"/>
    <w:rsid w:val="00C7556A"/>
    <w:rsid w:val="00C82EA3"/>
    <w:rsid w:val="00C840DC"/>
    <w:rsid w:val="00C91447"/>
    <w:rsid w:val="00C94FB1"/>
    <w:rsid w:val="00CA319C"/>
    <w:rsid w:val="00CB181D"/>
    <w:rsid w:val="00CC400E"/>
    <w:rsid w:val="00CD0C17"/>
    <w:rsid w:val="00CD0E74"/>
    <w:rsid w:val="00CD0FF8"/>
    <w:rsid w:val="00CD279F"/>
    <w:rsid w:val="00CD3CFA"/>
    <w:rsid w:val="00CE1505"/>
    <w:rsid w:val="00CE71AE"/>
    <w:rsid w:val="00CF68C2"/>
    <w:rsid w:val="00D06A0E"/>
    <w:rsid w:val="00D12BAA"/>
    <w:rsid w:val="00D21554"/>
    <w:rsid w:val="00D255CD"/>
    <w:rsid w:val="00D41DC4"/>
    <w:rsid w:val="00D47EC4"/>
    <w:rsid w:val="00D5007D"/>
    <w:rsid w:val="00D54F3D"/>
    <w:rsid w:val="00D576DE"/>
    <w:rsid w:val="00D61122"/>
    <w:rsid w:val="00D6477D"/>
    <w:rsid w:val="00D66539"/>
    <w:rsid w:val="00D708F3"/>
    <w:rsid w:val="00D94C80"/>
    <w:rsid w:val="00DA0759"/>
    <w:rsid w:val="00DA6146"/>
    <w:rsid w:val="00DB1E63"/>
    <w:rsid w:val="00DB5778"/>
    <w:rsid w:val="00DC43D2"/>
    <w:rsid w:val="00DC4AD4"/>
    <w:rsid w:val="00DD3283"/>
    <w:rsid w:val="00DE1618"/>
    <w:rsid w:val="00DE2AD2"/>
    <w:rsid w:val="00DE2F96"/>
    <w:rsid w:val="00DE445A"/>
    <w:rsid w:val="00DF09DD"/>
    <w:rsid w:val="00DF1087"/>
    <w:rsid w:val="00DF1DDD"/>
    <w:rsid w:val="00DF4DE6"/>
    <w:rsid w:val="00E00C67"/>
    <w:rsid w:val="00E02617"/>
    <w:rsid w:val="00E0528C"/>
    <w:rsid w:val="00E05D83"/>
    <w:rsid w:val="00E06C5B"/>
    <w:rsid w:val="00E13547"/>
    <w:rsid w:val="00E144ED"/>
    <w:rsid w:val="00E1559A"/>
    <w:rsid w:val="00E22939"/>
    <w:rsid w:val="00E243C1"/>
    <w:rsid w:val="00E266BA"/>
    <w:rsid w:val="00E26D25"/>
    <w:rsid w:val="00E304EF"/>
    <w:rsid w:val="00E33828"/>
    <w:rsid w:val="00E36E54"/>
    <w:rsid w:val="00E37C6D"/>
    <w:rsid w:val="00E5632D"/>
    <w:rsid w:val="00E57D93"/>
    <w:rsid w:val="00E60E63"/>
    <w:rsid w:val="00E728B4"/>
    <w:rsid w:val="00E76B7B"/>
    <w:rsid w:val="00E81402"/>
    <w:rsid w:val="00E81670"/>
    <w:rsid w:val="00E83047"/>
    <w:rsid w:val="00EA7DE9"/>
    <w:rsid w:val="00EB6613"/>
    <w:rsid w:val="00EB6DE0"/>
    <w:rsid w:val="00EC15E6"/>
    <w:rsid w:val="00ED2B83"/>
    <w:rsid w:val="00ED4616"/>
    <w:rsid w:val="00ED4E8F"/>
    <w:rsid w:val="00ED587D"/>
    <w:rsid w:val="00ED673C"/>
    <w:rsid w:val="00EE56B1"/>
    <w:rsid w:val="00EE7353"/>
    <w:rsid w:val="00F07E96"/>
    <w:rsid w:val="00F16833"/>
    <w:rsid w:val="00F25D57"/>
    <w:rsid w:val="00F30300"/>
    <w:rsid w:val="00F314E1"/>
    <w:rsid w:val="00F3340E"/>
    <w:rsid w:val="00F404B5"/>
    <w:rsid w:val="00F45483"/>
    <w:rsid w:val="00F510D0"/>
    <w:rsid w:val="00F53BD7"/>
    <w:rsid w:val="00F54B5E"/>
    <w:rsid w:val="00F65B78"/>
    <w:rsid w:val="00F8357A"/>
    <w:rsid w:val="00F83C45"/>
    <w:rsid w:val="00F90812"/>
    <w:rsid w:val="00F92820"/>
    <w:rsid w:val="00F92AD0"/>
    <w:rsid w:val="00F95101"/>
    <w:rsid w:val="00F956AD"/>
    <w:rsid w:val="00F975C1"/>
    <w:rsid w:val="00FA01C4"/>
    <w:rsid w:val="00FB019C"/>
    <w:rsid w:val="00FB23AA"/>
    <w:rsid w:val="00FC25C4"/>
    <w:rsid w:val="00FC61FE"/>
    <w:rsid w:val="00FC63AE"/>
    <w:rsid w:val="00FD06F1"/>
    <w:rsid w:val="00FD2C97"/>
    <w:rsid w:val="00FD40C9"/>
    <w:rsid w:val="00FD4FD5"/>
    <w:rsid w:val="00FD58D4"/>
    <w:rsid w:val="00FE394F"/>
    <w:rsid w:val="00FE479D"/>
    <w:rsid w:val="00FF3EC5"/>
    <w:rsid w:val="00FF4B6C"/>
    <w:rsid w:val="00FF708B"/>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72D9C"/>
  <w15:docId w15:val="{73989690-F291-4FDC-A519-4841B9D05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pl-PL" w:eastAsia="en-US" w:bidi="ar-SA"/>
      </w:rPr>
    </w:rPrDefault>
    <w:pPrDefault>
      <w:pPr>
        <w:suppressAutoHyphens/>
        <w:spacing w:after="4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A31A5"/>
  </w:style>
  <w:style w:type="paragraph" w:styleId="Nagwek1">
    <w:name w:val="heading 1"/>
    <w:basedOn w:val="Normalny"/>
    <w:next w:val="Normalny"/>
    <w:link w:val="Nagwek1Znak"/>
    <w:uiPriority w:val="9"/>
    <w:qFormat/>
    <w:rsid w:val="00BE7CC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E967A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E967A4"/>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EB0A8F"/>
    <w:rPr>
      <w:rFonts w:ascii="Calibri" w:hAnsi="Calibri"/>
      <w:sz w:val="22"/>
    </w:rPr>
  </w:style>
  <w:style w:type="character" w:customStyle="1" w:styleId="StopkaZnak">
    <w:name w:val="Stopka Znak"/>
    <w:basedOn w:val="Domylnaczcionkaakapitu"/>
    <w:link w:val="Stopka"/>
    <w:uiPriority w:val="99"/>
    <w:qFormat/>
    <w:rsid w:val="00EB0A8F"/>
    <w:rPr>
      <w:rFonts w:ascii="Calibri" w:hAnsi="Calibri"/>
      <w:sz w:val="22"/>
    </w:rPr>
  </w:style>
  <w:style w:type="character" w:customStyle="1" w:styleId="FontStyle22">
    <w:name w:val="Font Style22"/>
    <w:basedOn w:val="Domylnaczcionkaakapitu"/>
    <w:uiPriority w:val="99"/>
    <w:qFormat/>
    <w:rsid w:val="00C92FFE"/>
    <w:rPr>
      <w:rFonts w:ascii="Times New Roman" w:hAnsi="Times New Roman" w:cs="Times New Roman"/>
      <w:sz w:val="24"/>
      <w:szCs w:val="24"/>
    </w:rPr>
  </w:style>
  <w:style w:type="character" w:customStyle="1" w:styleId="czeinternetowe">
    <w:name w:val="Łącze internetowe"/>
    <w:basedOn w:val="Domylnaczcionkaakapitu"/>
    <w:uiPriority w:val="99"/>
    <w:unhideWhenUsed/>
    <w:rsid w:val="00AE14C6"/>
    <w:rPr>
      <w:color w:val="0563C1" w:themeColor="hyperlink"/>
      <w:u w:val="single"/>
    </w:rPr>
  </w:style>
  <w:style w:type="character" w:customStyle="1" w:styleId="Nierozpoznanawzmianka1">
    <w:name w:val="Nierozpoznana wzmianka1"/>
    <w:basedOn w:val="Domylnaczcionkaakapitu"/>
    <w:uiPriority w:val="99"/>
    <w:semiHidden/>
    <w:unhideWhenUsed/>
    <w:qFormat/>
    <w:rsid w:val="00AE14C6"/>
    <w:rPr>
      <w:color w:val="605E5C"/>
      <w:shd w:val="clear" w:color="auto" w:fill="E1DFDD"/>
    </w:rPr>
  </w:style>
  <w:style w:type="character" w:customStyle="1" w:styleId="FontStyle11">
    <w:name w:val="Font Style11"/>
    <w:basedOn w:val="Domylnaczcionkaakapitu"/>
    <w:uiPriority w:val="99"/>
    <w:qFormat/>
    <w:rsid w:val="000C2FE8"/>
    <w:rPr>
      <w:rFonts w:ascii="Times New Roman" w:hAnsi="Times New Roman" w:cs="Times New Roman"/>
      <w:sz w:val="24"/>
      <w:szCs w:val="24"/>
    </w:rPr>
  </w:style>
  <w:style w:type="character" w:customStyle="1" w:styleId="Nagwek1Znak">
    <w:name w:val="Nagłówek 1 Znak"/>
    <w:basedOn w:val="Domylnaczcionkaakapitu"/>
    <w:link w:val="Nagwek1"/>
    <w:uiPriority w:val="9"/>
    <w:qFormat/>
    <w:rsid w:val="00BE7CCB"/>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qFormat/>
    <w:rsid w:val="00E967A4"/>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qFormat/>
    <w:rsid w:val="00E967A4"/>
    <w:rPr>
      <w:rFonts w:asciiTheme="majorHAnsi" w:eastAsiaTheme="majorEastAsia" w:hAnsiTheme="majorHAnsi" w:cstheme="majorBidi"/>
      <w:color w:val="1F3763" w:themeColor="accent1" w:themeShade="7F"/>
      <w:szCs w:val="24"/>
    </w:rPr>
  </w:style>
  <w:style w:type="character" w:styleId="Odwoaniedokomentarza">
    <w:name w:val="annotation reference"/>
    <w:basedOn w:val="Domylnaczcionkaakapitu"/>
    <w:uiPriority w:val="99"/>
    <w:semiHidden/>
    <w:unhideWhenUsed/>
    <w:qFormat/>
    <w:rsid w:val="00287120"/>
    <w:rPr>
      <w:sz w:val="16"/>
      <w:szCs w:val="16"/>
    </w:rPr>
  </w:style>
  <w:style w:type="character" w:customStyle="1" w:styleId="TekstkomentarzaZnak">
    <w:name w:val="Tekst komentarza Znak"/>
    <w:basedOn w:val="Domylnaczcionkaakapitu"/>
    <w:link w:val="Tekstkomentarza"/>
    <w:uiPriority w:val="99"/>
    <w:semiHidden/>
    <w:qFormat/>
    <w:rsid w:val="00287120"/>
    <w:rPr>
      <w:sz w:val="20"/>
      <w:szCs w:val="20"/>
    </w:rPr>
  </w:style>
  <w:style w:type="character" w:customStyle="1" w:styleId="TematkomentarzaZnak">
    <w:name w:val="Temat komentarza Znak"/>
    <w:basedOn w:val="TekstkomentarzaZnak"/>
    <w:link w:val="Tematkomentarza"/>
    <w:uiPriority w:val="99"/>
    <w:semiHidden/>
    <w:qFormat/>
    <w:rsid w:val="00287120"/>
    <w:rPr>
      <w:b/>
      <w:bCs/>
      <w:sz w:val="20"/>
      <w:szCs w:val="20"/>
    </w:rPr>
  </w:style>
  <w:style w:type="paragraph" w:styleId="Nagwek">
    <w:name w:val="header"/>
    <w:basedOn w:val="Normalny"/>
    <w:next w:val="Tekstpodstawowy"/>
    <w:link w:val="NagwekZnak"/>
    <w:uiPriority w:val="99"/>
    <w:unhideWhenUsed/>
    <w:rsid w:val="00EB0A8F"/>
    <w:pPr>
      <w:tabs>
        <w:tab w:val="center" w:pos="4536"/>
        <w:tab w:val="right" w:pos="9072"/>
      </w:tabs>
      <w:spacing w:after="0"/>
    </w:pPr>
    <w:rPr>
      <w:rFonts w:ascii="Calibri" w:hAnsi="Calibri"/>
      <w:sz w:val="22"/>
    </w:r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rPr>
  </w:style>
  <w:style w:type="paragraph" w:customStyle="1" w:styleId="Indeks">
    <w:name w:val="Indeks"/>
    <w:basedOn w:val="Normalny"/>
    <w:qFormat/>
    <w:pPr>
      <w:suppressLineNumbers/>
    </w:pPr>
    <w:rPr>
      <w:rFonts w:cs="Lucida Sans"/>
    </w:rPr>
  </w:style>
  <w:style w:type="paragraph" w:customStyle="1" w:styleId="Gwkaistopka">
    <w:name w:val="Główka i stopka"/>
    <w:basedOn w:val="Normalny"/>
    <w:qFormat/>
  </w:style>
  <w:style w:type="paragraph" w:styleId="Stopka">
    <w:name w:val="footer"/>
    <w:basedOn w:val="Normalny"/>
    <w:link w:val="StopkaZnak"/>
    <w:uiPriority w:val="99"/>
    <w:unhideWhenUsed/>
    <w:rsid w:val="00EB0A8F"/>
    <w:pPr>
      <w:tabs>
        <w:tab w:val="center" w:pos="4536"/>
        <w:tab w:val="right" w:pos="9072"/>
      </w:tabs>
      <w:spacing w:after="0"/>
    </w:pPr>
    <w:rPr>
      <w:rFonts w:ascii="Calibri" w:hAnsi="Calibri"/>
      <w:sz w:val="22"/>
    </w:rPr>
  </w:style>
  <w:style w:type="paragraph" w:styleId="NormalnyWeb">
    <w:name w:val="Normal (Web)"/>
    <w:basedOn w:val="Normalny"/>
    <w:uiPriority w:val="99"/>
    <w:semiHidden/>
    <w:unhideWhenUsed/>
    <w:qFormat/>
    <w:rsid w:val="00AE14C6"/>
    <w:rPr>
      <w:rFonts w:cs="Times New Roman"/>
    </w:rPr>
  </w:style>
  <w:style w:type="paragraph" w:styleId="Akapitzlist">
    <w:name w:val="List Paragraph"/>
    <w:basedOn w:val="Normalny"/>
    <w:uiPriority w:val="34"/>
    <w:qFormat/>
    <w:rsid w:val="003A7295"/>
    <w:pPr>
      <w:ind w:left="720"/>
      <w:contextualSpacing/>
    </w:pPr>
  </w:style>
  <w:style w:type="paragraph" w:customStyle="1" w:styleId="Style1">
    <w:name w:val="Style1"/>
    <w:basedOn w:val="Normalny"/>
    <w:uiPriority w:val="99"/>
    <w:qFormat/>
    <w:rsid w:val="000C2FE8"/>
    <w:pPr>
      <w:widowControl w:val="0"/>
      <w:spacing w:after="0" w:line="413" w:lineRule="exact"/>
      <w:ind w:firstLine="710"/>
      <w:jc w:val="both"/>
    </w:pPr>
    <w:rPr>
      <w:rFonts w:eastAsiaTheme="minorEastAsia" w:cs="Times New Roman"/>
      <w:lang w:eastAsia="pl-PL"/>
    </w:rPr>
  </w:style>
  <w:style w:type="paragraph" w:customStyle="1" w:styleId="Style2">
    <w:name w:val="Style2"/>
    <w:basedOn w:val="Normalny"/>
    <w:uiPriority w:val="99"/>
    <w:qFormat/>
    <w:rsid w:val="000C2FE8"/>
    <w:pPr>
      <w:widowControl w:val="0"/>
      <w:spacing w:after="0" w:line="413" w:lineRule="exact"/>
      <w:ind w:firstLine="706"/>
      <w:jc w:val="both"/>
    </w:pPr>
    <w:rPr>
      <w:rFonts w:eastAsiaTheme="minorEastAsia" w:cs="Times New Roman"/>
      <w:lang w:eastAsia="pl-PL"/>
    </w:rPr>
  </w:style>
  <w:style w:type="paragraph" w:styleId="Tekstkomentarza">
    <w:name w:val="annotation text"/>
    <w:basedOn w:val="Normalny"/>
    <w:link w:val="TekstkomentarzaZnak"/>
    <w:uiPriority w:val="99"/>
    <w:semiHidden/>
    <w:unhideWhenUsed/>
    <w:qFormat/>
    <w:rsid w:val="00287120"/>
    <w:rPr>
      <w:sz w:val="20"/>
      <w:szCs w:val="20"/>
    </w:rPr>
  </w:style>
  <w:style w:type="paragraph" w:styleId="Tematkomentarza">
    <w:name w:val="annotation subject"/>
    <w:basedOn w:val="Tekstkomentarza"/>
    <w:next w:val="Tekstkomentarza"/>
    <w:link w:val="TematkomentarzaZnak"/>
    <w:uiPriority w:val="99"/>
    <w:semiHidden/>
    <w:unhideWhenUsed/>
    <w:qFormat/>
    <w:rsid w:val="00287120"/>
    <w:rPr>
      <w:b/>
      <w:bCs/>
    </w:rPr>
  </w:style>
  <w:style w:type="paragraph" w:customStyle="1" w:styleId="Style4">
    <w:name w:val="Style4"/>
    <w:basedOn w:val="Normalny"/>
    <w:uiPriority w:val="99"/>
    <w:rsid w:val="00BC3992"/>
    <w:pPr>
      <w:widowControl w:val="0"/>
      <w:suppressAutoHyphens w:val="0"/>
      <w:autoSpaceDE w:val="0"/>
      <w:autoSpaceDN w:val="0"/>
      <w:adjustRightInd w:val="0"/>
      <w:spacing w:after="0" w:line="415" w:lineRule="exact"/>
    </w:pPr>
    <w:rPr>
      <w:rFonts w:eastAsiaTheme="minorEastAsia" w:cs="Times New Roman"/>
      <w:lang w:eastAsia="pl-PL"/>
    </w:rPr>
  </w:style>
  <w:style w:type="paragraph" w:customStyle="1" w:styleId="Style6">
    <w:name w:val="Style6"/>
    <w:basedOn w:val="Normalny"/>
    <w:uiPriority w:val="99"/>
    <w:rsid w:val="00BC3992"/>
    <w:pPr>
      <w:widowControl w:val="0"/>
      <w:suppressAutoHyphens w:val="0"/>
      <w:autoSpaceDE w:val="0"/>
      <w:autoSpaceDN w:val="0"/>
      <w:adjustRightInd w:val="0"/>
      <w:spacing w:after="0" w:line="414" w:lineRule="exact"/>
      <w:ind w:firstLine="427"/>
      <w:jc w:val="both"/>
    </w:pPr>
    <w:rPr>
      <w:rFonts w:eastAsiaTheme="minorEastAsia" w:cs="Times New Roman"/>
      <w:lang w:eastAsia="pl-PL"/>
    </w:rPr>
  </w:style>
  <w:style w:type="paragraph" w:customStyle="1" w:styleId="Style16">
    <w:name w:val="Style16"/>
    <w:basedOn w:val="Normalny"/>
    <w:uiPriority w:val="99"/>
    <w:rsid w:val="00BC3992"/>
    <w:pPr>
      <w:widowControl w:val="0"/>
      <w:suppressAutoHyphens w:val="0"/>
      <w:autoSpaceDE w:val="0"/>
      <w:autoSpaceDN w:val="0"/>
      <w:adjustRightInd w:val="0"/>
      <w:spacing w:after="0"/>
      <w:jc w:val="both"/>
    </w:pPr>
    <w:rPr>
      <w:rFonts w:eastAsiaTheme="minorEastAsia" w:cs="Times New Roman"/>
      <w:lang w:eastAsia="pl-PL"/>
    </w:rPr>
  </w:style>
  <w:style w:type="paragraph" w:customStyle="1" w:styleId="Style19">
    <w:name w:val="Style19"/>
    <w:basedOn w:val="Normalny"/>
    <w:uiPriority w:val="99"/>
    <w:rsid w:val="00BC3992"/>
    <w:pPr>
      <w:widowControl w:val="0"/>
      <w:suppressAutoHyphens w:val="0"/>
      <w:autoSpaceDE w:val="0"/>
      <w:autoSpaceDN w:val="0"/>
      <w:adjustRightInd w:val="0"/>
      <w:spacing w:after="0" w:line="414" w:lineRule="exact"/>
      <w:jc w:val="both"/>
    </w:pPr>
    <w:rPr>
      <w:rFonts w:eastAsiaTheme="minorEastAsia" w:cs="Times New Roman"/>
      <w:lang w:eastAsia="pl-PL"/>
    </w:rPr>
  </w:style>
  <w:style w:type="paragraph" w:customStyle="1" w:styleId="Style28">
    <w:name w:val="Style28"/>
    <w:basedOn w:val="Normalny"/>
    <w:uiPriority w:val="99"/>
    <w:rsid w:val="00BC3992"/>
    <w:pPr>
      <w:widowControl w:val="0"/>
      <w:suppressAutoHyphens w:val="0"/>
      <w:autoSpaceDE w:val="0"/>
      <w:autoSpaceDN w:val="0"/>
      <w:adjustRightInd w:val="0"/>
      <w:spacing w:after="0" w:line="727" w:lineRule="exact"/>
    </w:pPr>
    <w:rPr>
      <w:rFonts w:eastAsiaTheme="minorEastAsia" w:cs="Times New Roman"/>
      <w:lang w:eastAsia="pl-PL"/>
    </w:rPr>
  </w:style>
  <w:style w:type="paragraph" w:customStyle="1" w:styleId="Style29">
    <w:name w:val="Style29"/>
    <w:basedOn w:val="Normalny"/>
    <w:uiPriority w:val="99"/>
    <w:rsid w:val="00BC3992"/>
    <w:pPr>
      <w:widowControl w:val="0"/>
      <w:suppressAutoHyphens w:val="0"/>
      <w:autoSpaceDE w:val="0"/>
      <w:autoSpaceDN w:val="0"/>
      <w:adjustRightInd w:val="0"/>
      <w:spacing w:after="0" w:line="418" w:lineRule="exact"/>
      <w:ind w:firstLine="425"/>
    </w:pPr>
    <w:rPr>
      <w:rFonts w:eastAsiaTheme="minorEastAsia" w:cs="Times New Roman"/>
      <w:lang w:eastAsia="pl-PL"/>
    </w:rPr>
  </w:style>
  <w:style w:type="character" w:customStyle="1" w:styleId="FontStyle35">
    <w:name w:val="Font Style35"/>
    <w:basedOn w:val="Domylnaczcionkaakapitu"/>
    <w:uiPriority w:val="99"/>
    <w:rsid w:val="00BC3992"/>
    <w:rPr>
      <w:rFonts w:ascii="Times New Roman" w:hAnsi="Times New Roman" w:cs="Times New Roman"/>
      <w:b/>
      <w:bCs/>
      <w:sz w:val="22"/>
      <w:szCs w:val="22"/>
    </w:rPr>
  </w:style>
  <w:style w:type="character" w:customStyle="1" w:styleId="FontStyle40">
    <w:name w:val="Font Style40"/>
    <w:basedOn w:val="Domylnaczcionkaakapitu"/>
    <w:uiPriority w:val="99"/>
    <w:rsid w:val="00BC3992"/>
    <w:rPr>
      <w:rFonts w:ascii="Times New Roman" w:hAnsi="Times New Roman" w:cs="Times New Roman"/>
      <w:sz w:val="22"/>
      <w:szCs w:val="22"/>
    </w:rPr>
  </w:style>
  <w:style w:type="character" w:customStyle="1" w:styleId="FontStyle43">
    <w:name w:val="Font Style43"/>
    <w:basedOn w:val="Domylnaczcionkaakapitu"/>
    <w:uiPriority w:val="99"/>
    <w:rsid w:val="00BC3992"/>
    <w:rPr>
      <w:rFonts w:ascii="Times New Roman" w:hAnsi="Times New Roman" w:cs="Times New Roman"/>
      <w:b/>
      <w:bCs/>
      <w:sz w:val="26"/>
      <w:szCs w:val="26"/>
    </w:rPr>
  </w:style>
  <w:style w:type="character" w:customStyle="1" w:styleId="FontStyle47">
    <w:name w:val="Font Style47"/>
    <w:basedOn w:val="Domylnaczcionkaakapitu"/>
    <w:uiPriority w:val="99"/>
    <w:rsid w:val="00BC3992"/>
    <w:rPr>
      <w:rFonts w:ascii="Franklin Gothic Medium Cond" w:hAnsi="Franklin Gothic Medium Cond" w:cs="Franklin Gothic Medium Cond"/>
      <w:b/>
      <w:bCs/>
      <w:i/>
      <w:iCs/>
      <w:sz w:val="22"/>
      <w:szCs w:val="22"/>
    </w:rPr>
  </w:style>
  <w:style w:type="character" w:styleId="Hipercze">
    <w:name w:val="Hyperlink"/>
    <w:basedOn w:val="Domylnaczcionkaakapitu"/>
    <w:uiPriority w:val="99"/>
    <w:rsid w:val="00BC3992"/>
    <w:rPr>
      <w:color w:val="0066CC"/>
      <w:u w:val="single"/>
    </w:rPr>
  </w:style>
  <w:style w:type="paragraph" w:customStyle="1" w:styleId="Style30">
    <w:name w:val="Style30"/>
    <w:basedOn w:val="Normalny"/>
    <w:uiPriority w:val="99"/>
    <w:rsid w:val="00BC3992"/>
    <w:pPr>
      <w:widowControl w:val="0"/>
      <w:suppressAutoHyphens w:val="0"/>
      <w:autoSpaceDE w:val="0"/>
      <w:autoSpaceDN w:val="0"/>
      <w:adjustRightInd w:val="0"/>
      <w:spacing w:after="0" w:line="482" w:lineRule="exact"/>
      <w:ind w:firstLine="418"/>
      <w:jc w:val="both"/>
    </w:pPr>
    <w:rPr>
      <w:rFonts w:eastAsiaTheme="minorEastAsia" w:cs="Times New Roman"/>
      <w:lang w:eastAsia="pl-PL"/>
    </w:rPr>
  </w:style>
  <w:style w:type="character" w:styleId="Numerstrony">
    <w:name w:val="page number"/>
    <w:basedOn w:val="Domylnaczcionkaakapitu"/>
    <w:uiPriority w:val="99"/>
    <w:semiHidden/>
    <w:unhideWhenUsed/>
    <w:rsid w:val="00805711"/>
  </w:style>
  <w:style w:type="paragraph" w:styleId="Tekstdymka">
    <w:name w:val="Balloon Text"/>
    <w:basedOn w:val="Normalny"/>
    <w:link w:val="TekstdymkaZnak"/>
    <w:uiPriority w:val="99"/>
    <w:semiHidden/>
    <w:unhideWhenUsed/>
    <w:rsid w:val="00D6477D"/>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D6477D"/>
    <w:rPr>
      <w:rFonts w:ascii="Tahoma" w:hAnsi="Tahoma" w:cs="Tahoma"/>
      <w:sz w:val="16"/>
      <w:szCs w:val="16"/>
    </w:rPr>
  </w:style>
  <w:style w:type="paragraph" w:customStyle="1" w:styleId="Styl1">
    <w:name w:val="Styl1"/>
    <w:basedOn w:val="Nagwek1"/>
    <w:link w:val="Styl1Znak"/>
    <w:qFormat/>
    <w:rsid w:val="00BD1A9B"/>
    <w:pPr>
      <w:spacing w:after="480" w:line="360" w:lineRule="auto"/>
      <w:contextualSpacing/>
    </w:pPr>
    <w:rPr>
      <w:rFonts w:ascii="Arial" w:eastAsia="Calibri" w:hAnsi="Arial" w:cs="Arial"/>
      <w:color w:val="auto"/>
      <w:sz w:val="24"/>
      <w:szCs w:val="24"/>
    </w:rPr>
  </w:style>
  <w:style w:type="paragraph" w:customStyle="1" w:styleId="Styl2">
    <w:name w:val="Styl2"/>
    <w:basedOn w:val="Nagwek1"/>
    <w:link w:val="Styl2Znak"/>
    <w:qFormat/>
    <w:rsid w:val="008D2A4A"/>
    <w:pPr>
      <w:spacing w:after="480" w:line="360" w:lineRule="auto"/>
      <w:contextualSpacing/>
    </w:pPr>
    <w:rPr>
      <w:rFonts w:ascii="Arial" w:eastAsia="Calibri" w:hAnsi="Arial" w:cs="Arial"/>
      <w:b/>
      <w:bCs/>
      <w:color w:val="auto"/>
      <w:sz w:val="24"/>
      <w:szCs w:val="24"/>
    </w:rPr>
  </w:style>
  <w:style w:type="character" w:customStyle="1" w:styleId="Styl1Znak">
    <w:name w:val="Styl1 Znak"/>
    <w:basedOn w:val="Nagwek1Znak"/>
    <w:link w:val="Styl1"/>
    <w:rsid w:val="00BD1A9B"/>
    <w:rPr>
      <w:rFonts w:ascii="Arial" w:eastAsia="Calibri" w:hAnsi="Arial" w:cs="Arial"/>
      <w:color w:val="2F5496" w:themeColor="accent1" w:themeShade="BF"/>
      <w:sz w:val="32"/>
      <w:szCs w:val="24"/>
    </w:rPr>
  </w:style>
  <w:style w:type="character" w:customStyle="1" w:styleId="Styl2Znak">
    <w:name w:val="Styl2 Znak"/>
    <w:basedOn w:val="Nagwek1Znak"/>
    <w:link w:val="Styl2"/>
    <w:rsid w:val="008D2A4A"/>
    <w:rPr>
      <w:rFonts w:ascii="Arial" w:eastAsia="Calibri" w:hAnsi="Arial" w:cs="Arial"/>
      <w:b/>
      <w:bCs/>
      <w:color w:val="2F5496" w:themeColor="accent1" w:themeShade="BF"/>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55478">
      <w:bodyDiv w:val="1"/>
      <w:marLeft w:val="0"/>
      <w:marRight w:val="0"/>
      <w:marTop w:val="0"/>
      <w:marBottom w:val="0"/>
      <w:divBdr>
        <w:top w:val="none" w:sz="0" w:space="0" w:color="auto"/>
        <w:left w:val="none" w:sz="0" w:space="0" w:color="auto"/>
        <w:bottom w:val="none" w:sz="0" w:space="0" w:color="auto"/>
        <w:right w:val="none" w:sz="0" w:space="0" w:color="auto"/>
      </w:divBdr>
      <w:divsChild>
        <w:div w:id="892156245">
          <w:marLeft w:val="0"/>
          <w:marRight w:val="0"/>
          <w:marTop w:val="0"/>
          <w:marBottom w:val="0"/>
          <w:divBdr>
            <w:top w:val="none" w:sz="0" w:space="0" w:color="auto"/>
            <w:left w:val="none" w:sz="0" w:space="0" w:color="auto"/>
            <w:bottom w:val="none" w:sz="0" w:space="0" w:color="auto"/>
            <w:right w:val="none" w:sz="0" w:space="0" w:color="auto"/>
          </w:divBdr>
          <w:divsChild>
            <w:div w:id="43243484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54214621">
      <w:bodyDiv w:val="1"/>
      <w:marLeft w:val="0"/>
      <w:marRight w:val="0"/>
      <w:marTop w:val="0"/>
      <w:marBottom w:val="0"/>
      <w:divBdr>
        <w:top w:val="none" w:sz="0" w:space="0" w:color="auto"/>
        <w:left w:val="none" w:sz="0" w:space="0" w:color="auto"/>
        <w:bottom w:val="none" w:sz="0" w:space="0" w:color="auto"/>
        <w:right w:val="none" w:sz="0" w:space="0" w:color="auto"/>
      </w:divBdr>
      <w:divsChild>
        <w:div w:id="971864893">
          <w:marLeft w:val="0"/>
          <w:marRight w:val="0"/>
          <w:marTop w:val="0"/>
          <w:marBottom w:val="0"/>
          <w:divBdr>
            <w:top w:val="none" w:sz="0" w:space="0" w:color="auto"/>
            <w:left w:val="none" w:sz="0" w:space="0" w:color="auto"/>
            <w:bottom w:val="none" w:sz="0" w:space="0" w:color="auto"/>
            <w:right w:val="none" w:sz="0" w:space="0" w:color="auto"/>
          </w:divBdr>
          <w:divsChild>
            <w:div w:id="691955317">
              <w:marLeft w:val="0"/>
              <w:marRight w:val="0"/>
              <w:marTop w:val="0"/>
              <w:marBottom w:val="240"/>
              <w:divBdr>
                <w:top w:val="none" w:sz="0" w:space="0" w:color="auto"/>
                <w:left w:val="none" w:sz="0" w:space="0" w:color="auto"/>
                <w:bottom w:val="none" w:sz="0" w:space="0" w:color="auto"/>
                <w:right w:val="none" w:sz="0" w:space="0" w:color="auto"/>
              </w:divBdr>
              <w:divsChild>
                <w:div w:id="58661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506697">
      <w:bodyDiv w:val="1"/>
      <w:marLeft w:val="0"/>
      <w:marRight w:val="0"/>
      <w:marTop w:val="0"/>
      <w:marBottom w:val="0"/>
      <w:divBdr>
        <w:top w:val="none" w:sz="0" w:space="0" w:color="auto"/>
        <w:left w:val="none" w:sz="0" w:space="0" w:color="auto"/>
        <w:bottom w:val="none" w:sz="0" w:space="0" w:color="auto"/>
        <w:right w:val="none" w:sz="0" w:space="0" w:color="auto"/>
      </w:divBdr>
      <w:divsChild>
        <w:div w:id="511146280">
          <w:marLeft w:val="0"/>
          <w:marRight w:val="0"/>
          <w:marTop w:val="0"/>
          <w:marBottom w:val="0"/>
          <w:divBdr>
            <w:top w:val="none" w:sz="0" w:space="0" w:color="auto"/>
            <w:left w:val="none" w:sz="0" w:space="0" w:color="auto"/>
            <w:bottom w:val="none" w:sz="0" w:space="0" w:color="auto"/>
            <w:right w:val="none" w:sz="0" w:space="0" w:color="auto"/>
          </w:divBdr>
          <w:divsChild>
            <w:div w:id="1330213416">
              <w:marLeft w:val="0"/>
              <w:marRight w:val="0"/>
              <w:marTop w:val="0"/>
              <w:marBottom w:val="240"/>
              <w:divBdr>
                <w:top w:val="none" w:sz="0" w:space="0" w:color="auto"/>
                <w:left w:val="none" w:sz="0" w:space="0" w:color="auto"/>
                <w:bottom w:val="none" w:sz="0" w:space="0" w:color="auto"/>
                <w:right w:val="none" w:sz="0" w:space="0" w:color="auto"/>
              </w:divBdr>
              <w:divsChild>
                <w:div w:id="23412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440653">
      <w:bodyDiv w:val="1"/>
      <w:marLeft w:val="0"/>
      <w:marRight w:val="0"/>
      <w:marTop w:val="0"/>
      <w:marBottom w:val="0"/>
      <w:divBdr>
        <w:top w:val="none" w:sz="0" w:space="0" w:color="auto"/>
        <w:left w:val="none" w:sz="0" w:space="0" w:color="auto"/>
        <w:bottom w:val="none" w:sz="0" w:space="0" w:color="auto"/>
        <w:right w:val="none" w:sz="0" w:space="0" w:color="auto"/>
      </w:divBdr>
    </w:div>
    <w:div w:id="905184049">
      <w:bodyDiv w:val="1"/>
      <w:marLeft w:val="0"/>
      <w:marRight w:val="0"/>
      <w:marTop w:val="0"/>
      <w:marBottom w:val="0"/>
      <w:divBdr>
        <w:top w:val="none" w:sz="0" w:space="0" w:color="auto"/>
        <w:left w:val="none" w:sz="0" w:space="0" w:color="auto"/>
        <w:bottom w:val="none" w:sz="0" w:space="0" w:color="auto"/>
        <w:right w:val="none" w:sz="0" w:space="0" w:color="auto"/>
      </w:divBdr>
      <w:divsChild>
        <w:div w:id="1564829881">
          <w:marLeft w:val="0"/>
          <w:marRight w:val="0"/>
          <w:marTop w:val="0"/>
          <w:marBottom w:val="0"/>
          <w:divBdr>
            <w:top w:val="none" w:sz="0" w:space="0" w:color="auto"/>
            <w:left w:val="none" w:sz="0" w:space="0" w:color="auto"/>
            <w:bottom w:val="none" w:sz="0" w:space="0" w:color="auto"/>
            <w:right w:val="none" w:sz="0" w:space="0" w:color="auto"/>
          </w:divBdr>
          <w:divsChild>
            <w:div w:id="1955087721">
              <w:marLeft w:val="0"/>
              <w:marRight w:val="0"/>
              <w:marTop w:val="0"/>
              <w:marBottom w:val="240"/>
              <w:divBdr>
                <w:top w:val="none" w:sz="0" w:space="0" w:color="auto"/>
                <w:left w:val="none" w:sz="0" w:space="0" w:color="auto"/>
                <w:bottom w:val="none" w:sz="0" w:space="0" w:color="auto"/>
                <w:right w:val="none" w:sz="0" w:space="0" w:color="auto"/>
              </w:divBdr>
              <w:divsChild>
                <w:div w:id="93273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650587">
      <w:bodyDiv w:val="1"/>
      <w:marLeft w:val="0"/>
      <w:marRight w:val="0"/>
      <w:marTop w:val="0"/>
      <w:marBottom w:val="0"/>
      <w:divBdr>
        <w:top w:val="none" w:sz="0" w:space="0" w:color="auto"/>
        <w:left w:val="none" w:sz="0" w:space="0" w:color="auto"/>
        <w:bottom w:val="none" w:sz="0" w:space="0" w:color="auto"/>
        <w:right w:val="none" w:sz="0" w:space="0" w:color="auto"/>
      </w:divBdr>
    </w:div>
    <w:div w:id="1437024718">
      <w:bodyDiv w:val="1"/>
      <w:marLeft w:val="0"/>
      <w:marRight w:val="0"/>
      <w:marTop w:val="0"/>
      <w:marBottom w:val="0"/>
      <w:divBdr>
        <w:top w:val="none" w:sz="0" w:space="0" w:color="auto"/>
        <w:left w:val="none" w:sz="0" w:space="0" w:color="auto"/>
        <w:bottom w:val="none" w:sz="0" w:space="0" w:color="auto"/>
        <w:right w:val="none" w:sz="0" w:space="0" w:color="auto"/>
      </w:divBdr>
      <w:divsChild>
        <w:div w:id="1442265141">
          <w:marLeft w:val="0"/>
          <w:marRight w:val="0"/>
          <w:marTop w:val="0"/>
          <w:marBottom w:val="0"/>
          <w:divBdr>
            <w:top w:val="none" w:sz="0" w:space="0" w:color="auto"/>
            <w:left w:val="none" w:sz="0" w:space="0" w:color="auto"/>
            <w:bottom w:val="none" w:sz="0" w:space="0" w:color="auto"/>
            <w:right w:val="none" w:sz="0" w:space="0" w:color="auto"/>
          </w:divBdr>
          <w:divsChild>
            <w:div w:id="5137377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72167376">
      <w:bodyDiv w:val="1"/>
      <w:marLeft w:val="0"/>
      <w:marRight w:val="0"/>
      <w:marTop w:val="0"/>
      <w:marBottom w:val="0"/>
      <w:divBdr>
        <w:top w:val="none" w:sz="0" w:space="0" w:color="auto"/>
        <w:left w:val="none" w:sz="0" w:space="0" w:color="auto"/>
        <w:bottom w:val="none" w:sz="0" w:space="0" w:color="auto"/>
        <w:right w:val="none" w:sz="0" w:space="0" w:color="auto"/>
      </w:divBdr>
      <w:divsChild>
        <w:div w:id="1865433939">
          <w:marLeft w:val="0"/>
          <w:marRight w:val="0"/>
          <w:marTop w:val="0"/>
          <w:marBottom w:val="120"/>
          <w:divBdr>
            <w:top w:val="none" w:sz="0" w:space="0" w:color="auto"/>
            <w:left w:val="none" w:sz="0" w:space="0" w:color="auto"/>
            <w:bottom w:val="single" w:sz="6" w:space="6" w:color="DEDEDE"/>
            <w:right w:val="none" w:sz="0" w:space="0" w:color="auto"/>
          </w:divBdr>
          <w:divsChild>
            <w:div w:id="126577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170775">
      <w:bodyDiv w:val="1"/>
      <w:marLeft w:val="0"/>
      <w:marRight w:val="0"/>
      <w:marTop w:val="0"/>
      <w:marBottom w:val="0"/>
      <w:divBdr>
        <w:top w:val="none" w:sz="0" w:space="0" w:color="auto"/>
        <w:left w:val="none" w:sz="0" w:space="0" w:color="auto"/>
        <w:bottom w:val="none" w:sz="0" w:space="0" w:color="auto"/>
        <w:right w:val="none" w:sz="0" w:space="0" w:color="auto"/>
      </w:divBdr>
      <w:divsChild>
        <w:div w:id="1175412228">
          <w:marLeft w:val="0"/>
          <w:marRight w:val="0"/>
          <w:marTop w:val="0"/>
          <w:marBottom w:val="0"/>
          <w:divBdr>
            <w:top w:val="none" w:sz="0" w:space="0" w:color="auto"/>
            <w:left w:val="none" w:sz="0" w:space="0" w:color="auto"/>
            <w:bottom w:val="none" w:sz="0" w:space="0" w:color="auto"/>
            <w:right w:val="none" w:sz="0" w:space="0" w:color="auto"/>
          </w:divBdr>
          <w:divsChild>
            <w:div w:id="725686876">
              <w:marLeft w:val="0"/>
              <w:marRight w:val="0"/>
              <w:marTop w:val="0"/>
              <w:marBottom w:val="240"/>
              <w:divBdr>
                <w:top w:val="none" w:sz="0" w:space="0" w:color="auto"/>
                <w:left w:val="none" w:sz="0" w:space="0" w:color="auto"/>
                <w:bottom w:val="none" w:sz="0" w:space="0" w:color="auto"/>
                <w:right w:val="none" w:sz="0" w:space="0" w:color="auto"/>
              </w:divBdr>
              <w:divsChild>
                <w:div w:id="165637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654216">
      <w:bodyDiv w:val="1"/>
      <w:marLeft w:val="0"/>
      <w:marRight w:val="0"/>
      <w:marTop w:val="0"/>
      <w:marBottom w:val="0"/>
      <w:divBdr>
        <w:top w:val="none" w:sz="0" w:space="0" w:color="auto"/>
        <w:left w:val="none" w:sz="0" w:space="0" w:color="auto"/>
        <w:bottom w:val="none" w:sz="0" w:space="0" w:color="auto"/>
        <w:right w:val="none" w:sz="0" w:space="0" w:color="auto"/>
      </w:divBdr>
      <w:divsChild>
        <w:div w:id="54084732">
          <w:marLeft w:val="0"/>
          <w:marRight w:val="0"/>
          <w:marTop w:val="0"/>
          <w:marBottom w:val="0"/>
          <w:divBdr>
            <w:top w:val="none" w:sz="0" w:space="0" w:color="auto"/>
            <w:left w:val="none" w:sz="0" w:space="0" w:color="auto"/>
            <w:bottom w:val="none" w:sz="0" w:space="0" w:color="auto"/>
            <w:right w:val="none" w:sz="0" w:space="0" w:color="auto"/>
          </w:divBdr>
          <w:divsChild>
            <w:div w:id="756363601">
              <w:marLeft w:val="0"/>
              <w:marRight w:val="0"/>
              <w:marTop w:val="0"/>
              <w:marBottom w:val="240"/>
              <w:divBdr>
                <w:top w:val="none" w:sz="0" w:space="0" w:color="auto"/>
                <w:left w:val="none" w:sz="0" w:space="0" w:color="auto"/>
                <w:bottom w:val="none" w:sz="0" w:space="0" w:color="auto"/>
                <w:right w:val="none" w:sz="0" w:space="0" w:color="auto"/>
              </w:divBdr>
              <w:divsChild>
                <w:div w:id="193829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60748">
      <w:bodyDiv w:val="1"/>
      <w:marLeft w:val="0"/>
      <w:marRight w:val="0"/>
      <w:marTop w:val="0"/>
      <w:marBottom w:val="0"/>
      <w:divBdr>
        <w:top w:val="none" w:sz="0" w:space="0" w:color="auto"/>
        <w:left w:val="none" w:sz="0" w:space="0" w:color="auto"/>
        <w:bottom w:val="none" w:sz="0" w:space="0" w:color="auto"/>
        <w:right w:val="none" w:sz="0" w:space="0" w:color="auto"/>
      </w:divBdr>
      <w:divsChild>
        <w:div w:id="1507556327">
          <w:marLeft w:val="0"/>
          <w:marRight w:val="0"/>
          <w:marTop w:val="0"/>
          <w:marBottom w:val="0"/>
          <w:divBdr>
            <w:top w:val="none" w:sz="0" w:space="0" w:color="auto"/>
            <w:left w:val="none" w:sz="0" w:space="0" w:color="auto"/>
            <w:bottom w:val="none" w:sz="0" w:space="0" w:color="auto"/>
            <w:right w:val="none" w:sz="0" w:space="0" w:color="auto"/>
          </w:divBdr>
          <w:divsChild>
            <w:div w:id="611941283">
              <w:marLeft w:val="0"/>
              <w:marRight w:val="0"/>
              <w:marTop w:val="0"/>
              <w:marBottom w:val="240"/>
              <w:divBdr>
                <w:top w:val="none" w:sz="0" w:space="0" w:color="auto"/>
                <w:left w:val="none" w:sz="0" w:space="0" w:color="auto"/>
                <w:bottom w:val="none" w:sz="0" w:space="0" w:color="auto"/>
                <w:right w:val="none" w:sz="0" w:space="0" w:color="auto"/>
              </w:divBdr>
              <w:divsChild>
                <w:div w:id="8527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699839">
      <w:bodyDiv w:val="1"/>
      <w:marLeft w:val="0"/>
      <w:marRight w:val="0"/>
      <w:marTop w:val="0"/>
      <w:marBottom w:val="0"/>
      <w:divBdr>
        <w:top w:val="none" w:sz="0" w:space="0" w:color="auto"/>
        <w:left w:val="none" w:sz="0" w:space="0" w:color="auto"/>
        <w:bottom w:val="none" w:sz="0" w:space="0" w:color="auto"/>
        <w:right w:val="none" w:sz="0" w:space="0" w:color="auto"/>
      </w:divBdr>
      <w:divsChild>
        <w:div w:id="108088585">
          <w:marLeft w:val="0"/>
          <w:marRight w:val="0"/>
          <w:marTop w:val="0"/>
          <w:marBottom w:val="0"/>
          <w:divBdr>
            <w:top w:val="none" w:sz="0" w:space="0" w:color="auto"/>
            <w:left w:val="none" w:sz="0" w:space="0" w:color="auto"/>
            <w:bottom w:val="none" w:sz="0" w:space="0" w:color="auto"/>
            <w:right w:val="none" w:sz="0" w:space="0" w:color="auto"/>
          </w:divBdr>
          <w:divsChild>
            <w:div w:id="6418850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00765777">
      <w:bodyDiv w:val="1"/>
      <w:marLeft w:val="0"/>
      <w:marRight w:val="0"/>
      <w:marTop w:val="0"/>
      <w:marBottom w:val="0"/>
      <w:divBdr>
        <w:top w:val="none" w:sz="0" w:space="0" w:color="auto"/>
        <w:left w:val="none" w:sz="0" w:space="0" w:color="auto"/>
        <w:bottom w:val="none" w:sz="0" w:space="0" w:color="auto"/>
        <w:right w:val="none" w:sz="0" w:space="0" w:color="auto"/>
      </w:divBdr>
      <w:divsChild>
        <w:div w:id="1330400341">
          <w:marLeft w:val="0"/>
          <w:marRight w:val="0"/>
          <w:marTop w:val="0"/>
          <w:marBottom w:val="0"/>
          <w:divBdr>
            <w:top w:val="none" w:sz="0" w:space="0" w:color="auto"/>
            <w:left w:val="none" w:sz="0" w:space="0" w:color="auto"/>
            <w:bottom w:val="none" w:sz="0" w:space="0" w:color="auto"/>
            <w:right w:val="none" w:sz="0" w:space="0" w:color="auto"/>
          </w:divBdr>
          <w:divsChild>
            <w:div w:id="88260042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75274232">
      <w:bodyDiv w:val="1"/>
      <w:marLeft w:val="0"/>
      <w:marRight w:val="0"/>
      <w:marTop w:val="0"/>
      <w:marBottom w:val="0"/>
      <w:divBdr>
        <w:top w:val="none" w:sz="0" w:space="0" w:color="auto"/>
        <w:left w:val="none" w:sz="0" w:space="0" w:color="auto"/>
        <w:bottom w:val="none" w:sz="0" w:space="0" w:color="auto"/>
        <w:right w:val="none" w:sz="0" w:space="0" w:color="auto"/>
      </w:divBdr>
      <w:divsChild>
        <w:div w:id="743259117">
          <w:marLeft w:val="0"/>
          <w:marRight w:val="0"/>
          <w:marTop w:val="0"/>
          <w:marBottom w:val="0"/>
          <w:divBdr>
            <w:top w:val="none" w:sz="0" w:space="0" w:color="auto"/>
            <w:left w:val="none" w:sz="0" w:space="0" w:color="auto"/>
            <w:bottom w:val="none" w:sz="0" w:space="0" w:color="auto"/>
            <w:right w:val="none" w:sz="0" w:space="0" w:color="auto"/>
          </w:divBdr>
          <w:divsChild>
            <w:div w:id="1986008170">
              <w:marLeft w:val="0"/>
              <w:marRight w:val="0"/>
              <w:marTop w:val="0"/>
              <w:marBottom w:val="240"/>
              <w:divBdr>
                <w:top w:val="none" w:sz="0" w:space="0" w:color="auto"/>
                <w:left w:val="none" w:sz="0" w:space="0" w:color="auto"/>
                <w:bottom w:val="none" w:sz="0" w:space="0" w:color="auto"/>
                <w:right w:val="none" w:sz="0" w:space="0" w:color="auto"/>
              </w:divBdr>
              <w:divsChild>
                <w:div w:id="42900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936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65A33-4B9F-40F1-9DAD-434200F98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10</Pages>
  <Words>3239</Words>
  <Characters>19437</Characters>
  <Application>Microsoft Office Word</Application>
  <DocSecurity>0</DocSecurity>
  <Lines>161</Lines>
  <Paragraphs>45</Paragraphs>
  <ScaleCrop>false</ScaleCrop>
  <HeadingPairs>
    <vt:vector size="2" baseType="variant">
      <vt:variant>
        <vt:lpstr>Tytuł</vt:lpstr>
      </vt:variant>
      <vt:variant>
        <vt:i4>1</vt:i4>
      </vt:variant>
    </vt:vector>
  </HeadingPairs>
  <TitlesOfParts>
    <vt:vector size="1" baseType="lpstr">
      <vt:lpstr>Decyzja w sprawie KR III R 4/23 – ul. Twarda 10 – wersja cyfrowa [BIP 20.02.2023]</vt:lpstr>
    </vt:vector>
  </TitlesOfParts>
  <Company>MS</Company>
  <LinksUpToDate>false</LinksUpToDate>
  <CharactersWithSpaces>22631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 w sprawie KR III R 4/23 – ul. Twarda 10 – wersja cyfrowa [BIP 17.02.2023]</dc:title>
  <dc:creator>Bajera Mikołaj  (DPA)</dc:creator>
  <cp:lastModifiedBy>Bajera Mikołaj  (DPA)</cp:lastModifiedBy>
  <cp:revision>7</cp:revision>
  <cp:lastPrinted>2022-05-31T08:33:00Z</cp:lastPrinted>
  <dcterms:created xsi:type="dcterms:W3CDTF">2023-02-17T12:21:00Z</dcterms:created>
  <dcterms:modified xsi:type="dcterms:W3CDTF">2023-02-17T13:57:00Z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