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45F6" w14:textId="77777777" w:rsidR="00A36E46" w:rsidRPr="0026691B" w:rsidRDefault="00A36E46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DB5811B" w14:textId="5C381612" w:rsidR="00E02193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Warszawa, dnia</w:t>
      </w:r>
      <w:r w:rsidR="005D4272" w:rsidRPr="0026691B">
        <w:rPr>
          <w:rFonts w:ascii="Arial" w:hAnsi="Arial" w:cs="Arial"/>
          <w:sz w:val="24"/>
          <w:szCs w:val="24"/>
        </w:rPr>
        <w:t xml:space="preserve"> 31 sierpnia</w:t>
      </w:r>
      <w:r w:rsidR="00CC0115" w:rsidRP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2021 r.</w:t>
      </w:r>
    </w:p>
    <w:p w14:paraId="1726D036" w14:textId="70AD79C4" w:rsidR="00E02193" w:rsidRPr="0026691B" w:rsidRDefault="00E34AEB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DPA-</w:t>
      </w:r>
      <w:r w:rsidR="006D1E9B" w:rsidRPr="0026691B">
        <w:rPr>
          <w:rFonts w:ascii="Arial" w:hAnsi="Arial" w:cs="Arial"/>
          <w:b/>
          <w:sz w:val="24"/>
          <w:szCs w:val="24"/>
        </w:rPr>
        <w:t>II.9130.5.2021</w:t>
      </w:r>
    </w:p>
    <w:p w14:paraId="109ACD6C" w14:textId="5B94DB50" w:rsidR="00E02193" w:rsidRPr="0026691B" w:rsidRDefault="00E02193" w:rsidP="00F427BA">
      <w:pPr>
        <w:pStyle w:val="Nagwek1"/>
        <w:spacing w:before="0" w:after="48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81312367"/>
      <w:r w:rsidRPr="0026691B">
        <w:rPr>
          <w:rFonts w:ascii="Arial" w:hAnsi="Arial" w:cs="Arial"/>
          <w:b/>
          <w:bCs/>
          <w:color w:val="auto"/>
          <w:sz w:val="24"/>
          <w:szCs w:val="24"/>
        </w:rPr>
        <w:t xml:space="preserve">DECYZJA nr KR II R </w:t>
      </w:r>
      <w:r w:rsidR="00CC0115" w:rsidRPr="0026691B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4A6B17" w:rsidRPr="0026691B">
        <w:rPr>
          <w:rFonts w:ascii="Arial" w:hAnsi="Arial" w:cs="Arial"/>
          <w:b/>
          <w:bCs/>
          <w:color w:val="auto"/>
          <w:sz w:val="24"/>
          <w:szCs w:val="24"/>
        </w:rPr>
        <w:t xml:space="preserve"> ukosnik </w:t>
      </w:r>
      <w:r w:rsidRPr="0026691B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CC0115" w:rsidRPr="0026691B">
        <w:rPr>
          <w:rFonts w:ascii="Arial" w:hAnsi="Arial" w:cs="Arial"/>
          <w:b/>
          <w:bCs/>
          <w:color w:val="auto"/>
          <w:sz w:val="24"/>
          <w:szCs w:val="24"/>
        </w:rPr>
        <w:t>1</w:t>
      </w:r>
      <w:bookmarkEnd w:id="0"/>
    </w:p>
    <w:p w14:paraId="06C24803" w14:textId="7A95EC9D" w:rsidR="00E02193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66515EC0" w14:textId="77777777" w:rsidR="00E02193" w:rsidRPr="0026691B" w:rsidRDefault="00E02193" w:rsidP="00F427BA">
      <w:pPr>
        <w:tabs>
          <w:tab w:val="left" w:pos="3253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 xml:space="preserve">Przewodniczący Komisji: </w:t>
      </w:r>
    </w:p>
    <w:p w14:paraId="5AACC669" w14:textId="77777777" w:rsidR="00E02193" w:rsidRPr="0026691B" w:rsidRDefault="00E02193" w:rsidP="00F427BA">
      <w:pPr>
        <w:tabs>
          <w:tab w:val="left" w:pos="3253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Sebastian Kaleta</w:t>
      </w:r>
    </w:p>
    <w:p w14:paraId="4276EDEC" w14:textId="77777777" w:rsidR="009577A6" w:rsidRPr="0026691B" w:rsidRDefault="00BF0308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Członkowie Komisji:</w:t>
      </w:r>
    </w:p>
    <w:p w14:paraId="61DAA584" w14:textId="357BEE4E" w:rsidR="00BF0308" w:rsidRPr="0026691B" w:rsidRDefault="00BF0308" w:rsidP="00F427BA">
      <w:pPr>
        <w:spacing w:after="480" w:line="360" w:lineRule="auto"/>
        <w:rPr>
          <w:rStyle w:val="FontStyle39"/>
          <w:rFonts w:ascii="Arial" w:hAnsi="Arial" w:cs="Arial"/>
          <w:sz w:val="24"/>
          <w:szCs w:val="24"/>
        </w:rPr>
      </w:pPr>
      <w:r w:rsidRPr="0026691B">
        <w:rPr>
          <w:rStyle w:val="FontStyle39"/>
          <w:rFonts w:ascii="Arial" w:hAnsi="Arial" w:cs="Arial"/>
          <w:sz w:val="24"/>
          <w:szCs w:val="24"/>
        </w:rPr>
        <w:t>Łukasz Kondratko, Paweł Lisiecki, Jan</w:t>
      </w:r>
      <w:r w:rsidR="004B1109">
        <w:rPr>
          <w:rStyle w:val="FontStyle39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39"/>
          <w:rFonts w:ascii="Arial" w:hAnsi="Arial" w:cs="Arial"/>
          <w:sz w:val="24"/>
          <w:szCs w:val="24"/>
        </w:rPr>
        <w:t xml:space="preserve">Mosiński, Sławomir Potapowicz, Adam Zieliński, </w:t>
      </w:r>
    </w:p>
    <w:p w14:paraId="29A781C8" w14:textId="48A00BBF" w:rsidR="00E02193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po rozpoznaniu w dniu</w:t>
      </w:r>
      <w:r w:rsidR="005D4272" w:rsidRPr="0026691B">
        <w:rPr>
          <w:rFonts w:ascii="Arial" w:hAnsi="Arial" w:cs="Arial"/>
          <w:sz w:val="24"/>
          <w:szCs w:val="24"/>
        </w:rPr>
        <w:t xml:space="preserve"> 31 sierpnia </w:t>
      </w:r>
      <w:r w:rsidRPr="0026691B">
        <w:rPr>
          <w:rFonts w:ascii="Arial" w:hAnsi="Arial" w:cs="Arial"/>
          <w:sz w:val="24"/>
          <w:szCs w:val="24"/>
        </w:rPr>
        <w:t>2021 r.</w:t>
      </w:r>
      <w:r w:rsidR="00157EF7" w:rsidRP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 posiedzeniu niejawnym</w:t>
      </w:r>
      <w:r w:rsidR="00157EF7" w:rsidRP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 xml:space="preserve">sprawy: </w:t>
      </w:r>
    </w:p>
    <w:p w14:paraId="1D49FF7F" w14:textId="699ABF64" w:rsidR="00157EF7" w:rsidRPr="0026691B" w:rsidRDefault="00157EF7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bookmarkStart w:id="1" w:name="_Hlk80798368"/>
      <w:r w:rsidRPr="0026691B">
        <w:rPr>
          <w:rFonts w:ascii="Arial" w:hAnsi="Arial" w:cs="Arial"/>
          <w:bCs/>
          <w:sz w:val="24"/>
          <w:szCs w:val="24"/>
        </w:rPr>
        <w:t>– 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eastAsia="Calibri" w:hAnsi="Arial" w:cs="Arial"/>
          <w:sz w:val="24"/>
          <w:szCs w:val="24"/>
        </w:rPr>
        <w:t xml:space="preserve">przedmiocie decyzji </w:t>
      </w:r>
      <w:r w:rsidRPr="0026691B">
        <w:rPr>
          <w:rFonts w:ascii="Arial" w:hAnsi="Arial" w:cs="Arial"/>
          <w:bCs/>
          <w:sz w:val="24"/>
          <w:szCs w:val="24"/>
        </w:rPr>
        <w:t>Prezydenta</w:t>
      </w:r>
      <w:r w:rsidR="00891186" w:rsidRPr="0026691B">
        <w:rPr>
          <w:rFonts w:ascii="Arial" w:hAnsi="Arial" w:cs="Arial"/>
          <w:bCs/>
          <w:sz w:val="24"/>
          <w:szCs w:val="24"/>
        </w:rPr>
        <w:t xml:space="preserve"> Miasta Stołecznego</w:t>
      </w:r>
      <w:r w:rsidRPr="0026691B">
        <w:rPr>
          <w:rFonts w:ascii="Arial" w:hAnsi="Arial" w:cs="Arial"/>
          <w:bCs/>
          <w:sz w:val="24"/>
          <w:szCs w:val="24"/>
        </w:rPr>
        <w:t xml:space="preserve"> Warszawy z 22 maja 2007 r. 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179</w:t>
      </w:r>
      <w:r w:rsidR="004A6B17" w:rsidRPr="0026691B">
        <w:rPr>
          <w:rFonts w:ascii="Arial" w:hAnsi="Arial" w:cs="Arial"/>
          <w:bCs/>
          <w:sz w:val="24"/>
          <w:szCs w:val="24"/>
        </w:rPr>
        <w:t xml:space="preserve"> ukośnik GK ukośnik DW ukośnik </w:t>
      </w:r>
      <w:r w:rsidRPr="0026691B">
        <w:rPr>
          <w:rFonts w:ascii="Arial" w:hAnsi="Arial" w:cs="Arial"/>
          <w:bCs/>
          <w:sz w:val="24"/>
          <w:szCs w:val="24"/>
        </w:rPr>
        <w:t>2007 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22 maja 2007 r. nr 180</w:t>
      </w:r>
      <w:r w:rsidR="004A6B17" w:rsidRPr="0026691B">
        <w:rPr>
          <w:rFonts w:ascii="Arial" w:hAnsi="Arial" w:cs="Arial"/>
          <w:bCs/>
          <w:sz w:val="24"/>
          <w:szCs w:val="24"/>
        </w:rPr>
        <w:t xml:space="preserve"> ukośnik GK ukośnik DW ukośnik </w:t>
      </w:r>
      <w:r w:rsidRPr="0026691B">
        <w:rPr>
          <w:rFonts w:ascii="Arial" w:hAnsi="Arial" w:cs="Arial"/>
          <w:bCs/>
          <w:sz w:val="24"/>
          <w:szCs w:val="24"/>
        </w:rPr>
        <w:t>2007 oraz z 10 września 2008 r. 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409</w:t>
      </w:r>
      <w:r w:rsidR="004A6B17" w:rsidRPr="0026691B">
        <w:rPr>
          <w:rFonts w:ascii="Arial" w:hAnsi="Arial" w:cs="Arial"/>
          <w:bCs/>
          <w:sz w:val="24"/>
          <w:szCs w:val="24"/>
        </w:rPr>
        <w:t xml:space="preserve"> ukośnik GK ukośnik DW ukośnik </w:t>
      </w:r>
      <w:r w:rsidRPr="0026691B">
        <w:rPr>
          <w:rFonts w:ascii="Arial" w:hAnsi="Arial" w:cs="Arial"/>
          <w:bCs/>
          <w:sz w:val="24"/>
          <w:szCs w:val="24"/>
        </w:rPr>
        <w:t>2008, 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przedmiocie ustanowienia użytkowania wieczystego nieruchomości położonej 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 xml:space="preserve">Warszawie przy ul. Tamka </w:t>
      </w:r>
      <w:r w:rsidR="00AB68C2" w:rsidRPr="0026691B">
        <w:rPr>
          <w:rFonts w:ascii="Arial" w:hAnsi="Arial" w:cs="Arial"/>
          <w:bCs/>
          <w:sz w:val="24"/>
          <w:szCs w:val="24"/>
        </w:rPr>
        <w:t>45a</w:t>
      </w:r>
      <w:r w:rsidRPr="0026691B">
        <w:rPr>
          <w:rFonts w:ascii="Arial" w:hAnsi="Arial" w:cs="Arial"/>
          <w:bCs/>
          <w:sz w:val="24"/>
          <w:szCs w:val="24"/>
        </w:rPr>
        <w:t>, opisanej w ewidencji gruntów jako działki nr</w:t>
      </w:r>
      <w:r w:rsidR="00451863" w:rsidRPr="0026691B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 xml:space="preserve">, oraz z obrębu, dla której prowadzona była księga wieczysta pod nazwą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Nieruchomość w Warszawie pod nr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Pr="0026691B">
        <w:rPr>
          <w:rFonts w:ascii="Arial" w:hAnsi="Arial" w:cs="Arial"/>
          <w:bCs/>
          <w:sz w:val="24"/>
          <w:szCs w:val="24"/>
        </w:rPr>
        <w:t>,</w:t>
      </w:r>
    </w:p>
    <w:p w14:paraId="3ADB5A7E" w14:textId="455B1FB5" w:rsidR="00157EF7" w:rsidRPr="0026691B" w:rsidRDefault="00157EF7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 udziałem stron: Miasta Stołecznego Warszawy, Prokuratora Prokuratury Regionalnej 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Warszawie,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-S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F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sp. z o.o., W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R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sp. 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o.o., M</w:t>
      </w:r>
      <w:r w:rsidR="00451863" w:rsidRPr="0026691B">
        <w:rPr>
          <w:rFonts w:ascii="Arial" w:hAnsi="Arial" w:cs="Arial"/>
          <w:bCs/>
          <w:sz w:val="24"/>
          <w:szCs w:val="24"/>
        </w:rPr>
        <w:t xml:space="preserve">. </w:t>
      </w:r>
      <w:r w:rsidRPr="0026691B">
        <w:rPr>
          <w:rFonts w:ascii="Arial" w:hAnsi="Arial" w:cs="Arial"/>
          <w:bCs/>
          <w:sz w:val="24"/>
          <w:szCs w:val="24"/>
        </w:rPr>
        <w:t>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T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A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N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A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 xml:space="preserve">. </w:t>
      </w:r>
      <w:r w:rsidRPr="0026691B">
        <w:rPr>
          <w:rFonts w:ascii="Arial" w:hAnsi="Arial" w:cs="Arial"/>
          <w:bCs/>
          <w:sz w:val="24"/>
          <w:szCs w:val="24"/>
        </w:rPr>
        <w:t>H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T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H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S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D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G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P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A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S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B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R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J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P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P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E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P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A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A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T</w:t>
      </w:r>
      <w:r w:rsidR="00451863" w:rsidRPr="0026691B">
        <w:rPr>
          <w:rFonts w:ascii="Arial" w:hAnsi="Arial" w:cs="Arial"/>
          <w:bCs/>
          <w:sz w:val="24"/>
          <w:szCs w:val="24"/>
        </w:rPr>
        <w:t xml:space="preserve">. </w:t>
      </w:r>
      <w:r w:rsidRPr="0026691B">
        <w:rPr>
          <w:rFonts w:ascii="Arial" w:hAnsi="Arial" w:cs="Arial"/>
          <w:bCs/>
          <w:sz w:val="24"/>
          <w:szCs w:val="24"/>
        </w:rPr>
        <w:t>C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G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C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W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A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W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W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J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A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U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-P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 xml:space="preserve">.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-P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Z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H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W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H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S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J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J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H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Z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M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J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K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 J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 xml:space="preserve"> J</w:t>
      </w:r>
      <w:r w:rsidR="0045186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;</w:t>
      </w:r>
    </w:p>
    <w:p w14:paraId="3C549083" w14:textId="5AFA3778" w:rsidR="0026691B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 xml:space="preserve">na podstawie art. 29 ust. 1 </w:t>
      </w:r>
      <w:r w:rsidR="0026691B" w:rsidRPr="0026691B">
        <w:rPr>
          <w:rFonts w:ascii="Arial" w:hAnsi="Arial" w:cs="Arial"/>
          <w:sz w:val="24"/>
          <w:szCs w:val="24"/>
        </w:rPr>
        <w:t>punkt</w:t>
      </w:r>
      <w:r w:rsidRPr="0026691B">
        <w:rPr>
          <w:rFonts w:ascii="Arial" w:hAnsi="Arial" w:cs="Arial"/>
          <w:sz w:val="24"/>
          <w:szCs w:val="24"/>
        </w:rPr>
        <w:t xml:space="preserve"> 4 w związku z art. 30 ust. 1 </w:t>
      </w:r>
      <w:r w:rsidR="0026691B" w:rsidRPr="0026691B">
        <w:rPr>
          <w:rFonts w:ascii="Arial" w:hAnsi="Arial" w:cs="Arial"/>
          <w:sz w:val="24"/>
          <w:szCs w:val="24"/>
        </w:rPr>
        <w:t>punkt</w:t>
      </w:r>
      <w:r w:rsidRPr="0026691B">
        <w:rPr>
          <w:rFonts w:ascii="Arial" w:hAnsi="Arial" w:cs="Arial"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</w:t>
      </w:r>
      <w:r w:rsidR="007B1376" w:rsidRPr="0026691B">
        <w:rPr>
          <w:rFonts w:ascii="Arial" w:eastAsia="Times New Roman" w:hAnsi="Arial" w:cs="Arial"/>
          <w:sz w:val="24"/>
          <w:szCs w:val="24"/>
          <w:lang w:eastAsia="zh-CN"/>
        </w:rPr>
        <w:t>Dziennik Ustaw</w:t>
      </w:r>
      <w:r w:rsidR="0026691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zh-CN"/>
        </w:rPr>
        <w:t>z 2021 r. poz. 795</w:t>
      </w:r>
      <w:r w:rsidRPr="0026691B">
        <w:rPr>
          <w:rFonts w:ascii="Arial" w:hAnsi="Arial" w:cs="Arial"/>
          <w:sz w:val="24"/>
          <w:szCs w:val="24"/>
        </w:rPr>
        <w:t>)</w:t>
      </w:r>
      <w:r w:rsidR="0061648E" w:rsidRP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 związku z art. 156</w:t>
      </w:r>
      <w:r w:rsidR="004A6B17" w:rsidRPr="0026691B">
        <w:rPr>
          <w:rFonts w:ascii="Arial" w:hAnsi="Arial" w:cs="Arial"/>
          <w:sz w:val="24"/>
          <w:szCs w:val="24"/>
        </w:rPr>
        <w:t xml:space="preserve"> paragraf </w:t>
      </w:r>
      <w:r w:rsidRPr="0026691B">
        <w:rPr>
          <w:rFonts w:ascii="Arial" w:hAnsi="Arial" w:cs="Arial"/>
          <w:sz w:val="24"/>
          <w:szCs w:val="24"/>
        </w:rPr>
        <w:t xml:space="preserve">1 </w:t>
      </w:r>
      <w:r w:rsidR="0026691B" w:rsidRPr="0026691B">
        <w:rPr>
          <w:rFonts w:ascii="Arial" w:hAnsi="Arial" w:cs="Arial"/>
          <w:sz w:val="24"/>
          <w:szCs w:val="24"/>
        </w:rPr>
        <w:t>punkt</w:t>
      </w:r>
      <w:r w:rsidRPr="0026691B">
        <w:rPr>
          <w:rFonts w:ascii="Arial" w:hAnsi="Arial" w:cs="Arial"/>
          <w:sz w:val="24"/>
          <w:szCs w:val="24"/>
        </w:rPr>
        <w:t xml:space="preserve"> 2 ustawy z dnia 14 czerwca 1960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 xml:space="preserve">r. – Kodeks postępowania </w:t>
      </w:r>
      <w:r w:rsidRPr="0026691B">
        <w:rPr>
          <w:rFonts w:ascii="Arial" w:hAnsi="Arial" w:cs="Arial"/>
          <w:sz w:val="24"/>
          <w:szCs w:val="24"/>
        </w:rPr>
        <w:lastRenderedPageBreak/>
        <w:t>administracyjnego (</w:t>
      </w:r>
      <w:r w:rsidR="007B1376" w:rsidRPr="0026691B">
        <w:rPr>
          <w:rFonts w:ascii="Arial" w:hAnsi="Arial" w:cs="Arial"/>
          <w:sz w:val="24"/>
          <w:szCs w:val="24"/>
        </w:rPr>
        <w:t>Dziennik Ustaw</w:t>
      </w:r>
      <w:r w:rsid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 2021 r. poz. 735)</w:t>
      </w:r>
      <w:r w:rsidR="00022568" w:rsidRPr="0026691B">
        <w:rPr>
          <w:rFonts w:ascii="Arial" w:hAnsi="Arial" w:cs="Arial"/>
          <w:sz w:val="24"/>
          <w:szCs w:val="24"/>
        </w:rPr>
        <w:t xml:space="preserve"> w związku z art. 38 ust. 1 oraz 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22568" w:rsidRPr="0026691B">
        <w:rPr>
          <w:rFonts w:ascii="Arial" w:hAnsi="Arial" w:cs="Arial"/>
          <w:sz w:val="24"/>
          <w:szCs w:val="24"/>
        </w:rPr>
        <w:t xml:space="preserve">2 </w:t>
      </w:r>
      <w:r w:rsidR="0026691B" w:rsidRPr="0026691B">
        <w:rPr>
          <w:rFonts w:ascii="Arial" w:hAnsi="Arial" w:cs="Arial"/>
          <w:sz w:val="24"/>
          <w:szCs w:val="24"/>
        </w:rPr>
        <w:t>punkt</w:t>
      </w:r>
      <w:r w:rsidR="00022568" w:rsidRPr="0026691B">
        <w:rPr>
          <w:rFonts w:ascii="Arial" w:hAnsi="Arial" w:cs="Arial"/>
          <w:sz w:val="24"/>
          <w:szCs w:val="24"/>
        </w:rPr>
        <w:t xml:space="preserve"> 4 ustawy z dnia 9 marca 2017 r.</w:t>
      </w:r>
      <w:r w:rsidRPr="0026691B">
        <w:rPr>
          <w:rFonts w:ascii="Arial" w:hAnsi="Arial" w:cs="Arial"/>
          <w:sz w:val="24"/>
          <w:szCs w:val="24"/>
        </w:rPr>
        <w:t>,</w:t>
      </w:r>
    </w:p>
    <w:p w14:paraId="025489FE" w14:textId="77777777" w:rsidR="0026691B" w:rsidRPr="0026691B" w:rsidRDefault="00E02193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orzeka:</w:t>
      </w:r>
    </w:p>
    <w:bookmarkEnd w:id="1"/>
    <w:p w14:paraId="6D54E799" w14:textId="7CCCE32A" w:rsidR="00E75B7F" w:rsidRPr="0026691B" w:rsidRDefault="00E75B7F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1.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stwierdzić wydanie decyzji Prezydenta Miasta Stołecznego Warszawy z 10 września 2008 r. nr 409</w:t>
      </w:r>
      <w:r w:rsidR="004A6B17" w:rsidRPr="0026691B">
        <w:rPr>
          <w:rFonts w:ascii="Arial" w:hAnsi="Arial" w:cs="Arial"/>
          <w:b/>
          <w:sz w:val="24"/>
          <w:szCs w:val="24"/>
        </w:rPr>
        <w:t xml:space="preserve"> ukośnik GK ukośnik DW ukośnik </w:t>
      </w:r>
      <w:r w:rsidRPr="0026691B">
        <w:rPr>
          <w:rFonts w:ascii="Arial" w:hAnsi="Arial" w:cs="Arial"/>
          <w:b/>
          <w:sz w:val="24"/>
          <w:szCs w:val="24"/>
        </w:rPr>
        <w:t>2008, z naruszeniem prawa;</w:t>
      </w:r>
    </w:p>
    <w:p w14:paraId="6D45B843" w14:textId="68E39B34" w:rsidR="00E75B7F" w:rsidRPr="0026691B" w:rsidRDefault="00E75B7F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2. stwierdzić wydanie decyzji Prezydenta Miasta Stołecznego Warszawy z 22 maja 2007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r. nr 180</w:t>
      </w:r>
      <w:r w:rsidR="004A6B17" w:rsidRPr="0026691B">
        <w:rPr>
          <w:rFonts w:ascii="Arial" w:hAnsi="Arial" w:cs="Arial"/>
          <w:b/>
          <w:sz w:val="24"/>
          <w:szCs w:val="24"/>
        </w:rPr>
        <w:t xml:space="preserve"> ukośnik GK ukośnik DW ukośnik </w:t>
      </w:r>
      <w:r w:rsidRPr="0026691B">
        <w:rPr>
          <w:rFonts w:ascii="Arial" w:hAnsi="Arial" w:cs="Arial"/>
          <w:b/>
          <w:sz w:val="24"/>
          <w:szCs w:val="24"/>
        </w:rPr>
        <w:t>2007, z naruszeniem prawa;</w:t>
      </w:r>
    </w:p>
    <w:p w14:paraId="7C3606B8" w14:textId="0C85AEB4" w:rsidR="0026691B" w:rsidRPr="0026691B" w:rsidRDefault="00E75B7F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3. stwierdzić wydanie decyzji Prezydenta Miasta Stołecznego Warszawy z 22 maja 2007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r. nr 179</w:t>
      </w:r>
      <w:r w:rsidR="004A6B17" w:rsidRPr="0026691B">
        <w:rPr>
          <w:rFonts w:ascii="Arial" w:hAnsi="Arial" w:cs="Arial"/>
          <w:b/>
          <w:sz w:val="24"/>
          <w:szCs w:val="24"/>
        </w:rPr>
        <w:t xml:space="preserve"> ukośnik GK ukośnik DW ukośnik </w:t>
      </w:r>
      <w:r w:rsidRPr="0026691B">
        <w:rPr>
          <w:rFonts w:ascii="Arial" w:hAnsi="Arial" w:cs="Arial"/>
          <w:b/>
          <w:sz w:val="24"/>
          <w:szCs w:val="24"/>
        </w:rPr>
        <w:t>2007, z naruszeniem prawa.</w:t>
      </w:r>
    </w:p>
    <w:p w14:paraId="756C2110" w14:textId="003E9711" w:rsidR="00E02193" w:rsidRPr="0026691B" w:rsidRDefault="00E02193" w:rsidP="00F427BA">
      <w:pPr>
        <w:pStyle w:val="Nagwek1"/>
        <w:spacing w:before="0" w:after="48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81312368"/>
      <w:r w:rsidRPr="0026691B">
        <w:rPr>
          <w:rFonts w:ascii="Arial" w:hAnsi="Arial" w:cs="Arial"/>
          <w:b/>
          <w:bCs/>
          <w:color w:val="auto"/>
          <w:sz w:val="24"/>
          <w:szCs w:val="24"/>
        </w:rPr>
        <w:t>UZASADNIENIE</w:t>
      </w:r>
      <w:bookmarkEnd w:id="2"/>
    </w:p>
    <w:p w14:paraId="503D5DC5" w14:textId="44224313" w:rsidR="00E02193" w:rsidRPr="0026691B" w:rsidRDefault="00EB5FB1" w:rsidP="00F427BA">
      <w:pPr>
        <w:pStyle w:val="Nagwek2"/>
        <w:spacing w:before="0" w:after="48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81312369"/>
      <w:r w:rsidRPr="0026691B">
        <w:rPr>
          <w:rFonts w:ascii="Arial" w:hAnsi="Arial" w:cs="Arial"/>
          <w:b/>
          <w:bCs/>
          <w:color w:val="auto"/>
          <w:sz w:val="24"/>
          <w:szCs w:val="24"/>
        </w:rPr>
        <w:t xml:space="preserve">1. </w:t>
      </w:r>
      <w:r w:rsidR="00E02193" w:rsidRPr="0026691B">
        <w:rPr>
          <w:rFonts w:ascii="Arial" w:hAnsi="Arial" w:cs="Arial"/>
          <w:b/>
          <w:bCs/>
          <w:color w:val="auto"/>
          <w:sz w:val="24"/>
          <w:szCs w:val="24"/>
        </w:rPr>
        <w:t>Postępowanie przed Komisją</w:t>
      </w:r>
      <w:bookmarkEnd w:id="3"/>
    </w:p>
    <w:p w14:paraId="223E2C94" w14:textId="4E8F46C4" w:rsidR="00747449" w:rsidRPr="0026691B" w:rsidRDefault="00E02193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 xml:space="preserve">Po przeprowadzeniu czynności sprawdzających, Komisja do spraw reprywatyzacji nieruchomości warszawskich (dalej: Komisja) </w:t>
      </w:r>
      <w:r w:rsidR="00747449" w:rsidRPr="0026691B">
        <w:rPr>
          <w:rFonts w:ascii="Arial" w:hAnsi="Arial" w:cs="Arial"/>
          <w:sz w:val="24"/>
          <w:szCs w:val="24"/>
        </w:rPr>
        <w:t>25 maja 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 wszczęła 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urzędu, 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 xml:space="preserve">podstawie art. 15 ust. 2 i 3 </w:t>
      </w:r>
      <w:r w:rsidR="00310401" w:rsidRPr="0026691B">
        <w:rPr>
          <w:rFonts w:ascii="Arial" w:hAnsi="Arial" w:cs="Arial"/>
          <w:sz w:val="24"/>
          <w:szCs w:val="24"/>
        </w:rPr>
        <w:t>w związku z</w:t>
      </w:r>
      <w:r w:rsidRPr="0026691B">
        <w:rPr>
          <w:rFonts w:ascii="Arial" w:hAnsi="Arial" w:cs="Arial"/>
          <w:sz w:val="24"/>
          <w:szCs w:val="24"/>
        </w:rPr>
        <w:t xml:space="preserve"> art. 16 ust. 1 ustawy z dnia 9 marca 2017 r. 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szczególnych zasadach usuwania skutków prawnych decyzji reprywatyza</w:t>
      </w:r>
      <w:r w:rsidRPr="0026691B">
        <w:rPr>
          <w:rFonts w:ascii="Arial" w:hAnsi="Arial" w:cs="Arial"/>
          <w:sz w:val="24"/>
          <w:szCs w:val="24"/>
        </w:rPr>
        <w:softHyphen/>
        <w:t>cyjnych dotyczących nieruchomości warszawskich, wydanych z naruszeniem prawa (</w:t>
      </w:r>
      <w:r w:rsidR="007B1376" w:rsidRPr="0026691B">
        <w:rPr>
          <w:rFonts w:ascii="Arial" w:hAnsi="Arial" w:cs="Arial"/>
          <w:sz w:val="24"/>
          <w:szCs w:val="24"/>
        </w:rPr>
        <w:t>Dziennik Ustaw</w:t>
      </w:r>
      <w:r w:rsid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 20</w:t>
      </w:r>
      <w:r w:rsidR="00747449" w:rsidRPr="0026691B">
        <w:rPr>
          <w:rFonts w:ascii="Arial" w:hAnsi="Arial" w:cs="Arial"/>
          <w:sz w:val="24"/>
          <w:szCs w:val="24"/>
        </w:rPr>
        <w:t>21</w:t>
      </w:r>
      <w:r w:rsidRPr="0026691B">
        <w:rPr>
          <w:rFonts w:ascii="Arial" w:hAnsi="Arial" w:cs="Arial"/>
          <w:sz w:val="24"/>
          <w:szCs w:val="24"/>
        </w:rPr>
        <w:t xml:space="preserve"> r., poz</w:t>
      </w:r>
      <w:r w:rsidR="00F72C89" w:rsidRPr="0026691B">
        <w:rPr>
          <w:rFonts w:ascii="Arial" w:hAnsi="Arial" w:cs="Arial"/>
          <w:sz w:val="24"/>
          <w:szCs w:val="24"/>
        </w:rPr>
        <w:t xml:space="preserve">. </w:t>
      </w:r>
      <w:r w:rsidR="00747449" w:rsidRPr="0026691B">
        <w:rPr>
          <w:rFonts w:ascii="Arial" w:hAnsi="Arial" w:cs="Arial"/>
          <w:sz w:val="24"/>
          <w:szCs w:val="24"/>
        </w:rPr>
        <w:t>795</w:t>
      </w:r>
      <w:r w:rsidRPr="0026691B">
        <w:rPr>
          <w:rFonts w:ascii="Arial" w:hAnsi="Arial" w:cs="Arial"/>
          <w:sz w:val="24"/>
          <w:szCs w:val="24"/>
        </w:rPr>
        <w:t>; dalej: ustawa z</w:t>
      </w:r>
      <w:r w:rsidR="003B1B01" w:rsidRP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9</w:t>
      </w:r>
      <w:r w:rsidR="003B1B01" w:rsidRPr="0026691B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 xml:space="preserve">marca 2017 r.), postępowanie rozpoznawcze </w:t>
      </w:r>
      <w:r w:rsidR="0074744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eastAsia="Calibri" w:hAnsi="Arial" w:cs="Arial"/>
          <w:sz w:val="24"/>
          <w:szCs w:val="24"/>
        </w:rPr>
        <w:t xml:space="preserve">przedmiocie decyzji </w:t>
      </w:r>
      <w:r w:rsidR="00747449" w:rsidRPr="0026691B">
        <w:rPr>
          <w:rFonts w:ascii="Arial" w:hAnsi="Arial" w:cs="Arial"/>
          <w:bCs/>
          <w:sz w:val="24"/>
          <w:szCs w:val="24"/>
        </w:rPr>
        <w:t>Prezydenta</w:t>
      </w:r>
      <w:r w:rsidR="00891186" w:rsidRPr="0026691B">
        <w:rPr>
          <w:rFonts w:ascii="Arial" w:hAnsi="Arial" w:cs="Arial"/>
          <w:bCs/>
          <w:sz w:val="24"/>
          <w:szCs w:val="24"/>
        </w:rPr>
        <w:t xml:space="preserve"> Miasta Stołecznego</w:t>
      </w:r>
      <w:r w:rsidR="00747449" w:rsidRPr="0026691B">
        <w:rPr>
          <w:rFonts w:ascii="Arial" w:hAnsi="Arial" w:cs="Arial"/>
          <w:bCs/>
          <w:sz w:val="24"/>
          <w:szCs w:val="24"/>
        </w:rPr>
        <w:t xml:space="preserve"> Warszawy z 22 maja 2007 r. nr 179</w:t>
      </w:r>
      <w:r w:rsidR="004A6B17" w:rsidRPr="0026691B">
        <w:rPr>
          <w:rFonts w:ascii="Arial" w:hAnsi="Arial" w:cs="Arial"/>
          <w:bCs/>
          <w:sz w:val="24"/>
          <w:szCs w:val="24"/>
        </w:rPr>
        <w:t xml:space="preserve"> ukośnik GK ukośnik DW ukośnik </w:t>
      </w:r>
      <w:r w:rsidR="00747449" w:rsidRPr="0026691B">
        <w:rPr>
          <w:rFonts w:ascii="Arial" w:hAnsi="Arial" w:cs="Arial"/>
          <w:bCs/>
          <w:sz w:val="24"/>
          <w:szCs w:val="24"/>
        </w:rPr>
        <w:t>2007 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22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180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września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409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2008,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przedmiocie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ustanowienia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użytkowania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wieczystego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położonej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Warszawie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przy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ul.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Tamka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AB68C2" w:rsidRPr="0026691B">
        <w:rPr>
          <w:rFonts w:ascii="Arial" w:hAnsi="Arial" w:cs="Arial"/>
          <w:bCs/>
          <w:sz w:val="24"/>
          <w:szCs w:val="24"/>
        </w:rPr>
        <w:t>45a</w:t>
      </w:r>
      <w:r w:rsidR="00747449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dla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prowadzona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była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księga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wieczysta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pod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nazwą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="00E34AEB" w:rsidRPr="0026691B">
        <w:rPr>
          <w:rFonts w:ascii="Arial" w:hAnsi="Arial" w:cs="Arial"/>
          <w:bCs/>
          <w:sz w:val="24"/>
          <w:szCs w:val="24"/>
        </w:rPr>
        <w:t>Nieruchomość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Warszawie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pod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34AEB" w:rsidRPr="0026691B">
        <w:rPr>
          <w:rFonts w:ascii="Arial" w:hAnsi="Arial" w:cs="Arial"/>
          <w:bCs/>
          <w:sz w:val="24"/>
          <w:szCs w:val="24"/>
        </w:rPr>
        <w:t>nr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E34AEB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opisanej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ewidencji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gruntów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jako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działki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nr,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47449" w:rsidRPr="0026691B">
        <w:rPr>
          <w:rFonts w:ascii="Arial" w:hAnsi="Arial" w:cs="Arial"/>
          <w:bCs/>
          <w:sz w:val="24"/>
          <w:szCs w:val="24"/>
        </w:rPr>
        <w:t>obrębu.</w:t>
      </w:r>
    </w:p>
    <w:p w14:paraId="204D4429" w14:textId="1A971AF2" w:rsidR="00026226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Następnie</w:t>
      </w:r>
      <w:r w:rsidR="004B1109">
        <w:rPr>
          <w:rFonts w:ascii="Arial" w:hAnsi="Arial" w:cs="Arial"/>
          <w:sz w:val="24"/>
          <w:szCs w:val="24"/>
        </w:rPr>
        <w:t xml:space="preserve"> </w:t>
      </w:r>
      <w:bookmarkStart w:id="4" w:name="_Hlk70068221"/>
      <w:r w:rsidR="00D838E1" w:rsidRPr="0026691B">
        <w:rPr>
          <w:rFonts w:ascii="Arial" w:hAnsi="Arial" w:cs="Arial"/>
          <w:sz w:val="24"/>
          <w:szCs w:val="24"/>
        </w:rPr>
        <w:t>postanowieni</w:t>
      </w:r>
      <w:r w:rsidR="009715ED" w:rsidRPr="0026691B">
        <w:rPr>
          <w:rFonts w:ascii="Arial" w:hAnsi="Arial" w:cs="Arial"/>
          <w:sz w:val="24"/>
          <w:szCs w:val="24"/>
        </w:rPr>
        <w:t>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Komisj</w:t>
      </w:r>
      <w:r w:rsidR="00D838E1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838E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838E1" w:rsidRPr="0026691B">
        <w:rPr>
          <w:rFonts w:ascii="Arial" w:hAnsi="Arial" w:cs="Arial"/>
          <w:sz w:val="24"/>
          <w:szCs w:val="24"/>
        </w:rPr>
        <w:t>25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838E1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202</w:t>
      </w:r>
      <w:r w:rsidR="00D838E1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bookmarkEnd w:id="4"/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zwróc</w:t>
      </w:r>
      <w:r w:rsidR="009715ED" w:rsidRPr="0026691B">
        <w:rPr>
          <w:rFonts w:ascii="Arial" w:hAnsi="Arial" w:cs="Arial"/>
          <w:sz w:val="24"/>
          <w:szCs w:val="24"/>
        </w:rPr>
        <w:t>ono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przedmiocie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wszczętej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sprawy</w:t>
      </w:r>
      <w:r w:rsidR="009715ED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A49A0" w:rsidRPr="0026691B">
        <w:rPr>
          <w:rFonts w:ascii="Arial" w:hAnsi="Arial" w:cs="Arial"/>
          <w:sz w:val="24"/>
          <w:szCs w:val="24"/>
        </w:rPr>
        <w:t>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A49A0" w:rsidRPr="0026691B">
        <w:rPr>
          <w:rFonts w:ascii="Arial" w:hAnsi="Arial" w:cs="Arial"/>
          <w:sz w:val="24"/>
          <w:szCs w:val="24"/>
        </w:rPr>
        <w:t>czerwca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A49A0"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postanowienie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zwróceniu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zostało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lastRenderedPageBreak/>
        <w:t>odebrane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sz w:val="24"/>
          <w:szCs w:val="24"/>
        </w:rPr>
        <w:t>(patrz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sz w:val="24"/>
          <w:szCs w:val="24"/>
        </w:rPr>
        <w:t>karta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A49A0" w:rsidRPr="0026691B">
        <w:rPr>
          <w:rFonts w:ascii="Arial" w:hAnsi="Arial" w:cs="Arial"/>
          <w:sz w:val="24"/>
          <w:szCs w:val="24"/>
        </w:rPr>
        <w:t>74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81601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81601" w:rsidRPr="0026691B">
        <w:rPr>
          <w:rFonts w:ascii="Arial" w:hAnsi="Arial" w:cs="Arial"/>
          <w:sz w:val="24"/>
          <w:szCs w:val="24"/>
        </w:rPr>
        <w:t>75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A49A0" w:rsidRPr="0026691B">
        <w:rPr>
          <w:rFonts w:ascii="Arial" w:hAnsi="Arial" w:cs="Arial"/>
          <w:sz w:val="24"/>
          <w:szCs w:val="24"/>
        </w:rPr>
        <w:t>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A49A0" w:rsidRPr="0026691B">
        <w:rPr>
          <w:rFonts w:ascii="Arial" w:hAnsi="Arial" w:cs="Arial"/>
          <w:sz w:val="24"/>
          <w:szCs w:val="24"/>
        </w:rPr>
        <w:t>21</w:t>
      </w:r>
      <w:r w:rsidRPr="0026691B">
        <w:rPr>
          <w:rFonts w:ascii="Arial" w:hAnsi="Arial" w:cs="Arial"/>
          <w:sz w:val="24"/>
          <w:szCs w:val="24"/>
        </w:rPr>
        <w:t>).</w:t>
      </w:r>
    </w:p>
    <w:p w14:paraId="44167C82" w14:textId="6AB30D41" w:rsidR="00E02193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Następnie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26226"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26226"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Komisja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ogłoszenie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Biuletynie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Informacji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Publicznej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urzędu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obsługującego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Ministra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Sprawiedliwości,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zawiadomiła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zakończeniu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dowodowego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możliwości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zapoznania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aktami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k.p.a.).</w:t>
      </w:r>
    </w:p>
    <w:p w14:paraId="2DB36CD5" w14:textId="1BCCEB40" w:rsidR="00E02193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Komisji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wpłynęły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opinie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Rady</w:t>
      </w:r>
      <w:r w:rsidR="000A579D" w:rsidRPr="0026691B">
        <w:rPr>
          <w:rFonts w:ascii="Arial" w:hAnsi="Arial" w:cs="Arial"/>
          <w:sz w:val="24"/>
          <w:szCs w:val="24"/>
        </w:rPr>
        <w:t>: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27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27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28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D35C3"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27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579D" w:rsidRPr="0026691B">
        <w:rPr>
          <w:rFonts w:ascii="Arial" w:hAnsi="Arial" w:cs="Arial"/>
          <w:sz w:val="24"/>
          <w:szCs w:val="24"/>
        </w:rPr>
        <w:t>r</w:t>
      </w:r>
      <w:r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5E0AB2C6" w14:textId="34012F85" w:rsidR="0003206F" w:rsidRPr="0026691B" w:rsidRDefault="00E0219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wyeliminowanie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obiegu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prawnego,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ponieważ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Społecznej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spełnione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przesłanki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wymienione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ustawy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marca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2017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określającej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zakres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tryb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działania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Komisji,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szczególności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wydanie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powyższych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doprowadziło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skutków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rażąco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sprzecznych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interesem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społecznym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skutków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sprzecznych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celem,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którego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ustanowiono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użytkowanie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wieczyste.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Społeczna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Rada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uznała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wyżej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wskazane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decyzje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wadliwe,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gdyż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Prezydent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9180B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9180B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wyjaśnił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wszystkich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istotnych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okoliczności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skierował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decyzje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zmarłej.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Społecznej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nastąpiły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nieodwracalne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skutki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3206F" w:rsidRPr="0026691B">
        <w:rPr>
          <w:rFonts w:ascii="Arial" w:hAnsi="Arial" w:cs="Arial"/>
          <w:sz w:val="24"/>
          <w:szCs w:val="24"/>
        </w:rPr>
        <w:t>prawne.</w:t>
      </w:r>
    </w:p>
    <w:p w14:paraId="2F097DF2" w14:textId="22AAC896" w:rsidR="007577CF" w:rsidRPr="0026691B" w:rsidRDefault="007577CF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Natomiast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wnosi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wyeliminowanie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409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września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obiegu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prawnego,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ponieważ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została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rażącym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naruszeniem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nieuprawnione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zastosowanie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</w:t>
      </w:r>
      <w:r w:rsidR="00A97C3A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”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dokonanie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których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należało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stwierdzić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nieważność.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opinii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nastąpiły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nieodwracalne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skutki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prawne.</w:t>
      </w:r>
    </w:p>
    <w:p w14:paraId="039624F8" w14:textId="426DF086" w:rsidR="00117317" w:rsidRPr="0026691B" w:rsidRDefault="00EB5FB1" w:rsidP="00F427BA">
      <w:pPr>
        <w:pStyle w:val="Nagwek2"/>
        <w:spacing w:before="0" w:after="48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81312370"/>
      <w:r w:rsidRPr="0026691B">
        <w:rPr>
          <w:rFonts w:ascii="Arial" w:hAnsi="Arial" w:cs="Arial"/>
          <w:b/>
          <w:bCs/>
          <w:color w:val="auto"/>
          <w:sz w:val="24"/>
          <w:szCs w:val="24"/>
        </w:rPr>
        <w:t>2.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02193" w:rsidRPr="0026691B">
        <w:rPr>
          <w:rFonts w:ascii="Arial" w:hAnsi="Arial" w:cs="Arial"/>
          <w:b/>
          <w:bCs/>
          <w:color w:val="auto"/>
          <w:sz w:val="24"/>
          <w:szCs w:val="24"/>
        </w:rPr>
        <w:t>Stan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02193" w:rsidRPr="0026691B">
        <w:rPr>
          <w:rFonts w:ascii="Arial" w:hAnsi="Arial" w:cs="Arial"/>
          <w:b/>
          <w:bCs/>
          <w:color w:val="auto"/>
          <w:sz w:val="24"/>
          <w:szCs w:val="24"/>
        </w:rPr>
        <w:t>faktyczny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02193" w:rsidRPr="0026691B">
        <w:rPr>
          <w:rFonts w:ascii="Arial" w:hAnsi="Arial" w:cs="Arial"/>
          <w:b/>
          <w:bCs/>
          <w:color w:val="auto"/>
          <w:sz w:val="24"/>
          <w:szCs w:val="24"/>
        </w:rPr>
        <w:t>sprawy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02193" w:rsidRPr="0026691B">
        <w:rPr>
          <w:rFonts w:ascii="Arial" w:hAnsi="Arial" w:cs="Arial"/>
          <w:b/>
          <w:bCs/>
          <w:color w:val="auto"/>
          <w:sz w:val="24"/>
          <w:szCs w:val="24"/>
        </w:rPr>
        <w:t>ustalony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02193" w:rsidRPr="0026691B">
        <w:rPr>
          <w:rFonts w:ascii="Arial" w:hAnsi="Arial" w:cs="Arial"/>
          <w:b/>
          <w:bCs/>
          <w:color w:val="auto"/>
          <w:sz w:val="24"/>
          <w:szCs w:val="24"/>
        </w:rPr>
        <w:t>przez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E02193" w:rsidRPr="0026691B">
        <w:rPr>
          <w:rFonts w:ascii="Arial" w:hAnsi="Arial" w:cs="Arial"/>
          <w:b/>
          <w:bCs/>
          <w:color w:val="auto"/>
          <w:sz w:val="24"/>
          <w:szCs w:val="24"/>
        </w:rPr>
        <w:t>Komisję</w:t>
      </w:r>
      <w:bookmarkEnd w:id="5"/>
    </w:p>
    <w:p w14:paraId="6804D3CB" w14:textId="4E392F79" w:rsidR="006B758C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6" w:name="_Toc81312371"/>
      <w:r w:rsidRPr="0026691B">
        <w:rPr>
          <w:rFonts w:ascii="Arial" w:hAnsi="Arial" w:cs="Arial"/>
          <w:sz w:val="24"/>
          <w:szCs w:val="24"/>
        </w:rPr>
        <w:t>2.1.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B758C" w:rsidRPr="0026691B">
        <w:rPr>
          <w:rFonts w:ascii="Arial" w:hAnsi="Arial" w:cs="Arial"/>
          <w:sz w:val="24"/>
          <w:szCs w:val="24"/>
        </w:rPr>
        <w:t>Opis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B758C" w:rsidRPr="0026691B">
        <w:rPr>
          <w:rFonts w:ascii="Arial" w:hAnsi="Arial" w:cs="Arial"/>
          <w:sz w:val="24"/>
          <w:szCs w:val="24"/>
        </w:rPr>
        <w:t>nieruchomości</w:t>
      </w:r>
      <w:bookmarkEnd w:id="6"/>
    </w:p>
    <w:p w14:paraId="188B5D59" w14:textId="6F693D28" w:rsidR="00F34BED" w:rsidRPr="0026691B" w:rsidRDefault="007B1194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Dawna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nieruchomość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hipoteczna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której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prowadzona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księga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wieczysta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pod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nazwą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sz w:val="24"/>
          <w:szCs w:val="24"/>
        </w:rPr>
        <w:t>„</w:t>
      </w:r>
      <w:r w:rsidR="00C64054" w:rsidRPr="0026691B">
        <w:rPr>
          <w:rFonts w:ascii="Arial" w:hAnsi="Arial" w:cs="Arial"/>
          <w:sz w:val="24"/>
          <w:szCs w:val="24"/>
        </w:rPr>
        <w:t>Nieruchomość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pod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sz w:val="24"/>
          <w:szCs w:val="24"/>
        </w:rPr>
        <w:t>”</w:t>
      </w:r>
      <w:r w:rsidR="00C64054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90,20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sążni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lastRenderedPageBreak/>
        <w:t>kwadratowych,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położona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ul.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Tamka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B68C2" w:rsidRPr="0026691B">
        <w:rPr>
          <w:rFonts w:ascii="Arial" w:hAnsi="Arial" w:cs="Arial"/>
          <w:sz w:val="24"/>
          <w:szCs w:val="24"/>
        </w:rPr>
        <w:t>45a</w:t>
      </w:r>
      <w:r w:rsidR="002A6DDB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obecnie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stanowi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działki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64054" w:rsidRPr="0026691B">
        <w:rPr>
          <w:rFonts w:ascii="Arial" w:hAnsi="Arial" w:cs="Arial"/>
          <w:sz w:val="24"/>
          <w:szCs w:val="24"/>
        </w:rPr>
        <w:t>ewidencyjne: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345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m</w:t>
      </w:r>
      <w:r w:rsidR="00F52C03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4B110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(uregulowaną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księdze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wieczystej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nr)</w:t>
      </w:r>
      <w:r w:rsidR="002A6DDB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28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m</w:t>
      </w:r>
      <w:r w:rsidR="002A6DDB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(dla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której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założono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księgę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wieczystą</w:t>
      </w:r>
      <w:r w:rsidR="003E3BB5" w:rsidRPr="0026691B">
        <w:rPr>
          <w:rFonts w:ascii="Arial" w:hAnsi="Arial" w:cs="Arial"/>
          <w:sz w:val="24"/>
          <w:szCs w:val="24"/>
        </w:rPr>
        <w:t>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52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m</w:t>
      </w:r>
      <w:r w:rsidR="002A6DDB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obrębu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(która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obecnie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posiada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księgę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wieczyst</w:t>
      </w:r>
      <w:r w:rsidR="00A970CF" w:rsidRPr="0026691B">
        <w:rPr>
          <w:rFonts w:ascii="Arial" w:hAnsi="Arial" w:cs="Arial"/>
          <w:sz w:val="24"/>
          <w:szCs w:val="24"/>
        </w:rPr>
        <w:t>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chwili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wydania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reprywatyzacyjnej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objęta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księgą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82D50" w:rsidRPr="0026691B">
        <w:rPr>
          <w:rFonts w:ascii="Arial" w:hAnsi="Arial" w:cs="Arial"/>
          <w:sz w:val="24"/>
          <w:szCs w:val="24"/>
        </w:rPr>
        <w:t>wieczystą)</w:t>
      </w:r>
      <w:r w:rsidR="00C64054" w:rsidRPr="0026691B">
        <w:rPr>
          <w:rFonts w:ascii="Arial" w:hAnsi="Arial" w:cs="Arial"/>
          <w:sz w:val="24"/>
          <w:szCs w:val="24"/>
        </w:rPr>
        <w:t>.</w:t>
      </w:r>
    </w:p>
    <w:p w14:paraId="56A17A23" w14:textId="770EC612" w:rsidR="007D0DBC" w:rsidRPr="0026691B" w:rsidRDefault="007D0DBC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pismem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Ministerstwa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Finansów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marca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2020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brak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informacji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stosunku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nieruchomości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Tamka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45a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ubiegano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otrzymano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odszkodowanie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międzynarodowych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umów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indemnizacyjnych</w:t>
      </w:r>
    </w:p>
    <w:p w14:paraId="4582017F" w14:textId="4B4D853B" w:rsidR="00F34BED" w:rsidRPr="0026691B" w:rsidRDefault="004727EB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</w:t>
      </w:r>
      <w:r w:rsidR="00216983" w:rsidRPr="0026691B">
        <w:rPr>
          <w:rFonts w:ascii="Arial" w:hAnsi="Arial" w:cs="Arial"/>
          <w:sz w:val="24"/>
          <w:szCs w:val="24"/>
        </w:rPr>
        <w:t>ieruchomość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środkową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częścią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zespołu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trzech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kamienic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wzniesionych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latach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1912-1914.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Budynki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te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gruntem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granicach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fundamentowania,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terenem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posesji</w:t>
      </w:r>
      <w:r w:rsidR="009D0CAD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Mazowieckiego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Wojewódzkiego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Konserwatora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Zabytków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wpisane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zostały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rejestru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zabytków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ostateczną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wydaną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lutego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16983" w:rsidRPr="0026691B">
        <w:rPr>
          <w:rFonts w:ascii="Arial" w:hAnsi="Arial" w:cs="Arial"/>
          <w:sz w:val="24"/>
          <w:szCs w:val="24"/>
        </w:rPr>
        <w:t>2009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A0E22" w:rsidRPr="0026691B">
        <w:rPr>
          <w:rFonts w:ascii="Arial" w:hAnsi="Arial" w:cs="Arial"/>
          <w:sz w:val="24"/>
          <w:szCs w:val="24"/>
        </w:rPr>
        <w:t>r</w:t>
      </w:r>
      <w:r w:rsidR="00216983" w:rsidRPr="0026691B">
        <w:rPr>
          <w:rFonts w:ascii="Arial" w:hAnsi="Arial" w:cs="Arial"/>
          <w:sz w:val="24"/>
          <w:szCs w:val="24"/>
        </w:rPr>
        <w:t>.</w:t>
      </w:r>
    </w:p>
    <w:p w14:paraId="45FB82F2" w14:textId="301319CE" w:rsidR="00F34BED" w:rsidRPr="0026691B" w:rsidRDefault="000C0D20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</w:t>
      </w:r>
      <w:r w:rsidR="005227CC" w:rsidRPr="0026691B">
        <w:rPr>
          <w:rFonts w:ascii="Arial" w:hAnsi="Arial" w:cs="Arial"/>
          <w:bCs/>
          <w:sz w:val="24"/>
          <w:szCs w:val="24"/>
        </w:rPr>
        <w:t>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27CC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operat</w:t>
      </w:r>
      <w:r w:rsidR="005227CC" w:rsidRPr="0026691B">
        <w:rPr>
          <w:rFonts w:ascii="Arial" w:hAnsi="Arial" w:cs="Arial"/>
          <w:sz w:val="24"/>
          <w:szCs w:val="24"/>
        </w:rPr>
        <w:t>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szacunkowy</w:t>
      </w:r>
      <w:r w:rsidR="005227CC" w:rsidRPr="0026691B">
        <w:rPr>
          <w:rFonts w:ascii="Arial" w:hAnsi="Arial" w:cs="Arial"/>
          <w:sz w:val="24"/>
          <w:szCs w:val="24"/>
        </w:rPr>
        <w:t>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27CC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2006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wartość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kompleksu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trzech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nieruchomości,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położonych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ul.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Tamka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45a,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stanowiących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działki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ew.,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937E6" w:rsidRPr="0026691B">
        <w:rPr>
          <w:rFonts w:ascii="Arial" w:hAnsi="Arial" w:cs="Arial"/>
          <w:sz w:val="24"/>
          <w:szCs w:val="24"/>
        </w:rPr>
        <w:t>jako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937E6" w:rsidRPr="0026691B">
        <w:rPr>
          <w:rFonts w:ascii="Arial" w:hAnsi="Arial" w:cs="Arial"/>
          <w:sz w:val="24"/>
          <w:szCs w:val="24"/>
        </w:rPr>
        <w:t>przedmiotu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937E6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937E6" w:rsidRPr="0026691B">
        <w:rPr>
          <w:rFonts w:ascii="Arial" w:hAnsi="Arial" w:cs="Arial"/>
          <w:sz w:val="24"/>
          <w:szCs w:val="24"/>
        </w:rPr>
        <w:t>własności,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wynosi</w:t>
      </w:r>
      <w:r w:rsidR="00927CFA" w:rsidRPr="0026691B">
        <w:rPr>
          <w:rFonts w:ascii="Arial" w:hAnsi="Arial" w:cs="Arial"/>
          <w:sz w:val="24"/>
          <w:szCs w:val="24"/>
        </w:rPr>
        <w:t>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B7652" w:rsidRPr="0026691B">
        <w:rPr>
          <w:rFonts w:ascii="Arial" w:hAnsi="Arial" w:cs="Arial"/>
          <w:sz w:val="24"/>
          <w:szCs w:val="24"/>
        </w:rPr>
        <w:t>złotyc</w:t>
      </w:r>
      <w:r w:rsidR="00AB68C2" w:rsidRPr="0026691B">
        <w:rPr>
          <w:rFonts w:ascii="Arial" w:hAnsi="Arial" w:cs="Arial"/>
          <w:sz w:val="24"/>
          <w:szCs w:val="24"/>
        </w:rPr>
        <w:t>h</w:t>
      </w:r>
      <w:r w:rsidR="007D0DBC" w:rsidRPr="0026691B">
        <w:rPr>
          <w:rFonts w:ascii="Arial" w:hAnsi="Arial" w:cs="Arial"/>
          <w:sz w:val="24"/>
          <w:szCs w:val="24"/>
        </w:rPr>
        <w:t>.</w:t>
      </w:r>
    </w:p>
    <w:p w14:paraId="1453F84E" w14:textId="3BB8D011" w:rsidR="00B547A4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7" w:name="_Toc81312372"/>
      <w:r w:rsidRPr="0026691B">
        <w:rPr>
          <w:rFonts w:ascii="Arial" w:hAnsi="Arial" w:cs="Arial"/>
          <w:sz w:val="24"/>
          <w:szCs w:val="24"/>
        </w:rPr>
        <w:t>2.2.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9164B" w:rsidRPr="0026691B">
        <w:rPr>
          <w:rFonts w:ascii="Arial" w:hAnsi="Arial" w:cs="Arial"/>
          <w:sz w:val="24"/>
          <w:szCs w:val="24"/>
        </w:rPr>
        <w:t>D</w:t>
      </w:r>
      <w:r w:rsidR="006B758C" w:rsidRPr="0026691B">
        <w:rPr>
          <w:rFonts w:ascii="Arial" w:hAnsi="Arial" w:cs="Arial"/>
          <w:sz w:val="24"/>
          <w:szCs w:val="24"/>
        </w:rPr>
        <w:t>awni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B758C" w:rsidRPr="0026691B">
        <w:rPr>
          <w:rFonts w:ascii="Arial" w:hAnsi="Arial" w:cs="Arial"/>
          <w:sz w:val="24"/>
          <w:szCs w:val="24"/>
        </w:rPr>
        <w:t>właściciele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9164B" w:rsidRPr="0026691B">
        <w:rPr>
          <w:rFonts w:ascii="Arial" w:hAnsi="Arial" w:cs="Arial"/>
          <w:sz w:val="24"/>
          <w:szCs w:val="24"/>
        </w:rPr>
        <w:t>nieruchomości</w:t>
      </w:r>
      <w:r w:rsidR="004E7B59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E7B59" w:rsidRPr="0026691B">
        <w:rPr>
          <w:rFonts w:ascii="Arial" w:hAnsi="Arial" w:cs="Arial"/>
          <w:sz w:val="24"/>
          <w:szCs w:val="24"/>
        </w:rPr>
        <w:t>wniosek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E7B59" w:rsidRPr="0026691B">
        <w:rPr>
          <w:rFonts w:ascii="Arial" w:hAnsi="Arial" w:cs="Arial"/>
          <w:sz w:val="24"/>
          <w:szCs w:val="24"/>
        </w:rPr>
        <w:t>dekretowy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547A4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547A4" w:rsidRPr="0026691B">
        <w:rPr>
          <w:rFonts w:ascii="Arial" w:hAnsi="Arial" w:cs="Arial"/>
          <w:sz w:val="24"/>
          <w:szCs w:val="24"/>
        </w:rPr>
        <w:t>następstwo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547A4" w:rsidRPr="0026691B">
        <w:rPr>
          <w:rFonts w:ascii="Arial" w:hAnsi="Arial" w:cs="Arial"/>
          <w:sz w:val="24"/>
          <w:szCs w:val="24"/>
        </w:rPr>
        <w:t>prawne</w:t>
      </w:r>
      <w:bookmarkEnd w:id="7"/>
    </w:p>
    <w:p w14:paraId="251E87AF" w14:textId="77777777" w:rsidR="00DA3270" w:rsidRDefault="00FB35D4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zaświadczeniem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Sądu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D0DBC" w:rsidRPr="0026691B">
        <w:rPr>
          <w:rFonts w:ascii="Arial" w:hAnsi="Arial" w:cs="Arial"/>
          <w:sz w:val="24"/>
          <w:szCs w:val="24"/>
        </w:rPr>
        <w:t>G</w:t>
      </w:r>
      <w:r w:rsidRPr="0026691B">
        <w:rPr>
          <w:rFonts w:ascii="Arial" w:hAnsi="Arial" w:cs="Arial"/>
          <w:sz w:val="24"/>
          <w:szCs w:val="24"/>
        </w:rPr>
        <w:t>rodzkiego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Warszawie,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Oddział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Ksiąg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Wieczystych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1949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E7B59" w:rsidRPr="0026691B">
        <w:rPr>
          <w:rFonts w:ascii="Arial" w:hAnsi="Arial" w:cs="Arial"/>
          <w:sz w:val="24"/>
          <w:szCs w:val="24"/>
        </w:rPr>
        <w:t>t</w:t>
      </w:r>
      <w:r w:rsidRPr="0026691B">
        <w:rPr>
          <w:rFonts w:ascii="Arial" w:hAnsi="Arial" w:cs="Arial"/>
          <w:sz w:val="24"/>
          <w:szCs w:val="24"/>
        </w:rPr>
        <w:t>ytuł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własności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nieruchomości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przysługiwał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L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J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19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194" w:rsidRPr="0026691B">
        <w:rPr>
          <w:rFonts w:ascii="Arial" w:hAnsi="Arial" w:cs="Arial"/>
          <w:sz w:val="24"/>
          <w:szCs w:val="24"/>
        </w:rPr>
        <w:t>O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194"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E82F3A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mocy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wniosku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października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1930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r.</w:t>
      </w:r>
      <w:r w:rsidR="004E7B59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tytułu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82F3A" w:rsidRPr="0026691B">
        <w:rPr>
          <w:rFonts w:ascii="Arial" w:hAnsi="Arial" w:cs="Arial"/>
          <w:sz w:val="24"/>
          <w:szCs w:val="24"/>
        </w:rPr>
        <w:t>spadkobrania.</w:t>
      </w:r>
    </w:p>
    <w:p w14:paraId="31305EAA" w14:textId="35F22267" w:rsidR="006F73A0" w:rsidRPr="0026691B" w:rsidRDefault="00183B4D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Objęcie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posiadanie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Gminę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nastąpiło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1948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roku,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tj.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ukazania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ogłoszenia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Dzienniku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Urzędowym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Narodowej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Zar</w:t>
      </w:r>
      <w:r w:rsidR="006F73A0" w:rsidRPr="0026691B">
        <w:rPr>
          <w:rFonts w:ascii="Arial" w:hAnsi="Arial" w:cs="Arial"/>
          <w:sz w:val="24"/>
          <w:szCs w:val="24"/>
        </w:rPr>
        <w:t>ządu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Miejskiego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Warszawy.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Właścicielka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złożyła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194" w:rsidRPr="0026691B">
        <w:rPr>
          <w:rFonts w:ascii="Arial" w:hAnsi="Arial" w:cs="Arial"/>
          <w:sz w:val="24"/>
          <w:szCs w:val="24"/>
        </w:rPr>
        <w:t>wniosek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194" w:rsidRPr="0026691B">
        <w:rPr>
          <w:rFonts w:ascii="Arial" w:hAnsi="Arial" w:cs="Arial"/>
          <w:sz w:val="24"/>
          <w:szCs w:val="24"/>
        </w:rPr>
        <w:t>dekretowy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lutego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1949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194" w:rsidRPr="0026691B">
        <w:rPr>
          <w:rFonts w:ascii="Arial" w:hAnsi="Arial" w:cs="Arial"/>
          <w:sz w:val="24"/>
          <w:szCs w:val="24"/>
        </w:rPr>
        <w:t>r.</w:t>
      </w:r>
    </w:p>
    <w:p w14:paraId="1AAE4334" w14:textId="1E2E3993" w:rsidR="007B1194" w:rsidRPr="0026691B" w:rsidRDefault="00EE0412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Prezydium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Narodowej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orzeczeniem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1952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znak: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odmówiło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dotychczasowej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właścicielce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przyznania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własności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czasowej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przedmiotowego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8D1163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1163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1163" w:rsidRPr="0026691B">
        <w:rPr>
          <w:rFonts w:ascii="Arial" w:hAnsi="Arial" w:cs="Arial"/>
          <w:sz w:val="24"/>
          <w:szCs w:val="24"/>
        </w:rPr>
        <w:t>powodu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1163" w:rsidRPr="0026691B">
        <w:rPr>
          <w:rFonts w:ascii="Arial" w:hAnsi="Arial" w:cs="Arial"/>
          <w:sz w:val="24"/>
          <w:szCs w:val="24"/>
        </w:rPr>
        <w:t>przeznaczenia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1163" w:rsidRPr="0026691B">
        <w:rPr>
          <w:rFonts w:ascii="Arial" w:hAnsi="Arial" w:cs="Arial"/>
          <w:sz w:val="24"/>
          <w:szCs w:val="24"/>
        </w:rPr>
        <w:t>terenu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1163" w:rsidRPr="0026691B">
        <w:rPr>
          <w:rFonts w:ascii="Arial" w:hAnsi="Arial" w:cs="Arial"/>
          <w:sz w:val="24"/>
          <w:szCs w:val="24"/>
        </w:rPr>
        <w:t>nieruchomości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sz w:val="24"/>
          <w:szCs w:val="24"/>
        </w:rPr>
        <w:t>„</w:t>
      </w:r>
      <w:r w:rsidR="008D1163" w:rsidRPr="0026691B">
        <w:rPr>
          <w:rFonts w:ascii="Arial" w:hAnsi="Arial" w:cs="Arial"/>
          <w:sz w:val="24"/>
          <w:szCs w:val="24"/>
        </w:rPr>
        <w:t>pod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1163" w:rsidRPr="0026691B">
        <w:rPr>
          <w:rFonts w:ascii="Arial" w:hAnsi="Arial" w:cs="Arial"/>
          <w:sz w:val="24"/>
          <w:szCs w:val="24"/>
        </w:rPr>
        <w:t>użyteczność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1163" w:rsidRPr="0026691B">
        <w:rPr>
          <w:rFonts w:ascii="Arial" w:hAnsi="Arial" w:cs="Arial"/>
          <w:sz w:val="24"/>
          <w:szCs w:val="24"/>
        </w:rPr>
        <w:t>publiczną</w:t>
      </w:r>
      <w:r w:rsidR="00F16C53" w:rsidRPr="0026691B">
        <w:rPr>
          <w:rFonts w:ascii="Arial" w:hAnsi="Arial" w:cs="Arial"/>
          <w:sz w:val="24"/>
          <w:szCs w:val="24"/>
        </w:rPr>
        <w:t>”</w:t>
      </w:r>
      <w:r w:rsidR="008D1163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Samorządowe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Kolegium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Odwoławcze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29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stycznia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2001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sz w:val="24"/>
          <w:szCs w:val="24"/>
        </w:rPr>
        <w:t>sygnatura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KOC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1887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55B19" w:rsidRPr="0026691B">
        <w:rPr>
          <w:rFonts w:ascii="Arial" w:hAnsi="Arial" w:cs="Arial"/>
          <w:sz w:val="24"/>
          <w:szCs w:val="24"/>
        </w:rPr>
        <w:t>00</w:t>
      </w:r>
      <w:r w:rsidR="00B422D9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stwierdziło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422D9" w:rsidRPr="0026691B">
        <w:rPr>
          <w:rFonts w:ascii="Arial" w:hAnsi="Arial" w:cs="Arial"/>
          <w:sz w:val="24"/>
          <w:szCs w:val="24"/>
        </w:rPr>
        <w:t>nieważność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wyżej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wskazanego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orzeczenia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F73A0" w:rsidRPr="0026691B">
        <w:rPr>
          <w:rFonts w:ascii="Arial" w:hAnsi="Arial" w:cs="Arial"/>
          <w:sz w:val="24"/>
          <w:szCs w:val="24"/>
        </w:rPr>
        <w:t>administracyjnego.</w:t>
      </w:r>
    </w:p>
    <w:p w14:paraId="41D35087" w14:textId="5AC5EAD8" w:rsidR="004E7B59" w:rsidRPr="0026691B" w:rsidRDefault="004E7B59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lastRenderedPageBreak/>
        <w:t>Sąd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Rejonowy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Mokotowa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Wydział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Cywilny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postanowieniem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listopada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1999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sz w:val="24"/>
          <w:szCs w:val="24"/>
        </w:rPr>
        <w:t>sygnatura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sz w:val="24"/>
          <w:szCs w:val="24"/>
        </w:rPr>
        <w:t>akt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stwierdził,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spadek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domu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zmarłej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stycznia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1969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Warszawie</w:t>
      </w:r>
      <w:r w:rsidR="002022C5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nabył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syn,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W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całości.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Sąd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Rejonowy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Mokotowa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Wydział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Cywilny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postanowieniu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marca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1998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sz w:val="24"/>
          <w:szCs w:val="24"/>
        </w:rPr>
        <w:t>sygnatura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sz w:val="24"/>
          <w:szCs w:val="24"/>
        </w:rPr>
        <w:t>akt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stwierdził,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spadek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F2478F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478F" w:rsidRPr="0026691B">
        <w:rPr>
          <w:rFonts w:ascii="Arial" w:hAnsi="Arial" w:cs="Arial"/>
          <w:sz w:val="24"/>
          <w:szCs w:val="24"/>
        </w:rPr>
        <w:t>zmarłym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478F" w:rsidRPr="0026691B">
        <w:rPr>
          <w:rFonts w:ascii="Arial" w:hAnsi="Arial" w:cs="Arial"/>
          <w:sz w:val="24"/>
          <w:szCs w:val="24"/>
        </w:rPr>
        <w:t>lipca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478F" w:rsidRPr="0026691B">
        <w:rPr>
          <w:rFonts w:ascii="Arial" w:hAnsi="Arial" w:cs="Arial"/>
          <w:sz w:val="24"/>
          <w:szCs w:val="24"/>
        </w:rPr>
        <w:t>1983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478F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478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478F" w:rsidRPr="0026691B">
        <w:rPr>
          <w:rFonts w:ascii="Arial" w:hAnsi="Arial" w:cs="Arial"/>
          <w:sz w:val="24"/>
          <w:szCs w:val="24"/>
        </w:rPr>
        <w:t>Warszawie,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nabyły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D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córka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M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jednej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drugiej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części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każda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nich.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zmarła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31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lipca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</w:t>
      </w:r>
      <w:r w:rsidR="00581611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spadek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całości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córka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</w:t>
      </w:r>
      <w:r w:rsidR="00A74595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postanowienia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Sądu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Rejonowego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Warszawy-Mokotowa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czerwca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sygn</w:t>
      </w:r>
      <w:r w:rsidR="00160B94" w:rsidRPr="0026691B">
        <w:rPr>
          <w:rFonts w:ascii="Arial" w:hAnsi="Arial" w:cs="Arial"/>
          <w:sz w:val="24"/>
          <w:szCs w:val="24"/>
        </w:rPr>
        <w:t>.</w:t>
      </w:r>
    </w:p>
    <w:p w14:paraId="37A2065D" w14:textId="0A3A798B" w:rsidR="00892396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8" w:name="_Toc81312373"/>
      <w:r w:rsidRPr="0026691B">
        <w:rPr>
          <w:rFonts w:ascii="Arial" w:hAnsi="Arial" w:cs="Arial"/>
          <w:sz w:val="24"/>
          <w:szCs w:val="24"/>
        </w:rPr>
        <w:t>2.3.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P</w:t>
      </w:r>
      <w:r w:rsidR="006B758C" w:rsidRPr="0026691B">
        <w:rPr>
          <w:rFonts w:ascii="Arial" w:hAnsi="Arial" w:cs="Arial"/>
          <w:sz w:val="24"/>
          <w:szCs w:val="24"/>
        </w:rPr>
        <w:t>ostępowanie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B758C" w:rsidRPr="0026691B">
        <w:rPr>
          <w:rFonts w:ascii="Arial" w:hAnsi="Arial" w:cs="Arial"/>
          <w:sz w:val="24"/>
          <w:szCs w:val="24"/>
        </w:rPr>
        <w:t>reprywatyzacyjne</w:t>
      </w:r>
      <w:bookmarkEnd w:id="8"/>
    </w:p>
    <w:p w14:paraId="329CFAD8" w14:textId="601776E2" w:rsidR="00A319EC" w:rsidRPr="0026691B" w:rsidRDefault="002F0D2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Prezydent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478F"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A6DDB" w:rsidRPr="0026691B">
        <w:rPr>
          <w:rFonts w:ascii="Arial" w:hAnsi="Arial" w:cs="Arial"/>
          <w:sz w:val="24"/>
          <w:szCs w:val="24"/>
        </w:rPr>
        <w:t>r.</w:t>
      </w:r>
      <w:r w:rsidR="005773DF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wydaną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odniesieniu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działek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ewidencyjnych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773DF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ustanowi</w:t>
      </w:r>
      <w:r w:rsidR="001A3330" w:rsidRPr="0026691B">
        <w:rPr>
          <w:rFonts w:ascii="Arial" w:hAnsi="Arial" w:cs="Arial"/>
          <w:sz w:val="24"/>
          <w:szCs w:val="24"/>
        </w:rPr>
        <w:t>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uż</w:t>
      </w:r>
      <w:r w:rsidR="00C07467" w:rsidRPr="0026691B">
        <w:rPr>
          <w:rFonts w:ascii="Arial" w:hAnsi="Arial" w:cs="Arial"/>
          <w:sz w:val="24"/>
          <w:szCs w:val="24"/>
        </w:rPr>
        <w:t>ytkowanie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wieczyste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n</w:t>
      </w:r>
      <w:r w:rsidR="00D67A6F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rzecz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A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K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M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K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D67A6F" w:rsidRPr="0026691B">
        <w:rPr>
          <w:rFonts w:ascii="Arial" w:hAnsi="Arial" w:cs="Arial"/>
          <w:sz w:val="24"/>
          <w:szCs w:val="24"/>
        </w:rPr>
        <w:t>-S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67A6F" w:rsidRPr="0026691B">
        <w:rPr>
          <w:rFonts w:ascii="Arial" w:hAnsi="Arial" w:cs="Arial"/>
          <w:sz w:val="24"/>
          <w:szCs w:val="24"/>
        </w:rPr>
        <w:t>(po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jednej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drugiej</w:t>
      </w:r>
      <w:r w:rsidR="00D67A6F" w:rsidRPr="0026691B">
        <w:rPr>
          <w:rFonts w:ascii="Arial" w:hAnsi="Arial" w:cs="Arial"/>
          <w:sz w:val="24"/>
          <w:szCs w:val="24"/>
        </w:rPr>
        <w:t>)</w:t>
      </w:r>
      <w:r w:rsidR="00C0746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została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skierowana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Wspólnoty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Mieszkaniowej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beneficjentek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07467" w:rsidRPr="0026691B">
        <w:rPr>
          <w:rFonts w:ascii="Arial" w:hAnsi="Arial" w:cs="Arial"/>
          <w:sz w:val="24"/>
          <w:szCs w:val="24"/>
        </w:rPr>
        <w:t>decyzji.</w:t>
      </w:r>
    </w:p>
    <w:p w14:paraId="5694824C" w14:textId="336FAB97" w:rsidR="00A319EC" w:rsidRPr="0026691B" w:rsidRDefault="00C07467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Natomiast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3206D"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717E"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717E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717E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717E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717E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717E" w:rsidRPr="0026691B">
        <w:rPr>
          <w:rFonts w:ascii="Arial" w:hAnsi="Arial" w:cs="Arial"/>
          <w:sz w:val="24"/>
          <w:szCs w:val="24"/>
        </w:rPr>
        <w:t>r.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wydan</w:t>
      </w:r>
      <w:r w:rsidR="00640627" w:rsidRPr="0026691B">
        <w:rPr>
          <w:rFonts w:ascii="Arial" w:hAnsi="Arial" w:cs="Arial"/>
          <w:sz w:val="24"/>
          <w:szCs w:val="24"/>
        </w:rPr>
        <w:t>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odnośnie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2396" w:rsidRPr="0026691B">
        <w:rPr>
          <w:rFonts w:ascii="Arial" w:hAnsi="Arial" w:cs="Arial"/>
          <w:sz w:val="24"/>
          <w:szCs w:val="24"/>
        </w:rPr>
        <w:t>działki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ewidencyjnej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40627"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ustanowi</w:t>
      </w:r>
      <w:r w:rsidRPr="0026691B">
        <w:rPr>
          <w:rFonts w:ascii="Arial" w:hAnsi="Arial" w:cs="Arial"/>
          <w:sz w:val="24"/>
          <w:szCs w:val="24"/>
        </w:rPr>
        <w:t>ono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użytk</w:t>
      </w:r>
      <w:r w:rsidRPr="0026691B">
        <w:rPr>
          <w:rFonts w:ascii="Arial" w:hAnsi="Arial" w:cs="Arial"/>
          <w:sz w:val="24"/>
          <w:szCs w:val="24"/>
        </w:rPr>
        <w:t>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wieczyste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rzecz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A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5F0FB5" w:rsidRPr="0026691B">
        <w:rPr>
          <w:rFonts w:ascii="Arial" w:hAnsi="Arial" w:cs="Arial"/>
          <w:sz w:val="24"/>
          <w:szCs w:val="24"/>
        </w:rPr>
        <w:t>D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K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(udział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0,3475)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K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M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K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5F0FB5" w:rsidRPr="0026691B">
        <w:rPr>
          <w:rFonts w:ascii="Arial" w:hAnsi="Arial" w:cs="Arial"/>
          <w:sz w:val="24"/>
          <w:szCs w:val="24"/>
        </w:rPr>
        <w:t>-S</w:t>
      </w:r>
      <w:r w:rsidR="00BC7F5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(udział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F0FB5" w:rsidRPr="0026691B">
        <w:rPr>
          <w:rFonts w:ascii="Arial" w:hAnsi="Arial" w:cs="Arial"/>
          <w:sz w:val="24"/>
          <w:szCs w:val="24"/>
        </w:rPr>
        <w:t>0,3475)</w:t>
      </w:r>
      <w:r w:rsidRPr="0026691B">
        <w:rPr>
          <w:rFonts w:ascii="Arial" w:hAnsi="Arial" w:cs="Arial"/>
          <w:sz w:val="24"/>
          <w:szCs w:val="24"/>
        </w:rPr>
        <w:t>.</w:t>
      </w:r>
    </w:p>
    <w:p w14:paraId="3BF30ADC" w14:textId="3E4D7D15" w:rsidR="00C07467" w:rsidRPr="0026691B" w:rsidRDefault="00C07467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Radca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357956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</w:t>
      </w:r>
      <w:r w:rsidR="00357956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wniósł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sierpnia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11363" w:rsidRPr="0026691B">
        <w:rPr>
          <w:rFonts w:ascii="Arial" w:hAnsi="Arial" w:cs="Arial"/>
          <w:bCs/>
          <w:sz w:val="24"/>
          <w:szCs w:val="24"/>
        </w:rPr>
        <w:t>wniosek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zmianę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180/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GK/DW/2007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trybie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155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k.p.a.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Wskazał,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357956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D</w:t>
      </w:r>
      <w:r w:rsidR="00357956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357956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lipca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03ADC" w:rsidRPr="0026691B">
        <w:rPr>
          <w:rFonts w:ascii="Arial" w:hAnsi="Arial" w:cs="Arial"/>
          <w:bCs/>
          <w:sz w:val="24"/>
          <w:szCs w:val="24"/>
        </w:rPr>
        <w:t>czyli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wydaniem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decyzji</w:t>
      </w:r>
      <w:r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03ADC" w:rsidRPr="0026691B">
        <w:rPr>
          <w:rFonts w:ascii="Arial" w:hAnsi="Arial" w:cs="Arial"/>
          <w:sz w:val="24"/>
          <w:szCs w:val="24"/>
        </w:rPr>
        <w:t>Pełnomocnik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wywodzi</w:t>
      </w:r>
      <w:r w:rsidR="00E03ADC" w:rsidRPr="0026691B">
        <w:rPr>
          <w:rFonts w:ascii="Arial" w:hAnsi="Arial" w:cs="Arial"/>
          <w:sz w:val="24"/>
          <w:szCs w:val="24"/>
        </w:rPr>
        <w:t>ł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03ADC"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03ADC" w:rsidRPr="0026691B">
        <w:rPr>
          <w:rFonts w:ascii="Arial" w:hAnsi="Arial" w:cs="Arial"/>
          <w:sz w:val="24"/>
          <w:szCs w:val="24"/>
        </w:rPr>
        <w:t>zmarłej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weszła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-S.</w:t>
      </w:r>
    </w:p>
    <w:p w14:paraId="5F68D795" w14:textId="5BF576BE" w:rsidR="009027F9" w:rsidRPr="0026691B" w:rsidRDefault="00E03ADC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Następnie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dec</w:t>
      </w:r>
      <w:r w:rsidRPr="0026691B">
        <w:rPr>
          <w:rFonts w:ascii="Arial" w:hAnsi="Arial" w:cs="Arial"/>
          <w:sz w:val="24"/>
          <w:szCs w:val="24"/>
        </w:rPr>
        <w:t>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409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września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20E0E" w:rsidRPr="0026691B">
        <w:rPr>
          <w:rFonts w:ascii="Arial" w:hAnsi="Arial" w:cs="Arial"/>
          <w:sz w:val="24"/>
          <w:szCs w:val="24"/>
        </w:rPr>
        <w:t>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rozpatrzeniu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0E0E" w:rsidRPr="0026691B">
        <w:rPr>
          <w:rFonts w:ascii="Arial" w:hAnsi="Arial" w:cs="Arial"/>
          <w:sz w:val="24"/>
          <w:szCs w:val="24"/>
        </w:rPr>
        <w:t>wniosku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0E0E" w:rsidRPr="0026691B">
        <w:rPr>
          <w:rFonts w:ascii="Arial" w:hAnsi="Arial" w:cs="Arial"/>
          <w:sz w:val="24"/>
          <w:szCs w:val="24"/>
        </w:rPr>
        <w:t>złożonego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0E0E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pełnomocnika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K</w:t>
      </w:r>
      <w:r w:rsidR="0015007D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K</w:t>
      </w:r>
      <w:r w:rsidR="0015007D" w:rsidRPr="0026691B">
        <w:rPr>
          <w:rFonts w:ascii="Arial" w:hAnsi="Arial" w:cs="Arial"/>
          <w:sz w:val="24"/>
          <w:szCs w:val="24"/>
        </w:rPr>
        <w:t>.</w:t>
      </w:r>
      <w:r w:rsidR="008E2DE0" w:rsidRPr="0026691B">
        <w:rPr>
          <w:rFonts w:ascii="Arial" w:hAnsi="Arial" w:cs="Arial"/>
          <w:sz w:val="24"/>
          <w:szCs w:val="24"/>
        </w:rPr>
        <w:t>-S</w:t>
      </w:r>
      <w:r w:rsidR="0015007D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Prezydent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0E0E" w:rsidRPr="0026691B">
        <w:rPr>
          <w:rFonts w:ascii="Arial" w:hAnsi="Arial" w:cs="Arial"/>
          <w:sz w:val="24"/>
          <w:szCs w:val="24"/>
        </w:rPr>
        <w:t>orzekł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0E0E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20E0E" w:rsidRPr="0026691B">
        <w:rPr>
          <w:rFonts w:ascii="Arial" w:hAnsi="Arial" w:cs="Arial"/>
          <w:sz w:val="24"/>
          <w:szCs w:val="24"/>
        </w:rPr>
        <w:t>zmianie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zgodą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dec</w:t>
      </w:r>
      <w:r w:rsidR="00A64FBC" w:rsidRPr="0026691B">
        <w:rPr>
          <w:rFonts w:ascii="Arial" w:hAnsi="Arial" w:cs="Arial"/>
          <w:sz w:val="24"/>
          <w:szCs w:val="24"/>
        </w:rPr>
        <w:t>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179/GK</w:t>
      </w:r>
      <w:r w:rsidR="00AE04B8" w:rsidRPr="0026691B">
        <w:rPr>
          <w:rFonts w:ascii="Arial" w:hAnsi="Arial" w:cs="Arial"/>
          <w:sz w:val="24"/>
          <w:szCs w:val="24"/>
        </w:rPr>
        <w:t>/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E04B8" w:rsidRPr="0026691B">
        <w:rPr>
          <w:rFonts w:ascii="Arial" w:hAnsi="Arial" w:cs="Arial"/>
          <w:sz w:val="24"/>
          <w:szCs w:val="24"/>
        </w:rPr>
        <w:t>DW</w:t>
      </w:r>
      <w:r w:rsidR="002315FD" w:rsidRPr="0026691B">
        <w:rPr>
          <w:rFonts w:ascii="Arial" w:hAnsi="Arial" w:cs="Arial"/>
          <w:sz w:val="24"/>
          <w:szCs w:val="24"/>
        </w:rPr>
        <w:t>/2007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roku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ten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sposób,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iż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sz w:val="24"/>
          <w:szCs w:val="24"/>
        </w:rPr>
        <w:t>punkcie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469AD" w:rsidRPr="0026691B">
        <w:rPr>
          <w:rFonts w:ascii="Arial" w:hAnsi="Arial" w:cs="Arial"/>
          <w:sz w:val="24"/>
          <w:szCs w:val="24"/>
        </w:rPr>
        <w:t>wpisano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E50C5" w:rsidRPr="0026691B">
        <w:rPr>
          <w:rFonts w:ascii="Arial" w:hAnsi="Arial" w:cs="Arial"/>
          <w:sz w:val="24"/>
          <w:szCs w:val="24"/>
        </w:rPr>
        <w:t>rozstrzygnięcie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E50C5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E50C5" w:rsidRPr="0026691B">
        <w:rPr>
          <w:rFonts w:ascii="Arial" w:hAnsi="Arial" w:cs="Arial"/>
          <w:sz w:val="24"/>
          <w:szCs w:val="24"/>
        </w:rPr>
        <w:t>ustanowieniu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praw</w:t>
      </w:r>
      <w:r w:rsidR="00BA341C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użytkowania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wieczystego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m</w:t>
      </w:r>
      <w:r w:rsidR="002315FD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2315FD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położonego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ul.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Tamka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B68C2" w:rsidRPr="0026691B">
        <w:rPr>
          <w:rFonts w:ascii="Arial" w:hAnsi="Arial" w:cs="Arial"/>
          <w:sz w:val="24"/>
          <w:szCs w:val="24"/>
        </w:rPr>
        <w:t>45a</w:t>
      </w:r>
      <w:r w:rsidR="002315FD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opisanego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ewidencji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gruntów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jako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działka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28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m</w:t>
      </w:r>
      <w:r w:rsidR="002315FD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52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15FD" w:rsidRPr="0026691B">
        <w:rPr>
          <w:rFonts w:ascii="Arial" w:hAnsi="Arial" w:cs="Arial"/>
          <w:sz w:val="24"/>
          <w:szCs w:val="24"/>
        </w:rPr>
        <w:t>m</w:t>
      </w:r>
      <w:r w:rsidR="002315FD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767C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2767C" w:rsidRPr="0026691B">
        <w:rPr>
          <w:rFonts w:ascii="Arial" w:hAnsi="Arial" w:cs="Arial"/>
          <w:sz w:val="24"/>
          <w:szCs w:val="24"/>
        </w:rPr>
        <w:t>obrębu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E50C5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E50C5" w:rsidRPr="0026691B">
        <w:rPr>
          <w:rFonts w:ascii="Arial" w:hAnsi="Arial" w:cs="Arial"/>
          <w:sz w:val="24"/>
          <w:szCs w:val="24"/>
        </w:rPr>
        <w:t>rzecz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E50C5" w:rsidRPr="0026691B">
        <w:rPr>
          <w:rFonts w:ascii="Arial" w:hAnsi="Arial" w:cs="Arial"/>
          <w:sz w:val="24"/>
          <w:szCs w:val="24"/>
        </w:rPr>
        <w:t>K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CE50C5" w:rsidRPr="0026691B">
        <w:rPr>
          <w:rFonts w:ascii="Arial" w:hAnsi="Arial" w:cs="Arial"/>
          <w:sz w:val="24"/>
          <w:szCs w:val="24"/>
        </w:rPr>
        <w:t>M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E50C5" w:rsidRPr="0026691B">
        <w:rPr>
          <w:rFonts w:ascii="Arial" w:hAnsi="Arial" w:cs="Arial"/>
          <w:sz w:val="24"/>
          <w:szCs w:val="24"/>
        </w:rPr>
        <w:t>K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CE50C5" w:rsidRPr="0026691B">
        <w:rPr>
          <w:rFonts w:ascii="Arial" w:hAnsi="Arial" w:cs="Arial"/>
          <w:sz w:val="24"/>
          <w:szCs w:val="24"/>
        </w:rPr>
        <w:t>-S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zmianie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zgodą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dec</w:t>
      </w:r>
      <w:r w:rsidR="00F83C4F" w:rsidRPr="0026691B">
        <w:rPr>
          <w:rFonts w:ascii="Arial" w:hAnsi="Arial" w:cs="Arial"/>
          <w:sz w:val="24"/>
          <w:szCs w:val="24"/>
        </w:rPr>
        <w:t>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1472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r</w:t>
      </w:r>
      <w:r w:rsidR="00F2767C" w:rsidRPr="0026691B">
        <w:rPr>
          <w:rFonts w:ascii="Arial" w:hAnsi="Arial" w:cs="Arial"/>
          <w:sz w:val="24"/>
          <w:szCs w:val="24"/>
        </w:rPr>
        <w:t>.</w:t>
      </w:r>
      <w:r w:rsidR="008E2DE0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A341C" w:rsidRPr="0026691B">
        <w:rPr>
          <w:rFonts w:ascii="Arial" w:hAnsi="Arial" w:cs="Arial"/>
          <w:sz w:val="24"/>
          <w:szCs w:val="24"/>
        </w:rPr>
        <w:t>poprzez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A341C" w:rsidRPr="0026691B">
        <w:rPr>
          <w:rFonts w:ascii="Arial" w:hAnsi="Arial" w:cs="Arial"/>
          <w:sz w:val="24"/>
          <w:szCs w:val="24"/>
        </w:rPr>
        <w:t>wpisanie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sz w:val="24"/>
          <w:szCs w:val="24"/>
        </w:rPr>
        <w:t>punkcie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A341C" w:rsidRPr="0026691B">
        <w:rPr>
          <w:rFonts w:ascii="Arial" w:hAnsi="Arial" w:cs="Arial"/>
          <w:sz w:val="24"/>
          <w:szCs w:val="24"/>
        </w:rPr>
        <w:t>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A341C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9342A" w:rsidRPr="0026691B">
        <w:rPr>
          <w:rFonts w:ascii="Arial" w:hAnsi="Arial" w:cs="Arial"/>
          <w:sz w:val="24"/>
          <w:szCs w:val="24"/>
        </w:rPr>
        <w:lastRenderedPageBreak/>
        <w:t>r</w:t>
      </w:r>
      <w:r w:rsidR="00BA341C" w:rsidRPr="0026691B">
        <w:rPr>
          <w:rFonts w:ascii="Arial" w:hAnsi="Arial" w:cs="Arial"/>
          <w:sz w:val="24"/>
          <w:szCs w:val="24"/>
        </w:rPr>
        <w:t>ozstrzygnięcia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A341C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A341C" w:rsidRPr="0026691B">
        <w:rPr>
          <w:rFonts w:ascii="Arial" w:hAnsi="Arial" w:cs="Arial"/>
          <w:sz w:val="24"/>
          <w:szCs w:val="24"/>
        </w:rPr>
        <w:t>ustanowieniu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A341C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użytkowania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wieczystego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udziale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0,695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84E86" w:rsidRPr="0026691B">
        <w:rPr>
          <w:rFonts w:ascii="Arial" w:hAnsi="Arial" w:cs="Arial"/>
          <w:sz w:val="24"/>
          <w:szCs w:val="24"/>
        </w:rPr>
        <w:t>części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345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m</w:t>
      </w:r>
      <w:r w:rsidR="009027F9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9027F9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położonego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</w:t>
      </w:r>
      <w:r w:rsidR="00E55129" w:rsidRPr="0026691B">
        <w:rPr>
          <w:rFonts w:ascii="Arial" w:hAnsi="Arial" w:cs="Arial"/>
          <w:sz w:val="24"/>
          <w:szCs w:val="24"/>
        </w:rPr>
        <w:t>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55129" w:rsidRPr="0026691B">
        <w:rPr>
          <w:rFonts w:ascii="Arial" w:hAnsi="Arial" w:cs="Arial"/>
          <w:sz w:val="24"/>
          <w:szCs w:val="24"/>
        </w:rPr>
        <w:t>ul.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55129" w:rsidRPr="0026691B">
        <w:rPr>
          <w:rFonts w:ascii="Arial" w:hAnsi="Arial" w:cs="Arial"/>
          <w:sz w:val="24"/>
          <w:szCs w:val="24"/>
        </w:rPr>
        <w:t>Tamka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B68C2" w:rsidRPr="0026691B">
        <w:rPr>
          <w:rFonts w:ascii="Arial" w:hAnsi="Arial" w:cs="Arial"/>
          <w:sz w:val="24"/>
          <w:szCs w:val="24"/>
        </w:rPr>
        <w:t>45a</w:t>
      </w:r>
      <w:r w:rsidR="008E2DE0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opisanego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ewidencji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gruntów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jako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działka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obrębu,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rzecz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K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E2DE0" w:rsidRPr="0026691B">
        <w:rPr>
          <w:rFonts w:ascii="Arial" w:hAnsi="Arial" w:cs="Arial"/>
          <w:sz w:val="24"/>
          <w:szCs w:val="24"/>
        </w:rPr>
        <w:t>K</w:t>
      </w:r>
      <w:r w:rsidR="00357956" w:rsidRPr="0026691B">
        <w:rPr>
          <w:rFonts w:ascii="Arial" w:hAnsi="Arial" w:cs="Arial"/>
          <w:sz w:val="24"/>
          <w:szCs w:val="24"/>
        </w:rPr>
        <w:t>.</w:t>
      </w:r>
      <w:r w:rsidR="008E2DE0" w:rsidRPr="0026691B">
        <w:rPr>
          <w:rFonts w:ascii="Arial" w:hAnsi="Arial" w:cs="Arial"/>
          <w:sz w:val="24"/>
          <w:szCs w:val="24"/>
        </w:rPr>
        <w:t>-S</w:t>
      </w:r>
      <w:r w:rsidR="001615F4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615F4" w:rsidRPr="0026691B">
        <w:rPr>
          <w:rFonts w:ascii="Arial" w:hAnsi="Arial" w:cs="Arial"/>
          <w:sz w:val="24"/>
          <w:szCs w:val="24"/>
        </w:rPr>
        <w:t>Ponadto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615F4" w:rsidRPr="0026691B">
        <w:rPr>
          <w:rFonts w:ascii="Arial" w:hAnsi="Arial" w:cs="Arial"/>
          <w:sz w:val="24"/>
          <w:szCs w:val="24"/>
        </w:rPr>
        <w:t>Prezydent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615F4" w:rsidRPr="0026691B">
        <w:rPr>
          <w:rFonts w:ascii="Arial" w:hAnsi="Arial" w:cs="Arial"/>
          <w:sz w:val="24"/>
          <w:szCs w:val="24"/>
        </w:rPr>
        <w:t>o</w:t>
      </w:r>
      <w:r w:rsidR="00ED378C" w:rsidRPr="0026691B">
        <w:rPr>
          <w:rFonts w:ascii="Arial" w:hAnsi="Arial" w:cs="Arial"/>
          <w:sz w:val="24"/>
          <w:szCs w:val="24"/>
        </w:rPr>
        <w:t>dmówił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ustanowienia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9255F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9255F" w:rsidRPr="0026691B">
        <w:rPr>
          <w:rFonts w:ascii="Arial" w:hAnsi="Arial" w:cs="Arial"/>
          <w:sz w:val="24"/>
          <w:szCs w:val="24"/>
        </w:rPr>
        <w:t>użytkowania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9255F" w:rsidRPr="0026691B">
        <w:rPr>
          <w:rFonts w:ascii="Arial" w:hAnsi="Arial" w:cs="Arial"/>
          <w:sz w:val="24"/>
          <w:szCs w:val="24"/>
        </w:rPr>
        <w:t>wieczystego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615F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udzia</w:t>
      </w:r>
      <w:r w:rsidR="001615F4" w:rsidRPr="0026691B">
        <w:rPr>
          <w:rFonts w:ascii="Arial" w:hAnsi="Arial" w:cs="Arial"/>
          <w:sz w:val="24"/>
          <w:szCs w:val="24"/>
        </w:rPr>
        <w:t>łu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0,305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84E86" w:rsidRPr="0026691B">
        <w:rPr>
          <w:rFonts w:ascii="Arial" w:hAnsi="Arial" w:cs="Arial"/>
          <w:sz w:val="24"/>
          <w:szCs w:val="24"/>
        </w:rPr>
        <w:t>części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powierzchni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345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m</w:t>
      </w:r>
      <w:r w:rsidR="009027F9" w:rsidRPr="0026691B">
        <w:rPr>
          <w:rFonts w:ascii="Arial" w:hAnsi="Arial" w:cs="Arial"/>
          <w:sz w:val="24"/>
          <w:szCs w:val="24"/>
          <w:vertAlign w:val="superscript"/>
        </w:rPr>
        <w:t>2</w:t>
      </w:r>
      <w:r w:rsidR="00ED378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uzasadnieniu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wskazano,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ocenie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organu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wniosek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zasług</w:t>
      </w:r>
      <w:r w:rsidR="00ED378C" w:rsidRPr="0026691B">
        <w:rPr>
          <w:rFonts w:ascii="Arial" w:hAnsi="Arial" w:cs="Arial"/>
          <w:sz w:val="24"/>
          <w:szCs w:val="24"/>
        </w:rPr>
        <w:t>iwał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uwzględnienie.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D378C" w:rsidRPr="0026691B">
        <w:rPr>
          <w:rFonts w:ascii="Arial" w:hAnsi="Arial" w:cs="Arial"/>
          <w:sz w:val="24"/>
          <w:szCs w:val="24"/>
        </w:rPr>
        <w:t>Zdaniem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D378C"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D378C"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17919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sprawach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dotyczących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praw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zbywalnych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dziedzicznych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razie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zbycia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śmierci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toku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miejsce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dotychczasowej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wstępują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następcy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27F9" w:rsidRPr="0026691B">
        <w:rPr>
          <w:rFonts w:ascii="Arial" w:hAnsi="Arial" w:cs="Arial"/>
          <w:sz w:val="24"/>
          <w:szCs w:val="24"/>
        </w:rPr>
        <w:t>prawni.</w:t>
      </w:r>
    </w:p>
    <w:p w14:paraId="555D4111" w14:textId="52B9EEA3" w:rsidR="0061648E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9" w:name="_Toc81312374"/>
      <w:r w:rsidRPr="0026691B">
        <w:rPr>
          <w:rFonts w:ascii="Arial" w:hAnsi="Arial" w:cs="Arial"/>
          <w:sz w:val="24"/>
          <w:szCs w:val="24"/>
        </w:rPr>
        <w:t>2.4.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Następstwo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prawne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wydaniu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reprywatyzacyjnych</w:t>
      </w:r>
      <w:bookmarkEnd w:id="9"/>
    </w:p>
    <w:p w14:paraId="2751F01E" w14:textId="003EE9FB" w:rsidR="009D7A0A" w:rsidRPr="0026691B" w:rsidRDefault="00AF027C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Po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wydaniu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decyzji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25152" w:rsidRPr="0026691B">
        <w:rPr>
          <w:rFonts w:ascii="Arial" w:hAnsi="Arial" w:cs="Arial"/>
          <w:bCs/>
          <w:sz w:val="24"/>
          <w:szCs w:val="24"/>
        </w:rPr>
        <w:t>o</w:t>
      </w:r>
      <w:r w:rsidR="00F31DA9" w:rsidRPr="0026691B">
        <w:rPr>
          <w:rFonts w:ascii="Arial" w:hAnsi="Arial" w:cs="Arial"/>
          <w:bCs/>
          <w:sz w:val="24"/>
          <w:szCs w:val="24"/>
        </w:rPr>
        <w:t>dnośnie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25152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działki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263B" w:rsidRPr="0026691B">
        <w:rPr>
          <w:rFonts w:ascii="Arial" w:hAnsi="Arial" w:cs="Arial"/>
          <w:sz w:val="24"/>
          <w:szCs w:val="24"/>
        </w:rPr>
        <w:t>zawarto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263B" w:rsidRPr="0026691B">
        <w:rPr>
          <w:rFonts w:ascii="Arial" w:hAnsi="Arial" w:cs="Arial"/>
          <w:sz w:val="24"/>
          <w:szCs w:val="24"/>
        </w:rPr>
        <w:t>następujące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263B" w:rsidRPr="0026691B">
        <w:rPr>
          <w:rFonts w:ascii="Arial" w:hAnsi="Arial" w:cs="Arial"/>
          <w:sz w:val="24"/>
          <w:szCs w:val="24"/>
        </w:rPr>
        <w:t>umowy: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45960" w:rsidRPr="0026691B">
        <w:rPr>
          <w:rFonts w:ascii="Arial" w:hAnsi="Arial" w:cs="Arial"/>
          <w:b/>
          <w:bCs/>
          <w:sz w:val="24"/>
          <w:szCs w:val="24"/>
        </w:rPr>
        <w:t>a)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umowa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grudnia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2009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przedmiocie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C2769" w:rsidRPr="0026691B">
        <w:rPr>
          <w:rFonts w:ascii="Arial" w:hAnsi="Arial" w:cs="Arial"/>
          <w:sz w:val="24"/>
          <w:szCs w:val="24"/>
        </w:rPr>
        <w:t>oddani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C2769"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C276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C2769" w:rsidRPr="0026691B">
        <w:rPr>
          <w:rFonts w:ascii="Arial" w:hAnsi="Arial" w:cs="Arial"/>
          <w:sz w:val="24"/>
          <w:szCs w:val="24"/>
        </w:rPr>
        <w:t>użytko</w:t>
      </w:r>
      <w:r w:rsidR="00F31DA9" w:rsidRPr="0026691B">
        <w:rPr>
          <w:rFonts w:ascii="Arial" w:hAnsi="Arial" w:cs="Arial"/>
          <w:sz w:val="24"/>
          <w:szCs w:val="24"/>
        </w:rPr>
        <w:softHyphen/>
      </w:r>
      <w:r w:rsidR="006C2769" w:rsidRPr="0026691B">
        <w:rPr>
          <w:rFonts w:ascii="Arial" w:hAnsi="Arial" w:cs="Arial"/>
          <w:sz w:val="24"/>
          <w:szCs w:val="24"/>
        </w:rPr>
        <w:t>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C2769" w:rsidRPr="0026691B">
        <w:rPr>
          <w:rFonts w:ascii="Arial" w:hAnsi="Arial" w:cs="Arial"/>
          <w:sz w:val="24"/>
          <w:szCs w:val="24"/>
        </w:rPr>
        <w:t>wieczyste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25152" w:rsidRPr="0026691B">
        <w:rPr>
          <w:rFonts w:ascii="Arial" w:hAnsi="Arial" w:cs="Arial"/>
          <w:sz w:val="24"/>
          <w:szCs w:val="24"/>
        </w:rPr>
        <w:t>(</w:t>
      </w:r>
      <w:r w:rsidR="009D7A0A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6C2769" w:rsidRPr="0026691B">
        <w:rPr>
          <w:rFonts w:ascii="Arial" w:hAnsi="Arial" w:cs="Arial"/>
          <w:sz w:val="24"/>
          <w:szCs w:val="24"/>
        </w:rPr>
        <w:t>)</w:t>
      </w:r>
      <w:r w:rsidR="00845960" w:rsidRPr="0026691B">
        <w:rPr>
          <w:rFonts w:ascii="Arial" w:hAnsi="Arial" w:cs="Arial"/>
          <w:sz w:val="24"/>
          <w:szCs w:val="24"/>
        </w:rPr>
        <w:t>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45960" w:rsidRPr="0026691B">
        <w:rPr>
          <w:rFonts w:ascii="Arial" w:hAnsi="Arial" w:cs="Arial"/>
          <w:b/>
          <w:bCs/>
          <w:sz w:val="24"/>
          <w:szCs w:val="24"/>
        </w:rPr>
        <w:t>b)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A94A21" w:rsidRPr="0026691B">
        <w:rPr>
          <w:rFonts w:ascii="Arial" w:hAnsi="Arial" w:cs="Arial"/>
          <w:sz w:val="24"/>
          <w:szCs w:val="24"/>
        </w:rPr>
        <w:t>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notarialn</w:t>
      </w:r>
      <w:r w:rsidR="00EA263B" w:rsidRPr="0026691B">
        <w:rPr>
          <w:rFonts w:ascii="Arial" w:hAnsi="Arial" w:cs="Arial"/>
          <w:sz w:val="24"/>
          <w:szCs w:val="24"/>
        </w:rPr>
        <w:t>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wyrażeniu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zgody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wykreślenie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hipoteki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sporządzony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października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2009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(notariusz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P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G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P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9D7A0A" w:rsidRPr="0026691B">
        <w:rPr>
          <w:rFonts w:ascii="Arial" w:hAnsi="Arial" w:cs="Arial"/>
          <w:sz w:val="24"/>
          <w:szCs w:val="24"/>
        </w:rPr>
        <w:t>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którego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prawo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użytkowania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wieczystego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K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A94A21" w:rsidRPr="0026691B">
        <w:rPr>
          <w:rFonts w:ascii="Arial" w:hAnsi="Arial" w:cs="Arial"/>
          <w:sz w:val="24"/>
          <w:szCs w:val="24"/>
        </w:rPr>
        <w:t>M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K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A94A21" w:rsidRPr="0026691B">
        <w:rPr>
          <w:rFonts w:ascii="Arial" w:hAnsi="Arial" w:cs="Arial"/>
          <w:sz w:val="24"/>
          <w:szCs w:val="24"/>
        </w:rPr>
        <w:t>-S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nabyła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spółka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A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sp.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o.o.</w:t>
      </w:r>
      <w:r w:rsidR="00845960" w:rsidRPr="0026691B">
        <w:rPr>
          <w:rFonts w:ascii="Arial" w:hAnsi="Arial" w:cs="Arial"/>
          <w:sz w:val="24"/>
          <w:szCs w:val="24"/>
        </w:rPr>
        <w:t>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45960" w:rsidRPr="0026691B">
        <w:rPr>
          <w:rFonts w:ascii="Arial" w:hAnsi="Arial" w:cs="Arial"/>
          <w:b/>
          <w:bCs/>
          <w:sz w:val="24"/>
          <w:szCs w:val="24"/>
        </w:rPr>
        <w:t>c)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u</w:t>
      </w:r>
      <w:r w:rsidR="00A94A21" w:rsidRPr="0026691B">
        <w:rPr>
          <w:rFonts w:ascii="Arial" w:hAnsi="Arial" w:cs="Arial"/>
          <w:sz w:val="24"/>
          <w:szCs w:val="24"/>
        </w:rPr>
        <w:t>mowa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zamiany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między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1E00" w:rsidRPr="0026691B">
        <w:rPr>
          <w:rFonts w:ascii="Arial" w:hAnsi="Arial" w:cs="Arial"/>
          <w:sz w:val="24"/>
          <w:szCs w:val="24"/>
        </w:rPr>
        <w:t>spółkami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A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sp.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o.o.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spółką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P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sp.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o.o.</w:t>
      </w:r>
      <w:r w:rsidR="009E1AC6" w:rsidRPr="0026691B">
        <w:rPr>
          <w:rFonts w:ascii="Arial" w:hAnsi="Arial" w:cs="Arial"/>
          <w:sz w:val="24"/>
          <w:szCs w:val="24"/>
        </w:rPr>
        <w:t>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ob</w:t>
      </w:r>
      <w:r w:rsidR="009E1AC6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E1AC6" w:rsidRPr="0026691B">
        <w:rPr>
          <w:rFonts w:ascii="Arial" w:hAnsi="Arial" w:cs="Arial"/>
          <w:sz w:val="24"/>
          <w:szCs w:val="24"/>
        </w:rPr>
        <w:t>podmioty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reprezentowane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E1AC6" w:rsidRPr="0026691B">
        <w:rPr>
          <w:rFonts w:ascii="Arial" w:hAnsi="Arial" w:cs="Arial"/>
          <w:sz w:val="24"/>
          <w:szCs w:val="24"/>
        </w:rPr>
        <w:t>były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P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W</w:t>
      </w:r>
      <w:r w:rsidR="00374697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(</w:t>
      </w:r>
      <w:r w:rsidR="009D7A0A" w:rsidRPr="0026691B">
        <w:rPr>
          <w:rFonts w:ascii="Arial" w:hAnsi="Arial" w:cs="Arial"/>
          <w:sz w:val="24"/>
          <w:szCs w:val="24"/>
        </w:rPr>
        <w:t>października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2011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D18C9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94A21" w:rsidRPr="0026691B">
        <w:rPr>
          <w:rFonts w:ascii="Arial" w:hAnsi="Arial" w:cs="Arial"/>
          <w:sz w:val="24"/>
          <w:szCs w:val="24"/>
        </w:rPr>
        <w:t>A)</w:t>
      </w:r>
      <w:r w:rsidR="00A24A29" w:rsidRPr="0026691B">
        <w:rPr>
          <w:rFonts w:ascii="Arial" w:hAnsi="Arial" w:cs="Arial"/>
          <w:sz w:val="24"/>
          <w:szCs w:val="24"/>
        </w:rPr>
        <w:t>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45960" w:rsidRPr="0026691B">
        <w:rPr>
          <w:rFonts w:ascii="Arial" w:hAnsi="Arial" w:cs="Arial"/>
          <w:b/>
          <w:bCs/>
          <w:sz w:val="24"/>
          <w:szCs w:val="24"/>
        </w:rPr>
        <w:t>d)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263B" w:rsidRPr="0026691B">
        <w:rPr>
          <w:rFonts w:ascii="Arial" w:hAnsi="Arial" w:cs="Arial"/>
          <w:sz w:val="24"/>
          <w:szCs w:val="24"/>
        </w:rPr>
        <w:t>umowy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s</w:t>
      </w:r>
      <w:r w:rsidR="00407371" w:rsidRPr="0026691B">
        <w:rPr>
          <w:rFonts w:ascii="Arial" w:hAnsi="Arial" w:cs="Arial"/>
          <w:sz w:val="24"/>
          <w:szCs w:val="24"/>
        </w:rPr>
        <w:t>przedaży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07371" w:rsidRPr="0026691B">
        <w:rPr>
          <w:rFonts w:ascii="Arial" w:hAnsi="Arial" w:cs="Arial"/>
          <w:sz w:val="24"/>
          <w:szCs w:val="24"/>
        </w:rPr>
        <w:t>przedsi</w:t>
      </w:r>
      <w:r w:rsidR="00EA263B" w:rsidRPr="0026691B">
        <w:rPr>
          <w:rFonts w:ascii="Arial" w:hAnsi="Arial" w:cs="Arial"/>
          <w:sz w:val="24"/>
          <w:szCs w:val="24"/>
        </w:rPr>
        <w:t>ę</w:t>
      </w:r>
      <w:r w:rsidR="00407371" w:rsidRPr="0026691B">
        <w:rPr>
          <w:rFonts w:ascii="Arial" w:hAnsi="Arial" w:cs="Arial"/>
          <w:sz w:val="24"/>
          <w:szCs w:val="24"/>
        </w:rPr>
        <w:t>biorstw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0737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07371" w:rsidRPr="0026691B">
        <w:rPr>
          <w:rFonts w:ascii="Arial" w:hAnsi="Arial" w:cs="Arial"/>
          <w:sz w:val="24"/>
          <w:szCs w:val="24"/>
        </w:rPr>
        <w:t>listopada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07371" w:rsidRPr="0026691B">
        <w:rPr>
          <w:rFonts w:ascii="Arial" w:hAnsi="Arial" w:cs="Arial"/>
          <w:sz w:val="24"/>
          <w:szCs w:val="24"/>
        </w:rPr>
        <w:t>2015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07371" w:rsidRPr="0026691B">
        <w:rPr>
          <w:rFonts w:ascii="Arial" w:hAnsi="Arial" w:cs="Arial"/>
          <w:sz w:val="24"/>
          <w:szCs w:val="24"/>
        </w:rPr>
        <w:t>r.</w:t>
      </w:r>
      <w:r w:rsidR="00066672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EA263B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263B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263B" w:rsidRPr="0026691B">
        <w:rPr>
          <w:rFonts w:ascii="Arial" w:hAnsi="Arial" w:cs="Arial"/>
          <w:sz w:val="24"/>
          <w:szCs w:val="24"/>
        </w:rPr>
        <w:t>wyniku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263B" w:rsidRPr="0026691B">
        <w:rPr>
          <w:rFonts w:ascii="Arial" w:hAnsi="Arial" w:cs="Arial"/>
          <w:sz w:val="24"/>
          <w:szCs w:val="24"/>
        </w:rPr>
        <w:t>których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prawo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nieruchomości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nabyła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spółka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F</w:t>
      </w:r>
      <w:r w:rsidR="00867159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sp.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o.o.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0D85" w:rsidRPr="0026691B">
        <w:rPr>
          <w:rFonts w:ascii="Arial" w:hAnsi="Arial" w:cs="Arial"/>
          <w:sz w:val="24"/>
          <w:szCs w:val="24"/>
        </w:rPr>
        <w:t>(Regon).</w:t>
      </w:r>
    </w:p>
    <w:p w14:paraId="1DF63B06" w14:textId="487AD16A" w:rsidR="00EE3EF2" w:rsidRPr="0026691B" w:rsidRDefault="00FC7527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/>
          <w:bCs/>
          <w:sz w:val="24"/>
          <w:szCs w:val="24"/>
        </w:rPr>
        <w:t>Natomiast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odnośnie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do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działki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umow</w:t>
      </w:r>
      <w:r w:rsidR="004838A1" w:rsidRPr="0026691B">
        <w:rPr>
          <w:rFonts w:ascii="Arial" w:hAnsi="Arial" w:cs="Arial"/>
          <w:sz w:val="24"/>
          <w:szCs w:val="24"/>
        </w:rPr>
        <w:t>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oddaniu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użytkowanie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wieczyste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M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="00F2767C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zawarto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kwietnia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</w:t>
      </w:r>
      <w:r w:rsidR="009D7A0A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Pr="0026691B">
        <w:rPr>
          <w:rFonts w:ascii="Arial" w:hAnsi="Arial" w:cs="Arial"/>
          <w:sz w:val="24"/>
          <w:szCs w:val="24"/>
        </w:rPr>
        <w:t>)</w:t>
      </w:r>
      <w:r w:rsidR="00F34BED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Następnie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umów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lipca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2010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(</w:t>
      </w:r>
      <w:r w:rsidR="009D7A0A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EE3EF2" w:rsidRPr="0026691B">
        <w:rPr>
          <w:rFonts w:ascii="Arial" w:hAnsi="Arial" w:cs="Arial"/>
          <w:sz w:val="24"/>
          <w:szCs w:val="24"/>
        </w:rPr>
        <w:t>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marca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2011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(</w:t>
      </w:r>
      <w:r w:rsidR="009D7A0A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EE3EF2" w:rsidRPr="0026691B">
        <w:rPr>
          <w:rFonts w:ascii="Arial" w:hAnsi="Arial" w:cs="Arial"/>
          <w:sz w:val="24"/>
          <w:szCs w:val="24"/>
        </w:rPr>
        <w:t>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prawo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użytkowania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wieczystego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przeniesiono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spółkę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A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sp.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E3EF2" w:rsidRPr="0026691B">
        <w:rPr>
          <w:rFonts w:ascii="Arial" w:hAnsi="Arial" w:cs="Arial"/>
          <w:sz w:val="24"/>
          <w:szCs w:val="24"/>
        </w:rPr>
        <w:t>o.o.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1A238F94" w14:textId="1ED1AB70" w:rsidR="00A15578" w:rsidRPr="0026691B" w:rsidRDefault="00FF082E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S</w:t>
      </w:r>
      <w:r w:rsidR="00A15578" w:rsidRPr="0026691B">
        <w:rPr>
          <w:rFonts w:ascii="Arial" w:hAnsi="Arial" w:cs="Arial"/>
          <w:sz w:val="24"/>
          <w:szCs w:val="24"/>
        </w:rPr>
        <w:t>półka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A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(REGON)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475C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475C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475C" w:rsidRPr="0026691B">
        <w:rPr>
          <w:rFonts w:ascii="Arial" w:hAnsi="Arial" w:cs="Arial"/>
          <w:sz w:val="24"/>
          <w:szCs w:val="24"/>
        </w:rPr>
        <w:t>uchwały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1E00" w:rsidRPr="0026691B">
        <w:rPr>
          <w:rFonts w:ascii="Arial" w:hAnsi="Arial" w:cs="Arial"/>
          <w:sz w:val="24"/>
          <w:szCs w:val="24"/>
        </w:rPr>
        <w:t>wspólników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została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zlikwidowana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475C" w:rsidRPr="0026691B">
        <w:rPr>
          <w:rFonts w:ascii="Arial" w:hAnsi="Arial" w:cs="Arial"/>
          <w:sz w:val="24"/>
          <w:szCs w:val="24"/>
        </w:rPr>
        <w:t>(co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A1E00" w:rsidRPr="0026691B">
        <w:rPr>
          <w:rFonts w:ascii="Arial" w:hAnsi="Arial" w:cs="Arial"/>
          <w:sz w:val="24"/>
          <w:szCs w:val="24"/>
        </w:rPr>
        <w:t>zaprotokołowano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475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475C" w:rsidRPr="0026691B">
        <w:rPr>
          <w:rFonts w:ascii="Arial" w:hAnsi="Arial" w:cs="Arial"/>
          <w:sz w:val="24"/>
          <w:szCs w:val="24"/>
        </w:rPr>
        <w:t>akcie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notarialnym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Repertorium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sz w:val="24"/>
          <w:szCs w:val="24"/>
        </w:rPr>
        <w:t>A</w:t>
      </w:r>
      <w:r w:rsidR="0061475C" w:rsidRPr="0026691B">
        <w:rPr>
          <w:rFonts w:ascii="Arial" w:hAnsi="Arial" w:cs="Arial"/>
          <w:sz w:val="24"/>
          <w:szCs w:val="24"/>
        </w:rPr>
        <w:t>)</w:t>
      </w:r>
      <w:r w:rsidR="00A15578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następc</w:t>
      </w:r>
      <w:r w:rsidR="008B4D65" w:rsidRPr="0026691B">
        <w:rPr>
          <w:rFonts w:ascii="Arial" w:hAnsi="Arial" w:cs="Arial"/>
          <w:sz w:val="24"/>
          <w:szCs w:val="24"/>
        </w:rPr>
        <w:t>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prawnym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została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F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sp.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o.o.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15578" w:rsidRPr="0026691B">
        <w:rPr>
          <w:rFonts w:ascii="Arial" w:hAnsi="Arial" w:cs="Arial"/>
          <w:sz w:val="24"/>
          <w:szCs w:val="24"/>
        </w:rPr>
        <w:t>(Regon).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księdze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wieczystej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znajduje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wzmianka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złożeniu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wpis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księgi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wieczystej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jako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użytkownika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wieczystego</w:t>
      </w:r>
      <w:r w:rsidR="00066672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spółki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F</w:t>
      </w:r>
      <w:r w:rsidR="00380718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o.o.</w:t>
      </w:r>
    </w:p>
    <w:p w14:paraId="15330D88" w14:textId="11B77280" w:rsidR="0082530D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10" w:name="_Toc81312375"/>
      <w:r w:rsidRPr="0026691B">
        <w:rPr>
          <w:rFonts w:ascii="Arial" w:hAnsi="Arial" w:cs="Arial"/>
          <w:sz w:val="24"/>
          <w:szCs w:val="24"/>
        </w:rPr>
        <w:t>2.5.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Sprzeciw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Prokuratora</w:t>
      </w:r>
      <w:bookmarkEnd w:id="10"/>
    </w:p>
    <w:p w14:paraId="629ADA18" w14:textId="42A00A39" w:rsidR="0082530D" w:rsidRPr="0026691B" w:rsidRDefault="00383066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</w:t>
      </w:r>
      <w:r w:rsidR="00C43FD7" w:rsidRPr="0026691B">
        <w:rPr>
          <w:rFonts w:ascii="Arial" w:hAnsi="Arial" w:cs="Arial"/>
          <w:sz w:val="24"/>
          <w:szCs w:val="24"/>
        </w:rPr>
        <w:t>rokurator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Prokuratury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Regionalnej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czerwca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2018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złożył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sprzeciw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o</w:t>
      </w:r>
      <w:r w:rsidR="0082530D" w:rsidRPr="0026691B">
        <w:rPr>
          <w:rFonts w:ascii="Arial" w:hAnsi="Arial" w:cs="Arial"/>
          <w:sz w:val="24"/>
          <w:szCs w:val="24"/>
        </w:rPr>
        <w:t>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września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r.</w:t>
      </w:r>
      <w:r w:rsidR="00C43FD7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zarzucając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3FD7" w:rsidRPr="0026691B">
        <w:rPr>
          <w:rFonts w:ascii="Arial" w:hAnsi="Arial" w:cs="Arial"/>
          <w:sz w:val="24"/>
          <w:szCs w:val="24"/>
        </w:rPr>
        <w:t>organowi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rażące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naruszenie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k.p.a.,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lastRenderedPageBreak/>
        <w:t>polegające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tym,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Prezydent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wydając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trybie,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zmieniając</w:t>
      </w:r>
      <w:r w:rsidR="00310401" w:rsidRPr="0026691B">
        <w:rPr>
          <w:rFonts w:ascii="Arial" w:hAnsi="Arial" w:cs="Arial"/>
          <w:sz w:val="24"/>
          <w:szCs w:val="24"/>
        </w:rPr>
        <w:t>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pierwotne,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ostateczne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dokonał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niedopuszczalnej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podmiotów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adminis</w:t>
      </w:r>
      <w:r w:rsidR="008D2605" w:rsidRPr="0026691B">
        <w:rPr>
          <w:rFonts w:ascii="Arial" w:hAnsi="Arial" w:cs="Arial"/>
          <w:sz w:val="24"/>
          <w:szCs w:val="24"/>
        </w:rPr>
        <w:t>tracyjnych,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2605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2605" w:rsidRPr="0026691B">
        <w:rPr>
          <w:rFonts w:ascii="Arial" w:hAnsi="Arial" w:cs="Arial"/>
          <w:sz w:val="24"/>
          <w:szCs w:val="24"/>
        </w:rPr>
        <w:t>nadto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2605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2605" w:rsidRPr="0026691B">
        <w:rPr>
          <w:rFonts w:ascii="Arial" w:hAnsi="Arial" w:cs="Arial"/>
          <w:sz w:val="24"/>
          <w:szCs w:val="24"/>
        </w:rPr>
        <w:t>uzyskał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zgody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wszystkich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stron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post</w:t>
      </w:r>
      <w:r w:rsidR="006D18C9" w:rsidRPr="0026691B">
        <w:rPr>
          <w:rFonts w:ascii="Arial" w:hAnsi="Arial" w:cs="Arial"/>
          <w:sz w:val="24"/>
          <w:szCs w:val="24"/>
        </w:rPr>
        <w:t>ę</w:t>
      </w:r>
      <w:r w:rsidR="0082530D" w:rsidRPr="0026691B">
        <w:rPr>
          <w:rFonts w:ascii="Arial" w:hAnsi="Arial" w:cs="Arial"/>
          <w:sz w:val="24"/>
          <w:szCs w:val="24"/>
        </w:rPr>
        <w:t>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administracyj</w:t>
      </w:r>
      <w:r w:rsidR="008D2605" w:rsidRPr="0026691B">
        <w:rPr>
          <w:rFonts w:ascii="Arial" w:hAnsi="Arial" w:cs="Arial"/>
          <w:sz w:val="24"/>
          <w:szCs w:val="24"/>
        </w:rPr>
        <w:softHyphen/>
      </w:r>
      <w:r w:rsidR="0082530D" w:rsidRPr="0026691B">
        <w:rPr>
          <w:rFonts w:ascii="Arial" w:hAnsi="Arial" w:cs="Arial"/>
          <w:sz w:val="24"/>
          <w:szCs w:val="24"/>
        </w:rPr>
        <w:t>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taką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zmianę,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podczas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gdy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uzyskanie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zgody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wszystkich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stron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stanowi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konieczny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warunek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wydania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376C" w:rsidRPr="0026691B">
        <w:rPr>
          <w:rFonts w:ascii="Arial" w:hAnsi="Arial" w:cs="Arial"/>
          <w:sz w:val="24"/>
          <w:szCs w:val="24"/>
        </w:rPr>
        <w:t>t</w:t>
      </w:r>
      <w:r w:rsidR="0082530D" w:rsidRPr="0026691B">
        <w:rPr>
          <w:rFonts w:ascii="Arial" w:hAnsi="Arial" w:cs="Arial"/>
          <w:sz w:val="24"/>
          <w:szCs w:val="24"/>
        </w:rPr>
        <w:t>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k.p.a.,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także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dokonała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wydaniu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których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posiadał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żadnego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luzu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decyzyjnego,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gdyż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bezwzględnie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obowiązujące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przepisy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materialnego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zobowiązywały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ustaleniu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istnienia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wymaganych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przesłan</w:t>
      </w:r>
      <w:r w:rsidR="006D18C9" w:rsidRPr="0026691B">
        <w:rPr>
          <w:rFonts w:ascii="Arial" w:hAnsi="Arial" w:cs="Arial"/>
          <w:sz w:val="24"/>
          <w:szCs w:val="24"/>
        </w:rPr>
        <w:t>e</w:t>
      </w:r>
      <w:r w:rsidR="0082530D" w:rsidRPr="0026691B">
        <w:rPr>
          <w:rFonts w:ascii="Arial" w:hAnsi="Arial" w:cs="Arial"/>
          <w:sz w:val="24"/>
          <w:szCs w:val="24"/>
        </w:rPr>
        <w:t>k,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wydania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określonych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treści,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stanowi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przesłankę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zaskarżonej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decyzji,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przewidzianą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156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2530D" w:rsidRPr="0026691B">
        <w:rPr>
          <w:rFonts w:ascii="Arial" w:hAnsi="Arial" w:cs="Arial"/>
          <w:sz w:val="24"/>
          <w:szCs w:val="24"/>
        </w:rPr>
        <w:t>k.p.a</w:t>
      </w:r>
      <w:r w:rsidR="00C823C5" w:rsidRPr="0026691B">
        <w:rPr>
          <w:rFonts w:ascii="Arial" w:hAnsi="Arial" w:cs="Arial"/>
          <w:sz w:val="24"/>
          <w:szCs w:val="24"/>
        </w:rPr>
        <w:t>.</w:t>
      </w:r>
    </w:p>
    <w:p w14:paraId="69ADB3B1" w14:textId="66659F84" w:rsidR="009A3117" w:rsidRPr="0026691B" w:rsidRDefault="00BB747F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Samorządowe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Kolegium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Odwoławcze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4D9A" w:rsidRPr="0026691B">
        <w:rPr>
          <w:rFonts w:ascii="Arial" w:hAnsi="Arial" w:cs="Arial"/>
          <w:sz w:val="24"/>
          <w:szCs w:val="24"/>
        </w:rPr>
        <w:t>16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stycznia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2019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4A99" w:rsidRPr="0026691B">
        <w:rPr>
          <w:rFonts w:ascii="Arial" w:hAnsi="Arial" w:cs="Arial"/>
          <w:sz w:val="24"/>
          <w:szCs w:val="24"/>
        </w:rPr>
        <w:t>(KOC/3405/Go/18)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168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contrario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odmówiło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34BED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34BED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409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2008.</w:t>
      </w:r>
    </w:p>
    <w:p w14:paraId="64A4AB41" w14:textId="0ACBD774" w:rsidR="00BB747F" w:rsidRPr="0026691B" w:rsidRDefault="00E14D9A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Prokuratura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Regionalna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stycznia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2019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ponowne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rozpoznanie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sprawy.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nadano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sygnaturę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KOC/534/Go/19.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został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rozpatrzony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709A" w:rsidRPr="0026691B">
        <w:rPr>
          <w:rFonts w:ascii="Arial" w:hAnsi="Arial" w:cs="Arial"/>
          <w:sz w:val="24"/>
          <w:szCs w:val="24"/>
        </w:rPr>
        <w:t>przed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709A" w:rsidRPr="0026691B">
        <w:rPr>
          <w:rFonts w:ascii="Arial" w:hAnsi="Arial" w:cs="Arial"/>
          <w:sz w:val="24"/>
          <w:szCs w:val="24"/>
        </w:rPr>
        <w:t>wszczęciem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709A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709A" w:rsidRPr="0026691B">
        <w:rPr>
          <w:rFonts w:ascii="Arial" w:hAnsi="Arial" w:cs="Arial"/>
          <w:sz w:val="24"/>
          <w:szCs w:val="24"/>
        </w:rPr>
        <w:t>Komisję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709A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709A" w:rsidRPr="0026691B">
        <w:rPr>
          <w:rFonts w:ascii="Arial" w:hAnsi="Arial" w:cs="Arial"/>
          <w:sz w:val="24"/>
          <w:szCs w:val="24"/>
        </w:rPr>
        <w:t>rozpoznawczego</w:t>
      </w:r>
      <w:r w:rsidRPr="0026691B">
        <w:rPr>
          <w:rFonts w:ascii="Arial" w:hAnsi="Arial" w:cs="Arial"/>
          <w:sz w:val="24"/>
          <w:szCs w:val="24"/>
        </w:rPr>
        <w:t>.</w:t>
      </w:r>
    </w:p>
    <w:p w14:paraId="759E5303" w14:textId="0D4DE380" w:rsidR="00792A3A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11" w:name="_Toc81312376"/>
      <w:r w:rsidRPr="0026691B">
        <w:rPr>
          <w:rFonts w:ascii="Arial" w:hAnsi="Arial" w:cs="Arial"/>
          <w:sz w:val="24"/>
          <w:szCs w:val="24"/>
        </w:rPr>
        <w:t>2.6.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91E40" w:rsidRPr="0026691B">
        <w:rPr>
          <w:rFonts w:ascii="Arial" w:hAnsi="Arial" w:cs="Arial"/>
          <w:sz w:val="24"/>
          <w:szCs w:val="24"/>
        </w:rPr>
        <w:t>Materiał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91E40" w:rsidRPr="0026691B">
        <w:rPr>
          <w:rFonts w:ascii="Arial" w:hAnsi="Arial" w:cs="Arial"/>
          <w:sz w:val="24"/>
          <w:szCs w:val="24"/>
        </w:rPr>
        <w:t>dowodowy</w:t>
      </w:r>
      <w:bookmarkEnd w:id="11"/>
    </w:p>
    <w:p w14:paraId="61DDFFE7" w14:textId="4884374E" w:rsidR="0026691B" w:rsidRPr="0026691B" w:rsidRDefault="0051258E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Powyższy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</w:t>
      </w:r>
      <w:r w:rsidR="008F6CE9" w:rsidRPr="0026691B">
        <w:rPr>
          <w:rFonts w:ascii="Arial" w:hAnsi="Arial" w:cs="Arial"/>
          <w:sz w:val="24"/>
          <w:szCs w:val="24"/>
        </w:rPr>
        <w:t>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faktyczny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sprawy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ustalono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zgromadzonych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Komisję,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własnościowych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otrzymanych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Urzędu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Warszawy,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postępowań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toczących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przed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Samorządowym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K</w:t>
      </w:r>
      <w:r w:rsidR="008F6CE9" w:rsidRPr="0026691B">
        <w:rPr>
          <w:rFonts w:ascii="Arial" w:hAnsi="Arial" w:cs="Arial"/>
          <w:sz w:val="24"/>
          <w:szCs w:val="24"/>
        </w:rPr>
        <w:t>olegium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Odwoławczym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6CE9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87BED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87BED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ksi</w:t>
      </w:r>
      <w:r w:rsidR="0000055D" w:rsidRPr="0026691B">
        <w:rPr>
          <w:rFonts w:ascii="Arial" w:hAnsi="Arial" w:cs="Arial"/>
          <w:sz w:val="24"/>
          <w:szCs w:val="24"/>
        </w:rPr>
        <w:t>ąg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61648E" w:rsidRPr="0026691B">
        <w:rPr>
          <w:rFonts w:ascii="Arial" w:hAnsi="Arial" w:cs="Arial"/>
          <w:sz w:val="24"/>
          <w:szCs w:val="24"/>
        </w:rPr>
        <w:t>wieczystych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87BED" w:rsidRPr="0026691B">
        <w:rPr>
          <w:rFonts w:ascii="Arial" w:hAnsi="Arial" w:cs="Arial"/>
          <w:sz w:val="24"/>
          <w:szCs w:val="24"/>
        </w:rPr>
        <w:t>nieruchomości</w:t>
      </w:r>
      <w:r w:rsidR="0063167F" w:rsidRPr="0026691B">
        <w:rPr>
          <w:rFonts w:ascii="Arial" w:hAnsi="Arial" w:cs="Arial"/>
          <w:sz w:val="24"/>
          <w:szCs w:val="24"/>
        </w:rPr>
        <w:t>.</w:t>
      </w:r>
      <w:bookmarkStart w:id="12" w:name="_Hlk65854073"/>
    </w:p>
    <w:p w14:paraId="4D5B75A6" w14:textId="16E989DA" w:rsidR="005F7FB4" w:rsidRPr="0026691B" w:rsidRDefault="00EB5FB1" w:rsidP="00F427BA">
      <w:pPr>
        <w:pStyle w:val="Nagwek2"/>
        <w:spacing w:before="0" w:after="48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3" w:name="_Toc81312377"/>
      <w:r w:rsidRPr="0026691B">
        <w:rPr>
          <w:rFonts w:ascii="Arial" w:hAnsi="Arial" w:cs="Arial"/>
          <w:b/>
          <w:bCs/>
          <w:color w:val="auto"/>
          <w:sz w:val="24"/>
          <w:szCs w:val="24"/>
        </w:rPr>
        <w:t>3.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Po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rozpatrzeniu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zebranego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materiału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dowodowego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Komisja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zważyła,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co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F7FB4" w:rsidRPr="0026691B">
        <w:rPr>
          <w:rFonts w:ascii="Arial" w:hAnsi="Arial" w:cs="Arial"/>
          <w:b/>
          <w:bCs/>
          <w:color w:val="auto"/>
          <w:sz w:val="24"/>
          <w:szCs w:val="24"/>
        </w:rPr>
        <w:t>następuje:</w:t>
      </w:r>
      <w:bookmarkEnd w:id="13"/>
    </w:p>
    <w:p w14:paraId="1EBDC93C" w14:textId="4B1C3A14" w:rsidR="008F3321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14" w:name="_Toc81312378"/>
      <w:r w:rsidRPr="0026691B">
        <w:rPr>
          <w:rFonts w:ascii="Arial" w:hAnsi="Arial" w:cs="Arial"/>
          <w:sz w:val="24"/>
          <w:szCs w:val="24"/>
        </w:rPr>
        <w:t>3.1.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reprywatyzacyjna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została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wydana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rażącym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naruszeniem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(przesłanka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ustawy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marca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2017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r.)</w:t>
      </w:r>
      <w:bookmarkEnd w:id="14"/>
    </w:p>
    <w:p w14:paraId="43357584" w14:textId="5F9DB2B6" w:rsidR="00355AD6" w:rsidRPr="0026691B" w:rsidRDefault="003C45AB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marca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2017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Komisja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decyzję,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której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2-4,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jeżeli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reprywatyzacyjna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została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wydana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bez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podstawy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prawnej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rażącym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naruszeniem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5AD6" w:rsidRPr="0026691B">
        <w:rPr>
          <w:rFonts w:ascii="Arial" w:hAnsi="Arial" w:cs="Arial"/>
          <w:sz w:val="24"/>
          <w:szCs w:val="24"/>
        </w:rPr>
        <w:t>prawa.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08BBEB64" w14:textId="13BD28E1" w:rsidR="00DF52D4" w:rsidRPr="0026691B" w:rsidRDefault="007515F4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lastRenderedPageBreak/>
        <w:t>Faktem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mającym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podstawowe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znaczenie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C285B" w:rsidRPr="0026691B">
        <w:rPr>
          <w:rFonts w:ascii="Arial" w:hAnsi="Arial" w:cs="Arial"/>
          <w:sz w:val="24"/>
          <w:szCs w:val="24"/>
        </w:rPr>
        <w:t>rozstrzygnięcia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Komisj</w:t>
      </w:r>
      <w:r w:rsidR="00DF52D4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B4410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okoliczność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wydania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reprywatyzacyj</w:t>
      </w:r>
      <w:r w:rsidR="00DF52D4" w:rsidRPr="0026691B">
        <w:rPr>
          <w:rFonts w:ascii="Arial" w:hAnsi="Arial" w:cs="Arial"/>
          <w:sz w:val="24"/>
          <w:szCs w:val="24"/>
        </w:rPr>
        <w:t>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mimo,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jedna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beneficjentek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145E77" w:rsidRPr="0026691B">
        <w:rPr>
          <w:rFonts w:ascii="Arial" w:hAnsi="Arial" w:cs="Arial"/>
          <w:sz w:val="24"/>
          <w:szCs w:val="24"/>
        </w:rPr>
        <w:t>czyli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A</w:t>
      </w:r>
      <w:r w:rsidR="00B977C6" w:rsidRPr="0026691B">
        <w:rPr>
          <w:rFonts w:ascii="Arial" w:hAnsi="Arial" w:cs="Arial"/>
          <w:sz w:val="24"/>
          <w:szCs w:val="24"/>
        </w:rPr>
        <w:t>.</w:t>
      </w:r>
      <w:r w:rsidR="00DF52D4" w:rsidRPr="0026691B">
        <w:rPr>
          <w:rFonts w:ascii="Arial" w:hAnsi="Arial" w:cs="Arial"/>
          <w:sz w:val="24"/>
          <w:szCs w:val="24"/>
        </w:rPr>
        <w:t>D</w:t>
      </w:r>
      <w:r w:rsidR="00B977C6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K</w:t>
      </w:r>
      <w:r w:rsidR="00B977C6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zmarła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31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lipca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2006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Oznacza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to,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C285B" w:rsidRPr="0026691B">
        <w:rPr>
          <w:rFonts w:ascii="Arial" w:hAnsi="Arial" w:cs="Arial"/>
          <w:sz w:val="24"/>
          <w:szCs w:val="24"/>
        </w:rPr>
        <w:t>obydwie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powyższe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C285B" w:rsidRPr="0026691B">
        <w:rPr>
          <w:rFonts w:ascii="Arial" w:hAnsi="Arial" w:cs="Arial"/>
          <w:sz w:val="24"/>
          <w:szCs w:val="24"/>
        </w:rPr>
        <w:t>decyzje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52D4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został</w:t>
      </w:r>
      <w:r w:rsidR="00145E77" w:rsidRPr="0026691B">
        <w:rPr>
          <w:rFonts w:ascii="Arial" w:hAnsi="Arial" w:cs="Arial"/>
          <w:sz w:val="24"/>
          <w:szCs w:val="24"/>
        </w:rPr>
        <w:t>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skierowane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nieżyjącej.</w:t>
      </w:r>
      <w:bookmarkStart w:id="15" w:name="_Hlk66094202"/>
    </w:p>
    <w:p w14:paraId="14E2507E" w14:textId="22A1CCA5" w:rsidR="00006153" w:rsidRPr="0026691B" w:rsidRDefault="00006153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Materiał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dowodowy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zebrany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rozpoznawczego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pozwala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niebudzące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wątpliwości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ustalenie,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dacie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Prezydenta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Miasta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Stołecznego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skierowane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orzeczenie,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żyła.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istotne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znaczenie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niniejszym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postępowaniu.</w:t>
      </w:r>
    </w:p>
    <w:p w14:paraId="613C2385" w14:textId="2B3FCC55" w:rsidR="00006153" w:rsidRPr="0026691B" w:rsidRDefault="00310401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pierwszej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kolejności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006153" w:rsidRPr="0026691B">
        <w:rPr>
          <w:rFonts w:ascii="Arial" w:hAnsi="Arial" w:cs="Arial"/>
          <w:bCs/>
          <w:sz w:val="24"/>
          <w:szCs w:val="24"/>
        </w:rPr>
        <w:t>oniecznym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elementem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każdego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są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podmioty,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należą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administracyjny,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mający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zdolność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prowadzenia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strona,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administracyjny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orzeka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danym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postępowaniu.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obecnym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stanie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osoba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fizyczna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może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jeżeli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posiada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zdolność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bycia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podmiotem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obowiązków,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jeżeli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zdolność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(art.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30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k.p.a.).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k.c.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osoba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fizyczna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posiada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zdolność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chwili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narodzin,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śmierci.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chwilą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śmierci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osoba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fizyczna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przestaje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nią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być,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związku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tym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podmiotem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obowiązków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zdolności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prawnej,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zdolności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działań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prawnych,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tym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zdolności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czynności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prawnych.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Śmierć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fizycznej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oznacza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ustanie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bytu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fizycznej.</w:t>
      </w:r>
    </w:p>
    <w:p w14:paraId="631C3722" w14:textId="1CFC613D" w:rsidR="001464D5" w:rsidRPr="0026691B" w:rsidRDefault="001464D5" w:rsidP="00F427BA">
      <w:pPr>
        <w:suppressAutoHyphens/>
        <w:autoSpaceDN w:val="0"/>
        <w:spacing w:after="480" w:line="360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utrwalonym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stanowiskiem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sądów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skierowanej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wyczerpuje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przesłankę,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sądowe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prezentuje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powyższym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zakresie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jednolitą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linię,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wskazując,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między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innymi,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Rozstrzygnięcie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sytuacji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wszczęciu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uznać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dające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k.p.a.)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stycznia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2020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SA/Wa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1777/18,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http://orzeczenia.nsa.gov.pl/doc/11635B733F,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października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2020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251/19,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http://orzeczenia.nsa.gov.pl/doc/lBlD27F747;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września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428/01,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33;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http://orzeczenia.nsa.gov.pl/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doc/535472588B).</w:t>
      </w:r>
    </w:p>
    <w:p w14:paraId="4DF1D426" w14:textId="2A5C320F" w:rsidR="001464D5" w:rsidRPr="0026691B" w:rsidRDefault="001464D5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lastRenderedPageBreak/>
        <w:t>Wspomniany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wyżej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sygnaturze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SA/Wa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1777/18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(wydany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składzie: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Agnieszka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Jędrzejewska-Jaroszewicz,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Anna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Wesołowska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970EE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przewodniczący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sprawozdawca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970EE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Elżbieta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Sobielarska)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wyjaśnia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ponadto,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fizyczna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zdolność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rozumianą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zdolność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podmiotem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obowiązków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stosownie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k.c.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chwilą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urodzenia,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traci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natomiast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wygaśnięcie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dacie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swojej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śmierci.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Oznacza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uczestnikiem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żadnego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powinno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śmierci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kontynuowane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udziałem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następców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Ponadto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zasad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zasada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czynnego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(wypływająca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k.p.a.),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między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innymi,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obowiązek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ustalenia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urzędu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danego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powiadomienia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wszczęciu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doręczenia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wszystkim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podmiotom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będącym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pisemnych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rozstrzygnięć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k.p.a.).</w:t>
      </w:r>
    </w:p>
    <w:p w14:paraId="04615088" w14:textId="7F519C4B" w:rsidR="007D16E0" w:rsidRPr="0026691B" w:rsidRDefault="007D16E0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Pojęcie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pojawia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fine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749D0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749D0"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749D0" w:rsidRPr="0026691B">
        <w:rPr>
          <w:rFonts w:ascii="Arial" w:hAnsi="Arial" w:cs="Arial"/>
          <w:bCs/>
          <w:sz w:val="24"/>
          <w:szCs w:val="24"/>
        </w:rPr>
        <w:t>wskazano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przesłanek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administracyjnych.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doktrynie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przyjmuje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mówić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tylko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wówczas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proste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zestawienie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rozstrzygnięcia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zastosowanego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oczywistą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niezgodność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EA1E00" w:rsidRPr="0026691B">
        <w:rPr>
          <w:rFonts w:ascii="Arial" w:hAnsi="Arial" w:cs="Arial"/>
          <w:bCs/>
          <w:sz w:val="24"/>
          <w:szCs w:val="24"/>
        </w:rPr>
        <w:t>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1988r.,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481/88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niepubl</w:t>
      </w:r>
      <w:r w:rsidR="00516C16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Jendrośka,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Adamiak,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Zagadnienie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administracyjnym,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1986,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nast.;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Borkowski,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Glosa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listopada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sygn.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SA/Kr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914/92,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7-8,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163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nast.).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konsekwencji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traktowanie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D75025" w:rsidRPr="0026691B">
        <w:rPr>
          <w:rFonts w:ascii="Arial" w:hAnsi="Arial" w:cs="Arial"/>
          <w:bCs/>
          <w:sz w:val="24"/>
          <w:szCs w:val="24"/>
        </w:rPr>
        <w:t>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miejsce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tylko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wyjątkowo,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waga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znacznie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większa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stabilność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ostatecznej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podkreśla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także,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niemożliwe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zaakceptowania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punktu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widzenia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wymagań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praworządności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353108" w:rsidRPr="0026691B">
        <w:rPr>
          <w:rFonts w:ascii="Arial" w:hAnsi="Arial" w:cs="Arial"/>
          <w:bCs/>
          <w:sz w:val="24"/>
          <w:szCs w:val="24"/>
        </w:rPr>
        <w:t>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Zieliński,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Kpa.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Polemiki,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1986,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nast.;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sierpnia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1984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sygn.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737/84,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GAP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1988,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18,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45).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</w:p>
    <w:p w14:paraId="245B1CB8" w14:textId="19D7E178" w:rsidR="007D16E0" w:rsidRPr="0026691B" w:rsidRDefault="007D16E0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decydują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łącznie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przesłanki: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oczywistość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charakter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został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racje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ekonomiczne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gospodarcze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767D3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wywołuje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D75025" w:rsidRPr="0026691B">
        <w:rPr>
          <w:rFonts w:ascii="Arial" w:hAnsi="Arial" w:cs="Arial"/>
          <w:bCs/>
          <w:sz w:val="24"/>
          <w:szCs w:val="24"/>
        </w:rPr>
        <w:t>odnośnie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75025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75025" w:rsidRPr="0026691B">
        <w:rPr>
          <w:rFonts w:ascii="Arial" w:hAnsi="Arial" w:cs="Arial"/>
          <w:bCs/>
          <w:sz w:val="24"/>
          <w:szCs w:val="24"/>
        </w:rPr>
        <w:t>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pojęcia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75025" w:rsidRPr="0026691B">
        <w:rPr>
          <w:rFonts w:ascii="Arial" w:hAnsi="Arial" w:cs="Arial"/>
          <w:bCs/>
          <w:sz w:val="24"/>
          <w:szCs w:val="24"/>
        </w:rPr>
        <w:t>patrz: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Sieniuć,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lastRenderedPageBreak/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Kodeksu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Kodyfikacja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50-lecie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red.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Niczyporuk,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Lublin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2010,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709-718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powołane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A1E00" w:rsidRPr="0026691B">
        <w:rPr>
          <w:rFonts w:ascii="Arial" w:hAnsi="Arial" w:cs="Arial"/>
          <w:bCs/>
          <w:sz w:val="24"/>
          <w:szCs w:val="24"/>
        </w:rPr>
        <w:t>orzeczenia</w:t>
      </w:r>
      <w:r w:rsidRPr="0026691B">
        <w:rPr>
          <w:rFonts w:ascii="Arial" w:hAnsi="Arial" w:cs="Arial"/>
          <w:bCs/>
          <w:sz w:val="24"/>
          <w:szCs w:val="24"/>
        </w:rPr>
        <w:t>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Oczywistość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polega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rzucającej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sprzeczności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pomiędzy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rozstrzygnięcia,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prawną.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wywołuje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uznana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naruszającą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niemożliwe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zaakceptowania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punktu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widzenia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wymagań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praworządności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34D9C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gospodarcze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społeczne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wystąpienie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powoduje,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możliwe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zaakceptowanie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praworządnego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państwa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(tak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37249" w:rsidRPr="0026691B">
        <w:rPr>
          <w:rFonts w:ascii="Arial" w:hAnsi="Arial" w:cs="Arial"/>
          <w:bCs/>
          <w:sz w:val="24"/>
          <w:szCs w:val="24"/>
        </w:rPr>
        <w:t>między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37249" w:rsidRPr="0026691B">
        <w:rPr>
          <w:rFonts w:ascii="Arial" w:hAnsi="Arial" w:cs="Arial"/>
          <w:bCs/>
          <w:sz w:val="24"/>
          <w:szCs w:val="24"/>
        </w:rPr>
        <w:t>innymi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3724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937249" w:rsidRPr="0026691B">
        <w:rPr>
          <w:rFonts w:ascii="Arial" w:hAnsi="Arial" w:cs="Arial"/>
          <w:bCs/>
          <w:sz w:val="24"/>
          <w:szCs w:val="24"/>
        </w:rPr>
        <w:t>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czerwca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2506/1</w:t>
      </w:r>
      <w:r w:rsidR="00937249" w:rsidRPr="0026691B">
        <w:rPr>
          <w:rFonts w:ascii="Arial" w:hAnsi="Arial" w:cs="Arial"/>
          <w:bCs/>
          <w:sz w:val="24"/>
          <w:szCs w:val="24"/>
        </w:rPr>
        <w:t>5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LEX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2366925).</w:t>
      </w:r>
    </w:p>
    <w:p w14:paraId="566971DE" w14:textId="49508E90" w:rsidR="007D16E0" w:rsidRPr="0026691B" w:rsidRDefault="007D16E0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niniejszej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doszło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</w:t>
      </w:r>
      <w:r w:rsidR="00605D97" w:rsidRPr="0026691B">
        <w:rPr>
          <w:rFonts w:ascii="Arial" w:hAnsi="Arial" w:cs="Arial"/>
          <w:bCs/>
          <w:sz w:val="24"/>
          <w:szCs w:val="24"/>
        </w:rPr>
        <w:t>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literaturze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prawo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zwrocie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powinno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szeroko,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obejmując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swoim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zakresem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materialnego,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procesowego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charakterze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ustrojowym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Borkowski,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Adamiak,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Borkowski,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Komentarz,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2009,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599).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Podobne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stanowisko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reprezentuje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D378CD" w:rsidRPr="0026691B">
        <w:rPr>
          <w:rFonts w:ascii="Arial" w:hAnsi="Arial" w:cs="Arial"/>
          <w:bCs/>
          <w:sz w:val="24"/>
          <w:szCs w:val="24"/>
        </w:rPr>
        <w:t>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Rzeszowie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SA/Rz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194/14,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Legalis,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gdzie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stwierdzono,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materialnego,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procesowego,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charakterze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ustrojowym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kompetencyjnym.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wobec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stwierdzić,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chodzi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wszystkie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normy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regulujące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działanie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publicznej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indywidualnych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sprawach,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niezależnie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wywodzą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Pr="0026691B">
        <w:rPr>
          <w:rFonts w:ascii="Arial" w:hAnsi="Arial" w:cs="Arial"/>
          <w:bCs/>
          <w:sz w:val="24"/>
          <w:szCs w:val="24"/>
        </w:rPr>
        <w:t>).</w:t>
      </w:r>
    </w:p>
    <w:p w14:paraId="6558A5FC" w14:textId="7D0542DB" w:rsidR="007D16E0" w:rsidRPr="0026691B" w:rsidRDefault="007D16E0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orzecznictwie</w:t>
      </w:r>
      <w:r w:rsidR="00937249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piśmiennictwie,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ukształtował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pogląd,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wedle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proceduralnych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mamy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przypadku,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charakter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pozostaje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związku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ostatecznym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rozstrzygnięciem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sprawy.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mówić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wówczas,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sposób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budzący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wątpliwości,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więc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oczywisty,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zastosowano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trakcie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prowadzonego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zastosowano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oczywiście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nieprawidłowo.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procesowego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sposób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prowadzić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musi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podjęcia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wadliwego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rozstrzygnięcia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musi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przekładać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bezpośrednio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musi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tkwić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D5593D" w:rsidRPr="0026691B">
        <w:rPr>
          <w:rFonts w:ascii="Arial" w:hAnsi="Arial" w:cs="Arial"/>
          <w:bCs/>
          <w:sz w:val="24"/>
          <w:szCs w:val="24"/>
        </w:rPr>
        <w:t>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13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października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3347/14,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LEX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2169138).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615310DA" w14:textId="5AC382ED" w:rsidR="008F3321" w:rsidRPr="0026691B" w:rsidRDefault="008F3321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eastAsia="Times New Roman" w:hAnsi="Arial" w:cs="Arial"/>
          <w:sz w:val="24"/>
          <w:szCs w:val="24"/>
          <w:lang w:eastAsia="pl-PL"/>
        </w:rPr>
        <w:t>Ocena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istnienia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przesłanek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stwierdzenia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nieważności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wymienionych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art.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156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eastAsia="Times New Roman" w:hAnsi="Arial" w:cs="Arial"/>
          <w:sz w:val="24"/>
          <w:szCs w:val="24"/>
          <w:lang w:eastAsia="pl-PL"/>
        </w:rPr>
        <w:t>paragraf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k.p.a.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następuje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materialnego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obowiązujących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dacie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decyzji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podlegającej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weryfikacji,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podstawie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przepisów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materialnego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daty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stwierdzenia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nieważności.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tezie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wyroku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Naczelnego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Sądu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Administracyjnego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1997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DF2822" w:rsidRPr="0026691B">
        <w:rPr>
          <w:rFonts w:ascii="Arial" w:eastAsia="Times New Roman" w:hAnsi="Arial" w:cs="Arial"/>
          <w:sz w:val="24"/>
          <w:szCs w:val="24"/>
          <w:lang w:eastAsia="pl-PL"/>
        </w:rPr>
        <w:t>sygnatura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2822" w:rsidRPr="0026691B">
        <w:rPr>
          <w:rFonts w:ascii="Arial" w:eastAsia="Times New Roman" w:hAnsi="Arial" w:cs="Arial"/>
          <w:sz w:val="24"/>
          <w:szCs w:val="24"/>
          <w:lang w:eastAsia="pl-PL"/>
        </w:rPr>
        <w:t>akt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III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SA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1134/96,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http://orzeczenia.nsa.gov.pl/doc/6E21D1468A)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zawarto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stanowisko,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rozstrzygający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oceny,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czy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zachodzą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przesłanki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stwierdzenia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nieważności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decyzji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powodu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rażącego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naruszenia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prawa,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stan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prawa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wydania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tej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decyzji;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taką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ocenę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może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mieć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wpływu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ani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późniejsza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zmiana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prawa,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ani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bardziej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zmiana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interpretacji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tego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eastAsia="Times New Roman" w:hAnsi="Arial" w:cs="Arial"/>
          <w:sz w:val="24"/>
          <w:szCs w:val="24"/>
          <w:lang w:eastAsia="pl-PL"/>
        </w:rPr>
        <w:t>prawa.</w:t>
      </w:r>
      <w:r w:rsidR="004B11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bookmarkEnd w:id="15"/>
    <w:p w14:paraId="69F844F5" w14:textId="29B7A149" w:rsidR="008F3321" w:rsidRPr="0026691B" w:rsidRDefault="00DF52D4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Naczelny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Sąd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Administracyjny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wyroku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3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kwietnia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2009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(</w:t>
      </w:r>
      <w:r w:rsidR="00DF2822" w:rsidRPr="0026691B">
        <w:rPr>
          <w:rFonts w:ascii="Arial" w:hAnsi="Arial" w:cs="Arial"/>
          <w:sz w:val="24"/>
          <w:szCs w:val="24"/>
        </w:rPr>
        <w:t>sygnatura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479/08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http://orzeczenia.nsa.gov.pl/doc/EC3EDF940E)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wskazał,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sz w:val="24"/>
          <w:szCs w:val="24"/>
        </w:rPr>
        <w:t>„</w:t>
      </w:r>
      <w:r w:rsidR="008F3321" w:rsidRPr="0026691B">
        <w:rPr>
          <w:rFonts w:ascii="Arial" w:hAnsi="Arial" w:cs="Arial"/>
          <w:sz w:val="24"/>
          <w:szCs w:val="24"/>
        </w:rPr>
        <w:t>Jedną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przesłanek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156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skutkującą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nieważnością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wydanie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rażącym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naruszeniem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prawa,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czym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traktuje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156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(…)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rażącym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naruszeniu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można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mówić,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gdy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ewidentnie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sprzeczna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wyraźnym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niebudzącym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wątpliwości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przepisem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naruszenie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tak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ciężkie,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powoduje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sankcję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F3321" w:rsidRPr="0026691B">
        <w:rPr>
          <w:rFonts w:ascii="Arial" w:hAnsi="Arial" w:cs="Arial"/>
          <w:sz w:val="24"/>
          <w:szCs w:val="24"/>
        </w:rPr>
        <w:t>nieważności.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27CBDB5F" w14:textId="236C3D0E" w:rsidR="00985081" w:rsidRPr="0026691B" w:rsidRDefault="008F3321" w:rsidP="00F427BA">
      <w:pPr>
        <w:suppressAutoHyphens/>
        <w:autoSpaceDN w:val="0"/>
        <w:spacing w:after="480" w:line="360" w:lineRule="auto"/>
        <w:textAlignment w:val="baseline"/>
        <w:rPr>
          <w:rFonts w:ascii="Arial" w:eastAsia="SimSun, ËÎĚĺ" w:hAnsi="Arial" w:cs="Arial"/>
          <w:kern w:val="3"/>
          <w:sz w:val="24"/>
          <w:szCs w:val="24"/>
          <w:lang w:eastAsia="ja-JP"/>
        </w:rPr>
      </w:pP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orzecznictwie,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jak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piśmiennictwie,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ukształtował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się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pogląd,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wedle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którego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przypisanie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decyzji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wady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nieważności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przypadku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naruszenia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przepisów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proceduralnych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dopuszczalne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jest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wyłącznie,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gdy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naruszenie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tych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przepisów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ma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charakter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rażący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pozostaje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związku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z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ostatecznym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rozstrzygnięciem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sprawy.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odniesieniu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do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tych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przepisów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można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by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zatem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mówić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rażącym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ich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naruszeniu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wówczas,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gdy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sposób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budzący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wątpliwości,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więc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oczywisty,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zastosowano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by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ich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trakcie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prowadzonego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postępowania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lub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zastosowano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by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je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oczywiście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nieprawidłowo.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Naruszenie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prawa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procesowego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sposób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rażący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takie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naruszenie,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które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prowadzić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musi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do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podjęcia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wadliwego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rozstrzygnięcia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z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tego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właśnie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powodu,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musi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przekładać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się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bezpośrednio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treść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decyzji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musi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niej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tkwić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="0068095D"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(patrz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wyrok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Naczelnego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Sądu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Administracyjnego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z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13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października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2016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r.,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II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OSK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3347/14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oraz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przywołane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w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nim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orzeczenia,</w:t>
      </w:r>
      <w:r w:rsidR="004B1109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 </w:t>
      </w:r>
      <w:r w:rsidR="00985081"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http://orzeczenia.nsa.gov.pl/doc/F258A8037D</w:t>
      </w:r>
      <w:r w:rsidRPr="0026691B">
        <w:rPr>
          <w:rFonts w:ascii="Arial" w:eastAsia="SimSun, ËÎĚĺ" w:hAnsi="Arial" w:cs="Arial"/>
          <w:kern w:val="3"/>
          <w:sz w:val="24"/>
          <w:szCs w:val="24"/>
          <w:lang w:eastAsia="ja-JP"/>
        </w:rPr>
        <w:t>).</w:t>
      </w:r>
    </w:p>
    <w:p w14:paraId="50EBE753" w14:textId="66CF8AF8" w:rsidR="00732419" w:rsidRPr="0026691B" w:rsidRDefault="00732419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464D5" w:rsidRPr="0026691B">
        <w:rPr>
          <w:rFonts w:ascii="Arial" w:hAnsi="Arial" w:cs="Arial"/>
          <w:bCs/>
          <w:sz w:val="24"/>
          <w:szCs w:val="24"/>
        </w:rPr>
        <w:t>także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wyjątkowym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ciężarze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gatunkowym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unicestwiającym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nawiązany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stosunek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administracyjno-prawny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http://orzeczenia.nsa.gov.pl/doc/41CBEA56B4,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października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06153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336/16).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miejsce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wtedy,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niebudzącym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wątpliwości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swego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rozstrzygnięcia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negację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lastRenderedPageBreak/>
        <w:t>całości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części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obowiązujących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przepisów.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ostatecznej,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sytuacji,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pozostaje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wyraźnej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sprzeczności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charakter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powoduje,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akceptowana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praworządnego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państwa.</w:t>
      </w:r>
    </w:p>
    <w:p w14:paraId="11524FEB" w14:textId="5B69317A" w:rsidR="00732419" w:rsidRPr="0026691B" w:rsidRDefault="00732419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piśmiennictwie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68095D"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przykład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Jaśkowska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[w:]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Wilbrandt-Gotowicz,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Wróbel,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Jaśkowska,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Kodeks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Komentarz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aktualizowany</w:t>
      </w:r>
      <w:r w:rsidR="001464D5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LEX/el.),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września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428/01,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2004/3,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33,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rozstrzygnięcie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sytuacji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wszczęciu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uznać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dające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Analogicznie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października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1876/10,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LEX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1069629,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podniesiono,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ocenę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zaistnienia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wad,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wpływu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śmierci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Powołany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ogóle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nawiązuje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okolicznościach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skutkujących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Również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października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238/17,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LEX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2583503: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Możliwość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determinowana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posiadaniem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przymiotu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zdolności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budzić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zastrzeżeń,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zdolność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fizycznej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już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wyżej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chwilą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śmierci.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Konsekwencją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utraty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zdolności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stosunku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wszcząć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prowadzić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sytuacji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Pr="0026691B">
        <w:rPr>
          <w:rFonts w:ascii="Arial" w:hAnsi="Arial" w:cs="Arial"/>
          <w:bCs/>
          <w:sz w:val="24"/>
          <w:szCs w:val="24"/>
        </w:rPr>
        <w:t>.</w:t>
      </w:r>
    </w:p>
    <w:p w14:paraId="13545FBC" w14:textId="670FA616" w:rsidR="00732419" w:rsidRPr="0026691B" w:rsidRDefault="00732419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Naczelny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stycznia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708/12,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(http://orzeczenia.nsa.gov.pl/doc/B20C36655A),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stwierdził,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skierowanie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danym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momencie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już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przymiotu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wadliwością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podlega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konwalidacji.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znaczenia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skierował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zmarłej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prowadząc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wiedział,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żyje,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posiadał.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Powinien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bowiem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sposób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prawidłowy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każdym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etapie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ustalić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krąg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podmiotów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mających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interes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uczestniczeniu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postępowaniu.</w:t>
      </w:r>
    </w:p>
    <w:p w14:paraId="3FC0080D" w14:textId="28F7B0B2" w:rsidR="00C77F43" w:rsidRPr="0026691B" w:rsidRDefault="00C77F4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lastRenderedPageBreak/>
        <w:t>Skierowanie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zmarłej,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więc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osoby,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która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danym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momencie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miała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już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przymiotu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wadliwością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która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podlega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konwalidacji.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Przymiot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„strony”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przysługujący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osobie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fizycznej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wygasa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bowiem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najpóźniej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śmiercią.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Oznacza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stosunku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osób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zmarłych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tylko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można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wszczynać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postępowań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wydawać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orzeczeń,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ale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także,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orzeczenia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stosunku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zmarłych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niemożliwe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wykonania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kwietnia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2019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sygn.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1535/17;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http://orzeczenia.nsa.gov.pl).</w:t>
      </w:r>
    </w:p>
    <w:p w14:paraId="66C95A13" w14:textId="18D62743" w:rsidR="00C77F43" w:rsidRPr="0026691B" w:rsidRDefault="00331C6C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powyższego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każdy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B30AC1" w:rsidRPr="0026691B">
        <w:rPr>
          <w:rFonts w:ascii="Arial" w:hAnsi="Arial" w:cs="Arial"/>
          <w:bCs/>
          <w:sz w:val="24"/>
          <w:szCs w:val="24"/>
        </w:rPr>
        <w:t>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30AC1"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obowiązek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ustalenia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urzędu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stron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danego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powiadomienia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wszczęciu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doręczenia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wszystkim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podmiotom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będącym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stronami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wydanych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pisemnych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rozstrzygnięć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(art.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109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C4AD8" w:rsidRPr="0026691B">
        <w:rPr>
          <w:rFonts w:ascii="Arial" w:hAnsi="Arial" w:cs="Arial"/>
          <w:bCs/>
          <w:sz w:val="24"/>
          <w:szCs w:val="24"/>
        </w:rPr>
        <w:t>k.p.a.</w:t>
      </w:r>
      <w:r w:rsidR="00732419" w:rsidRPr="0026691B">
        <w:rPr>
          <w:rFonts w:ascii="Arial" w:hAnsi="Arial" w:cs="Arial"/>
          <w:bCs/>
          <w:sz w:val="24"/>
          <w:szCs w:val="24"/>
        </w:rPr>
        <w:t>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Ponadto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piśmiennictwie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również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skierowanie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zmarłej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winno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zasady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kwalifikowane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jako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rażące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niezależnie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tego,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wynikało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uchybień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organu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prowadzącego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postępowanie.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publikacji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Jaśkowska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[w:]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Wilbrandt-Gotowicz,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Wróbel,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Jaśkowska,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Kodeks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administracyjnego.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Komentarz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aktualizowany,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156,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LEX/el.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2020,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stosunku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zmarłej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można,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wszcząć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wydać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decyzji.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Gdyby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jednak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doszło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skierowanej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zmarłej,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taka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będzie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obarczona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nieważnością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wywołuje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prawnych.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7FE726E1" w14:textId="528DDF31" w:rsidR="00FB638B" w:rsidRPr="0026691B" w:rsidRDefault="00732419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30AC1" w:rsidRPr="0026691B">
        <w:rPr>
          <w:rFonts w:ascii="Arial" w:hAnsi="Arial" w:cs="Arial"/>
          <w:bCs/>
          <w:sz w:val="24"/>
          <w:szCs w:val="24"/>
        </w:rPr>
        <w:t>wydanie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</w:t>
      </w:r>
      <w:r w:rsidR="001C6EFD" w:rsidRPr="0026691B">
        <w:rPr>
          <w:rFonts w:ascii="Arial" w:hAnsi="Arial" w:cs="Arial"/>
          <w:bCs/>
          <w:sz w:val="24"/>
          <w:szCs w:val="24"/>
        </w:rPr>
        <w:t>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C6EFD" w:rsidRPr="0026691B">
        <w:rPr>
          <w:rFonts w:ascii="Arial" w:hAnsi="Arial" w:cs="Arial"/>
          <w:bCs/>
          <w:sz w:val="24"/>
          <w:szCs w:val="24"/>
        </w:rPr>
        <w:t>179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C6EFD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C6EFD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C6EFD" w:rsidRPr="0026691B">
        <w:rPr>
          <w:rFonts w:ascii="Arial" w:hAnsi="Arial" w:cs="Arial"/>
          <w:bCs/>
          <w:sz w:val="24"/>
          <w:szCs w:val="24"/>
        </w:rPr>
        <w:t>180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C6EFD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30AC1"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30AC1" w:rsidRPr="0026691B">
        <w:rPr>
          <w:rFonts w:ascii="Arial" w:hAnsi="Arial" w:cs="Arial"/>
          <w:bCs/>
          <w:sz w:val="24"/>
          <w:szCs w:val="24"/>
        </w:rPr>
        <w:t>rzecz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nieżyjącej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wyczerpuje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przesłankę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rażącego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FB638B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bCs/>
          <w:sz w:val="24"/>
          <w:szCs w:val="24"/>
        </w:rPr>
        <w:t>bowiem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bCs/>
          <w:sz w:val="24"/>
          <w:szCs w:val="24"/>
        </w:rPr>
        <w:t>zmarła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bCs/>
          <w:sz w:val="24"/>
          <w:szCs w:val="24"/>
        </w:rPr>
        <w:t>31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bCs/>
          <w:sz w:val="24"/>
          <w:szCs w:val="24"/>
        </w:rPr>
        <w:t>lipca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bCs/>
          <w:sz w:val="24"/>
          <w:szCs w:val="24"/>
        </w:rPr>
        <w:t>2006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bCs/>
          <w:sz w:val="24"/>
          <w:szCs w:val="24"/>
        </w:rPr>
        <w:t>beneficjentka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mogła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dekretowym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Prezydentem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Miasta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Stołecznego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Warszawy</w:t>
      </w:r>
      <w:r w:rsidR="00FB638B" w:rsidRPr="0026691B">
        <w:rPr>
          <w:rFonts w:ascii="Arial" w:hAnsi="Arial" w:cs="Arial"/>
          <w:bCs/>
          <w:sz w:val="24"/>
          <w:szCs w:val="24"/>
        </w:rPr>
        <w:t>.</w:t>
      </w:r>
    </w:p>
    <w:p w14:paraId="710DF582" w14:textId="09377C16" w:rsidR="00E85147" w:rsidRPr="0026691B" w:rsidRDefault="00F16C5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Zatem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niniejszej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doszło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rażącym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naruszeniem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5593D" w:rsidRPr="0026691B">
        <w:rPr>
          <w:rFonts w:ascii="Arial" w:hAnsi="Arial" w:cs="Arial"/>
          <w:sz w:val="24"/>
          <w:szCs w:val="24"/>
        </w:rPr>
        <w:t>może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5593D" w:rsidRPr="0026691B">
        <w:rPr>
          <w:rFonts w:ascii="Arial" w:hAnsi="Arial" w:cs="Arial"/>
          <w:sz w:val="24"/>
          <w:szCs w:val="24"/>
        </w:rPr>
        <w:t>skutkować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koniecznością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całości.</w:t>
      </w:r>
    </w:p>
    <w:p w14:paraId="6783745C" w14:textId="69234590" w:rsidR="00732419" w:rsidRPr="0026691B" w:rsidRDefault="00FB638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marginesie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aktach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własnościowych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brak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dokumentu,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którego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wynikałoby,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32419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bezpośrednio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sprawdzono,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przykład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bazie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PESE</w:t>
      </w:r>
      <w:r w:rsidR="00DE76E3" w:rsidRPr="0026691B">
        <w:rPr>
          <w:rFonts w:ascii="Arial" w:hAnsi="Arial" w:cs="Arial"/>
          <w:bCs/>
          <w:sz w:val="24"/>
          <w:szCs w:val="24"/>
        </w:rPr>
        <w:t>L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będące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żyją.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konsekwencji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Miasto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Stołeczne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tylko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ustal</w:t>
      </w:r>
      <w:r w:rsidR="00DE76E3" w:rsidRPr="0026691B">
        <w:rPr>
          <w:rFonts w:ascii="Arial" w:hAnsi="Arial" w:cs="Arial"/>
          <w:bCs/>
          <w:sz w:val="24"/>
          <w:szCs w:val="24"/>
        </w:rPr>
        <w:t>iło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żyj</w:t>
      </w:r>
      <w:r w:rsidR="00DE76E3" w:rsidRPr="0026691B">
        <w:rPr>
          <w:rFonts w:ascii="Arial" w:hAnsi="Arial" w:cs="Arial"/>
          <w:bCs/>
          <w:sz w:val="24"/>
          <w:szCs w:val="24"/>
        </w:rPr>
        <w:t>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lastRenderedPageBreak/>
        <w:t>lecz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E76E3"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wiadomo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kto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następcą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toczy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postępowanie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547D03" w:rsidRPr="0026691B">
        <w:rPr>
          <w:rFonts w:ascii="Arial" w:hAnsi="Arial" w:cs="Arial"/>
          <w:bCs/>
          <w:sz w:val="24"/>
          <w:szCs w:val="24"/>
        </w:rPr>
        <w:t>spadkowe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61BCA" w:rsidRPr="0026691B">
        <w:rPr>
          <w:rFonts w:ascii="Arial" w:hAnsi="Arial" w:cs="Arial"/>
          <w:bCs/>
          <w:sz w:val="24"/>
          <w:szCs w:val="24"/>
        </w:rPr>
        <w:t>po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61BCA" w:rsidRPr="0026691B">
        <w:rPr>
          <w:rFonts w:ascii="Arial" w:hAnsi="Arial" w:cs="Arial"/>
          <w:bCs/>
          <w:sz w:val="24"/>
          <w:szCs w:val="24"/>
        </w:rPr>
        <w:t>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61BCA" w:rsidRPr="0026691B">
        <w:rPr>
          <w:rFonts w:ascii="Arial" w:hAnsi="Arial" w:cs="Arial"/>
          <w:bCs/>
          <w:sz w:val="24"/>
          <w:szCs w:val="24"/>
        </w:rPr>
        <w:t>osobie</w:t>
      </w:r>
      <w:r w:rsidR="00547D03" w:rsidRPr="0026691B">
        <w:rPr>
          <w:rFonts w:ascii="Arial" w:hAnsi="Arial" w:cs="Arial"/>
          <w:bCs/>
          <w:sz w:val="24"/>
          <w:szCs w:val="24"/>
        </w:rPr>
        <w:t>.</w:t>
      </w:r>
    </w:p>
    <w:p w14:paraId="2E711D25" w14:textId="01CFA1C7" w:rsidR="00586A1E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16" w:name="_Toc81312379"/>
      <w:r w:rsidRPr="0026691B">
        <w:rPr>
          <w:rFonts w:ascii="Arial" w:hAnsi="Arial" w:cs="Arial"/>
          <w:sz w:val="24"/>
          <w:szCs w:val="24"/>
        </w:rPr>
        <w:t>3.2.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N</w:t>
      </w:r>
      <w:r w:rsidR="00586A1E" w:rsidRPr="0026691B">
        <w:rPr>
          <w:rFonts w:ascii="Arial" w:hAnsi="Arial" w:cs="Arial"/>
          <w:sz w:val="24"/>
          <w:szCs w:val="24"/>
        </w:rPr>
        <w:t>ieprawidłowa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zmiana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pierwotnych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k.p.a.</w:t>
      </w:r>
      <w:bookmarkEnd w:id="16"/>
    </w:p>
    <w:p w14:paraId="1BA5990D" w14:textId="33779F2B" w:rsidR="00C537A6" w:rsidRPr="0026691B" w:rsidRDefault="007272BA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/>
          <w:bCs/>
          <w:sz w:val="24"/>
          <w:szCs w:val="24"/>
        </w:rPr>
        <w:t>3.2.1.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treścią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ostateczna,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mocy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której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strona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nabyła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prawo,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może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być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każdym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czasie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zgodą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uchylona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zmieniona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organ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administracji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publicznej,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który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wydał,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jeżeli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przepisy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szczególne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sprzeciwiają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uchyleniu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zmianie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takiej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przemawia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interes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społeczny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słuszny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interes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strony;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przepis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154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stosuje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odpowiednio.</w:t>
      </w:r>
    </w:p>
    <w:p w14:paraId="4477E7B0" w14:textId="4D8F9147" w:rsidR="00586A1E" w:rsidRPr="0026691B" w:rsidRDefault="00C537A6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Zatem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uchylenie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zależy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łącznego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spełnienia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następujących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przesłanek: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indywidualnej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zostało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zakończone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ostateczną,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której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prawo;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wyraziła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zgodę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uchylenie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3)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uchyleniu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sprzeciwiają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przepisy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szczególne;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4)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uchyleniem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przemawia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interes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społeczny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słuszny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interes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Kędziora,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Kodeks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administracyjnego.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Komentarz,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5,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Legalis;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komentarz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k.p.a.).</w:t>
      </w:r>
    </w:p>
    <w:p w14:paraId="1D0B1296" w14:textId="19A153C9" w:rsidR="00E63064" w:rsidRPr="0026691B" w:rsidRDefault="00C537A6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W</w:t>
      </w:r>
      <w:r w:rsidR="00E63064" w:rsidRPr="0026691B">
        <w:rPr>
          <w:rFonts w:ascii="Arial" w:hAnsi="Arial" w:cs="Arial"/>
          <w:sz w:val="24"/>
          <w:szCs w:val="24"/>
        </w:rPr>
        <w:t>skazać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należy,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uchylenie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zmiana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może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mieć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miejsce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jedynie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sytuacji,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gdy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brak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podstaw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prawnych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uchylenia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wznowienia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(</w:t>
      </w:r>
      <w:r w:rsidR="008D0CA6" w:rsidRPr="0026691B">
        <w:rPr>
          <w:rFonts w:ascii="Arial" w:hAnsi="Arial" w:cs="Arial"/>
          <w:sz w:val="24"/>
          <w:szCs w:val="24"/>
        </w:rPr>
        <w:t>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stycznia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1999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sygn.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III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101/98,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0CA6" w:rsidRPr="0026691B">
        <w:rPr>
          <w:rFonts w:ascii="Arial" w:hAnsi="Arial" w:cs="Arial"/>
          <w:sz w:val="24"/>
          <w:szCs w:val="24"/>
        </w:rPr>
        <w:t>OSNP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0CA6" w:rsidRPr="0026691B">
        <w:rPr>
          <w:rFonts w:ascii="Arial" w:hAnsi="Arial" w:cs="Arial"/>
          <w:sz w:val="24"/>
          <w:szCs w:val="24"/>
        </w:rPr>
        <w:t>1999,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0CA6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0CA6" w:rsidRPr="0026691B">
        <w:rPr>
          <w:rFonts w:ascii="Arial" w:hAnsi="Arial" w:cs="Arial"/>
          <w:sz w:val="24"/>
          <w:szCs w:val="24"/>
        </w:rPr>
        <w:t>20,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0CA6" w:rsidRPr="0026691B">
        <w:rPr>
          <w:rFonts w:ascii="Arial" w:hAnsi="Arial" w:cs="Arial"/>
          <w:sz w:val="24"/>
          <w:szCs w:val="24"/>
        </w:rPr>
        <w:t>poz.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D0CA6" w:rsidRPr="0026691B">
        <w:rPr>
          <w:rFonts w:ascii="Arial" w:hAnsi="Arial" w:cs="Arial"/>
          <w:sz w:val="24"/>
          <w:szCs w:val="24"/>
        </w:rPr>
        <w:t>637</w:t>
      </w:r>
      <w:r w:rsidR="00E63064" w:rsidRPr="0026691B">
        <w:rPr>
          <w:rFonts w:ascii="Arial" w:hAnsi="Arial" w:cs="Arial"/>
          <w:sz w:val="24"/>
          <w:szCs w:val="24"/>
        </w:rPr>
        <w:t>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Warszawie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października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2013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sygn.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VII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SA/Wa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714/13,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LEX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1644480).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konsekwencji,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postępowaniu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nadzwyczajnemu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mającemu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celu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podważenie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ostatecznej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administracyjnej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powodu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wadliwości,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tj.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postępowaniu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wznowieniowemu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postępowaniu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stwierdzenie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nieważności,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należy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przypisać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pierwszeństwo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stosunku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innych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administracyjnego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wynikających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przepisów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materialnego,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mogących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doprowadzić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uchylenia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administracyjnej,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bez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wykazywania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wadliwości,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szczególności,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razie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zbiegu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pierwszeństwo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należy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(</w:t>
      </w:r>
      <w:r w:rsidR="0019024C" w:rsidRPr="0026691B">
        <w:rPr>
          <w:rFonts w:ascii="Arial" w:hAnsi="Arial" w:cs="Arial"/>
          <w:sz w:val="24"/>
          <w:szCs w:val="24"/>
        </w:rPr>
        <w:t>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2010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sygn.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811/09,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LEX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597877).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Wymienione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składają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system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kilku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nadzwyczajnych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lastRenderedPageBreak/>
        <w:t>administracyjnego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obejmujących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przypadki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weryfikacji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dotkniętych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wadami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kwalifikowanymi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niekwalifikowanymi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prawidłowych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względem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prawnym.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System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ten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0839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podkreśla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orzecznictwie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(</w:t>
      </w:r>
      <w:r w:rsidR="00FD18CF" w:rsidRPr="0026691B">
        <w:rPr>
          <w:rFonts w:ascii="Arial" w:hAnsi="Arial" w:cs="Arial"/>
          <w:sz w:val="24"/>
          <w:szCs w:val="24"/>
        </w:rPr>
        <w:t>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55C2" w:rsidRPr="0026691B">
        <w:rPr>
          <w:rFonts w:ascii="Arial" w:hAnsi="Arial" w:cs="Arial"/>
          <w:sz w:val="24"/>
          <w:szCs w:val="24"/>
        </w:rPr>
        <w:t>teza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wyrok</w:t>
      </w:r>
      <w:r w:rsidR="00F155C2" w:rsidRPr="0026691B">
        <w:rPr>
          <w:rFonts w:ascii="Arial" w:hAnsi="Arial" w:cs="Arial"/>
          <w:sz w:val="24"/>
          <w:szCs w:val="24"/>
        </w:rPr>
        <w:t>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Krakowie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13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lipca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2021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SA/Kr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7/19,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LEX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D18CF" w:rsidRPr="0026691B">
        <w:rPr>
          <w:rFonts w:ascii="Arial" w:hAnsi="Arial" w:cs="Arial"/>
          <w:sz w:val="24"/>
          <w:szCs w:val="24"/>
        </w:rPr>
        <w:t>3209842</w:t>
      </w:r>
      <w:r w:rsidR="00E63064" w:rsidRPr="0026691B">
        <w:rPr>
          <w:rFonts w:ascii="Arial" w:hAnsi="Arial" w:cs="Arial"/>
          <w:sz w:val="24"/>
          <w:szCs w:val="24"/>
        </w:rPr>
        <w:t>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0A0839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55C2" w:rsidRPr="0026691B">
        <w:rPr>
          <w:rFonts w:ascii="Arial" w:hAnsi="Arial" w:cs="Arial"/>
          <w:sz w:val="24"/>
          <w:szCs w:val="24"/>
        </w:rPr>
        <w:t>„</w:t>
      </w:r>
      <w:r w:rsidR="00E63064" w:rsidRPr="0026691B">
        <w:rPr>
          <w:rFonts w:ascii="Arial" w:hAnsi="Arial" w:cs="Arial"/>
          <w:sz w:val="24"/>
          <w:szCs w:val="24"/>
        </w:rPr>
        <w:t>oparty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zasadzie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niekonkurencyjności,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oznacza,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poszczególne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nadzwyczajne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mają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celu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usunięcie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tylko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określonego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rodzaju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wadliwości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mogą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być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stosowane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zamiennie</w:t>
      </w:r>
      <w:r w:rsidR="008B3127" w:rsidRPr="0026691B">
        <w:rPr>
          <w:rFonts w:ascii="Arial" w:hAnsi="Arial" w:cs="Arial"/>
          <w:sz w:val="24"/>
          <w:szCs w:val="24"/>
        </w:rPr>
        <w:t>”</w:t>
      </w:r>
      <w:r w:rsidR="00E63064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Naruszenie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wyłączności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stosowania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określonego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nadzwyczajnego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weryfikacji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stanowi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rażące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naruszenie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prawa,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będące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podstawą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ogólne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założenie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stosowania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trybów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nadzwyczajnych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pełne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zastosowanie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weryfikacji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prawidłowych,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których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wzruszenie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może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nastąpić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154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albo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k.p.a.,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stosownie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cech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samej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dalszych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przesłanek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określonych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odrębnie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obu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wymienionych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przepisach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(</w:t>
      </w:r>
      <w:r w:rsidR="00E750B2" w:rsidRPr="0026691B">
        <w:rPr>
          <w:rFonts w:ascii="Arial" w:hAnsi="Arial" w:cs="Arial"/>
          <w:sz w:val="24"/>
          <w:szCs w:val="24"/>
        </w:rPr>
        <w:t>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Gdańsku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25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750B2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2016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sygn.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SA/Gd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63064" w:rsidRPr="0026691B">
        <w:rPr>
          <w:rFonts w:ascii="Arial" w:hAnsi="Arial" w:cs="Arial"/>
          <w:sz w:val="24"/>
          <w:szCs w:val="24"/>
        </w:rPr>
        <w:t>375/16</w:t>
      </w:r>
      <w:r w:rsidR="00E750B2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750B2" w:rsidRPr="0026691B">
        <w:rPr>
          <w:rFonts w:ascii="Arial" w:hAnsi="Arial" w:cs="Arial"/>
          <w:sz w:val="24"/>
          <w:szCs w:val="24"/>
        </w:rPr>
        <w:t>LEX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750B2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750B2" w:rsidRPr="0026691B">
        <w:rPr>
          <w:rFonts w:ascii="Arial" w:hAnsi="Arial" w:cs="Arial"/>
          <w:sz w:val="24"/>
          <w:szCs w:val="24"/>
        </w:rPr>
        <w:t>2049872</w:t>
      </w:r>
      <w:r w:rsidR="00E63064" w:rsidRPr="0026691B">
        <w:rPr>
          <w:rFonts w:ascii="Arial" w:hAnsi="Arial" w:cs="Arial"/>
          <w:sz w:val="24"/>
          <w:szCs w:val="24"/>
        </w:rPr>
        <w:t>).</w:t>
      </w:r>
    </w:p>
    <w:p w14:paraId="5FD7FE13" w14:textId="479DB49C" w:rsidR="0066525E" w:rsidRPr="0026691B" w:rsidRDefault="0027254A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Zatem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prawna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możliwość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zastoso</w:t>
      </w:r>
      <w:r w:rsidR="00586A1E" w:rsidRPr="0026691B">
        <w:rPr>
          <w:rFonts w:ascii="Arial" w:hAnsi="Arial" w:cs="Arial"/>
          <w:sz w:val="24"/>
          <w:szCs w:val="24"/>
        </w:rPr>
        <w:softHyphen/>
        <w:t>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trybu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rozumieniu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uwarunkowana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prowadzeniem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wobec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niewadliwych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albo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wadliwych,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ale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dotkniętych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wyłącznie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niekwalifikowanymi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wadami,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czyli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niedającymi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podstaw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decyzji,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wznowienia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(wyrok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lutego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2011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sygn</w:t>
      </w:r>
      <w:r w:rsidR="00FB638B" w:rsidRPr="0026691B">
        <w:rPr>
          <w:rFonts w:ascii="Arial" w:hAnsi="Arial" w:cs="Arial"/>
          <w:sz w:val="24"/>
          <w:szCs w:val="24"/>
        </w:rPr>
        <w:t>atura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B638B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339/10,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LEX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745219.).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Jeżeli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istnieją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podstawy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wznowienia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decyzji,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mają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one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zawsze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pierwszeństwo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przed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trybem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unormowanym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154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586A1E" w:rsidRPr="0026691B">
        <w:rPr>
          <w:rFonts w:ascii="Arial" w:hAnsi="Arial" w:cs="Arial"/>
          <w:sz w:val="24"/>
          <w:szCs w:val="24"/>
        </w:rPr>
        <w:t>155.</w:t>
      </w:r>
    </w:p>
    <w:p w14:paraId="5C3BC96A" w14:textId="31518AA1" w:rsidR="0027254A" w:rsidRPr="0026691B" w:rsidRDefault="0027254A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Przenosząc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powyższe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uwagi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niniejszej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sprawy,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Komisja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wskazuje,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zaistnienie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stwierdzenia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nieważności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paragraf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punkt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czyli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stosunku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zmarłej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prowadziło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niedopuszczalności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ustawy.</w:t>
      </w:r>
    </w:p>
    <w:p w14:paraId="3E08AB1E" w14:textId="6EBD27F5" w:rsidR="00327B20" w:rsidRPr="0026691B" w:rsidRDefault="00327B20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Zatem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891186" w:rsidRPr="0026691B">
        <w:rPr>
          <w:rFonts w:ascii="Arial" w:hAnsi="Arial" w:cs="Arial"/>
          <w:sz w:val="24"/>
          <w:szCs w:val="24"/>
        </w:rPr>
        <w:t>ydając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decyzję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września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409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(która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zmieniała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decyzje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22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4CD2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7254A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7254A"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7254A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7254A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7254A"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7254A" w:rsidRPr="0026691B">
        <w:rPr>
          <w:rFonts w:ascii="Arial" w:hAnsi="Arial" w:cs="Arial"/>
          <w:sz w:val="24"/>
          <w:szCs w:val="24"/>
        </w:rPr>
        <w:t>2007</w:t>
      </w:r>
      <w:r w:rsidR="00F14CD2" w:rsidRPr="0026691B">
        <w:rPr>
          <w:rFonts w:ascii="Arial" w:hAnsi="Arial" w:cs="Arial"/>
          <w:bCs/>
          <w:sz w:val="24"/>
          <w:szCs w:val="24"/>
        </w:rPr>
        <w:t>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Prezydent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rażąco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naruszył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7254A"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Jak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wskazano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wyżej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stosunku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zmarłej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można,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ani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wszcząć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postępowania,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ani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wydać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lastRenderedPageBreak/>
        <w:t>decyzji.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Gdyby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jednak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doszło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wydania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skierowanej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zmarłej,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taka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będzie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obarczona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nieważnością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wywołuje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skutków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sz w:val="24"/>
          <w:szCs w:val="24"/>
        </w:rPr>
        <w:t>prawnych.</w:t>
      </w:r>
    </w:p>
    <w:p w14:paraId="647C79F6" w14:textId="49B3E835" w:rsidR="008F3321" w:rsidRPr="0026691B" w:rsidRDefault="008F3321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Należy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wskazać,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trakcie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reprywatyzacyjnego,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27B20" w:rsidRPr="0026691B">
        <w:rPr>
          <w:rFonts w:ascii="Arial" w:hAnsi="Arial" w:cs="Arial"/>
          <w:sz w:val="24"/>
          <w:szCs w:val="24"/>
        </w:rPr>
        <w:t>Biuro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27B20" w:rsidRPr="0026691B">
        <w:rPr>
          <w:rFonts w:ascii="Arial" w:hAnsi="Arial" w:cs="Arial"/>
          <w:sz w:val="24"/>
          <w:szCs w:val="24"/>
        </w:rPr>
        <w:t>Gospodarowania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27B20" w:rsidRPr="0026691B">
        <w:rPr>
          <w:rFonts w:ascii="Arial" w:hAnsi="Arial" w:cs="Arial"/>
          <w:sz w:val="24"/>
          <w:szCs w:val="24"/>
        </w:rPr>
        <w:t>nieruchomościami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27B20" w:rsidRPr="0026691B">
        <w:rPr>
          <w:rFonts w:ascii="Arial" w:hAnsi="Arial" w:cs="Arial"/>
          <w:sz w:val="24"/>
          <w:szCs w:val="24"/>
        </w:rPr>
        <w:t>Urzędu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27B20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pismem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zwrócił</w:t>
      </w:r>
      <w:r w:rsidR="00327B20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do: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ustanowionej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pełnomocnikiem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AC796C" w:rsidRPr="0026691B">
        <w:rPr>
          <w:rFonts w:ascii="Arial" w:hAnsi="Arial" w:cs="Arial"/>
          <w:sz w:val="24"/>
          <w:szCs w:val="24"/>
        </w:rPr>
        <w:t>K.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2340A4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="00327B20" w:rsidRPr="0026691B">
        <w:rPr>
          <w:rFonts w:ascii="Arial" w:hAnsi="Arial" w:cs="Arial"/>
          <w:b/>
          <w:bCs/>
          <w:sz w:val="24"/>
          <w:szCs w:val="24"/>
        </w:rPr>
        <w:t>j</w:t>
      </w:r>
      <w:r w:rsidRPr="0026691B">
        <w:rPr>
          <w:rFonts w:ascii="Arial" w:hAnsi="Arial" w:cs="Arial"/>
          <w:b/>
          <w:bCs/>
          <w:sz w:val="24"/>
          <w:szCs w:val="24"/>
        </w:rPr>
        <w:t>ak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również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do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A</w:t>
      </w:r>
      <w:r w:rsidR="00AC796C" w:rsidRPr="0026691B">
        <w:rPr>
          <w:rFonts w:ascii="Arial" w:hAnsi="Arial" w:cs="Arial"/>
          <w:b/>
          <w:bCs/>
          <w:sz w:val="24"/>
          <w:szCs w:val="24"/>
        </w:rPr>
        <w:t>.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K</w:t>
      </w:r>
      <w:r w:rsidR="00AC796C" w:rsidRPr="0026691B">
        <w:rPr>
          <w:rFonts w:ascii="Arial" w:hAnsi="Arial" w:cs="Arial"/>
          <w:b/>
          <w:bCs/>
          <w:sz w:val="24"/>
          <w:szCs w:val="24"/>
        </w:rPr>
        <w:t>.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="00327B20" w:rsidRPr="0026691B">
        <w:rPr>
          <w:rFonts w:ascii="Arial" w:hAnsi="Arial" w:cs="Arial"/>
          <w:b/>
          <w:bCs/>
          <w:sz w:val="24"/>
          <w:szCs w:val="24"/>
        </w:rPr>
        <w:t>(zmarłej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/>
          <w:bCs/>
          <w:sz w:val="24"/>
          <w:szCs w:val="24"/>
        </w:rPr>
        <w:t>31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/>
          <w:bCs/>
          <w:sz w:val="24"/>
          <w:szCs w:val="24"/>
        </w:rPr>
        <w:t>lipca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/>
          <w:bCs/>
          <w:sz w:val="24"/>
          <w:szCs w:val="24"/>
        </w:rPr>
        <w:t>2006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/>
          <w:bCs/>
          <w:sz w:val="24"/>
          <w:szCs w:val="24"/>
        </w:rPr>
        <w:t>r.</w:t>
      </w:r>
      <w:r w:rsidR="00327B20" w:rsidRPr="0026691B">
        <w:rPr>
          <w:rFonts w:ascii="Arial" w:hAnsi="Arial" w:cs="Arial"/>
          <w:b/>
          <w:bCs/>
          <w:sz w:val="24"/>
          <w:szCs w:val="24"/>
        </w:rPr>
        <w:t>),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z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informacją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o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sporządzeniu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operatu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szacunkowego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oraz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wskazan</w:t>
      </w:r>
      <w:r w:rsidR="00327B20" w:rsidRPr="0026691B">
        <w:rPr>
          <w:rFonts w:ascii="Arial" w:hAnsi="Arial" w:cs="Arial"/>
          <w:b/>
          <w:bCs/>
          <w:sz w:val="24"/>
          <w:szCs w:val="24"/>
        </w:rPr>
        <w:t>iem</w:t>
      </w:r>
      <w:r w:rsidRPr="0026691B">
        <w:rPr>
          <w:rFonts w:ascii="Arial" w:hAnsi="Arial" w:cs="Arial"/>
          <w:b/>
          <w:bCs/>
          <w:sz w:val="24"/>
          <w:szCs w:val="24"/>
        </w:rPr>
        <w:t>,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że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postępowanie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/>
          <w:bCs/>
          <w:sz w:val="24"/>
          <w:szCs w:val="24"/>
        </w:rPr>
        <w:t>„</w:t>
      </w:r>
      <w:r w:rsidRPr="0026691B">
        <w:rPr>
          <w:rFonts w:ascii="Arial" w:hAnsi="Arial" w:cs="Arial"/>
          <w:b/>
          <w:bCs/>
          <w:sz w:val="24"/>
          <w:szCs w:val="24"/>
        </w:rPr>
        <w:t>zakończy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się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do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końca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bieżącego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roku</w:t>
      </w:r>
      <w:r w:rsidR="00F16C53" w:rsidRPr="0026691B">
        <w:rPr>
          <w:rFonts w:ascii="Arial" w:hAnsi="Arial" w:cs="Arial"/>
          <w:b/>
          <w:bCs/>
          <w:sz w:val="24"/>
          <w:szCs w:val="24"/>
        </w:rPr>
        <w:t>”</w:t>
      </w:r>
      <w:r w:rsidRPr="0026691B">
        <w:rPr>
          <w:rFonts w:ascii="Arial" w:hAnsi="Arial" w:cs="Arial"/>
          <w:b/>
          <w:bCs/>
          <w:sz w:val="24"/>
          <w:szCs w:val="24"/>
        </w:rPr>
        <w:t>.</w:t>
      </w:r>
    </w:p>
    <w:p w14:paraId="6D49D3AD" w14:textId="559596BB" w:rsidR="00106C85" w:rsidRPr="0026691B" w:rsidRDefault="008F3321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Datę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śmierci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wskazano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dopiero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piśmie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radcy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prawnego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korespondencji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zawarto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</w:t>
      </w:r>
      <w:r w:rsidR="00327B20" w:rsidRPr="0026691B">
        <w:rPr>
          <w:rFonts w:ascii="Arial" w:hAnsi="Arial" w:cs="Arial"/>
          <w:sz w:val="24"/>
          <w:szCs w:val="24"/>
        </w:rPr>
        <w:t>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33B97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33B97"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33B97"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33B97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33B97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(Z.B.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był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ówczesnym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pełnomocnikiem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).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Tymczasem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wcześniejszy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pełnomocnik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</w:t>
      </w:r>
      <w:r w:rsidR="002340A4" w:rsidRPr="0026691B">
        <w:rPr>
          <w:rFonts w:ascii="Arial" w:hAnsi="Arial" w:cs="Arial"/>
          <w:sz w:val="24"/>
          <w:szCs w:val="24"/>
        </w:rPr>
        <w:t>czyli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otrzymaniu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pisma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wskazał,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jedna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(matka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mocodawczyni)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zmarła,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niewątpliwie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okolicznością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istotną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sprawy.</w:t>
      </w:r>
    </w:p>
    <w:p w14:paraId="5AD9C3CB" w14:textId="0E225826" w:rsidR="00106C85" w:rsidRPr="0026691B" w:rsidRDefault="008F3321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Następnie,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rozdzielniku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wymieniano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dalszym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ciągu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obok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także,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nieżyjącą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już,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33B97" w:rsidRPr="0026691B">
        <w:rPr>
          <w:rFonts w:ascii="Arial" w:hAnsi="Arial" w:cs="Arial"/>
          <w:b/>
          <w:sz w:val="24"/>
          <w:szCs w:val="24"/>
        </w:rPr>
        <w:t>Zatem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decyzj</w:t>
      </w:r>
      <w:r w:rsidR="00CC312C" w:rsidRPr="0026691B">
        <w:rPr>
          <w:rFonts w:ascii="Arial" w:hAnsi="Arial" w:cs="Arial"/>
          <w:b/>
          <w:sz w:val="24"/>
          <w:szCs w:val="24"/>
        </w:rPr>
        <w:t>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C312C" w:rsidRPr="0026691B">
        <w:rPr>
          <w:rFonts w:ascii="Arial" w:hAnsi="Arial" w:cs="Arial"/>
          <w:b/>
          <w:sz w:val="24"/>
          <w:szCs w:val="24"/>
        </w:rPr>
        <w:t>nr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C312C" w:rsidRPr="0026691B">
        <w:rPr>
          <w:rFonts w:ascii="Arial" w:hAnsi="Arial" w:cs="Arial"/>
          <w:b/>
          <w:sz w:val="24"/>
          <w:szCs w:val="24"/>
        </w:rPr>
        <w:t>179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GK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DW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C312C" w:rsidRPr="0026691B">
        <w:rPr>
          <w:rFonts w:ascii="Arial" w:hAnsi="Arial" w:cs="Arial"/>
          <w:b/>
          <w:sz w:val="24"/>
          <w:szCs w:val="24"/>
        </w:rPr>
        <w:t>2007,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C312C" w:rsidRPr="0026691B">
        <w:rPr>
          <w:rFonts w:ascii="Arial" w:hAnsi="Arial" w:cs="Arial"/>
          <w:b/>
          <w:sz w:val="24"/>
          <w:szCs w:val="24"/>
        </w:rPr>
        <w:t>180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GK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DW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C312C" w:rsidRPr="0026691B">
        <w:rPr>
          <w:rFonts w:ascii="Arial" w:hAnsi="Arial" w:cs="Arial"/>
          <w:b/>
          <w:sz w:val="24"/>
          <w:szCs w:val="24"/>
        </w:rPr>
        <w:t>2007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winn</w:t>
      </w:r>
      <w:r w:rsidR="00433B97" w:rsidRPr="0026691B">
        <w:rPr>
          <w:rFonts w:ascii="Arial" w:hAnsi="Arial" w:cs="Arial"/>
          <w:b/>
          <w:sz w:val="24"/>
          <w:szCs w:val="24"/>
        </w:rPr>
        <w:t>y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zostać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uznan</w:t>
      </w:r>
      <w:r w:rsidR="00433B97" w:rsidRPr="0026691B">
        <w:rPr>
          <w:rFonts w:ascii="Arial" w:hAnsi="Arial" w:cs="Arial"/>
          <w:b/>
          <w:sz w:val="24"/>
          <w:szCs w:val="24"/>
        </w:rPr>
        <w:t>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za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nieważn</w:t>
      </w:r>
      <w:r w:rsidR="00433B97" w:rsidRPr="0026691B">
        <w:rPr>
          <w:rFonts w:ascii="Arial" w:hAnsi="Arial" w:cs="Arial"/>
          <w:b/>
          <w:sz w:val="24"/>
          <w:szCs w:val="24"/>
        </w:rPr>
        <w:t>e</w:t>
      </w:r>
      <w:r w:rsidRPr="0026691B">
        <w:rPr>
          <w:rFonts w:ascii="Arial" w:hAnsi="Arial" w:cs="Arial"/>
          <w:b/>
          <w:sz w:val="24"/>
          <w:szCs w:val="24"/>
        </w:rPr>
        <w:t>,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nie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zostać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zmienion</w:t>
      </w:r>
      <w:r w:rsidR="00433B97" w:rsidRPr="0026691B">
        <w:rPr>
          <w:rFonts w:ascii="Arial" w:hAnsi="Arial" w:cs="Arial"/>
          <w:b/>
          <w:sz w:val="24"/>
          <w:szCs w:val="24"/>
        </w:rPr>
        <w:t>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trybie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155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k.p.a.</w:t>
      </w:r>
    </w:p>
    <w:p w14:paraId="59BE65DD" w14:textId="5E29C6A7" w:rsidR="00E15E62" w:rsidRPr="0026691B" w:rsidRDefault="007272BA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/>
          <w:bCs/>
          <w:sz w:val="24"/>
          <w:szCs w:val="24"/>
        </w:rPr>
        <w:t>3.2.2.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03F1A" w:rsidRPr="0026691B">
        <w:rPr>
          <w:rFonts w:ascii="Arial" w:hAnsi="Arial" w:cs="Arial"/>
          <w:sz w:val="24"/>
          <w:szCs w:val="24"/>
        </w:rPr>
        <w:t>Następnie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03F1A" w:rsidRPr="0026691B">
        <w:rPr>
          <w:rFonts w:ascii="Arial" w:hAnsi="Arial" w:cs="Arial"/>
          <w:sz w:val="24"/>
          <w:szCs w:val="24"/>
        </w:rPr>
        <w:t>należy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03F1A" w:rsidRPr="0026691B">
        <w:rPr>
          <w:rFonts w:ascii="Arial" w:hAnsi="Arial" w:cs="Arial"/>
          <w:sz w:val="24"/>
          <w:szCs w:val="24"/>
        </w:rPr>
        <w:t>wskazać,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03F1A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możliwość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zastosowania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trybu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rozumieniu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uwarunkowana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prowadzeniem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ramach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samego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stanu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faktycznego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prawnego,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udziałem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samych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Zmiana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adresata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niedopuszczalna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(patrz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przykład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Naczelnego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Sądu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Administracyjnego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23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września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2016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sygn.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3119/14).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Zmiana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może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polegać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jedynie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innym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uregulowaniu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treści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obowiązków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wynikających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zakresu.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Musi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jednak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zawsze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odnosić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obowiązków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podmiotu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będącego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Natomiast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zmiana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adresata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rozumieniu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28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wychodzi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zakres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uprawnień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organu,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którym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samym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niedopuszczalna.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Zmiana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podmiotowa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bowiem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innym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uregulowaniem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obowiązków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strony</w:t>
      </w:r>
      <w:r w:rsidR="008A16DA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lecz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oznacza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przeniesienie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obowiązków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podmiot,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co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niedopuszczalne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nawet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sytuacji,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gdy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podmiot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występujący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żądaniem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następcą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podmiotu,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którego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lastRenderedPageBreak/>
        <w:t>została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skierowana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(</w:t>
      </w:r>
      <w:r w:rsidR="001D496C" w:rsidRPr="0026691B">
        <w:rPr>
          <w:rFonts w:ascii="Arial" w:hAnsi="Arial" w:cs="Arial"/>
          <w:sz w:val="24"/>
          <w:szCs w:val="24"/>
        </w:rPr>
        <w:t>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września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2006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sygn.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1251/05).</w:t>
      </w:r>
    </w:p>
    <w:p w14:paraId="1D18E672" w14:textId="1D488E49" w:rsidR="008A16DA" w:rsidRPr="0026691B" w:rsidRDefault="0096221A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Potwierdzenie,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przepis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dopuszcza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zmiany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podmiotu,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którego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była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skierowana,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znajduje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szeregu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orzeczeniach,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uchwale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stycznia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5279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15279" w:rsidRPr="0026691B">
        <w:rPr>
          <w:rFonts w:ascii="Arial" w:hAnsi="Arial" w:cs="Arial"/>
          <w:sz w:val="24"/>
          <w:szCs w:val="24"/>
        </w:rPr>
        <w:t>sygnaturze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35DE0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GPS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6/08,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wyroku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1991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35DE0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35DE0" w:rsidRPr="0026691B">
        <w:rPr>
          <w:rFonts w:ascii="Arial" w:hAnsi="Arial" w:cs="Arial"/>
          <w:sz w:val="24"/>
          <w:szCs w:val="24"/>
        </w:rPr>
        <w:t>sygnaturze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35DE0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IV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1377/90,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wyrok</w:t>
      </w:r>
      <w:r w:rsidR="00D35DE0" w:rsidRPr="0026691B">
        <w:rPr>
          <w:rFonts w:ascii="Arial" w:hAnsi="Arial" w:cs="Arial"/>
          <w:sz w:val="24"/>
          <w:szCs w:val="24"/>
        </w:rPr>
        <w:t>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listopada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35DE0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35DE0" w:rsidRPr="0026691B">
        <w:rPr>
          <w:rFonts w:ascii="Arial" w:hAnsi="Arial" w:cs="Arial"/>
          <w:sz w:val="24"/>
          <w:szCs w:val="24"/>
        </w:rPr>
        <w:t>sygnaturze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1544/10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D35DE0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wyrok</w:t>
      </w:r>
      <w:r w:rsidR="00D35DE0" w:rsidRPr="0026691B">
        <w:rPr>
          <w:rFonts w:ascii="Arial" w:hAnsi="Arial" w:cs="Arial"/>
          <w:sz w:val="24"/>
          <w:szCs w:val="24"/>
        </w:rPr>
        <w:t>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września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4431C" w:rsidRPr="0026691B">
        <w:rPr>
          <w:rFonts w:ascii="Arial" w:hAnsi="Arial" w:cs="Arial"/>
          <w:sz w:val="24"/>
          <w:szCs w:val="24"/>
        </w:rPr>
        <w:t>wydanym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1251/05.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5F4D76A8" w14:textId="206C53A0" w:rsidR="008A16DA" w:rsidRPr="0026691B" w:rsidRDefault="008A16DA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Komisja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zauważa,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pełnomocnik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słusznie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stwierdził,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umrze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toku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wtedy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30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wstępują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następcy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prawni.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Jednakże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ogóle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nastąpiło,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ponieważ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poinformowano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organu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śmierci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strony,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ponadto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organ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między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innymi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na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zmarłą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beneficjentkę,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a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nie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na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jej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następców.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Oznacza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Pr="0026691B">
        <w:rPr>
          <w:rFonts w:ascii="Arial" w:hAnsi="Arial" w:cs="Arial"/>
          <w:sz w:val="24"/>
          <w:szCs w:val="24"/>
        </w:rPr>
        <w:t>-S</w:t>
      </w:r>
      <w:r w:rsidR="00AC796C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wstąpiła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jako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następca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dotychczasowej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strony.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Okoliczność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taką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można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dopiero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wskazać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września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dokumentów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załączonych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sierpnia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08BDB7EF" w14:textId="5D549B2A" w:rsidR="009041CC" w:rsidRPr="0026691B" w:rsidRDefault="00C66B14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b/>
          <w:bCs/>
          <w:sz w:val="24"/>
          <w:szCs w:val="24"/>
        </w:rPr>
        <w:t>3.2.3.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A16DA" w:rsidRPr="0026691B">
        <w:rPr>
          <w:rFonts w:ascii="Arial" w:hAnsi="Arial" w:cs="Arial"/>
          <w:sz w:val="24"/>
          <w:szCs w:val="24"/>
        </w:rPr>
        <w:t>Ponadto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8A16D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orzecznictwie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podkreśla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się,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154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mogą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być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uchylane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zmieniane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tak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zwane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decyzje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związane,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wydaniu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których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przepisy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pozwalają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organom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swobodne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uznanie.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Tę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okoliczność,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tj.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czy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mająca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być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zmieniona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154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swobodną,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czy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związaną,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organ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powinien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zbadać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pierwszej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kolejności.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sprawach,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których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możliwe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rozpoznanie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sprawy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ramach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tzw.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uznania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administracyjnego,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wzruszenie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ostatecznej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możliwe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(patrz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między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innymi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wyrok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czerwca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2008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r.,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195/08,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https://orzeczenia.nsa.gov.pl/doc/A1873BDF61</w:t>
      </w:r>
      <w:r w:rsidR="00356000" w:rsidRPr="0026691B">
        <w:rPr>
          <w:rFonts w:ascii="Arial" w:hAnsi="Arial" w:cs="Arial"/>
          <w:sz w:val="24"/>
          <w:szCs w:val="24"/>
        </w:rPr>
        <w:t>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56000" w:rsidRPr="0026691B">
        <w:rPr>
          <w:rFonts w:ascii="Arial" w:hAnsi="Arial" w:cs="Arial"/>
          <w:sz w:val="24"/>
          <w:szCs w:val="24"/>
        </w:rPr>
        <w:t>albo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wyroku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sygnaturze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akt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OSK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1248/11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13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listopada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2012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(wydanym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składzie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Wojciech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Mazur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/przewodniczący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sprawozdawca/,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Barbara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Adamiak,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Maria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E15E62" w:rsidRPr="0026691B">
        <w:rPr>
          <w:rFonts w:ascii="Arial" w:hAnsi="Arial" w:cs="Arial"/>
          <w:sz w:val="24"/>
          <w:szCs w:val="24"/>
        </w:rPr>
        <w:t>Werpachowska)</w:t>
      </w:r>
      <w:r w:rsidR="00D03F1A" w:rsidRPr="0026691B">
        <w:rPr>
          <w:rFonts w:ascii="Arial" w:hAnsi="Arial" w:cs="Arial"/>
          <w:sz w:val="24"/>
          <w:szCs w:val="24"/>
        </w:rPr>
        <w:t>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Okoliczności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badał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Prezydent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041CC" w:rsidRPr="0026691B">
        <w:rPr>
          <w:rFonts w:ascii="Arial" w:hAnsi="Arial" w:cs="Arial"/>
          <w:sz w:val="24"/>
          <w:szCs w:val="24"/>
        </w:rPr>
        <w:t>Warszawy.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239F92D2" w14:textId="7E13BDF8" w:rsidR="009041CC" w:rsidRPr="0026691B" w:rsidRDefault="009041CC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ocenie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Komisji,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października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1945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własności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użytkowaniu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obszarze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</w:t>
      </w:r>
      <w:r w:rsidR="007B1376" w:rsidRPr="0026691B">
        <w:rPr>
          <w:rFonts w:ascii="Arial" w:hAnsi="Arial" w:cs="Arial"/>
          <w:sz w:val="24"/>
          <w:szCs w:val="24"/>
        </w:rPr>
        <w:t>Dziennik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sz w:val="24"/>
          <w:szCs w:val="24"/>
        </w:rPr>
        <w:t>Ustaw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50,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poz.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279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późn.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zm.;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dalej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jako: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lastRenderedPageBreak/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związaną.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powołanym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przepisem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gmina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uwzględni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wniosek,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jeżeli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korzystanie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dotychczasowego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właściciela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pogodzić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przeznaczeniem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według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planu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zabudowania,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jeżeli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chodzi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prawne,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użytkowanie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zgodnie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przeznaczeniem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myśl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planu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zabudowania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pozostaje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sprzeczności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zadaniami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ustawowymi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statutowymi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prawnej.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Według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dotychczasowy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właściciel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prawni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następcy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właściciela,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będący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posiadaniu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osoby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reprezentujące,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jeżeli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chodzi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oddane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obowiązujących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przepisów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zarząd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użytkowanie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-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użytkownicy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mogą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ciągu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6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miesięcy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objęcia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posiadanie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gminę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zgłosić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przyznanie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dotychczasowemu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właścicielowi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wieczystej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dzierżawy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czynszem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symbolicznym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zabudowy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opłatą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symboliczną.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Rozpatrując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wniosek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organ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obowiązany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zawsze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ustalić,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zaistniały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przesłanki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pozytywne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przesłanki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negatywne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uwzględniania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wniosku,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czym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organ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odmówić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uwzględniania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zasadzie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uznania.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Organ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związany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jest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bowiem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dekretu.</w:t>
      </w:r>
      <w:r w:rsidR="004B1109">
        <w:rPr>
          <w:rFonts w:ascii="Arial" w:hAnsi="Arial" w:cs="Arial"/>
          <w:sz w:val="24"/>
          <w:szCs w:val="24"/>
        </w:rPr>
        <w:t xml:space="preserve"> </w:t>
      </w:r>
    </w:p>
    <w:p w14:paraId="3BD0528A" w14:textId="3569BE05" w:rsidR="009041CC" w:rsidRPr="0026691B" w:rsidRDefault="009041CC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Rozstrzygnięcie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zależy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zatem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swobodnego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uznania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organu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publicznej.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Organ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posiada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jednak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decyzyjny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(korzystanie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dotychczasowego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właściciela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się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pogodzić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przeznaczeniem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gruntu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według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planu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zabudowania)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rozstrzyganiu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wniosku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dekretowego.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jednak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wykazano,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luz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decyzyjny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stanowi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uznaniu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administracyjnym.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Taka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kwalifikacja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wydanej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dekretu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skutkuje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tym,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niedopuszczalne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było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zastosowanie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trybu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Prezydenta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Miasta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Stołecznego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Warszawy.</w:t>
      </w:r>
    </w:p>
    <w:p w14:paraId="5AF83833" w14:textId="04908A08" w:rsidR="0026691B" w:rsidRPr="0026691B" w:rsidRDefault="00B45A63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3.2.4.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można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pominąć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okoliczności,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odniesieniu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trybu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dodatkowo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mocy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ostatecznej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musiała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nabyć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prawo,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nadto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wyrazić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zgodę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zmianę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uchylenie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chroniąc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prawo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nabyte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ustanawia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przesłankę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materialnoprawną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zgody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zmianę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decyzji.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Zgoda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musi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zostać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wyrażona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złożenie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oświadczenia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woli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sposób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niebudzący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wątpliwości,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zgody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można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96221A" w:rsidRPr="0026691B">
        <w:rPr>
          <w:rFonts w:ascii="Arial" w:hAnsi="Arial" w:cs="Arial"/>
          <w:sz w:val="24"/>
          <w:szCs w:val="24"/>
        </w:rPr>
        <w:t>domniemywać.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Jak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wskazano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uchwale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NSA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sygnaturze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GPS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2/09,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nowej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wydanej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trybie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155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k.p.a.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musimy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ukształtować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ten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sam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sposób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obowiązki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tych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samych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podmiotów,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których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już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zostały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ukształtowane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decyzją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(decyzjami)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pierwotną,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ponadto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orzekając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tego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przepisu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można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wydać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decyzję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lastRenderedPageBreak/>
        <w:t>tylko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tym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samym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lub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zachowującym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ciągłość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regulacji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stanem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prawnym,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stan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faktyczny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odniesieniu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do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kwestii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prawnie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istotnych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musi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być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90A6A" w:rsidRPr="0026691B">
        <w:rPr>
          <w:rFonts w:ascii="Arial" w:hAnsi="Arial" w:cs="Arial"/>
          <w:sz w:val="24"/>
          <w:szCs w:val="24"/>
        </w:rPr>
        <w:t>niezmieniony.</w:t>
      </w:r>
    </w:p>
    <w:p w14:paraId="145E4F60" w14:textId="335F5B7A" w:rsidR="00B14D2D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17" w:name="_Toc81312380"/>
      <w:r w:rsidRPr="0026691B">
        <w:rPr>
          <w:rFonts w:ascii="Arial" w:hAnsi="Arial" w:cs="Arial"/>
          <w:sz w:val="24"/>
          <w:szCs w:val="24"/>
        </w:rPr>
        <w:t>3.3.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Nieodwracalne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skutki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prawne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wywołane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decyzj</w:t>
      </w:r>
      <w:r w:rsidR="004B6697" w:rsidRPr="0026691B">
        <w:rPr>
          <w:rFonts w:ascii="Arial" w:hAnsi="Arial" w:cs="Arial"/>
          <w:sz w:val="24"/>
          <w:szCs w:val="24"/>
        </w:rPr>
        <w:t>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reprywatyzacyjn</w:t>
      </w:r>
      <w:r w:rsidR="004B6697" w:rsidRPr="0026691B">
        <w:rPr>
          <w:rFonts w:ascii="Arial" w:hAnsi="Arial" w:cs="Arial"/>
          <w:sz w:val="24"/>
          <w:szCs w:val="24"/>
        </w:rPr>
        <w:t>e</w:t>
      </w:r>
      <w:bookmarkEnd w:id="17"/>
    </w:p>
    <w:p w14:paraId="5F236A2E" w14:textId="5350081F" w:rsidR="00355AD6" w:rsidRPr="0026691B" w:rsidRDefault="00355AD6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rozpoznawczego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razie,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wywołała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uchylić.</w:t>
      </w:r>
    </w:p>
    <w:p w14:paraId="415CE347" w14:textId="749C26A6" w:rsidR="004E6CB6" w:rsidRPr="0026691B" w:rsidRDefault="004E6CB6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poczynionych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ustaleń,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rozpoznawanej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zmieniającej,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odnośnie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działki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zawarto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umowę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oddani</w:t>
      </w:r>
      <w:r w:rsidR="002340A4" w:rsidRPr="0026691B">
        <w:rPr>
          <w:rFonts w:ascii="Arial" w:hAnsi="Arial" w:cs="Arial"/>
          <w:bCs/>
          <w:sz w:val="24"/>
          <w:szCs w:val="24"/>
        </w:rPr>
        <w:t>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9D7A0A" w:rsidRPr="0026691B">
        <w:rPr>
          <w:rFonts w:ascii="Arial" w:hAnsi="Arial" w:cs="Arial"/>
          <w:bCs/>
          <w:sz w:val="24"/>
          <w:szCs w:val="24"/>
        </w:rPr>
        <w:t>Repertorium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bCs/>
          <w:sz w:val="24"/>
          <w:szCs w:val="24"/>
        </w:rPr>
        <w:t>A</w:t>
      </w:r>
      <w:r w:rsidRPr="0026691B">
        <w:rPr>
          <w:rFonts w:ascii="Arial" w:hAnsi="Arial" w:cs="Arial"/>
          <w:bCs/>
          <w:sz w:val="24"/>
          <w:szCs w:val="24"/>
        </w:rPr>
        <w:t>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umowy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beneficjentka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księgi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podstawie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aktu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notarialnego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przedmiocie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wyrażenia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wykreślenie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hipoteki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(notariusz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sporządzonej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października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-S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spółka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AC796C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o.o.</w:t>
      </w:r>
    </w:p>
    <w:p w14:paraId="2387FFA6" w14:textId="5BADF931" w:rsidR="004E6CB6" w:rsidRPr="0026691B" w:rsidRDefault="004E6CB6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Podobnie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odniesieniu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działek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najpierw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-S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zawarto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umowę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oddaniu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kwietnia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9D7A0A" w:rsidRPr="0026691B">
        <w:rPr>
          <w:rFonts w:ascii="Arial" w:hAnsi="Arial" w:cs="Arial"/>
          <w:bCs/>
          <w:sz w:val="24"/>
          <w:szCs w:val="24"/>
        </w:rPr>
        <w:t>Repertorium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bCs/>
          <w:sz w:val="24"/>
          <w:szCs w:val="24"/>
        </w:rPr>
        <w:t>A</w:t>
      </w:r>
      <w:r w:rsidR="00915143" w:rsidRPr="0026691B">
        <w:rPr>
          <w:rFonts w:ascii="Arial" w:hAnsi="Arial" w:cs="Arial"/>
          <w:bCs/>
          <w:sz w:val="24"/>
          <w:szCs w:val="24"/>
        </w:rPr>
        <w:t>)</w:t>
      </w:r>
      <w:r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Cs/>
          <w:sz w:val="24"/>
          <w:szCs w:val="24"/>
        </w:rPr>
        <w:t>Również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Cs/>
          <w:sz w:val="24"/>
          <w:szCs w:val="24"/>
        </w:rPr>
        <w:t>tym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Cs/>
          <w:sz w:val="24"/>
          <w:szCs w:val="24"/>
        </w:rPr>
        <w:t>wypadku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EC4AD8" w:rsidRPr="0026691B">
        <w:rPr>
          <w:rFonts w:ascii="Arial" w:hAnsi="Arial" w:cs="Arial"/>
          <w:bCs/>
          <w:sz w:val="24"/>
          <w:szCs w:val="24"/>
        </w:rPr>
        <w:t>użytkowania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340A4" w:rsidRPr="0026691B">
        <w:rPr>
          <w:rFonts w:ascii="Arial" w:hAnsi="Arial" w:cs="Arial"/>
          <w:bCs/>
          <w:sz w:val="24"/>
          <w:szCs w:val="24"/>
        </w:rPr>
        <w:t>wieczystego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umów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lipca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9D7A0A" w:rsidRPr="0026691B">
        <w:rPr>
          <w:rFonts w:ascii="Arial" w:hAnsi="Arial" w:cs="Arial"/>
          <w:bCs/>
          <w:sz w:val="24"/>
          <w:szCs w:val="24"/>
        </w:rPr>
        <w:t>Repertorium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2608/2010)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9D7A0A" w:rsidRPr="0026691B">
        <w:rPr>
          <w:rFonts w:ascii="Arial" w:hAnsi="Arial" w:cs="Arial"/>
          <w:bCs/>
          <w:sz w:val="24"/>
          <w:szCs w:val="24"/>
        </w:rPr>
        <w:t>Repertorium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D7A0A" w:rsidRPr="0026691B">
        <w:rPr>
          <w:rFonts w:ascii="Arial" w:hAnsi="Arial" w:cs="Arial"/>
          <w:bCs/>
          <w:sz w:val="24"/>
          <w:szCs w:val="24"/>
        </w:rPr>
        <w:t>A</w:t>
      </w:r>
      <w:r w:rsidRPr="0026691B">
        <w:rPr>
          <w:rFonts w:ascii="Arial" w:hAnsi="Arial" w:cs="Arial"/>
          <w:bCs/>
          <w:sz w:val="24"/>
          <w:szCs w:val="24"/>
        </w:rPr>
        <w:t>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przeniesiono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spółkę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o.o.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</w:p>
    <w:p w14:paraId="4932B1F5" w14:textId="775DD75B" w:rsidR="00307CCD" w:rsidRPr="0026691B" w:rsidRDefault="00355AD6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wyżej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</w:t>
      </w:r>
      <w:r w:rsidR="00B14D2D" w:rsidRPr="0026691B">
        <w:rPr>
          <w:rFonts w:ascii="Arial" w:hAnsi="Arial" w:cs="Arial"/>
          <w:bCs/>
          <w:sz w:val="24"/>
          <w:szCs w:val="24"/>
        </w:rPr>
        <w:t>stawa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wyraźnie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29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ustawy),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jeżeli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reprywatyzacyjna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wywołała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prawne,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Komisja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stwierdza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wydanie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okoliczności,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powodu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uchylić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stwierdzić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nieważności.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Komisja,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analizując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stan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faktyczny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sprawy,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toku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prowadzonego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siebie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stwierdziła,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takie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okoliczności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miały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miejsce,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oznacza,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decyzj</w:t>
      </w:r>
      <w:r w:rsidR="00CC312C" w:rsidRPr="0026691B">
        <w:rPr>
          <w:rFonts w:ascii="Arial" w:hAnsi="Arial" w:cs="Arial"/>
          <w:bCs/>
          <w:sz w:val="24"/>
          <w:szCs w:val="24"/>
        </w:rPr>
        <w:t>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Prezydenta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Miasta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Stołecznego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Warszawy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07CCD" w:rsidRPr="0026691B">
        <w:rPr>
          <w:rFonts w:ascii="Arial" w:hAnsi="Arial" w:cs="Arial"/>
          <w:bCs/>
          <w:sz w:val="24"/>
          <w:szCs w:val="24"/>
        </w:rPr>
        <w:t>179</w:t>
      </w:r>
      <w:r w:rsidR="00B14D2D" w:rsidRPr="0026691B">
        <w:rPr>
          <w:rFonts w:ascii="Arial" w:hAnsi="Arial" w:cs="Arial"/>
          <w:bCs/>
          <w:sz w:val="24"/>
          <w:szCs w:val="24"/>
        </w:rPr>
        <w:t>/GK/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DW/20</w:t>
      </w:r>
      <w:r w:rsidR="00307CCD" w:rsidRPr="0026691B">
        <w:rPr>
          <w:rFonts w:ascii="Arial" w:hAnsi="Arial" w:cs="Arial"/>
          <w:bCs/>
          <w:sz w:val="24"/>
          <w:szCs w:val="24"/>
        </w:rPr>
        <w:t>07,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07CCD" w:rsidRPr="0026691B">
        <w:rPr>
          <w:rFonts w:ascii="Arial" w:hAnsi="Arial" w:cs="Arial"/>
          <w:bCs/>
          <w:sz w:val="24"/>
          <w:szCs w:val="24"/>
        </w:rPr>
        <w:t>180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07CCD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07CCD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07CCD" w:rsidRPr="0026691B">
        <w:rPr>
          <w:rFonts w:ascii="Arial" w:hAnsi="Arial" w:cs="Arial"/>
          <w:bCs/>
          <w:sz w:val="24"/>
          <w:szCs w:val="24"/>
        </w:rPr>
        <w:t>409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07CCD"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wywołał</w:t>
      </w:r>
      <w:r w:rsidR="00307CCD" w:rsidRPr="0026691B">
        <w:rPr>
          <w:rFonts w:ascii="Arial" w:hAnsi="Arial" w:cs="Arial"/>
          <w:bCs/>
          <w:sz w:val="24"/>
          <w:szCs w:val="24"/>
        </w:rPr>
        <w:t>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nieodwracalne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prawne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rozumieniu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r.</w:t>
      </w:r>
    </w:p>
    <w:p w14:paraId="634B9FBC" w14:textId="164B8204" w:rsidR="00307CCD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pojęciem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powstały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wskutek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przeniesienia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lastRenderedPageBreak/>
        <w:t>warszawskiej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trzecią,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nastąpiło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nieodpłatnie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rzecz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nabywcy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działającego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wierze,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zagospodarowania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warszawskiej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publiczne,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sierpnia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gospodarce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nieruchomościami.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zasady,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przeniesienie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rzecz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trzeciej,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przesądza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związku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Wyjątek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natomiast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m.in.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sytuacji,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nabywca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działał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wierze.</w:t>
      </w:r>
    </w:p>
    <w:p w14:paraId="327C351C" w14:textId="3297C9DD" w:rsidR="00384CE7" w:rsidRPr="0026691B" w:rsidRDefault="00B14D2D" w:rsidP="00F427BA">
      <w:pPr>
        <w:tabs>
          <w:tab w:val="left" w:pos="3544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Pojęcie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nieodwracalności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prawnego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płaszczyźnie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odnosi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następstw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(reprywatyzacyjnej),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brak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możliwości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odmiennego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ukształtowania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sytuacji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jednostki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będącej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następstwem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wyklucza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powrót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poprzedniego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(B.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Adamiak,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Glosa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uchwały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IIIAZP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4/92,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1993,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5,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Przybysz,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Kodeks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Funkcjonuje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przesłankę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negatywną,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wyłącza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pomimo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istnienia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kwalifikowanych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określonych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następczej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stosunku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uprzedniej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czynności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natomiast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wynikających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samego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faktu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Wincenciak,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tzw.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nieodwracalnych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11931" w:rsidRPr="0026691B">
        <w:rPr>
          <w:rFonts w:ascii="Arial" w:hAnsi="Arial" w:cs="Arial"/>
          <w:bCs/>
          <w:sz w:val="24"/>
          <w:szCs w:val="24"/>
        </w:rPr>
        <w:t>[</w:t>
      </w:r>
      <w:r w:rsidRPr="0026691B">
        <w:rPr>
          <w:rFonts w:ascii="Arial" w:hAnsi="Arial" w:cs="Arial"/>
          <w:bCs/>
          <w:sz w:val="24"/>
          <w:szCs w:val="24"/>
        </w:rPr>
        <w:t>w:</w:t>
      </w:r>
      <w:r w:rsidR="00011931" w:rsidRPr="0026691B">
        <w:rPr>
          <w:rFonts w:ascii="Arial" w:hAnsi="Arial" w:cs="Arial"/>
          <w:bCs/>
          <w:sz w:val="24"/>
          <w:szCs w:val="24"/>
        </w:rPr>
        <w:t>]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Kodyfikacja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50-lecie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kpa,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red.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Niczyporuk,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Lublin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2010,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901-902).</w:t>
      </w:r>
    </w:p>
    <w:p w14:paraId="4EB87E1A" w14:textId="34AB03A2" w:rsidR="00384CE7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sądów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podkreśla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zawarcie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umowy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notarialnej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przeniesienie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będące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wadliwej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dotyczącej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sprzedaży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powstanie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stycznia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V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432/96,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LEX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45663).</w:t>
      </w:r>
    </w:p>
    <w:p w14:paraId="5E2C15CB" w14:textId="114F92B9" w:rsidR="00384CE7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jedynie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przypadku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pozytywnej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reprywatyzacyjnej.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5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czerwca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292/11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(http://orzeczenia.nsa.gov.pl/doc/730032490A),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powodująca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wywołuje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156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jeżeli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przedmiotem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obrotu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warunkach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pozwalających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zastosowanie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rękojmi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publicznej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ksiąg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wieczystych.</w:t>
      </w:r>
    </w:p>
    <w:p w14:paraId="5EAC0777" w14:textId="46A4DC99" w:rsidR="00384CE7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lastRenderedPageBreak/>
        <w:t>Co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prawda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art.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156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paragraf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2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k.p.a.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został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na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mocy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art.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38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ust.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1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ustawy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z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9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marca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2017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r.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wyłączony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właściwe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odwołanie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tym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zakresie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utrwalonego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zastosowanie.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bowiem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zauważyć,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zasadą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racjonalnego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ustawodawcy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założyć,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C2AA9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obydwu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regulacjach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zawarto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analogiczne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rozwiązania.</w:t>
      </w:r>
    </w:p>
    <w:p w14:paraId="4C422868" w14:textId="622EF44A" w:rsidR="00907463" w:rsidRPr="0026691B" w:rsidRDefault="00FB491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Ustawą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stycznia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zmianie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szczególnych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zasadach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usuwania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warszawskich,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7B1376" w:rsidRPr="0026691B">
        <w:rPr>
          <w:rFonts w:ascii="Arial" w:hAnsi="Arial" w:cs="Arial"/>
          <w:bCs/>
          <w:sz w:val="24"/>
          <w:szCs w:val="24"/>
        </w:rPr>
        <w:t>Dziennik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Ustaw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431)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dokonano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nowelizacji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Nowelizacja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754EF" w:rsidRPr="0026691B">
        <w:rPr>
          <w:rFonts w:ascii="Arial" w:hAnsi="Arial" w:cs="Arial"/>
          <w:bCs/>
          <w:sz w:val="24"/>
          <w:szCs w:val="24"/>
        </w:rPr>
        <w:t>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wprowadz</w:t>
      </w:r>
      <w:r w:rsidRPr="0026691B">
        <w:rPr>
          <w:rFonts w:ascii="Arial" w:hAnsi="Arial" w:cs="Arial"/>
          <w:bCs/>
          <w:sz w:val="24"/>
          <w:szCs w:val="24"/>
        </w:rPr>
        <w:t>iła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41a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3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C069A"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C069A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C069A"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C069A"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C069A"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C069A"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C069A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samodzieln</w:t>
      </w:r>
      <w:r w:rsidRPr="0026691B">
        <w:rPr>
          <w:rFonts w:ascii="Arial" w:hAnsi="Arial" w:cs="Arial"/>
          <w:bCs/>
          <w:sz w:val="24"/>
          <w:szCs w:val="24"/>
        </w:rPr>
        <w:t>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definicj</w:t>
      </w:r>
      <w:r w:rsidR="003A5B66" w:rsidRPr="0026691B">
        <w:rPr>
          <w:rFonts w:ascii="Arial" w:hAnsi="Arial" w:cs="Arial"/>
          <w:bCs/>
          <w:sz w:val="24"/>
          <w:szCs w:val="24"/>
        </w:rPr>
        <w:t>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="00B14D2D"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wiary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B14D2D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myśl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wskazanego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przepisu,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wierze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ten,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kto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chwili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dokonania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czynności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prawnej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osobą,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1,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wiedział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łatwością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mógł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dowiedzieć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okolicznościach,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30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bCs/>
          <w:sz w:val="24"/>
          <w:szCs w:val="24"/>
        </w:rPr>
        <w:t>ustawy.</w:t>
      </w:r>
    </w:p>
    <w:p w14:paraId="3C001E05" w14:textId="49EB1942" w:rsidR="00907463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Dokonując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ustaleń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zakresie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dobrej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BB13F9" w:rsidRPr="0026691B">
        <w:rPr>
          <w:rFonts w:ascii="Arial" w:hAnsi="Arial" w:cs="Arial"/>
          <w:bCs/>
          <w:sz w:val="24"/>
          <w:szCs w:val="24"/>
        </w:rPr>
        <w:t>ł</w:t>
      </w:r>
      <w:r w:rsidRPr="0026691B">
        <w:rPr>
          <w:rFonts w:ascii="Arial" w:hAnsi="Arial" w:cs="Arial"/>
          <w:bCs/>
          <w:sz w:val="24"/>
          <w:szCs w:val="24"/>
        </w:rPr>
        <w:t>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podmiotu,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roszczenia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warszawskiej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252A2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kontekście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zaistnienia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niezaistnienia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252A2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już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wstępie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zaznaczyć,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odwołuje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żadnego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definiować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znaczenie,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szczególności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odwołuje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znaczenia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wymienionego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terminu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określonego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lipca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1982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księgach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hipotece.</w:t>
      </w:r>
    </w:p>
    <w:p w14:paraId="54950E9F" w14:textId="310971FB" w:rsidR="00907463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Pojęcie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dobrej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kategorię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właściwą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dla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cywilnego,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przypisać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jednolitego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znaczenia.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cywilnego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istnieje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definicja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dobrej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literaturze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również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kwestii,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jednakowy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sposób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całego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cywilnego</w:t>
      </w:r>
      <w:r w:rsidR="00BB13F9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wyrażane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przekonanie,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kryteria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oceny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płynne,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jednolitości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pojęcia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dobrej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polskim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rzeczowym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utrzymać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Szpunar,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Dobra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przesłanka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nieuprawnionego,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PiP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1997,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tenże,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nieuprawnionego,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Kraków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1999,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92-97).</w:t>
      </w:r>
    </w:p>
    <w:p w14:paraId="6FAC3C89" w14:textId="667EB37D" w:rsidR="00907463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doktrynie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cywilnego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zauważa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dobra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faktem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charakterze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mentalnego,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intelektualnym,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polegającym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usprawiedliwionej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niewiedzy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lastRenderedPageBreak/>
        <w:t>określonego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podmiotu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istnieniu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określonych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szczególności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błędne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przeświadczenie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przysługiwaniu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określonego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istnieniu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określonego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stosunku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prawnego.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subiektywne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ujęcie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dobrej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Bryl,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Kodeks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cywilny.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Komentarz,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1972).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stanowi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sytuację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przeciwną</w:t>
      </w:r>
      <w:r w:rsidR="00BB13F9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występuje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podmiotu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nieusprawiedliwiona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niewiedza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dotycząca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stanów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Machnikowski,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E.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Gniewek,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Kodeks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cywilny.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Komentarz,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2006).</w:t>
      </w:r>
    </w:p>
    <w:p w14:paraId="0D44241C" w14:textId="02A5B60D" w:rsidR="00907463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myśl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ten,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chwili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dokonania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czynności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łatwością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mógł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dowiedzieć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okolicznościach,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obiektywnych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mogących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świadczyć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bądź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łatwości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pozyskania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nabywcę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okolicznościach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niniejszej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tj.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ustawy).</w:t>
      </w:r>
    </w:p>
    <w:p w14:paraId="48662CCC" w14:textId="2420D2F5" w:rsidR="00CB509B" w:rsidRPr="0026691B" w:rsidRDefault="00907463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ocenie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Komisji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nieodwracalne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skutki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prawne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zaszły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chwili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przeniesienia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prawa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użytkowania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sz w:val="24"/>
          <w:szCs w:val="24"/>
        </w:rPr>
        <w:t>wieczystego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/>
          <w:sz w:val="24"/>
          <w:szCs w:val="24"/>
        </w:rPr>
        <w:t>poszczególnych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/>
          <w:sz w:val="24"/>
          <w:szCs w:val="24"/>
        </w:rPr>
        <w:t>działek,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/>
          <w:sz w:val="24"/>
          <w:szCs w:val="24"/>
        </w:rPr>
        <w:t>transakcjach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/>
          <w:sz w:val="24"/>
          <w:szCs w:val="24"/>
        </w:rPr>
        <w:t>których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/>
          <w:sz w:val="24"/>
          <w:szCs w:val="24"/>
        </w:rPr>
        <w:t>stroną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/>
          <w:sz w:val="24"/>
          <w:szCs w:val="24"/>
        </w:rPr>
        <w:t>była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/>
          <w:sz w:val="24"/>
          <w:szCs w:val="24"/>
        </w:rPr>
        <w:t>K</w:t>
      </w:r>
      <w:r w:rsidR="00915143" w:rsidRPr="0026691B">
        <w:rPr>
          <w:rFonts w:ascii="Arial" w:hAnsi="Arial" w:cs="Arial"/>
          <w:b/>
          <w:sz w:val="24"/>
          <w:szCs w:val="24"/>
        </w:rPr>
        <w:t>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/>
          <w:sz w:val="24"/>
          <w:szCs w:val="24"/>
        </w:rPr>
        <w:t>K</w:t>
      </w:r>
      <w:r w:rsidR="00915143" w:rsidRPr="0026691B">
        <w:rPr>
          <w:rFonts w:ascii="Arial" w:hAnsi="Arial" w:cs="Arial"/>
          <w:b/>
          <w:sz w:val="24"/>
          <w:szCs w:val="24"/>
        </w:rPr>
        <w:t>.</w:t>
      </w:r>
      <w:r w:rsidR="00CB509B" w:rsidRPr="0026691B">
        <w:rPr>
          <w:rFonts w:ascii="Arial" w:hAnsi="Arial" w:cs="Arial"/>
          <w:b/>
          <w:sz w:val="24"/>
          <w:szCs w:val="24"/>
        </w:rPr>
        <w:t>-S</w:t>
      </w:r>
      <w:r w:rsidR="00915143" w:rsidRPr="0026691B">
        <w:rPr>
          <w:rFonts w:ascii="Arial" w:hAnsi="Arial" w:cs="Arial"/>
          <w:b/>
          <w:sz w:val="24"/>
          <w:szCs w:val="24"/>
        </w:rPr>
        <w:t>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/>
          <w:sz w:val="24"/>
          <w:szCs w:val="24"/>
        </w:rPr>
        <w:t>oraz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/>
          <w:sz w:val="24"/>
          <w:szCs w:val="24"/>
        </w:rPr>
        <w:t>spółk</w:t>
      </w:r>
      <w:r w:rsidR="001A1486" w:rsidRPr="0026691B">
        <w:rPr>
          <w:rFonts w:ascii="Arial" w:hAnsi="Arial" w:cs="Arial"/>
          <w:b/>
          <w:sz w:val="24"/>
          <w:szCs w:val="24"/>
        </w:rPr>
        <w:t>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/>
          <w:sz w:val="24"/>
          <w:szCs w:val="24"/>
        </w:rPr>
        <w:t>A</w:t>
      </w:r>
      <w:r w:rsidR="00915143" w:rsidRPr="0026691B">
        <w:rPr>
          <w:rFonts w:ascii="Arial" w:hAnsi="Arial" w:cs="Arial"/>
          <w:b/>
          <w:sz w:val="24"/>
          <w:szCs w:val="24"/>
        </w:rPr>
        <w:t>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F2337" w:rsidRPr="0026691B">
        <w:rPr>
          <w:rFonts w:ascii="Arial" w:hAnsi="Arial" w:cs="Arial"/>
          <w:b/>
          <w:sz w:val="24"/>
          <w:szCs w:val="24"/>
        </w:rPr>
        <w:t>sp.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F2337" w:rsidRPr="0026691B">
        <w:rPr>
          <w:rFonts w:ascii="Arial" w:hAnsi="Arial" w:cs="Arial"/>
          <w:b/>
          <w:sz w:val="24"/>
          <w:szCs w:val="24"/>
        </w:rPr>
        <w:t>z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F2337" w:rsidRPr="0026691B">
        <w:rPr>
          <w:rFonts w:ascii="Arial" w:hAnsi="Arial" w:cs="Arial"/>
          <w:b/>
          <w:sz w:val="24"/>
          <w:szCs w:val="24"/>
        </w:rPr>
        <w:t>o.o.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65708E" w:rsidRPr="0026691B">
        <w:rPr>
          <w:rFonts w:ascii="Arial" w:hAnsi="Arial" w:cs="Arial"/>
          <w:b/>
          <w:sz w:val="24"/>
          <w:szCs w:val="24"/>
        </w:rPr>
        <w:t>z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65708E" w:rsidRPr="0026691B">
        <w:rPr>
          <w:rFonts w:ascii="Arial" w:hAnsi="Arial" w:cs="Arial"/>
          <w:b/>
          <w:sz w:val="24"/>
          <w:szCs w:val="24"/>
        </w:rPr>
        <w:t>siedzibą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65708E"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65708E" w:rsidRPr="0026691B">
        <w:rPr>
          <w:rFonts w:ascii="Arial" w:hAnsi="Arial" w:cs="Arial"/>
          <w:b/>
          <w:sz w:val="24"/>
          <w:szCs w:val="24"/>
        </w:rPr>
        <w:t>Warszawie</w:t>
      </w:r>
      <w:r w:rsidR="00CB509B" w:rsidRPr="0026691B">
        <w:rPr>
          <w:rFonts w:ascii="Arial" w:hAnsi="Arial" w:cs="Arial"/>
          <w:b/>
          <w:sz w:val="24"/>
          <w:szCs w:val="24"/>
        </w:rPr>
        <w:t>.</w:t>
      </w:r>
    </w:p>
    <w:p w14:paraId="7ECA37CF" w14:textId="405365B4" w:rsidR="00CB509B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zgromadzonego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materiału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dowodowego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beneficjentka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była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powiązana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wyżej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wskazaną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spółką</w:t>
      </w:r>
      <w:r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Cs/>
          <w:sz w:val="24"/>
          <w:szCs w:val="24"/>
        </w:rPr>
        <w:t>dokumentów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Cs/>
          <w:sz w:val="24"/>
          <w:szCs w:val="24"/>
        </w:rPr>
        <w:t>świadczących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Cs/>
          <w:sz w:val="24"/>
          <w:szCs w:val="24"/>
        </w:rPr>
        <w:t>tym,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1A1486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Spółka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wiedziała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okolicznościach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niniejszej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sprawy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bądź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łatwością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mogła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dowiedzieć.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więc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podstaw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przypisać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spółce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wiarę.</w:t>
      </w:r>
    </w:p>
    <w:p w14:paraId="58CB9708" w14:textId="37F96D63" w:rsidR="00CB509B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Skoro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weryfikowana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spełnia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przesłanki,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zobligowana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2-4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Jednocześnie,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6691B" w:rsidRPr="0026691B">
        <w:rPr>
          <w:rFonts w:ascii="Arial" w:hAnsi="Arial" w:cs="Arial"/>
          <w:bCs/>
          <w:sz w:val="24"/>
          <w:szCs w:val="24"/>
        </w:rPr>
        <w:t>punkt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rozpoznawczego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razie,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wywołała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okoliczności,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uchylić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nieważności.</w:t>
      </w:r>
    </w:p>
    <w:p w14:paraId="59D9D2D0" w14:textId="1547A062" w:rsidR="00485099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Tym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samym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pomimo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ustalenia,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</w:t>
      </w:r>
      <w:r w:rsidR="00CB509B" w:rsidRPr="0026691B">
        <w:rPr>
          <w:rFonts w:ascii="Arial" w:hAnsi="Arial" w:cs="Arial"/>
          <w:bCs/>
          <w:sz w:val="24"/>
          <w:szCs w:val="24"/>
        </w:rPr>
        <w:t>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</w:t>
      </w:r>
      <w:r w:rsidR="00CB509B" w:rsidRPr="0026691B">
        <w:rPr>
          <w:rFonts w:ascii="Arial" w:hAnsi="Arial" w:cs="Arial"/>
          <w:bCs/>
          <w:sz w:val="24"/>
          <w:szCs w:val="24"/>
        </w:rPr>
        <w:t>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został</w:t>
      </w:r>
      <w:r w:rsidR="00CB509B" w:rsidRPr="0026691B">
        <w:rPr>
          <w:rFonts w:ascii="Arial" w:hAnsi="Arial" w:cs="Arial"/>
          <w:bCs/>
          <w:sz w:val="24"/>
          <w:szCs w:val="24"/>
        </w:rPr>
        <w:t>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</w:t>
      </w:r>
      <w:r w:rsidR="00CB509B" w:rsidRPr="0026691B">
        <w:rPr>
          <w:rFonts w:ascii="Arial" w:hAnsi="Arial" w:cs="Arial"/>
          <w:bCs/>
          <w:sz w:val="24"/>
          <w:szCs w:val="24"/>
        </w:rPr>
        <w:t>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rażącym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władna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stwierdzić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nieważności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</w:t>
      </w:r>
      <w:r w:rsidR="00CB509B" w:rsidRPr="0026691B">
        <w:rPr>
          <w:rFonts w:ascii="Arial" w:hAnsi="Arial" w:cs="Arial"/>
          <w:bCs/>
          <w:sz w:val="24"/>
          <w:szCs w:val="24"/>
        </w:rPr>
        <w:t>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uwagi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wystąpienie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wyżej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omówionych,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nieodwracalnych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skutków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odniesieniu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całej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zbytej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odpłatnie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rzecz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osoby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trzeciej,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lastRenderedPageBreak/>
        <w:t>osobie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niemożliwym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96453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uwagi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brak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temu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dowodów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96453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wykazanie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jednocześnie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brak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domniemywania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wiary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nabywcy,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zarzucić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realiach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niniejszej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sprawy.</w:t>
      </w:r>
    </w:p>
    <w:p w14:paraId="36DC3210" w14:textId="59ADE043" w:rsidR="00485099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18" w:name="_Toc81312381"/>
      <w:r w:rsidRPr="0026691B">
        <w:rPr>
          <w:rFonts w:ascii="Arial" w:hAnsi="Arial" w:cs="Arial"/>
          <w:sz w:val="24"/>
          <w:szCs w:val="24"/>
        </w:rPr>
        <w:t>3.4.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sz w:val="24"/>
          <w:szCs w:val="24"/>
        </w:rPr>
        <w:t>Pom</w:t>
      </w:r>
      <w:r w:rsidR="009066DD" w:rsidRPr="0026691B">
        <w:rPr>
          <w:rFonts w:ascii="Arial" w:hAnsi="Arial" w:cs="Arial"/>
          <w:sz w:val="24"/>
          <w:szCs w:val="24"/>
        </w:rPr>
        <w:t>i</w:t>
      </w:r>
      <w:r w:rsidR="00CB509B" w:rsidRPr="0026691B">
        <w:rPr>
          <w:rFonts w:ascii="Arial" w:hAnsi="Arial" w:cs="Arial"/>
          <w:sz w:val="24"/>
          <w:szCs w:val="24"/>
        </w:rPr>
        <w:t>nięcie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sz w:val="24"/>
          <w:szCs w:val="24"/>
        </w:rPr>
        <w:t>stron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C25BB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sz w:val="24"/>
          <w:szCs w:val="24"/>
        </w:rPr>
        <w:t>właścicieli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sz w:val="24"/>
          <w:szCs w:val="24"/>
        </w:rPr>
        <w:t>lokali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sz w:val="24"/>
          <w:szCs w:val="24"/>
        </w:rPr>
        <w:t>wyodrębnionych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7C25BB" w:rsidRPr="0026691B">
        <w:rPr>
          <w:rFonts w:ascii="Arial" w:hAnsi="Arial" w:cs="Arial"/>
          <w:sz w:val="24"/>
          <w:szCs w:val="24"/>
        </w:rPr>
        <w:t>–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sz w:val="24"/>
          <w:szCs w:val="24"/>
        </w:rPr>
        <w:t>decyzjach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85099" w:rsidRPr="0026691B">
        <w:rPr>
          <w:rFonts w:ascii="Arial" w:hAnsi="Arial" w:cs="Arial"/>
          <w:sz w:val="24"/>
          <w:szCs w:val="24"/>
        </w:rPr>
        <w:t>nr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85099" w:rsidRPr="0026691B">
        <w:rPr>
          <w:rFonts w:ascii="Arial" w:hAnsi="Arial" w:cs="Arial"/>
          <w:sz w:val="24"/>
          <w:szCs w:val="24"/>
        </w:rPr>
        <w:t>180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85099" w:rsidRPr="0026691B">
        <w:rPr>
          <w:rFonts w:ascii="Arial" w:hAnsi="Arial" w:cs="Arial"/>
          <w:sz w:val="24"/>
          <w:szCs w:val="24"/>
        </w:rPr>
        <w:t>2007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85099" w:rsidRPr="0026691B">
        <w:rPr>
          <w:rFonts w:ascii="Arial" w:hAnsi="Arial" w:cs="Arial"/>
          <w:sz w:val="24"/>
          <w:szCs w:val="24"/>
        </w:rPr>
        <w:t>oraz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85099" w:rsidRPr="0026691B">
        <w:rPr>
          <w:rFonts w:ascii="Arial" w:hAnsi="Arial" w:cs="Arial"/>
          <w:sz w:val="24"/>
          <w:szCs w:val="24"/>
        </w:rPr>
        <w:t>409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GK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DW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sz w:val="24"/>
          <w:szCs w:val="24"/>
        </w:rPr>
        <w:t>ukośnik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485099" w:rsidRPr="0026691B">
        <w:rPr>
          <w:rFonts w:ascii="Arial" w:hAnsi="Arial" w:cs="Arial"/>
          <w:sz w:val="24"/>
          <w:szCs w:val="24"/>
        </w:rPr>
        <w:t>2008</w:t>
      </w:r>
      <w:bookmarkEnd w:id="18"/>
    </w:p>
    <w:p w14:paraId="4DE06261" w14:textId="259186CE" w:rsidR="00485099" w:rsidRPr="0026691B" w:rsidRDefault="00151A14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N</w:t>
      </w:r>
      <w:r w:rsidR="009066DD" w:rsidRPr="0026691B">
        <w:rPr>
          <w:rFonts w:ascii="Arial" w:hAnsi="Arial" w:cs="Arial"/>
          <w:bCs/>
          <w:sz w:val="24"/>
          <w:szCs w:val="24"/>
        </w:rPr>
        <w:t>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również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zauważyć,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oprócz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wskazanych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262825" w:rsidRPr="0026691B">
        <w:rPr>
          <w:rFonts w:ascii="Arial" w:hAnsi="Arial" w:cs="Arial"/>
          <w:bCs/>
          <w:sz w:val="24"/>
          <w:szCs w:val="24"/>
        </w:rPr>
        <w:t>wyżej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wad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51890"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051890" w:rsidRPr="0026691B">
        <w:rPr>
          <w:rFonts w:ascii="Arial" w:hAnsi="Arial" w:cs="Arial"/>
          <w:bCs/>
          <w:sz w:val="24"/>
          <w:szCs w:val="24"/>
        </w:rPr>
        <w:t>Prezydenta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C4C8A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Tamka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45a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miało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również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miejsce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8354B" w:rsidRPr="0026691B">
        <w:rPr>
          <w:rFonts w:ascii="Arial" w:hAnsi="Arial" w:cs="Arial"/>
          <w:bCs/>
          <w:sz w:val="24"/>
          <w:szCs w:val="24"/>
        </w:rPr>
        <w:t>innych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stron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czynnego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administracyjnym.</w:t>
      </w:r>
    </w:p>
    <w:p w14:paraId="3827E4F5" w14:textId="57B4DC41" w:rsidR="00485099" w:rsidRPr="0026691B" w:rsidRDefault="00CB509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Naruszenie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zasady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czynnego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powoduje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wadliwość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uwagi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wagę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konsekwencji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prawnoprocesowych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powyższego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naruszenia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dla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wspomnianych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stwarza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konieczność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eliminacji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obrotu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reprywatyzacyjnej.</w:t>
      </w:r>
    </w:p>
    <w:p w14:paraId="2566F774" w14:textId="3E21CE68" w:rsidR="009066DD" w:rsidRPr="0026691B" w:rsidRDefault="00CB509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toczących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Prezydentem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Miasta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Stołecznego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zakończonych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180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</w:t>
      </w:r>
      <w:r w:rsidR="009066DD" w:rsidRPr="0026691B">
        <w:rPr>
          <w:rFonts w:ascii="Arial" w:hAnsi="Arial" w:cs="Arial"/>
          <w:bCs/>
          <w:sz w:val="24"/>
          <w:szCs w:val="24"/>
        </w:rPr>
        <w:t>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409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2008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pominięto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współużytkowników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będących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wyodrębnionych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budynku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położonym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ul.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Tamka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45a</w:t>
      </w:r>
      <w:r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posadowionym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działce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numerze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ewidencyjnym.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</w:p>
    <w:p w14:paraId="62BB307D" w14:textId="6388DC65" w:rsidR="0045734D" w:rsidRPr="0026691B" w:rsidRDefault="00485099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Po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pierwsze,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180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22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skierowan</w:t>
      </w:r>
      <w:r w:rsidRPr="0026691B">
        <w:rPr>
          <w:rFonts w:ascii="Arial" w:hAnsi="Arial" w:cs="Arial"/>
          <w:bCs/>
          <w:sz w:val="24"/>
          <w:szCs w:val="24"/>
        </w:rPr>
        <w:t>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oprócz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5734D" w:rsidRPr="0026691B">
        <w:rPr>
          <w:rFonts w:ascii="Arial" w:hAnsi="Arial" w:cs="Arial"/>
          <w:bCs/>
          <w:sz w:val="24"/>
          <w:szCs w:val="24"/>
        </w:rPr>
        <w:t>pełnomocnika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Pr="0026691B">
        <w:rPr>
          <w:rFonts w:ascii="Arial" w:hAnsi="Arial" w:cs="Arial"/>
          <w:bCs/>
          <w:sz w:val="24"/>
          <w:szCs w:val="24"/>
        </w:rPr>
        <w:t>-S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</w:t>
      </w:r>
      <w:r w:rsidR="00915143" w:rsidRPr="0026691B">
        <w:rPr>
          <w:rFonts w:ascii="Arial" w:hAnsi="Arial" w:cs="Arial"/>
          <w:bCs/>
          <w:sz w:val="24"/>
          <w:szCs w:val="24"/>
        </w:rPr>
        <w:t>.</w:t>
      </w:r>
      <w:r w:rsidR="0045734D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Wspólnoty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Mieszkaniowej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mimo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5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udział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wysokości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0,305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części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przysługuje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5734D" w:rsidRPr="0026691B">
        <w:rPr>
          <w:rFonts w:ascii="Arial" w:hAnsi="Arial" w:cs="Arial"/>
          <w:bCs/>
          <w:sz w:val="24"/>
          <w:szCs w:val="24"/>
        </w:rPr>
        <w:t>właścicielom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5734D" w:rsidRPr="0026691B">
        <w:rPr>
          <w:rFonts w:ascii="Arial" w:hAnsi="Arial" w:cs="Arial"/>
          <w:bCs/>
          <w:sz w:val="24"/>
          <w:szCs w:val="24"/>
        </w:rPr>
        <w:t>wykupionych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5734D" w:rsidRPr="0026691B">
        <w:rPr>
          <w:rFonts w:ascii="Arial" w:hAnsi="Arial" w:cs="Arial"/>
          <w:bCs/>
          <w:sz w:val="24"/>
          <w:szCs w:val="24"/>
        </w:rPr>
        <w:t>lokali.</w:t>
      </w:r>
    </w:p>
    <w:p w14:paraId="0DA830FC" w14:textId="2B8A3FE0" w:rsidR="009066DD" w:rsidRPr="0026691B" w:rsidRDefault="0045734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Następnie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września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(czyli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409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GK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DW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ukośnik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2008</w:t>
      </w:r>
      <w:r w:rsidRPr="0026691B">
        <w:rPr>
          <w:rFonts w:ascii="Arial" w:hAnsi="Arial" w:cs="Arial"/>
          <w:bCs/>
          <w:sz w:val="24"/>
          <w:szCs w:val="24"/>
        </w:rPr>
        <w:t>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powielono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wyżej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nieprawidłowość.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skierowana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została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pełnomocnika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9066DD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9066DD" w:rsidRPr="0026691B">
        <w:rPr>
          <w:rFonts w:ascii="Arial" w:hAnsi="Arial" w:cs="Arial"/>
          <w:bCs/>
          <w:sz w:val="24"/>
          <w:szCs w:val="24"/>
        </w:rPr>
        <w:t>spólnoty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</w:t>
      </w:r>
      <w:r w:rsidR="009066DD" w:rsidRPr="0026691B">
        <w:rPr>
          <w:rFonts w:ascii="Arial" w:hAnsi="Arial" w:cs="Arial"/>
          <w:bCs/>
          <w:sz w:val="24"/>
          <w:szCs w:val="24"/>
        </w:rPr>
        <w:t>ieszkaniowej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„”</w:t>
      </w:r>
      <w:r w:rsidRPr="0026691B">
        <w:rPr>
          <w:rFonts w:ascii="Arial" w:hAnsi="Arial" w:cs="Arial"/>
          <w:bCs/>
          <w:sz w:val="24"/>
          <w:szCs w:val="24"/>
        </w:rPr>
        <w:t>.</w:t>
      </w:r>
    </w:p>
    <w:p w14:paraId="64AD3BB5" w14:textId="2623D002" w:rsidR="00493746" w:rsidRPr="0026691B" w:rsidRDefault="0045734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Tymczasem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</w:t>
      </w:r>
      <w:r w:rsidR="00CB509B" w:rsidRPr="0026691B">
        <w:rPr>
          <w:rFonts w:ascii="Arial" w:hAnsi="Arial" w:cs="Arial"/>
          <w:bCs/>
          <w:sz w:val="24"/>
          <w:szCs w:val="24"/>
        </w:rPr>
        <w:t>ależy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wskazać,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właścicielom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wyodrębnionych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lokali,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będącym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zarazem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współużytkownikami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wieczystymi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gruntowej,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przysługiwało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Cs/>
          <w:sz w:val="24"/>
          <w:szCs w:val="24"/>
        </w:rPr>
        <w:t>paragraf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bCs/>
          <w:sz w:val="24"/>
          <w:szCs w:val="24"/>
        </w:rPr>
        <w:t>związku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art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czynnego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każdym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stadium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brania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przeprowadzaniu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dowodów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zaskarżania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A40359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przypadkach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określonych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ustawą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A40359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wydawanych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orzeczeń.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Interes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wspomnianych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właścicieli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przepisów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czerwca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1994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lastRenderedPageBreak/>
        <w:t>(</w:t>
      </w:r>
      <w:r w:rsidR="007B1376" w:rsidRPr="0026691B">
        <w:rPr>
          <w:rFonts w:ascii="Arial" w:hAnsi="Arial" w:cs="Arial"/>
          <w:bCs/>
          <w:sz w:val="24"/>
          <w:szCs w:val="24"/>
        </w:rPr>
        <w:t>Dziennik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Ustaw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2015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892).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Stronami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powinni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tylko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następcy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pierwotnych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właścicieli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nieruchomości,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inne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osoby,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przysługuje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tytuł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prawnorzeczowy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nieruchomości.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mogą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bowiem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oczywisty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sposób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uniemożliwiać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zaspokojenie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roszczeń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pierwotnych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właścicieli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następców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prawnych.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Uniemożliwienie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właścicielom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wyodrębnionych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realizacji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uprawnień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procesowych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wynikających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statusu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godziło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konstytucyjną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zasadę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równości,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wyrażoną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32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Konstytucji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RP,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zasadę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ochrony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przewidzianą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64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Konstytucji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RP.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Powyższe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było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również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sprzeczne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ugruntowaną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linią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orzeczniczą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(vide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wyroki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NSA</w:t>
      </w:r>
      <w:r w:rsidR="00D01B54" w:rsidRPr="0026691B">
        <w:rPr>
          <w:rFonts w:ascii="Arial" w:hAnsi="Arial" w:cs="Arial"/>
          <w:bCs/>
          <w:sz w:val="24"/>
          <w:szCs w:val="24"/>
        </w:rPr>
        <w:t>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kwietnia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2008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264/08;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lutego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2007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1110/06;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31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2011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798/10;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maja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2015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508/14,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http://orzeczenia.nsa.gov.pl).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trafnie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zauważył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wyroku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lipca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2015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2527/14,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brak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dostatecznego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uzasadnienia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dla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przyjęcia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poglądu,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dotyczącym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określonej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mogłyby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brać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udział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jedynie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osoby,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które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roszczą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sobie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stosunku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określone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drugiej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mogłyby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brać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nim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osoby,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takie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już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przysługują,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choć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innej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podstawie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CB509B" w:rsidRPr="0026691B">
        <w:rPr>
          <w:rFonts w:ascii="Arial" w:hAnsi="Arial" w:cs="Arial"/>
          <w:bCs/>
          <w:sz w:val="24"/>
          <w:szCs w:val="24"/>
        </w:rPr>
        <w:t>prawnej</w:t>
      </w:r>
      <w:r w:rsidR="00493746" w:rsidRPr="0026691B">
        <w:rPr>
          <w:rFonts w:ascii="Arial" w:hAnsi="Arial" w:cs="Arial"/>
          <w:bCs/>
          <w:sz w:val="24"/>
          <w:szCs w:val="24"/>
        </w:rPr>
        <w:t>.</w:t>
      </w:r>
    </w:p>
    <w:p w14:paraId="30978CA1" w14:textId="12D1DE28" w:rsidR="00662BC8" w:rsidRPr="0026691B" w:rsidRDefault="00CB509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Stronami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Prezydentem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Miasta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Stołecznego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powinni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wszyscy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adresaci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reprywatyzacyjnej,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obecni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użytkownicy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wieczyści.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lokalowych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wyodrębnionych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budynku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posadowionym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ponieważ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przysługuje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udział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wieczystego.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</w:p>
    <w:p w14:paraId="1A614A8F" w14:textId="256C4927" w:rsidR="00A40359" w:rsidRPr="0026691B" w:rsidRDefault="00CB509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Podobnie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Naczelnego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Sądu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września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2812/15</w:t>
      </w:r>
      <w:r w:rsidR="00A40359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myśl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utrwalonego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sądowoadministracyjnego,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wyodrębnionych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mieszkalnych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jednocześnie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współużytkownicy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gruntu,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budynek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został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wzniesiony,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A40359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rozumieniu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A40359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dekretu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A40359" w:rsidRPr="0026691B">
        <w:rPr>
          <w:rFonts w:ascii="Arial" w:hAnsi="Arial" w:cs="Arial"/>
          <w:bCs/>
          <w:sz w:val="24"/>
          <w:szCs w:val="24"/>
        </w:rPr>
        <w:t>.</w:t>
      </w:r>
    </w:p>
    <w:p w14:paraId="4B056692" w14:textId="618F25CB" w:rsidR="009273E2" w:rsidRPr="0026691B" w:rsidRDefault="00CB509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Zasada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przekłada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wspólnotę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mieszkaniową,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utworzoną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podstawie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czerwca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1994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</w:t>
      </w:r>
      <w:r w:rsidR="007B1376" w:rsidRPr="0026691B">
        <w:rPr>
          <w:rFonts w:ascii="Arial" w:hAnsi="Arial" w:cs="Arial"/>
          <w:bCs/>
          <w:sz w:val="24"/>
          <w:szCs w:val="24"/>
        </w:rPr>
        <w:t>Dziennik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7B1376" w:rsidRPr="0026691B">
        <w:rPr>
          <w:rFonts w:ascii="Arial" w:hAnsi="Arial" w:cs="Arial"/>
          <w:bCs/>
          <w:sz w:val="24"/>
          <w:szCs w:val="24"/>
        </w:rPr>
        <w:t>Ustaw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Nr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80,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903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zm.).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myśl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ogół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lastRenderedPageBreak/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wchodzą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skład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określonej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tworzy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wspólnotę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mieszkaniową.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uprawnienia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sprowadzają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zaś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tylko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zarządzania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wspólną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własności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lokali).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Wspólnota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mieszkaniowa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jedynie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stosowne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uprawnienia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związane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budynkiem,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gruntem.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legitymuje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żadnym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tytułem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prawnorzeczowym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podczas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gdy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wniosek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złożony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trybie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dekretu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gruntu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takiej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przyczyny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orzecznictwo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sądowoadmini</w:t>
      </w:r>
      <w:r w:rsidR="00493746" w:rsidRPr="0026691B">
        <w:rPr>
          <w:rFonts w:ascii="Arial" w:hAnsi="Arial" w:cs="Arial"/>
          <w:bCs/>
          <w:sz w:val="24"/>
          <w:szCs w:val="24"/>
        </w:rPr>
        <w:t>s</w:t>
      </w:r>
      <w:r w:rsidRPr="0026691B">
        <w:rPr>
          <w:rFonts w:ascii="Arial" w:hAnsi="Arial" w:cs="Arial"/>
          <w:bCs/>
          <w:sz w:val="24"/>
          <w:szCs w:val="24"/>
        </w:rPr>
        <w:t>tracyjne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przyznaje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wspólnocie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mieszkaniowej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statusu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F16C53" w:rsidRPr="0026691B">
        <w:rPr>
          <w:rFonts w:ascii="Arial" w:hAnsi="Arial" w:cs="Arial"/>
          <w:bCs/>
          <w:sz w:val="24"/>
          <w:szCs w:val="24"/>
        </w:rPr>
        <w:t>„</w:t>
      </w:r>
      <w:r w:rsidRPr="0026691B">
        <w:rPr>
          <w:rFonts w:ascii="Arial" w:hAnsi="Arial" w:cs="Arial"/>
          <w:bCs/>
          <w:sz w:val="24"/>
          <w:szCs w:val="24"/>
        </w:rPr>
        <w:t>gruntów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warszawskich</w:t>
      </w:r>
      <w:r w:rsidR="00F16C53" w:rsidRPr="0026691B">
        <w:rPr>
          <w:rFonts w:ascii="Arial" w:hAnsi="Arial" w:cs="Arial"/>
          <w:bCs/>
          <w:sz w:val="24"/>
          <w:szCs w:val="24"/>
        </w:rPr>
        <w:t>”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przykład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NSA: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2013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691/09</w:t>
      </w:r>
      <w:r w:rsidR="00151A14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LEX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stycznia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2724/14;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http://orzeczenia.nsa.gov.pl/).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Można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wskazać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ponadto,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28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k.p.a.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14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czerwca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1960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A40359" w:rsidRPr="0026691B">
        <w:rPr>
          <w:rFonts w:ascii="Arial" w:hAnsi="Arial" w:cs="Arial"/>
          <w:bCs/>
          <w:sz w:val="24"/>
          <w:szCs w:val="24"/>
        </w:rPr>
        <w:t>–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Kodeks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każdy,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interesu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obowiązku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dotyczy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żąda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czynności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względu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swój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interes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obowiązek.</w:t>
      </w:r>
    </w:p>
    <w:p w14:paraId="2EBD1467" w14:textId="3D2B646A" w:rsidR="007F717A" w:rsidRPr="0026691B" w:rsidRDefault="00CB509B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współużytkownikami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wieczystymi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działki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numerze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ewidencyjnym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byli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wyodrębnionych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mieszkalnych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nr</w:t>
      </w:r>
      <w:r w:rsidR="00B07B82" w:rsidRPr="0026691B">
        <w:rPr>
          <w:rFonts w:ascii="Arial" w:hAnsi="Arial" w:cs="Arial"/>
          <w:bCs/>
          <w:sz w:val="24"/>
          <w:szCs w:val="24"/>
        </w:rPr>
        <w:t>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którym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przysługiwał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udział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wynoszący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łącznie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0,305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części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budynku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urządzeniach,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które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służą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wspólnego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użytku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ogółu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mieszkańców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ustanowieniem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takim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samym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udziale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użytkowania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wieczystego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gruntu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pod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493746" w:rsidRPr="0026691B">
        <w:rPr>
          <w:rFonts w:ascii="Arial" w:hAnsi="Arial" w:cs="Arial"/>
          <w:bCs/>
          <w:sz w:val="24"/>
          <w:szCs w:val="24"/>
        </w:rPr>
        <w:t>budynkiem.</w:t>
      </w:r>
    </w:p>
    <w:p w14:paraId="47F9A290" w14:textId="58CA2A54" w:rsidR="00B14D2D" w:rsidRPr="0026691B" w:rsidRDefault="00EB5FB1" w:rsidP="00F427BA">
      <w:pPr>
        <w:pStyle w:val="Nagwek3"/>
        <w:spacing w:before="0" w:beforeAutospacing="0" w:after="480" w:afterAutospacing="0" w:line="360" w:lineRule="auto"/>
        <w:rPr>
          <w:rFonts w:ascii="Arial" w:hAnsi="Arial" w:cs="Arial"/>
          <w:sz w:val="24"/>
          <w:szCs w:val="24"/>
        </w:rPr>
      </w:pPr>
      <w:bookmarkStart w:id="19" w:name="_Toc81312382"/>
      <w:r w:rsidRPr="0026691B">
        <w:rPr>
          <w:rFonts w:ascii="Arial" w:hAnsi="Arial" w:cs="Arial"/>
          <w:sz w:val="24"/>
          <w:szCs w:val="24"/>
        </w:rPr>
        <w:t>3.5.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Strony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postępowania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B14D2D" w:rsidRPr="0026691B">
        <w:rPr>
          <w:rFonts w:ascii="Arial" w:hAnsi="Arial" w:cs="Arial"/>
          <w:sz w:val="24"/>
          <w:szCs w:val="24"/>
        </w:rPr>
        <w:t>rozpoznawczego</w:t>
      </w:r>
      <w:bookmarkEnd w:id="19"/>
    </w:p>
    <w:p w14:paraId="7715C395" w14:textId="0137C990" w:rsidR="00622847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Zgodnie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art.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16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marca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2017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wszczęciu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rozpoznawczego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zawiadamia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Miasto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Stołeczne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pozostałe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postępowania.</w:t>
      </w:r>
    </w:p>
    <w:p w14:paraId="06762727" w14:textId="3F4DB14A" w:rsidR="00622847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Jeżeli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została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wydana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albo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organ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rozpoznania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sprawy.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treści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cytowanego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rozpoznawczego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Komisją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Miast</w:t>
      </w:r>
      <w:r w:rsidR="00941513"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Stołeczne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reprezentowane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Prezydenta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Miasta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891186" w:rsidRPr="0026691B">
        <w:rPr>
          <w:rFonts w:ascii="Arial" w:hAnsi="Arial" w:cs="Arial"/>
          <w:bCs/>
          <w:sz w:val="24"/>
          <w:szCs w:val="24"/>
        </w:rPr>
        <w:t>Stołecznego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Warszawy.</w:t>
      </w:r>
    </w:p>
    <w:p w14:paraId="246B112D" w14:textId="6E7E2811" w:rsidR="00622847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Zasadą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jest,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ustalenie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interesu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administracyjnym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wtoku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zachowaniu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reguł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przyznanej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przepisami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procesowego.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Interes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ma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(strony)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lastRenderedPageBreak/>
        <w:t>reprywatyzacyjnego,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jednostki,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pozbawiono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zwykłym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jednostki,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których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interes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wynika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następstwa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prawnego,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zarówno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co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uczestniczących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postępowaniu,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pozbawionych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udziału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10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lutego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2009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r.,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IOSK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329/08).</w:t>
      </w:r>
    </w:p>
    <w:p w14:paraId="3CC6F07D" w14:textId="0CC0C867" w:rsidR="00622847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judykaturze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przyjmuje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się,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iż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stronami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dekretowego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tylko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przeddekretowi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lub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następcy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także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każdy,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komu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przysługuje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tytuł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prawnorzeczowy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zatem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obecni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właściciele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(i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zarówno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budynkach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dekretowych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podekretowych),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jak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obecni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użytkownicy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wieczyści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nieruchomości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8095D" w:rsidRPr="0026691B">
        <w:rPr>
          <w:rFonts w:ascii="Arial" w:hAnsi="Arial" w:cs="Arial"/>
          <w:bCs/>
          <w:sz w:val="24"/>
          <w:szCs w:val="24"/>
        </w:rPr>
        <w:t>(patrz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wyrok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WSA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Warszawie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sygnatura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DF2822" w:rsidRPr="0026691B">
        <w:rPr>
          <w:rFonts w:ascii="Arial" w:hAnsi="Arial" w:cs="Arial"/>
          <w:bCs/>
          <w:sz w:val="24"/>
          <w:szCs w:val="24"/>
        </w:rPr>
        <w:t>akt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SA/Wa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116/17,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orzeczenia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przytoczone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jego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uzasadnieniu;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622847" w:rsidRPr="0026691B">
        <w:rPr>
          <w:rFonts w:ascii="Arial" w:hAnsi="Arial" w:cs="Arial"/>
          <w:bCs/>
          <w:sz w:val="24"/>
          <w:szCs w:val="24"/>
        </w:rPr>
        <w:t>http://orzeczenia.nsa.gov.pl/doc/073E16A34E</w:t>
      </w:r>
      <w:r w:rsidRPr="0026691B">
        <w:rPr>
          <w:rFonts w:ascii="Arial" w:hAnsi="Arial" w:cs="Arial"/>
          <w:bCs/>
          <w:sz w:val="24"/>
          <w:szCs w:val="24"/>
        </w:rPr>
        <w:t>).</w:t>
      </w:r>
    </w:p>
    <w:p w14:paraId="6511CCC4" w14:textId="2652558F" w:rsidR="00512982" w:rsidRPr="0026691B" w:rsidRDefault="00B14D2D" w:rsidP="00F427B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691B">
        <w:rPr>
          <w:rFonts w:ascii="Arial" w:hAnsi="Arial" w:cs="Arial"/>
          <w:bCs/>
          <w:sz w:val="24"/>
          <w:szCs w:val="24"/>
        </w:rPr>
        <w:t>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uwagi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powyższe,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za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strony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postępowania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należało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uznać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beneficjentkę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Cs/>
          <w:sz w:val="24"/>
          <w:szCs w:val="24"/>
        </w:rPr>
        <w:t>reprywatyzacyjnej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oraz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właścicieli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lokali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wyodrębnionych.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W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chwili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wydania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decyzji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Komisji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są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to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r w:rsidR="00BF0308" w:rsidRPr="0026691B">
        <w:rPr>
          <w:rFonts w:ascii="Arial" w:hAnsi="Arial" w:cs="Arial"/>
          <w:bCs/>
          <w:sz w:val="24"/>
          <w:szCs w:val="24"/>
        </w:rPr>
        <w:t>właściciele</w:t>
      </w:r>
      <w:r w:rsidR="004B110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F0308" w:rsidRPr="0026691B">
        <w:rPr>
          <w:rFonts w:ascii="Arial" w:hAnsi="Arial" w:cs="Arial"/>
          <w:bCs/>
          <w:sz w:val="24"/>
          <w:szCs w:val="24"/>
        </w:rPr>
        <w:t>lokali:.</w:t>
      </w:r>
      <w:proofErr w:type="gramEnd"/>
    </w:p>
    <w:p w14:paraId="1AD88E79" w14:textId="74583A93" w:rsidR="00512982" w:rsidRPr="0026691B" w:rsidRDefault="00512982" w:rsidP="00F427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691B">
        <w:rPr>
          <w:rFonts w:ascii="Arial" w:hAnsi="Arial" w:cs="Arial"/>
          <w:sz w:val="24"/>
          <w:szCs w:val="24"/>
        </w:rPr>
        <w:t>Ponadto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16a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związku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310401"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art.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16a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ustawy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9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marca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2017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wynika,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Komisja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może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wszcząć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postępowanie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przypadku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wniesienia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przez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prokuratora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sprzeciwu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od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ostatecznej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decyzji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reprywatyzacyjnej,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razie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wszczęcia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postępo</w:t>
      </w:r>
      <w:r w:rsidRPr="0026691B">
        <w:rPr>
          <w:rFonts w:ascii="Arial" w:hAnsi="Arial" w:cs="Arial"/>
          <w:sz w:val="24"/>
          <w:szCs w:val="24"/>
        </w:rPr>
        <w:softHyphen/>
        <w:t>wania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rozpoznawczego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prokuratorowi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służą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prawa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strony.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powyższego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wynika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więc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konieczność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uznania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również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w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niniejszej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sprawie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za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  <w:sz w:val="24"/>
          <w:szCs w:val="24"/>
        </w:rPr>
        <w:t>stronę</w:t>
      </w:r>
      <w:r w:rsidR="004B1109">
        <w:rPr>
          <w:rFonts w:ascii="Arial" w:hAnsi="Arial" w:cs="Arial"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Prokuratora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Regionalnego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Warszawie,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który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wniósł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do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Samorządowego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Kolegium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Odwoławczego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sprzeciw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od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ostatecznej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decyzji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Prezydenta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Miasta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Stołecznego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Warszawy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nr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409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GK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DW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4A6B17" w:rsidRPr="0026691B">
        <w:rPr>
          <w:rFonts w:ascii="Arial" w:hAnsi="Arial" w:cs="Arial"/>
          <w:b/>
          <w:sz w:val="24"/>
          <w:szCs w:val="24"/>
        </w:rPr>
        <w:t>ukośnik</w:t>
      </w:r>
      <w:r w:rsidR="004B1109">
        <w:rPr>
          <w:rFonts w:ascii="Arial" w:hAnsi="Arial" w:cs="Arial"/>
          <w:b/>
          <w:sz w:val="24"/>
          <w:szCs w:val="24"/>
        </w:rPr>
        <w:t xml:space="preserve"> </w:t>
      </w:r>
      <w:r w:rsidR="00F41A6A" w:rsidRPr="0026691B">
        <w:rPr>
          <w:rFonts w:ascii="Arial" w:hAnsi="Arial" w:cs="Arial"/>
          <w:b/>
          <w:sz w:val="24"/>
          <w:szCs w:val="24"/>
        </w:rPr>
        <w:t>2008.</w:t>
      </w:r>
    </w:p>
    <w:p w14:paraId="703F4DD2" w14:textId="6CD0F78A" w:rsidR="00512982" w:rsidRPr="0026691B" w:rsidRDefault="00EB5FB1" w:rsidP="00F427BA">
      <w:pPr>
        <w:pStyle w:val="Nagwek2"/>
        <w:spacing w:before="0" w:after="48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0" w:name="_Toc81312383"/>
      <w:r w:rsidRPr="0026691B">
        <w:rPr>
          <w:rFonts w:ascii="Arial" w:hAnsi="Arial" w:cs="Arial"/>
          <w:b/>
          <w:bCs/>
          <w:color w:val="auto"/>
          <w:sz w:val="24"/>
          <w:szCs w:val="24"/>
        </w:rPr>
        <w:t>4.</w:t>
      </w:r>
      <w:r w:rsidR="004B11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12982" w:rsidRPr="0026691B">
        <w:rPr>
          <w:rFonts w:ascii="Arial" w:hAnsi="Arial" w:cs="Arial"/>
          <w:b/>
          <w:bCs/>
          <w:color w:val="auto"/>
          <w:sz w:val="24"/>
          <w:szCs w:val="24"/>
        </w:rPr>
        <w:t>Konkluzja</w:t>
      </w:r>
      <w:bookmarkEnd w:id="20"/>
    </w:p>
    <w:p w14:paraId="30BCB1F0" w14:textId="13065F4F" w:rsidR="001B424D" w:rsidRPr="0026691B" w:rsidRDefault="00E219C2" w:rsidP="00F427BA">
      <w:pPr>
        <w:pStyle w:val="Style9"/>
        <w:spacing w:after="480" w:line="360" w:lineRule="auto"/>
        <w:ind w:right="29" w:firstLine="0"/>
        <w:jc w:val="left"/>
        <w:rPr>
          <w:rFonts w:ascii="Arial" w:hAnsi="Arial" w:cs="Arial"/>
        </w:rPr>
      </w:pPr>
      <w:r w:rsidRPr="0026691B">
        <w:rPr>
          <w:rStyle w:val="FontStyle18"/>
          <w:rFonts w:ascii="Arial" w:hAnsi="Arial" w:cs="Arial"/>
          <w:sz w:val="24"/>
          <w:szCs w:val="24"/>
        </w:rPr>
        <w:t>Mając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na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uwadze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powyższe,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w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ocenie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Komisji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w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rozpoznawanej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sprawie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wystąpiły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podstawy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Style w:val="FontStyle18"/>
          <w:rFonts w:ascii="Arial" w:hAnsi="Arial" w:cs="Arial"/>
          <w:sz w:val="24"/>
          <w:szCs w:val="24"/>
        </w:rPr>
        <w:t>do</w:t>
      </w:r>
      <w:r w:rsidR="004B1109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26691B">
        <w:rPr>
          <w:rFonts w:ascii="Arial" w:hAnsi="Arial" w:cs="Arial"/>
        </w:rPr>
        <w:t>stwierdzenia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nieważności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decyzji,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jednakże</w:t>
      </w:r>
      <w:r w:rsidR="004B1109">
        <w:rPr>
          <w:rFonts w:ascii="Arial" w:hAnsi="Arial" w:cs="Arial"/>
          <w:b/>
          <w:bCs/>
        </w:rPr>
        <w:t xml:space="preserve"> </w:t>
      </w:r>
      <w:r w:rsidRPr="0026691B">
        <w:rPr>
          <w:rFonts w:ascii="Arial" w:hAnsi="Arial" w:cs="Arial"/>
        </w:rPr>
        <w:t>z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uwagi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wystąpienie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nieodwracalnych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skutków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prawnych,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zasadnym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było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stwierdzenie,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że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decyzje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będące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przedmiotem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niniejszego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postępowania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(czyli</w:t>
      </w:r>
      <w:r w:rsidR="004B1109">
        <w:rPr>
          <w:rFonts w:ascii="Arial" w:hAnsi="Arial" w:cs="Arial"/>
        </w:rPr>
        <w:t xml:space="preserve"> </w:t>
      </w:r>
      <w:r w:rsidR="00021DA6" w:rsidRPr="0026691B">
        <w:rPr>
          <w:rFonts w:ascii="Arial" w:hAnsi="Arial" w:cs="Arial"/>
          <w:bCs/>
        </w:rPr>
        <w:t>z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22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maja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2007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r.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nr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179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GK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DW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2007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i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z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22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maja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2007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r.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nr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180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GK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DW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2007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oraz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z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10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września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2008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r.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nr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409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GK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DW</w:t>
      </w:r>
      <w:r w:rsidR="004B1109">
        <w:rPr>
          <w:rFonts w:ascii="Arial" w:hAnsi="Arial" w:cs="Arial"/>
          <w:bCs/>
        </w:rPr>
        <w:t xml:space="preserve"> </w:t>
      </w:r>
      <w:r w:rsidR="004A6B17" w:rsidRPr="0026691B">
        <w:rPr>
          <w:rFonts w:ascii="Arial" w:hAnsi="Arial" w:cs="Arial"/>
          <w:bCs/>
        </w:rPr>
        <w:t>ukośnik</w:t>
      </w:r>
      <w:r w:rsidR="004B1109">
        <w:rPr>
          <w:rFonts w:ascii="Arial" w:hAnsi="Arial" w:cs="Arial"/>
          <w:bCs/>
        </w:rPr>
        <w:t xml:space="preserve"> </w:t>
      </w:r>
      <w:r w:rsidR="00021DA6" w:rsidRPr="0026691B">
        <w:rPr>
          <w:rFonts w:ascii="Arial" w:hAnsi="Arial" w:cs="Arial"/>
          <w:bCs/>
        </w:rPr>
        <w:t>2008</w:t>
      </w:r>
      <w:r w:rsidRPr="0026691B">
        <w:rPr>
          <w:rFonts w:ascii="Arial" w:hAnsi="Arial" w:cs="Arial"/>
        </w:rPr>
        <w:t>)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zostały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wydane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naruszeniem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prawa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oraz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wskazan</w:t>
      </w:r>
      <w:r w:rsidR="00780125" w:rsidRPr="0026691B">
        <w:rPr>
          <w:rFonts w:ascii="Arial" w:hAnsi="Arial" w:cs="Arial"/>
        </w:rPr>
        <w:t>o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przyczyny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dla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których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nie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można</w:t>
      </w:r>
      <w:r w:rsidR="004B1109">
        <w:rPr>
          <w:rFonts w:ascii="Arial" w:hAnsi="Arial" w:cs="Arial"/>
        </w:rPr>
        <w:t xml:space="preserve"> </w:t>
      </w:r>
      <w:r w:rsidR="00780125" w:rsidRPr="0026691B">
        <w:rPr>
          <w:rFonts w:ascii="Arial" w:hAnsi="Arial" w:cs="Arial"/>
        </w:rPr>
        <w:t>było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stwierdzić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ich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nieważności.</w:t>
      </w:r>
    </w:p>
    <w:p w14:paraId="049EEC50" w14:textId="65E0DBEB" w:rsidR="0026691B" w:rsidRPr="0026691B" w:rsidRDefault="00E219C2" w:rsidP="00F427BA">
      <w:pPr>
        <w:pStyle w:val="Style9"/>
        <w:spacing w:after="480" w:line="360" w:lineRule="auto"/>
        <w:ind w:right="29" w:firstLine="0"/>
        <w:jc w:val="left"/>
        <w:rPr>
          <w:rFonts w:ascii="Arial" w:hAnsi="Arial" w:cs="Arial"/>
        </w:rPr>
      </w:pPr>
      <w:r w:rsidRPr="0026691B">
        <w:rPr>
          <w:rFonts w:ascii="Arial" w:hAnsi="Arial" w:cs="Arial"/>
        </w:rPr>
        <w:lastRenderedPageBreak/>
        <w:t>Mając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uwadze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powyżej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wskazane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okoliczności,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Komisja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podstawie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art.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29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ust.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1</w:t>
      </w:r>
      <w:r w:rsidR="004B1109">
        <w:rPr>
          <w:rFonts w:ascii="Arial" w:hAnsi="Arial" w:cs="Arial"/>
        </w:rPr>
        <w:t xml:space="preserve"> </w:t>
      </w:r>
      <w:r w:rsidR="0026691B" w:rsidRPr="0026691B">
        <w:rPr>
          <w:rFonts w:ascii="Arial" w:hAnsi="Arial" w:cs="Arial"/>
        </w:rPr>
        <w:t>punkt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4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w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związku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art.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30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ust.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1</w:t>
      </w:r>
      <w:r w:rsidR="004B1109">
        <w:rPr>
          <w:rFonts w:ascii="Arial" w:hAnsi="Arial" w:cs="Arial"/>
        </w:rPr>
        <w:t xml:space="preserve"> </w:t>
      </w:r>
      <w:r w:rsidR="0026691B" w:rsidRPr="0026691B">
        <w:rPr>
          <w:rFonts w:ascii="Arial" w:hAnsi="Arial" w:cs="Arial"/>
        </w:rPr>
        <w:t>punkt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4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ustawy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dnia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9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marca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2017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r.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w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związku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z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art.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156</w:t>
      </w:r>
      <w:r w:rsidR="004B1109">
        <w:rPr>
          <w:rFonts w:ascii="Arial" w:hAnsi="Arial" w:cs="Arial"/>
        </w:rPr>
        <w:t xml:space="preserve"> </w:t>
      </w:r>
      <w:r w:rsidR="004A6B17" w:rsidRPr="0026691B">
        <w:rPr>
          <w:rFonts w:ascii="Arial" w:hAnsi="Arial" w:cs="Arial"/>
        </w:rPr>
        <w:t>paragraf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1</w:t>
      </w:r>
      <w:r w:rsidR="004B1109">
        <w:rPr>
          <w:rFonts w:ascii="Arial" w:hAnsi="Arial" w:cs="Arial"/>
        </w:rPr>
        <w:t xml:space="preserve"> </w:t>
      </w:r>
      <w:r w:rsidR="0026691B" w:rsidRPr="0026691B">
        <w:rPr>
          <w:rFonts w:ascii="Arial" w:hAnsi="Arial" w:cs="Arial"/>
        </w:rPr>
        <w:t>punkt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2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k.p.a.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w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związku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z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art.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38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ust.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1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oraz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art.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2</w:t>
      </w:r>
      <w:r w:rsidR="004B1109">
        <w:rPr>
          <w:rFonts w:ascii="Arial" w:hAnsi="Arial" w:cs="Arial"/>
        </w:rPr>
        <w:t xml:space="preserve"> </w:t>
      </w:r>
      <w:r w:rsidR="0026691B" w:rsidRPr="0026691B">
        <w:rPr>
          <w:rFonts w:ascii="Arial" w:hAnsi="Arial" w:cs="Arial"/>
        </w:rPr>
        <w:t>punkt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4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ustawy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z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dnia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9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marca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2017</w:t>
      </w:r>
      <w:r w:rsidR="004B1109">
        <w:rPr>
          <w:rFonts w:ascii="Arial" w:hAnsi="Arial" w:cs="Arial"/>
        </w:rPr>
        <w:t xml:space="preserve"> </w:t>
      </w:r>
      <w:r w:rsidR="00B2558B" w:rsidRPr="0026691B">
        <w:rPr>
          <w:rFonts w:ascii="Arial" w:hAnsi="Arial" w:cs="Arial"/>
        </w:rPr>
        <w:t>r.,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orzekła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jak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na</w:t>
      </w:r>
      <w:r w:rsidR="004B1109">
        <w:rPr>
          <w:rFonts w:ascii="Arial" w:hAnsi="Arial" w:cs="Arial"/>
        </w:rPr>
        <w:t xml:space="preserve"> </w:t>
      </w:r>
      <w:r w:rsidRPr="0026691B">
        <w:rPr>
          <w:rFonts w:ascii="Arial" w:hAnsi="Arial" w:cs="Arial"/>
        </w:rPr>
        <w:t>wstępie.</w:t>
      </w:r>
      <w:r w:rsidR="004B1109">
        <w:rPr>
          <w:rFonts w:ascii="Arial" w:hAnsi="Arial" w:cs="Arial"/>
        </w:rPr>
        <w:t xml:space="preserve"> </w:t>
      </w:r>
    </w:p>
    <w:p w14:paraId="27439100" w14:textId="02E18291" w:rsidR="008F6CE9" w:rsidRPr="0026691B" w:rsidRDefault="008F6CE9" w:rsidP="00F427B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6691B">
        <w:rPr>
          <w:rFonts w:ascii="Arial" w:hAnsi="Arial" w:cs="Arial"/>
          <w:b/>
          <w:bCs/>
          <w:sz w:val="24"/>
          <w:szCs w:val="24"/>
        </w:rPr>
        <w:t>Przewodniczący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Komisji</w:t>
      </w:r>
    </w:p>
    <w:p w14:paraId="7E07E2C8" w14:textId="534796F1" w:rsidR="0026691B" w:rsidRPr="0026691B" w:rsidRDefault="008F6CE9" w:rsidP="00F427B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6691B">
        <w:rPr>
          <w:rFonts w:ascii="Arial" w:hAnsi="Arial" w:cs="Arial"/>
          <w:b/>
          <w:bCs/>
          <w:sz w:val="24"/>
          <w:szCs w:val="24"/>
        </w:rPr>
        <w:t>Sebastian</w:t>
      </w:r>
      <w:r w:rsidR="004B11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</w:rPr>
        <w:t>Kaleta</w:t>
      </w:r>
    </w:p>
    <w:bookmarkEnd w:id="12"/>
    <w:p w14:paraId="6A7A3180" w14:textId="77777777" w:rsidR="0026691B" w:rsidRPr="0026691B" w:rsidRDefault="0026691B" w:rsidP="00F427BA">
      <w:pPr>
        <w:spacing w:after="480" w:line="360" w:lineRule="auto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4B34F215" w14:textId="77777777" w:rsidR="004F4CE6" w:rsidRPr="0026691B" w:rsidRDefault="004F4CE6" w:rsidP="00F427BA">
      <w:pPr>
        <w:spacing w:after="480" w:line="360" w:lineRule="auto"/>
        <w:rPr>
          <w:rFonts w:ascii="Arial" w:hAnsi="Arial" w:cs="Arial"/>
          <w:sz w:val="24"/>
          <w:szCs w:val="24"/>
          <w:u w:val="single"/>
          <w:lang w:eastAsia="pl-PL"/>
        </w:rPr>
      </w:pPr>
    </w:p>
    <w:p w14:paraId="25908AB5" w14:textId="77777777" w:rsidR="007920F8" w:rsidRPr="0026691B" w:rsidRDefault="007920F8" w:rsidP="00F427BA">
      <w:pPr>
        <w:spacing w:after="480" w:line="360" w:lineRule="auto"/>
        <w:rPr>
          <w:rFonts w:ascii="Arial" w:hAnsi="Arial" w:cs="Arial"/>
          <w:sz w:val="24"/>
          <w:szCs w:val="24"/>
          <w:u w:val="single"/>
          <w:lang w:eastAsia="pl-PL"/>
        </w:rPr>
      </w:pPr>
      <w:r w:rsidRPr="0026691B">
        <w:rPr>
          <w:rFonts w:ascii="Arial" w:hAnsi="Arial" w:cs="Arial"/>
          <w:sz w:val="24"/>
          <w:szCs w:val="24"/>
          <w:u w:val="single"/>
          <w:lang w:eastAsia="pl-PL"/>
        </w:rPr>
        <w:br w:type="page"/>
      </w:r>
    </w:p>
    <w:p w14:paraId="1865E11F" w14:textId="77777777" w:rsidR="0026691B" w:rsidRPr="0026691B" w:rsidRDefault="00583D81" w:rsidP="00F427BA">
      <w:pPr>
        <w:spacing w:after="480" w:line="360" w:lineRule="auto"/>
        <w:rPr>
          <w:rFonts w:ascii="Arial" w:hAnsi="Arial" w:cs="Arial"/>
          <w:sz w:val="24"/>
          <w:szCs w:val="24"/>
          <w:u w:val="single"/>
          <w:lang w:eastAsia="pl-PL"/>
        </w:rPr>
      </w:pPr>
      <w:r w:rsidRPr="0026691B">
        <w:rPr>
          <w:rFonts w:ascii="Arial" w:hAnsi="Arial" w:cs="Arial"/>
          <w:sz w:val="24"/>
          <w:szCs w:val="24"/>
          <w:u w:val="single"/>
          <w:lang w:eastAsia="pl-PL"/>
        </w:rPr>
        <w:lastRenderedPageBreak/>
        <w:t>Pouczenie:</w:t>
      </w:r>
    </w:p>
    <w:p w14:paraId="5EEC5E30" w14:textId="298985BD" w:rsidR="00583D81" w:rsidRPr="0026691B" w:rsidRDefault="00583D81" w:rsidP="00F427BA">
      <w:pPr>
        <w:pStyle w:val="Akapitzlist"/>
        <w:numPr>
          <w:ilvl w:val="0"/>
          <w:numId w:val="6"/>
        </w:numPr>
        <w:spacing w:after="480" w:line="360" w:lineRule="auto"/>
        <w:ind w:left="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691B">
        <w:rPr>
          <w:rFonts w:ascii="Arial" w:hAnsi="Arial" w:cs="Arial"/>
          <w:sz w:val="24"/>
          <w:szCs w:val="24"/>
          <w:lang w:eastAsia="pl-PL"/>
        </w:rPr>
        <w:t>Niniejsza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decyzja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jest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ostateczna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10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4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ustawy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9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marca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2017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r.).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może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wnieść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skargę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Wojewódzkiego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Administracyjnego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Warszawie,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ul.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Jasna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2/4,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00-013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Warszawa,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pośrednictwem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Komisji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spraw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reprywatyzacji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nieruchomości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warszawskich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terminie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30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doręczenia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decyzji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52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oraz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54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ustawy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30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sierpnia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2002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–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postępowaniu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przed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sądami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administracyjnymi,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B1376" w:rsidRPr="0026691B">
        <w:rPr>
          <w:rFonts w:ascii="Arial" w:hAnsi="Arial" w:cs="Arial"/>
          <w:sz w:val="24"/>
          <w:szCs w:val="24"/>
          <w:lang w:eastAsia="pl-PL"/>
        </w:rPr>
        <w:t>Dziennik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B1376" w:rsidRPr="0026691B">
        <w:rPr>
          <w:rFonts w:ascii="Arial" w:hAnsi="Arial" w:cs="Arial"/>
          <w:sz w:val="24"/>
          <w:szCs w:val="24"/>
          <w:lang w:eastAsia="pl-PL"/>
        </w:rPr>
        <w:t>Ustaw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2019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poz.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2325,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2020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poz.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2299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2320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oraz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2021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poz.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54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159,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dalej: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p.p.s.a.).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Skarga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powinna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czynić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zadość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wymogom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określonym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57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p.p.s.a.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skargi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należy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dołączyć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odpisy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odpisy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załączników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dla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doręczenia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stronom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dla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tut.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organu),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ponadto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jeżeli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Sądzie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złożono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załączników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oryginale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jednym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odpisie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każdego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załącznika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akt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sądowych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47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p.p.s.a.).</w:t>
      </w:r>
    </w:p>
    <w:p w14:paraId="196FBAC4" w14:textId="2B59F9DD" w:rsidR="00583D81" w:rsidRPr="0026691B" w:rsidRDefault="00583D81" w:rsidP="00F427BA">
      <w:pPr>
        <w:pStyle w:val="Akapitzlist"/>
        <w:numPr>
          <w:ilvl w:val="0"/>
          <w:numId w:val="6"/>
        </w:numPr>
        <w:spacing w:after="480" w:line="360" w:lineRule="auto"/>
        <w:ind w:left="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691B">
        <w:rPr>
          <w:rFonts w:ascii="Arial" w:hAnsi="Arial" w:cs="Arial"/>
          <w:sz w:val="24"/>
          <w:szCs w:val="24"/>
          <w:lang w:eastAsia="pl-PL"/>
        </w:rPr>
        <w:t>Zgodnie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57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k.p.a.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termin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uważa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się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zachowany,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jeżeli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przed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upływem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pismo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zostało: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wysłane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formie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dokumentu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elektronicznego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organu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administracji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publicznej,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nadawca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otrzymał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urzędowe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poświadczenie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odbioru;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nadane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polskiej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placówce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pocztowej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operatora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wyznaczonego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rozumieniu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ustawy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listopada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2012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44780" w:rsidRPr="0026691B">
        <w:rPr>
          <w:rFonts w:ascii="Arial" w:hAnsi="Arial" w:cs="Arial"/>
          <w:sz w:val="24"/>
          <w:szCs w:val="24"/>
          <w:lang w:eastAsia="pl-PL"/>
        </w:rPr>
        <w:t>–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pocztowe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albo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placówce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pocztowej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operatora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świadczącego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pocztowe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usługi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powszechne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innym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państwie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członkowskim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Unii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Europejskiej,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Konfederacji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Szwajcarskiej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albo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państwie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członkowskim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Europejskiego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Porozumienia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Wolnym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Handlu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(EFTA)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44780" w:rsidRPr="0026691B">
        <w:rPr>
          <w:rFonts w:ascii="Arial" w:hAnsi="Arial" w:cs="Arial"/>
          <w:sz w:val="24"/>
          <w:szCs w:val="24"/>
          <w:lang w:eastAsia="pl-PL"/>
        </w:rPr>
        <w:t>–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umowy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Europejskim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Obszarze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Gospodarczym;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3)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złożone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polskim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urzędzie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konsularnym;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4)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złożone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przez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żołnierza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dowództwie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jednostki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wojskowej;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złożone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przez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członka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załogi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statku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morskiego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kapitanowi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statku;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6)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złożone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przez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osobę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pozbawioną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wolności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administracji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zakładu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karnego.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E5CA50D" w14:textId="1E2DFCC6" w:rsidR="00583D81" w:rsidRPr="0026691B" w:rsidRDefault="00583D81" w:rsidP="00F427BA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26691B">
        <w:rPr>
          <w:rFonts w:ascii="Arial" w:hAnsi="Arial" w:cs="Arial"/>
          <w:sz w:val="24"/>
          <w:szCs w:val="24"/>
          <w:lang w:eastAsia="pl-PL"/>
        </w:rPr>
        <w:t>Zgodnie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71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pocztowego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Prezes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Urzędu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Komunikacji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Elektronicznej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dokonał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wyboru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Poczty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Polskiej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Spółki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Akcyjnej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siedzibą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Warszawie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jako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operatora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wyznaczonego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do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świadczenia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usług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b/>
          <w:bCs/>
          <w:sz w:val="24"/>
          <w:szCs w:val="24"/>
          <w:lang w:eastAsia="pl-PL"/>
        </w:rPr>
        <w:t>powszechnych</w:t>
      </w:r>
      <w:r w:rsidR="004B110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latach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2016–2025.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334D83C" w14:textId="58C84D41" w:rsidR="00583D81" w:rsidRPr="0026691B" w:rsidRDefault="00583D81" w:rsidP="00F427BA">
      <w:pPr>
        <w:pStyle w:val="Akapitzlist"/>
        <w:numPr>
          <w:ilvl w:val="0"/>
          <w:numId w:val="6"/>
        </w:numPr>
        <w:spacing w:after="480" w:line="360" w:lineRule="auto"/>
        <w:ind w:left="0" w:firstLine="0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26691B">
        <w:rPr>
          <w:rFonts w:ascii="Arial" w:hAnsi="Arial" w:cs="Arial"/>
          <w:sz w:val="24"/>
          <w:szCs w:val="24"/>
          <w:lang w:eastAsia="pl-PL"/>
        </w:rPr>
        <w:t>Wpis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skargi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administracyjnego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charakter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stały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wynosi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200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(dwieście)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zł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zgodnie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pkt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rozporządzenia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Rady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Ministrów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16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grudnia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2003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sprawie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wysokości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oraz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szczegółowych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zasad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pobierania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wpisu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lastRenderedPageBreak/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postępowaniu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przed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sądami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administracyjnymi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</w:t>
      </w:r>
      <w:r w:rsidR="007B1376" w:rsidRPr="0026691B">
        <w:rPr>
          <w:rFonts w:ascii="Arial" w:hAnsi="Arial" w:cs="Arial"/>
          <w:sz w:val="24"/>
          <w:szCs w:val="24"/>
          <w:lang w:eastAsia="pl-PL"/>
        </w:rPr>
        <w:t>Dziennik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B1376" w:rsidRPr="0026691B">
        <w:rPr>
          <w:rFonts w:ascii="Arial" w:hAnsi="Arial" w:cs="Arial"/>
          <w:sz w:val="24"/>
          <w:szCs w:val="24"/>
          <w:lang w:eastAsia="pl-PL"/>
        </w:rPr>
        <w:t>Ustaw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2021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poz.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535).</w:t>
      </w:r>
    </w:p>
    <w:p w14:paraId="4D586105" w14:textId="56E4C8FC" w:rsidR="00583D81" w:rsidRPr="0026691B" w:rsidRDefault="00583D81" w:rsidP="00F427BA">
      <w:pPr>
        <w:numPr>
          <w:ilvl w:val="0"/>
          <w:numId w:val="6"/>
        </w:numPr>
        <w:spacing w:after="480" w:line="360" w:lineRule="auto"/>
        <w:ind w:left="0" w:firstLine="0"/>
        <w:rPr>
          <w:rFonts w:ascii="Arial" w:hAnsi="Arial" w:cs="Arial"/>
          <w:sz w:val="24"/>
          <w:szCs w:val="24"/>
          <w:lang w:eastAsia="pl-PL"/>
        </w:rPr>
      </w:pP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myśl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zaś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243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p.p.s.a.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może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być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przyznane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–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wniosek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–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pomocy.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Wniosek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ten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wolny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jest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opłat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sądowych.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Wniosek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przyznanie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pomocy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powinien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zawierać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oświadczenie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obejmujące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dokładne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dane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stanie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majątkowym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dochodach,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jeżeli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wniosek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składa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osoba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fizyczna,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ponadto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dokładne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dane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stanie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rodzinnym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oraz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oświadczenie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niezatrudnieniu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lub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niepozostawaniu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innym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stosunku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prawnym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adwokatem,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radcą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prawnym,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doradcą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podatkowym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lub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rzecznikiem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patentowym.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Wniosek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składa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się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urzędowym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formularzu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według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ustalonego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wzoru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(art.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252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p.p.s.a.).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Zgodnie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zaś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244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p.p.s.a.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pomocy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obejmuje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zwolnienie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kosztów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sądowych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oraz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ustanowienie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adwokata,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radcy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prawnego,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doradcy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podatkowego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lub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rzecznika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patentowego.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28ED3F5" w14:textId="100ECA26" w:rsidR="00583D81" w:rsidRPr="0026691B" w:rsidRDefault="00583D81" w:rsidP="00F427BA">
      <w:pPr>
        <w:numPr>
          <w:ilvl w:val="0"/>
          <w:numId w:val="6"/>
        </w:numPr>
        <w:spacing w:after="480" w:line="360" w:lineRule="auto"/>
        <w:ind w:left="0" w:firstLine="0"/>
        <w:rPr>
          <w:rFonts w:ascii="Arial" w:hAnsi="Arial" w:cs="Arial"/>
          <w:sz w:val="24"/>
          <w:szCs w:val="24"/>
          <w:lang w:eastAsia="pl-PL"/>
        </w:rPr>
      </w:pP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uwagi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to,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że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doręczenie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decyzji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następuje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formie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publicznego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ogłoszenia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podstawie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16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ustawy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9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marca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2017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10401"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10401" w:rsidRPr="0026691B">
        <w:rPr>
          <w:rFonts w:ascii="Arial" w:hAnsi="Arial" w:cs="Arial"/>
          <w:sz w:val="24"/>
          <w:szCs w:val="24"/>
          <w:lang w:eastAsia="pl-PL"/>
        </w:rPr>
        <w:t>związku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10401"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49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A6B17" w:rsidRPr="0026691B">
        <w:rPr>
          <w:rFonts w:ascii="Arial" w:hAnsi="Arial" w:cs="Arial"/>
          <w:sz w:val="24"/>
          <w:szCs w:val="24"/>
          <w:lang w:eastAsia="pl-PL"/>
        </w:rPr>
        <w:t>paragraf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k.p.a.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Komisja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informuje,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że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treścią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decyzji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mogą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zapoznać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się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urzędzie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zapewniającym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obsługę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administracyjno-biurową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Komisji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godzinach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pracy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tego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urzędu.</w:t>
      </w:r>
    </w:p>
    <w:p w14:paraId="441928E1" w14:textId="1A621FA0" w:rsidR="0026691B" w:rsidRPr="0026691B" w:rsidRDefault="00583D81" w:rsidP="00F427BA">
      <w:pPr>
        <w:numPr>
          <w:ilvl w:val="0"/>
          <w:numId w:val="6"/>
        </w:numPr>
        <w:spacing w:after="480" w:line="360" w:lineRule="auto"/>
        <w:ind w:left="0" w:firstLine="0"/>
        <w:rPr>
          <w:rFonts w:ascii="Arial" w:hAnsi="Arial" w:cs="Arial"/>
          <w:sz w:val="24"/>
          <w:szCs w:val="24"/>
          <w:lang w:eastAsia="pl-PL"/>
        </w:rPr>
      </w:pP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myśl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zaś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art.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16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3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ustawy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9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marca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2017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r.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strony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mogą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być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zawiadamiane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wszczęciu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postępowania,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decyzjach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innych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czynnościach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Komisji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poprzez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ogłoszenie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w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Biuletynie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Informacji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Publicznej,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na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stronie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podmiotowej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urzędu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obsługującego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Ministra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Sprawiedliwości.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Zawiadomienie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albo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doręczenie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uważa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się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za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dokonane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upływie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7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od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dnia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publicznego</w:t>
      </w:r>
      <w:r w:rsidR="004B110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6691B">
        <w:rPr>
          <w:rFonts w:ascii="Arial" w:hAnsi="Arial" w:cs="Arial"/>
          <w:sz w:val="24"/>
          <w:szCs w:val="24"/>
          <w:lang w:eastAsia="pl-PL"/>
        </w:rPr>
        <w:t>ogłoszenia.</w:t>
      </w:r>
    </w:p>
    <w:p w14:paraId="7280E78F" w14:textId="177A2639" w:rsidR="004C4A71" w:rsidRPr="0026691B" w:rsidRDefault="004C4A71" w:rsidP="00F427BA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4C4A71" w:rsidRPr="0026691B" w:rsidSect="00BF030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5ECE" w14:textId="77777777" w:rsidR="008E541D" w:rsidRDefault="008E541D" w:rsidP="00CC4EF6">
      <w:pPr>
        <w:spacing w:after="0" w:line="240" w:lineRule="auto"/>
      </w:pPr>
      <w:r>
        <w:separator/>
      </w:r>
    </w:p>
  </w:endnote>
  <w:endnote w:type="continuationSeparator" w:id="0">
    <w:p w14:paraId="3B86550F" w14:textId="77777777" w:rsidR="008E541D" w:rsidRDefault="008E541D" w:rsidP="00CC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ËÎĚĺ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330867709"/>
      <w:docPartObj>
        <w:docPartGallery w:val="Page Numbers (Bottom of Page)"/>
        <w:docPartUnique/>
      </w:docPartObj>
    </w:sdtPr>
    <w:sdtEndPr/>
    <w:sdtContent>
      <w:p w14:paraId="711EF063" w14:textId="77777777" w:rsidR="00CC4EF6" w:rsidRPr="00DA3270" w:rsidRDefault="00CC4EF6" w:rsidP="00D91266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DA3270">
          <w:rPr>
            <w:rFonts w:ascii="Arial" w:hAnsi="Arial" w:cs="Arial"/>
            <w:sz w:val="24"/>
            <w:szCs w:val="24"/>
          </w:rPr>
          <w:fldChar w:fldCharType="begin"/>
        </w:r>
        <w:r w:rsidRPr="00DA3270">
          <w:rPr>
            <w:rFonts w:ascii="Arial" w:hAnsi="Arial" w:cs="Arial"/>
            <w:sz w:val="24"/>
            <w:szCs w:val="24"/>
          </w:rPr>
          <w:instrText>PAGE   \* MERGEFORMAT</w:instrText>
        </w:r>
        <w:r w:rsidRPr="00DA3270">
          <w:rPr>
            <w:rFonts w:ascii="Arial" w:hAnsi="Arial" w:cs="Arial"/>
            <w:sz w:val="24"/>
            <w:szCs w:val="24"/>
          </w:rPr>
          <w:fldChar w:fldCharType="separate"/>
        </w:r>
        <w:r w:rsidR="00955657" w:rsidRPr="00DA3270">
          <w:rPr>
            <w:rFonts w:ascii="Arial" w:hAnsi="Arial" w:cs="Arial"/>
            <w:noProof/>
            <w:sz w:val="24"/>
            <w:szCs w:val="24"/>
          </w:rPr>
          <w:t>14</w:t>
        </w:r>
        <w:r w:rsidRPr="00DA327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33B4" w14:textId="77777777" w:rsidR="008E541D" w:rsidRDefault="008E541D" w:rsidP="00CC4EF6">
      <w:pPr>
        <w:spacing w:after="0" w:line="240" w:lineRule="auto"/>
      </w:pPr>
      <w:r>
        <w:separator/>
      </w:r>
    </w:p>
  </w:footnote>
  <w:footnote w:type="continuationSeparator" w:id="0">
    <w:p w14:paraId="5C971495" w14:textId="77777777" w:rsidR="008E541D" w:rsidRDefault="008E541D" w:rsidP="00CC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FB3E" w14:textId="4601F3CA" w:rsidR="00BF0308" w:rsidRDefault="00BF0308" w:rsidP="00173284">
    <w:pPr>
      <w:pStyle w:val="Nagwek"/>
    </w:pPr>
    <w:r w:rsidRPr="00E87AFF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3F2628D" wp14:editId="4CC6E89A">
          <wp:extent cx="2591435" cy="623570"/>
          <wp:effectExtent l="0" t="0" r="0" b="5080"/>
          <wp:docPr id="2" name="Obraz 2" descr="Logo Komisji do spraw reprywatyzacji nieruchomości warsza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Komisji do spraw reprywatyzacji nieruchomości warszawski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32C"/>
    <w:multiLevelType w:val="hybridMultilevel"/>
    <w:tmpl w:val="22E2B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46D7"/>
    <w:multiLevelType w:val="hybridMultilevel"/>
    <w:tmpl w:val="BA585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0231"/>
    <w:multiLevelType w:val="hybridMultilevel"/>
    <w:tmpl w:val="C082B2E2"/>
    <w:lvl w:ilvl="0" w:tplc="D03E74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0537C"/>
    <w:multiLevelType w:val="hybridMultilevel"/>
    <w:tmpl w:val="A5F682E0"/>
    <w:lvl w:ilvl="0" w:tplc="51C8B4DA">
      <w:start w:val="1"/>
      <w:numFmt w:val="decimal"/>
      <w:lvlText w:val="%1."/>
      <w:lvlJc w:val="left"/>
      <w:pPr>
        <w:ind w:left="2203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F319E"/>
    <w:multiLevelType w:val="hybridMultilevel"/>
    <w:tmpl w:val="8E224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03E7"/>
    <w:multiLevelType w:val="hybridMultilevel"/>
    <w:tmpl w:val="42FE5520"/>
    <w:lvl w:ilvl="0" w:tplc="59429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126643"/>
    <w:multiLevelType w:val="hybridMultilevel"/>
    <w:tmpl w:val="3CE22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32EBB"/>
    <w:multiLevelType w:val="hybridMultilevel"/>
    <w:tmpl w:val="F708B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4A"/>
    <w:rsid w:val="0000055D"/>
    <w:rsid w:val="00006153"/>
    <w:rsid w:val="00011931"/>
    <w:rsid w:val="00021DA6"/>
    <w:rsid w:val="00022568"/>
    <w:rsid w:val="00026226"/>
    <w:rsid w:val="00026515"/>
    <w:rsid w:val="000268AB"/>
    <w:rsid w:val="0003206F"/>
    <w:rsid w:val="000332D3"/>
    <w:rsid w:val="00040EB8"/>
    <w:rsid w:val="000426E8"/>
    <w:rsid w:val="00051890"/>
    <w:rsid w:val="00052787"/>
    <w:rsid w:val="000527C1"/>
    <w:rsid w:val="00056D0F"/>
    <w:rsid w:val="00060A5D"/>
    <w:rsid w:val="00066672"/>
    <w:rsid w:val="00080FFB"/>
    <w:rsid w:val="00086FD9"/>
    <w:rsid w:val="00091854"/>
    <w:rsid w:val="000A0839"/>
    <w:rsid w:val="000A1472"/>
    <w:rsid w:val="000A579D"/>
    <w:rsid w:val="000B13CF"/>
    <w:rsid w:val="000B3615"/>
    <w:rsid w:val="000B568D"/>
    <w:rsid w:val="000B5D42"/>
    <w:rsid w:val="000B6179"/>
    <w:rsid w:val="000B6AC4"/>
    <w:rsid w:val="000C0D20"/>
    <w:rsid w:val="000F078D"/>
    <w:rsid w:val="000F4934"/>
    <w:rsid w:val="00100A1C"/>
    <w:rsid w:val="00106C85"/>
    <w:rsid w:val="00112456"/>
    <w:rsid w:val="00113AC2"/>
    <w:rsid w:val="0011520A"/>
    <w:rsid w:val="00115355"/>
    <w:rsid w:val="001156D2"/>
    <w:rsid w:val="001162D4"/>
    <w:rsid w:val="00117317"/>
    <w:rsid w:val="00124D65"/>
    <w:rsid w:val="00145E77"/>
    <w:rsid w:val="001464D5"/>
    <w:rsid w:val="0015007D"/>
    <w:rsid w:val="00151A14"/>
    <w:rsid w:val="00157EF7"/>
    <w:rsid w:val="00160B94"/>
    <w:rsid w:val="001615F4"/>
    <w:rsid w:val="001658E1"/>
    <w:rsid w:val="001664D5"/>
    <w:rsid w:val="001665A6"/>
    <w:rsid w:val="00171353"/>
    <w:rsid w:val="00171AA9"/>
    <w:rsid w:val="00173284"/>
    <w:rsid w:val="00174058"/>
    <w:rsid w:val="00181023"/>
    <w:rsid w:val="00183B4D"/>
    <w:rsid w:val="001844EE"/>
    <w:rsid w:val="00187BED"/>
    <w:rsid w:val="0019024C"/>
    <w:rsid w:val="0019164B"/>
    <w:rsid w:val="00195789"/>
    <w:rsid w:val="0019732B"/>
    <w:rsid w:val="001979E0"/>
    <w:rsid w:val="001A1486"/>
    <w:rsid w:val="001A3330"/>
    <w:rsid w:val="001A6B84"/>
    <w:rsid w:val="001B095B"/>
    <w:rsid w:val="001B424D"/>
    <w:rsid w:val="001C3EB5"/>
    <w:rsid w:val="001C6EFD"/>
    <w:rsid w:val="001C7244"/>
    <w:rsid w:val="001D0233"/>
    <w:rsid w:val="001D2BF3"/>
    <w:rsid w:val="001D2D5D"/>
    <w:rsid w:val="001D35C3"/>
    <w:rsid w:val="001D496C"/>
    <w:rsid w:val="001D5D9D"/>
    <w:rsid w:val="001E1BA1"/>
    <w:rsid w:val="001F3C11"/>
    <w:rsid w:val="001F738C"/>
    <w:rsid w:val="002022C5"/>
    <w:rsid w:val="0020783A"/>
    <w:rsid w:val="00216983"/>
    <w:rsid w:val="00216F8B"/>
    <w:rsid w:val="00231408"/>
    <w:rsid w:val="002315FD"/>
    <w:rsid w:val="002337C3"/>
    <w:rsid w:val="002340A4"/>
    <w:rsid w:val="0024569E"/>
    <w:rsid w:val="002469AD"/>
    <w:rsid w:val="0025439C"/>
    <w:rsid w:val="00257156"/>
    <w:rsid w:val="00260D82"/>
    <w:rsid w:val="00262825"/>
    <w:rsid w:val="00262F6E"/>
    <w:rsid w:val="0026513B"/>
    <w:rsid w:val="0026691B"/>
    <w:rsid w:val="002677C9"/>
    <w:rsid w:val="0027254A"/>
    <w:rsid w:val="002743A2"/>
    <w:rsid w:val="002952EC"/>
    <w:rsid w:val="00295AA0"/>
    <w:rsid w:val="00296453"/>
    <w:rsid w:val="002A012D"/>
    <w:rsid w:val="002A0391"/>
    <w:rsid w:val="002A3B9F"/>
    <w:rsid w:val="002A6DDB"/>
    <w:rsid w:val="002B4A6D"/>
    <w:rsid w:val="002B529C"/>
    <w:rsid w:val="002B68ED"/>
    <w:rsid w:val="002B7652"/>
    <w:rsid w:val="002B78D6"/>
    <w:rsid w:val="002C4C32"/>
    <w:rsid w:val="002D132B"/>
    <w:rsid w:val="002E09E4"/>
    <w:rsid w:val="002F0D23"/>
    <w:rsid w:val="002F326D"/>
    <w:rsid w:val="0030116C"/>
    <w:rsid w:val="003066E2"/>
    <w:rsid w:val="00307CCD"/>
    <w:rsid w:val="00310401"/>
    <w:rsid w:val="003204D2"/>
    <w:rsid w:val="00321F33"/>
    <w:rsid w:val="00327B20"/>
    <w:rsid w:val="00330888"/>
    <w:rsid w:val="00331C6C"/>
    <w:rsid w:val="00340141"/>
    <w:rsid w:val="0034142F"/>
    <w:rsid w:val="00346C93"/>
    <w:rsid w:val="00353108"/>
    <w:rsid w:val="00355AD6"/>
    <w:rsid w:val="00356000"/>
    <w:rsid w:val="00357956"/>
    <w:rsid w:val="0036140E"/>
    <w:rsid w:val="00363D0C"/>
    <w:rsid w:val="00370406"/>
    <w:rsid w:val="00371E47"/>
    <w:rsid w:val="00374697"/>
    <w:rsid w:val="00380718"/>
    <w:rsid w:val="00383066"/>
    <w:rsid w:val="00384CE7"/>
    <w:rsid w:val="00387A62"/>
    <w:rsid w:val="00391E40"/>
    <w:rsid w:val="003A4A9A"/>
    <w:rsid w:val="003A5B66"/>
    <w:rsid w:val="003B1B01"/>
    <w:rsid w:val="003C2AA9"/>
    <w:rsid w:val="003C2DEE"/>
    <w:rsid w:val="003C45AB"/>
    <w:rsid w:val="003C5234"/>
    <w:rsid w:val="003C59A8"/>
    <w:rsid w:val="003C7BB3"/>
    <w:rsid w:val="003E3BB5"/>
    <w:rsid w:val="003F6874"/>
    <w:rsid w:val="00407371"/>
    <w:rsid w:val="004165A9"/>
    <w:rsid w:val="00417919"/>
    <w:rsid w:val="0042479C"/>
    <w:rsid w:val="00425152"/>
    <w:rsid w:val="004300E1"/>
    <w:rsid w:val="00433B97"/>
    <w:rsid w:val="00435416"/>
    <w:rsid w:val="00437814"/>
    <w:rsid w:val="00440E51"/>
    <w:rsid w:val="004469EC"/>
    <w:rsid w:val="00451863"/>
    <w:rsid w:val="00455E9B"/>
    <w:rsid w:val="0045734D"/>
    <w:rsid w:val="00460BC1"/>
    <w:rsid w:val="0047051C"/>
    <w:rsid w:val="00470E8C"/>
    <w:rsid w:val="00471C3C"/>
    <w:rsid w:val="004723D1"/>
    <w:rsid w:val="004727EB"/>
    <w:rsid w:val="00472D4B"/>
    <w:rsid w:val="00475240"/>
    <w:rsid w:val="00477643"/>
    <w:rsid w:val="00480DFD"/>
    <w:rsid w:val="00480FAF"/>
    <w:rsid w:val="004838A1"/>
    <w:rsid w:val="00485099"/>
    <w:rsid w:val="0048525A"/>
    <w:rsid w:val="004901C6"/>
    <w:rsid w:val="00493746"/>
    <w:rsid w:val="004977E4"/>
    <w:rsid w:val="004A0906"/>
    <w:rsid w:val="004A6267"/>
    <w:rsid w:val="004A6B17"/>
    <w:rsid w:val="004B1109"/>
    <w:rsid w:val="004B25E7"/>
    <w:rsid w:val="004B6697"/>
    <w:rsid w:val="004C4A71"/>
    <w:rsid w:val="004C4C8A"/>
    <w:rsid w:val="004C5DD3"/>
    <w:rsid w:val="004D355E"/>
    <w:rsid w:val="004D4BF6"/>
    <w:rsid w:val="004D6AD7"/>
    <w:rsid w:val="004E36FD"/>
    <w:rsid w:val="004E6CB6"/>
    <w:rsid w:val="004E7B59"/>
    <w:rsid w:val="004F03DF"/>
    <w:rsid w:val="004F4CE6"/>
    <w:rsid w:val="004F7056"/>
    <w:rsid w:val="00507860"/>
    <w:rsid w:val="00510DB3"/>
    <w:rsid w:val="0051258E"/>
    <w:rsid w:val="00512982"/>
    <w:rsid w:val="005154C9"/>
    <w:rsid w:val="00516C16"/>
    <w:rsid w:val="00520E0E"/>
    <w:rsid w:val="005227CC"/>
    <w:rsid w:val="00533849"/>
    <w:rsid w:val="00542649"/>
    <w:rsid w:val="00545D8E"/>
    <w:rsid w:val="00547D03"/>
    <w:rsid w:val="00552760"/>
    <w:rsid w:val="005527FC"/>
    <w:rsid w:val="005601D6"/>
    <w:rsid w:val="00562D71"/>
    <w:rsid w:val="00563EBB"/>
    <w:rsid w:val="0056722B"/>
    <w:rsid w:val="0057171A"/>
    <w:rsid w:val="00572A88"/>
    <w:rsid w:val="00575269"/>
    <w:rsid w:val="005773DF"/>
    <w:rsid w:val="00581611"/>
    <w:rsid w:val="0058328D"/>
    <w:rsid w:val="00583D81"/>
    <w:rsid w:val="00586A1E"/>
    <w:rsid w:val="0059180B"/>
    <w:rsid w:val="00592239"/>
    <w:rsid w:val="005937E6"/>
    <w:rsid w:val="005A2CC5"/>
    <w:rsid w:val="005A3232"/>
    <w:rsid w:val="005D4272"/>
    <w:rsid w:val="005D4B29"/>
    <w:rsid w:val="005D6054"/>
    <w:rsid w:val="005F0331"/>
    <w:rsid w:val="005F05A3"/>
    <w:rsid w:val="005F0FB5"/>
    <w:rsid w:val="005F717E"/>
    <w:rsid w:val="005F7FB4"/>
    <w:rsid w:val="00605D97"/>
    <w:rsid w:val="00607A2C"/>
    <w:rsid w:val="00610D85"/>
    <w:rsid w:val="0061363A"/>
    <w:rsid w:val="0061475C"/>
    <w:rsid w:val="0061648E"/>
    <w:rsid w:val="00622847"/>
    <w:rsid w:val="00625E09"/>
    <w:rsid w:val="006312ED"/>
    <w:rsid w:val="0063167F"/>
    <w:rsid w:val="00631872"/>
    <w:rsid w:val="00633DD9"/>
    <w:rsid w:val="00634E59"/>
    <w:rsid w:val="00636200"/>
    <w:rsid w:val="00637A9C"/>
    <w:rsid w:val="00640627"/>
    <w:rsid w:val="00645640"/>
    <w:rsid w:val="00655E6C"/>
    <w:rsid w:val="0065708E"/>
    <w:rsid w:val="00662BC8"/>
    <w:rsid w:val="0066525E"/>
    <w:rsid w:val="0067212A"/>
    <w:rsid w:val="006749D0"/>
    <w:rsid w:val="00674C80"/>
    <w:rsid w:val="006754EF"/>
    <w:rsid w:val="0068095D"/>
    <w:rsid w:val="0068549C"/>
    <w:rsid w:val="00690AAE"/>
    <w:rsid w:val="006A0E22"/>
    <w:rsid w:val="006A111E"/>
    <w:rsid w:val="006A3B22"/>
    <w:rsid w:val="006A5E6D"/>
    <w:rsid w:val="006B3101"/>
    <w:rsid w:val="006B4EF2"/>
    <w:rsid w:val="006B555A"/>
    <w:rsid w:val="006B6A5A"/>
    <w:rsid w:val="006B758C"/>
    <w:rsid w:val="006C2769"/>
    <w:rsid w:val="006D18C9"/>
    <w:rsid w:val="006D1E9B"/>
    <w:rsid w:val="006E420B"/>
    <w:rsid w:val="006E586D"/>
    <w:rsid w:val="006F73A0"/>
    <w:rsid w:val="0070107F"/>
    <w:rsid w:val="00701B9F"/>
    <w:rsid w:val="00706F9B"/>
    <w:rsid w:val="00711363"/>
    <w:rsid w:val="00722C69"/>
    <w:rsid w:val="007272BA"/>
    <w:rsid w:val="007318A3"/>
    <w:rsid w:val="00731E98"/>
    <w:rsid w:val="00732419"/>
    <w:rsid w:val="007360E0"/>
    <w:rsid w:val="0074186B"/>
    <w:rsid w:val="00741B03"/>
    <w:rsid w:val="00744780"/>
    <w:rsid w:val="00747449"/>
    <w:rsid w:val="007500A8"/>
    <w:rsid w:val="007515F4"/>
    <w:rsid w:val="00751924"/>
    <w:rsid w:val="007577CF"/>
    <w:rsid w:val="007641CC"/>
    <w:rsid w:val="0076717E"/>
    <w:rsid w:val="007678E4"/>
    <w:rsid w:val="007732CE"/>
    <w:rsid w:val="00773E8A"/>
    <w:rsid w:val="00780125"/>
    <w:rsid w:val="00784E86"/>
    <w:rsid w:val="007877B4"/>
    <w:rsid w:val="007920F8"/>
    <w:rsid w:val="0079255F"/>
    <w:rsid w:val="00792A3A"/>
    <w:rsid w:val="00793323"/>
    <w:rsid w:val="007951DD"/>
    <w:rsid w:val="007953C7"/>
    <w:rsid w:val="007B1194"/>
    <w:rsid w:val="007B1376"/>
    <w:rsid w:val="007B2DEF"/>
    <w:rsid w:val="007B709A"/>
    <w:rsid w:val="007C25BB"/>
    <w:rsid w:val="007C4624"/>
    <w:rsid w:val="007D0DBC"/>
    <w:rsid w:val="007D16E0"/>
    <w:rsid w:val="007D4705"/>
    <w:rsid w:val="007D508A"/>
    <w:rsid w:val="007E3091"/>
    <w:rsid w:val="007E33FF"/>
    <w:rsid w:val="007F5BF7"/>
    <w:rsid w:val="007F6175"/>
    <w:rsid w:val="007F6C1B"/>
    <w:rsid w:val="007F717A"/>
    <w:rsid w:val="007F7673"/>
    <w:rsid w:val="00803884"/>
    <w:rsid w:val="00813E29"/>
    <w:rsid w:val="00815D56"/>
    <w:rsid w:val="008252A2"/>
    <w:rsid w:val="0082530D"/>
    <w:rsid w:val="00826438"/>
    <w:rsid w:val="00834B16"/>
    <w:rsid w:val="00834D9C"/>
    <w:rsid w:val="00844C86"/>
    <w:rsid w:val="00845960"/>
    <w:rsid w:val="0085123C"/>
    <w:rsid w:val="00867159"/>
    <w:rsid w:val="00871CBF"/>
    <w:rsid w:val="00880C4F"/>
    <w:rsid w:val="00880DA9"/>
    <w:rsid w:val="00880EBF"/>
    <w:rsid w:val="00882D50"/>
    <w:rsid w:val="00884624"/>
    <w:rsid w:val="00884AA2"/>
    <w:rsid w:val="00891186"/>
    <w:rsid w:val="00892396"/>
    <w:rsid w:val="008A0241"/>
    <w:rsid w:val="008A16DA"/>
    <w:rsid w:val="008A3E97"/>
    <w:rsid w:val="008A7AF2"/>
    <w:rsid w:val="008A7F79"/>
    <w:rsid w:val="008B3127"/>
    <w:rsid w:val="008B4D65"/>
    <w:rsid w:val="008C1132"/>
    <w:rsid w:val="008C150E"/>
    <w:rsid w:val="008C40A3"/>
    <w:rsid w:val="008C4FC8"/>
    <w:rsid w:val="008C74A1"/>
    <w:rsid w:val="008D0CA6"/>
    <w:rsid w:val="008D1163"/>
    <w:rsid w:val="008D1A8D"/>
    <w:rsid w:val="008D2605"/>
    <w:rsid w:val="008D58C5"/>
    <w:rsid w:val="008E23B0"/>
    <w:rsid w:val="008E2DE0"/>
    <w:rsid w:val="008E3474"/>
    <w:rsid w:val="008E39D2"/>
    <w:rsid w:val="008E541D"/>
    <w:rsid w:val="008F0A5F"/>
    <w:rsid w:val="008F3321"/>
    <w:rsid w:val="008F3B36"/>
    <w:rsid w:val="008F6CE9"/>
    <w:rsid w:val="008F6E25"/>
    <w:rsid w:val="009027F9"/>
    <w:rsid w:val="009041CC"/>
    <w:rsid w:val="009066DD"/>
    <w:rsid w:val="00907463"/>
    <w:rsid w:val="00915143"/>
    <w:rsid w:val="00920662"/>
    <w:rsid w:val="00920839"/>
    <w:rsid w:val="009273E2"/>
    <w:rsid w:val="00927CFA"/>
    <w:rsid w:val="00937249"/>
    <w:rsid w:val="00941513"/>
    <w:rsid w:val="00945836"/>
    <w:rsid w:val="00950D30"/>
    <w:rsid w:val="009550E6"/>
    <w:rsid w:val="00955657"/>
    <w:rsid w:val="00955B19"/>
    <w:rsid w:val="009577A6"/>
    <w:rsid w:val="0096221A"/>
    <w:rsid w:val="00963B22"/>
    <w:rsid w:val="00964A99"/>
    <w:rsid w:val="00965BBA"/>
    <w:rsid w:val="00966BAB"/>
    <w:rsid w:val="009715ED"/>
    <w:rsid w:val="00980EC7"/>
    <w:rsid w:val="00985081"/>
    <w:rsid w:val="0098716A"/>
    <w:rsid w:val="009A3117"/>
    <w:rsid w:val="009A4613"/>
    <w:rsid w:val="009A5260"/>
    <w:rsid w:val="009A720A"/>
    <w:rsid w:val="009C57C5"/>
    <w:rsid w:val="009C73A4"/>
    <w:rsid w:val="009D0CAD"/>
    <w:rsid w:val="009D38F1"/>
    <w:rsid w:val="009D6299"/>
    <w:rsid w:val="009D7A0A"/>
    <w:rsid w:val="009E1AC6"/>
    <w:rsid w:val="009E1BB6"/>
    <w:rsid w:val="009E785B"/>
    <w:rsid w:val="009F11C3"/>
    <w:rsid w:val="009F33E7"/>
    <w:rsid w:val="00A01DF4"/>
    <w:rsid w:val="00A06FAB"/>
    <w:rsid w:val="00A15578"/>
    <w:rsid w:val="00A21131"/>
    <w:rsid w:val="00A22EA1"/>
    <w:rsid w:val="00A24A29"/>
    <w:rsid w:val="00A26DC1"/>
    <w:rsid w:val="00A319EC"/>
    <w:rsid w:val="00A33163"/>
    <w:rsid w:val="00A34473"/>
    <w:rsid w:val="00A367BB"/>
    <w:rsid w:val="00A36E46"/>
    <w:rsid w:val="00A40359"/>
    <w:rsid w:val="00A424F6"/>
    <w:rsid w:val="00A4793E"/>
    <w:rsid w:val="00A61A95"/>
    <w:rsid w:val="00A64FBC"/>
    <w:rsid w:val="00A74595"/>
    <w:rsid w:val="00A83921"/>
    <w:rsid w:val="00A83F1E"/>
    <w:rsid w:val="00A94A21"/>
    <w:rsid w:val="00A970CF"/>
    <w:rsid w:val="00A97C3A"/>
    <w:rsid w:val="00AA711B"/>
    <w:rsid w:val="00AA79B4"/>
    <w:rsid w:val="00AB07EE"/>
    <w:rsid w:val="00AB4ED9"/>
    <w:rsid w:val="00AB68C2"/>
    <w:rsid w:val="00AC285B"/>
    <w:rsid w:val="00AC6CFD"/>
    <w:rsid w:val="00AC796C"/>
    <w:rsid w:val="00AC7AF9"/>
    <w:rsid w:val="00AD5635"/>
    <w:rsid w:val="00AD73BD"/>
    <w:rsid w:val="00AE04B8"/>
    <w:rsid w:val="00AE4819"/>
    <w:rsid w:val="00AF027C"/>
    <w:rsid w:val="00AF10B5"/>
    <w:rsid w:val="00B027EB"/>
    <w:rsid w:val="00B07B82"/>
    <w:rsid w:val="00B10880"/>
    <w:rsid w:val="00B12B3E"/>
    <w:rsid w:val="00B14D2D"/>
    <w:rsid w:val="00B2558B"/>
    <w:rsid w:val="00B30AC1"/>
    <w:rsid w:val="00B30D76"/>
    <w:rsid w:val="00B350B7"/>
    <w:rsid w:val="00B405DF"/>
    <w:rsid w:val="00B422D9"/>
    <w:rsid w:val="00B45A63"/>
    <w:rsid w:val="00B547A4"/>
    <w:rsid w:val="00B55E53"/>
    <w:rsid w:val="00B572FC"/>
    <w:rsid w:val="00B61BCA"/>
    <w:rsid w:val="00B620A0"/>
    <w:rsid w:val="00B70217"/>
    <w:rsid w:val="00B751D4"/>
    <w:rsid w:val="00B767D3"/>
    <w:rsid w:val="00B82365"/>
    <w:rsid w:val="00B8354B"/>
    <w:rsid w:val="00B939B6"/>
    <w:rsid w:val="00B977C6"/>
    <w:rsid w:val="00BA341C"/>
    <w:rsid w:val="00BB13F9"/>
    <w:rsid w:val="00BB1E74"/>
    <w:rsid w:val="00BB553A"/>
    <w:rsid w:val="00BB5E4A"/>
    <w:rsid w:val="00BB6EB7"/>
    <w:rsid w:val="00BB747F"/>
    <w:rsid w:val="00BC069A"/>
    <w:rsid w:val="00BC2923"/>
    <w:rsid w:val="00BC5FB3"/>
    <w:rsid w:val="00BC7F58"/>
    <w:rsid w:val="00BD22A8"/>
    <w:rsid w:val="00BD5F9F"/>
    <w:rsid w:val="00BE11CC"/>
    <w:rsid w:val="00BE1C14"/>
    <w:rsid w:val="00BE6CE4"/>
    <w:rsid w:val="00BF0308"/>
    <w:rsid w:val="00BF1B89"/>
    <w:rsid w:val="00BF3862"/>
    <w:rsid w:val="00BF4023"/>
    <w:rsid w:val="00C07467"/>
    <w:rsid w:val="00C10E4B"/>
    <w:rsid w:val="00C1156B"/>
    <w:rsid w:val="00C11848"/>
    <w:rsid w:val="00C127D4"/>
    <w:rsid w:val="00C13357"/>
    <w:rsid w:val="00C13EEB"/>
    <w:rsid w:val="00C22782"/>
    <w:rsid w:val="00C23C55"/>
    <w:rsid w:val="00C2562B"/>
    <w:rsid w:val="00C43FD7"/>
    <w:rsid w:val="00C4431C"/>
    <w:rsid w:val="00C52A8E"/>
    <w:rsid w:val="00C537A6"/>
    <w:rsid w:val="00C55234"/>
    <w:rsid w:val="00C603AB"/>
    <w:rsid w:val="00C61E1F"/>
    <w:rsid w:val="00C62E0B"/>
    <w:rsid w:val="00C64054"/>
    <w:rsid w:val="00C65794"/>
    <w:rsid w:val="00C66B14"/>
    <w:rsid w:val="00C70C7D"/>
    <w:rsid w:val="00C7169C"/>
    <w:rsid w:val="00C72FB9"/>
    <w:rsid w:val="00C77F43"/>
    <w:rsid w:val="00C80CBE"/>
    <w:rsid w:val="00C810C3"/>
    <w:rsid w:val="00C823C5"/>
    <w:rsid w:val="00C90755"/>
    <w:rsid w:val="00C9342A"/>
    <w:rsid w:val="00C96B89"/>
    <w:rsid w:val="00CA2D95"/>
    <w:rsid w:val="00CA3E72"/>
    <w:rsid w:val="00CB3209"/>
    <w:rsid w:val="00CB509B"/>
    <w:rsid w:val="00CB6DBD"/>
    <w:rsid w:val="00CC0115"/>
    <w:rsid w:val="00CC312C"/>
    <w:rsid w:val="00CC4B0A"/>
    <w:rsid w:val="00CC4EF6"/>
    <w:rsid w:val="00CC4FAD"/>
    <w:rsid w:val="00CE3578"/>
    <w:rsid w:val="00CE50C5"/>
    <w:rsid w:val="00CE67FE"/>
    <w:rsid w:val="00CF2AAF"/>
    <w:rsid w:val="00CF3D3A"/>
    <w:rsid w:val="00CF4621"/>
    <w:rsid w:val="00D01B54"/>
    <w:rsid w:val="00D03F1A"/>
    <w:rsid w:val="00D0561B"/>
    <w:rsid w:val="00D06F7A"/>
    <w:rsid w:val="00D1481C"/>
    <w:rsid w:val="00D14898"/>
    <w:rsid w:val="00D34BC1"/>
    <w:rsid w:val="00D35DE0"/>
    <w:rsid w:val="00D378CD"/>
    <w:rsid w:val="00D419B7"/>
    <w:rsid w:val="00D45981"/>
    <w:rsid w:val="00D50F7B"/>
    <w:rsid w:val="00D5427D"/>
    <w:rsid w:val="00D5593D"/>
    <w:rsid w:val="00D67A6F"/>
    <w:rsid w:val="00D7357E"/>
    <w:rsid w:val="00D73FE7"/>
    <w:rsid w:val="00D74A2C"/>
    <w:rsid w:val="00D75025"/>
    <w:rsid w:val="00D81601"/>
    <w:rsid w:val="00D82C77"/>
    <w:rsid w:val="00D838E1"/>
    <w:rsid w:val="00D846BE"/>
    <w:rsid w:val="00D91266"/>
    <w:rsid w:val="00D9380D"/>
    <w:rsid w:val="00D94025"/>
    <w:rsid w:val="00D95218"/>
    <w:rsid w:val="00DA3270"/>
    <w:rsid w:val="00DA49A0"/>
    <w:rsid w:val="00DA4F64"/>
    <w:rsid w:val="00DA54F3"/>
    <w:rsid w:val="00DB015A"/>
    <w:rsid w:val="00DB06AD"/>
    <w:rsid w:val="00DB2022"/>
    <w:rsid w:val="00DB217A"/>
    <w:rsid w:val="00DB21FE"/>
    <w:rsid w:val="00DB4708"/>
    <w:rsid w:val="00DC4E4A"/>
    <w:rsid w:val="00DC6305"/>
    <w:rsid w:val="00DD12A1"/>
    <w:rsid w:val="00DD36F4"/>
    <w:rsid w:val="00DD6277"/>
    <w:rsid w:val="00DE0766"/>
    <w:rsid w:val="00DE2071"/>
    <w:rsid w:val="00DE76E3"/>
    <w:rsid w:val="00DF045B"/>
    <w:rsid w:val="00DF2084"/>
    <w:rsid w:val="00DF2822"/>
    <w:rsid w:val="00DF35F5"/>
    <w:rsid w:val="00DF52D4"/>
    <w:rsid w:val="00E02193"/>
    <w:rsid w:val="00E03ADC"/>
    <w:rsid w:val="00E05C89"/>
    <w:rsid w:val="00E10455"/>
    <w:rsid w:val="00E14D9A"/>
    <w:rsid w:val="00E158AC"/>
    <w:rsid w:val="00E15E62"/>
    <w:rsid w:val="00E219C2"/>
    <w:rsid w:val="00E3206D"/>
    <w:rsid w:val="00E34AEB"/>
    <w:rsid w:val="00E40577"/>
    <w:rsid w:val="00E427EF"/>
    <w:rsid w:val="00E47CB4"/>
    <w:rsid w:val="00E52BDF"/>
    <w:rsid w:val="00E548B8"/>
    <w:rsid w:val="00E55129"/>
    <w:rsid w:val="00E55A86"/>
    <w:rsid w:val="00E63064"/>
    <w:rsid w:val="00E750B2"/>
    <w:rsid w:val="00E75B7F"/>
    <w:rsid w:val="00E82F3A"/>
    <w:rsid w:val="00E85147"/>
    <w:rsid w:val="00E86848"/>
    <w:rsid w:val="00E93DEB"/>
    <w:rsid w:val="00E948FB"/>
    <w:rsid w:val="00E96A8A"/>
    <w:rsid w:val="00EA1E00"/>
    <w:rsid w:val="00EA1F4C"/>
    <w:rsid w:val="00EA263B"/>
    <w:rsid w:val="00EA3C90"/>
    <w:rsid w:val="00EB0230"/>
    <w:rsid w:val="00EB0691"/>
    <w:rsid w:val="00EB3A20"/>
    <w:rsid w:val="00EB4410"/>
    <w:rsid w:val="00EB553A"/>
    <w:rsid w:val="00EB56FC"/>
    <w:rsid w:val="00EB5FB1"/>
    <w:rsid w:val="00EC2C59"/>
    <w:rsid w:val="00EC4AD8"/>
    <w:rsid w:val="00EC6DA8"/>
    <w:rsid w:val="00ED2B7F"/>
    <w:rsid w:val="00ED378C"/>
    <w:rsid w:val="00ED4CED"/>
    <w:rsid w:val="00ED6063"/>
    <w:rsid w:val="00EE0412"/>
    <w:rsid w:val="00EE3EF2"/>
    <w:rsid w:val="00EE5C63"/>
    <w:rsid w:val="00F00F8B"/>
    <w:rsid w:val="00F1104F"/>
    <w:rsid w:val="00F14CD2"/>
    <w:rsid w:val="00F15279"/>
    <w:rsid w:val="00F155C2"/>
    <w:rsid w:val="00F16C53"/>
    <w:rsid w:val="00F17BBB"/>
    <w:rsid w:val="00F2449A"/>
    <w:rsid w:val="00F2478F"/>
    <w:rsid w:val="00F2480E"/>
    <w:rsid w:val="00F2767C"/>
    <w:rsid w:val="00F31DA9"/>
    <w:rsid w:val="00F32EE9"/>
    <w:rsid w:val="00F3373F"/>
    <w:rsid w:val="00F33CAD"/>
    <w:rsid w:val="00F34BED"/>
    <w:rsid w:val="00F36554"/>
    <w:rsid w:val="00F3674A"/>
    <w:rsid w:val="00F402C6"/>
    <w:rsid w:val="00F403D5"/>
    <w:rsid w:val="00F41A6A"/>
    <w:rsid w:val="00F427BA"/>
    <w:rsid w:val="00F46EAF"/>
    <w:rsid w:val="00F50B6E"/>
    <w:rsid w:val="00F52C03"/>
    <w:rsid w:val="00F6308A"/>
    <w:rsid w:val="00F67A2F"/>
    <w:rsid w:val="00F72C89"/>
    <w:rsid w:val="00F77811"/>
    <w:rsid w:val="00F83C4F"/>
    <w:rsid w:val="00F84DE1"/>
    <w:rsid w:val="00F90A6A"/>
    <w:rsid w:val="00F9376C"/>
    <w:rsid w:val="00F970EE"/>
    <w:rsid w:val="00FA0CE9"/>
    <w:rsid w:val="00FA4DB3"/>
    <w:rsid w:val="00FA50CE"/>
    <w:rsid w:val="00FB2AF1"/>
    <w:rsid w:val="00FB35D4"/>
    <w:rsid w:val="00FB491B"/>
    <w:rsid w:val="00FB638B"/>
    <w:rsid w:val="00FC0B4E"/>
    <w:rsid w:val="00FC1B70"/>
    <w:rsid w:val="00FC7315"/>
    <w:rsid w:val="00FC7527"/>
    <w:rsid w:val="00FD1445"/>
    <w:rsid w:val="00FD18CF"/>
    <w:rsid w:val="00FD1B6B"/>
    <w:rsid w:val="00FE010B"/>
    <w:rsid w:val="00FF082E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41EB0"/>
  <w15:docId w15:val="{B7AB3594-0D74-4656-9E71-9A24F6EC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7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72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2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1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EF6"/>
  </w:style>
  <w:style w:type="paragraph" w:styleId="Stopka">
    <w:name w:val="footer"/>
    <w:basedOn w:val="Normalny"/>
    <w:link w:val="StopkaZnak"/>
    <w:uiPriority w:val="99"/>
    <w:unhideWhenUsed/>
    <w:rsid w:val="00CC4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EF6"/>
  </w:style>
  <w:style w:type="character" w:styleId="Hipercze">
    <w:name w:val="Hyperlink"/>
    <w:basedOn w:val="Domylnaczcionkaakapitu"/>
    <w:uiPriority w:val="99"/>
    <w:unhideWhenUsed/>
    <w:rsid w:val="00C10E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E4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72A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FontStyle39">
    <w:name w:val="Font Style39"/>
    <w:uiPriority w:val="99"/>
    <w:rsid w:val="00E02193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AC7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7A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9">
    <w:name w:val="Style9"/>
    <w:basedOn w:val="Normalny"/>
    <w:uiPriority w:val="99"/>
    <w:rsid w:val="00E219C2"/>
    <w:pPr>
      <w:widowControl w:val="0"/>
      <w:autoSpaceDE w:val="0"/>
      <w:autoSpaceDN w:val="0"/>
      <w:adjustRightInd w:val="0"/>
      <w:spacing w:after="0" w:line="414" w:lineRule="exact"/>
      <w:ind w:firstLine="39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E219C2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2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272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380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380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380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9380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EA4D-0035-476C-A6A1-8009DA4D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33</Pages>
  <Words>9429</Words>
  <Characters>56574</Characters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Komisji z 30 sierpnia 2021 r. nr KR II R 7/21</vt:lpstr>
    </vt:vector>
  </TitlesOfParts>
  <LinksUpToDate>false</LinksUpToDate>
  <CharactersWithSpaces>65872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2021-09-01T11:42:00Z</cp:lastPrinted>
  <dcterms:created xsi:type="dcterms:W3CDTF">2021-09-02T12:38:00Z</dcterms:created>
  <dcterms:modified xsi:type="dcterms:W3CDTF">2021-09-02T12:50:00Z</dcterms:modified>
</cp:coreProperties>
</file>