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F63" w:rsidRDefault="00C065F0">
      <w:pPr>
        <w:pStyle w:val="Bodytext10"/>
        <w:spacing w:after="280"/>
        <w:ind w:left="5320" w:firstLine="0"/>
      </w:pPr>
      <w:r>
        <w:rPr>
          <w:rStyle w:val="Bodytext1"/>
        </w:rPr>
        <w:t>Miniserstwo Cyfryzacji ul. Królewska 27 00-060 Warszawa NIP: 5252955037 REGON: 525189465</w:t>
      </w:r>
    </w:p>
    <w:p w:rsidR="00070F63" w:rsidRDefault="00070F63">
      <w:pPr>
        <w:pStyle w:val="Bodytext10"/>
        <w:spacing w:after="280"/>
        <w:ind w:firstLine="0"/>
      </w:pPr>
    </w:p>
    <w:p w:rsidR="00070F63" w:rsidRDefault="00C065F0">
      <w:pPr>
        <w:pStyle w:val="Bodytext10"/>
        <w:spacing w:after="280"/>
        <w:ind w:firstLine="0"/>
      </w:pPr>
      <w:r>
        <w:rPr>
          <w:rStyle w:val="Bodytext1"/>
        </w:rPr>
        <w:t xml:space="preserve">Otwarcie danych Regionalnego Systemu Ostrzegania (RSO) w formacie CAP jako publicznego, bezobsługowego zasobu </w:t>
      </w:r>
      <w:r w:rsidRPr="003B6764">
        <w:rPr>
          <w:rStyle w:val="Bodytext1"/>
          <w:lang w:eastAsia="en-US" w:bidi="en-US"/>
        </w:rPr>
        <w:t xml:space="preserve">API </w:t>
      </w:r>
      <w:r>
        <w:rPr>
          <w:rStyle w:val="Bodytext1"/>
        </w:rPr>
        <w:t xml:space="preserve">oraz publikacja tego zasobu w portalu </w:t>
      </w:r>
      <w:r w:rsidRPr="003B6764">
        <w:rPr>
          <w:rStyle w:val="Bodytext1"/>
          <w:lang w:eastAsia="en-US" w:bidi="en-US"/>
        </w:rPr>
        <w:t>dane.gov.pl.</w:t>
      </w:r>
    </w:p>
    <w:p w:rsidR="00070F63" w:rsidRDefault="00C065F0">
      <w:pPr>
        <w:pStyle w:val="Bodytext10"/>
        <w:spacing w:after="280" w:line="288" w:lineRule="auto"/>
        <w:ind w:firstLine="420"/>
      </w:pPr>
      <w:r>
        <w:rPr>
          <w:rStyle w:val="Bodytext1"/>
        </w:rPr>
        <w:t xml:space="preserve">Na podstawie </w:t>
      </w:r>
      <w:r w:rsidRPr="003B6764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63 Konstytucji RP oraz Ustawy o petycjach, wnoszę o podjęcie przez Ministerstwo Cyfryzacji działań zmierzających do:</w:t>
      </w:r>
    </w:p>
    <w:p w:rsidR="00070F63" w:rsidRDefault="00C065F0">
      <w:pPr>
        <w:pStyle w:val="Bodytext10"/>
        <w:numPr>
          <w:ilvl w:val="0"/>
          <w:numId w:val="1"/>
        </w:numPr>
        <w:tabs>
          <w:tab w:val="left" w:pos="715"/>
        </w:tabs>
        <w:spacing w:after="0"/>
        <w:ind w:left="720" w:hanging="300"/>
      </w:pPr>
      <w:r>
        <w:rPr>
          <w:rStyle w:val="Bodytext1"/>
        </w:rPr>
        <w:t xml:space="preserve">Udostępnienia publicznego, bezobsługowego feedu danych Regionalnego Systemu Ostrzegania (RSO) w formacie zgodnym ze standardem </w:t>
      </w:r>
      <w:r w:rsidRPr="003B6764">
        <w:rPr>
          <w:rStyle w:val="Bodytext1"/>
          <w:lang w:eastAsia="en-US" w:bidi="en-US"/>
        </w:rPr>
        <w:t xml:space="preserve">OASIS Common Alerting Protocol (CAP) 1.2 </w:t>
      </w:r>
      <w:r>
        <w:rPr>
          <w:rStyle w:val="Bodytext1"/>
        </w:rPr>
        <w:t xml:space="preserve">(lub jego odpowiednika JSON), pod stałym, publicznym adresem URL, bez konieczności rejestracji, logowania czy uzyskiwania indywidualnych kluczy </w:t>
      </w:r>
      <w:r w:rsidRPr="003B6764">
        <w:rPr>
          <w:rStyle w:val="Bodytext1"/>
          <w:lang w:eastAsia="en-US" w:bidi="en-US"/>
        </w:rPr>
        <w:t>API.</w:t>
      </w:r>
    </w:p>
    <w:p w:rsidR="00070F63" w:rsidRDefault="00C065F0">
      <w:pPr>
        <w:pStyle w:val="Bodytext10"/>
        <w:numPr>
          <w:ilvl w:val="0"/>
          <w:numId w:val="1"/>
        </w:numPr>
        <w:tabs>
          <w:tab w:val="left" w:pos="726"/>
        </w:tabs>
        <w:spacing w:after="0"/>
        <w:ind w:left="720" w:hanging="300"/>
      </w:pPr>
      <w:r>
        <w:rPr>
          <w:rStyle w:val="Bodytext1"/>
        </w:rPr>
        <w:t xml:space="preserve">Opublikowania tego zasobu w portalu </w:t>
      </w:r>
      <w:r w:rsidRPr="003B6764">
        <w:rPr>
          <w:rStyle w:val="Bodytext1"/>
          <w:lang w:eastAsia="en-US" w:bidi="en-US"/>
        </w:rPr>
        <w:t xml:space="preserve">dane.gov.pl </w:t>
      </w:r>
      <w:r>
        <w:rPr>
          <w:rStyle w:val="Bodytext1"/>
        </w:rPr>
        <w:t xml:space="preserve">jako zbioru danych o wysokiej wartości </w:t>
      </w:r>
      <w:r w:rsidRPr="003B6764">
        <w:rPr>
          <w:rStyle w:val="Bodytext1"/>
          <w:lang w:eastAsia="en-US" w:bidi="en-US"/>
        </w:rPr>
        <w:t xml:space="preserve">(High-Value Dataset), </w:t>
      </w:r>
      <w:r>
        <w:rPr>
          <w:rStyle w:val="Bodytext1"/>
        </w:rPr>
        <w:t>zgodnie z Ustawą z dnia 11 sierpnia 2021 r. o</w:t>
      </w:r>
      <w:r w:rsidR="008018EE">
        <w:rPr>
          <w:rStyle w:val="Bodytext1"/>
        </w:rPr>
        <w:t> </w:t>
      </w:r>
      <w:r>
        <w:rPr>
          <w:rStyle w:val="Bodytext1"/>
        </w:rPr>
        <w:t xml:space="preserve">otwartych danych i ponownym wykorzystywaniu informacji sektora publicznego oraz dyrektywą Parlamentu Europejskiego i Rady (UE) 2019/1024 </w:t>
      </w:r>
      <w:r w:rsidRPr="003B6764">
        <w:rPr>
          <w:rStyle w:val="Bodytext1"/>
          <w:lang w:eastAsia="en-US" w:bidi="en-US"/>
        </w:rPr>
        <w:t>(Open Data Directive).</w:t>
      </w:r>
    </w:p>
    <w:p w:rsidR="00070F63" w:rsidRDefault="00C065F0">
      <w:pPr>
        <w:pStyle w:val="Bodytext10"/>
        <w:numPr>
          <w:ilvl w:val="0"/>
          <w:numId w:val="1"/>
        </w:numPr>
        <w:tabs>
          <w:tab w:val="left" w:pos="718"/>
        </w:tabs>
        <w:spacing w:after="0"/>
        <w:ind w:left="720" w:hanging="300"/>
      </w:pPr>
      <w:r>
        <w:rPr>
          <w:rStyle w:val="Bodytext1"/>
        </w:rPr>
        <w:t xml:space="preserve">Objęcia nadzorem Ministerstwa Cyfryzacji kwestii architektury technicznej udostępniania danych RSO - w tym zastosowania mechanizmów buforowania brzegowego </w:t>
      </w:r>
      <w:r w:rsidRPr="003B6764">
        <w:rPr>
          <w:rStyle w:val="Bodytext1"/>
          <w:lang w:eastAsia="en-US" w:bidi="en-US"/>
        </w:rPr>
        <w:t xml:space="preserve">(Edge </w:t>
      </w:r>
      <w:r>
        <w:rPr>
          <w:rStyle w:val="Bodytext1"/>
        </w:rPr>
        <w:t>Caching/CDN) - niezależnie od tego, jaki podmiot będzie w</w:t>
      </w:r>
      <w:r w:rsidR="008018EE">
        <w:rPr>
          <w:rStyle w:val="Bodytext1"/>
        </w:rPr>
        <w:t> </w:t>
      </w:r>
      <w:r>
        <w:rPr>
          <w:rStyle w:val="Bodytext1"/>
        </w:rPr>
        <w:t>przyszłości pełnił funkcję operatora technicznego systemu.</w:t>
      </w:r>
    </w:p>
    <w:p w:rsidR="00070F63" w:rsidRDefault="00C065F0">
      <w:pPr>
        <w:pStyle w:val="Bodytext10"/>
        <w:numPr>
          <w:ilvl w:val="0"/>
          <w:numId w:val="1"/>
        </w:numPr>
        <w:tabs>
          <w:tab w:val="left" w:pos="726"/>
        </w:tabs>
        <w:spacing w:after="280"/>
        <w:ind w:left="720" w:hanging="300"/>
      </w:pPr>
      <w:r>
        <w:rPr>
          <w:rStyle w:val="Bodytext1"/>
        </w:rPr>
        <w:t>Podjęcia międzyresortowych działań (we współpracy z MSWiA) w celu zapewnienia stabilnej podstawy instytucjonalnej dla operatora technicznego systemów ostrzegania ludności, wobec niepewnego statusu prawnego obecnego wykonawcy (patrz uzasadnienie, pkt 4).</w:t>
      </w:r>
    </w:p>
    <w:p w:rsidR="00070F63" w:rsidRDefault="00C065F0">
      <w:pPr>
        <w:pStyle w:val="Bodytext10"/>
        <w:spacing w:after="280"/>
        <w:ind w:firstLine="0"/>
      </w:pPr>
      <w:r>
        <w:rPr>
          <w:rStyle w:val="Bodytext1"/>
        </w:rPr>
        <w:t>Uzasadnienie</w:t>
      </w:r>
    </w:p>
    <w:p w:rsidR="00070F63" w:rsidRDefault="00C065F0">
      <w:pPr>
        <w:pStyle w:val="Bodytext10"/>
        <w:numPr>
          <w:ilvl w:val="0"/>
          <w:numId w:val="2"/>
        </w:numPr>
        <w:tabs>
          <w:tab w:val="left" w:pos="284"/>
        </w:tabs>
        <w:spacing w:after="280"/>
        <w:ind w:firstLine="0"/>
      </w:pPr>
      <w:r>
        <w:rPr>
          <w:rStyle w:val="Bodytext1"/>
        </w:rPr>
        <w:t>Aktualny stan rzeczy narusza zasadę otwartości danych z domniemania</w:t>
      </w:r>
    </w:p>
    <w:p w:rsidR="00070F63" w:rsidRDefault="00C065F0">
      <w:pPr>
        <w:pStyle w:val="Bodytext10"/>
        <w:spacing w:after="280"/>
        <w:ind w:firstLine="420"/>
      </w:pPr>
      <w:r>
        <w:rPr>
          <w:rStyle w:val="Bodytext1"/>
        </w:rPr>
        <w:t xml:space="preserve">System RSO, prowadzony technicznie przez Telewizję Polską S.A. na zlecenie wojewódzkich centrów zarządzania kryzysowego, wymaga obecnie kontaktu z administratorem systemu w celu uzyskania danych dostępowych do interfejsu </w:t>
      </w:r>
      <w:r w:rsidRPr="003B6764">
        <w:rPr>
          <w:rStyle w:val="Bodytext1"/>
          <w:lang w:eastAsia="en-US" w:bidi="en-US"/>
        </w:rPr>
        <w:t xml:space="preserve">API </w:t>
      </w:r>
      <w:r>
        <w:rPr>
          <w:rStyle w:val="Bodytext1"/>
        </w:rPr>
        <w:t xml:space="preserve">opisanego jako "OpenAPI/Swagger". Tymczasem standard CAP, na którym opiera się treść komunikatów, jest z założenia formatem promującym otwartość i interoperacyjność - stosują go m.in. amerykańska National </w:t>
      </w:r>
      <w:r w:rsidRPr="003B6764">
        <w:rPr>
          <w:rStyle w:val="Bodytext1"/>
          <w:lang w:eastAsia="en-US" w:bidi="en-US"/>
        </w:rPr>
        <w:t xml:space="preserve">Weather Service </w:t>
      </w:r>
      <w:r>
        <w:rPr>
          <w:rStyle w:val="Bodytext1"/>
        </w:rPr>
        <w:t xml:space="preserve">czy </w:t>
      </w:r>
      <w:r w:rsidRPr="003B6764">
        <w:rPr>
          <w:rStyle w:val="Bodytext1"/>
          <w:lang w:eastAsia="en-US" w:bidi="en-US"/>
        </w:rPr>
        <w:t xml:space="preserve">Google </w:t>
      </w:r>
      <w:r>
        <w:rPr>
          <w:rStyle w:val="Bodytext1"/>
        </w:rPr>
        <w:t xml:space="preserve">Public </w:t>
      </w:r>
      <w:r w:rsidRPr="003B6764">
        <w:rPr>
          <w:rStyle w:val="Bodytext1"/>
          <w:lang w:eastAsia="en-US" w:bidi="en-US"/>
        </w:rPr>
        <w:t xml:space="preserve">Alerts, </w:t>
      </w:r>
      <w:r>
        <w:rPr>
          <w:rStyle w:val="Bodytext1"/>
        </w:rPr>
        <w:t>udostępniając swoje feedy bez żadnych barier rejestracyjnych.</w:t>
      </w:r>
      <w:r>
        <w:br w:type="page"/>
      </w:r>
    </w:p>
    <w:p w:rsidR="00070F63" w:rsidRDefault="00C065F0">
      <w:pPr>
        <w:pStyle w:val="Bodytext10"/>
        <w:spacing w:after="260"/>
        <w:ind w:firstLine="420"/>
      </w:pPr>
      <w:r>
        <w:rPr>
          <w:rStyle w:val="Bodytext1"/>
        </w:rPr>
        <w:lastRenderedPageBreak/>
        <w:t xml:space="preserve">Zgodnie z </w:t>
      </w:r>
      <w:r w:rsidRPr="003B6764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 xml:space="preserve">5 i </w:t>
      </w:r>
      <w:r w:rsidRPr="003B6764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 xml:space="preserve">17 Ustawy o otwartych danych, informacje sektora publicznego powinny być udostępniane w sposób otwarty, w formacie nadającym się do odczytu maszynowego, bez zbędnych barier proceduralnych. Wymóg indywidualnego wnioskowania o klucz </w:t>
      </w:r>
      <w:r w:rsidRPr="003B6764">
        <w:rPr>
          <w:rStyle w:val="Bodytext1"/>
          <w:lang w:eastAsia="en-US" w:bidi="en-US"/>
        </w:rPr>
        <w:t xml:space="preserve">API </w:t>
      </w:r>
      <w:r>
        <w:rPr>
          <w:rStyle w:val="Bodytext1"/>
        </w:rPr>
        <w:t>dla odczytu publicznych komunikatów ostrzegawczych stoi w sprzeczności z tą zasadą.</w:t>
      </w:r>
    </w:p>
    <w:p w:rsidR="00070F63" w:rsidRDefault="00C065F0">
      <w:pPr>
        <w:pStyle w:val="Bodytext10"/>
        <w:numPr>
          <w:ilvl w:val="0"/>
          <w:numId w:val="2"/>
        </w:numPr>
        <w:tabs>
          <w:tab w:val="left" w:pos="298"/>
        </w:tabs>
        <w:spacing w:after="260" w:line="288" w:lineRule="auto"/>
        <w:ind w:firstLine="0"/>
      </w:pPr>
      <w:r>
        <w:rPr>
          <w:rStyle w:val="Bodytext1"/>
        </w:rPr>
        <w:t>Bariera dostępu blokuje integrację z otwartymi systemami automatyki i realnie zmniejsza zasięg ostrzeżeń</w:t>
      </w:r>
    </w:p>
    <w:p w:rsidR="00070F63" w:rsidRDefault="00C065F0">
      <w:pPr>
        <w:pStyle w:val="Bodytext10"/>
        <w:spacing w:after="0"/>
        <w:ind w:firstLine="420"/>
      </w:pPr>
      <w:r>
        <w:rPr>
          <w:rStyle w:val="Bodytext1"/>
        </w:rPr>
        <w:t xml:space="preserve">Automatyka domowa nie jest w tym kontekście udogodnieniem drugorzędnym, lecz realnym narzędziem ochrony życia i mienia, zwłaszcza w pierwszych minutach zagrożenia, zanim zadziałają kanały wymagające ręcznej reakcji człowieka (SMS, media). Otwarty, maszynowo czytelny </w:t>
      </w:r>
      <w:r w:rsidRPr="003B6764">
        <w:rPr>
          <w:rStyle w:val="Bodytext1"/>
          <w:lang w:eastAsia="en-US" w:bidi="en-US"/>
        </w:rPr>
        <w:t xml:space="preserve">feed </w:t>
      </w:r>
      <w:r>
        <w:rPr>
          <w:rStyle w:val="Bodytext1"/>
        </w:rPr>
        <w:t>CAP pozwoliłby systemom automatyki domowej na natychmiastową, bezobsługową reakcję na komunikat ostrzegawczy, np. poprzez:</w:t>
      </w:r>
    </w:p>
    <w:p w:rsidR="00070F63" w:rsidRDefault="00C065F0">
      <w:pPr>
        <w:pStyle w:val="Bodytext10"/>
        <w:numPr>
          <w:ilvl w:val="0"/>
          <w:numId w:val="3"/>
        </w:numPr>
        <w:tabs>
          <w:tab w:val="left" w:pos="715"/>
        </w:tabs>
        <w:spacing w:after="0"/>
        <w:ind w:left="720" w:hanging="300"/>
      </w:pPr>
      <w:r>
        <w:rPr>
          <w:rStyle w:val="Bodytext1"/>
        </w:rPr>
        <w:t>automatyczne zamknięcie rolet zewnętrznych i żaluzji - ochrona przed odłamkami szkła i falą uderzeniową w przypadku zagrożeń związanych z nalotem lub eksplozją;</w:t>
      </w:r>
    </w:p>
    <w:p w:rsidR="00070F63" w:rsidRDefault="00C065F0">
      <w:pPr>
        <w:pStyle w:val="Bodytext10"/>
        <w:numPr>
          <w:ilvl w:val="0"/>
          <w:numId w:val="3"/>
        </w:numPr>
        <w:tabs>
          <w:tab w:val="left" w:pos="715"/>
        </w:tabs>
        <w:spacing w:after="0"/>
        <w:ind w:left="720" w:hanging="300"/>
      </w:pPr>
      <w:r>
        <w:rPr>
          <w:rStyle w:val="Bodytext1"/>
        </w:rPr>
        <w:t>automatyczne zamknięcie bram garażowych i innych otworów budynku - ograniczenie dostępu niepowołanych osób oraz ochrona mienia w sytuacji ewakuacji lub chaosu;</w:t>
      </w:r>
    </w:p>
    <w:p w:rsidR="00070F63" w:rsidRDefault="00C065F0">
      <w:pPr>
        <w:pStyle w:val="Bodytext10"/>
        <w:numPr>
          <w:ilvl w:val="0"/>
          <w:numId w:val="3"/>
        </w:numPr>
        <w:tabs>
          <w:tab w:val="left" w:pos="715"/>
        </w:tabs>
        <w:spacing w:after="0"/>
        <w:ind w:left="720" w:hanging="300"/>
      </w:pPr>
      <w:r>
        <w:rPr>
          <w:rStyle w:val="Bodytext1"/>
        </w:rPr>
        <w:t>wyłączenie systemów klimatyzacji i wentylacji mechanicznej - kluczowe przy zagrożeniach chemicznych lub skażeniu powietrza, gdzie dalsze wymuszanie obiegu powietrza z zewnątrz zagraża zdrowiu domowników;</w:t>
      </w:r>
    </w:p>
    <w:p w:rsidR="00070F63" w:rsidRDefault="00C065F0">
      <w:pPr>
        <w:pStyle w:val="Bodytext10"/>
        <w:numPr>
          <w:ilvl w:val="0"/>
          <w:numId w:val="3"/>
        </w:numPr>
        <w:tabs>
          <w:tab w:val="left" w:pos="715"/>
        </w:tabs>
        <w:spacing w:after="260"/>
        <w:ind w:left="720" w:hanging="300"/>
      </w:pPr>
      <w:r>
        <w:rPr>
          <w:rStyle w:val="Bodytext1"/>
        </w:rPr>
        <w:t>włączenie oświetlenia awaryjnego i komunikatów głosowych w budynku - szybkie poinformowanie domowników, w tym osób starszych, niesłyszących lub śpiących, które mogą nie usłyszeć syren ani nie zauważyć powiadomienia w telefonie.</w:t>
      </w:r>
    </w:p>
    <w:p w:rsidR="00070F63" w:rsidRDefault="00C065F0">
      <w:pPr>
        <w:pStyle w:val="Bodytext10"/>
        <w:spacing w:after="260"/>
        <w:ind w:firstLine="420"/>
      </w:pPr>
      <w:r>
        <w:rPr>
          <w:rStyle w:val="Bodytext1"/>
        </w:rPr>
        <w:t xml:space="preserve">Tego rodzaju automatyzacje działają dziś w praktyce w innych krajach, w tym w Ukrainie, gdzie funkcjonuje oficjalna integracja </w:t>
      </w:r>
      <w:r w:rsidRPr="003B6764">
        <w:rPr>
          <w:rStyle w:val="Bodytext1"/>
          <w:lang w:eastAsia="en-US" w:bidi="en-US"/>
        </w:rPr>
        <w:t xml:space="preserve">"Ukraine </w:t>
      </w:r>
      <w:r>
        <w:rPr>
          <w:rStyle w:val="Bodytext1"/>
        </w:rPr>
        <w:t xml:space="preserve">Alarm" dla platformy Home </w:t>
      </w:r>
      <w:r w:rsidRPr="003B6764">
        <w:rPr>
          <w:rStyle w:val="Bodytext1"/>
          <w:lang w:eastAsia="en-US" w:bidi="en-US"/>
        </w:rPr>
        <w:t xml:space="preserve">Assistant, </w:t>
      </w:r>
      <w:r>
        <w:rPr>
          <w:rStyle w:val="Bodytext1"/>
        </w:rPr>
        <w:t xml:space="preserve">korzystająca z publicznego </w:t>
      </w:r>
      <w:r w:rsidRPr="003B6764">
        <w:rPr>
          <w:rStyle w:val="Bodytext1"/>
          <w:lang w:eastAsia="en-US" w:bidi="en-US"/>
        </w:rPr>
        <w:t xml:space="preserve">API </w:t>
      </w:r>
      <w:r>
        <w:rPr>
          <w:rStyle w:val="Bodytext1"/>
        </w:rPr>
        <w:t xml:space="preserve">ostrzeżeń o nalotach (serwis </w:t>
      </w:r>
      <w:r w:rsidRPr="003B6764">
        <w:rPr>
          <w:rStyle w:val="Bodytext1"/>
          <w:lang w:eastAsia="en-US" w:bidi="en-US"/>
        </w:rPr>
        <w:t xml:space="preserve">siren.pp.ua, </w:t>
      </w:r>
      <w:r>
        <w:rPr>
          <w:rStyle w:val="Bodytext1"/>
        </w:rPr>
        <w:t xml:space="preserve">wykorzystujący dane </w:t>
      </w:r>
      <w:r w:rsidRPr="003B6764">
        <w:rPr>
          <w:rStyle w:val="Bodytext1"/>
          <w:lang w:eastAsia="en-US" w:bidi="en-US"/>
        </w:rPr>
        <w:t xml:space="preserve">Ukraine </w:t>
      </w:r>
      <w:r>
        <w:rPr>
          <w:rStyle w:val="Bodytext1"/>
        </w:rPr>
        <w:t xml:space="preserve">Alarm). Integracja ta, obecna w oficjalnym katalogu integracji </w:t>
      </w:r>
      <w:r w:rsidRPr="003B6764">
        <w:rPr>
          <w:rStyle w:val="Bodytext1"/>
          <w:lang w:eastAsia="en-US" w:bidi="en-US"/>
        </w:rPr>
        <w:t xml:space="preserve">Home Assistant, </w:t>
      </w:r>
      <w:r>
        <w:rPr>
          <w:rStyle w:val="Bodytext1"/>
        </w:rPr>
        <w:t>tworzy czujniki binarne informujące o zagrożeniu lotniczym, artyleryjskim, chemicznym, nuklearnym oraz walkach miejskich dla wybranego regionu, umożliwiając mieszkańcom zbudowanie w pełni automatycznych scenariuszy bezpieczeństwa bez potrzeby ręcznej reakcji na powiadomienie. Polska, znajdując się w podobnym otoczeniu geopolitycznym, nie dysponuje żadnym analogicznym rozwiązaniem.</w:t>
      </w:r>
    </w:p>
    <w:p w:rsidR="00070F63" w:rsidRDefault="00C065F0">
      <w:pPr>
        <w:pStyle w:val="Bodytext10"/>
        <w:numPr>
          <w:ilvl w:val="0"/>
          <w:numId w:val="2"/>
        </w:numPr>
        <w:tabs>
          <w:tab w:val="left" w:pos="291"/>
        </w:tabs>
        <w:spacing w:after="260" w:line="288" w:lineRule="auto"/>
        <w:ind w:firstLine="0"/>
      </w:pPr>
      <w:r>
        <w:rPr>
          <w:rStyle w:val="Bodytext1"/>
        </w:rPr>
        <w:t>Argument techniczny o zagrożeniu DDoS nie wytrzymuje konfrontacji ze standardami branżowymi</w:t>
      </w:r>
    </w:p>
    <w:p w:rsidR="00070F63" w:rsidRDefault="00C065F0">
      <w:pPr>
        <w:pStyle w:val="Bodytext10"/>
        <w:spacing w:after="260"/>
        <w:ind w:firstLine="420"/>
      </w:pPr>
      <w:r>
        <w:rPr>
          <w:rStyle w:val="Bodytext1"/>
        </w:rPr>
        <w:t xml:space="preserve">Udostępnienie statycznego pliku </w:t>
      </w:r>
      <w:r w:rsidRPr="003B6764">
        <w:rPr>
          <w:rStyle w:val="Bodytext1"/>
          <w:lang w:eastAsia="en-US" w:bidi="en-US"/>
        </w:rPr>
        <w:t xml:space="preserve">XML/JSON </w:t>
      </w:r>
      <w:r>
        <w:rPr>
          <w:rStyle w:val="Bodytext1"/>
        </w:rPr>
        <w:t xml:space="preserve">odpornego na duży ruch jest zadaniem podstawowej klasy technologicznej - rozwiązywanym od kilkunastu lat przez zastosowanie buforowania brzegowego </w:t>
      </w:r>
      <w:r w:rsidRPr="003B6764">
        <w:rPr>
          <w:rStyle w:val="Bodytext1"/>
          <w:lang w:eastAsia="en-US" w:bidi="en-US"/>
        </w:rPr>
        <w:t xml:space="preserve">(Edge Caching, </w:t>
      </w:r>
      <w:r>
        <w:rPr>
          <w:rStyle w:val="Bodytext1"/>
        </w:rPr>
        <w:t>CDN) oraz przechowywania plików w magazynach obiektowych. Systemy takie jak Krajowy System e-Faktur (KSeF), znacznie bardziej złożone pod względem obciążenia, uwierzytelniania i wymogów prawnych, funkcjonują bez konieczności stosowania analogicznych barier dostępowych dla prostego odczytu danych. Utrzymywanie zamkniętego dostępu do statycznego feedu ostrzeżeń w imię ochrony przed przeciążeniem serwerów świadczy o architekturze nieadekwatnej do współczesnych standardów.</w:t>
      </w:r>
      <w:r>
        <w:br w:type="page"/>
      </w:r>
    </w:p>
    <w:p w:rsidR="00070F63" w:rsidRDefault="00C065F0">
      <w:pPr>
        <w:pStyle w:val="Bodytext10"/>
        <w:numPr>
          <w:ilvl w:val="0"/>
          <w:numId w:val="2"/>
        </w:numPr>
        <w:tabs>
          <w:tab w:val="left" w:pos="298"/>
        </w:tabs>
        <w:spacing w:after="280"/>
        <w:ind w:firstLine="0"/>
      </w:pPr>
      <w:r>
        <w:rPr>
          <w:rStyle w:val="Bodytext1"/>
        </w:rPr>
        <w:lastRenderedPageBreak/>
        <w:t>Wydarzenia z 30 lipca 2026 r. potwierdzają praktyczne konsekwencje obecnego stanu rzeczy</w:t>
      </w:r>
    </w:p>
    <w:p w:rsidR="00070F63" w:rsidRDefault="00C065F0">
      <w:pPr>
        <w:pStyle w:val="Bodytext10"/>
        <w:spacing w:after="280"/>
        <w:ind w:firstLine="420"/>
      </w:pPr>
      <w:r>
        <w:rPr>
          <w:rStyle w:val="Bodytext1"/>
        </w:rPr>
        <w:t>W nocy z 29 na 30 lipca 2026 r. w miejscowości Tarnawa-Kolonia (woj. lubelskie) doszło do upadku rosyjskiego pocisku manewrującego Ch-101, który naruszył polską przestrzeń powietrzną. W trakcie zdarzenia uruchomiono syreny alarmowe (nie we wszystkich objętych zagrożeniem powiatach), natomiast:</w:t>
      </w:r>
    </w:p>
    <w:p w:rsidR="00070F63" w:rsidRDefault="00C065F0">
      <w:pPr>
        <w:pStyle w:val="Bodytext10"/>
        <w:numPr>
          <w:ilvl w:val="0"/>
          <w:numId w:val="4"/>
        </w:numPr>
        <w:tabs>
          <w:tab w:val="left" w:pos="730"/>
        </w:tabs>
        <w:spacing w:after="0"/>
        <w:ind w:left="720" w:hanging="300"/>
      </w:pPr>
      <w:r>
        <w:rPr>
          <w:rStyle w:val="Bodytext1"/>
        </w:rPr>
        <w:t>mieszkańcy nie otrzymali wiadomości SMS w ramach Alertu RGB - służby wyjaśniły to czasem potrzebnym na przygotowanie i zatwierdzenie komunikatu, przy czym całe zdarzenie trwało około 13 minut;</w:t>
      </w:r>
    </w:p>
    <w:p w:rsidR="00070F63" w:rsidRDefault="00C065F0">
      <w:pPr>
        <w:pStyle w:val="Bodytext10"/>
        <w:numPr>
          <w:ilvl w:val="0"/>
          <w:numId w:val="4"/>
        </w:numPr>
        <w:tabs>
          <w:tab w:val="left" w:pos="730"/>
        </w:tabs>
        <w:spacing w:after="280"/>
        <w:ind w:left="720" w:hanging="300"/>
      </w:pPr>
      <w:r>
        <w:rPr>
          <w:rStyle w:val="Bodytext1"/>
        </w:rPr>
        <w:t>w aplikacji Regionalnego Systemu Ostrzegania (RSO) - zgodnie z ustaleniami dziennikarskimi - nie pojawiło się żadne powiadomienie o zdarzeniu.</w:t>
      </w:r>
    </w:p>
    <w:p w:rsidR="00070F63" w:rsidRDefault="00C065F0">
      <w:pPr>
        <w:pStyle w:val="Bodytext10"/>
        <w:spacing w:after="280"/>
        <w:ind w:firstLine="420"/>
      </w:pPr>
      <w:r>
        <w:rPr>
          <w:rStyle w:val="Bodytext1"/>
        </w:rPr>
        <w:t>Oba równoległe kanały ostrzegania zawiodły jednocześnie. Wydarzenie to pokazuje, że</w:t>
      </w:r>
      <w:r w:rsidR="008018EE">
        <w:rPr>
          <w:rStyle w:val="Bodytext1"/>
        </w:rPr>
        <w:t> </w:t>
      </w:r>
      <w:r>
        <w:rPr>
          <w:rStyle w:val="Bodytext1"/>
        </w:rPr>
        <w:t xml:space="preserve">poleganie wyłącznie na scentralizowanych, ręcznie zatwierdzanych kanałach dystrybucji (SMS, zamknięta aplikacja) nie zapewnia wystarczającej odporności systemu ostrzegania ludności. Otwarty, maszynowo czytelny </w:t>
      </w:r>
      <w:r w:rsidRPr="003B6764">
        <w:rPr>
          <w:rStyle w:val="Bodytext1"/>
          <w:lang w:eastAsia="en-US" w:bidi="en-US"/>
        </w:rPr>
        <w:t xml:space="preserve">feed </w:t>
      </w:r>
      <w:r>
        <w:rPr>
          <w:rStyle w:val="Bodytext1"/>
        </w:rPr>
        <w:t>danych umożliwiłby niezależnym, zdecentralizowanym systemom (w tym systemom automatyki domowej) reagowanie na komunikaty regionalne w czasie rzeczywistym, równolegle do oficjalnych kanałów, bez oczekiwania na akt administracyjny każdorazowego zatwierdzania i wysyłki.</w:t>
      </w:r>
    </w:p>
    <w:p w:rsidR="00070F63" w:rsidRDefault="00C065F0">
      <w:pPr>
        <w:pStyle w:val="Bodytext10"/>
        <w:spacing w:after="280"/>
        <w:ind w:firstLine="420"/>
      </w:pPr>
      <w:r>
        <w:rPr>
          <w:rStyle w:val="Bodytext1"/>
        </w:rPr>
        <w:t>Dodatkowo, jak wynika z doniesień prasowych, Rządowe Centrum Bezpieczeństwa od</w:t>
      </w:r>
      <w:r w:rsidR="008018EE">
        <w:rPr>
          <w:rStyle w:val="Bodytext1"/>
        </w:rPr>
        <w:t> </w:t>
      </w:r>
      <w:r>
        <w:rPr>
          <w:rStyle w:val="Bodytext1"/>
        </w:rPr>
        <w:t xml:space="preserve">2021 r. pracuje nad wdrożeniem technologii </w:t>
      </w:r>
      <w:r w:rsidRPr="003B6764">
        <w:rPr>
          <w:rStyle w:val="Bodytext1"/>
          <w:lang w:eastAsia="en-US" w:bidi="en-US"/>
        </w:rPr>
        <w:t xml:space="preserve">cell broadcast, </w:t>
      </w:r>
      <w:r>
        <w:rPr>
          <w:rStyle w:val="Bodytext1"/>
        </w:rPr>
        <w:t xml:space="preserve">stosowanej już m.in. w Izraelu, USA, Holandii, Hiszpanii, Francji i Niemczech, jednak do dziś system ten nie został uruchomiony. Otwarcie istniejącego już </w:t>
      </w:r>
      <w:r w:rsidRPr="003B6764">
        <w:rPr>
          <w:rStyle w:val="Bodytext1"/>
          <w:lang w:eastAsia="en-US" w:bidi="en-US"/>
        </w:rPr>
        <w:t xml:space="preserve">API </w:t>
      </w:r>
      <w:r>
        <w:rPr>
          <w:rStyle w:val="Bodytext1"/>
        </w:rPr>
        <w:t xml:space="preserve">CAP w RSO stanowi rozwiązanie znacznie tańsze i szybsze do wdrożenia niż budowa nowej infrastruktury </w:t>
      </w:r>
      <w:r w:rsidRPr="003B6764">
        <w:rPr>
          <w:rStyle w:val="Bodytext1"/>
          <w:lang w:eastAsia="en-US" w:bidi="en-US"/>
        </w:rPr>
        <w:t xml:space="preserve">cell broadcast, </w:t>
      </w:r>
      <w:r>
        <w:rPr>
          <w:rStyle w:val="Bodytext1"/>
        </w:rPr>
        <w:t>a</w:t>
      </w:r>
      <w:r w:rsidR="008018EE">
        <w:rPr>
          <w:rStyle w:val="Bodytext1"/>
        </w:rPr>
        <w:t> </w:t>
      </w:r>
      <w:r>
        <w:rPr>
          <w:rStyle w:val="Bodytext1"/>
        </w:rPr>
        <w:t>jednocześnie realnie zwiększyłoby odporność systemu ostrzegania już dziś, niezależnie od</w:t>
      </w:r>
      <w:r w:rsidR="008018EE">
        <w:rPr>
          <w:rStyle w:val="Bodytext1"/>
        </w:rPr>
        <w:t> </w:t>
      </w:r>
      <w:bookmarkStart w:id="0" w:name="_GoBack"/>
      <w:bookmarkEnd w:id="0"/>
      <w:r>
        <w:rPr>
          <w:rStyle w:val="Bodytext1"/>
        </w:rPr>
        <w:t xml:space="preserve">postępu prac nad </w:t>
      </w:r>
      <w:r w:rsidRPr="003B6764">
        <w:rPr>
          <w:rStyle w:val="Bodytext1"/>
          <w:lang w:eastAsia="en-US" w:bidi="en-US"/>
        </w:rPr>
        <w:t>cell broadcast.</w:t>
      </w:r>
    </w:p>
    <w:p w:rsidR="00070F63" w:rsidRDefault="00C065F0">
      <w:pPr>
        <w:pStyle w:val="Bodytext10"/>
        <w:numPr>
          <w:ilvl w:val="0"/>
          <w:numId w:val="2"/>
        </w:numPr>
        <w:tabs>
          <w:tab w:val="left" w:pos="291"/>
        </w:tabs>
        <w:spacing w:after="0"/>
        <w:ind w:firstLine="0"/>
      </w:pPr>
      <w:r>
        <w:rPr>
          <w:rStyle w:val="Bodytext1"/>
        </w:rPr>
        <w:t>Niepewny status prawny operatora technicznego wymaga zaangażowania Ministerstwa Cyfryzacji</w:t>
      </w:r>
    </w:p>
    <w:p w:rsidR="00070F63" w:rsidRDefault="00C065F0">
      <w:pPr>
        <w:pStyle w:val="Bodytext10"/>
        <w:spacing w:after="280"/>
        <w:ind w:firstLine="420"/>
      </w:pPr>
      <w:r>
        <w:rPr>
          <w:rStyle w:val="Bodytext1"/>
        </w:rPr>
        <w:t xml:space="preserve">Telewizja Polska S.A., obecny operator techniczny RSO, pozostaje od stycznia 2024 r. w stanie likwidacji, zarządzana przez likwidatora, którego ustawowy zakres kompetencji nie obejmuje podejmowania decyzji rozwojowych dotyczących architektury systemów </w:t>
      </w:r>
      <w:r w:rsidRPr="003B6764">
        <w:rPr>
          <w:rStyle w:val="Bodytext1"/>
          <w:lang w:eastAsia="en-US" w:bidi="en-US"/>
        </w:rPr>
        <w:t xml:space="preserve">IT. </w:t>
      </w:r>
      <w:r>
        <w:rPr>
          <w:rStyle w:val="Bodytext1"/>
        </w:rPr>
        <w:t>W tej sytuacji odpowiedzialność za standaryzację i otwarcie danych powinna zostać przejęta na poziomie międzyresortowym (Ministerstwo Cyfryzacji, we współpracy z MSWiA), niezależnie od bieżącego statusu prawnego wykonawcy technicznego, tak aby dostępność krytycznej infrastruktury bezpieczeństwa publicznego nie była uzależniona od sytuacji korporacyjnej jednego podmiotu.</w:t>
      </w:r>
    </w:p>
    <w:p w:rsidR="00070F63" w:rsidRDefault="00C065F0">
      <w:pPr>
        <w:pStyle w:val="Bodytext10"/>
        <w:spacing w:after="280"/>
        <w:ind w:firstLine="420"/>
      </w:pPr>
      <w:r>
        <w:rPr>
          <w:rStyle w:val="Bodytext1"/>
        </w:rPr>
        <w:t>Wnoszę o rozpatrzenie niniejszej petycji zgodnie z Ustawą o petycjach oraz o pisemną odpowiedź w ustawowym terminie. Postulaty zawarte w petycji nie wymagają istotnych nakładów finansowych ani nowej infrastruktury - dotyczą zmiany polityki dostępu do danych już generowanych przez system oraz zastosowania standardowych, powszechnie stosowanych mechanizmów buforowania ruchu sieciowego.</w:t>
      </w:r>
    </w:p>
    <w:sectPr w:rsidR="00070F63">
      <w:pgSz w:w="11900" w:h="16840"/>
      <w:pgMar w:top="1432" w:right="1447" w:bottom="1210" w:left="1381" w:header="1004" w:footer="78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641" w:rsidRDefault="00D46641">
      <w:r>
        <w:separator/>
      </w:r>
    </w:p>
  </w:endnote>
  <w:endnote w:type="continuationSeparator" w:id="0">
    <w:p w:rsidR="00D46641" w:rsidRDefault="00D46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641" w:rsidRDefault="00D46641"/>
  </w:footnote>
  <w:footnote w:type="continuationSeparator" w:id="0">
    <w:p w:rsidR="00D46641" w:rsidRDefault="00D466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E6DC7"/>
    <w:multiLevelType w:val="multilevel"/>
    <w:tmpl w:val="5D76080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1506402"/>
    <w:multiLevelType w:val="multilevel"/>
    <w:tmpl w:val="DDB6379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1B39E1"/>
    <w:multiLevelType w:val="multilevel"/>
    <w:tmpl w:val="5B288C2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55A6A3B"/>
    <w:multiLevelType w:val="multilevel"/>
    <w:tmpl w:val="73389C9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F63"/>
    <w:rsid w:val="00070F63"/>
    <w:rsid w:val="003B6764"/>
    <w:rsid w:val="008018EE"/>
    <w:rsid w:val="00C065F0"/>
    <w:rsid w:val="00D4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64F19"/>
  <w15:docId w15:val="{D5957481-B0E5-4A12-9E85-D30FC2AE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Bodytext10">
    <w:name w:val="Body text|1"/>
    <w:basedOn w:val="Normalny"/>
    <w:link w:val="Bodytext1"/>
    <w:pPr>
      <w:spacing w:after="270" w:line="276" w:lineRule="auto"/>
      <w:ind w:firstLine="400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1224</Words>
  <Characters>6981</Characters>
  <Application>Microsoft Office Word</Application>
  <DocSecurity>0</DocSecurity>
  <Lines>58</Lines>
  <Paragraphs>16</Paragraphs>
  <ScaleCrop>false</ScaleCrop>
  <Company>MSWiA</Company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Tymczyszyn Paweł</cp:lastModifiedBy>
  <cp:revision>3</cp:revision>
  <dcterms:created xsi:type="dcterms:W3CDTF">2026-10-14T11:42:00Z</dcterms:created>
  <dcterms:modified xsi:type="dcterms:W3CDTF">2026-10-14T12:39:00Z</dcterms:modified>
</cp:coreProperties>
</file>