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320690F5" w14:textId="77777777" w:rsidTr="00E54322">
        <w:trPr>
          <w:trHeight w:val="737"/>
        </w:trPr>
        <w:tc>
          <w:tcPr>
            <w:tcW w:w="1250" w:type="pct"/>
            <w:shd w:val="clear" w:color="auto" w:fill="auto"/>
            <w:vAlign w:val="center"/>
          </w:tcPr>
          <w:p w14:paraId="2BDC93F3" w14:textId="77777777" w:rsidR="002D11B8" w:rsidRPr="00B920E4" w:rsidRDefault="00191571" w:rsidP="00E54322">
            <w:pPr>
              <w:widowControl w:val="0"/>
              <w:autoSpaceDE w:val="0"/>
              <w:autoSpaceDN w:val="0"/>
              <w:adjustRightInd w:val="0"/>
              <w:rPr>
                <w:rFonts w:ascii="Arial Narrow" w:hAnsi="Arial Narrow" w:cs="Calibri"/>
                <w:szCs w:val="20"/>
              </w:rPr>
            </w:pPr>
            <w:r>
              <w:rPr>
                <w:rFonts w:ascii="Arial Narrow" w:hAnsi="Arial Narrow"/>
                <w:b/>
              </w:rPr>
              <w:t xml:space="preserve">DELEGACI </w:t>
            </w:r>
            <w:r w:rsidR="003D6AC2">
              <w:rPr>
                <w:rFonts w:ascii="Arial Narrow" w:hAnsi="Arial Narrow"/>
                <w:b/>
              </w:rPr>
              <w:t>MINISTRÓW</w:t>
            </w:r>
          </w:p>
        </w:tc>
        <w:tc>
          <w:tcPr>
            <w:tcW w:w="1250" w:type="pct"/>
            <w:shd w:val="clear" w:color="auto" w:fill="auto"/>
            <w:vAlign w:val="center"/>
          </w:tcPr>
          <w:p w14:paraId="4824AA4B" w14:textId="77777777" w:rsidR="00CF3820" w:rsidRPr="009C5258" w:rsidRDefault="00D506B8" w:rsidP="00CF3820">
            <w:pPr>
              <w:ind w:left="-108"/>
              <w:jc w:val="center"/>
              <w:rPr>
                <w:rFonts w:ascii="Arial Narrow" w:hAnsi="Arial Narrow" w:cs="Arial"/>
                <w:szCs w:val="20"/>
              </w:rPr>
            </w:pPr>
            <w:r>
              <w:rPr>
                <w:rFonts w:ascii="Arial Narrow" w:hAnsi="Arial Narrow"/>
              </w:rPr>
              <w:t>Zalecenia</w:t>
            </w:r>
          </w:p>
        </w:tc>
        <w:tc>
          <w:tcPr>
            <w:tcW w:w="1250" w:type="pct"/>
            <w:shd w:val="clear" w:color="auto" w:fill="auto"/>
            <w:vAlign w:val="center"/>
          </w:tcPr>
          <w:p w14:paraId="41A5D0FE" w14:textId="77777777" w:rsidR="002D11B8" w:rsidRPr="001B3C68" w:rsidRDefault="001B3C68" w:rsidP="003A1131">
            <w:pPr>
              <w:ind w:left="-40"/>
              <w:jc w:val="center"/>
              <w:rPr>
                <w:rFonts w:ascii="Arial Narrow" w:hAnsi="Arial Narrow" w:cs="Arial"/>
                <w:b/>
                <w:sz w:val="24"/>
                <w:szCs w:val="24"/>
              </w:rPr>
            </w:pPr>
            <w:r>
              <w:rPr>
                <w:rFonts w:ascii="Arial Narrow" w:hAnsi="Arial Narrow"/>
                <w:b/>
                <w:sz w:val="24"/>
              </w:rPr>
              <w:t>CM/Rec(2021)2</w:t>
            </w:r>
          </w:p>
        </w:tc>
        <w:tc>
          <w:tcPr>
            <w:tcW w:w="1250" w:type="pct"/>
            <w:shd w:val="clear" w:color="auto" w:fill="auto"/>
            <w:vAlign w:val="center"/>
          </w:tcPr>
          <w:p w14:paraId="114F80A2" w14:textId="77777777" w:rsidR="002D11B8" w:rsidRPr="00F96689" w:rsidRDefault="00745363" w:rsidP="003A1131">
            <w:pPr>
              <w:jc w:val="right"/>
              <w:rPr>
                <w:rFonts w:ascii="Arial Narrow" w:hAnsi="Arial Narrow" w:cs="Arial"/>
                <w:sz w:val="16"/>
                <w:szCs w:val="16"/>
              </w:rPr>
            </w:pPr>
            <w:r>
              <w:rPr>
                <w:rFonts w:ascii="Arial Narrow" w:hAnsi="Arial Narrow"/>
                <w:sz w:val="16"/>
              </w:rPr>
              <w:t>dnia 31 marca 2021 r.</w:t>
            </w:r>
          </w:p>
        </w:tc>
      </w:tr>
    </w:tbl>
    <w:p w14:paraId="40F3D322"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50EBD284" w14:textId="77777777" w:rsidTr="00E54322">
        <w:tc>
          <w:tcPr>
            <w:tcW w:w="9399" w:type="dxa"/>
            <w:shd w:val="clear" w:color="auto" w:fill="auto"/>
            <w:tcMar>
              <w:top w:w="227" w:type="dxa"/>
              <w:bottom w:w="227" w:type="dxa"/>
            </w:tcMar>
            <w:vAlign w:val="center"/>
          </w:tcPr>
          <w:p w14:paraId="64F787CE" w14:textId="77777777" w:rsidR="003D6AC2" w:rsidRPr="00015C19" w:rsidRDefault="00D506B8" w:rsidP="00E54322">
            <w:pPr>
              <w:rPr>
                <w:rFonts w:ascii="Arial Narrow" w:hAnsi="Arial Narrow" w:cs="Calibri"/>
                <w:b/>
                <w:sz w:val="28"/>
                <w:szCs w:val="28"/>
              </w:rPr>
            </w:pPr>
            <w:r>
              <w:rPr>
                <w:rFonts w:ascii="Arial Narrow" w:hAnsi="Arial Narrow"/>
                <w:b/>
                <w:sz w:val="28"/>
              </w:rPr>
              <w:t xml:space="preserve">Zalecenie CM/Rec(2021)2 Komitetu Ministrów </w:t>
            </w:r>
            <w:r w:rsidR="00F40526">
              <w:rPr>
                <w:rFonts w:ascii="Arial Narrow" w:hAnsi="Arial Narrow"/>
                <w:b/>
                <w:sz w:val="28"/>
              </w:rPr>
              <w:t xml:space="preserve">Rady Europy </w:t>
            </w:r>
            <w:r>
              <w:rPr>
                <w:rFonts w:ascii="Arial Narrow" w:hAnsi="Arial Narrow"/>
                <w:b/>
                <w:sz w:val="28"/>
              </w:rPr>
              <w:t>dla państw członkowskich w sprawie środków przeciwko handlowi towarami używanymi do wykonywania kary śmierci, tortur lub innego okrutnego, nieludzkiego lub poniżającego traktowania albo karania</w:t>
            </w:r>
          </w:p>
          <w:p w14:paraId="0721DC7B" w14:textId="77777777" w:rsidR="00A916FF" w:rsidRPr="00A916FF" w:rsidRDefault="00A916FF" w:rsidP="00CF3820">
            <w:pPr>
              <w:rPr>
                <w:rFonts w:ascii="Arial Narrow" w:hAnsi="Arial Narrow" w:cs="Calibri"/>
                <w:sz w:val="22"/>
              </w:rPr>
            </w:pPr>
          </w:p>
          <w:p w14:paraId="39140AB7" w14:textId="77777777" w:rsidR="00E457C3" w:rsidRPr="00CF3820" w:rsidRDefault="00CF3820" w:rsidP="00D91F19">
            <w:pPr>
              <w:rPr>
                <w:rFonts w:ascii="Arial Narrow" w:hAnsi="Arial Narrow" w:cs="Calibri"/>
                <w:b/>
                <w:i/>
                <w:szCs w:val="20"/>
              </w:rPr>
            </w:pPr>
            <w:r>
              <w:rPr>
                <w:rFonts w:ascii="Arial Narrow" w:hAnsi="Arial Narrow"/>
                <w:i/>
                <w:sz w:val="22"/>
              </w:rPr>
              <w:t xml:space="preserve">(Przyjęte przez Komitet Ministrów dnia 31 marca 2021 r. na 1400. </w:t>
            </w:r>
            <w:r w:rsidR="00D91F19">
              <w:rPr>
                <w:rFonts w:ascii="Arial Narrow" w:hAnsi="Arial Narrow"/>
                <w:i/>
                <w:sz w:val="22"/>
              </w:rPr>
              <w:t>posiedzeniu</w:t>
            </w:r>
            <w:r>
              <w:rPr>
                <w:rFonts w:ascii="Arial Narrow" w:hAnsi="Arial Narrow"/>
                <w:i/>
                <w:sz w:val="22"/>
              </w:rPr>
              <w:t xml:space="preserve"> </w:t>
            </w:r>
            <w:r w:rsidR="00191571">
              <w:rPr>
                <w:rFonts w:ascii="Arial Narrow" w:hAnsi="Arial Narrow"/>
                <w:i/>
                <w:sz w:val="22"/>
              </w:rPr>
              <w:t>Delegatów</w:t>
            </w:r>
            <w:r>
              <w:rPr>
                <w:rFonts w:ascii="Arial Narrow" w:hAnsi="Arial Narrow"/>
                <w:i/>
                <w:sz w:val="22"/>
              </w:rPr>
              <w:t xml:space="preserve"> Ministrów)</w:t>
            </w:r>
          </w:p>
        </w:tc>
      </w:tr>
    </w:tbl>
    <w:p w14:paraId="01F7E919" w14:textId="77777777" w:rsidR="00E54322" w:rsidRDefault="005E5E36" w:rsidP="0037200F">
      <w:pPr>
        <w:rPr>
          <w:rFonts w:eastAsia="Times New Roman"/>
          <w:szCs w:val="24"/>
        </w:rPr>
      </w:pPr>
      <w:r>
        <w:rPr>
          <w:noProof/>
          <w:lang w:eastAsia="pl-PL"/>
        </w:rPr>
        <mc:AlternateContent>
          <mc:Choice Requires="wps">
            <w:drawing>
              <wp:anchor distT="0" distB="0" distL="114300" distR="114300" simplePos="0" relativeHeight="251659264" behindDoc="0" locked="0" layoutInCell="1" allowOverlap="1" wp14:anchorId="129A9E75" wp14:editId="50BDAFC4">
                <wp:simplePos x="0" y="0"/>
                <wp:positionH relativeFrom="column">
                  <wp:posOffset>2774950</wp:posOffset>
                </wp:positionH>
                <wp:positionV relativeFrom="paragraph">
                  <wp:posOffset>-2198370</wp:posOffset>
                </wp:positionV>
                <wp:extent cx="3587750" cy="298450"/>
                <wp:effectExtent l="0" t="0" r="12700" b="25400"/>
                <wp:wrapNone/>
                <wp:docPr id="1" name="Pole tekstowe 1"/>
                <wp:cNvGraphicFramePr/>
                <a:graphic xmlns:a="http://schemas.openxmlformats.org/drawingml/2006/main">
                  <a:graphicData uri="http://schemas.microsoft.com/office/word/2010/wordprocessingShape">
                    <wps:wsp>
                      <wps:cNvSpPr txBox="1"/>
                      <wps:spPr>
                        <a:xfrm>
                          <a:off x="0" y="0"/>
                          <a:ext cx="3587750" cy="298450"/>
                        </a:xfrm>
                        <a:prstGeom prst="rect">
                          <a:avLst/>
                        </a:prstGeom>
                        <a:solidFill>
                          <a:schemeClr val="lt1"/>
                        </a:solidFill>
                        <a:ln w="6350">
                          <a:solidFill>
                            <a:schemeClr val="bg1"/>
                          </a:solidFill>
                        </a:ln>
                      </wps:spPr>
                      <wps:txbx>
                        <w:txbxContent>
                          <w:p w14:paraId="63F1A14A" w14:textId="77777777" w:rsidR="005E5E36" w:rsidRPr="00E1315B" w:rsidRDefault="005E5E36" w:rsidP="005E5E36">
                            <w:pPr>
                              <w:jc w:val="right"/>
                              <w:rPr>
                                <w:rFonts w:ascii="Times New Roman" w:hAnsi="Times New Roman"/>
                                <w:i/>
                                <w:sz w:val="16"/>
                                <w:szCs w:val="16"/>
                              </w:rPr>
                            </w:pPr>
                            <w:r w:rsidRPr="00E1315B">
                              <w:rPr>
                                <w:rFonts w:ascii="Times New Roman" w:hAnsi="Times New Roman"/>
                                <w:i/>
                                <w:sz w:val="16"/>
                                <w:szCs w:val="16"/>
                              </w:rPr>
                              <w:t>Nieoficjalne tłumaczenie przygotowane przez Ministerstwo Spraw Zagranicznych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EBA34" id="_x0000_t202" coordsize="21600,21600" o:spt="202" path="m,l,21600r21600,l21600,xe">
                <v:stroke joinstyle="miter"/>
                <v:path gradientshapeok="t" o:connecttype="rect"/>
              </v:shapetype>
              <v:shape id="Pole tekstowe 1" o:spid="_x0000_s1026" type="#_x0000_t202" style="position:absolute;margin-left:218.5pt;margin-top:-173.1pt;width:282.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" fillcolor="white [3201]" strokecolor="white [3212]" strokeweight=".5pt">
                <v:textbox>
                  <w:txbxContent>
                    <w:p w:rsidR="005E5E36" w:rsidRPr="00E1315B" w:rsidRDefault="005E5E36" w:rsidP="005E5E36">
                      <w:pPr>
                        <w:jc w:val="right"/>
                        <w:rPr>
                          <w:rFonts w:ascii="Times New Roman" w:hAnsi="Times New Roman"/>
                          <w:i/>
                          <w:sz w:val="16"/>
                          <w:szCs w:val="16"/>
                        </w:rPr>
                      </w:pPr>
                      <w:r w:rsidRPr="00E1315B">
                        <w:rPr>
                          <w:rFonts w:ascii="Times New Roman" w:hAnsi="Times New Roman"/>
                          <w:i/>
                          <w:sz w:val="16"/>
                          <w:szCs w:val="16"/>
                        </w:rPr>
                        <w:t>Nieoficjalne tłumaczenie przygotowane przez Ministerstwo Spraw Zagranicznych</w:t>
                      </w:r>
                    </w:p>
                  </w:txbxContent>
                </v:textbox>
              </v:shape>
            </w:pict>
          </mc:Fallback>
        </mc:AlternateContent>
      </w:r>
      <w:r w:rsidR="00E54322">
        <w:t xml:space="preserve"> </w:t>
      </w:r>
    </w:p>
    <w:p w14:paraId="1EB62113" w14:textId="77777777" w:rsidR="00CF3820" w:rsidRDefault="00CF3820" w:rsidP="0037200F">
      <w:pPr>
        <w:rPr>
          <w:rFonts w:eastAsia="Times New Roman"/>
          <w:szCs w:val="24"/>
        </w:rPr>
      </w:pPr>
      <w:r>
        <w:t xml:space="preserve"> </w:t>
      </w:r>
    </w:p>
    <w:p w14:paraId="4C1FAA33" w14:textId="77777777" w:rsidR="00C850A5" w:rsidRPr="00F8387A" w:rsidRDefault="00C850A5" w:rsidP="00C850A5">
      <w:pPr>
        <w:ind w:right="-23"/>
        <w:outlineLvl w:val="1"/>
        <w:rPr>
          <w:rFonts w:eastAsiaTheme="minorHAnsi" w:cs="Arial"/>
          <w:szCs w:val="20"/>
        </w:rPr>
      </w:pPr>
      <w:r>
        <w:t>Komitet Ministrów, na zasadach art. 15 lit. b Statutu Rady Europy (ETS nr 1):</w:t>
      </w:r>
    </w:p>
    <w:p w14:paraId="75D13E44" w14:textId="77777777" w:rsidR="00C850A5" w:rsidRPr="00F8387A" w:rsidRDefault="00C850A5" w:rsidP="00C850A5">
      <w:pPr>
        <w:contextualSpacing/>
        <w:rPr>
          <w:rFonts w:eastAsiaTheme="minorHAnsi" w:cs="Arial"/>
          <w:szCs w:val="20"/>
        </w:rPr>
      </w:pPr>
    </w:p>
    <w:p w14:paraId="774EAB70" w14:textId="77777777" w:rsidR="00C850A5" w:rsidRPr="00F8387A" w:rsidRDefault="00C850A5" w:rsidP="00C850A5">
      <w:pPr>
        <w:contextualSpacing/>
        <w:rPr>
          <w:rFonts w:eastAsiaTheme="minorHAnsi" w:cs="Arial"/>
          <w:szCs w:val="20"/>
        </w:rPr>
      </w:pPr>
      <w:r>
        <w:t>zważywszy, że celem Rady Europy jest osiągnięcie większej spójności między państwami członkowski</w:t>
      </w:r>
      <w:r w:rsidR="00191571">
        <w:t>mi</w:t>
      </w:r>
      <w:r>
        <w:t xml:space="preserve"> między innymi przez promowanie wspólnych standardów i prowadzenie działalności w dziedzinie praw człowieka;</w:t>
      </w:r>
    </w:p>
    <w:p w14:paraId="2013E7E4" w14:textId="77777777" w:rsidR="00C850A5" w:rsidRPr="00F8387A" w:rsidRDefault="00C850A5" w:rsidP="00C850A5">
      <w:pPr>
        <w:contextualSpacing/>
        <w:rPr>
          <w:rFonts w:eastAsiaTheme="minorHAnsi" w:cs="Arial"/>
          <w:szCs w:val="20"/>
        </w:rPr>
      </w:pPr>
    </w:p>
    <w:p w14:paraId="36B3E793" w14:textId="77777777" w:rsidR="00C850A5" w:rsidRPr="00F8387A" w:rsidRDefault="00C850A5" w:rsidP="00C850A5">
      <w:pPr>
        <w:contextualSpacing/>
        <w:rPr>
          <w:rFonts w:eastAsiaTheme="minorHAnsi" w:cs="Arial"/>
          <w:szCs w:val="20"/>
        </w:rPr>
      </w:pPr>
      <w:r>
        <w:t>przywołując zobowiązanie państw członkowskich do zapewnienia każdej osobie podlegającej ich jurysdykcji praw i wolności określonych w Konwencji o ochronie praw człowieka i podstawowych wolności (ETS nr 5) wraz z protokołami do niej;</w:t>
      </w:r>
    </w:p>
    <w:p w14:paraId="2EC7D2C3" w14:textId="77777777" w:rsidR="00C850A5" w:rsidRPr="00F8387A" w:rsidRDefault="00C850A5" w:rsidP="00C850A5">
      <w:pPr>
        <w:contextualSpacing/>
        <w:rPr>
          <w:rFonts w:eastAsiaTheme="minorHAnsi" w:cs="Arial"/>
          <w:szCs w:val="20"/>
        </w:rPr>
      </w:pPr>
    </w:p>
    <w:p w14:paraId="42ED4CF2" w14:textId="77777777" w:rsidR="00C850A5" w:rsidRPr="00F8387A" w:rsidRDefault="00C850A5" w:rsidP="00C850A5">
      <w:pPr>
        <w:contextualSpacing/>
        <w:rPr>
          <w:rFonts w:eastAsiaTheme="minorHAnsi" w:cs="Arial"/>
          <w:szCs w:val="20"/>
        </w:rPr>
      </w:pPr>
      <w:r>
        <w:t xml:space="preserve">ponawiając </w:t>
      </w:r>
      <w:r w:rsidR="00191571">
        <w:t xml:space="preserve">swoje </w:t>
      </w:r>
      <w:r>
        <w:t>niesłabnące zaangażowanie na rzecz zniesienia kary śmierci stosownie do Protokołu nr 6 (ETS nr 114) i Protokołu nr 13 (ETS nr 187) do Konwencji o ochronie praw człowieka i podstawowych wolności;</w:t>
      </w:r>
    </w:p>
    <w:p w14:paraId="24ADAC0B" w14:textId="77777777" w:rsidR="00C850A5" w:rsidRPr="00F8387A" w:rsidRDefault="00C850A5" w:rsidP="00C850A5">
      <w:pPr>
        <w:contextualSpacing/>
        <w:rPr>
          <w:rFonts w:eastAsiaTheme="minorHAnsi" w:cs="Arial"/>
          <w:szCs w:val="20"/>
        </w:rPr>
      </w:pPr>
    </w:p>
    <w:p w14:paraId="35ADEA74" w14:textId="77777777" w:rsidR="00C850A5" w:rsidRPr="00F8387A" w:rsidRDefault="00C850A5" w:rsidP="00C850A5">
      <w:pPr>
        <w:contextualSpacing/>
        <w:rPr>
          <w:rFonts w:eastAsiaTheme="minorHAnsi" w:cs="Arial"/>
          <w:szCs w:val="20"/>
        </w:rPr>
      </w:pPr>
      <w:r>
        <w:t xml:space="preserve">przywołując zobowiązanie państw do zakazania tortur i nieludzkiego lub poniżającego traktowania albo karania stosownie do art. 3 Konwencji o ochronie praw człowieka i podstawowych wolności, Europejskiej konwencji o zapobieganiu torturom oraz nieludzkiemu lub poniżającemu traktowaniu albo karaniu (ETS nr 126) oraz Konwencji ONZ w sprawie zakazu stosowania tortur oraz innego okrutnego, nieludzkiego lub poniżającego traktowania albo karania wraz z Protokołem fakultatywnym do niej; </w:t>
      </w:r>
    </w:p>
    <w:p w14:paraId="6C08306A" w14:textId="77777777" w:rsidR="00C850A5" w:rsidRPr="00F8387A" w:rsidRDefault="00C850A5" w:rsidP="00C850A5">
      <w:pPr>
        <w:rPr>
          <w:rFonts w:eastAsiaTheme="minorHAnsi" w:cs="Arial"/>
          <w:szCs w:val="20"/>
        </w:rPr>
      </w:pPr>
    </w:p>
    <w:p w14:paraId="11364F44" w14:textId="77777777" w:rsidR="00C850A5" w:rsidRPr="00F8387A" w:rsidRDefault="00C850A5" w:rsidP="00C850A5">
      <w:pPr>
        <w:contextualSpacing/>
        <w:rPr>
          <w:rFonts w:eastAsiaTheme="minorHAnsi" w:cs="Arial"/>
          <w:szCs w:val="20"/>
        </w:rPr>
      </w:pPr>
      <w:r>
        <w:t>podkreślając ogromną wagę wstępnych i okresowych szkoleń dla fu</w:t>
      </w:r>
      <w:r w:rsidR="00A46B25">
        <w:t>nkcjonariuszy porządku prawnego</w:t>
      </w:r>
      <w:r w:rsidR="00873115">
        <w:t xml:space="preserve"> </w:t>
      </w:r>
      <w:r>
        <w:t>w zakresie właściwego korzystania z</w:t>
      </w:r>
      <w:r w:rsidR="00D84327">
        <w:t xml:space="preserve">e </w:t>
      </w:r>
      <w:r w:rsidR="00D84327" w:rsidRPr="00196815">
        <w:t>sprzętu</w:t>
      </w:r>
      <w:r w:rsidRPr="00196815">
        <w:t xml:space="preserve"> ochronnego zgodni</w:t>
      </w:r>
      <w:r w:rsidR="00A46B25" w:rsidRPr="00196815">
        <w:t>e</w:t>
      </w:r>
      <w:r w:rsidR="00A46B25">
        <w:t xml:space="preserve"> ze standardami praw człowieka</w:t>
      </w:r>
      <w:r w:rsidR="00873115">
        <w:t xml:space="preserve"> </w:t>
      </w:r>
      <w:r>
        <w:t>i wynikając</w:t>
      </w:r>
      <w:r w:rsidR="00191571">
        <w:t>ą stąd potrzebę</w:t>
      </w:r>
      <w:r>
        <w:t xml:space="preserve"> zapobiegania organizacji szkoleń z </w:t>
      </w:r>
      <w:r w:rsidR="007268D4">
        <w:t xml:space="preserve">abuzywnych </w:t>
      </w:r>
      <w:r>
        <w:t>praktyk</w:t>
      </w:r>
      <w:r w:rsidR="007268D4">
        <w:t>,</w:t>
      </w:r>
      <w:r w:rsidR="00963ADE">
        <w:t xml:space="preserve"> które obchodzą</w:t>
      </w:r>
      <w:r>
        <w:t xml:space="preserve"> t</w:t>
      </w:r>
      <w:r w:rsidR="00963ADE">
        <w:t>e standardy</w:t>
      </w:r>
      <w:r>
        <w:t>;</w:t>
      </w:r>
    </w:p>
    <w:p w14:paraId="6B8BA7D0" w14:textId="77777777" w:rsidR="00C850A5" w:rsidRPr="00F8387A" w:rsidRDefault="00C850A5" w:rsidP="00C850A5">
      <w:pPr>
        <w:contextualSpacing/>
        <w:rPr>
          <w:rFonts w:eastAsiaTheme="minorHAnsi" w:cs="Arial"/>
          <w:szCs w:val="20"/>
        </w:rPr>
      </w:pPr>
    </w:p>
    <w:p w14:paraId="67B1B4AC" w14:textId="77777777" w:rsidR="00C850A5" w:rsidRPr="00F8387A" w:rsidRDefault="00C850A5" w:rsidP="00C850A5">
      <w:pPr>
        <w:contextualSpacing/>
        <w:rPr>
          <w:rFonts w:eastAsiaTheme="minorHAnsi" w:cs="Arial"/>
          <w:szCs w:val="20"/>
        </w:rPr>
      </w:pPr>
      <w:r>
        <w:t>mając na uwadze orzecznictwo Europejskiego Trybunału Praw Człowieka i standardy wypracowane przez Europejski Komitet Zapobiegania Torturom oraz Nieludzkiemu lub Poniżającemu Traktowaniu albo Karaniu w zakresie korzystania z</w:t>
      </w:r>
      <w:r w:rsidR="00D84327">
        <w:t>e sprzętu</w:t>
      </w:r>
      <w:r>
        <w:t xml:space="preserve"> i urządzeń do egzekwowania prawa; </w:t>
      </w:r>
    </w:p>
    <w:p w14:paraId="276D09B8" w14:textId="77777777" w:rsidR="00C850A5" w:rsidRPr="00F8387A" w:rsidRDefault="00C850A5" w:rsidP="00C850A5">
      <w:pPr>
        <w:contextualSpacing/>
        <w:rPr>
          <w:rFonts w:eastAsiaTheme="minorHAnsi" w:cs="Arial"/>
          <w:szCs w:val="20"/>
        </w:rPr>
      </w:pPr>
    </w:p>
    <w:p w14:paraId="1D1AAC84" w14:textId="77777777" w:rsidR="00C850A5" w:rsidRPr="00F8387A" w:rsidRDefault="00C850A5" w:rsidP="00C850A5">
      <w:pPr>
        <w:contextualSpacing/>
        <w:rPr>
          <w:rFonts w:eastAsiaTheme="minorHAnsi" w:cs="Arial"/>
          <w:szCs w:val="20"/>
        </w:rPr>
      </w:pPr>
      <w:r>
        <w:t xml:space="preserve">przywołując </w:t>
      </w:r>
      <w:r w:rsidR="00963ADE">
        <w:t xml:space="preserve">Rekomendację </w:t>
      </w:r>
      <w:r>
        <w:t>Zgromadzenia Parlamentarnego 2123 (2018) w sprawie wzmocnienia regulacji międzynarodowych przeciwko handlowi towarami używanymi do tortur i wykonywania kary śmierci, wzywające do opracowania wytycznych technicznych dotyczących sposobu ustanowienia i wdrożenia skutecznego systemu regulacyjnego;</w:t>
      </w:r>
    </w:p>
    <w:p w14:paraId="2359012C" w14:textId="77777777" w:rsidR="00C850A5" w:rsidRPr="00F8387A" w:rsidRDefault="00C850A5" w:rsidP="00C850A5">
      <w:pPr>
        <w:contextualSpacing/>
        <w:rPr>
          <w:rFonts w:eastAsiaTheme="minorHAnsi" w:cs="Arial"/>
          <w:szCs w:val="20"/>
        </w:rPr>
      </w:pPr>
    </w:p>
    <w:p w14:paraId="288EB7D2" w14:textId="77777777" w:rsidR="00C850A5" w:rsidRPr="00F8387A" w:rsidRDefault="00C850A5" w:rsidP="00C850A5">
      <w:pPr>
        <w:contextualSpacing/>
        <w:rPr>
          <w:rFonts w:eastAsiaTheme="minorHAnsi" w:cs="Arial"/>
          <w:szCs w:val="20"/>
        </w:rPr>
      </w:pPr>
      <w:r>
        <w:t>mając na uwadze: i. rezolucje Zgromadzenia Ogólnego ONZ: A/RES/74/143 „Tortury i inne okrutne, nieludzkie lub poniżające traktowanie albo karanie” oraz A/RES/73/304 „Uwolnić handel od tortur: badanie wykonalności, zakresu i parametrów możliwych wspólnych standardów międzynarodowych”, jak również późniejsze sprawozdanie Sekretarza Generalnego ONZ A/74/969, w którym ustalono, że większość państw-respondentów wyraża wsparcie dla ustanowienia wspólny</w:t>
      </w:r>
      <w:r w:rsidR="00A46B25">
        <w:t>ch standardów międzynarodowych,</w:t>
      </w:r>
      <w:r w:rsidR="00873115">
        <w:t xml:space="preserve"> a</w:t>
      </w:r>
      <w:r>
        <w:t xml:space="preserve"> większość opowiada się za prawnie wiążącym instrumentem wprowadzającym środki kontroli i ograniczania handlu towarami używanymi do wykonywania kary śmierci, tortur i innych form złego traktowania; ii. rozporządzenie Parlamentu Europejskiego i Rady (UE) 2019/125 z dnia 16 stycznia 2019 r. w sprawie handlu niektórymi towarami, które mogłyby być użyte do wykonywania kary śmierci, tortur lub innego </w:t>
      </w:r>
      <w:r>
        <w:lastRenderedPageBreak/>
        <w:t>okrutnego, nieludzkiego lub poniżającego traktowania albo karania; oraz iii. Wytyczne ONZ dotyczące biznesu i praw człowi</w:t>
      </w:r>
      <w:r w:rsidR="00963ADE">
        <w:t>eka: wdrażające</w:t>
      </w:r>
      <w:r>
        <w:t xml:space="preserve"> </w:t>
      </w:r>
      <w:r w:rsidR="007268D4">
        <w:t>Dokument R</w:t>
      </w:r>
      <w:r>
        <w:t>am</w:t>
      </w:r>
      <w:r w:rsidR="007268D4">
        <w:t>owy</w:t>
      </w:r>
      <w:r>
        <w:t xml:space="preserve"> „</w:t>
      </w:r>
      <w:r w:rsidR="007268D4">
        <w:t>Chronić, szanować i naprawiać</w:t>
      </w:r>
      <w:r>
        <w:t xml:space="preserve">”; </w:t>
      </w:r>
    </w:p>
    <w:p w14:paraId="062ECE08" w14:textId="77777777" w:rsidR="00C850A5" w:rsidRPr="00F8387A" w:rsidRDefault="00C850A5" w:rsidP="00C850A5">
      <w:pPr>
        <w:contextualSpacing/>
        <w:rPr>
          <w:rFonts w:eastAsiaTheme="minorHAnsi" w:cs="Arial"/>
          <w:szCs w:val="20"/>
        </w:rPr>
      </w:pPr>
    </w:p>
    <w:p w14:paraId="4CA2BB1C" w14:textId="77777777" w:rsidR="00C850A5" w:rsidRPr="00F8387A" w:rsidRDefault="00C850A5" w:rsidP="00C850A5">
      <w:pPr>
        <w:contextualSpacing/>
        <w:rPr>
          <w:rFonts w:eastAsiaTheme="minorHAnsi" w:cs="Arial"/>
          <w:szCs w:val="20"/>
        </w:rPr>
      </w:pPr>
      <w:r>
        <w:t xml:space="preserve">przywołując Zalecenie </w:t>
      </w:r>
      <w:bookmarkStart w:id="0" w:name="_ML_000000000004_VALID"/>
      <w:r w:rsidR="00B2045B" w:rsidRPr="001B3C68">
        <w:rPr>
          <w:rFonts w:eastAsiaTheme="minorHAnsi" w:cs="Arial"/>
          <w:szCs w:val="20"/>
        </w:rPr>
        <w:fldChar w:fldCharType="begin"/>
      </w:r>
      <w:r w:rsidR="001B3C68" w:rsidRPr="001B3C68">
        <w:rPr>
          <w:rFonts w:eastAsiaTheme="minorHAnsi" w:cs="Arial"/>
          <w:szCs w:val="20"/>
        </w:rPr>
        <w:instrText xml:space="preserve"> HYPERLINK "https://search.coe.int/cm/Pages/result_details.aspx?Reference=CM/Rec(2016)3" \o "Zalecenie Komitetu Ministrów dla państw w sprawie praw człowieka i biznesu (przyjęte przez Komitet Ministrów dnia 2 marca 2016 r. na 1249. spotkaniu Zastępców Ministrów)." </w:instrText>
      </w:r>
      <w:r w:rsidR="00B2045B" w:rsidRPr="001B3C68">
        <w:rPr>
          <w:rFonts w:eastAsiaTheme="minorHAnsi" w:cs="Arial"/>
          <w:szCs w:val="20"/>
        </w:rPr>
      </w:r>
      <w:r w:rsidR="00B2045B" w:rsidRPr="001B3C68">
        <w:rPr>
          <w:rFonts w:eastAsiaTheme="minorHAnsi" w:cs="Arial"/>
          <w:szCs w:val="20"/>
        </w:rPr>
        <w:fldChar w:fldCharType="separate"/>
      </w:r>
      <w:bookmarkEnd w:id="0"/>
      <w:r>
        <w:rPr>
          <w:rStyle w:val="Hipercze"/>
        </w:rPr>
        <w:t>CM/Rec(2016)3</w:t>
      </w:r>
      <w:r w:rsidR="00B2045B" w:rsidRPr="001B3C68">
        <w:rPr>
          <w:rFonts w:eastAsiaTheme="minorHAnsi" w:cs="Arial"/>
          <w:szCs w:val="20"/>
        </w:rPr>
        <w:fldChar w:fldCharType="end"/>
      </w:r>
      <w:r>
        <w:t xml:space="preserve"> Komitetu Ministrów dla państw członkowskich w sprawie praw człowieka i biznesu podkreślające potrzebę zapewnienia, aby przedsiębiorcy z siedzibami w obrębie jurysdykcji państw członkowskich nie handlowali towarami niemającymi żadnego innego praktycznego zastosowania niż wykonywanie kary śmierci, torturowanie </w:t>
      </w:r>
      <w:bookmarkStart w:id="1" w:name="_Hlk51603996"/>
      <w:r>
        <w:t xml:space="preserve">oraz inne okrutne, nieludzkie lub poniżające traktowanie albo </w:t>
      </w:r>
      <w:bookmarkEnd w:id="1"/>
      <w:r>
        <w:t>karanie w państwach trzecich;</w:t>
      </w:r>
    </w:p>
    <w:p w14:paraId="19F0EF79" w14:textId="77777777" w:rsidR="00C850A5" w:rsidRPr="00F8387A" w:rsidRDefault="00C850A5" w:rsidP="00C850A5">
      <w:pPr>
        <w:contextualSpacing/>
        <w:rPr>
          <w:rFonts w:eastAsiaTheme="minorHAnsi" w:cs="Arial"/>
          <w:szCs w:val="20"/>
        </w:rPr>
      </w:pPr>
    </w:p>
    <w:p w14:paraId="4B1FC7AD" w14:textId="77777777" w:rsidR="00C850A5" w:rsidRPr="00F8387A" w:rsidRDefault="00C850A5" w:rsidP="00C850A5">
      <w:pPr>
        <w:contextualSpacing/>
        <w:rPr>
          <w:rFonts w:eastAsiaTheme="minorHAnsi" w:cs="Arial"/>
          <w:szCs w:val="20"/>
        </w:rPr>
      </w:pPr>
      <w:r>
        <w:t xml:space="preserve">podkreślając zainteresowanie wprowadzeniem, w oparciu o pewien zakres wariantów, wielostronnie uzgodnionych wspólnych standardów międzynarodowych w zakresie handlu </w:t>
      </w:r>
      <w:r w:rsidR="00463D31">
        <w:t>sprzętem</w:t>
      </w:r>
      <w:r>
        <w:t xml:space="preserve"> z natury swojej okrutnym, nieludzkim lub poniżającym, jak również </w:t>
      </w:r>
      <w:r w:rsidR="00463D31">
        <w:t xml:space="preserve">sprzętem </w:t>
      </w:r>
      <w:r>
        <w:t xml:space="preserve">do egzekwowania prawa, bronią i innymi </w:t>
      </w:r>
      <w:r w:rsidRPr="00873115">
        <w:t>odnośnymi</w:t>
      </w:r>
      <w:r>
        <w:t xml:space="preserve"> towarami, które mogą być wbrew przeznaczeniu używane do wykonywania kary śmierci, tortur oraz innego okrutnego, nieludzkiego lub poniżającego traktowania albo karania;</w:t>
      </w:r>
    </w:p>
    <w:p w14:paraId="1D3C2612" w14:textId="77777777" w:rsidR="00C850A5" w:rsidRPr="00F8387A" w:rsidRDefault="00C850A5" w:rsidP="00C850A5">
      <w:pPr>
        <w:contextualSpacing/>
        <w:rPr>
          <w:rFonts w:eastAsiaTheme="minorHAnsi" w:cs="Arial"/>
          <w:szCs w:val="20"/>
        </w:rPr>
      </w:pPr>
    </w:p>
    <w:p w14:paraId="278D3B6F" w14:textId="77777777" w:rsidR="00C850A5" w:rsidRPr="00F8387A" w:rsidRDefault="00C850A5" w:rsidP="00C850A5">
      <w:pPr>
        <w:contextualSpacing/>
        <w:rPr>
          <w:rFonts w:eastAsiaTheme="minorHAnsi" w:cs="Arial"/>
          <w:szCs w:val="20"/>
        </w:rPr>
      </w:pPr>
      <w:r>
        <w:t xml:space="preserve">głęboko zaniepokojony faktem, że pewne </w:t>
      </w:r>
      <w:r w:rsidR="00463D31">
        <w:t>sprzęty</w:t>
      </w:r>
      <w:r>
        <w:t xml:space="preserve"> i towary niemające innego praktycznego zastosowania niż tortury lub inne okrutne, nieludzkie lub poniżające traktowanie albo karanie mogą być wytwarzane, promowane i wprowadzane do obrotu w państwach członkowskich Rady Europy, w tym na europejskich targach lub na stronach internetowych przedsiębiorców europejskich lub prowadzących działalność w Europie</w:t>
      </w:r>
      <w:bookmarkStart w:id="2" w:name="page2"/>
      <w:bookmarkEnd w:id="2"/>
      <w:r>
        <w:t>,</w:t>
      </w:r>
    </w:p>
    <w:p w14:paraId="702DE252" w14:textId="77777777" w:rsidR="00C850A5" w:rsidRPr="00F8387A" w:rsidRDefault="00C850A5" w:rsidP="00C850A5">
      <w:pPr>
        <w:contextualSpacing/>
        <w:rPr>
          <w:rFonts w:eastAsiaTheme="minorHAnsi" w:cs="Arial"/>
          <w:szCs w:val="20"/>
        </w:rPr>
      </w:pPr>
    </w:p>
    <w:p w14:paraId="2B504B31" w14:textId="77777777" w:rsidR="00C850A5" w:rsidRPr="00F8387A" w:rsidRDefault="00C850A5" w:rsidP="00C850A5">
      <w:pPr>
        <w:rPr>
          <w:rFonts w:eastAsiaTheme="minorHAnsi" w:cs="Arial"/>
          <w:bCs/>
          <w:szCs w:val="20"/>
        </w:rPr>
      </w:pPr>
      <w:r>
        <w:t>zaleca, aby rządy państw członkowskich:</w:t>
      </w:r>
    </w:p>
    <w:p w14:paraId="426163C1" w14:textId="77777777" w:rsidR="00C850A5" w:rsidRPr="00F8387A" w:rsidRDefault="00C850A5" w:rsidP="00C850A5">
      <w:pPr>
        <w:rPr>
          <w:rFonts w:cs="Arial"/>
          <w:szCs w:val="20"/>
        </w:rPr>
      </w:pPr>
    </w:p>
    <w:p w14:paraId="2D3CAB7F" w14:textId="77777777" w:rsidR="00C850A5" w:rsidRPr="00F8387A" w:rsidRDefault="00C850A5" w:rsidP="00C850A5">
      <w:pPr>
        <w:numPr>
          <w:ilvl w:val="0"/>
          <w:numId w:val="1"/>
        </w:numPr>
        <w:ind w:left="0" w:firstLine="0"/>
        <w:rPr>
          <w:rFonts w:cs="Arial"/>
          <w:szCs w:val="20"/>
        </w:rPr>
      </w:pPr>
      <w:bookmarkStart w:id="3" w:name="_Hlk62685910"/>
      <w:r>
        <w:t>prowadziły regularne przeglądy przepisów i praktyk krajow</w:t>
      </w:r>
      <w:r w:rsidR="00A46B25">
        <w:t>ych dotyczących handlu towarami</w:t>
      </w:r>
      <w:r w:rsidR="00873115">
        <w:t xml:space="preserve"> </w:t>
      </w:r>
      <w:r>
        <w:t>z natury swojej abuzywnymi, jak również towarami, które mogą być używane do wykonywania kary śmierci, tortur i innego okrutnego, nieludzkiego lub poniżającego traktowania albo karania, w celu zapewnienia zgodności ze środkami określonymi w załączniku do niniejszego Zalecenia</w:t>
      </w:r>
      <w:bookmarkEnd w:id="3"/>
      <w:r>
        <w:t xml:space="preserve">; </w:t>
      </w:r>
    </w:p>
    <w:p w14:paraId="0B8BEC73" w14:textId="77777777" w:rsidR="00C850A5" w:rsidRPr="00F8387A" w:rsidRDefault="00C850A5" w:rsidP="00C850A5">
      <w:pPr>
        <w:rPr>
          <w:rFonts w:cs="Arial"/>
          <w:szCs w:val="20"/>
        </w:rPr>
      </w:pPr>
    </w:p>
    <w:p w14:paraId="11FAABEE" w14:textId="77777777" w:rsidR="00C850A5" w:rsidRPr="00F8387A" w:rsidRDefault="00C850A5" w:rsidP="00C850A5">
      <w:pPr>
        <w:rPr>
          <w:rFonts w:cs="Arial"/>
          <w:szCs w:val="20"/>
        </w:rPr>
      </w:pPr>
      <w:r>
        <w:t xml:space="preserve">2. </w:t>
      </w:r>
      <w:r>
        <w:tab/>
      </w:r>
      <w:bookmarkStart w:id="4" w:name="_Hlk62685935"/>
      <w:r>
        <w:t>zapewniły, za pomocą odpowiednich środków i działań, szerokie upowszechnienie zasad określonych w załączniku do niniejszego Zalecenia wśród właściwych organów, w szczególności wdrażających i nadzorujących regulację handlu towarami, które mogą być używane do wykonywania kary śmierci, tortur lub innego okrutnego, nieludzkiego lub poniżającego traktowania albo karania, z wyraźnym włączeniem krajowych instytucji praw człowieka, krajowych mechanizmów prewencji, instytucji rzeczni</w:t>
      </w:r>
      <w:r w:rsidR="00931DD8">
        <w:t>ków</w:t>
      </w:r>
      <w:r>
        <w:t xml:space="preserve">, </w:t>
      </w:r>
      <w:r w:rsidR="00931DD8">
        <w:t>właściwych</w:t>
      </w:r>
      <w:r>
        <w:t xml:space="preserve"> związków zawodowych, organizacji społeczeństwa obywatelskiego, przedsiębiorców produkujących, promujących i przekazujących </w:t>
      </w:r>
      <w:r w:rsidR="00463D31">
        <w:t>sprzęt</w:t>
      </w:r>
      <w:r w:rsidR="00A46B25">
        <w:t xml:space="preserve"> do egzekwowania prawa</w:t>
      </w:r>
      <w:r w:rsidR="00A46B25">
        <w:br/>
      </w:r>
      <w:r>
        <w:t>i inne odnośne towary, w tym niektóre farmaceutyczne</w:t>
      </w:r>
      <w:r w:rsidR="00591224">
        <w:t xml:space="preserve"> substancje chemiczne</w:t>
      </w:r>
      <w:r>
        <w:t>, jak również przedsiębiorców organizujących i prowadzących targi oraz wszelkich innych istotnych osób fizycznych i prawnych z miejscami zamieszkania bądź siedzibami w państwach członkowskich</w:t>
      </w:r>
      <w:bookmarkEnd w:id="4"/>
      <w:r>
        <w:t xml:space="preserve">; </w:t>
      </w:r>
    </w:p>
    <w:p w14:paraId="58A28D1F" w14:textId="77777777" w:rsidR="00C850A5" w:rsidRPr="00F8387A" w:rsidRDefault="00C850A5" w:rsidP="00C850A5">
      <w:pPr>
        <w:rPr>
          <w:rFonts w:cs="Arial"/>
          <w:szCs w:val="20"/>
        </w:rPr>
      </w:pPr>
    </w:p>
    <w:p w14:paraId="6F0CB8EC" w14:textId="77777777" w:rsidR="00C850A5" w:rsidRPr="00F8387A" w:rsidRDefault="00C850A5" w:rsidP="00C850A5">
      <w:pPr>
        <w:rPr>
          <w:rFonts w:cs="Arial"/>
          <w:szCs w:val="20"/>
        </w:rPr>
      </w:pPr>
      <w:r>
        <w:t>3.</w:t>
      </w:r>
      <w:r>
        <w:tab/>
      </w:r>
      <w:bookmarkStart w:id="5" w:name="_Hlk62685968"/>
      <w:r>
        <w:t>zbadały, w ramach Komitetu Ministrów, wdrożenie niniejszego Zalecenia nie później niż z upływem pięciu lat od jego przyjęcia</w:t>
      </w:r>
      <w:bookmarkEnd w:id="5"/>
      <w:r>
        <w:t>.</w:t>
      </w:r>
    </w:p>
    <w:p w14:paraId="561F2DB2" w14:textId="77777777" w:rsidR="00C850A5" w:rsidRDefault="00C850A5" w:rsidP="00C850A5">
      <w:pPr>
        <w:rPr>
          <w:rFonts w:cs="Arial"/>
          <w:i/>
          <w:szCs w:val="20"/>
        </w:rPr>
      </w:pPr>
    </w:p>
    <w:p w14:paraId="0528D82A" w14:textId="77777777" w:rsidR="00E34018" w:rsidRPr="00F8387A" w:rsidRDefault="00E34018" w:rsidP="00C850A5">
      <w:pPr>
        <w:rPr>
          <w:rFonts w:cs="Arial"/>
          <w:i/>
          <w:szCs w:val="20"/>
        </w:rPr>
      </w:pPr>
    </w:p>
    <w:p w14:paraId="0AF97636" w14:textId="77777777" w:rsidR="00C850A5" w:rsidRPr="00F8387A" w:rsidRDefault="00C850A5" w:rsidP="00C850A5">
      <w:pPr>
        <w:rPr>
          <w:rFonts w:cs="Arial"/>
          <w:i/>
          <w:szCs w:val="20"/>
        </w:rPr>
      </w:pPr>
      <w:r>
        <w:rPr>
          <w:i/>
        </w:rPr>
        <w:t xml:space="preserve">Załącznik do Zalecenia </w:t>
      </w:r>
      <w:bookmarkStart w:id="6" w:name="_ML_000000000005_VALID"/>
      <w:r w:rsidR="00B2045B" w:rsidRPr="001B3C68">
        <w:rPr>
          <w:rFonts w:cs="Arial"/>
          <w:i/>
          <w:szCs w:val="20"/>
        </w:rPr>
        <w:fldChar w:fldCharType="begin"/>
      </w:r>
      <w:r w:rsidR="001B3C68" w:rsidRPr="001B3C68">
        <w:rPr>
          <w:rFonts w:cs="Arial"/>
          <w:i/>
          <w:szCs w:val="20"/>
        </w:rPr>
        <w:instrText xml:space="preserve"> HYPERLINK "https://search.coe.int/cm/Pages/result_details.aspx?Reference=CM/Rec(2021)2" \o "Zalecenie Komitetu Ministrów dla państw członkowskich w sprawie środków przeciwko handlowi towarami używanymi do wykonywania kary śmierci, tortur lub innego okrutnego, nieludzkiego lub poniżającego traktowania albo karania (przyjęte przez Komitet Ministrów dnia 31 marca 2021 r. na 1400. spotkaniu Zastępców Ministrów)" </w:instrText>
      </w:r>
      <w:r w:rsidR="00B2045B" w:rsidRPr="001B3C68">
        <w:rPr>
          <w:rFonts w:cs="Arial"/>
          <w:i/>
          <w:szCs w:val="20"/>
        </w:rPr>
      </w:r>
      <w:r w:rsidR="00B2045B" w:rsidRPr="001B3C68">
        <w:rPr>
          <w:rFonts w:cs="Arial"/>
          <w:i/>
          <w:szCs w:val="20"/>
        </w:rPr>
        <w:fldChar w:fldCharType="separate"/>
      </w:r>
      <w:bookmarkEnd w:id="6"/>
      <w:r>
        <w:rPr>
          <w:rStyle w:val="Hipercze"/>
          <w:i/>
        </w:rPr>
        <w:t>CM/Rec(2021)2</w:t>
      </w:r>
      <w:r w:rsidR="00B2045B" w:rsidRPr="001B3C68">
        <w:rPr>
          <w:rFonts w:cs="Arial"/>
          <w:i/>
          <w:szCs w:val="20"/>
        </w:rPr>
        <w:fldChar w:fldCharType="end"/>
      </w:r>
    </w:p>
    <w:p w14:paraId="1F38BCE0" w14:textId="77777777" w:rsidR="00C850A5" w:rsidRPr="00F8387A" w:rsidRDefault="00C850A5" w:rsidP="00C850A5">
      <w:pPr>
        <w:rPr>
          <w:rFonts w:cs="Arial"/>
          <w:b/>
          <w:bCs/>
          <w:szCs w:val="20"/>
        </w:rPr>
      </w:pPr>
    </w:p>
    <w:p w14:paraId="5EB2AD3F" w14:textId="77777777" w:rsidR="00C850A5" w:rsidRPr="00486541" w:rsidRDefault="00C850A5" w:rsidP="0005405C">
      <w:pPr>
        <w:numPr>
          <w:ilvl w:val="0"/>
          <w:numId w:val="2"/>
        </w:numPr>
        <w:tabs>
          <w:tab w:val="left" w:pos="709"/>
        </w:tabs>
        <w:ind w:left="0" w:firstLine="0"/>
        <w:rPr>
          <w:rFonts w:cs="Arial"/>
          <w:b/>
          <w:bCs/>
          <w:szCs w:val="20"/>
        </w:rPr>
      </w:pPr>
      <w:r>
        <w:rPr>
          <w:b/>
        </w:rPr>
        <w:t xml:space="preserve">Środki dotyczące handlu towarami i </w:t>
      </w:r>
      <w:r w:rsidR="00463D31">
        <w:rPr>
          <w:b/>
        </w:rPr>
        <w:t>sprzętem</w:t>
      </w:r>
      <w:r w:rsidR="00931DD8" w:rsidRPr="00931DD8">
        <w:rPr>
          <w:b/>
        </w:rPr>
        <w:t xml:space="preserve"> </w:t>
      </w:r>
      <w:r w:rsidR="00931DD8">
        <w:rPr>
          <w:b/>
        </w:rPr>
        <w:t>z natury swojej abuzywnymi</w:t>
      </w:r>
    </w:p>
    <w:p w14:paraId="07AD3BDB" w14:textId="77777777" w:rsidR="00C850A5" w:rsidRPr="00F8387A" w:rsidRDefault="00C850A5" w:rsidP="00C850A5">
      <w:pPr>
        <w:rPr>
          <w:rFonts w:cs="Arial"/>
          <w:b/>
          <w:bCs/>
          <w:szCs w:val="20"/>
        </w:rPr>
      </w:pPr>
    </w:p>
    <w:p w14:paraId="1BDDFE9A" w14:textId="77777777" w:rsidR="00C850A5" w:rsidRPr="00F8387A" w:rsidRDefault="00C850A5" w:rsidP="005C6240">
      <w:pPr>
        <w:tabs>
          <w:tab w:val="left" w:pos="993"/>
        </w:tabs>
        <w:ind w:left="709"/>
        <w:rPr>
          <w:rFonts w:cs="Arial"/>
          <w:szCs w:val="20"/>
        </w:rPr>
      </w:pPr>
      <w:r>
        <w:t>1.1.</w:t>
      </w:r>
      <w:bookmarkStart w:id="7" w:name="_Hlk62685992"/>
      <w:r>
        <w:t xml:space="preserve"> Państwa członkowskie powinny zapewnić ustanowienie i w</w:t>
      </w:r>
      <w:r w:rsidR="00A46B25">
        <w:t>drożenie krajowych ram prawnych</w:t>
      </w:r>
      <w:r w:rsidR="00873115">
        <w:t xml:space="preserve"> </w:t>
      </w:r>
      <w:r>
        <w:t xml:space="preserve">i administracyjnych zakazujących przywozu, wywozu i tranzytu </w:t>
      </w:r>
      <w:r w:rsidR="00463D31">
        <w:t xml:space="preserve">sprzętu </w:t>
      </w:r>
      <w:r>
        <w:t>i towarów niemających innego praktycznego zastosowania niż wykonywanie kary śmierci, tortury bądź inne okrutne, nieludzkie lub poniżające traktowanie albo karanie, jak również świadczenia w stosunku do nich pomocy technicznej i prowadzenia w ich zakresie szkoleń</w:t>
      </w:r>
      <w:bookmarkEnd w:id="7"/>
      <w:r>
        <w:t>.</w:t>
      </w:r>
    </w:p>
    <w:p w14:paraId="2E7D1CB5" w14:textId="77777777" w:rsidR="00C850A5" w:rsidRPr="00F8387A" w:rsidRDefault="00C850A5" w:rsidP="0005405C">
      <w:pPr>
        <w:ind w:left="709"/>
        <w:rPr>
          <w:rFonts w:cs="Arial"/>
          <w:szCs w:val="20"/>
        </w:rPr>
      </w:pPr>
    </w:p>
    <w:p w14:paraId="10C31F87" w14:textId="77777777" w:rsidR="00C850A5" w:rsidRPr="00C850A5" w:rsidRDefault="00C850A5" w:rsidP="0005405C">
      <w:pPr>
        <w:tabs>
          <w:tab w:val="left" w:pos="993"/>
        </w:tabs>
        <w:ind w:left="709"/>
        <w:rPr>
          <w:rFonts w:cs="Arial"/>
          <w:bCs/>
          <w:szCs w:val="20"/>
        </w:rPr>
      </w:pPr>
      <w:r>
        <w:t>1.2.</w:t>
      </w:r>
      <w:bookmarkStart w:id="8" w:name="_Hlk62686034"/>
      <w:r>
        <w:t xml:space="preserve"> Państwa członkowskie powinny wprowadzić zakaz przywozu, wywozu i tranzytu na obsza</w:t>
      </w:r>
      <w:r w:rsidR="00A46B25">
        <w:t>r,</w:t>
      </w:r>
      <w:r w:rsidR="00873115">
        <w:t xml:space="preserve"> </w:t>
      </w:r>
      <w:r>
        <w:t xml:space="preserve">z obszaru i przez obszar swojej jurysdykcji towarów i </w:t>
      </w:r>
      <w:r w:rsidR="00463D31">
        <w:t>sprzętu</w:t>
      </w:r>
      <w:r>
        <w:t xml:space="preserve"> wzmiankowanych w wykazie wskazanym w punkcie 1.3 niemających innego praktycznego zastosowania niż wykonywanie kary śmierci, tortury bądź inne okrutne, nieludzkie lub poniżające traktowanie albo karanie</w:t>
      </w:r>
      <w:r w:rsidR="00793A8C">
        <w:t>,</w:t>
      </w:r>
      <w:r>
        <w:t xml:space="preserve"> oraz zapobiegać takim działaniom. Dodatkowo zakazane powinno być świadczenie pośrednictwa w zakresie wszelkich takich towarów i </w:t>
      </w:r>
      <w:r w:rsidR="00463D31">
        <w:t>sprzętu</w:t>
      </w:r>
      <w:r>
        <w:t xml:space="preserve"> przez obywateli i podmioty gospodarcze państw członkowskich, niezależnie od ich pochodzenia. W ramach wyjątku państwa członkowskie mogą wyrazić zgodę na przywóz, wywóz lub tranzyt towarów i </w:t>
      </w:r>
      <w:r w:rsidR="00463D31">
        <w:t>sprzętu</w:t>
      </w:r>
      <w:r>
        <w:t xml:space="preserve"> wzmiankowanych w wykazie wskazanym w punkcie 1.3, jeżeli można wykazać, iż będą one wykorzystywane wyłączn</w:t>
      </w:r>
      <w:r w:rsidR="00793A8C">
        <w:t xml:space="preserve">ie w </w:t>
      </w:r>
      <w:r>
        <w:t>celu publicznej ekspozycji w muzeum z uwagi na ich znaczenie</w:t>
      </w:r>
      <w:bookmarkEnd w:id="8"/>
      <w:r w:rsidR="00793A8C">
        <w:t xml:space="preserve"> historyczne</w:t>
      </w:r>
      <w:r>
        <w:t>.</w:t>
      </w:r>
    </w:p>
    <w:p w14:paraId="289D345E" w14:textId="77777777" w:rsidR="00C850A5" w:rsidRPr="00F8387A" w:rsidRDefault="00C850A5" w:rsidP="0005405C">
      <w:pPr>
        <w:ind w:left="709"/>
        <w:rPr>
          <w:rFonts w:cs="Arial"/>
          <w:szCs w:val="20"/>
        </w:rPr>
      </w:pPr>
    </w:p>
    <w:p w14:paraId="31EEC813" w14:textId="77777777" w:rsidR="00C850A5" w:rsidRPr="00F8387A" w:rsidRDefault="00C850A5" w:rsidP="0005405C">
      <w:pPr>
        <w:tabs>
          <w:tab w:val="left" w:pos="993"/>
        </w:tabs>
        <w:ind w:left="709"/>
        <w:rPr>
          <w:rFonts w:cs="Arial"/>
          <w:szCs w:val="20"/>
        </w:rPr>
      </w:pPr>
      <w:r>
        <w:lastRenderedPageBreak/>
        <w:t xml:space="preserve">1.3. </w:t>
      </w:r>
      <w:bookmarkStart w:id="9" w:name="_Hlk62686053"/>
      <w:r>
        <w:t xml:space="preserve">Państwa członkowskie powinny ustanowić wykaz zakazanych towarów i </w:t>
      </w:r>
      <w:r w:rsidR="00463D31">
        <w:t>sprzętu</w:t>
      </w:r>
      <w:r>
        <w:t xml:space="preserve"> obejmujący przynajmniej kategorie wyszczególnione w załączniku 1. Wykaz powinien być regularnie analizowany i aktualizowany w celu uwzględnienia zmian </w:t>
      </w:r>
      <w:r w:rsidR="002C4F54">
        <w:t xml:space="preserve">w </w:t>
      </w:r>
      <w:r w:rsidR="00747EBC">
        <w:t>rozwoju i charakterze</w:t>
      </w:r>
      <w:r>
        <w:t xml:space="preserve"> stosowania takiego </w:t>
      </w:r>
      <w:r w:rsidR="00463D31">
        <w:t>sprzętu</w:t>
      </w:r>
      <w:r>
        <w:t>, jak również zmian na odnośnych rynkach międzynarodowych</w:t>
      </w:r>
      <w:bookmarkEnd w:id="9"/>
      <w:r>
        <w:t>.</w:t>
      </w:r>
    </w:p>
    <w:p w14:paraId="307E5725" w14:textId="77777777" w:rsidR="00C850A5" w:rsidRPr="00F8387A" w:rsidRDefault="00C850A5" w:rsidP="0005405C">
      <w:pPr>
        <w:ind w:left="709"/>
        <w:rPr>
          <w:rFonts w:cs="Arial"/>
          <w:szCs w:val="20"/>
        </w:rPr>
      </w:pPr>
    </w:p>
    <w:p w14:paraId="79E202E6" w14:textId="77777777" w:rsidR="00C850A5" w:rsidRPr="00F8387A" w:rsidRDefault="00C850A5" w:rsidP="0005405C">
      <w:pPr>
        <w:tabs>
          <w:tab w:val="left" w:pos="993"/>
        </w:tabs>
        <w:ind w:left="709"/>
        <w:rPr>
          <w:rFonts w:cs="Arial"/>
          <w:szCs w:val="20"/>
        </w:rPr>
      </w:pPr>
      <w:r>
        <w:t xml:space="preserve">1.4. </w:t>
      </w:r>
      <w:bookmarkStart w:id="10" w:name="_Hlk62686068"/>
      <w:r>
        <w:t xml:space="preserve">Państwa członkowskie powinny zniszczyć wszelkie pozostające w ich jurysdykcji zapasy towarów i </w:t>
      </w:r>
      <w:r w:rsidR="00463D31">
        <w:t>sprzętu</w:t>
      </w:r>
      <w:r>
        <w:t xml:space="preserve"> wzmiankowanych w wykazie wskazanym w punkcie 1.3, chyba że będą one wykorzystywane w wyłącznym celu publicznej ekspozycji w muzeum z uwagi na ich znaczenie</w:t>
      </w:r>
      <w:bookmarkEnd w:id="10"/>
      <w:r w:rsidR="002C4F54" w:rsidRPr="002C4F54">
        <w:t xml:space="preserve"> </w:t>
      </w:r>
      <w:r w:rsidR="002C4F54">
        <w:t>historyczne</w:t>
      </w:r>
      <w:r>
        <w:t>.</w:t>
      </w:r>
    </w:p>
    <w:p w14:paraId="6E96374D" w14:textId="77777777" w:rsidR="00C850A5" w:rsidRPr="00F8387A" w:rsidRDefault="00C850A5" w:rsidP="00C850A5">
      <w:pPr>
        <w:ind w:left="426"/>
        <w:rPr>
          <w:rFonts w:cs="Arial"/>
          <w:b/>
          <w:szCs w:val="20"/>
        </w:rPr>
      </w:pPr>
    </w:p>
    <w:p w14:paraId="13D467A8" w14:textId="77777777" w:rsidR="00C850A5" w:rsidRPr="00F8387A" w:rsidRDefault="00C850A5" w:rsidP="005C6240">
      <w:pPr>
        <w:tabs>
          <w:tab w:val="left" w:pos="993"/>
        </w:tabs>
        <w:ind w:left="709"/>
        <w:rPr>
          <w:rFonts w:cs="Arial"/>
          <w:szCs w:val="20"/>
        </w:rPr>
      </w:pPr>
      <w:r>
        <w:t xml:space="preserve">1.5. </w:t>
      </w:r>
      <w:bookmarkStart w:id="11" w:name="_Hlk62686077"/>
      <w:r>
        <w:t>Państwa członkowskie powinny zapewnić, aby zakazan</w:t>
      </w:r>
      <w:r w:rsidR="00A46B25">
        <w:t xml:space="preserve">e było reklamowanie </w:t>
      </w:r>
      <w:r w:rsidR="00463D31">
        <w:t>sprzętu</w:t>
      </w:r>
      <w:r w:rsidR="00873115">
        <w:t xml:space="preserve"> </w:t>
      </w:r>
      <w:r>
        <w:t>i towarów, o których mowa w pkt 1.3, jakimikolwiek środkami, w tym za pomocą technologii teleinformatycznych, internetu, telewizji, radia, mediów drukowanych i na targach.</w:t>
      </w:r>
      <w:bookmarkEnd w:id="11"/>
    </w:p>
    <w:p w14:paraId="5699540C" w14:textId="77777777" w:rsidR="00C850A5" w:rsidRPr="00F8387A" w:rsidRDefault="00C850A5" w:rsidP="005C6240">
      <w:pPr>
        <w:ind w:left="709"/>
        <w:rPr>
          <w:rFonts w:cs="Arial"/>
          <w:szCs w:val="20"/>
        </w:rPr>
      </w:pPr>
    </w:p>
    <w:p w14:paraId="533A3D28" w14:textId="77777777" w:rsidR="00C850A5" w:rsidRPr="00F8387A" w:rsidRDefault="00C850A5" w:rsidP="005C6240">
      <w:pPr>
        <w:tabs>
          <w:tab w:val="left" w:pos="993"/>
        </w:tabs>
        <w:ind w:left="709"/>
        <w:rPr>
          <w:rFonts w:cs="Arial"/>
          <w:szCs w:val="20"/>
        </w:rPr>
      </w:pPr>
      <w:r>
        <w:t xml:space="preserve">1.6. Zakazane powinno być świadczenie pomocy technicznej w odniesieniu do jakichkolwiek zakazanych towarów i </w:t>
      </w:r>
      <w:r w:rsidR="00463D31">
        <w:t>sprzętu</w:t>
      </w:r>
      <w:r>
        <w:t xml:space="preserve">, w tym w zakresie naprawy, rozwoju, produkcji, testowania, utrzymania, montażu i wszelkich innych usług technicznych, z wyjątkiem procedur konserwacyjnych i zachowawczych w muzeach. Pomoc taka może przyjmować formę wskazówek, poradnictwa, działalności szkoleniowej oraz przekazywania wiedzy i umiejętności. Dodatkowo zakazane powinno być prowadzenie szkoleń w zakresie używania jakichkolwiek zakazanych towarów i </w:t>
      </w:r>
      <w:r w:rsidR="00463D31">
        <w:t>sprzętu</w:t>
      </w:r>
      <w:r>
        <w:t>.</w:t>
      </w:r>
    </w:p>
    <w:p w14:paraId="7C48F77A" w14:textId="77777777" w:rsidR="00C850A5" w:rsidRPr="00F8387A" w:rsidRDefault="00C850A5" w:rsidP="005C6240">
      <w:pPr>
        <w:ind w:left="709"/>
        <w:rPr>
          <w:rFonts w:cs="Arial"/>
          <w:szCs w:val="20"/>
        </w:rPr>
      </w:pPr>
    </w:p>
    <w:p w14:paraId="164AFC42" w14:textId="77777777" w:rsidR="00C850A5" w:rsidRDefault="00C850A5" w:rsidP="005C6240">
      <w:pPr>
        <w:tabs>
          <w:tab w:val="left" w:pos="993"/>
        </w:tabs>
        <w:ind w:left="709"/>
        <w:rPr>
          <w:rFonts w:cs="Arial"/>
          <w:szCs w:val="20"/>
        </w:rPr>
      </w:pPr>
      <w:r>
        <w:t>1.7. Państwa członkowskie powinny zapewnić istnienie skutecznych, proporcjonalnych</w:t>
      </w:r>
      <w:r w:rsidR="00873115">
        <w:t xml:space="preserve"> </w:t>
      </w:r>
      <w:r>
        <w:t>i zniechęcających sankcji za działania naruszające zakazy, o których mowa w pkt 1.2, 1.5 i 1.6.</w:t>
      </w:r>
    </w:p>
    <w:p w14:paraId="55BC2A0C" w14:textId="77777777" w:rsidR="00C850A5" w:rsidRPr="00F8387A" w:rsidRDefault="00C850A5" w:rsidP="00C850A5">
      <w:pPr>
        <w:rPr>
          <w:rFonts w:cs="Arial"/>
          <w:szCs w:val="20"/>
        </w:rPr>
      </w:pPr>
    </w:p>
    <w:p w14:paraId="2EA5DF6F" w14:textId="77777777" w:rsidR="00C850A5" w:rsidRPr="00893397" w:rsidRDefault="00C850A5" w:rsidP="005C6240">
      <w:pPr>
        <w:numPr>
          <w:ilvl w:val="0"/>
          <w:numId w:val="2"/>
        </w:numPr>
        <w:tabs>
          <w:tab w:val="left" w:pos="709"/>
        </w:tabs>
        <w:ind w:left="0" w:firstLine="0"/>
        <w:rPr>
          <w:rFonts w:cs="Arial"/>
          <w:b/>
          <w:szCs w:val="20"/>
        </w:rPr>
      </w:pPr>
      <w:r>
        <w:rPr>
          <w:b/>
        </w:rPr>
        <w:t xml:space="preserve">Środki dotyczące wywozu i tranzytu niektórych farmaceutycznych </w:t>
      </w:r>
      <w:r w:rsidR="00636459">
        <w:rPr>
          <w:b/>
        </w:rPr>
        <w:t>substancji chemicznych</w:t>
      </w:r>
    </w:p>
    <w:p w14:paraId="2C796D55" w14:textId="77777777" w:rsidR="00C850A5" w:rsidRPr="00F8387A" w:rsidRDefault="00C850A5" w:rsidP="00C850A5">
      <w:pPr>
        <w:rPr>
          <w:rFonts w:cs="Arial"/>
          <w:b/>
          <w:bCs/>
          <w:szCs w:val="20"/>
        </w:rPr>
      </w:pPr>
    </w:p>
    <w:p w14:paraId="49641EB5" w14:textId="77777777" w:rsidR="00C850A5" w:rsidRPr="004822CE" w:rsidRDefault="00C850A5" w:rsidP="005C6240">
      <w:pPr>
        <w:tabs>
          <w:tab w:val="left" w:pos="993"/>
        </w:tabs>
        <w:ind w:left="709"/>
        <w:rPr>
          <w:rFonts w:cs="Arial"/>
          <w:bCs/>
          <w:szCs w:val="20"/>
        </w:rPr>
      </w:pPr>
      <w:r>
        <w:t xml:space="preserve">2.1. Państwa członkowskie powinny regulować i objąć systemem zezwoleń wywóz i tranzyt niektórych </w:t>
      </w:r>
      <w:bookmarkStart w:id="12" w:name="_Hlk33423322"/>
      <w:r>
        <w:t xml:space="preserve">farmaceutycznych </w:t>
      </w:r>
      <w:r w:rsidR="00591224">
        <w:t xml:space="preserve">substancji chemicznych </w:t>
      </w:r>
      <w:r>
        <w:t xml:space="preserve">w celu wykluczenia ich przekazywania na użytek egzekucji metodą śmiertelnego zastrzyku </w:t>
      </w:r>
      <w:bookmarkEnd w:id="12"/>
      <w:r>
        <w:t>w państwach stosujących jeszcze karę śmierci. Działania państw członkowskich nie powinny ograniczać handlu tymi substancjami do celów medycznych, weterynaryjnych i innych u</w:t>
      </w:r>
      <w:r w:rsidR="00636459">
        <w:t>prawnionych</w:t>
      </w:r>
      <w:r>
        <w:t xml:space="preserve"> celów. </w:t>
      </w:r>
    </w:p>
    <w:p w14:paraId="20FAF4E0" w14:textId="77777777" w:rsidR="00C850A5" w:rsidRPr="004822CE" w:rsidRDefault="00C850A5" w:rsidP="005C6240">
      <w:pPr>
        <w:tabs>
          <w:tab w:val="left" w:pos="993"/>
        </w:tabs>
        <w:ind w:left="709"/>
        <w:rPr>
          <w:rFonts w:cs="Arial"/>
          <w:bCs/>
          <w:szCs w:val="20"/>
        </w:rPr>
      </w:pPr>
    </w:p>
    <w:p w14:paraId="5690F729" w14:textId="77777777" w:rsidR="00C850A5" w:rsidRPr="004822CE" w:rsidRDefault="00C850A5" w:rsidP="005C6240">
      <w:pPr>
        <w:tabs>
          <w:tab w:val="left" w:pos="993"/>
        </w:tabs>
        <w:ind w:left="709"/>
        <w:rPr>
          <w:rFonts w:cs="Arial"/>
          <w:bCs/>
          <w:szCs w:val="20"/>
        </w:rPr>
      </w:pPr>
      <w:r>
        <w:t>2.2. Regulacja powinna obejmować farmaceuty</w:t>
      </w:r>
      <w:r w:rsidR="00A46B25">
        <w:t xml:space="preserve">czne </w:t>
      </w:r>
      <w:r w:rsidR="00543224">
        <w:t xml:space="preserve">substancje chemiczne </w:t>
      </w:r>
      <w:r w:rsidR="00A46B25">
        <w:t>wymienione w załączniku 2,</w:t>
      </w:r>
      <w:r w:rsidR="00543224">
        <w:t xml:space="preserve"> </w:t>
      </w:r>
      <w:r>
        <w:t>a wykaz powinien być poddawany regularnym przeglądom, w razie konie</w:t>
      </w:r>
      <w:r w:rsidR="00A46B25">
        <w:t xml:space="preserve">czności </w:t>
      </w:r>
      <w:r w:rsidR="00543224">
        <w:t xml:space="preserve">zaś </w:t>
      </w:r>
      <w:r w:rsidR="00A46B25">
        <w:t>aktualizacjom</w:t>
      </w:r>
      <w:r w:rsidR="00543224">
        <w:t xml:space="preserve"> </w:t>
      </w:r>
      <w:r>
        <w:t>w celu uwzględnienia zmian w zakresie wytwarzania takich</w:t>
      </w:r>
      <w:r w:rsidR="00543224">
        <w:t xml:space="preserve"> substancji chemicznych</w:t>
      </w:r>
      <w:r>
        <w:t>, handlu nimi i ich zastosowań.</w:t>
      </w:r>
    </w:p>
    <w:p w14:paraId="1266CC2B" w14:textId="77777777" w:rsidR="00C850A5" w:rsidRPr="004822CE" w:rsidRDefault="00C850A5" w:rsidP="005C6240">
      <w:pPr>
        <w:tabs>
          <w:tab w:val="left" w:pos="993"/>
        </w:tabs>
        <w:ind w:left="709"/>
        <w:rPr>
          <w:rFonts w:cs="Arial"/>
          <w:bCs/>
          <w:szCs w:val="20"/>
        </w:rPr>
      </w:pPr>
    </w:p>
    <w:p w14:paraId="0CB35328" w14:textId="77777777" w:rsidR="00C850A5" w:rsidRPr="004822CE" w:rsidRDefault="00C850A5" w:rsidP="005C6240">
      <w:pPr>
        <w:tabs>
          <w:tab w:val="left" w:pos="993"/>
        </w:tabs>
        <w:ind w:left="709"/>
        <w:rPr>
          <w:rFonts w:cs="Arial"/>
          <w:bCs/>
          <w:szCs w:val="20"/>
        </w:rPr>
      </w:pPr>
      <w:r>
        <w:t>2.3. Państwa członkowskie powinny zapewnić istnienie skutecznych, proporcjonalnych i zniechęcających sankcji za działania naruszające regulacje, o których mowa w pkt 2.1.</w:t>
      </w:r>
    </w:p>
    <w:p w14:paraId="5689EE96" w14:textId="77777777" w:rsidR="00C850A5" w:rsidRPr="00F8387A" w:rsidRDefault="00C850A5" w:rsidP="00C850A5">
      <w:pPr>
        <w:rPr>
          <w:rFonts w:cs="Arial"/>
          <w:szCs w:val="20"/>
        </w:rPr>
      </w:pPr>
    </w:p>
    <w:p w14:paraId="0492CE28" w14:textId="77777777" w:rsidR="00C850A5" w:rsidRPr="00893397" w:rsidRDefault="00C850A5" w:rsidP="005C6240">
      <w:pPr>
        <w:numPr>
          <w:ilvl w:val="0"/>
          <w:numId w:val="2"/>
        </w:numPr>
        <w:tabs>
          <w:tab w:val="left" w:pos="709"/>
        </w:tabs>
        <w:ind w:left="0" w:firstLine="0"/>
        <w:rPr>
          <w:rFonts w:cs="Arial"/>
          <w:b/>
          <w:szCs w:val="20"/>
        </w:rPr>
      </w:pPr>
      <w:r>
        <w:rPr>
          <w:b/>
        </w:rPr>
        <w:t xml:space="preserve">Środki dotyczące handlu towarami i </w:t>
      </w:r>
      <w:r w:rsidR="00463D31">
        <w:rPr>
          <w:b/>
        </w:rPr>
        <w:t>sprzęt</w:t>
      </w:r>
      <w:r w:rsidR="00543224">
        <w:rPr>
          <w:b/>
        </w:rPr>
        <w:t>e</w:t>
      </w:r>
      <w:r>
        <w:rPr>
          <w:b/>
        </w:rPr>
        <w:t>m do egzekwowania prawa</w:t>
      </w:r>
    </w:p>
    <w:p w14:paraId="0EFB89F5" w14:textId="77777777" w:rsidR="00C850A5" w:rsidRPr="00F8387A" w:rsidRDefault="00C850A5" w:rsidP="00C850A5">
      <w:pPr>
        <w:rPr>
          <w:rFonts w:cs="Arial"/>
          <w:b/>
          <w:bCs/>
          <w:szCs w:val="20"/>
        </w:rPr>
      </w:pPr>
    </w:p>
    <w:p w14:paraId="62E84309" w14:textId="77777777" w:rsidR="00C850A5" w:rsidRPr="004822CE" w:rsidRDefault="00C850A5" w:rsidP="005C6240">
      <w:pPr>
        <w:tabs>
          <w:tab w:val="left" w:pos="993"/>
        </w:tabs>
        <w:ind w:left="709"/>
        <w:rPr>
          <w:rFonts w:cs="Arial"/>
          <w:bCs/>
          <w:szCs w:val="20"/>
        </w:rPr>
      </w:pPr>
      <w:r>
        <w:t xml:space="preserve">3.1. Państwa członkowskie powinny ustanowić skuteczne krajowe środki kontroli wywozu i tranzytu w odniesieniu do towarów i </w:t>
      </w:r>
      <w:r w:rsidR="00463D31">
        <w:t>sprzętu</w:t>
      </w:r>
      <w:r>
        <w:t xml:space="preserve"> </w:t>
      </w:r>
      <w:r w:rsidR="00543224">
        <w:t xml:space="preserve">służących </w:t>
      </w:r>
      <w:r>
        <w:t>do egzekwowania prawa, które mogą służyć u</w:t>
      </w:r>
      <w:r w:rsidR="00543224">
        <w:t>prawnionym</w:t>
      </w:r>
      <w:r>
        <w:t xml:space="preserve"> celom przy zastosowaniu zgodnym z międzynarodowymi i regionalnymi standardami praw człowieka oraz innymi </w:t>
      </w:r>
      <w:r w:rsidR="00543224">
        <w:t xml:space="preserve">właściwymi </w:t>
      </w:r>
      <w:r>
        <w:t xml:space="preserve">standardami dotyczącymi stosowania siły, lecz mogą być używane </w:t>
      </w:r>
      <w:r w:rsidR="00AF73B5">
        <w:t xml:space="preserve">niezgodnie z przeznaczeniem </w:t>
      </w:r>
      <w:r>
        <w:t xml:space="preserve">przez </w:t>
      </w:r>
      <w:r w:rsidR="00AF73B5">
        <w:t xml:space="preserve">funkcjonariuszy porządku prawnego </w:t>
      </w:r>
      <w:r>
        <w:t xml:space="preserve">i innych funkcjonariuszy do tortur i innego nieludzkiego lub poniżającego traktowania albo karania. </w:t>
      </w:r>
      <w:bookmarkStart w:id="13" w:name="_Hlk36715993"/>
      <w:r>
        <w:t xml:space="preserve">Do środków tych zaliczać się mogą: </w:t>
      </w:r>
    </w:p>
    <w:bookmarkEnd w:id="13"/>
    <w:p w14:paraId="0360919B" w14:textId="77777777" w:rsidR="00C850A5" w:rsidRPr="004822CE" w:rsidRDefault="00C850A5" w:rsidP="005C6240">
      <w:pPr>
        <w:tabs>
          <w:tab w:val="left" w:pos="993"/>
        </w:tabs>
        <w:ind w:left="709"/>
        <w:rPr>
          <w:rFonts w:cs="Arial"/>
          <w:bCs/>
          <w:szCs w:val="20"/>
        </w:rPr>
      </w:pPr>
    </w:p>
    <w:p w14:paraId="2ABE98EA" w14:textId="77777777" w:rsidR="00C850A5" w:rsidRPr="004822CE" w:rsidRDefault="00C850A5" w:rsidP="00E34018">
      <w:pPr>
        <w:tabs>
          <w:tab w:val="left" w:pos="993"/>
        </w:tabs>
        <w:ind w:left="1418"/>
        <w:rPr>
          <w:rFonts w:cs="Arial"/>
          <w:bCs/>
          <w:szCs w:val="20"/>
        </w:rPr>
      </w:pPr>
      <w:r w:rsidRPr="00840A79">
        <w:t>3.1.1. objęcie</w:t>
      </w:r>
      <w:r>
        <w:t xml:space="preserve"> kontrolą wywozu i tranzytu takich towarów i </w:t>
      </w:r>
      <w:r w:rsidR="00463D31">
        <w:t>sprzętu</w:t>
      </w:r>
      <w:r>
        <w:t xml:space="preserve"> przez system zezwoleń, o którym mowa w pkt 3.2;</w:t>
      </w:r>
    </w:p>
    <w:p w14:paraId="6CFD05EC" w14:textId="77777777" w:rsidR="00C850A5" w:rsidRPr="004822CE" w:rsidRDefault="00C850A5" w:rsidP="00E34018">
      <w:pPr>
        <w:tabs>
          <w:tab w:val="left" w:pos="993"/>
        </w:tabs>
        <w:ind w:left="1418"/>
        <w:rPr>
          <w:rFonts w:cs="Arial"/>
          <w:bCs/>
          <w:szCs w:val="20"/>
        </w:rPr>
      </w:pPr>
    </w:p>
    <w:p w14:paraId="41D9226D" w14:textId="77777777" w:rsidR="00C850A5" w:rsidRPr="004822CE" w:rsidRDefault="00C850A5" w:rsidP="00E34018">
      <w:pPr>
        <w:tabs>
          <w:tab w:val="left" w:pos="993"/>
        </w:tabs>
        <w:ind w:left="1418"/>
        <w:rPr>
          <w:rFonts w:cs="Arial"/>
          <w:bCs/>
          <w:szCs w:val="20"/>
        </w:rPr>
      </w:pPr>
      <w:r>
        <w:t xml:space="preserve">3.1.2. ustanowienie wykazu kontrolowanych towarów i </w:t>
      </w:r>
      <w:r w:rsidR="00463D31">
        <w:t>sprzętu</w:t>
      </w:r>
      <w:r>
        <w:t xml:space="preserve"> obejmującego przynajmniej kategorie wyszczególnione w załączniku 3. Wykaz powinien być regularnie analizowany w celu uwzględnienia zmian </w:t>
      </w:r>
      <w:r w:rsidR="00840A79">
        <w:t xml:space="preserve">w </w:t>
      </w:r>
      <w:r>
        <w:t>rozwoju i charakt</w:t>
      </w:r>
      <w:r w:rsidR="00747EBC">
        <w:t>erze</w:t>
      </w:r>
      <w:r>
        <w:t xml:space="preserve"> stosowania takich towarów </w:t>
      </w:r>
      <w:r w:rsidR="00840A79">
        <w:t xml:space="preserve">i </w:t>
      </w:r>
      <w:r w:rsidR="00463D31">
        <w:t>sprzętu</w:t>
      </w:r>
      <w:r>
        <w:t>, jak również zmian na odnośnych rynkach międzynarodowych;</w:t>
      </w:r>
    </w:p>
    <w:p w14:paraId="420A7475" w14:textId="77777777" w:rsidR="00C850A5" w:rsidRPr="004822CE" w:rsidRDefault="00C850A5" w:rsidP="00E34018">
      <w:pPr>
        <w:tabs>
          <w:tab w:val="left" w:pos="993"/>
        </w:tabs>
        <w:ind w:left="1418"/>
        <w:rPr>
          <w:rFonts w:cs="Arial"/>
          <w:bCs/>
          <w:szCs w:val="20"/>
        </w:rPr>
      </w:pPr>
    </w:p>
    <w:p w14:paraId="26228393" w14:textId="77777777" w:rsidR="00C850A5" w:rsidRPr="004822CE" w:rsidRDefault="00C850A5" w:rsidP="00E34018">
      <w:pPr>
        <w:tabs>
          <w:tab w:val="left" w:pos="993"/>
        </w:tabs>
        <w:ind w:left="1418"/>
        <w:rPr>
          <w:rFonts w:cs="Arial"/>
          <w:bCs/>
          <w:szCs w:val="20"/>
        </w:rPr>
      </w:pPr>
      <w:r>
        <w:t xml:space="preserve">3.1.3. objęcie kontrolą świadczenia pomocy technicznej i szkoleń w zakresie używania towarów i </w:t>
      </w:r>
      <w:r w:rsidR="00463D31">
        <w:t>sprzętu</w:t>
      </w:r>
      <w:r>
        <w:t>, o których mowa w pkt 3.1.2;</w:t>
      </w:r>
    </w:p>
    <w:p w14:paraId="151E546E" w14:textId="77777777" w:rsidR="00C850A5" w:rsidRPr="004822CE" w:rsidRDefault="00C850A5" w:rsidP="00E34018">
      <w:pPr>
        <w:tabs>
          <w:tab w:val="left" w:pos="993"/>
        </w:tabs>
        <w:ind w:left="1418"/>
        <w:rPr>
          <w:rFonts w:cs="Arial"/>
          <w:bCs/>
          <w:szCs w:val="20"/>
        </w:rPr>
      </w:pPr>
    </w:p>
    <w:p w14:paraId="4799B203" w14:textId="77777777" w:rsidR="00C850A5" w:rsidRPr="004822CE" w:rsidRDefault="00C850A5" w:rsidP="00E34018">
      <w:pPr>
        <w:tabs>
          <w:tab w:val="left" w:pos="993"/>
        </w:tabs>
        <w:ind w:left="1418"/>
        <w:rPr>
          <w:rFonts w:cs="Arial"/>
          <w:bCs/>
          <w:szCs w:val="20"/>
        </w:rPr>
      </w:pPr>
      <w:r>
        <w:t xml:space="preserve">3.1.4. objęcie kontrolą świadczenia usług pośrednictwa w zakresie towarów i </w:t>
      </w:r>
      <w:r w:rsidR="00463D31">
        <w:t>sprzętu</w:t>
      </w:r>
      <w:r>
        <w:t>, o których mowa w pakt 3.1.2;</w:t>
      </w:r>
    </w:p>
    <w:p w14:paraId="6E4F03D0" w14:textId="77777777" w:rsidR="00C850A5" w:rsidRPr="004822CE" w:rsidRDefault="00C850A5" w:rsidP="00E34018">
      <w:pPr>
        <w:tabs>
          <w:tab w:val="left" w:pos="993"/>
        </w:tabs>
        <w:ind w:left="1418"/>
        <w:rPr>
          <w:rFonts w:cs="Arial"/>
          <w:bCs/>
          <w:szCs w:val="20"/>
        </w:rPr>
      </w:pPr>
    </w:p>
    <w:p w14:paraId="685243E3" w14:textId="77777777" w:rsidR="00C850A5" w:rsidRPr="004822CE" w:rsidRDefault="00C850A5" w:rsidP="00E34018">
      <w:pPr>
        <w:tabs>
          <w:tab w:val="left" w:pos="993"/>
        </w:tabs>
        <w:ind w:left="1418"/>
        <w:rPr>
          <w:rFonts w:cs="Arial"/>
          <w:bCs/>
          <w:szCs w:val="20"/>
        </w:rPr>
      </w:pPr>
      <w:r>
        <w:lastRenderedPageBreak/>
        <w:t>3.1.5. zapewnienie istnienia skutecznych, proporcjonalnych i zniechęcających sankcji za działania naruszające środki kontroli, o których mowa w pkt 3.1.1, 3.1.3 i 3.1.4.</w:t>
      </w:r>
    </w:p>
    <w:p w14:paraId="37034916" w14:textId="77777777" w:rsidR="00C850A5" w:rsidRPr="00F8387A" w:rsidRDefault="00C850A5" w:rsidP="005C6240">
      <w:pPr>
        <w:ind w:left="709"/>
        <w:rPr>
          <w:rFonts w:eastAsiaTheme="minorHAnsi" w:cs="Arial"/>
          <w:b/>
          <w:szCs w:val="20"/>
        </w:rPr>
      </w:pPr>
    </w:p>
    <w:p w14:paraId="1417A0DE" w14:textId="77777777" w:rsidR="00C850A5" w:rsidRPr="00F8387A" w:rsidRDefault="00C850A5" w:rsidP="005C6240">
      <w:pPr>
        <w:ind w:left="709"/>
        <w:rPr>
          <w:rFonts w:eastAsiaTheme="minorHAnsi" w:cs="Arial"/>
          <w:iCs/>
          <w:szCs w:val="20"/>
        </w:rPr>
      </w:pPr>
      <w:r>
        <w:t xml:space="preserve">3.2. Państwa członkowskie powinny ustanowić skutecznie środki krajowe dotyczące objęcia towarów i </w:t>
      </w:r>
      <w:r w:rsidR="00463D31">
        <w:t>sprzętu</w:t>
      </w:r>
      <w:r>
        <w:t xml:space="preserve">, o których mowa w pkt </w:t>
      </w:r>
      <w:r w:rsidR="00840A79">
        <w:t>3.</w:t>
      </w:r>
      <w:r>
        <w:t>1</w:t>
      </w:r>
      <w:r w:rsidR="00840A79">
        <w:t>,</w:t>
      </w:r>
      <w:r>
        <w:t xml:space="preserve"> systemem zezwoleń, na przykład: </w:t>
      </w:r>
    </w:p>
    <w:p w14:paraId="69833040" w14:textId="77777777" w:rsidR="00C850A5" w:rsidRPr="00F8387A" w:rsidRDefault="00C850A5" w:rsidP="005C6240">
      <w:pPr>
        <w:ind w:left="709"/>
        <w:contextualSpacing/>
        <w:rPr>
          <w:rFonts w:eastAsiaTheme="minorHAnsi" w:cs="Arial"/>
          <w:b/>
          <w:szCs w:val="20"/>
        </w:rPr>
      </w:pPr>
    </w:p>
    <w:p w14:paraId="68DEEBA7" w14:textId="77777777" w:rsidR="00C850A5" w:rsidRPr="00F8387A" w:rsidRDefault="00C850A5" w:rsidP="00E34018">
      <w:pPr>
        <w:autoSpaceDE w:val="0"/>
        <w:autoSpaceDN w:val="0"/>
        <w:adjustRightInd w:val="0"/>
        <w:ind w:left="1418"/>
        <w:rPr>
          <w:rFonts w:eastAsiaTheme="minorHAnsi" w:cs="Arial"/>
          <w:szCs w:val="20"/>
        </w:rPr>
      </w:pPr>
      <w:r>
        <w:t>3.2.1. udzielanie</w:t>
      </w:r>
      <w:r>
        <w:rPr>
          <w:i/>
          <w:iCs/>
        </w:rPr>
        <w:t xml:space="preserve"> ad casum</w:t>
      </w:r>
      <w:r>
        <w:t xml:space="preserve"> zezwoleń na wywóz towaró</w:t>
      </w:r>
      <w:r w:rsidR="00A46B25">
        <w:t xml:space="preserve">w i </w:t>
      </w:r>
      <w:r w:rsidR="00463D31">
        <w:t>sprzętu</w:t>
      </w:r>
      <w:r w:rsidR="00A46B25">
        <w:t>, o których mowa</w:t>
      </w:r>
      <w:r w:rsidR="00873115">
        <w:t xml:space="preserve"> </w:t>
      </w:r>
      <w:r>
        <w:t xml:space="preserve">w pkt 3.1.2. Odnośne zezwolenie powinno być wydawane jedynie po przedstawieniu szczegółowego wniosku potencjalnego eksportera zawierającego zaświadczenie o końcowym przeznaczeniu bądź równoważne pisemne zapewnienie pochodzące od zamierzonego odbiorcy bądź go dotyczące, z wyszczególnieniem charakteru i ilości towarów, użytkownika końcowego i charakteru zamierzonego zastosowania. Nie jest wymagane zezwolenie na wywozy do krajów trzecich, jeżeli towary i </w:t>
      </w:r>
      <w:r w:rsidR="00463D31">
        <w:t>sprzęt</w:t>
      </w:r>
      <w:r>
        <w:t xml:space="preserve"> mają być używane przez personel wojskowy albo cywilny państ</w:t>
      </w:r>
      <w:r w:rsidR="00A46B25">
        <w:t>wa członkowskiego</w:t>
      </w:r>
      <w:r w:rsidR="00E8041E">
        <w:t>, które uczestnicz</w:t>
      </w:r>
      <w:r w:rsidR="00A46B25">
        <w:t>y</w:t>
      </w:r>
      <w:r w:rsidR="00E8041E">
        <w:t xml:space="preserve"> </w:t>
      </w:r>
      <w:r>
        <w:t xml:space="preserve">w operacji pokojowej bądź zarządzania kryzysowego Narodów Zjednoczonych albo organizacji regionalnej w danym kraju trzecim albo w operacji znajdującej oparcie w umowach zawartych między państwami członkowskimi a państwami trzecimi w dziedzinie obronności, z przeznaczeniem do użycia przez personel odnośnego państwa członkowskiego. Właściwe organy powinny skontrolować, czy warunek ten został spełniony. Wywóz nie może nastąpić w czasie trwania takiej kontroli; </w:t>
      </w:r>
    </w:p>
    <w:p w14:paraId="4B034ECB" w14:textId="77777777" w:rsidR="00C850A5" w:rsidRPr="00F8387A" w:rsidRDefault="00C850A5" w:rsidP="005C6240">
      <w:pPr>
        <w:autoSpaceDE w:val="0"/>
        <w:autoSpaceDN w:val="0"/>
        <w:adjustRightInd w:val="0"/>
        <w:ind w:left="709"/>
        <w:rPr>
          <w:rFonts w:eastAsiaTheme="minorHAnsi" w:cs="Arial"/>
          <w:szCs w:val="20"/>
        </w:rPr>
      </w:pPr>
    </w:p>
    <w:p w14:paraId="58F29584" w14:textId="77777777" w:rsidR="00C850A5" w:rsidRPr="00F8387A" w:rsidRDefault="00C850A5" w:rsidP="00E34018">
      <w:pPr>
        <w:ind w:left="1418"/>
        <w:rPr>
          <w:rFonts w:eastAsiaTheme="minorHAnsi" w:cs="Arial"/>
          <w:szCs w:val="20"/>
        </w:rPr>
      </w:pPr>
      <w:r>
        <w:t xml:space="preserve">3.2.2. zapewnienie, aby ocena wniosków o udzielenie zezwolenia na wywóz albo </w:t>
      </w:r>
      <w:r w:rsidR="00EF6917">
        <w:t>tranzyt obejmowała ocenę ryzyka przekazania lub użycia towarów</w:t>
      </w:r>
      <w:r>
        <w:t xml:space="preserve"> i </w:t>
      </w:r>
      <w:r w:rsidR="00463D31">
        <w:t>sprzęt</w:t>
      </w:r>
      <w:r w:rsidR="00EF6917">
        <w:t>u</w:t>
      </w:r>
      <w:r>
        <w:t xml:space="preserve">, o których mowa w pkt 3.1.2., do celów tortur bądź innego okrutnego, nieludzkiego lub poniżającego traktowania albo karania; Ocena ta powinna uwzględniać stosowne wyroki sądów międzynarodowych oraz informacje przekazywane przez właściwe autorytatywne organy międzynarodowe i krajowe na temat zastosowania i regulacji towarów i </w:t>
      </w:r>
      <w:r w:rsidR="00463D31">
        <w:t>sprzętu</w:t>
      </w:r>
      <w:r>
        <w:t xml:space="preserve"> przez proponowanych użytkowników końcowych; do pozostałych istotnych informacji możliwych do uwzględnienia zaliczają się wyroki sądów krajowych, sprawozdania i inne informacje opracowane przez organizacje społeczeństwa obywatelskiego oraz informacje na temat ograniczeń wywozu towaró</w:t>
      </w:r>
      <w:r w:rsidR="00A46B25">
        <w:t xml:space="preserve">w i </w:t>
      </w:r>
      <w:r w:rsidR="00463D31">
        <w:t>sprzętu</w:t>
      </w:r>
      <w:r w:rsidR="00A46B25">
        <w:t>, o których mowa</w:t>
      </w:r>
      <w:r w:rsidR="00EF6917">
        <w:t xml:space="preserve"> </w:t>
      </w:r>
      <w:r>
        <w:t>w załącznikach 1 i 3</w:t>
      </w:r>
      <w:r w:rsidR="00EF6917">
        <w:t>,</w:t>
      </w:r>
      <w:r>
        <w:t xml:space="preserve"> stosowanych w kraju przeznaczenia;</w:t>
      </w:r>
    </w:p>
    <w:p w14:paraId="6D5EC5A3" w14:textId="77777777" w:rsidR="00C850A5" w:rsidRPr="00F8387A" w:rsidRDefault="00C850A5" w:rsidP="00E34018">
      <w:pPr>
        <w:autoSpaceDE w:val="0"/>
        <w:autoSpaceDN w:val="0"/>
        <w:adjustRightInd w:val="0"/>
        <w:ind w:left="1418"/>
        <w:rPr>
          <w:rFonts w:eastAsiaTheme="minorHAnsi" w:cs="Arial"/>
          <w:b/>
          <w:szCs w:val="20"/>
        </w:rPr>
      </w:pPr>
    </w:p>
    <w:p w14:paraId="67D0F280" w14:textId="77777777" w:rsidR="00C850A5" w:rsidRPr="00F8387A" w:rsidRDefault="00C850A5" w:rsidP="00E34018">
      <w:pPr>
        <w:autoSpaceDE w:val="0"/>
        <w:autoSpaceDN w:val="0"/>
        <w:adjustRightInd w:val="0"/>
        <w:ind w:left="1418"/>
        <w:rPr>
          <w:rFonts w:eastAsiaTheme="minorHAnsi" w:cs="Arial"/>
          <w:szCs w:val="20"/>
        </w:rPr>
      </w:pPr>
      <w:r>
        <w:t xml:space="preserve">3.2.3. zapewnienie wstrzymania zezwolenia na wywóz, gdy zachodzą uzasadnione podstawy, by sądzić, że wnioskowane </w:t>
      </w:r>
      <w:r w:rsidR="00463D31">
        <w:t>sprzęt</w:t>
      </w:r>
      <w:r>
        <w:t xml:space="preserve"> i towary zostaną użyte do tortur</w:t>
      </w:r>
      <w:r w:rsidR="00A46B25">
        <w:br/>
      </w:r>
      <w:r>
        <w:t>i innego okrutnego, nieludzkiego lub poniżającego traktowania albo karania;</w:t>
      </w:r>
    </w:p>
    <w:p w14:paraId="55F4151B" w14:textId="77777777" w:rsidR="00C850A5" w:rsidRPr="00F8387A" w:rsidRDefault="00C850A5" w:rsidP="00E34018">
      <w:pPr>
        <w:autoSpaceDE w:val="0"/>
        <w:autoSpaceDN w:val="0"/>
        <w:adjustRightInd w:val="0"/>
        <w:ind w:left="1418"/>
        <w:rPr>
          <w:rFonts w:eastAsiaTheme="minorHAnsi" w:cs="Arial"/>
          <w:szCs w:val="20"/>
        </w:rPr>
      </w:pPr>
    </w:p>
    <w:p w14:paraId="0FDA8946" w14:textId="77777777" w:rsidR="00C850A5" w:rsidRPr="00F8387A" w:rsidRDefault="00C850A5" w:rsidP="00E34018">
      <w:pPr>
        <w:autoSpaceDE w:val="0"/>
        <w:autoSpaceDN w:val="0"/>
        <w:adjustRightInd w:val="0"/>
        <w:ind w:left="1418"/>
        <w:rPr>
          <w:rFonts w:eastAsiaTheme="minorHAnsi" w:cs="Arial"/>
          <w:szCs w:val="20"/>
        </w:rPr>
      </w:pPr>
      <w:r>
        <w:t xml:space="preserve">3.2.4. cofnięcie zezwolenia na wywóz w toku, jeżeli zachodzą uzasadnione podstawy, by sądzić, że przekazywane towary i </w:t>
      </w:r>
      <w:r w:rsidR="00463D31">
        <w:t>sprzęt</w:t>
      </w:r>
      <w:r>
        <w:t xml:space="preserve"> były, są lub istnieje ryzyko, że zostaną użyte do tortur i innego okrutnego, nieludzkiego lub poniżającego traktowania albo karania bądź taka zmiana ich przeznaczenia jest prawdopodobna;</w:t>
      </w:r>
      <w:bookmarkStart w:id="14" w:name="_Hlk35261118"/>
    </w:p>
    <w:bookmarkEnd w:id="14"/>
    <w:p w14:paraId="4DD0FB73" w14:textId="77777777" w:rsidR="00C850A5" w:rsidRPr="00F8387A" w:rsidRDefault="00C850A5" w:rsidP="00E34018">
      <w:pPr>
        <w:autoSpaceDE w:val="0"/>
        <w:autoSpaceDN w:val="0"/>
        <w:adjustRightInd w:val="0"/>
        <w:ind w:left="1418"/>
        <w:rPr>
          <w:rFonts w:eastAsiaTheme="minorHAnsi" w:cs="Arial"/>
          <w:szCs w:val="20"/>
        </w:rPr>
      </w:pPr>
    </w:p>
    <w:p w14:paraId="654B4D62" w14:textId="77777777" w:rsidR="00C850A5" w:rsidRPr="00F8387A" w:rsidRDefault="00C850A5" w:rsidP="00E34018">
      <w:pPr>
        <w:autoSpaceDE w:val="0"/>
        <w:autoSpaceDN w:val="0"/>
        <w:adjustRightInd w:val="0"/>
        <w:ind w:left="1418"/>
        <w:rPr>
          <w:rFonts w:eastAsiaTheme="minorHAnsi" w:cs="Arial"/>
          <w:bCs/>
          <w:szCs w:val="20"/>
        </w:rPr>
      </w:pPr>
      <w:r>
        <w:t xml:space="preserve">3.2.5. zapewnienie zakazu tranzytu towarów i </w:t>
      </w:r>
      <w:r w:rsidR="00463D31">
        <w:t>sprzętu</w:t>
      </w:r>
      <w:r>
        <w:t xml:space="preserve">, o których mowa w pkt 3.1.2, gdy osoba, podmiot lub organ wykonujące tranzyt wiedzą, że jakakolwiek część dostawy takich towarów i </w:t>
      </w:r>
      <w:r w:rsidR="00463D31">
        <w:t>sprzętu</w:t>
      </w:r>
      <w:r>
        <w:t xml:space="preserve"> zamierzona jest do użycia na cele tortur i innego okrutnego, nieludzkiego lub poniżającego traktowania albo karania;</w:t>
      </w:r>
    </w:p>
    <w:p w14:paraId="14E483F1" w14:textId="77777777" w:rsidR="00C850A5" w:rsidRPr="00F8387A" w:rsidRDefault="00C850A5" w:rsidP="00E34018">
      <w:pPr>
        <w:autoSpaceDE w:val="0"/>
        <w:autoSpaceDN w:val="0"/>
        <w:adjustRightInd w:val="0"/>
        <w:ind w:left="1418"/>
        <w:rPr>
          <w:rFonts w:eastAsiaTheme="minorHAnsi" w:cs="Arial"/>
          <w:szCs w:val="20"/>
        </w:rPr>
      </w:pPr>
    </w:p>
    <w:p w14:paraId="1DA67823" w14:textId="77777777" w:rsidR="00C850A5" w:rsidRPr="00F8387A" w:rsidRDefault="00C850A5" w:rsidP="00E34018">
      <w:pPr>
        <w:autoSpaceDE w:val="0"/>
        <w:autoSpaceDN w:val="0"/>
        <w:adjustRightInd w:val="0"/>
        <w:ind w:left="1418"/>
        <w:rPr>
          <w:rFonts w:eastAsiaTheme="minorHAnsi" w:cs="Arial"/>
          <w:szCs w:val="20"/>
        </w:rPr>
      </w:pPr>
      <w:r>
        <w:t xml:space="preserve">3.2.6. prowadzenie </w:t>
      </w:r>
      <w:r w:rsidR="007F1706">
        <w:t>ewidencji</w:t>
      </w:r>
      <w:r>
        <w:t xml:space="preserve"> wszelkich zezwoleń na wywóz, zgód na tranzyt, zezwoleń na świadczenie usług pośrednictwa, odnośnych szkoleń i pomocy technicznej; </w:t>
      </w:r>
    </w:p>
    <w:p w14:paraId="165BAA6A" w14:textId="77777777" w:rsidR="00C850A5" w:rsidRPr="00F8387A" w:rsidRDefault="00C850A5" w:rsidP="00E34018">
      <w:pPr>
        <w:ind w:left="1418"/>
        <w:rPr>
          <w:rFonts w:cs="Arial"/>
          <w:szCs w:val="20"/>
        </w:rPr>
      </w:pPr>
    </w:p>
    <w:p w14:paraId="55A553DD" w14:textId="77777777" w:rsidR="00C850A5" w:rsidRPr="00F8387A" w:rsidRDefault="00C850A5" w:rsidP="00E34018">
      <w:pPr>
        <w:ind w:left="1418"/>
        <w:rPr>
          <w:rFonts w:cs="Arial"/>
          <w:szCs w:val="20"/>
        </w:rPr>
      </w:pPr>
      <w:r>
        <w:t>3.2.7. publikowanie rocznego krajowego sprawozdania z działalności obejmującego informacje na temat liczby otrzymanych wniosków, objętych nimi towarów i krajów oraz podjętych w ich sprawie decyzji;</w:t>
      </w:r>
    </w:p>
    <w:p w14:paraId="428F1755" w14:textId="77777777" w:rsidR="00C850A5" w:rsidRPr="00F8387A" w:rsidRDefault="00C850A5" w:rsidP="00E34018">
      <w:pPr>
        <w:ind w:left="1418"/>
        <w:rPr>
          <w:rFonts w:cs="Arial"/>
          <w:szCs w:val="20"/>
        </w:rPr>
      </w:pPr>
    </w:p>
    <w:p w14:paraId="067EEDC0" w14:textId="77777777" w:rsidR="00C850A5" w:rsidRDefault="00C850A5" w:rsidP="00E34018">
      <w:pPr>
        <w:ind w:left="1418"/>
        <w:rPr>
          <w:rFonts w:cs="Arial"/>
          <w:szCs w:val="20"/>
        </w:rPr>
      </w:pPr>
      <w:r>
        <w:t>3.2.8. wymiana informacji z państwami członkowski</w:t>
      </w:r>
      <w:r w:rsidR="00A46B25">
        <w:t>mi Rady Europy na temat decyzji</w:t>
      </w:r>
      <w:r w:rsidR="00873115">
        <w:t xml:space="preserve"> </w:t>
      </w:r>
      <w:r>
        <w:t xml:space="preserve">w przedmiocie zezwoleń (liczba wniosków, odnośne typy towarów i </w:t>
      </w:r>
      <w:r w:rsidR="00463D31">
        <w:t>sprzętu</w:t>
      </w:r>
      <w:r>
        <w:t xml:space="preserve"> oraz kraje) oraz, zależnie od dostępności, rzeczywistych wywozów.</w:t>
      </w:r>
    </w:p>
    <w:p w14:paraId="4E73985F" w14:textId="77777777" w:rsidR="00C850A5" w:rsidRPr="00F8387A" w:rsidRDefault="00C850A5" w:rsidP="0005405C">
      <w:pPr>
        <w:rPr>
          <w:rFonts w:cs="Arial"/>
          <w:szCs w:val="20"/>
        </w:rPr>
      </w:pPr>
    </w:p>
    <w:p w14:paraId="43A94223" w14:textId="77777777" w:rsidR="00C850A5" w:rsidRPr="00893397" w:rsidRDefault="00C850A5" w:rsidP="005C6240">
      <w:pPr>
        <w:numPr>
          <w:ilvl w:val="0"/>
          <w:numId w:val="2"/>
        </w:numPr>
        <w:tabs>
          <w:tab w:val="left" w:pos="709"/>
        </w:tabs>
        <w:ind w:left="0" w:firstLine="0"/>
        <w:rPr>
          <w:rFonts w:cs="Arial"/>
          <w:b/>
          <w:szCs w:val="20"/>
        </w:rPr>
      </w:pPr>
      <w:r>
        <w:rPr>
          <w:b/>
        </w:rPr>
        <w:t xml:space="preserve">Wymiana i upowszechnianie informacji oraz współpraca </w:t>
      </w:r>
    </w:p>
    <w:p w14:paraId="4F5B1972" w14:textId="77777777" w:rsidR="00C850A5" w:rsidRPr="00F8387A" w:rsidRDefault="00C850A5" w:rsidP="00893397">
      <w:pPr>
        <w:rPr>
          <w:rFonts w:cs="Arial"/>
          <w:b/>
          <w:bCs/>
          <w:szCs w:val="20"/>
        </w:rPr>
      </w:pPr>
    </w:p>
    <w:p w14:paraId="74EC175B" w14:textId="77777777" w:rsidR="00C850A5" w:rsidRDefault="00C850A5" w:rsidP="00C850A5">
      <w:pPr>
        <w:rPr>
          <w:rFonts w:cs="Arial"/>
          <w:bCs/>
          <w:szCs w:val="20"/>
        </w:rPr>
      </w:pPr>
      <w:r>
        <w:t xml:space="preserve">Państwa członkowskie powinny korzystać z platformy internetowej Rady Europy poświęconej prawom człowieka i biznesowi do wymiany informacji i najlepszych praktyk, z wyraźnym uwzględnieniem upowszechniania odnośnych przepisów krajowych i związanych z nimi procedur administracyjnych w celu ułatwienia zarówno skutecznego wdrożenia środków na szczeblu krajowym, jak i współpracy międzynarodowej. Platforma i związane z nią środki mogą ułatwiać upowszechnianie informacji w </w:t>
      </w:r>
      <w:r>
        <w:lastRenderedPageBreak/>
        <w:t xml:space="preserve">środowisku przedsiębiorców i wśród innych kluczowych zainteresowanych stron w celu budowania świadomości </w:t>
      </w:r>
      <w:r w:rsidR="00D47925">
        <w:t xml:space="preserve">na temat </w:t>
      </w:r>
      <w:r>
        <w:t xml:space="preserve">spoczywających na nich odnośnych obowiązków oraz mechanizmów i środków ustanowionych na rzecz regulacji handlu </w:t>
      </w:r>
      <w:r w:rsidR="00463D31">
        <w:t>sprzęt</w:t>
      </w:r>
      <w:r w:rsidR="00AF73B5">
        <w:t>e</w:t>
      </w:r>
      <w:r>
        <w:t>m do egzekwow</w:t>
      </w:r>
      <w:r w:rsidR="00A46B25">
        <w:t>ania prawa i odnośnymi towarami</w:t>
      </w:r>
      <w:r w:rsidR="00873115">
        <w:t xml:space="preserve"> </w:t>
      </w:r>
      <w:r>
        <w:t>w celu zapobieżenia ich użyciu do wykonywania kary śmierci, tortur oraz innego okrutnego, nieludzkiego lub poniżającego traktowania i karania.</w:t>
      </w:r>
    </w:p>
    <w:p w14:paraId="2049024F" w14:textId="77777777" w:rsidR="00C850A5" w:rsidRPr="00F8387A" w:rsidRDefault="00C850A5" w:rsidP="00893397">
      <w:pPr>
        <w:rPr>
          <w:rFonts w:cs="Arial"/>
          <w:bCs/>
          <w:szCs w:val="20"/>
        </w:rPr>
      </w:pPr>
    </w:p>
    <w:p w14:paraId="2BEA5B1B" w14:textId="77777777" w:rsidR="00C850A5" w:rsidRPr="005C6240" w:rsidRDefault="00C850A5" w:rsidP="005C6240">
      <w:pPr>
        <w:numPr>
          <w:ilvl w:val="0"/>
          <w:numId w:val="2"/>
        </w:numPr>
        <w:tabs>
          <w:tab w:val="left" w:pos="709"/>
        </w:tabs>
        <w:ind w:left="0" w:firstLine="0"/>
        <w:rPr>
          <w:rFonts w:cs="Arial"/>
          <w:b/>
          <w:szCs w:val="20"/>
        </w:rPr>
      </w:pPr>
      <w:r>
        <w:rPr>
          <w:b/>
        </w:rPr>
        <w:t xml:space="preserve">Wsparcie dla państw </w:t>
      </w:r>
      <w:r w:rsidR="00786566">
        <w:rPr>
          <w:b/>
        </w:rPr>
        <w:t>niebędących członkami Rady Europy</w:t>
      </w:r>
      <w:r>
        <w:rPr>
          <w:b/>
        </w:rPr>
        <w:t xml:space="preserve"> </w:t>
      </w:r>
    </w:p>
    <w:p w14:paraId="58B5DC72" w14:textId="77777777" w:rsidR="00C850A5" w:rsidRPr="00F8387A" w:rsidRDefault="00C850A5" w:rsidP="00C850A5">
      <w:pPr>
        <w:ind w:left="425"/>
        <w:rPr>
          <w:rFonts w:eastAsiaTheme="minorHAnsi" w:cs="Arial"/>
          <w:b/>
          <w:bCs/>
          <w:szCs w:val="20"/>
        </w:rPr>
      </w:pPr>
    </w:p>
    <w:p w14:paraId="53D6DFBF" w14:textId="77777777" w:rsidR="00C850A5" w:rsidRPr="00F8387A" w:rsidRDefault="00C850A5" w:rsidP="005C6240">
      <w:pPr>
        <w:ind w:left="709"/>
        <w:rPr>
          <w:rFonts w:cs="Arial"/>
          <w:szCs w:val="20"/>
        </w:rPr>
      </w:pPr>
      <w:r>
        <w:t xml:space="preserve">5.1. Państwa członkowskie powinny zachęcać państwa </w:t>
      </w:r>
      <w:r w:rsidR="00786566">
        <w:t xml:space="preserve">niebędące członkami </w:t>
      </w:r>
      <w:r>
        <w:t xml:space="preserve">do wdrażania środków podobnych do określonych w niniejszym Zaleceniu i innych odnośnych standardów międzynarodowych regulujących handel towarami i </w:t>
      </w:r>
      <w:r w:rsidR="00463D31">
        <w:t>sprzęt</w:t>
      </w:r>
      <w:r w:rsidR="00AF73B5">
        <w:t>e</w:t>
      </w:r>
      <w:r>
        <w:t>m do egzekwowania prawa w celu zapobieżenia ich użyciu do wykonywania kary śmierci, tortur oraz innego okrutnego, nieludzkiego lub poniżającego traktowania i karania, w szczególności przez tworzenie partnerstw oraz oferowanie innych form wsparcia we wdrażaniu tych standardów.</w:t>
      </w:r>
    </w:p>
    <w:p w14:paraId="75529686" w14:textId="77777777" w:rsidR="00C850A5" w:rsidRPr="00F8387A" w:rsidRDefault="00C850A5" w:rsidP="005C6240">
      <w:pPr>
        <w:ind w:left="709"/>
        <w:rPr>
          <w:rFonts w:cs="Arial"/>
          <w:szCs w:val="20"/>
          <w:lang w:eastAsia="fr-FR"/>
        </w:rPr>
      </w:pPr>
    </w:p>
    <w:p w14:paraId="7C658158" w14:textId="77777777" w:rsidR="00E56573" w:rsidRDefault="00E56573">
      <w:pPr>
        <w:rPr>
          <w:rFonts w:cs="Arial"/>
          <w:bCs/>
          <w:szCs w:val="20"/>
        </w:rPr>
      </w:pPr>
    </w:p>
    <w:p w14:paraId="5D20181C" w14:textId="77777777" w:rsidR="00C850A5" w:rsidRPr="00F8387A" w:rsidRDefault="00C850A5" w:rsidP="005C6240">
      <w:pPr>
        <w:ind w:left="709"/>
        <w:rPr>
          <w:rFonts w:cs="Arial"/>
          <w:szCs w:val="20"/>
        </w:rPr>
      </w:pPr>
      <w:r>
        <w:t xml:space="preserve">5.2. Państwa członkowskie powinny służyć radą i wsparciem państwom </w:t>
      </w:r>
      <w:r w:rsidR="00786566">
        <w:t>niebędący</w:t>
      </w:r>
      <w:r>
        <w:t>m</w:t>
      </w:r>
      <w:r w:rsidR="00786566">
        <w:t xml:space="preserve"> członkami</w:t>
      </w:r>
      <w:r>
        <w:t xml:space="preserve"> pragnącym wzmocnić swoje systemy regulacji handlu towarami i </w:t>
      </w:r>
      <w:r w:rsidR="00463D31">
        <w:t>sprzęt</w:t>
      </w:r>
      <w:r w:rsidR="00AF73B5">
        <w:t>e</w:t>
      </w:r>
      <w:r w:rsidR="00A46B25">
        <w:t xml:space="preserve">m </w:t>
      </w:r>
      <w:r w:rsidR="005C69F0">
        <w:t xml:space="preserve">służącymi </w:t>
      </w:r>
      <w:r w:rsidR="00A46B25">
        <w:t>do egzekwowania prawa</w:t>
      </w:r>
      <w:r w:rsidR="00873115">
        <w:t xml:space="preserve"> </w:t>
      </w:r>
      <w:r>
        <w:t>w celu zapobieżenia ich użyciu do wykonywania kary śmierci, tortur oraz innego okrutnego, nieludzkiego lub poniżającego traktowania i karania.</w:t>
      </w:r>
    </w:p>
    <w:p w14:paraId="3349CFDA" w14:textId="77777777" w:rsidR="00C850A5" w:rsidRPr="00F8387A" w:rsidRDefault="00C850A5" w:rsidP="005C6240">
      <w:pPr>
        <w:ind w:left="709"/>
        <w:rPr>
          <w:rFonts w:cs="Arial"/>
          <w:szCs w:val="20"/>
          <w:lang w:eastAsia="fr-FR"/>
        </w:rPr>
      </w:pPr>
    </w:p>
    <w:p w14:paraId="31B7A454" w14:textId="77777777" w:rsidR="00C850A5" w:rsidRPr="00F8387A" w:rsidRDefault="00C850A5" w:rsidP="005C6240">
      <w:pPr>
        <w:ind w:left="709"/>
        <w:rPr>
          <w:rFonts w:cs="Arial"/>
          <w:szCs w:val="20"/>
        </w:rPr>
      </w:pPr>
      <w:r>
        <w:t xml:space="preserve">5.3. Państwa członkowskie powinny udostępniać za pośrednictwem przedstawicielstw dyplomatycznych i konsularnych w państwach </w:t>
      </w:r>
      <w:r w:rsidR="00786566">
        <w:t>niebędących członkami</w:t>
      </w:r>
      <w:r>
        <w:t xml:space="preserve"> informacje na temat skutków </w:t>
      </w:r>
      <w:r w:rsidR="005C69F0">
        <w:t xml:space="preserve">dla praw człowieka </w:t>
      </w:r>
      <w:r>
        <w:t xml:space="preserve">handlu towarami i </w:t>
      </w:r>
      <w:r w:rsidR="00463D31">
        <w:t>sprzęt</w:t>
      </w:r>
      <w:r w:rsidR="00AF73B5">
        <w:t>e</w:t>
      </w:r>
      <w:r>
        <w:t>m, które mogłyby zostać użyte do stosowania tortur i innego okrutnego, nieludzkiego lub poniżającego traktowania i karania.</w:t>
      </w:r>
    </w:p>
    <w:p w14:paraId="6D2804F4" w14:textId="77777777" w:rsidR="00C850A5" w:rsidRPr="00F8387A" w:rsidRDefault="00C850A5" w:rsidP="00C850A5">
      <w:pPr>
        <w:rPr>
          <w:rFonts w:cs="Arial"/>
          <w:szCs w:val="20"/>
          <w:lang w:eastAsia="fr-FR"/>
        </w:rPr>
      </w:pPr>
    </w:p>
    <w:p w14:paraId="3352E7B2" w14:textId="77777777" w:rsidR="00C850A5" w:rsidRPr="005C6240" w:rsidRDefault="00C850A5" w:rsidP="005C6240">
      <w:pPr>
        <w:numPr>
          <w:ilvl w:val="0"/>
          <w:numId w:val="2"/>
        </w:numPr>
        <w:tabs>
          <w:tab w:val="left" w:pos="709"/>
        </w:tabs>
        <w:ind w:left="0" w:firstLine="0"/>
        <w:rPr>
          <w:rFonts w:cs="Arial"/>
          <w:b/>
          <w:szCs w:val="20"/>
        </w:rPr>
      </w:pPr>
      <w:r>
        <w:rPr>
          <w:b/>
        </w:rPr>
        <w:t xml:space="preserve">Działalność w innych organizacjach międzynarodowych </w:t>
      </w:r>
    </w:p>
    <w:p w14:paraId="0E8F769A" w14:textId="77777777" w:rsidR="00893397" w:rsidRDefault="00893397" w:rsidP="00893397">
      <w:pPr>
        <w:rPr>
          <w:rFonts w:eastAsiaTheme="minorHAnsi" w:cs="Arial"/>
          <w:b/>
          <w:bCs/>
          <w:szCs w:val="20"/>
        </w:rPr>
      </w:pPr>
    </w:p>
    <w:p w14:paraId="30C5AABE" w14:textId="77777777" w:rsidR="00C850A5" w:rsidRPr="00F8387A" w:rsidRDefault="00C850A5" w:rsidP="005C6240">
      <w:pPr>
        <w:ind w:left="709"/>
        <w:rPr>
          <w:rFonts w:cs="Arial"/>
          <w:szCs w:val="20"/>
        </w:rPr>
      </w:pPr>
      <w:r>
        <w:t>6.1. Państwa członkowskie powinny promować na stosownych forach międzynarodowych działania przeciwko handlowi towarami używanymi do wykonywania kary śmierci, tortur lub innego okrutnego, nieludzkiego lub poniżającego traktowania albo karania. Szczególną uwagę poświęcić należy procedurom ONZ mającym na celu zbadanie wykonalności i zakresu różnych wariantów ustanowienia w tym obszarze wspólnych standardów międzynarodowych, w szczególności na drodze prawnie wiążącego dokumentu.</w:t>
      </w:r>
    </w:p>
    <w:p w14:paraId="2A3408BA" w14:textId="77777777" w:rsidR="00C850A5" w:rsidRPr="00F8387A" w:rsidRDefault="00C850A5" w:rsidP="005C6240">
      <w:pPr>
        <w:ind w:left="709"/>
        <w:rPr>
          <w:rFonts w:cs="Arial"/>
          <w:szCs w:val="20"/>
        </w:rPr>
      </w:pPr>
    </w:p>
    <w:p w14:paraId="293F88E9" w14:textId="77777777" w:rsidR="00C850A5" w:rsidRPr="00F8387A" w:rsidRDefault="00C850A5" w:rsidP="005C6240">
      <w:pPr>
        <w:ind w:left="709"/>
        <w:rPr>
          <w:rFonts w:cs="Arial"/>
          <w:szCs w:val="20"/>
        </w:rPr>
      </w:pPr>
      <w:r>
        <w:t xml:space="preserve">6.2. O ile jeszcze tego nie uczyniły, państwa członkowskie powinny dołączyć do </w:t>
      </w:r>
      <w:r w:rsidR="005C69F0">
        <w:t xml:space="preserve">Sojuszu </w:t>
      </w:r>
      <w:r>
        <w:t xml:space="preserve">na rzecz zwalczania handlu narzędziami tortur, </w:t>
      </w:r>
      <w:r w:rsidR="005C69F0">
        <w:t>oraz wykorzystywać i rozwijać jego sieć</w:t>
      </w:r>
      <w:r>
        <w:t xml:space="preserve"> punktów kontaktowych do wymiany informacji i najlepszych praktyk oraz, zależnie od okoliczności, świadczenia i otrzymywania pomocy technicznej w obszarze opracowywania i wdrażania stosownych przepisów krajowych. </w:t>
      </w:r>
    </w:p>
    <w:p w14:paraId="0574151C" w14:textId="77777777" w:rsidR="00C850A5" w:rsidRPr="00F8387A" w:rsidRDefault="00C850A5" w:rsidP="00C850A5">
      <w:pPr>
        <w:rPr>
          <w:rFonts w:cs="Arial"/>
          <w:szCs w:val="20"/>
        </w:rPr>
      </w:pPr>
    </w:p>
    <w:p w14:paraId="515A8B11" w14:textId="77777777" w:rsidR="00C850A5" w:rsidRDefault="00C850A5" w:rsidP="00C850A5">
      <w:pPr>
        <w:rPr>
          <w:rFonts w:eastAsiaTheme="minorHAnsi" w:cs="Arial"/>
          <w:bCs/>
          <w:szCs w:val="20"/>
          <w:u w:val="single"/>
        </w:rPr>
      </w:pPr>
      <w:r>
        <w:rPr>
          <w:u w:val="single"/>
        </w:rPr>
        <w:t>Załącznik 1</w:t>
      </w:r>
    </w:p>
    <w:p w14:paraId="1995F859" w14:textId="77777777" w:rsidR="00C850A5" w:rsidRPr="00F8387A" w:rsidRDefault="00C850A5" w:rsidP="00C850A5">
      <w:pPr>
        <w:rPr>
          <w:rFonts w:eastAsiaTheme="minorHAnsi" w:cs="Arial"/>
          <w:bCs/>
          <w:szCs w:val="20"/>
          <w:u w:val="single"/>
        </w:rPr>
      </w:pPr>
    </w:p>
    <w:p w14:paraId="29653AC3" w14:textId="77777777" w:rsidR="00C850A5" w:rsidRDefault="00C850A5" w:rsidP="00C850A5">
      <w:pPr>
        <w:rPr>
          <w:rFonts w:eastAsiaTheme="minorHAnsi" w:cs="Arial"/>
          <w:b/>
          <w:szCs w:val="20"/>
        </w:rPr>
      </w:pPr>
      <w:r>
        <w:rPr>
          <w:b/>
        </w:rPr>
        <w:t xml:space="preserve">Lista zakazanych towarów i </w:t>
      </w:r>
      <w:r w:rsidR="00463D31">
        <w:rPr>
          <w:b/>
        </w:rPr>
        <w:t>sprzętu</w:t>
      </w:r>
      <w:r>
        <w:rPr>
          <w:b/>
        </w:rPr>
        <w:t xml:space="preserve"> </w:t>
      </w:r>
      <w:r w:rsidR="005C69F0">
        <w:rPr>
          <w:b/>
        </w:rPr>
        <w:t>z natury swojej abuzywnych</w:t>
      </w:r>
    </w:p>
    <w:p w14:paraId="2B8C08CF" w14:textId="77777777" w:rsidR="00C850A5" w:rsidRPr="00F8387A" w:rsidRDefault="00C850A5" w:rsidP="00C850A5">
      <w:pPr>
        <w:rPr>
          <w:rFonts w:eastAsiaTheme="minorHAnsi" w:cs="Arial"/>
          <w:b/>
          <w:szCs w:val="20"/>
        </w:rPr>
      </w:pPr>
    </w:p>
    <w:p w14:paraId="363AA8FE" w14:textId="77777777" w:rsidR="00C850A5" w:rsidRPr="00F8387A" w:rsidRDefault="00C850A5" w:rsidP="00C850A5">
      <w:pPr>
        <w:rPr>
          <w:rFonts w:eastAsiaTheme="minorHAnsi" w:cs="Arial"/>
          <w:szCs w:val="20"/>
        </w:rPr>
      </w:pPr>
      <w:r>
        <w:t xml:space="preserve">Abuzywne z natury towary i </w:t>
      </w:r>
      <w:r w:rsidR="00463D31">
        <w:t>sprzęt</w:t>
      </w:r>
      <w:r>
        <w:t xml:space="preserve"> to między innymi:</w:t>
      </w:r>
    </w:p>
    <w:p w14:paraId="0371F02B" w14:textId="77777777" w:rsidR="00C850A5" w:rsidRPr="00F8387A" w:rsidRDefault="00C850A5" w:rsidP="00E34018">
      <w:pPr>
        <w:ind w:left="1418" w:hanging="709"/>
        <w:rPr>
          <w:rFonts w:eastAsiaTheme="minorHAnsi" w:cs="Arial"/>
          <w:szCs w:val="20"/>
        </w:rPr>
      </w:pPr>
    </w:p>
    <w:p w14:paraId="45175792" w14:textId="77777777" w:rsidR="00C850A5" w:rsidRDefault="00E34018" w:rsidP="00E34018">
      <w:pPr>
        <w:ind w:left="1418" w:hanging="709"/>
      </w:pPr>
      <w:r>
        <w:t>i.</w:t>
      </w:r>
      <w:r>
        <w:tab/>
        <w:t>szubienice, gilotyny, ostrza gilotyn, komory gazowe, krzesła elektryczne oraz automatyczne systemy aplikowania śmiertelnych zastrzyków zaprojektowane do wykonywania kary śmierci;</w:t>
      </w:r>
    </w:p>
    <w:p w14:paraId="2B874D7D" w14:textId="77777777" w:rsidR="00C850A5" w:rsidRPr="00F8387A" w:rsidRDefault="00C850A5" w:rsidP="00E34018">
      <w:pPr>
        <w:ind w:left="1418" w:hanging="709"/>
      </w:pPr>
    </w:p>
    <w:p w14:paraId="00B478E6" w14:textId="77777777" w:rsidR="00C850A5" w:rsidRDefault="00E34018" w:rsidP="00E34018">
      <w:pPr>
        <w:ind w:left="1418" w:hanging="709"/>
      </w:pPr>
      <w:r>
        <w:t>ii.</w:t>
      </w:r>
      <w:r>
        <w:tab/>
        <w:t>kajdanki na kciuki, kajdanki na palce, śruby do zgniatania kciuków, obręcze do krępowania nóg połączone prętem; kajdanki do krępowania ludzi zaprojektowane w celu przytwierdzenia ich do ściany, podłogi lub sufitu; urządzenia z obciążeniem do krępowania nóg; zespoły łańcuchów składające się z obręczy do krępowania nóg połączonych prętem lub urządzeń z obciążeniem do krępowania nóg, krzesła i ław</w:t>
      </w:r>
      <w:r w:rsidR="00A46B25">
        <w:t>y do krępowania</w:t>
      </w:r>
      <w:r w:rsidR="00873115">
        <w:t xml:space="preserve"> </w:t>
      </w:r>
      <w:r>
        <w:t>z metalowymi narzędziami ograniczającymi swobodę ruchu; łóżka-klatki i łóżka z siatką;</w:t>
      </w:r>
    </w:p>
    <w:p w14:paraId="268EC3C8" w14:textId="77777777" w:rsidR="00C850A5" w:rsidRPr="00F8387A" w:rsidRDefault="00C850A5" w:rsidP="00E34018">
      <w:pPr>
        <w:ind w:left="1418" w:hanging="709"/>
      </w:pPr>
    </w:p>
    <w:p w14:paraId="4DF99A49" w14:textId="77777777" w:rsidR="00C850A5" w:rsidRDefault="00E34018" w:rsidP="00E34018">
      <w:pPr>
        <w:ind w:left="1418" w:hanging="709"/>
      </w:pPr>
      <w:r>
        <w:t>iii.</w:t>
      </w:r>
      <w:r>
        <w:tab/>
        <w:t>kije lub pałki nabijane kolcami oraz tarcze z metalowymi kolcami, baty splecione z wielu rzemieni bądź z jednym albo więcej rzemieniami wyposażonymi w zadziory, haczyki, kolce, metalowe druty lub podobne elementy zwiększające siłę rzemienia;</w:t>
      </w:r>
    </w:p>
    <w:p w14:paraId="7BA0C48F" w14:textId="77777777" w:rsidR="00C850A5" w:rsidRPr="00F8387A" w:rsidRDefault="00C850A5" w:rsidP="00E34018">
      <w:pPr>
        <w:ind w:left="1418" w:hanging="709"/>
      </w:pPr>
    </w:p>
    <w:p w14:paraId="61A1A8F8" w14:textId="77777777" w:rsidR="00C850A5" w:rsidRDefault="00E34018" w:rsidP="00E34018">
      <w:pPr>
        <w:ind w:left="1418" w:hanging="709"/>
      </w:pPr>
      <w:r>
        <w:t>iv.</w:t>
      </w:r>
      <w:r>
        <w:tab/>
        <w:t xml:space="preserve">urządzenia do elektrowstrząsów zakładane na ciało, takie jak pasy, rękawy i kajdanki zaprojektowane w celu krępowania ludzi poprzez poddawanie wstrząsom elektrycznym. </w:t>
      </w:r>
    </w:p>
    <w:p w14:paraId="11DC1839" w14:textId="77777777" w:rsidR="00C850A5" w:rsidRPr="00E56573" w:rsidRDefault="00C850A5" w:rsidP="004F6496">
      <w:pPr>
        <w:autoSpaceDE w:val="0"/>
        <w:autoSpaceDN w:val="0"/>
        <w:adjustRightInd w:val="0"/>
        <w:spacing w:after="720"/>
        <w:rPr>
          <w:rFonts w:cs="Arial"/>
          <w:szCs w:val="20"/>
        </w:rPr>
      </w:pPr>
    </w:p>
    <w:p w14:paraId="439A0C49" w14:textId="77777777" w:rsidR="00C850A5" w:rsidRDefault="00C850A5" w:rsidP="00C850A5">
      <w:pPr>
        <w:rPr>
          <w:rFonts w:eastAsiaTheme="minorHAnsi" w:cs="Arial"/>
          <w:bCs/>
          <w:szCs w:val="20"/>
          <w:u w:val="single"/>
        </w:rPr>
      </w:pPr>
      <w:r>
        <w:rPr>
          <w:u w:val="single"/>
        </w:rPr>
        <w:lastRenderedPageBreak/>
        <w:t>Załącznik 2</w:t>
      </w:r>
    </w:p>
    <w:p w14:paraId="07D63499" w14:textId="77777777" w:rsidR="00C850A5" w:rsidRPr="00F8387A" w:rsidRDefault="00C850A5" w:rsidP="00C850A5">
      <w:pPr>
        <w:rPr>
          <w:rFonts w:eastAsiaTheme="minorHAnsi" w:cs="Arial"/>
          <w:bCs/>
          <w:szCs w:val="20"/>
          <w:u w:val="single"/>
        </w:rPr>
      </w:pPr>
    </w:p>
    <w:p w14:paraId="3FAC9086" w14:textId="77777777" w:rsidR="00C850A5" w:rsidRDefault="00C850A5" w:rsidP="00C850A5">
      <w:pPr>
        <w:ind w:right="-23"/>
        <w:outlineLvl w:val="1"/>
        <w:rPr>
          <w:rFonts w:eastAsiaTheme="minorHAnsi" w:cs="Arial"/>
          <w:b/>
          <w:szCs w:val="20"/>
        </w:rPr>
      </w:pPr>
      <w:r>
        <w:rPr>
          <w:b/>
        </w:rPr>
        <w:t xml:space="preserve">Wykaz farmaceutycznych </w:t>
      </w:r>
      <w:r w:rsidR="000E575F">
        <w:rPr>
          <w:b/>
        </w:rPr>
        <w:t xml:space="preserve">substancji chemicznych </w:t>
      </w:r>
      <w:r>
        <w:rPr>
          <w:b/>
        </w:rPr>
        <w:t>stosowanych do egzekucji metodą śmiertelnego zastrzyku</w:t>
      </w:r>
    </w:p>
    <w:p w14:paraId="5A312E55" w14:textId="77777777" w:rsidR="00C850A5" w:rsidRPr="00F8387A" w:rsidRDefault="00C850A5" w:rsidP="00C850A5">
      <w:pPr>
        <w:ind w:right="-23"/>
        <w:outlineLvl w:val="1"/>
        <w:rPr>
          <w:rFonts w:eastAsiaTheme="minorHAnsi" w:cs="Arial"/>
          <w:b/>
          <w:szCs w:val="20"/>
        </w:rPr>
      </w:pPr>
    </w:p>
    <w:p w14:paraId="2BCB61ED" w14:textId="77777777" w:rsidR="00C850A5" w:rsidRPr="00F8387A" w:rsidRDefault="00C850A5" w:rsidP="00C850A5">
      <w:pPr>
        <w:ind w:right="-23"/>
        <w:outlineLvl w:val="1"/>
        <w:rPr>
          <w:rFonts w:eastAsiaTheme="minorHAnsi" w:cs="Arial"/>
          <w:szCs w:val="20"/>
        </w:rPr>
      </w:pPr>
      <w:r>
        <w:t>Produkty, które mogłyby być użyte do przeprowadzania egzekucji ludzi poprzez podanie śmiertelnego zastrzyku, mianowicie:</w:t>
      </w:r>
    </w:p>
    <w:p w14:paraId="34787BEB" w14:textId="77777777" w:rsidR="00C850A5" w:rsidRPr="00F8387A" w:rsidRDefault="00C850A5" w:rsidP="00C850A5">
      <w:pPr>
        <w:ind w:right="-23"/>
        <w:outlineLvl w:val="1"/>
        <w:rPr>
          <w:rFonts w:eastAsiaTheme="minorHAnsi" w:cs="Arial"/>
          <w:szCs w:val="20"/>
        </w:rPr>
      </w:pPr>
    </w:p>
    <w:p w14:paraId="0D36B067" w14:textId="77777777" w:rsidR="00C850A5" w:rsidRPr="00F8387A" w:rsidRDefault="00C850A5" w:rsidP="00C850A5">
      <w:pPr>
        <w:ind w:right="-23"/>
        <w:outlineLvl w:val="1"/>
        <w:rPr>
          <w:rFonts w:eastAsiaTheme="minorHAnsi" w:cs="Arial"/>
          <w:szCs w:val="20"/>
        </w:rPr>
      </w:pPr>
      <w:r>
        <w:t>krótko</w:t>
      </w:r>
      <w:r w:rsidR="004F6496">
        <w:t>-</w:t>
      </w:r>
      <w:r>
        <w:t xml:space="preserve"> lub średniodługo działające barbituranowe środki znieczulające, między innymi:</w:t>
      </w:r>
    </w:p>
    <w:p w14:paraId="061A2495" w14:textId="77777777" w:rsidR="00C850A5" w:rsidRPr="00F8387A" w:rsidRDefault="00C850A5" w:rsidP="00C850A5">
      <w:pPr>
        <w:ind w:right="-23"/>
        <w:outlineLvl w:val="1"/>
        <w:rPr>
          <w:rFonts w:eastAsiaTheme="minorHAnsi" w:cs="Arial"/>
          <w:szCs w:val="20"/>
        </w:rPr>
      </w:pPr>
    </w:p>
    <w:p w14:paraId="33FA0E58" w14:textId="77777777" w:rsidR="00C850A5" w:rsidRPr="00191571" w:rsidRDefault="00E34018" w:rsidP="00E34018">
      <w:pPr>
        <w:ind w:left="1418" w:hanging="709"/>
        <w:rPr>
          <w:lang w:val="fr-FR"/>
        </w:rPr>
      </w:pPr>
      <w:r w:rsidRPr="00191571">
        <w:rPr>
          <w:lang w:val="fr-FR"/>
        </w:rPr>
        <w:t>i.</w:t>
      </w:r>
      <w:r w:rsidRPr="00191571">
        <w:rPr>
          <w:lang w:val="fr-FR"/>
        </w:rPr>
        <w:tab/>
        <w:t>amobarbital (CAS RN 57-43-2);</w:t>
      </w:r>
    </w:p>
    <w:p w14:paraId="1B0511E0" w14:textId="77777777" w:rsidR="00C850A5" w:rsidRPr="00191571" w:rsidRDefault="00E34018" w:rsidP="00E34018">
      <w:pPr>
        <w:ind w:left="1418" w:hanging="709"/>
        <w:rPr>
          <w:lang w:val="fr-FR"/>
        </w:rPr>
      </w:pPr>
      <w:r w:rsidRPr="00191571">
        <w:rPr>
          <w:lang w:val="fr-FR"/>
        </w:rPr>
        <w:t>ii.</w:t>
      </w:r>
      <w:r w:rsidRPr="00191571">
        <w:rPr>
          <w:lang w:val="fr-FR"/>
        </w:rPr>
        <w:tab/>
        <w:t>sól sodowa amobarbitalu (CAS RN 64-43-7);</w:t>
      </w:r>
    </w:p>
    <w:p w14:paraId="2C8B71ED" w14:textId="77777777" w:rsidR="00C850A5" w:rsidRPr="00191571" w:rsidRDefault="00E34018" w:rsidP="00E34018">
      <w:pPr>
        <w:ind w:left="1418" w:hanging="709"/>
        <w:rPr>
          <w:lang w:val="fr-FR"/>
        </w:rPr>
      </w:pPr>
      <w:r w:rsidRPr="00191571">
        <w:rPr>
          <w:lang w:val="fr-FR"/>
        </w:rPr>
        <w:t>iii.</w:t>
      </w:r>
      <w:r w:rsidRPr="00191571">
        <w:rPr>
          <w:lang w:val="fr-FR"/>
        </w:rPr>
        <w:tab/>
        <w:t>pentobarbital (CAS RN 76-74-4);</w:t>
      </w:r>
    </w:p>
    <w:p w14:paraId="7C9E69BC" w14:textId="77777777" w:rsidR="00C850A5" w:rsidRPr="00191571" w:rsidRDefault="00E34018" w:rsidP="00E34018">
      <w:pPr>
        <w:ind w:left="1418" w:hanging="709"/>
        <w:rPr>
          <w:lang w:val="fr-FR"/>
        </w:rPr>
      </w:pPr>
      <w:r w:rsidRPr="00191571">
        <w:rPr>
          <w:lang w:val="fr-FR"/>
        </w:rPr>
        <w:t>iv.</w:t>
      </w:r>
      <w:r w:rsidRPr="00191571">
        <w:rPr>
          <w:lang w:val="fr-FR"/>
        </w:rPr>
        <w:tab/>
        <w:t>sól sodowa pentobarbitalu (CAS 57-33-0);</w:t>
      </w:r>
    </w:p>
    <w:p w14:paraId="644B4CED" w14:textId="77777777" w:rsidR="00C850A5" w:rsidRPr="00191571" w:rsidRDefault="00E34018" w:rsidP="00E34018">
      <w:pPr>
        <w:ind w:left="1418" w:hanging="709"/>
        <w:rPr>
          <w:lang w:val="fr-FR"/>
        </w:rPr>
      </w:pPr>
      <w:r w:rsidRPr="00191571">
        <w:rPr>
          <w:lang w:val="fr-FR"/>
        </w:rPr>
        <w:t>v.</w:t>
      </w:r>
      <w:r w:rsidRPr="00191571">
        <w:rPr>
          <w:lang w:val="fr-FR"/>
        </w:rPr>
        <w:tab/>
        <w:t xml:space="preserve">sekobarbital (CAS RN 76-73-3); </w:t>
      </w:r>
    </w:p>
    <w:p w14:paraId="37D31536" w14:textId="77777777" w:rsidR="00C850A5" w:rsidRPr="00191571" w:rsidRDefault="00E34018" w:rsidP="00E34018">
      <w:pPr>
        <w:ind w:left="1418" w:hanging="709"/>
        <w:rPr>
          <w:lang w:val="fr-FR"/>
        </w:rPr>
      </w:pPr>
      <w:r w:rsidRPr="00191571">
        <w:rPr>
          <w:lang w:val="fr-FR"/>
        </w:rPr>
        <w:t>vi.</w:t>
      </w:r>
      <w:r w:rsidRPr="00191571">
        <w:rPr>
          <w:lang w:val="fr-FR"/>
        </w:rPr>
        <w:tab/>
        <w:t>sól sodowa sekobarbitalu (CAS RN 309-43-3);</w:t>
      </w:r>
    </w:p>
    <w:p w14:paraId="37E18EC9" w14:textId="77777777" w:rsidR="00C850A5" w:rsidRPr="00191571" w:rsidRDefault="00E34018" w:rsidP="00E34018">
      <w:pPr>
        <w:ind w:left="1418" w:hanging="709"/>
        <w:rPr>
          <w:lang w:val="fr-FR"/>
        </w:rPr>
      </w:pPr>
      <w:r w:rsidRPr="00191571">
        <w:rPr>
          <w:lang w:val="fr-FR"/>
        </w:rPr>
        <w:t>vii.</w:t>
      </w:r>
      <w:r w:rsidRPr="00191571">
        <w:rPr>
          <w:lang w:val="fr-FR"/>
        </w:rPr>
        <w:tab/>
        <w:t>tiopental (CAS RN 76-75-5);</w:t>
      </w:r>
    </w:p>
    <w:p w14:paraId="632F8A83" w14:textId="77777777" w:rsidR="00DC73CF" w:rsidRPr="00BE7F59" w:rsidRDefault="00E34018" w:rsidP="00E34018">
      <w:pPr>
        <w:ind w:left="1418" w:hanging="709"/>
        <w:rPr>
          <w:lang w:val="fr-FR"/>
        </w:rPr>
      </w:pPr>
      <w:r w:rsidRPr="00BE7F59">
        <w:rPr>
          <w:lang w:val="fr-FR"/>
        </w:rPr>
        <w:t>viii.</w:t>
      </w:r>
      <w:r w:rsidRPr="00BE7F59">
        <w:rPr>
          <w:lang w:val="fr-FR"/>
        </w:rPr>
        <w:tab/>
        <w:t>sól sodowa tiopentalu (CAS RN 71-73-8), znana również jako tiopenton sodu;</w:t>
      </w:r>
    </w:p>
    <w:p w14:paraId="31E1A719" w14:textId="77777777" w:rsidR="00C850A5" w:rsidRPr="00D550AB" w:rsidRDefault="00E34018" w:rsidP="00E34018">
      <w:pPr>
        <w:ind w:left="1418" w:hanging="709"/>
      </w:pPr>
      <w:r>
        <w:t>ix.</w:t>
      </w:r>
      <w:r>
        <w:tab/>
        <w:t>produkty zawierające jeden ze środków znieczulających wymienionych w wykazie krótko</w:t>
      </w:r>
      <w:r w:rsidR="00655EC8">
        <w:t xml:space="preserve"> </w:t>
      </w:r>
      <w:r>
        <w:t>i średniodługo działających barbituranowych środków znieczulających.</w:t>
      </w:r>
    </w:p>
    <w:p w14:paraId="38D425F3" w14:textId="77777777" w:rsidR="00C850A5" w:rsidRPr="00F8387A" w:rsidRDefault="00C850A5" w:rsidP="00C850A5">
      <w:pPr>
        <w:ind w:right="-23"/>
        <w:contextualSpacing/>
        <w:outlineLvl w:val="1"/>
        <w:rPr>
          <w:rFonts w:eastAsiaTheme="minorHAnsi" w:cs="Arial"/>
          <w:szCs w:val="20"/>
        </w:rPr>
      </w:pPr>
    </w:p>
    <w:p w14:paraId="3DC0BA23" w14:textId="77777777" w:rsidR="00C850A5" w:rsidRDefault="00C850A5" w:rsidP="00C850A5">
      <w:pPr>
        <w:rPr>
          <w:rFonts w:eastAsiaTheme="minorHAnsi" w:cs="Arial"/>
          <w:bCs/>
          <w:szCs w:val="20"/>
          <w:u w:val="single"/>
        </w:rPr>
      </w:pPr>
      <w:r>
        <w:rPr>
          <w:u w:val="single"/>
        </w:rPr>
        <w:t>Załącznik 3</w:t>
      </w:r>
    </w:p>
    <w:p w14:paraId="25B1A8E8" w14:textId="77777777" w:rsidR="00C850A5" w:rsidRPr="00F8387A" w:rsidRDefault="00C850A5" w:rsidP="00C850A5">
      <w:pPr>
        <w:rPr>
          <w:rFonts w:eastAsiaTheme="minorHAnsi" w:cs="Arial"/>
          <w:bCs/>
          <w:szCs w:val="20"/>
          <w:u w:val="single"/>
        </w:rPr>
      </w:pPr>
    </w:p>
    <w:p w14:paraId="2BA99E1B" w14:textId="77777777" w:rsidR="00C850A5" w:rsidRDefault="00C850A5" w:rsidP="00C850A5">
      <w:pPr>
        <w:rPr>
          <w:rFonts w:eastAsiaTheme="minorHAnsi" w:cs="Arial"/>
          <w:b/>
          <w:szCs w:val="20"/>
        </w:rPr>
      </w:pPr>
      <w:r>
        <w:rPr>
          <w:b/>
        </w:rPr>
        <w:t xml:space="preserve">Lista kontrolowanych towarów i </w:t>
      </w:r>
      <w:r w:rsidR="00463D31">
        <w:rPr>
          <w:b/>
        </w:rPr>
        <w:t>sprzętu</w:t>
      </w:r>
      <w:r>
        <w:rPr>
          <w:b/>
        </w:rPr>
        <w:t xml:space="preserve"> </w:t>
      </w:r>
    </w:p>
    <w:p w14:paraId="252332C6" w14:textId="77777777" w:rsidR="00C850A5" w:rsidRPr="00F8387A" w:rsidRDefault="00C850A5" w:rsidP="00C850A5">
      <w:pPr>
        <w:rPr>
          <w:rFonts w:eastAsiaTheme="minorHAnsi" w:cs="Arial"/>
          <w:b/>
          <w:szCs w:val="20"/>
        </w:rPr>
      </w:pPr>
    </w:p>
    <w:p w14:paraId="525F9BE9" w14:textId="77777777" w:rsidR="00C850A5" w:rsidRPr="00F8387A" w:rsidRDefault="00C850A5" w:rsidP="00C850A5">
      <w:pPr>
        <w:rPr>
          <w:rFonts w:eastAsiaTheme="minorHAnsi" w:cs="Arial"/>
          <w:szCs w:val="20"/>
        </w:rPr>
      </w:pPr>
      <w:r>
        <w:t xml:space="preserve">Kontrolowane towary i </w:t>
      </w:r>
      <w:r w:rsidR="00463D31">
        <w:t>sprzęt</w:t>
      </w:r>
      <w:r>
        <w:t xml:space="preserve"> to między innymi:</w:t>
      </w:r>
    </w:p>
    <w:p w14:paraId="38ED2C83" w14:textId="77777777" w:rsidR="00C850A5" w:rsidRPr="00F8387A" w:rsidRDefault="00C850A5" w:rsidP="00C850A5">
      <w:pPr>
        <w:rPr>
          <w:rFonts w:eastAsiaTheme="minorHAnsi" w:cs="Arial"/>
          <w:szCs w:val="20"/>
        </w:rPr>
      </w:pPr>
    </w:p>
    <w:p w14:paraId="7DD16285" w14:textId="77777777" w:rsidR="00C850A5" w:rsidRDefault="00D550AB" w:rsidP="00D550AB">
      <w:pPr>
        <w:pStyle w:val="Akapitzlist"/>
        <w:numPr>
          <w:ilvl w:val="0"/>
          <w:numId w:val="6"/>
        </w:numPr>
        <w:autoSpaceDE w:val="0"/>
        <w:autoSpaceDN w:val="0"/>
        <w:adjustRightInd w:val="0"/>
        <w:ind w:left="993" w:hanging="283"/>
        <w:contextualSpacing w:val="0"/>
        <w:rPr>
          <w:rFonts w:cs="Arial"/>
          <w:szCs w:val="20"/>
        </w:rPr>
      </w:pPr>
      <w:r>
        <w:t>łańcuchy na nogi, zespoły łańcuchów, kaptury uniemożliwiające oplucie, pojedyncze obręcze lub pierścienie wyposażone w mechanizm blokujący, o średnicy wewnętrznej przekraczającej 165 mm przy zapadce zamkniętej na ostatnie nacięcie wchodzące do mechanizmu blokującego;</w:t>
      </w:r>
    </w:p>
    <w:p w14:paraId="64BD8CB6" w14:textId="77777777" w:rsidR="00C850A5" w:rsidRPr="00F8387A" w:rsidRDefault="00C850A5" w:rsidP="00D550AB">
      <w:pPr>
        <w:pStyle w:val="Akapitzlist"/>
        <w:autoSpaceDE w:val="0"/>
        <w:autoSpaceDN w:val="0"/>
        <w:adjustRightInd w:val="0"/>
        <w:ind w:left="993"/>
        <w:contextualSpacing w:val="0"/>
        <w:rPr>
          <w:rFonts w:cs="Arial"/>
          <w:szCs w:val="20"/>
        </w:rPr>
      </w:pPr>
    </w:p>
    <w:p w14:paraId="56CC20D2" w14:textId="77777777" w:rsidR="00C850A5" w:rsidRDefault="00D550AB" w:rsidP="00D550AB">
      <w:pPr>
        <w:pStyle w:val="Akapitzlist"/>
        <w:numPr>
          <w:ilvl w:val="0"/>
          <w:numId w:val="6"/>
        </w:numPr>
        <w:autoSpaceDE w:val="0"/>
        <w:autoSpaceDN w:val="0"/>
        <w:adjustRightInd w:val="0"/>
        <w:ind w:left="993" w:hanging="283"/>
        <w:contextualSpacing w:val="0"/>
        <w:rPr>
          <w:rFonts w:cs="Arial"/>
          <w:szCs w:val="20"/>
        </w:rPr>
      </w:pPr>
      <w:r>
        <w:t>przenośna broń elektryczna, którą można porazić tylko jedną osobę za pomocą elektrowstrząsu, obejmująca również między innymi pałki elektryczne, tarcze elektryczne, paralizatory lub pistolety paraliżujące, jak również zestawy zawierające wszystkie ważne komponenty do montażu przenośnej broni elektrycznej;</w:t>
      </w:r>
    </w:p>
    <w:p w14:paraId="7013F80B" w14:textId="77777777" w:rsidR="00C850A5" w:rsidRPr="00F8387A" w:rsidRDefault="00C850A5" w:rsidP="00D550AB">
      <w:pPr>
        <w:pStyle w:val="Akapitzlist"/>
        <w:autoSpaceDE w:val="0"/>
        <w:autoSpaceDN w:val="0"/>
        <w:adjustRightInd w:val="0"/>
        <w:ind w:left="993"/>
        <w:contextualSpacing w:val="0"/>
        <w:rPr>
          <w:rFonts w:cs="Arial"/>
          <w:szCs w:val="20"/>
        </w:rPr>
      </w:pPr>
    </w:p>
    <w:p w14:paraId="491FC371" w14:textId="77777777" w:rsidR="00C850A5" w:rsidRDefault="00D550AB" w:rsidP="00D550AB">
      <w:pPr>
        <w:pStyle w:val="Akapitzlist"/>
        <w:numPr>
          <w:ilvl w:val="0"/>
          <w:numId w:val="6"/>
        </w:numPr>
        <w:autoSpaceDE w:val="0"/>
        <w:autoSpaceDN w:val="0"/>
        <w:adjustRightInd w:val="0"/>
        <w:ind w:left="993" w:hanging="283"/>
        <w:contextualSpacing w:val="0"/>
        <w:rPr>
          <w:rFonts w:cs="Arial"/>
          <w:szCs w:val="20"/>
        </w:rPr>
      </w:pPr>
      <w:r>
        <w:t>broń elektryczna mocowana na stałe lub z możliwością montażu, o szerokim polu rażenia, zdolna porazić prądem elektrycznym wiele osób jednocześnie;</w:t>
      </w:r>
    </w:p>
    <w:p w14:paraId="6299B338" w14:textId="77777777" w:rsidR="00C850A5" w:rsidRPr="00F8387A" w:rsidRDefault="00C850A5" w:rsidP="00D550AB">
      <w:pPr>
        <w:pStyle w:val="Akapitzlist"/>
        <w:autoSpaceDE w:val="0"/>
        <w:autoSpaceDN w:val="0"/>
        <w:adjustRightInd w:val="0"/>
        <w:ind w:left="993"/>
        <w:contextualSpacing w:val="0"/>
        <w:rPr>
          <w:rFonts w:cs="Arial"/>
          <w:szCs w:val="20"/>
        </w:rPr>
      </w:pPr>
    </w:p>
    <w:p w14:paraId="3D7D5E22" w14:textId="77777777" w:rsidR="00C850A5" w:rsidRDefault="00D550AB" w:rsidP="00D550AB">
      <w:pPr>
        <w:pStyle w:val="Akapitzlist"/>
        <w:numPr>
          <w:ilvl w:val="0"/>
          <w:numId w:val="6"/>
        </w:numPr>
        <w:autoSpaceDE w:val="0"/>
        <w:autoSpaceDN w:val="0"/>
        <w:adjustRightInd w:val="0"/>
        <w:ind w:left="993" w:hanging="283"/>
        <w:contextualSpacing w:val="0"/>
        <w:rPr>
          <w:rFonts w:cs="Arial"/>
          <w:szCs w:val="20"/>
        </w:rPr>
      </w:pPr>
      <w:r>
        <w:t>środki do opanowywania zamieszek (RCAs) stosowane do egzekwowania prawa, na przykład:</w:t>
      </w:r>
    </w:p>
    <w:p w14:paraId="0D9122AF" w14:textId="77777777" w:rsidR="00C850A5" w:rsidRPr="00F8387A" w:rsidRDefault="00C850A5" w:rsidP="00C850A5">
      <w:pPr>
        <w:pStyle w:val="Akapitzlist"/>
        <w:autoSpaceDE w:val="0"/>
        <w:autoSpaceDN w:val="0"/>
        <w:adjustRightInd w:val="0"/>
        <w:ind w:left="567"/>
        <w:contextualSpacing w:val="0"/>
        <w:rPr>
          <w:rFonts w:cs="Arial"/>
          <w:szCs w:val="20"/>
        </w:rPr>
      </w:pPr>
    </w:p>
    <w:p w14:paraId="13EC4F5F" w14:textId="77777777" w:rsidR="00C850A5" w:rsidRPr="00F8387A" w:rsidRDefault="00C850A5" w:rsidP="00C850A5">
      <w:pPr>
        <w:pStyle w:val="Akapitzlist"/>
        <w:numPr>
          <w:ilvl w:val="1"/>
          <w:numId w:val="5"/>
        </w:numPr>
        <w:autoSpaceDE w:val="0"/>
        <w:autoSpaceDN w:val="0"/>
        <w:adjustRightInd w:val="0"/>
        <w:ind w:left="1434" w:hanging="357"/>
        <w:contextualSpacing w:val="0"/>
        <w:rPr>
          <w:rFonts w:cs="Arial"/>
          <w:szCs w:val="20"/>
        </w:rPr>
      </w:pPr>
      <w:r>
        <w:t>2-chlorobenzylidenomalonitryl (CS) (CAS 2698- 41-1);</w:t>
      </w:r>
    </w:p>
    <w:p w14:paraId="6BADA109" w14:textId="77777777" w:rsidR="00C850A5" w:rsidRPr="00F8387A" w:rsidRDefault="00C850A5" w:rsidP="00C850A5">
      <w:pPr>
        <w:pStyle w:val="Akapitzlist"/>
        <w:numPr>
          <w:ilvl w:val="1"/>
          <w:numId w:val="5"/>
        </w:numPr>
        <w:autoSpaceDE w:val="0"/>
        <w:autoSpaceDN w:val="0"/>
        <w:adjustRightInd w:val="0"/>
        <w:ind w:left="1434" w:hanging="357"/>
        <w:contextualSpacing w:val="0"/>
        <w:rPr>
          <w:rFonts w:cs="Arial"/>
          <w:szCs w:val="20"/>
        </w:rPr>
      </w:pPr>
      <w:r>
        <w:t>2-chloroacetofenon (CN) (CAS 532-27-4);</w:t>
      </w:r>
    </w:p>
    <w:p w14:paraId="7F07D8F1" w14:textId="77777777" w:rsidR="00C850A5" w:rsidRPr="00191571" w:rsidRDefault="00C850A5" w:rsidP="00C850A5">
      <w:pPr>
        <w:pStyle w:val="Akapitzlist"/>
        <w:numPr>
          <w:ilvl w:val="1"/>
          <w:numId w:val="5"/>
        </w:numPr>
        <w:autoSpaceDE w:val="0"/>
        <w:autoSpaceDN w:val="0"/>
        <w:adjustRightInd w:val="0"/>
        <w:ind w:left="1434" w:hanging="357"/>
        <w:contextualSpacing w:val="0"/>
        <w:rPr>
          <w:rFonts w:cs="Arial"/>
          <w:szCs w:val="20"/>
        </w:rPr>
      </w:pPr>
      <w:r w:rsidRPr="00191571">
        <w:t>dibenz-(b,f)-1,4-oksazepina, (CR) (CAS 257-07-8);</w:t>
      </w:r>
    </w:p>
    <w:p w14:paraId="6B1A8D5C" w14:textId="77777777" w:rsidR="00C850A5" w:rsidRPr="00F8387A" w:rsidRDefault="00C850A5" w:rsidP="00C850A5">
      <w:pPr>
        <w:pStyle w:val="Akapitzlist"/>
        <w:numPr>
          <w:ilvl w:val="1"/>
          <w:numId w:val="5"/>
        </w:numPr>
        <w:autoSpaceDE w:val="0"/>
        <w:autoSpaceDN w:val="0"/>
        <w:adjustRightInd w:val="0"/>
        <w:ind w:left="1434" w:hanging="357"/>
        <w:contextualSpacing w:val="0"/>
        <w:rPr>
          <w:rFonts w:cs="Arial"/>
          <w:szCs w:val="20"/>
        </w:rPr>
      </w:pPr>
      <w:r>
        <w:t>N-nonanoilomorfolina, (MPA) (CAS 5299-64-9);</w:t>
      </w:r>
    </w:p>
    <w:p w14:paraId="74ADED57" w14:textId="77777777" w:rsidR="00C850A5" w:rsidRPr="00174784" w:rsidRDefault="00C850A5" w:rsidP="00C850A5">
      <w:pPr>
        <w:pStyle w:val="Akapitzlist"/>
        <w:numPr>
          <w:ilvl w:val="1"/>
          <w:numId w:val="5"/>
        </w:numPr>
        <w:autoSpaceDE w:val="0"/>
        <w:autoSpaceDN w:val="0"/>
        <w:adjustRightInd w:val="0"/>
        <w:ind w:left="1434" w:hanging="357"/>
        <w:contextualSpacing w:val="0"/>
        <w:rPr>
          <w:rFonts w:cs="Arial"/>
          <w:szCs w:val="20"/>
          <w:lang w:val="en-GB"/>
        </w:rPr>
      </w:pPr>
      <w:r w:rsidRPr="00174784">
        <w:rPr>
          <w:lang w:val="en-GB"/>
        </w:rPr>
        <w:t>oleożywica capsicum (OC) (CAS RN 8023776);</w:t>
      </w:r>
    </w:p>
    <w:p w14:paraId="4F772A9A" w14:textId="77777777" w:rsidR="00C850A5" w:rsidRDefault="00C850A5" w:rsidP="00C850A5">
      <w:pPr>
        <w:pStyle w:val="Akapitzlist"/>
        <w:numPr>
          <w:ilvl w:val="1"/>
          <w:numId w:val="5"/>
        </w:numPr>
        <w:autoSpaceDE w:val="0"/>
        <w:autoSpaceDN w:val="0"/>
        <w:adjustRightInd w:val="0"/>
        <w:ind w:left="1434" w:hanging="357"/>
        <w:contextualSpacing w:val="0"/>
        <w:rPr>
          <w:rFonts w:cs="Arial"/>
          <w:szCs w:val="20"/>
        </w:rPr>
      </w:pPr>
      <w:r>
        <w:t>wanililoamid kwasu pelargonowego (PAVA) (CAS RN 2444464);</w:t>
      </w:r>
    </w:p>
    <w:p w14:paraId="29AA237F" w14:textId="77777777" w:rsidR="00C850A5" w:rsidRPr="00F8387A" w:rsidRDefault="00C850A5" w:rsidP="00C850A5">
      <w:pPr>
        <w:pStyle w:val="Akapitzlist"/>
        <w:autoSpaceDE w:val="0"/>
        <w:autoSpaceDN w:val="0"/>
        <w:adjustRightInd w:val="0"/>
        <w:ind w:left="1434"/>
        <w:contextualSpacing w:val="0"/>
        <w:rPr>
          <w:rFonts w:cs="Arial"/>
          <w:szCs w:val="20"/>
        </w:rPr>
      </w:pPr>
    </w:p>
    <w:p w14:paraId="7F2098E6" w14:textId="77777777" w:rsidR="00C850A5" w:rsidRDefault="00C850A5" w:rsidP="00D550AB">
      <w:pPr>
        <w:pStyle w:val="Akapitzlist"/>
        <w:numPr>
          <w:ilvl w:val="0"/>
          <w:numId w:val="6"/>
        </w:numPr>
        <w:autoSpaceDE w:val="0"/>
        <w:autoSpaceDN w:val="0"/>
        <w:adjustRightInd w:val="0"/>
        <w:ind w:left="993" w:hanging="283"/>
        <w:contextualSpacing w:val="0"/>
        <w:rPr>
          <w:rFonts w:cs="Arial"/>
          <w:szCs w:val="20"/>
        </w:rPr>
      </w:pPr>
      <w:r>
        <w:t>sprzęt dyspersyjny RCA pozwalający porazić jedną osobę bądź rozprowadzający ograniczoną dawkę na małym obszarze;</w:t>
      </w:r>
    </w:p>
    <w:p w14:paraId="2096A0A0" w14:textId="77777777" w:rsidR="00C850A5" w:rsidRPr="00F8387A" w:rsidRDefault="00C850A5" w:rsidP="00D550AB">
      <w:pPr>
        <w:pStyle w:val="Akapitzlist"/>
        <w:autoSpaceDE w:val="0"/>
        <w:autoSpaceDN w:val="0"/>
        <w:adjustRightInd w:val="0"/>
        <w:ind w:left="993"/>
        <w:contextualSpacing w:val="0"/>
        <w:rPr>
          <w:rFonts w:cs="Arial"/>
          <w:szCs w:val="20"/>
        </w:rPr>
      </w:pPr>
    </w:p>
    <w:p w14:paraId="4D9CD159" w14:textId="77777777" w:rsidR="00C850A5" w:rsidRDefault="00D550AB" w:rsidP="00D550AB">
      <w:pPr>
        <w:pStyle w:val="Akapitzlist"/>
        <w:numPr>
          <w:ilvl w:val="0"/>
          <w:numId w:val="6"/>
        </w:numPr>
        <w:autoSpaceDE w:val="0"/>
        <w:autoSpaceDN w:val="0"/>
        <w:adjustRightInd w:val="0"/>
        <w:ind w:left="993" w:hanging="283"/>
        <w:contextualSpacing w:val="0"/>
        <w:rPr>
          <w:rFonts w:cs="Arial"/>
          <w:szCs w:val="20"/>
        </w:rPr>
      </w:pPr>
      <w:bookmarkStart w:id="15" w:name="_Hlk34995371"/>
      <w:r>
        <w:t>stał</w:t>
      </w:r>
      <w:r w:rsidR="00D91F19">
        <w:t>y</w:t>
      </w:r>
      <w:r>
        <w:t xml:space="preserve"> </w:t>
      </w:r>
      <w:r w:rsidR="00463D31">
        <w:t>sprzęt</w:t>
      </w:r>
      <w:r>
        <w:t xml:space="preserve"> dyspersyjn</w:t>
      </w:r>
      <w:r w:rsidR="00873115">
        <w:t>y</w:t>
      </w:r>
      <w:r>
        <w:t xml:space="preserve"> RCA przeznaczon</w:t>
      </w:r>
      <w:r w:rsidR="00D91F19">
        <w:t>y</w:t>
      </w:r>
      <w:r>
        <w:t xml:space="preserve"> do rozprowadzania ograniczonej dawki RCA na małym obszarze wewnątrz budynku;</w:t>
      </w:r>
    </w:p>
    <w:p w14:paraId="14181827" w14:textId="77777777" w:rsidR="00C850A5" w:rsidRPr="00F8387A" w:rsidRDefault="00C850A5" w:rsidP="00D550AB">
      <w:pPr>
        <w:pStyle w:val="Akapitzlist"/>
        <w:autoSpaceDE w:val="0"/>
        <w:autoSpaceDN w:val="0"/>
        <w:adjustRightInd w:val="0"/>
        <w:ind w:left="993"/>
        <w:contextualSpacing w:val="0"/>
        <w:rPr>
          <w:rFonts w:cs="Arial"/>
          <w:szCs w:val="20"/>
        </w:rPr>
      </w:pPr>
    </w:p>
    <w:bookmarkEnd w:id="15"/>
    <w:p w14:paraId="7B635B51" w14:textId="77777777" w:rsidR="00C850A5" w:rsidRPr="00F8387A" w:rsidRDefault="00C850A5" w:rsidP="00D550AB">
      <w:pPr>
        <w:pStyle w:val="Akapitzlist"/>
        <w:numPr>
          <w:ilvl w:val="0"/>
          <w:numId w:val="6"/>
        </w:numPr>
        <w:autoSpaceDE w:val="0"/>
        <w:autoSpaceDN w:val="0"/>
        <w:adjustRightInd w:val="0"/>
        <w:ind w:left="993" w:hanging="283"/>
        <w:contextualSpacing w:val="0"/>
        <w:rPr>
          <w:rFonts w:cs="Arial"/>
          <w:szCs w:val="20"/>
        </w:rPr>
      </w:pPr>
      <w:r>
        <w:t>sprzęt dyspersyjny RCA przeznaczony do rozprowadzania RCA na szerszym obszarze, w tym armatki wodne.</w:t>
      </w:r>
    </w:p>
    <w:p w14:paraId="2DB339BF" w14:textId="77777777" w:rsidR="00C850A5" w:rsidRDefault="00C850A5" w:rsidP="00C850A5">
      <w:pPr>
        <w:tabs>
          <w:tab w:val="left" w:pos="1352"/>
        </w:tabs>
        <w:rPr>
          <w:rFonts w:cs="Arial"/>
          <w:szCs w:val="20"/>
          <w:lang w:eastAsia="cs-CZ"/>
        </w:rPr>
      </w:pPr>
    </w:p>
    <w:p w14:paraId="4FBB3006" w14:textId="77777777" w:rsidR="004F6496" w:rsidRDefault="004F6496">
      <w:pPr>
        <w:rPr>
          <w:u w:val="single"/>
        </w:rPr>
      </w:pPr>
      <w:r>
        <w:rPr>
          <w:u w:val="single"/>
        </w:rPr>
        <w:br w:type="page"/>
      </w:r>
    </w:p>
    <w:p w14:paraId="5B2E35A3" w14:textId="77777777" w:rsidR="00C850A5" w:rsidRDefault="00C850A5" w:rsidP="00C850A5">
      <w:pPr>
        <w:rPr>
          <w:rFonts w:eastAsia="Times New Roman" w:cs="Arial"/>
          <w:szCs w:val="20"/>
          <w:u w:val="single"/>
        </w:rPr>
      </w:pPr>
      <w:r>
        <w:rPr>
          <w:u w:val="single"/>
        </w:rPr>
        <w:lastRenderedPageBreak/>
        <w:t>Uwaga:</w:t>
      </w:r>
    </w:p>
    <w:p w14:paraId="16CC97CB" w14:textId="77777777" w:rsidR="00C850A5" w:rsidRDefault="00C850A5" w:rsidP="00C850A5">
      <w:pPr>
        <w:ind w:right="-23"/>
        <w:outlineLvl w:val="1"/>
        <w:rPr>
          <w:rFonts w:cs="Arial"/>
          <w:bCs/>
          <w:szCs w:val="20"/>
        </w:rPr>
      </w:pPr>
      <w:r>
        <w:t>Zawart</w:t>
      </w:r>
      <w:r w:rsidR="00D91F19">
        <w:t>y</w:t>
      </w:r>
      <w:r>
        <w:t xml:space="preserve"> w dokumencie </w:t>
      </w:r>
      <w:bookmarkStart w:id="16" w:name="_ML_000000000006_VALID"/>
      <w:r w:rsidR="00B2045B" w:rsidRPr="001B3C68">
        <w:rPr>
          <w:rFonts w:cs="Arial"/>
          <w:bCs/>
          <w:szCs w:val="20"/>
        </w:rPr>
        <w:fldChar w:fldCharType="begin"/>
      </w:r>
      <w:r w:rsidR="001B3C68" w:rsidRPr="001B3C68">
        <w:rPr>
          <w:rFonts w:cs="Arial"/>
          <w:bCs/>
          <w:szCs w:val="20"/>
        </w:rPr>
        <w:instrText xml:space="preserve"> HYPERLINK "https://search.coe.int/cm/Pages/result_details.aspx?Reference=CM(2021)22-add3final" \o "Komitet Sterujący ds. Praw Człowieka – c. Zalecenie CM/Rec(2021)2 Komitetu Ministrów dla państw członkowskich w sprawie środków przeciwko handlowi towarami używanymi do wykonywania kary śmierci, tortur lub innego okrutnego, nieludzkiego lub poniżającego traktowania albo karania – uzasadnienie" </w:instrText>
      </w:r>
      <w:r w:rsidR="00B2045B" w:rsidRPr="001B3C68">
        <w:rPr>
          <w:rFonts w:cs="Arial"/>
          <w:bCs/>
          <w:szCs w:val="20"/>
        </w:rPr>
      </w:r>
      <w:r w:rsidR="00B2045B" w:rsidRPr="001B3C68">
        <w:rPr>
          <w:rFonts w:cs="Arial"/>
          <w:bCs/>
          <w:szCs w:val="20"/>
        </w:rPr>
        <w:fldChar w:fldCharType="separate"/>
      </w:r>
      <w:bookmarkEnd w:id="16"/>
      <w:r>
        <w:rPr>
          <w:rStyle w:val="Hipercze"/>
        </w:rPr>
        <w:t>CM(2021)22-add3final</w:t>
      </w:r>
      <w:r w:rsidR="00B2045B" w:rsidRPr="001B3C68">
        <w:rPr>
          <w:rFonts w:cs="Arial"/>
          <w:bCs/>
          <w:szCs w:val="20"/>
        </w:rPr>
        <w:fldChar w:fldCharType="end"/>
      </w:r>
      <w:r>
        <w:t xml:space="preserve"> </w:t>
      </w:r>
      <w:r w:rsidR="00D91F19">
        <w:t>raport wyjaśniający został przyjęty</w:t>
      </w:r>
      <w:r>
        <w:t xml:space="preserve"> przez Komitet </w:t>
      </w:r>
      <w:r w:rsidR="00D91F19">
        <w:t xml:space="preserve">Zarządzający </w:t>
      </w:r>
      <w:r>
        <w:t xml:space="preserve">Praw Człowieka (CDDH) </w:t>
      </w:r>
      <w:r w:rsidR="00EF5489">
        <w:t xml:space="preserve">w drodze </w:t>
      </w:r>
      <w:r>
        <w:t xml:space="preserve">procedury elektronicznej dnia 28 stycznia 2021 r. po 93. </w:t>
      </w:r>
      <w:r w:rsidR="00D91F19">
        <w:t>posiedzeniu</w:t>
      </w:r>
      <w:r>
        <w:t xml:space="preserve"> (14–16 grudnia 2020 r.) z uwagi na publikację Zalecenia </w:t>
      </w:r>
      <w:bookmarkStart w:id="17" w:name="_ML_000000000007_VALID"/>
      <w:r w:rsidR="00B2045B" w:rsidRPr="001B3C68">
        <w:rPr>
          <w:rFonts w:cs="Arial"/>
          <w:bCs/>
          <w:szCs w:val="20"/>
        </w:rPr>
        <w:fldChar w:fldCharType="begin"/>
      </w:r>
      <w:r w:rsidR="001B3C68" w:rsidRPr="001B3C68">
        <w:rPr>
          <w:rFonts w:cs="Arial"/>
          <w:bCs/>
          <w:szCs w:val="20"/>
        </w:rPr>
        <w:instrText xml:space="preserve"> HYPERLINK "https://search.coe.int/cm/Pages/result_details.aspx?Reference=CM/Rec(2021)2" \o "Zalecenie Komitetu Ministrów dla państw członkowskich w sprawie środków przeciwko handlowi towarami używanymi do wykonywania kary śmierci, tortur lub innego okrutnego, nieludzkiego lub poniżającego traktowania albo karania (przyjęte przez Komitet Ministrów dnia 31 marca 2021 r. na 1400. spotkaniu Zastępców Ministrów)" </w:instrText>
      </w:r>
      <w:r w:rsidR="00B2045B" w:rsidRPr="001B3C68">
        <w:rPr>
          <w:rFonts w:cs="Arial"/>
          <w:bCs/>
          <w:szCs w:val="20"/>
        </w:rPr>
      </w:r>
      <w:r w:rsidR="00B2045B" w:rsidRPr="001B3C68">
        <w:rPr>
          <w:rFonts w:cs="Arial"/>
          <w:bCs/>
          <w:szCs w:val="20"/>
        </w:rPr>
        <w:fldChar w:fldCharType="separate"/>
      </w:r>
      <w:bookmarkEnd w:id="17"/>
      <w:r>
        <w:rPr>
          <w:rStyle w:val="Hipercze"/>
        </w:rPr>
        <w:t>CM/Rec(2021)2</w:t>
      </w:r>
      <w:r w:rsidR="00B2045B" w:rsidRPr="001B3C68">
        <w:rPr>
          <w:rFonts w:cs="Arial"/>
          <w:bCs/>
          <w:szCs w:val="20"/>
        </w:rPr>
        <w:fldChar w:fldCharType="end"/>
      </w:r>
      <w:r>
        <w:t xml:space="preserve"> Komitetu Ministrów dla państw członkowskich w sprawie środków przeciwko handlowi towarami używanymi do wykonywania kary śmierci, tortur lub innego okrutnego, nieludzkiego lub poniżającego traktowania albo karania.</w:t>
      </w:r>
      <w:r>
        <w:rPr>
          <w:rStyle w:val="Odwoanieprzypisudolnego"/>
          <w:rFonts w:cs="Arial"/>
          <w:bCs/>
          <w:szCs w:val="20"/>
        </w:rPr>
        <w:footnoteReference w:id="2"/>
      </w:r>
    </w:p>
    <w:p w14:paraId="41E7F799" w14:textId="77777777" w:rsidR="00C850A5" w:rsidRDefault="00C850A5" w:rsidP="00C850A5">
      <w:pPr>
        <w:ind w:right="-23"/>
        <w:outlineLvl w:val="1"/>
        <w:rPr>
          <w:rFonts w:cs="Arial"/>
          <w:bCs/>
          <w:szCs w:val="20"/>
        </w:rPr>
      </w:pPr>
    </w:p>
    <w:p w14:paraId="7B1292E7" w14:textId="77777777" w:rsidR="00CF3820" w:rsidRPr="00372F2A" w:rsidRDefault="00C850A5" w:rsidP="00372F2A">
      <w:pPr>
        <w:ind w:right="-23"/>
        <w:outlineLvl w:val="1"/>
        <w:rPr>
          <w:rFonts w:cs="Arial"/>
          <w:bCs/>
          <w:szCs w:val="20"/>
        </w:rPr>
      </w:pPr>
      <w:r>
        <w:t xml:space="preserve">Przyjmując </w:t>
      </w:r>
      <w:r w:rsidR="00D91F19">
        <w:t>Z</w:t>
      </w:r>
      <w:r>
        <w:t>alecenie na 1400.</w:t>
      </w:r>
      <w:r w:rsidR="00D91F19">
        <w:t xml:space="preserve"> posiedzeniu</w:t>
      </w:r>
      <w:r>
        <w:t xml:space="preserve">, </w:t>
      </w:r>
      <w:r w:rsidR="00D91F19">
        <w:t xml:space="preserve">Delegaci </w:t>
      </w:r>
      <w:r>
        <w:t>Ministrów mieli na uwadze treść</w:t>
      </w:r>
      <w:r w:rsidR="00D91F19">
        <w:t xml:space="preserve"> raportu wyjaśniającego</w:t>
      </w:r>
      <w:r>
        <w:t>.</w:t>
      </w:r>
    </w:p>
    <w:sectPr w:rsidR="00CF3820" w:rsidRPr="00372F2A" w:rsidSect="00961F72">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19614" w14:textId="77777777" w:rsidR="00BA41D0" w:rsidRDefault="00BA41D0" w:rsidP="00FD6043">
      <w:r>
        <w:separator/>
      </w:r>
    </w:p>
  </w:endnote>
  <w:endnote w:type="continuationSeparator" w:id="0">
    <w:p w14:paraId="421BF511" w14:textId="77777777" w:rsidR="00BA41D0" w:rsidRDefault="00BA41D0" w:rsidP="00FD6043">
      <w:r>
        <w:continuationSeparator/>
      </w:r>
    </w:p>
  </w:endnote>
  <w:endnote w:type="continuationNotice" w:id="1">
    <w:p w14:paraId="0E8702AC" w14:textId="77777777" w:rsidR="00BA41D0" w:rsidRDefault="00BA4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7A765" w14:textId="77777777" w:rsidR="002F3006" w:rsidRPr="002F3006" w:rsidRDefault="002F3006" w:rsidP="002F3006">
    <w:pPr>
      <w:pStyle w:val="Stopka"/>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6014" w14:textId="77777777" w:rsidR="00AE76B8" w:rsidRPr="00113EB0" w:rsidRDefault="001E7C29" w:rsidP="00E15639">
    <w:pPr>
      <w:pStyle w:val="Stopka"/>
      <w:rPr>
        <w:sz w:val="16"/>
        <w:szCs w:val="16"/>
      </w:rPr>
    </w:pPr>
    <w:r>
      <w:rPr>
        <w:sz w:val="16"/>
      </w:rPr>
      <w:t xml:space="preserve">Strona internetowa: </w:t>
    </w:r>
    <w:hyperlink r:id="rId1" w:history="1">
      <w:r>
        <w:rPr>
          <w:rStyle w:val="Hipercze"/>
          <w:sz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025D5" w14:textId="77777777" w:rsidR="00BA41D0" w:rsidRDefault="00BA41D0" w:rsidP="00FD6043">
      <w:r>
        <w:separator/>
      </w:r>
    </w:p>
  </w:footnote>
  <w:footnote w:type="continuationSeparator" w:id="0">
    <w:p w14:paraId="5FCC5582" w14:textId="77777777" w:rsidR="00BA41D0" w:rsidRDefault="00BA41D0" w:rsidP="00FD6043">
      <w:r>
        <w:continuationSeparator/>
      </w:r>
    </w:p>
  </w:footnote>
  <w:footnote w:type="continuationNotice" w:id="1">
    <w:p w14:paraId="4444E62D" w14:textId="77777777" w:rsidR="00BA41D0" w:rsidRDefault="00BA41D0"/>
  </w:footnote>
  <w:footnote w:id="2">
    <w:p w14:paraId="2BA92602" w14:textId="77777777" w:rsidR="00C850A5" w:rsidRDefault="00C850A5" w:rsidP="00C850A5">
      <w:pPr>
        <w:rPr>
          <w:rFonts w:eastAsia="Times New Roman" w:cs="Arial"/>
          <w:sz w:val="16"/>
          <w:szCs w:val="16"/>
        </w:rPr>
      </w:pPr>
      <w:r>
        <w:rPr>
          <w:rStyle w:val="Odwoanieprzypisudolnego"/>
          <w:rFonts w:cs="Arial"/>
          <w:sz w:val="16"/>
          <w:szCs w:val="16"/>
        </w:rPr>
        <w:footnoteRef/>
      </w:r>
      <w:r>
        <w:rPr>
          <w:sz w:val="16"/>
        </w:rPr>
        <w:t xml:space="preserve"> W oparciu o program zatwierdzony przez Biuro CDDH oraz informacje przedstawione przez państwa członkowskie biegły konsultant dr Michael CROWLEY (Bradford University / </w:t>
      </w:r>
      <w:r>
        <w:rPr>
          <w:i/>
          <w:sz w:val="16"/>
        </w:rPr>
        <w:t>Omega Research Foundation</w:t>
      </w:r>
      <w:r>
        <w:rPr>
          <w:sz w:val="16"/>
        </w:rPr>
        <w:t xml:space="preserve">) opracował wraz z Sekretariatem studium wykonalności omówione przez CDDH na 91. </w:t>
      </w:r>
      <w:r w:rsidR="00D91F19">
        <w:rPr>
          <w:sz w:val="16"/>
        </w:rPr>
        <w:t>posiedzeniu</w:t>
      </w:r>
      <w:r>
        <w:rPr>
          <w:sz w:val="16"/>
        </w:rPr>
        <w:t xml:space="preserve"> (w dniach 18–21 czerwca 2019 r.) i przyjęte na 92. </w:t>
      </w:r>
      <w:r w:rsidR="00D91F19">
        <w:rPr>
          <w:sz w:val="16"/>
        </w:rPr>
        <w:t>posiedzeniu</w:t>
      </w:r>
      <w:r>
        <w:rPr>
          <w:sz w:val="16"/>
        </w:rPr>
        <w:t xml:space="preserve"> (w dniach 26–29 listopada 2019 r.). Studium to </w:t>
      </w:r>
      <w:r w:rsidR="00873115">
        <w:rPr>
          <w:sz w:val="16"/>
        </w:rPr>
        <w:t xml:space="preserve">wskazało </w:t>
      </w:r>
      <w:r>
        <w:rPr>
          <w:sz w:val="16"/>
        </w:rPr>
        <w:t xml:space="preserve">aktualną sytuację dotyczącą tego rodzaju handlu wraz z dotychczasowymi krajowymi i międzynarodowymi odpowiedziami prawnymi, jak również </w:t>
      </w:r>
      <w:r w:rsidR="003821AD">
        <w:rPr>
          <w:sz w:val="16"/>
        </w:rPr>
        <w:t>zasugerowało środki mające</w:t>
      </w:r>
      <w:r>
        <w:rPr>
          <w:sz w:val="16"/>
        </w:rPr>
        <w:t xml:space="preserve"> na celu wzmocnienie regulacji międzynarodowych w drodze zalecenia Rady Europy. Dnia 12 lutego 2020 r. Komitet Ministrów wyraził zgodę na opracowanie takiego zalecenia. Następnie Komitet Sterujący ds. Praw Człowieka powołał dwóch sprawozdawców krajowych, mianowicie p. Nicolę WENZEL (Niemcy) i p. Chanakę WICKREMASINGHE (Zjednoczone Królestwo) do opracowania projektu zalecenia wraz z </w:t>
      </w:r>
      <w:r w:rsidR="003821AD">
        <w:rPr>
          <w:sz w:val="16"/>
        </w:rPr>
        <w:t xml:space="preserve">raportem wyjaśniającym </w:t>
      </w:r>
      <w:r>
        <w:rPr>
          <w:sz w:val="16"/>
        </w:rPr>
        <w:t xml:space="preserve">we współpracy z biegłym konsultantem i Sekretariatem.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4FB03" w14:textId="77777777" w:rsidR="00E24C57" w:rsidRPr="00E54322" w:rsidRDefault="00E57C41" w:rsidP="00E54322">
    <w:pPr>
      <w:pStyle w:val="Nagwek"/>
    </w:pPr>
    <w:r>
      <w:t>CM/Rec(2021)2</w:t>
    </w:r>
    <w:r>
      <w:tab/>
    </w:r>
    <w:r w:rsidR="00B2045B" w:rsidRPr="00E54322">
      <w:fldChar w:fldCharType="begin"/>
    </w:r>
    <w:r w:rsidR="00E15639" w:rsidRPr="00E54322">
      <w:instrText xml:space="preserve"> PAGE  \* Arabic  \* MERGEFORMAT </w:instrText>
    </w:r>
    <w:r w:rsidR="00B2045B" w:rsidRPr="00E54322">
      <w:fldChar w:fldCharType="separate"/>
    </w:r>
    <w:r w:rsidR="005E5E36">
      <w:rPr>
        <w:noProof/>
      </w:rPr>
      <w:t>6</w:t>
    </w:r>
    <w:r w:rsidR="00B2045B"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EC9A8" w14:textId="77777777" w:rsidR="00E24C57" w:rsidRPr="00E54322" w:rsidRDefault="00E15639" w:rsidP="00E54322">
    <w:pPr>
      <w:pStyle w:val="Nagwek"/>
    </w:pPr>
    <w:r>
      <w:tab/>
    </w:r>
    <w:r w:rsidR="00B2045B" w:rsidRPr="00E54322">
      <w:fldChar w:fldCharType="begin"/>
    </w:r>
    <w:r w:rsidRPr="00E54322">
      <w:instrText xml:space="preserve"> PAGE  \* Arabic  \* MERGEFORMAT </w:instrText>
    </w:r>
    <w:r w:rsidR="00B2045B" w:rsidRPr="00E54322">
      <w:fldChar w:fldCharType="separate"/>
    </w:r>
    <w:r w:rsidR="005E5E36">
      <w:rPr>
        <w:noProof/>
      </w:rPr>
      <w:t>7</w:t>
    </w:r>
    <w:r w:rsidR="00B2045B" w:rsidRPr="00E54322">
      <w:fldChar w:fldCharType="end"/>
    </w:r>
    <w:r>
      <w:tab/>
      <w:t>CM/Rec(2021)2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5CA6C" w14:textId="77777777" w:rsidR="00135BDB" w:rsidRDefault="00754E6F" w:rsidP="00123CDD">
    <w:pPr>
      <w:pStyle w:val="Nagwek"/>
      <w:spacing w:after="2280"/>
    </w:pPr>
    <w:r>
      <w:rPr>
        <w:noProof/>
        <w:lang w:eastAsia="pl-PL"/>
      </w:rPr>
      <w:drawing>
        <wp:anchor distT="0" distB="0" distL="114300" distR="114300" simplePos="0" relativeHeight="251659264" behindDoc="1" locked="0" layoutInCell="0" allowOverlap="0" wp14:anchorId="5370FC27" wp14:editId="30864F9E">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825"/>
    <w:multiLevelType w:val="hybridMultilevel"/>
    <w:tmpl w:val="E3EC64D8"/>
    <w:lvl w:ilvl="0" w:tplc="8B0A6BD2">
      <w:start w:val="1"/>
      <w:numFmt w:val="lowerRoman"/>
      <w:lvlText w:val="(%1)"/>
      <w:lvlJc w:val="left"/>
      <w:pPr>
        <w:ind w:left="2136" w:hanging="720"/>
      </w:pPr>
      <w:rPr>
        <w:rFonts w:hint="default"/>
      </w:rPr>
    </w:lvl>
    <w:lvl w:ilvl="1" w:tplc="04090019" w:tentative="1">
      <w:start w:val="1"/>
      <w:numFmt w:val="lowerLetter"/>
      <w:lvlText w:val="%2."/>
      <w:lvlJc w:val="left"/>
      <w:pPr>
        <w:ind w:left="2496" w:hanging="360"/>
      </w:pPr>
    </w:lvl>
    <w:lvl w:ilvl="2" w:tplc="0409001B">
      <w:start w:val="1"/>
      <w:numFmt w:val="lowerRoman"/>
      <w:lvlText w:val="%3."/>
      <w:lvlJc w:val="right"/>
      <w:pPr>
        <w:ind w:left="3216" w:hanging="180"/>
      </w:pPr>
    </w:lvl>
    <w:lvl w:ilvl="3" w:tplc="0409000F">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 w15:restartNumberingAfterBreak="0">
    <w:nsid w:val="06162176"/>
    <w:multiLevelType w:val="hybridMultilevel"/>
    <w:tmpl w:val="CB96D222"/>
    <w:lvl w:ilvl="0" w:tplc="0409001B">
      <w:start w:val="1"/>
      <w:numFmt w:val="lowerRoman"/>
      <w:lvlText w:val="%1."/>
      <w:lvlJc w:val="right"/>
      <w:pPr>
        <w:ind w:left="3216" w:hanging="18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541A34"/>
    <w:multiLevelType w:val="hybridMultilevel"/>
    <w:tmpl w:val="0A526866"/>
    <w:lvl w:ilvl="0" w:tplc="12F459A8">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B50246"/>
    <w:multiLevelType w:val="hybridMultilevel"/>
    <w:tmpl w:val="E2DCCA00"/>
    <w:lvl w:ilvl="0" w:tplc="0409001B">
      <w:start w:val="1"/>
      <w:numFmt w:val="lowerRoman"/>
      <w:lvlText w:val="%1."/>
      <w:lvlJc w:val="right"/>
      <w:pPr>
        <w:ind w:left="3216" w:hanging="18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FA3525"/>
    <w:multiLevelType w:val="hybridMultilevel"/>
    <w:tmpl w:val="FAF2C8A8"/>
    <w:lvl w:ilvl="0" w:tplc="04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3299"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BD1473F"/>
    <w:multiLevelType w:val="hybridMultilevel"/>
    <w:tmpl w:val="F9CEFB94"/>
    <w:lvl w:ilvl="0" w:tplc="04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311327E"/>
    <w:multiLevelType w:val="multilevel"/>
    <w:tmpl w:val="451A72BC"/>
    <w:lvl w:ilvl="0">
      <w:start w:val="1"/>
      <w:numFmt w:val="decimal"/>
      <w:lvlText w:val="%1."/>
      <w:lvlJc w:val="left"/>
      <w:pPr>
        <w:ind w:left="360" w:hanging="360"/>
      </w:pPr>
      <w:rPr>
        <w:rFonts w:hint="default"/>
      </w:rPr>
    </w:lvl>
    <w:lvl w:ilvl="1">
      <w:start w:val="1"/>
      <w:numFmt w:val="decimal"/>
      <w:isLgl/>
      <w:lvlText w:val="%1.%2."/>
      <w:lvlJc w:val="left"/>
      <w:pPr>
        <w:ind w:left="2769" w:hanging="360"/>
      </w:pPr>
      <w:rPr>
        <w:rFonts w:ascii="Arial" w:hAnsi="Arial" w:cs="Arial" w:hint="default"/>
        <w:b/>
        <w:bCs/>
        <w:sz w:val="24"/>
        <w:szCs w:val="24"/>
      </w:rPr>
    </w:lvl>
    <w:lvl w:ilvl="2">
      <w:start w:val="1"/>
      <w:numFmt w:val="decimal"/>
      <w:isLgl/>
      <w:lvlText w:val="%1.%2.%3."/>
      <w:lvlJc w:val="left"/>
      <w:pPr>
        <w:ind w:left="398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6EF7496"/>
    <w:multiLevelType w:val="hybridMultilevel"/>
    <w:tmpl w:val="E2DCCA00"/>
    <w:lvl w:ilvl="0" w:tplc="0409001B">
      <w:start w:val="1"/>
      <w:numFmt w:val="lowerRoman"/>
      <w:lvlText w:val="%1."/>
      <w:lvlJc w:val="right"/>
      <w:pPr>
        <w:ind w:left="3216"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8C32BC6"/>
    <w:multiLevelType w:val="multilevel"/>
    <w:tmpl w:val="16E01776"/>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num w:numId="1" w16cid:durableId="1663925334">
    <w:abstractNumId w:val="8"/>
  </w:num>
  <w:num w:numId="2" w16cid:durableId="1590045951">
    <w:abstractNumId w:val="6"/>
  </w:num>
  <w:num w:numId="3" w16cid:durableId="580992145">
    <w:abstractNumId w:val="0"/>
  </w:num>
  <w:num w:numId="4" w16cid:durableId="797455145">
    <w:abstractNumId w:val="3"/>
  </w:num>
  <w:num w:numId="5" w16cid:durableId="1417051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058598">
    <w:abstractNumId w:val="7"/>
  </w:num>
  <w:num w:numId="7" w16cid:durableId="2095317887">
    <w:abstractNumId w:val="1"/>
  </w:num>
  <w:num w:numId="8" w16cid:durableId="2082368916">
    <w:abstractNumId w:val="2"/>
  </w:num>
  <w:num w:numId="9" w16cid:durableId="187645797">
    <w:abstractNumId w:val="4"/>
  </w:num>
  <w:num w:numId="10" w16cid:durableId="828980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evenAndOddHeaders/>
  <w:drawingGridHorizontalSpacing w:val="90"/>
  <w:drawingGridVerticalSpacing w:val="245"/>
  <w:displayHorizont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A5"/>
    <w:rsid w:val="00001482"/>
    <w:rsid w:val="0001238D"/>
    <w:rsid w:val="00015C19"/>
    <w:rsid w:val="00035FDF"/>
    <w:rsid w:val="0005405C"/>
    <w:rsid w:val="00071EA7"/>
    <w:rsid w:val="00072CBD"/>
    <w:rsid w:val="00082CEE"/>
    <w:rsid w:val="00094964"/>
    <w:rsid w:val="000A082E"/>
    <w:rsid w:val="000A307B"/>
    <w:rsid w:val="000C52A6"/>
    <w:rsid w:val="000E50A4"/>
    <w:rsid w:val="000E575F"/>
    <w:rsid w:val="000F4CF2"/>
    <w:rsid w:val="000F58C3"/>
    <w:rsid w:val="000F5ADA"/>
    <w:rsid w:val="00106141"/>
    <w:rsid w:val="00110729"/>
    <w:rsid w:val="00113EB0"/>
    <w:rsid w:val="00120CEE"/>
    <w:rsid w:val="00123CDD"/>
    <w:rsid w:val="00134D9A"/>
    <w:rsid w:val="00135AA9"/>
    <w:rsid w:val="00135BDB"/>
    <w:rsid w:val="00140FC8"/>
    <w:rsid w:val="0014266D"/>
    <w:rsid w:val="00147EF4"/>
    <w:rsid w:val="00153BB3"/>
    <w:rsid w:val="00156DC1"/>
    <w:rsid w:val="00157B01"/>
    <w:rsid w:val="0016067E"/>
    <w:rsid w:val="00160B03"/>
    <w:rsid w:val="00171115"/>
    <w:rsid w:val="00174784"/>
    <w:rsid w:val="00181ED9"/>
    <w:rsid w:val="00184569"/>
    <w:rsid w:val="00191571"/>
    <w:rsid w:val="00196815"/>
    <w:rsid w:val="001A6076"/>
    <w:rsid w:val="001B3C68"/>
    <w:rsid w:val="001B7E0B"/>
    <w:rsid w:val="001E7C29"/>
    <w:rsid w:val="001F297D"/>
    <w:rsid w:val="001F4F04"/>
    <w:rsid w:val="00214299"/>
    <w:rsid w:val="002250DD"/>
    <w:rsid w:val="0023437D"/>
    <w:rsid w:val="00242ABB"/>
    <w:rsid w:val="00251353"/>
    <w:rsid w:val="00262B36"/>
    <w:rsid w:val="00265917"/>
    <w:rsid w:val="002660DB"/>
    <w:rsid w:val="002861FB"/>
    <w:rsid w:val="00293EE6"/>
    <w:rsid w:val="002C0872"/>
    <w:rsid w:val="002C1DBC"/>
    <w:rsid w:val="002C20BA"/>
    <w:rsid w:val="002C43B5"/>
    <w:rsid w:val="002C4704"/>
    <w:rsid w:val="002C4F54"/>
    <w:rsid w:val="002D0655"/>
    <w:rsid w:val="002D0A72"/>
    <w:rsid w:val="002D11B8"/>
    <w:rsid w:val="002E4089"/>
    <w:rsid w:val="002F3006"/>
    <w:rsid w:val="002F405C"/>
    <w:rsid w:val="002F6BB7"/>
    <w:rsid w:val="00303712"/>
    <w:rsid w:val="00326244"/>
    <w:rsid w:val="003354C4"/>
    <w:rsid w:val="00335CAF"/>
    <w:rsid w:val="003364D1"/>
    <w:rsid w:val="0037200F"/>
    <w:rsid w:val="00372F2A"/>
    <w:rsid w:val="00373957"/>
    <w:rsid w:val="00381C50"/>
    <w:rsid w:val="003821AD"/>
    <w:rsid w:val="00385587"/>
    <w:rsid w:val="00390BEA"/>
    <w:rsid w:val="00392D1D"/>
    <w:rsid w:val="003A1131"/>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63D31"/>
    <w:rsid w:val="00480D8B"/>
    <w:rsid w:val="004822CE"/>
    <w:rsid w:val="0049160F"/>
    <w:rsid w:val="004A37E1"/>
    <w:rsid w:val="004C0C2F"/>
    <w:rsid w:val="004C11B3"/>
    <w:rsid w:val="004C41AD"/>
    <w:rsid w:val="004D3338"/>
    <w:rsid w:val="004F6496"/>
    <w:rsid w:val="0050115D"/>
    <w:rsid w:val="005159C2"/>
    <w:rsid w:val="0054041B"/>
    <w:rsid w:val="00543224"/>
    <w:rsid w:val="00550B6C"/>
    <w:rsid w:val="00566DE5"/>
    <w:rsid w:val="00574663"/>
    <w:rsid w:val="00591224"/>
    <w:rsid w:val="005B1FA1"/>
    <w:rsid w:val="005B3604"/>
    <w:rsid w:val="005C6240"/>
    <w:rsid w:val="005C69F0"/>
    <w:rsid w:val="005C73BB"/>
    <w:rsid w:val="005D7CDF"/>
    <w:rsid w:val="005E5E36"/>
    <w:rsid w:val="005F093B"/>
    <w:rsid w:val="005F3DC6"/>
    <w:rsid w:val="00614982"/>
    <w:rsid w:val="00631491"/>
    <w:rsid w:val="00636459"/>
    <w:rsid w:val="00643231"/>
    <w:rsid w:val="00643C3F"/>
    <w:rsid w:val="00644AD3"/>
    <w:rsid w:val="006455FA"/>
    <w:rsid w:val="00655EC8"/>
    <w:rsid w:val="00660638"/>
    <w:rsid w:val="00671684"/>
    <w:rsid w:val="00671EA2"/>
    <w:rsid w:val="006827E4"/>
    <w:rsid w:val="006908C5"/>
    <w:rsid w:val="006977B1"/>
    <w:rsid w:val="006F0318"/>
    <w:rsid w:val="006F6B48"/>
    <w:rsid w:val="00706F64"/>
    <w:rsid w:val="00712E65"/>
    <w:rsid w:val="007150DE"/>
    <w:rsid w:val="00721866"/>
    <w:rsid w:val="007268D4"/>
    <w:rsid w:val="00735569"/>
    <w:rsid w:val="00740E73"/>
    <w:rsid w:val="00745363"/>
    <w:rsid w:val="00747EBC"/>
    <w:rsid w:val="007541C7"/>
    <w:rsid w:val="00754E6F"/>
    <w:rsid w:val="00761627"/>
    <w:rsid w:val="00773CFE"/>
    <w:rsid w:val="00786566"/>
    <w:rsid w:val="00793A8C"/>
    <w:rsid w:val="007A543D"/>
    <w:rsid w:val="007B3DD0"/>
    <w:rsid w:val="007C0AD1"/>
    <w:rsid w:val="007D7B20"/>
    <w:rsid w:val="007E168C"/>
    <w:rsid w:val="007F1706"/>
    <w:rsid w:val="007F5AE5"/>
    <w:rsid w:val="00800A19"/>
    <w:rsid w:val="008042E6"/>
    <w:rsid w:val="00805F04"/>
    <w:rsid w:val="00810D5A"/>
    <w:rsid w:val="00814AA2"/>
    <w:rsid w:val="0082394F"/>
    <w:rsid w:val="0083009F"/>
    <w:rsid w:val="00840A79"/>
    <w:rsid w:val="00853C90"/>
    <w:rsid w:val="008575F2"/>
    <w:rsid w:val="00857F73"/>
    <w:rsid w:val="00873115"/>
    <w:rsid w:val="0087380A"/>
    <w:rsid w:val="00877E5C"/>
    <w:rsid w:val="00886B86"/>
    <w:rsid w:val="00893397"/>
    <w:rsid w:val="008A69B1"/>
    <w:rsid w:val="008B07D4"/>
    <w:rsid w:val="008C12CC"/>
    <w:rsid w:val="00916BF5"/>
    <w:rsid w:val="009215B8"/>
    <w:rsid w:val="00923554"/>
    <w:rsid w:val="0092417C"/>
    <w:rsid w:val="009270C4"/>
    <w:rsid w:val="00931DD8"/>
    <w:rsid w:val="00940F14"/>
    <w:rsid w:val="009432D0"/>
    <w:rsid w:val="00950D67"/>
    <w:rsid w:val="009527D7"/>
    <w:rsid w:val="00955512"/>
    <w:rsid w:val="00961F72"/>
    <w:rsid w:val="00963962"/>
    <w:rsid w:val="00963ADE"/>
    <w:rsid w:val="00974C41"/>
    <w:rsid w:val="009B3AB7"/>
    <w:rsid w:val="009C5258"/>
    <w:rsid w:val="009D28F3"/>
    <w:rsid w:val="009E0A57"/>
    <w:rsid w:val="00A12DEC"/>
    <w:rsid w:val="00A22D53"/>
    <w:rsid w:val="00A23A2B"/>
    <w:rsid w:val="00A46B25"/>
    <w:rsid w:val="00A474E5"/>
    <w:rsid w:val="00A842D4"/>
    <w:rsid w:val="00A916FF"/>
    <w:rsid w:val="00A93CA3"/>
    <w:rsid w:val="00AB6552"/>
    <w:rsid w:val="00AB67F8"/>
    <w:rsid w:val="00AB7727"/>
    <w:rsid w:val="00AC73AA"/>
    <w:rsid w:val="00AE457A"/>
    <w:rsid w:val="00AE76B8"/>
    <w:rsid w:val="00AF73B5"/>
    <w:rsid w:val="00B04CD7"/>
    <w:rsid w:val="00B06133"/>
    <w:rsid w:val="00B129D8"/>
    <w:rsid w:val="00B2045B"/>
    <w:rsid w:val="00B227AE"/>
    <w:rsid w:val="00B41B03"/>
    <w:rsid w:val="00B41EC3"/>
    <w:rsid w:val="00B55291"/>
    <w:rsid w:val="00B63F08"/>
    <w:rsid w:val="00B64F15"/>
    <w:rsid w:val="00B67804"/>
    <w:rsid w:val="00B81BAC"/>
    <w:rsid w:val="00B849E0"/>
    <w:rsid w:val="00B90246"/>
    <w:rsid w:val="00B920E4"/>
    <w:rsid w:val="00BA41D0"/>
    <w:rsid w:val="00BA464D"/>
    <w:rsid w:val="00BA79A3"/>
    <w:rsid w:val="00BB7DCE"/>
    <w:rsid w:val="00BD25C0"/>
    <w:rsid w:val="00BE4EAD"/>
    <w:rsid w:val="00BE7F59"/>
    <w:rsid w:val="00BF4216"/>
    <w:rsid w:val="00C049EE"/>
    <w:rsid w:val="00C109FD"/>
    <w:rsid w:val="00C14C2C"/>
    <w:rsid w:val="00C22DA6"/>
    <w:rsid w:val="00C409C2"/>
    <w:rsid w:val="00C628A1"/>
    <w:rsid w:val="00C74E6F"/>
    <w:rsid w:val="00C8348A"/>
    <w:rsid w:val="00C850A5"/>
    <w:rsid w:val="00C92F89"/>
    <w:rsid w:val="00CC39DC"/>
    <w:rsid w:val="00CE1FF8"/>
    <w:rsid w:val="00CE2C7B"/>
    <w:rsid w:val="00CE4890"/>
    <w:rsid w:val="00CE6FD2"/>
    <w:rsid w:val="00CF3820"/>
    <w:rsid w:val="00D0182E"/>
    <w:rsid w:val="00D0265B"/>
    <w:rsid w:val="00D24A57"/>
    <w:rsid w:val="00D47925"/>
    <w:rsid w:val="00D506B8"/>
    <w:rsid w:val="00D53526"/>
    <w:rsid w:val="00D550AB"/>
    <w:rsid w:val="00D554E6"/>
    <w:rsid w:val="00D70628"/>
    <w:rsid w:val="00D81E77"/>
    <w:rsid w:val="00D8366E"/>
    <w:rsid w:val="00D84327"/>
    <w:rsid w:val="00D91F19"/>
    <w:rsid w:val="00DA7643"/>
    <w:rsid w:val="00DB029C"/>
    <w:rsid w:val="00DC162E"/>
    <w:rsid w:val="00DC4A39"/>
    <w:rsid w:val="00DC73CF"/>
    <w:rsid w:val="00DE0A21"/>
    <w:rsid w:val="00DF6796"/>
    <w:rsid w:val="00E125C6"/>
    <w:rsid w:val="00E15639"/>
    <w:rsid w:val="00E173B5"/>
    <w:rsid w:val="00E24C57"/>
    <w:rsid w:val="00E34018"/>
    <w:rsid w:val="00E457C3"/>
    <w:rsid w:val="00E475F9"/>
    <w:rsid w:val="00E50974"/>
    <w:rsid w:val="00E54322"/>
    <w:rsid w:val="00E56573"/>
    <w:rsid w:val="00E57C41"/>
    <w:rsid w:val="00E8041E"/>
    <w:rsid w:val="00E82B49"/>
    <w:rsid w:val="00E86611"/>
    <w:rsid w:val="00E940BF"/>
    <w:rsid w:val="00EA643A"/>
    <w:rsid w:val="00EE34E3"/>
    <w:rsid w:val="00EF5489"/>
    <w:rsid w:val="00EF6917"/>
    <w:rsid w:val="00F01885"/>
    <w:rsid w:val="00F168A4"/>
    <w:rsid w:val="00F2380B"/>
    <w:rsid w:val="00F24713"/>
    <w:rsid w:val="00F40526"/>
    <w:rsid w:val="00F40699"/>
    <w:rsid w:val="00F433D6"/>
    <w:rsid w:val="00F61D34"/>
    <w:rsid w:val="00F76BBD"/>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99E7F"/>
  <w15:docId w15:val="{C69F01F8-C04F-4002-86CB-4BCEB99F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F58C3"/>
    <w:rPr>
      <w:rFonts w:ascii="Arial" w:hAnsi="Arial"/>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1491"/>
    <w:pPr>
      <w:tabs>
        <w:tab w:val="center" w:pos="4820"/>
        <w:tab w:val="right" w:pos="9639"/>
      </w:tabs>
    </w:pPr>
    <w:rPr>
      <w:sz w:val="18"/>
    </w:rPr>
  </w:style>
  <w:style w:type="character" w:customStyle="1" w:styleId="NagwekZnak">
    <w:name w:val="Nagłówek Znak"/>
    <w:link w:val="Nagwek"/>
    <w:uiPriority w:val="99"/>
    <w:rsid w:val="00631491"/>
    <w:rPr>
      <w:rFonts w:ascii="Arial" w:hAnsi="Arial"/>
      <w:sz w:val="18"/>
      <w:szCs w:val="22"/>
      <w:lang w:eastAsia="en-US"/>
    </w:rPr>
  </w:style>
  <w:style w:type="paragraph" w:styleId="Stopka">
    <w:name w:val="footer"/>
    <w:basedOn w:val="Normalny"/>
    <w:link w:val="StopkaZnak"/>
    <w:uiPriority w:val="99"/>
    <w:unhideWhenUsed/>
    <w:rsid w:val="00FD6043"/>
    <w:pPr>
      <w:tabs>
        <w:tab w:val="center" w:pos="4513"/>
        <w:tab w:val="right" w:pos="9026"/>
      </w:tabs>
    </w:pPr>
  </w:style>
  <w:style w:type="character" w:customStyle="1" w:styleId="StopkaZnak">
    <w:name w:val="Stopka Znak"/>
    <w:basedOn w:val="Domylnaczcionkaakapitu"/>
    <w:link w:val="Stopka"/>
    <w:uiPriority w:val="99"/>
    <w:rsid w:val="00FD6043"/>
  </w:style>
  <w:style w:type="paragraph" w:styleId="Tekstdymka">
    <w:name w:val="Balloon Text"/>
    <w:basedOn w:val="Normalny"/>
    <w:link w:val="TekstdymkaZnak"/>
    <w:uiPriority w:val="99"/>
    <w:semiHidden/>
    <w:unhideWhenUsed/>
    <w:rsid w:val="00FD6043"/>
    <w:rPr>
      <w:rFonts w:ascii="Tahoma" w:hAnsi="Tahoma" w:cs="Tahoma"/>
      <w:sz w:val="16"/>
      <w:szCs w:val="16"/>
    </w:rPr>
  </w:style>
  <w:style w:type="character" w:customStyle="1" w:styleId="TekstdymkaZnak">
    <w:name w:val="Tekst dymka Znak"/>
    <w:link w:val="Tekstdymka"/>
    <w:uiPriority w:val="99"/>
    <w:semiHidden/>
    <w:rsid w:val="00FD6043"/>
    <w:rPr>
      <w:rFonts w:ascii="Tahoma" w:hAnsi="Tahoma" w:cs="Tahoma"/>
      <w:sz w:val="16"/>
      <w:szCs w:val="16"/>
    </w:rPr>
  </w:style>
  <w:style w:type="table" w:styleId="Tabela-Siatka">
    <w:name w:val="Table Grid"/>
    <w:basedOn w:val="Standardowy"/>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ny"/>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ipercze">
    <w:name w:val="Hyperlink"/>
    <w:unhideWhenUsed/>
    <w:rsid w:val="00AE76B8"/>
    <w:rPr>
      <w:color w:val="auto"/>
      <w:u w:val="none"/>
    </w:rPr>
  </w:style>
  <w:style w:type="character" w:styleId="Numerstrony">
    <w:name w:val="page number"/>
    <w:basedOn w:val="Domylnaczcionkaakapitu"/>
    <w:uiPriority w:val="99"/>
    <w:semiHidden/>
    <w:unhideWhenUsed/>
    <w:rsid w:val="00E24C57"/>
  </w:style>
  <w:style w:type="character" w:styleId="Odwoaniedokomentarza">
    <w:name w:val="annotation reference"/>
    <w:uiPriority w:val="99"/>
    <w:semiHidden/>
    <w:unhideWhenUsed/>
    <w:rsid w:val="002250DD"/>
    <w:rPr>
      <w:sz w:val="18"/>
      <w:szCs w:val="18"/>
    </w:rPr>
  </w:style>
  <w:style w:type="paragraph" w:styleId="Tekstkomentarza">
    <w:name w:val="annotation text"/>
    <w:basedOn w:val="Normalny"/>
    <w:link w:val="TekstkomentarzaZnak"/>
    <w:uiPriority w:val="99"/>
    <w:semiHidden/>
    <w:unhideWhenUsed/>
    <w:rsid w:val="002250DD"/>
    <w:rPr>
      <w:sz w:val="24"/>
      <w:szCs w:val="24"/>
    </w:rPr>
  </w:style>
  <w:style w:type="character" w:customStyle="1" w:styleId="TekstkomentarzaZnak">
    <w:name w:val="Tekst komentarza Znak"/>
    <w:link w:val="Tekstkomentarza"/>
    <w:uiPriority w:val="99"/>
    <w:semiHidden/>
    <w:rsid w:val="002250DD"/>
    <w:rPr>
      <w:sz w:val="24"/>
      <w:szCs w:val="24"/>
    </w:rPr>
  </w:style>
  <w:style w:type="paragraph" w:styleId="Tematkomentarza">
    <w:name w:val="annotation subject"/>
    <w:basedOn w:val="Tekstkomentarza"/>
    <w:next w:val="Tekstkomentarza"/>
    <w:link w:val="TematkomentarzaZnak"/>
    <w:uiPriority w:val="99"/>
    <w:semiHidden/>
    <w:unhideWhenUsed/>
    <w:rsid w:val="002250DD"/>
    <w:rPr>
      <w:b/>
      <w:bCs/>
      <w:sz w:val="20"/>
      <w:szCs w:val="20"/>
    </w:rPr>
  </w:style>
  <w:style w:type="character" w:customStyle="1" w:styleId="TematkomentarzaZnak">
    <w:name w:val="Temat komentarza Znak"/>
    <w:link w:val="Tematkomentarza"/>
    <w:uiPriority w:val="99"/>
    <w:semiHidden/>
    <w:rsid w:val="002250DD"/>
    <w:rPr>
      <w:b/>
      <w:bCs/>
      <w:sz w:val="20"/>
      <w:szCs w:val="20"/>
    </w:rPr>
  </w:style>
  <w:style w:type="paragraph" w:styleId="Tekstprzypisudolnego">
    <w:name w:val="footnote text"/>
    <w:basedOn w:val="Normalny"/>
    <w:link w:val="TekstprzypisudolnegoZnak"/>
    <w:uiPriority w:val="99"/>
    <w:semiHidden/>
    <w:unhideWhenUsed/>
    <w:rsid w:val="009C5258"/>
    <w:rPr>
      <w:sz w:val="16"/>
      <w:szCs w:val="20"/>
    </w:rPr>
  </w:style>
  <w:style w:type="character" w:customStyle="1" w:styleId="TekstprzypisudolnegoZnak">
    <w:name w:val="Tekst przypisu dolnego Znak"/>
    <w:link w:val="Tekstprzypisudolnego"/>
    <w:uiPriority w:val="99"/>
    <w:semiHidden/>
    <w:rsid w:val="009C5258"/>
    <w:rPr>
      <w:rFonts w:ascii="Arial" w:hAnsi="Arial"/>
      <w:sz w:val="16"/>
      <w:lang w:val="pl-PL" w:eastAsia="en-US"/>
    </w:rPr>
  </w:style>
  <w:style w:type="character" w:styleId="Odwoanieprzypisudolnego">
    <w:name w:val="footnote reference"/>
    <w:aliases w:val="callout,Footnotes refss,Fußnotenzeichen_Raxen Car,SUPERS Car,Footnote symbol Car,Times 10 Point Car,Exposant 3 Point Car,En-tête Car Char Char Car,callout Car,Footnotes refss Car,callout Char Char Char Char Char,callout Char,4"/>
    <w:link w:val="calloutCharCharCharChar"/>
    <w:uiPriority w:val="99"/>
    <w:unhideWhenUsed/>
    <w:qFormat/>
    <w:rsid w:val="00853C90"/>
    <w:rPr>
      <w:vertAlign w:val="superscript"/>
    </w:rPr>
  </w:style>
  <w:style w:type="paragraph" w:styleId="Akapitzlist">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ny"/>
    <w:link w:val="AkapitzlistZnak"/>
    <w:uiPriority w:val="34"/>
    <w:qFormat/>
    <w:rsid w:val="00C850A5"/>
    <w:pPr>
      <w:ind w:left="720"/>
      <w:contextualSpacing/>
    </w:pPr>
  </w:style>
  <w:style w:type="character" w:customStyle="1" w:styleId="AkapitzlistZnak">
    <w:name w:val="Akapit z listą Znak"/>
    <w:aliases w:val="MAIN CONTENT Znak,List Paragraph12 Znak,Colorful List - Accent 11 Znak,List Paragraph2 Znak,Normal numbered Znak,List Paragraph11 Znak,OBC Bullet Znak,F5 List Paragraph Znak,List Paragraph1 Znak,Dot pt Znak,Indicator Text Znak"/>
    <w:link w:val="Akapitzlist"/>
    <w:uiPriority w:val="34"/>
    <w:qFormat/>
    <w:rsid w:val="00C850A5"/>
    <w:rPr>
      <w:rFonts w:ascii="Arial" w:hAnsi="Arial"/>
      <w:szCs w:val="22"/>
      <w:lang w:eastAsia="en-US"/>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ny"/>
    <w:link w:val="Odwoanieprzypisudolnego"/>
    <w:uiPriority w:val="99"/>
    <w:qFormat/>
    <w:rsid w:val="00C850A5"/>
    <w:pPr>
      <w:spacing w:after="160" w:line="240" w:lineRule="exact"/>
    </w:pPr>
    <w:rPr>
      <w:rFonts w:ascii="Calibri" w:hAnsi="Calibri"/>
      <w:szCs w:val="20"/>
      <w:vertAlign w:val="superscript"/>
      <w:lang w:eastAsia="en-GB"/>
    </w:rPr>
  </w:style>
  <w:style w:type="character" w:customStyle="1" w:styleId="Nierozpoznanawzmianka1">
    <w:name w:val="Nierozpoznana wzmianka1"/>
    <w:basedOn w:val="Domylnaczcionkaakapitu"/>
    <w:uiPriority w:val="99"/>
    <w:semiHidden/>
    <w:unhideWhenUsed/>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BA6057D-C2B0-469E-A878-332BC5B8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3462</Words>
  <Characters>20776</Characters>
  <Application>Microsoft Office Word</Application>
  <DocSecurity>0</DocSecurity>
  <Lines>173</Lines>
  <Paragraphs>48</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24190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 Denise</dc:creator>
  <cp:lastModifiedBy>Mioduszewski Piotr  (DWMPC)</cp:lastModifiedBy>
  <cp:revision>2</cp:revision>
  <cp:lastPrinted>2021-03-31T08:05:00Z</cp:lastPrinted>
  <dcterms:created xsi:type="dcterms:W3CDTF">2024-10-04T08:31:00Z</dcterms:created>
  <dcterms:modified xsi:type="dcterms:W3CDTF">2024-10-04T08:31:00Z</dcterms:modified>
</cp:coreProperties>
</file>