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8E06E" w14:textId="77777777" w:rsidR="00844D1D" w:rsidRDefault="00844D1D" w:rsidP="008C0E92">
      <w:pPr>
        <w:jc w:val="center"/>
        <w:rPr>
          <w:rFonts w:ascii="Lato" w:hAnsi="Lato"/>
          <w:b/>
          <w:bCs/>
          <w:color w:val="00B0F0"/>
          <w:sz w:val="32"/>
          <w:szCs w:val="32"/>
          <w:u w:val="single"/>
        </w:rPr>
      </w:pPr>
    </w:p>
    <w:p w14:paraId="7CC758A3" w14:textId="2C396E4A" w:rsidR="00AD08C5" w:rsidRPr="00500CF7" w:rsidRDefault="006A7DCE" w:rsidP="008C0E92">
      <w:pPr>
        <w:jc w:val="center"/>
        <w:rPr>
          <w:rFonts w:ascii="Lato" w:hAnsi="Lato"/>
          <w:b/>
          <w:bCs/>
          <w:color w:val="00B0F0"/>
          <w:sz w:val="32"/>
          <w:szCs w:val="32"/>
          <w:u w:val="single"/>
        </w:rPr>
      </w:pPr>
      <w:r w:rsidRPr="00500CF7">
        <w:rPr>
          <w:rFonts w:ascii="Lato" w:hAnsi="Lato"/>
          <w:b/>
          <w:bCs/>
          <w:color w:val="00B0F0"/>
          <w:sz w:val="32"/>
          <w:szCs w:val="32"/>
          <w:u w:val="single"/>
        </w:rPr>
        <w:t>OBWIESZCZENI</w:t>
      </w:r>
      <w:r w:rsidR="005C6551" w:rsidRPr="00500CF7">
        <w:rPr>
          <w:rFonts w:ascii="Lato" w:hAnsi="Lato"/>
          <w:b/>
          <w:bCs/>
          <w:color w:val="00B0F0"/>
          <w:sz w:val="32"/>
          <w:szCs w:val="32"/>
          <w:u w:val="single"/>
        </w:rPr>
        <w:t>E</w:t>
      </w:r>
      <w:r w:rsidRPr="00500CF7">
        <w:rPr>
          <w:rFonts w:ascii="Lato" w:hAnsi="Lato"/>
          <w:b/>
          <w:bCs/>
          <w:color w:val="00B0F0"/>
          <w:sz w:val="32"/>
          <w:szCs w:val="32"/>
          <w:u w:val="single"/>
        </w:rPr>
        <w:t xml:space="preserve"> REFUNDACYJNE NR </w:t>
      </w:r>
      <w:r w:rsidR="009A0BD2" w:rsidRPr="00500CF7">
        <w:rPr>
          <w:rFonts w:ascii="Lato" w:hAnsi="Lato"/>
          <w:b/>
          <w:bCs/>
          <w:color w:val="00B0F0"/>
          <w:sz w:val="32"/>
          <w:szCs w:val="32"/>
          <w:u w:val="single"/>
        </w:rPr>
        <w:t>84</w:t>
      </w:r>
      <w:r w:rsidR="0056748F" w:rsidRPr="00500CF7">
        <w:rPr>
          <w:rFonts w:ascii="Lato" w:hAnsi="Lato"/>
          <w:b/>
          <w:bCs/>
          <w:color w:val="00B0F0"/>
          <w:sz w:val="32"/>
          <w:szCs w:val="32"/>
          <w:u w:val="single"/>
        </w:rPr>
        <w:t xml:space="preserve"> (1 </w:t>
      </w:r>
      <w:r w:rsidR="009A0BD2" w:rsidRPr="00500CF7">
        <w:rPr>
          <w:rFonts w:ascii="Lato" w:hAnsi="Lato"/>
          <w:b/>
          <w:bCs/>
          <w:color w:val="00B0F0"/>
          <w:sz w:val="32"/>
          <w:szCs w:val="32"/>
          <w:u w:val="single"/>
        </w:rPr>
        <w:t>PAŹDZIERNIKA</w:t>
      </w:r>
      <w:r w:rsidR="00FB2364" w:rsidRPr="00500CF7">
        <w:rPr>
          <w:rFonts w:ascii="Lato" w:hAnsi="Lato"/>
          <w:b/>
          <w:bCs/>
          <w:color w:val="00B0F0"/>
          <w:sz w:val="32"/>
          <w:szCs w:val="32"/>
          <w:u w:val="single"/>
        </w:rPr>
        <w:t xml:space="preserve"> </w:t>
      </w:r>
      <w:r w:rsidR="0056748F" w:rsidRPr="00500CF7">
        <w:rPr>
          <w:rFonts w:ascii="Lato" w:hAnsi="Lato"/>
          <w:b/>
          <w:bCs/>
          <w:color w:val="00B0F0"/>
          <w:sz w:val="32"/>
          <w:szCs w:val="32"/>
          <w:u w:val="single"/>
        </w:rPr>
        <w:t>202</w:t>
      </w:r>
      <w:r w:rsidR="009A0BD2" w:rsidRPr="00500CF7">
        <w:rPr>
          <w:rFonts w:ascii="Lato" w:hAnsi="Lato"/>
          <w:b/>
          <w:bCs/>
          <w:color w:val="00B0F0"/>
          <w:sz w:val="32"/>
          <w:szCs w:val="32"/>
          <w:u w:val="single"/>
        </w:rPr>
        <w:t>6</w:t>
      </w:r>
      <w:r w:rsidR="0056748F" w:rsidRPr="00500CF7">
        <w:rPr>
          <w:rFonts w:ascii="Lato" w:hAnsi="Lato"/>
          <w:b/>
          <w:bCs/>
          <w:color w:val="00B0F0"/>
          <w:sz w:val="32"/>
          <w:szCs w:val="32"/>
          <w:u w:val="single"/>
        </w:rPr>
        <w:t xml:space="preserve"> r.)</w:t>
      </w:r>
    </w:p>
    <w:p w14:paraId="7F23692A" w14:textId="1CFCE066" w:rsidR="00960C43" w:rsidRPr="00873103" w:rsidRDefault="00844D1D" w:rsidP="00844D1D">
      <w:pPr>
        <w:spacing w:before="240" w:after="120" w:line="276" w:lineRule="auto"/>
        <w:jc w:val="both"/>
        <w:rPr>
          <w:rFonts w:ascii="Lato" w:hAnsi="Lato"/>
        </w:rPr>
      </w:pPr>
      <w:r w:rsidRPr="00873103">
        <w:rPr>
          <w:rFonts w:ascii="Lato" w:hAnsi="Lato"/>
        </w:rPr>
        <w:t xml:space="preserve">W ramach ostatniego wykazu w roku 2026, finansowaniem ze środków publicznych zostały objęte </w:t>
      </w:r>
      <w:r w:rsidRPr="00873103">
        <w:rPr>
          <w:rFonts w:ascii="Lato" w:hAnsi="Lato"/>
          <w:b/>
          <w:bCs/>
        </w:rPr>
        <w:t>24 nowe cząsteczko – wskazania</w:t>
      </w:r>
      <w:r w:rsidRPr="00873103">
        <w:rPr>
          <w:rFonts w:ascii="Lato" w:hAnsi="Lato"/>
        </w:rPr>
        <w:t>, w tym:</w:t>
      </w:r>
    </w:p>
    <w:p w14:paraId="0C865FFB" w14:textId="77777777" w:rsidR="00960C43" w:rsidRPr="00873103" w:rsidRDefault="00960C43" w:rsidP="00844D1D">
      <w:pPr>
        <w:pStyle w:val="Akapitzlist"/>
        <w:numPr>
          <w:ilvl w:val="0"/>
          <w:numId w:val="32"/>
        </w:numPr>
        <w:spacing w:before="240" w:after="120" w:line="276" w:lineRule="auto"/>
        <w:jc w:val="both"/>
        <w:rPr>
          <w:rFonts w:ascii="Lato" w:hAnsi="Lato"/>
        </w:rPr>
      </w:pPr>
      <w:r w:rsidRPr="00873103">
        <w:rPr>
          <w:rFonts w:ascii="Lato" w:hAnsi="Lato"/>
        </w:rPr>
        <w:t>13 cząsteczko – wskazań onkologicznych,</w:t>
      </w:r>
    </w:p>
    <w:p w14:paraId="1A1CCD11" w14:textId="77777777" w:rsidR="00960C43" w:rsidRPr="00873103" w:rsidRDefault="00960C43" w:rsidP="00844D1D">
      <w:pPr>
        <w:pStyle w:val="Akapitzlist"/>
        <w:numPr>
          <w:ilvl w:val="0"/>
          <w:numId w:val="32"/>
        </w:numPr>
        <w:spacing w:before="240" w:after="120" w:line="276" w:lineRule="auto"/>
        <w:jc w:val="both"/>
        <w:rPr>
          <w:rFonts w:ascii="Lato" w:hAnsi="Lato"/>
        </w:rPr>
      </w:pPr>
      <w:r w:rsidRPr="00873103">
        <w:rPr>
          <w:rFonts w:ascii="Lato" w:hAnsi="Lato"/>
        </w:rPr>
        <w:t>11 cząsteczko - wskazań nieonkologicznych,</w:t>
      </w:r>
    </w:p>
    <w:p w14:paraId="5DF3D772" w14:textId="77777777" w:rsidR="00960C43" w:rsidRPr="00873103" w:rsidRDefault="00960C43" w:rsidP="00844D1D">
      <w:pPr>
        <w:pStyle w:val="Akapitzlist"/>
        <w:numPr>
          <w:ilvl w:val="0"/>
          <w:numId w:val="32"/>
        </w:numPr>
        <w:spacing w:before="240" w:after="120" w:line="276" w:lineRule="auto"/>
        <w:jc w:val="both"/>
        <w:rPr>
          <w:rFonts w:ascii="Lato" w:hAnsi="Lato"/>
        </w:rPr>
      </w:pPr>
      <w:r w:rsidRPr="00873103">
        <w:rPr>
          <w:rFonts w:ascii="Lato" w:hAnsi="Lato"/>
        </w:rPr>
        <w:t>8 cząsteczko - wskazań dedykowanych chorobom rzadkim.</w:t>
      </w:r>
    </w:p>
    <w:p w14:paraId="6E9D1B2F" w14:textId="77777777" w:rsidR="00960C43" w:rsidRPr="00873103" w:rsidRDefault="00960C43" w:rsidP="00844D1D">
      <w:pPr>
        <w:spacing w:before="240" w:after="120" w:line="276" w:lineRule="auto"/>
        <w:jc w:val="both"/>
        <w:rPr>
          <w:rFonts w:ascii="Lato" w:hAnsi="Lato"/>
        </w:rPr>
      </w:pPr>
      <w:r w:rsidRPr="00873103">
        <w:rPr>
          <w:rFonts w:ascii="Lato" w:hAnsi="Lato"/>
        </w:rPr>
        <w:t>Obwieszczenie refundacyjne obowiązujące od 1 października 2026 r. (nr 84), w porównaniu do obwieszczenia 83 zawiera następujące zmiany:</w:t>
      </w:r>
    </w:p>
    <w:p w14:paraId="1C28D40F" w14:textId="77777777" w:rsidR="00960C43" w:rsidRPr="00873103" w:rsidRDefault="00960C43" w:rsidP="00844D1D">
      <w:pPr>
        <w:numPr>
          <w:ilvl w:val="0"/>
          <w:numId w:val="4"/>
        </w:numPr>
        <w:spacing w:before="240" w:after="120" w:line="276" w:lineRule="auto"/>
        <w:jc w:val="both"/>
        <w:rPr>
          <w:rFonts w:ascii="Lato" w:hAnsi="Lato"/>
        </w:rPr>
      </w:pPr>
      <w:r w:rsidRPr="00873103">
        <w:rPr>
          <w:rFonts w:ascii="Lato" w:hAnsi="Lato"/>
        </w:rPr>
        <w:t>W związku z wydaniem pozytywnych decyzji o objęciu refundacją ogółem do wykazu zostało dodanych 174 produktów bądź nowych wskazań.</w:t>
      </w:r>
    </w:p>
    <w:p w14:paraId="655C1232" w14:textId="77777777" w:rsidR="00960C43" w:rsidRPr="00873103" w:rsidRDefault="00960C43" w:rsidP="00844D1D">
      <w:pPr>
        <w:numPr>
          <w:ilvl w:val="0"/>
          <w:numId w:val="4"/>
        </w:numPr>
        <w:spacing w:before="240" w:after="120" w:line="276" w:lineRule="auto"/>
        <w:jc w:val="both"/>
        <w:rPr>
          <w:rFonts w:ascii="Lato" w:hAnsi="Lato"/>
        </w:rPr>
      </w:pPr>
      <w:r w:rsidRPr="00873103">
        <w:rPr>
          <w:rFonts w:ascii="Lato" w:hAnsi="Lato"/>
        </w:rPr>
        <w:t>Dla 86 produktów wprowadzono obniżki cen zbytu netto (od 0,01 zł do -141 692,90 zł).</w:t>
      </w:r>
    </w:p>
    <w:p w14:paraId="183304B3" w14:textId="77777777" w:rsidR="00960C43" w:rsidRPr="00873103" w:rsidRDefault="00960C43" w:rsidP="00844D1D">
      <w:pPr>
        <w:numPr>
          <w:ilvl w:val="0"/>
          <w:numId w:val="4"/>
        </w:numPr>
        <w:spacing w:before="240" w:after="120" w:line="276" w:lineRule="auto"/>
        <w:jc w:val="both"/>
        <w:rPr>
          <w:rFonts w:ascii="Lato" w:hAnsi="Lato"/>
        </w:rPr>
      </w:pPr>
      <w:r w:rsidRPr="00873103">
        <w:rPr>
          <w:rFonts w:ascii="Lato" w:hAnsi="Lato"/>
        </w:rPr>
        <w:t>Dla 13 produktów wprowadzono podwyżki cen zbytu netto (od 0,42 zł do 300,00 zł).</w:t>
      </w:r>
    </w:p>
    <w:p w14:paraId="7847F627" w14:textId="77777777" w:rsidR="00960C43" w:rsidRPr="00873103" w:rsidRDefault="00960C43" w:rsidP="00844D1D">
      <w:pPr>
        <w:numPr>
          <w:ilvl w:val="0"/>
          <w:numId w:val="4"/>
        </w:numPr>
        <w:spacing w:before="240" w:after="120" w:line="276" w:lineRule="auto"/>
        <w:jc w:val="both"/>
        <w:rPr>
          <w:rFonts w:ascii="Lato" w:hAnsi="Lato"/>
        </w:rPr>
      </w:pPr>
      <w:r w:rsidRPr="00873103">
        <w:rPr>
          <w:rFonts w:ascii="Lato" w:hAnsi="Lato"/>
        </w:rPr>
        <w:t>Dla 312 pozycji w obwieszczeniu spadnie dopłata pacjenta (od 0,01 zł do 212,80 zł).</w:t>
      </w:r>
    </w:p>
    <w:p w14:paraId="7BBB4008" w14:textId="77777777" w:rsidR="00960C43" w:rsidRPr="00873103" w:rsidRDefault="00960C43" w:rsidP="00844D1D">
      <w:pPr>
        <w:numPr>
          <w:ilvl w:val="0"/>
          <w:numId w:val="4"/>
        </w:numPr>
        <w:spacing w:before="240" w:after="120" w:line="276" w:lineRule="auto"/>
        <w:jc w:val="both"/>
        <w:rPr>
          <w:rFonts w:ascii="Lato" w:hAnsi="Lato"/>
        </w:rPr>
      </w:pPr>
      <w:r w:rsidRPr="00873103">
        <w:rPr>
          <w:rFonts w:ascii="Lato" w:hAnsi="Lato"/>
        </w:rPr>
        <w:t>Dla 155 pozycji w obwieszczeniu wzrośnie dopłata pacjenta (od 0,01 zł do 177,44 zł).</w:t>
      </w:r>
    </w:p>
    <w:p w14:paraId="59947B80" w14:textId="77777777" w:rsidR="00960C43" w:rsidRPr="00873103" w:rsidRDefault="00960C43" w:rsidP="00844D1D">
      <w:pPr>
        <w:numPr>
          <w:ilvl w:val="0"/>
          <w:numId w:val="4"/>
        </w:numPr>
        <w:spacing w:before="240" w:after="120" w:line="276" w:lineRule="auto"/>
        <w:jc w:val="both"/>
        <w:rPr>
          <w:rFonts w:ascii="Lato" w:hAnsi="Lato"/>
        </w:rPr>
      </w:pPr>
      <w:r w:rsidRPr="00873103">
        <w:rPr>
          <w:rFonts w:ascii="Lato" w:hAnsi="Lato"/>
        </w:rPr>
        <w:t>Dla 203 produktów ulegną obniżeniu ceny detaliczne (od 0,01 zł do 273,68 zł).</w:t>
      </w:r>
    </w:p>
    <w:p w14:paraId="3052BC6F" w14:textId="77777777" w:rsidR="00960C43" w:rsidRPr="00873103" w:rsidRDefault="00960C43" w:rsidP="00844D1D">
      <w:pPr>
        <w:numPr>
          <w:ilvl w:val="0"/>
          <w:numId w:val="4"/>
        </w:numPr>
        <w:spacing w:before="240" w:after="120" w:line="276" w:lineRule="auto"/>
        <w:jc w:val="both"/>
        <w:rPr>
          <w:rFonts w:ascii="Lato" w:hAnsi="Lato"/>
        </w:rPr>
      </w:pPr>
      <w:r w:rsidRPr="00873103">
        <w:rPr>
          <w:rFonts w:ascii="Lato" w:hAnsi="Lato"/>
        </w:rPr>
        <w:t>Dla 258 produktów wzrosną ceny detaliczne (od 0,01 zł do 5,06 zł).</w:t>
      </w:r>
    </w:p>
    <w:p w14:paraId="6B466A0C" w14:textId="3677A0C7" w:rsidR="004D093B" w:rsidRDefault="00960C43" w:rsidP="00844D1D">
      <w:pPr>
        <w:numPr>
          <w:ilvl w:val="0"/>
          <w:numId w:val="4"/>
        </w:numPr>
        <w:suppressAutoHyphens w:val="0"/>
        <w:spacing w:after="0" w:line="276" w:lineRule="auto"/>
        <w:jc w:val="both"/>
        <w:rPr>
          <w:rFonts w:ascii="Lato" w:hAnsi="Lato"/>
          <w:sz w:val="24"/>
          <w:szCs w:val="24"/>
        </w:rPr>
      </w:pPr>
      <w:r w:rsidRPr="00873103">
        <w:rPr>
          <w:rFonts w:ascii="Lato" w:hAnsi="Lato"/>
        </w:rPr>
        <w:t>W związku z wpłynięciem wniosków o skrócenie terminu obowiązywania decyzji refundacyjnych lub upłynięciem terminu obowiązywania decyzji refundacyjnych lub odmową refundacji na kolejny okres w obwieszczeniu nie znajdzie się 76 produktów bądź wskazań figurujących w poprzednim obwieszczeniu.</w:t>
      </w:r>
      <w:r w:rsidR="000E21E5" w:rsidRPr="009B76E4">
        <w:rPr>
          <w:rFonts w:ascii="Lato" w:hAnsi="Lato"/>
          <w:sz w:val="24"/>
          <w:szCs w:val="24"/>
        </w:rPr>
        <w:br w:type="page"/>
      </w:r>
    </w:p>
    <w:p w14:paraId="0C033235" w14:textId="0CA7D79B" w:rsidR="00F06429" w:rsidRDefault="00F06429" w:rsidP="00960C43">
      <w:pPr>
        <w:suppressAutoHyphens w:val="0"/>
        <w:spacing w:after="0" w:line="276" w:lineRule="auto"/>
        <w:ind w:left="-567" w:right="-313"/>
        <w:jc w:val="both"/>
        <w:rPr>
          <w:rFonts w:ascii="Lato" w:hAnsi="Lato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05BBCAA" wp14:editId="5B28FC1D">
            <wp:extent cx="4680000" cy="3060000"/>
            <wp:effectExtent l="0" t="0" r="6350" b="7620"/>
            <wp:docPr id="926447230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23A0AD5C-D4BF-4213-B61E-AB86BE2BF4B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>
        <w:rPr>
          <w:rFonts w:ascii="Lato" w:hAnsi="Lato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1E071320" wp14:editId="2801DBED">
            <wp:extent cx="4680000" cy="3060000"/>
            <wp:effectExtent l="0" t="0" r="6350" b="7620"/>
            <wp:docPr id="2123743752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ED043A22-9FF8-4F7A-AABD-A24ADEDB8DF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9169CFF" w14:textId="4855033E" w:rsidR="00F06429" w:rsidRDefault="0066013D" w:rsidP="00960C43">
      <w:pPr>
        <w:suppressAutoHyphens w:val="0"/>
        <w:spacing w:after="0" w:line="276" w:lineRule="auto"/>
        <w:ind w:left="-567" w:right="-313"/>
        <w:jc w:val="both"/>
        <w:rPr>
          <w:rFonts w:ascii="Lato" w:hAnsi="Lato"/>
          <w:sz w:val="24"/>
          <w:szCs w:val="24"/>
        </w:rPr>
      </w:pPr>
      <w:r>
        <w:rPr>
          <w:noProof/>
        </w:rPr>
        <w:drawing>
          <wp:inline distT="0" distB="0" distL="0" distR="0" wp14:anchorId="04434734" wp14:editId="51280A8E">
            <wp:extent cx="4680000" cy="3060000"/>
            <wp:effectExtent l="0" t="0" r="6350" b="7620"/>
            <wp:docPr id="2074365677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DEB98783-A07F-4118-AE97-729C1607E9D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960C43">
        <w:rPr>
          <w:rFonts w:ascii="Lato" w:hAnsi="Lato"/>
          <w:sz w:val="24"/>
          <w:szCs w:val="24"/>
        </w:rPr>
        <w:t xml:space="preserve"> </w:t>
      </w:r>
      <w:r w:rsidR="00960C43">
        <w:rPr>
          <w:noProof/>
        </w:rPr>
        <w:drawing>
          <wp:inline distT="0" distB="0" distL="0" distR="0" wp14:anchorId="006A40D6" wp14:editId="771DF9A7">
            <wp:extent cx="4680000" cy="3060000"/>
            <wp:effectExtent l="0" t="0" r="6350" b="7620"/>
            <wp:docPr id="2060251050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50C0EAC3-A1DB-495F-99FF-AD8FA429607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7AAF4FE" w14:textId="54859F58" w:rsidR="00F06429" w:rsidRDefault="00F06429" w:rsidP="00960C43">
      <w:pPr>
        <w:suppressAutoHyphens w:val="0"/>
        <w:ind w:left="-567" w:right="-313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br w:type="page"/>
      </w:r>
    </w:p>
    <w:p w14:paraId="06A06678" w14:textId="7D136BFD" w:rsidR="00AD08C5" w:rsidRPr="004D093B" w:rsidRDefault="006A7DCE" w:rsidP="005058F2">
      <w:pPr>
        <w:jc w:val="center"/>
        <w:rPr>
          <w:rFonts w:ascii="Lato" w:hAnsi="Lato"/>
          <w:b/>
          <w:bCs/>
          <w:color w:val="00B0F0"/>
          <w:sz w:val="28"/>
          <w:szCs w:val="28"/>
        </w:rPr>
      </w:pPr>
      <w:r w:rsidRPr="004D093B">
        <w:rPr>
          <w:rFonts w:ascii="Lato" w:hAnsi="Lato"/>
          <w:b/>
          <w:bCs/>
          <w:color w:val="00B0F0"/>
          <w:sz w:val="28"/>
          <w:szCs w:val="28"/>
        </w:rPr>
        <w:lastRenderedPageBreak/>
        <w:t>NOWE WSKAZANIA ORAZ ZMIANY W PROGRA</w:t>
      </w:r>
      <w:bookmarkStart w:id="0" w:name="_Hlk95686308"/>
      <w:r w:rsidRPr="004D093B">
        <w:rPr>
          <w:rFonts w:ascii="Lato" w:hAnsi="Lato"/>
          <w:b/>
          <w:bCs/>
          <w:color w:val="00B0F0"/>
          <w:sz w:val="28"/>
          <w:szCs w:val="28"/>
        </w:rPr>
        <w:t>M</w:t>
      </w:r>
      <w:bookmarkEnd w:id="0"/>
      <w:r w:rsidRPr="004D093B">
        <w:rPr>
          <w:rFonts w:ascii="Lato" w:hAnsi="Lato"/>
          <w:b/>
          <w:bCs/>
          <w:color w:val="00B0F0"/>
          <w:sz w:val="28"/>
          <w:szCs w:val="28"/>
        </w:rPr>
        <w:t>ACH LEKOWYCH</w:t>
      </w:r>
      <w:r w:rsidR="0056748F" w:rsidRPr="004D093B">
        <w:rPr>
          <w:rFonts w:ascii="Lato" w:hAnsi="Lato"/>
          <w:b/>
          <w:bCs/>
          <w:color w:val="00B0F0"/>
          <w:sz w:val="28"/>
          <w:szCs w:val="28"/>
        </w:rPr>
        <w:t xml:space="preserve"> i CHEMIOTERAPII</w:t>
      </w:r>
    </w:p>
    <w:tbl>
      <w:tblPr>
        <w:tblW w:w="5000" w:type="pct"/>
        <w:tblCellMar>
          <w:top w:w="113" w:type="dxa"/>
          <w:left w:w="10" w:type="dxa"/>
          <w:bottom w:w="113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1599"/>
        <w:gridCol w:w="1466"/>
        <w:gridCol w:w="1909"/>
        <w:gridCol w:w="2996"/>
        <w:gridCol w:w="5550"/>
      </w:tblGrid>
      <w:tr w:rsidR="005058F2" w:rsidRPr="004D093B" w14:paraId="7E2E9B6A" w14:textId="77777777" w:rsidTr="004D093B">
        <w:trPr>
          <w:cantSplit/>
          <w:trHeight w:val="186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94C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C9CE" w14:textId="77777777" w:rsidR="005058F2" w:rsidRPr="004D093B" w:rsidRDefault="005058F2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FFFFFF"/>
              </w:rPr>
            </w:pPr>
            <w:r w:rsidRPr="004D093B">
              <w:rPr>
                <w:rFonts w:ascii="Lato" w:hAnsi="Lato" w:cstheme="majorHAnsi"/>
                <w:b/>
                <w:bCs/>
                <w:color w:val="FFFFFF"/>
              </w:rPr>
              <w:t>Programy lekowe i chemioterapia</w:t>
            </w:r>
          </w:p>
        </w:tc>
      </w:tr>
      <w:tr w:rsidR="005058F2" w:rsidRPr="004D093B" w14:paraId="1C096482" w14:textId="77777777" w:rsidTr="004D093B">
        <w:trPr>
          <w:cantSplit/>
          <w:trHeight w:val="206"/>
        </w:trPr>
        <w:tc>
          <w:tcPr>
            <w:tcW w:w="5000" w:type="pct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D3F6C" w14:textId="047D7715" w:rsidR="005058F2" w:rsidRPr="004D093B" w:rsidRDefault="005058F2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FFFFFF"/>
              </w:rPr>
            </w:pPr>
            <w:r w:rsidRPr="004D093B">
              <w:rPr>
                <w:rFonts w:ascii="Lato" w:hAnsi="Lato" w:cstheme="majorHAnsi"/>
                <w:b/>
                <w:bCs/>
                <w:color w:val="FFFFFF"/>
              </w:rPr>
              <w:t>Nowe wskazania onkologiczne</w:t>
            </w:r>
          </w:p>
        </w:tc>
      </w:tr>
      <w:tr w:rsidR="006D7964" w:rsidRPr="004D093B" w14:paraId="60CDF2D4" w14:textId="77777777" w:rsidTr="00A03985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18D0B" w14:textId="77777777" w:rsidR="005058F2" w:rsidRPr="004D093B" w:rsidRDefault="005058F2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CB337" w14:textId="77777777" w:rsidR="005058F2" w:rsidRPr="004D093B" w:rsidRDefault="005058F2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Nazwa leku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4251E" w14:textId="77777777" w:rsidR="005058F2" w:rsidRPr="004D093B" w:rsidRDefault="005058F2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Substancja czynna</w:t>
            </w:r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0A519" w14:textId="77777777" w:rsidR="005058F2" w:rsidRPr="004D093B" w:rsidRDefault="005058F2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Numer programu lekowego/załącznika chemioterapii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A8893" w14:textId="77777777" w:rsidR="005058F2" w:rsidRPr="004D093B" w:rsidRDefault="005058F2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Nazwa programu lekowego/ Załącznika chemioterapii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64232" w14:textId="77777777" w:rsidR="005058F2" w:rsidRPr="004D093B" w:rsidRDefault="005058F2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Doprecyzowanie wskazania</w:t>
            </w:r>
          </w:p>
        </w:tc>
      </w:tr>
      <w:tr w:rsidR="00A03985" w:rsidRPr="004D093B" w14:paraId="2F304C7B" w14:textId="77777777" w:rsidTr="00CB1A9C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3EF10" w14:textId="1B0922BB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1.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70B9C" w14:textId="4AF0FC76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sz w:val="18"/>
                <w:szCs w:val="18"/>
              </w:rPr>
              <w:t>Braftovi</w:t>
            </w:r>
            <w:proofErr w:type="spellEnd"/>
            <w:r>
              <w:rPr>
                <w:rFonts w:ascii="Lato" w:hAnsi="Lato" w:cstheme="majorHAnsi"/>
                <w:b/>
                <w:bCs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b/>
                <w:bCs/>
                <w:sz w:val="18"/>
                <w:szCs w:val="18"/>
              </w:rPr>
              <w:t>Erbitux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52E7F" w14:textId="1A12165B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sz w:val="18"/>
                <w:szCs w:val="18"/>
              </w:rPr>
              <w:t>enkorafenib</w:t>
            </w:r>
            <w:proofErr w:type="spellEnd"/>
            <w:r>
              <w:rPr>
                <w:rFonts w:ascii="Lato" w:hAnsi="Lato" w:cstheme="majorHAnsi"/>
                <w:i/>
                <w:iCs/>
                <w:sz w:val="18"/>
                <w:szCs w:val="18"/>
              </w:rPr>
              <w:t xml:space="preserve">+ </w:t>
            </w:r>
            <w:proofErr w:type="spellStart"/>
            <w:r>
              <w:rPr>
                <w:rFonts w:ascii="Lato" w:hAnsi="Lato" w:cstheme="majorHAnsi"/>
                <w:i/>
                <w:iCs/>
                <w:sz w:val="18"/>
                <w:szCs w:val="18"/>
              </w:rPr>
              <w:t>cetuksymab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59B47" w14:textId="42F07295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B.4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29DCD" w14:textId="1D688996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3C4E73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RAKA JELITA GRUBEGO (ICD-10: C18 – C20)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CA559" w14:textId="4E72EF98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</w:t>
            </w:r>
            <w:r w:rsidRPr="003C4E73">
              <w:rPr>
                <w:rFonts w:ascii="Lato" w:hAnsi="Lato" w:cstheme="majorHAnsi"/>
                <w:color w:val="000000"/>
                <w:sz w:val="18"/>
                <w:szCs w:val="18"/>
              </w:rPr>
              <w:t>dorosłych pacjentów 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zaawansowanym rakiem jelita grubego</w:t>
            </w:r>
            <w:r w:rsidRPr="003C4E73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3C4E73">
              <w:rPr>
                <w:rFonts w:ascii="Lato" w:hAnsi="Lato" w:cstheme="majorHAnsi"/>
                <w:color w:val="000000"/>
                <w:sz w:val="18"/>
                <w:szCs w:val="18"/>
              </w:rPr>
              <w:t>mutacj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ą</w:t>
            </w:r>
            <w:r w:rsidRPr="003C4E73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BRAF V600E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3C4E73">
              <w:rPr>
                <w:rFonts w:ascii="Lato" w:hAnsi="Lato" w:cstheme="majorHAnsi"/>
                <w:color w:val="000000"/>
                <w:sz w:val="18"/>
                <w:szCs w:val="18"/>
              </w:rPr>
              <w:t>w skojarzeniu 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proofErr w:type="spellStart"/>
            <w:r w:rsidRPr="003C4E73">
              <w:rPr>
                <w:rFonts w:ascii="Lato" w:hAnsi="Lato" w:cstheme="majorHAnsi"/>
                <w:color w:val="000000"/>
                <w:sz w:val="18"/>
                <w:szCs w:val="18"/>
              </w:rPr>
              <w:t>cetuksymabem</w:t>
            </w:r>
            <w:proofErr w:type="spellEnd"/>
            <w:r w:rsidRPr="003C4E73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(I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I lub kolejne 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lini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e 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leczenia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).</w:t>
            </w:r>
          </w:p>
        </w:tc>
      </w:tr>
      <w:tr w:rsidR="00A03985" w:rsidRPr="004D093B" w14:paraId="41B567AC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0FECB" w14:textId="48862EE8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2.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BA0DD" w14:textId="2A5E8B96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D7CC2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Keytruda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72683" w14:textId="081DCC84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1D7CC2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pembrolizumab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D3C78" w14:textId="7A3BA151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B.5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58902" w14:textId="5CA8978F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RAKA WĄTROBOWOKOMÓRKOWEGO (ICD-10: C22.0) LUB RAKA DRÓG ŻÓŁCIOWYCH (ICD-10: C22.1, C23, C24.0, C24.1, C24.8, C24.9)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5DB27" w14:textId="4ACB41F5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dorosłych pacjentów 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miejscowo zaawansowanym lub przerzutowym rakiem gruczołowym dróg żółciowych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w skojarzeniu 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chemioterapią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(I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linia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leczenia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).</w:t>
            </w:r>
          </w:p>
        </w:tc>
      </w:tr>
      <w:tr w:rsidR="00A03985" w:rsidRPr="004D093B" w14:paraId="4193F70D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0FFFD" w14:textId="5EC2655A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3.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97AD5" w14:textId="017252ED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sz w:val="18"/>
                <w:szCs w:val="18"/>
              </w:rPr>
              <w:t>Różne nazwy handlowe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A02D7" w14:textId="19E4009B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i/>
                <w:iCs/>
                <w:sz w:val="18"/>
                <w:szCs w:val="18"/>
              </w:rPr>
              <w:t>immunoterapie</w:t>
            </w:r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BB432" w14:textId="5AF7EEC0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B.6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C9D95" w14:textId="748F2E85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RAKA PŁUCA (ICD-10: C34) ORAZ MIĘDZYBŁONIAKA OPŁUCNEJ (ICD-10: C45)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6388A" w14:textId="74D42FF3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dorosłych pacjentów </w:t>
            </w:r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chorych na </w:t>
            </w:r>
            <w:proofErr w:type="spellStart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niedrobnokomórkowego</w:t>
            </w:r>
            <w:proofErr w:type="spellEnd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raka płuca (NDRP)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immunoterapią lub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immunochemioterapią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(stadium uogólnienia), którzy</w:t>
            </w:r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otrzymali immunoterapię lub </w:t>
            </w:r>
            <w:proofErr w:type="spellStart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immunochemioterapię</w:t>
            </w:r>
            <w:proofErr w:type="spellEnd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jako element radykalnego leczenia (immunoterapia lub </w:t>
            </w:r>
            <w:proofErr w:type="spellStart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immunochemioterapia</w:t>
            </w:r>
            <w:proofErr w:type="spellEnd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skojarzona z leczeniem chirurgicznym, leczenie lub immunoterapia konsolidująca po </w:t>
            </w:r>
            <w:proofErr w:type="spellStart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radiochemioterapii</w:t>
            </w:r>
            <w:proofErr w:type="spellEnd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) i nie potwierdzono progresji choroby do czasu zakończenia leczenia uzupełniającego/</w:t>
            </w:r>
            <w:proofErr w:type="spellStart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konsolidujacego</w:t>
            </w:r>
            <w:proofErr w:type="spellEnd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oraz stwierdzono nawrót choroby po upływie co najmniej 12 miesięcy od ostatniej dawki immunoterapii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</w:tr>
      <w:tr w:rsidR="00A03985" w:rsidRPr="004D093B" w14:paraId="79F6918C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E9E07" w14:textId="62B71D30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4.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16304" w14:textId="0FAC37AC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Verzenios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03638" w14:textId="5CE07077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abemacyklib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CCACC" w14:textId="29475ACD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B.9.FM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CE6BF" w14:textId="31732E95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9B27D3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RAKA PIERSI (ICD-10: C50)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EE83E" w14:textId="77777777" w:rsidR="00A03985" w:rsidRDefault="00A03985" w:rsidP="00A03985">
            <w:pPr>
              <w:spacing w:before="60" w:after="60" w:line="240" w:lineRule="auto"/>
              <w:ind w:left="-35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R</w:t>
            </w:r>
            <w:r w:rsidRPr="009B27D3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ozszerzenie wskazania dla </w:t>
            </w:r>
            <w:proofErr w:type="spellStart"/>
            <w:r w:rsidRPr="009B27D3">
              <w:rPr>
                <w:rFonts w:ascii="Lato" w:hAnsi="Lato" w:cstheme="majorHAnsi"/>
                <w:color w:val="000000"/>
                <w:sz w:val="18"/>
                <w:szCs w:val="18"/>
              </w:rPr>
              <w:t>abemacyklibu</w:t>
            </w:r>
            <w:proofErr w:type="spellEnd"/>
            <w:r w:rsidRPr="009B27D3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2047E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w skojarzeniu z hormonoterapią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w </w:t>
            </w:r>
            <w:r w:rsidRPr="002047E0">
              <w:rPr>
                <w:rFonts w:ascii="Lato" w:hAnsi="Lato" w:cstheme="majorHAnsi"/>
                <w:color w:val="000000"/>
                <w:sz w:val="18"/>
                <w:szCs w:val="18"/>
              </w:rPr>
              <w:t>leczeni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u</w:t>
            </w:r>
            <w:r w:rsidRPr="002047E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pooperacyjn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ym</w:t>
            </w:r>
            <w:r w:rsidRPr="002047E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047E0">
              <w:rPr>
                <w:rFonts w:ascii="Lato" w:hAnsi="Lato" w:cstheme="majorHAnsi"/>
                <w:color w:val="000000"/>
                <w:sz w:val="18"/>
                <w:szCs w:val="18"/>
              </w:rPr>
              <w:t>adjuwantow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ym</w:t>
            </w:r>
            <w:proofErr w:type="spellEnd"/>
            <w:r w:rsidRPr="002047E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) dorosłych pacjentów we wczesnym stadium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hormonozależnego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HER2-ujemnego </w:t>
            </w:r>
            <w:r w:rsidRPr="002047E0">
              <w:rPr>
                <w:rFonts w:ascii="Lato" w:hAnsi="Lato" w:cstheme="majorHAnsi"/>
                <w:color w:val="000000"/>
                <w:sz w:val="18"/>
                <w:szCs w:val="18"/>
              </w:rPr>
              <w:t>raka piersi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9B27D3">
              <w:rPr>
                <w:rFonts w:ascii="Lato" w:hAnsi="Lato" w:cstheme="majorHAnsi"/>
                <w:color w:val="000000"/>
                <w:sz w:val="18"/>
                <w:szCs w:val="18"/>
              </w:rPr>
              <w:t>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9B27D3">
              <w:rPr>
                <w:rFonts w:ascii="Lato" w:hAnsi="Lato" w:cstheme="majorHAnsi"/>
                <w:color w:val="000000"/>
                <w:sz w:val="18"/>
                <w:szCs w:val="18"/>
              </w:rPr>
              <w:t>wysokim ryzykiem nawrotu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, o populację bez przerzutów do węzłów chłonnych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  <w:p w14:paraId="5F6D2A24" w14:textId="62446499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(W</w:t>
            </w:r>
            <w:r w:rsidRPr="00BA7F6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skazanie off-</w:t>
            </w:r>
            <w:proofErr w:type="spellStart"/>
            <w:r w:rsidRPr="00BA7F6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label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A03985" w:rsidRPr="004D093B" w14:paraId="59AF2A0C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1B34E" w14:textId="25E79F11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5.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8AD20" w14:textId="67F22A76" w:rsidR="00A03985" w:rsidRPr="00A03985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0398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Keytruda</w:t>
            </w:r>
            <w:proofErr w:type="spellEnd"/>
            <w:r w:rsidRPr="00A0398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03985">
              <w:rPr>
                <w:rFonts w:cstheme="majorHAnsi"/>
                <w:b/>
                <w:bCs/>
                <w:sz w:val="18"/>
                <w:szCs w:val="18"/>
              </w:rPr>
              <w:t>+</w:t>
            </w:r>
            <w:r w:rsidRPr="00A0398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398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aksytynib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5E120" w14:textId="60401E02" w:rsidR="00A03985" w:rsidRPr="00A03985" w:rsidRDefault="00A03985" w:rsidP="00A03985">
            <w:pPr>
              <w:spacing w:before="60" w:after="60" w:line="240" w:lineRule="auto"/>
              <w:jc w:val="center"/>
              <w:rPr>
                <w:rFonts w:cstheme="maj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p</w:t>
            </w:r>
            <w:r w:rsidRPr="00A03985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embrolizumab</w:t>
            </w:r>
            <w:proofErr w:type="spellEnd"/>
            <w:r w:rsidRPr="00A03985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A03985">
              <w:rPr>
                <w:rFonts w:cstheme="majorHAnsi"/>
                <w:i/>
                <w:iCs/>
                <w:sz w:val="18"/>
                <w:szCs w:val="18"/>
              </w:rPr>
              <w:t xml:space="preserve">+ </w:t>
            </w:r>
          </w:p>
          <w:p w14:paraId="673683C8" w14:textId="56CA6DED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A03985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aksytynib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A83B9" w14:textId="2F3E4F00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B.10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C118B" w14:textId="174C0095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B95420">
              <w:rPr>
                <w:rFonts w:ascii="Lato" w:hAnsi="Lato" w:cstheme="majorHAnsi"/>
                <w:sz w:val="18"/>
                <w:szCs w:val="18"/>
              </w:rPr>
              <w:t>LECZENIE PACJENTÓW Z RAKIEM NERKI (ICD-10: C64)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9EA53" w14:textId="59BF0EF2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Terapia skojarzona z </w:t>
            </w:r>
            <w:proofErr w:type="spellStart"/>
            <w:r w:rsidRPr="00B954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aksytynibem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(katalog chemioterapii) w I linii leczenia raka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nerkowokomórkowego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w przypadku dorosłych pacjentów z pośrednim lub niekorzystnym rokowaniem wg skali IMDC. Kolejna opcja terapeutyczna w I linii leczenia. </w:t>
            </w:r>
          </w:p>
        </w:tc>
      </w:tr>
      <w:tr w:rsidR="002245B4" w:rsidRPr="004D093B" w14:paraId="2EAEEA58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A4B85" w14:textId="1CB4F3E1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6.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FEC7B" w14:textId="0F7A0860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Darzalex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0093F" w14:textId="57A0173A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daratumumab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F7235" w14:textId="33A7E96F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B.54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D1733" w14:textId="4BB3073D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LECZENIE CHORYCH NA SZPICZAKA PLAZMOCYTOWEGO (ICD-10: C90.0)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986AE" w14:textId="77777777" w:rsidR="002245B4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Le</w:t>
            </w:r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czenie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I linii</w:t>
            </w:r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daratumumabem</w:t>
            </w:r>
            <w:proofErr w:type="spellEnd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w skojarzeniu z </w:t>
            </w:r>
            <w:proofErr w:type="spellStart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bortezomibem</w:t>
            </w:r>
            <w:proofErr w:type="spellEnd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lenalidomidem</w:t>
            </w:r>
            <w:proofErr w:type="spellEnd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i </w:t>
            </w:r>
            <w:proofErr w:type="spellStart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deksametazonem</w:t>
            </w:r>
            <w:proofErr w:type="spellEnd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DVRd</w:t>
            </w:r>
            <w:proofErr w:type="spellEnd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) dorosłych chorych na uprzednio nieleczonego szpiczaka </w:t>
            </w:r>
            <w:proofErr w:type="spellStart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plazmocytowego</w:t>
            </w:r>
            <w:proofErr w:type="spellEnd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niekwalifikujących się do </w:t>
            </w:r>
            <w:proofErr w:type="spellStart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autoHSCT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. </w:t>
            </w:r>
          </w:p>
          <w:p w14:paraId="7CDFBEFD" w14:textId="0A207AAF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3208BC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(Choroba rzadka)</w:t>
            </w:r>
          </w:p>
        </w:tc>
      </w:tr>
      <w:tr w:rsidR="002245B4" w:rsidRPr="004D093B" w14:paraId="189EA4B0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243F4" w14:textId="4DE612CC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lastRenderedPageBreak/>
              <w:t>7.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5A83A" w14:textId="0F1C4998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proofErr w:type="spellStart"/>
            <w:r w:rsidRPr="001D7CC2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Keytruda</w:t>
            </w:r>
            <w:proofErr w:type="spellEnd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trastuzumab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3A8F1" w14:textId="34C73251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p</w:t>
            </w:r>
            <w:r w:rsidRPr="001D7CC2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embrolizuma</w:t>
            </w:r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b</w:t>
            </w:r>
            <w:proofErr w:type="spellEnd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i/>
                <w:iCs/>
                <w:sz w:val="18"/>
                <w:szCs w:val="18"/>
              </w:rPr>
              <w:t>trastuzumab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4E05E" w14:textId="58E21342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B.58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0668A" w14:textId="7409AFE7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RAKA PRZEŁYKU, POŁĄCZENIA ŻOŁĄDKOWO-PRZEŁYKOWEGO I ŻOŁĄDKA (ICD-10: C15-C16)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AA7A9" w14:textId="32AE2475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Leczenie dorosłych pacjentów z HER2-dodatnim zaawansowanym lub przerzutowym rakiem gruczołowym żołądka lub połączenia żołądkowo-przełykowego 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ekspresją PD-L1 wg skali CPS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≥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1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,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w skojarzeniu z </w:t>
            </w:r>
            <w:proofErr w:type="spellStart"/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trastuzumabem</w:t>
            </w:r>
            <w:proofErr w:type="spellEnd"/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i chemioterapią (I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linia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leczenia).</w:t>
            </w:r>
          </w:p>
        </w:tc>
      </w:tr>
      <w:tr w:rsidR="002245B4" w:rsidRPr="004D093B" w14:paraId="2F98167C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86271" w14:textId="3BDDF8EC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8.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58A01" w14:textId="5DB979F0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proofErr w:type="spellStart"/>
            <w:r w:rsidRPr="001D7CC2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Keytruda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C1311" w14:textId="2F87D96F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sz w:val="18"/>
                <w:szCs w:val="18"/>
              </w:rPr>
            </w:pPr>
            <w:proofErr w:type="spellStart"/>
            <w:r w:rsidRPr="001D7CC2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pembrolizumab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450AF" w14:textId="09AD4AB9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B.58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83DCB" w14:textId="5818550D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RAKA PRZEŁYKU, POŁĄCZENIA ŻOŁĄDKOWO-PRZEŁYKOWEGO I ŻOŁĄDKA (ICD-10: C15-C16)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73DBC" w14:textId="3883B641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Leczenie dorosłych pacjentów z HER2-ujemnym zaawansowanym lub przerzutowym rakiem gruczołowym żołądka lub połączenia żołądkowo-przełykowego z ekspresją PD-L1 wg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skali CPS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≥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1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w skojarzeniu z chemioterapią (I linia leczenia).</w:t>
            </w:r>
          </w:p>
        </w:tc>
      </w:tr>
      <w:tr w:rsidR="002245B4" w:rsidRPr="004D093B" w14:paraId="6D557C72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36DEF" w14:textId="0C25381B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9.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D5054" w14:textId="2FF3AFFC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Vyloy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F6C92" w14:textId="32B31E41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zolbetuksymab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516DF" w14:textId="1C9C76F0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B.58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B5031" w14:textId="398B8811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RAKA PRZEŁYKU, POŁĄCZENIA ŻOŁĄDKOWO-PRZEŁYKOWEGO I ŻOŁĄDKA (ICD-10: C15-C16)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01FEC" w14:textId="38EFB477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dorosłych pacjentów z HER2-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ujemnym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miejscowo zaawansowanym </w:t>
            </w:r>
            <w:proofErr w:type="spellStart"/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nieresekcyjnym</w:t>
            </w:r>
            <w:proofErr w:type="spellEnd"/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lub przerzutowym rakiem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gruczołowym 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żołądka lub połączenia żołądkowo-przełykowego wykazującym obecność </w:t>
            </w:r>
            <w:proofErr w:type="spellStart"/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klaudyny</w:t>
            </w:r>
            <w:proofErr w:type="spellEnd"/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(CLDN) 18.2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w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skojarzeniu 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chemioterapią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(I linia leczenia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).</w:t>
            </w:r>
          </w:p>
        </w:tc>
      </w:tr>
      <w:tr w:rsidR="002245B4" w:rsidRPr="004D093B" w14:paraId="389ECB9F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B2858" w14:textId="3EA9E6E9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10.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7642E" w14:textId="5EEB0D39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Brukinsa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AF2A2" w14:textId="7A67354C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zanubrutynib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AF3FC" w14:textId="64748C88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B.79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F0128" w14:textId="66403B35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PRZEWLEKŁĄ BIAŁACZKĘ LIMFOCYTOWĄ (ICD-10: C91.1)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C49FA" w14:textId="492C5F7B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I linii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zanubruty</w:t>
            </w:r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nibem</w:t>
            </w:r>
            <w:proofErr w:type="spellEnd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w </w:t>
            </w:r>
            <w:proofErr w:type="spellStart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monoterapii</w:t>
            </w:r>
            <w:proofErr w:type="spellEnd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populacji FIT </w:t>
            </w:r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dorosłych chorych na przewlekłą białaczkę limfocytową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, uprzednio nieleczonych.</w:t>
            </w:r>
          </w:p>
        </w:tc>
      </w:tr>
      <w:tr w:rsidR="009A65C6" w:rsidRPr="004D093B" w14:paraId="622DFB89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26961" w14:textId="46B8E72C" w:rsidR="009A65C6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11.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1A932" w14:textId="4F07CF65" w:rsidR="009A65C6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Opdivo</w:t>
            </w:r>
            <w:proofErr w:type="spellEnd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karboplatyna</w:t>
            </w:r>
            <w:proofErr w:type="spellEnd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gemcytabina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4BFD9" w14:textId="6C499D3A" w:rsidR="009A65C6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Niwolumab</w:t>
            </w:r>
            <w:proofErr w:type="spellEnd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karboplatyna</w:t>
            </w:r>
            <w:proofErr w:type="spellEnd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gemcytabina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0DC1F" w14:textId="521409CD" w:rsidR="009A65C6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B.141.FM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96781" w14:textId="63E9D6D7" w:rsidR="009A65C6" w:rsidRPr="003208BC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2E6B8A">
              <w:rPr>
                <w:rFonts w:ascii="Lato" w:hAnsi="Lato" w:cstheme="majorHAnsi"/>
                <w:bCs/>
                <w:color w:val="000000"/>
                <w:sz w:val="18"/>
                <w:szCs w:val="18"/>
              </w:rPr>
              <w:t>LECZENIE PACJENTÓW Z RAKIEM UROTELIALNYM (ICD-10: C61, C65, C66, C67, C68)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175E6" w14:textId="77777777" w:rsidR="009A65C6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Umożliwienie zastąpienia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cisplatyny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karboplatyną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w skojarzeniu z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gemcytabiną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oraz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niwolumabem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, u pacjentów, u których stwierdzono nietolerancje leczenia.</w:t>
            </w:r>
          </w:p>
          <w:p w14:paraId="0B449C54" w14:textId="51B4CCC6" w:rsidR="009A65C6" w:rsidRPr="003208BC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(W</w:t>
            </w:r>
            <w:r w:rsidRPr="00BA7F6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skazanie off-</w:t>
            </w:r>
            <w:proofErr w:type="spellStart"/>
            <w:r w:rsidRPr="00BA7F6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label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9A65C6" w:rsidRPr="004D093B" w14:paraId="1E325793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65765" w14:textId="3E896E82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12.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3A638" w14:textId="4657DBDB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Welireg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C74BB" w14:textId="339A4929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belzutifan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7013A" w14:textId="40F57340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B.182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6D900" w14:textId="2353316C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B95420">
              <w:rPr>
                <w:rFonts w:ascii="Lato" w:hAnsi="Lato" w:cstheme="majorHAnsi"/>
                <w:color w:val="000000"/>
                <w:sz w:val="18"/>
                <w:szCs w:val="18"/>
              </w:rPr>
              <w:t>LECZENIE PACJENTÓW Z CHOROBĄ VON HIPPEL-LINDAU (ICD-10: Q85.8)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BC789" w14:textId="77777777" w:rsidR="009A65C6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Pierwsza terapia celowana przeznaczona dla dorosłych pacjentów z VHL w przypadku, gdy</w:t>
            </w:r>
            <w:r>
              <w:t xml:space="preserve"> </w:t>
            </w:r>
            <w:r w:rsidRPr="00B95420">
              <w:rPr>
                <w:rFonts w:ascii="Lato" w:hAnsi="Lato" w:cstheme="majorHAnsi"/>
                <w:color w:val="000000"/>
                <w:sz w:val="18"/>
                <w:szCs w:val="18"/>
              </w:rPr>
              <w:t>leczenie miejscowe zostało uznane za nieodpowiednie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. </w:t>
            </w:r>
          </w:p>
          <w:p w14:paraId="00DFA10E" w14:textId="7842C1A9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(</w:t>
            </w:r>
            <w:r w:rsidRPr="00B95420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Choroba rzadka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9A65C6" w:rsidRPr="004D093B" w14:paraId="3A8AF5C9" w14:textId="77777777" w:rsidTr="00CB1A9C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FE586" w14:textId="4FA3D393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13.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52537" w14:textId="66EEE1B7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Cabometyx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17928" w14:textId="755612D4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kabozantynib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1ECFD" w14:textId="021D37B2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C.111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D90AE" w14:textId="35EE51B3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KABOZANTYNIB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45D45" w14:textId="12C1160D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dorosłych pacjentów z </w:t>
            </w:r>
            <w:proofErr w:type="spellStart"/>
            <w:r w:rsidRPr="00AF4A5D">
              <w:rPr>
                <w:rFonts w:ascii="Lato" w:hAnsi="Lato" w:cstheme="majorHAnsi"/>
                <w:color w:val="000000"/>
                <w:sz w:val="18"/>
                <w:szCs w:val="18"/>
              </w:rPr>
              <w:t>nieresekcyjnymi</w:t>
            </w:r>
            <w:proofErr w:type="spellEnd"/>
            <w:r w:rsidRPr="00AF4A5D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lub przerzutowymi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</w:t>
            </w:r>
            <w:r w:rsidRPr="00AF4A5D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dobrze zróżnicowanymi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guzami neuroendokrynnymi</w:t>
            </w:r>
            <w:r w:rsidRPr="00AF4A5D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w przypadkach, kiedy</w:t>
            </w:r>
            <w:r w:rsidRPr="00AF4A5D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nie mogą być zastosowane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inne metody. Terapia obejmuje guzy trzustkowe </w:t>
            </w:r>
            <w:r w:rsidRPr="00AF4A5D">
              <w:rPr>
                <w:rFonts w:ascii="Lato" w:hAnsi="Lato" w:cstheme="majorHAnsi"/>
                <w:bCs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AF4A5D">
              <w:rPr>
                <w:rFonts w:ascii="Lato" w:hAnsi="Lato" w:cstheme="majorHAnsi"/>
                <w:bCs/>
                <w:i/>
                <w:iCs/>
                <w:color w:val="000000"/>
                <w:sz w:val="18"/>
                <w:szCs w:val="18"/>
              </w:rPr>
              <w:t>pNET</w:t>
            </w:r>
            <w:proofErr w:type="spellEnd"/>
            <w:r w:rsidRPr="00AF4A5D">
              <w:rPr>
                <w:rFonts w:ascii="Lato" w:hAnsi="Lato" w:cstheme="majorHAnsi"/>
                <w:bCs/>
                <w:i/>
                <w:iCs/>
                <w:color w:val="000000"/>
                <w:sz w:val="18"/>
                <w:szCs w:val="18"/>
              </w:rPr>
              <w:t>)</w:t>
            </w:r>
            <w:r w:rsidRPr="00AF4A5D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oraz zmiany w lokalizacjach poza trzustkowych (</w:t>
            </w:r>
            <w:proofErr w:type="spellStart"/>
            <w:r w:rsidRPr="00AF4A5D">
              <w:rPr>
                <w:rFonts w:ascii="Lato" w:hAnsi="Lato" w:cstheme="majorHAnsi"/>
                <w:bCs/>
                <w:i/>
                <w:iCs/>
                <w:color w:val="000000"/>
                <w:sz w:val="18"/>
                <w:szCs w:val="18"/>
              </w:rPr>
              <w:t>epNET</w:t>
            </w:r>
            <w:proofErr w:type="spellEnd"/>
            <w:r>
              <w:rPr>
                <w:rFonts w:ascii="Lato" w:hAnsi="Lato" w:cstheme="majorHAnsi"/>
                <w:bCs/>
                <w:i/>
                <w:iCs/>
                <w:color w:val="000000"/>
                <w:sz w:val="18"/>
                <w:szCs w:val="18"/>
              </w:rPr>
              <w:t>)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. </w:t>
            </w:r>
          </w:p>
        </w:tc>
      </w:tr>
    </w:tbl>
    <w:p w14:paraId="7FCF9A29" w14:textId="77777777" w:rsidR="004D093B" w:rsidRDefault="004D093B">
      <w:pPr>
        <w:suppressAutoHyphens w:val="0"/>
      </w:pPr>
      <w:r>
        <w:br w:type="page"/>
      </w:r>
    </w:p>
    <w:tbl>
      <w:tblPr>
        <w:tblW w:w="5000" w:type="pct"/>
        <w:tblCellMar>
          <w:top w:w="113" w:type="dxa"/>
          <w:left w:w="10" w:type="dxa"/>
          <w:bottom w:w="113" w:type="dxa"/>
          <w:right w:w="10" w:type="dxa"/>
        </w:tblCellMar>
        <w:tblLook w:val="0000" w:firstRow="0" w:lastRow="0" w:firstColumn="0" w:lastColumn="0" w:noHBand="0" w:noVBand="0"/>
      </w:tblPr>
      <w:tblGrid>
        <w:gridCol w:w="598"/>
        <w:gridCol w:w="1577"/>
        <w:gridCol w:w="1799"/>
        <w:gridCol w:w="1909"/>
        <w:gridCol w:w="3329"/>
        <w:gridCol w:w="4776"/>
      </w:tblGrid>
      <w:tr w:rsidR="002D6ED9" w:rsidRPr="004D093B" w14:paraId="4C9C4901" w14:textId="77777777" w:rsidTr="004D093B">
        <w:trPr>
          <w:cantSplit/>
          <w:trHeight w:val="18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390A7" w14:textId="5C4E25DC" w:rsidR="002D6ED9" w:rsidRPr="004D093B" w:rsidRDefault="002D6ED9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FFFFFF"/>
              </w:rPr>
            </w:pPr>
            <w:r w:rsidRPr="004D093B">
              <w:rPr>
                <w:rFonts w:ascii="Lato" w:hAnsi="Lato" w:cstheme="majorHAnsi"/>
                <w:b/>
                <w:bCs/>
                <w:color w:val="FFFFFF"/>
              </w:rPr>
              <w:lastRenderedPageBreak/>
              <w:t>Nowe wskazania nieonkologiczne</w:t>
            </w:r>
          </w:p>
        </w:tc>
      </w:tr>
      <w:tr w:rsidR="002D6ED9" w:rsidRPr="004D093B" w14:paraId="1394CD71" w14:textId="77777777" w:rsidTr="00820D27">
        <w:trPr>
          <w:cantSplit/>
          <w:trHeight w:val="628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979BE" w14:textId="77777777" w:rsidR="002D6ED9" w:rsidRPr="004D093B" w:rsidRDefault="002D6ED9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02159" w14:textId="77777777" w:rsidR="002D6ED9" w:rsidRPr="004D093B" w:rsidRDefault="002D6ED9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Nazwa leku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C3D6F" w14:textId="77777777" w:rsidR="002D6ED9" w:rsidRPr="004D093B" w:rsidRDefault="002D6ED9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Substancja czynna</w:t>
            </w:r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D8698" w14:textId="77777777" w:rsidR="002D6ED9" w:rsidRPr="004D093B" w:rsidRDefault="002D6ED9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Numer programu lekowego/załącznika chemioterapii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142B2" w14:textId="77777777" w:rsidR="002D6ED9" w:rsidRPr="004D093B" w:rsidRDefault="002D6ED9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Nazwa programu lekowego/ Załącznika chemioterapii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87975" w14:textId="77777777" w:rsidR="002D6ED9" w:rsidRPr="004D093B" w:rsidRDefault="002D6ED9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Doprecyzowanie wskazania</w:t>
            </w:r>
          </w:p>
        </w:tc>
      </w:tr>
      <w:tr w:rsidR="002D6ED9" w:rsidRPr="004D093B" w14:paraId="7522F87A" w14:textId="77777777" w:rsidTr="00C13E3E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D592E" w14:textId="665A3327" w:rsidR="002D6ED9" w:rsidRPr="004D093B" w:rsidRDefault="00C839B8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1.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2FB93" w14:textId="4E089060" w:rsidR="002D6ED9" w:rsidRPr="004D093B" w:rsidRDefault="00C839B8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Różne nazwy handlowe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A0348" w14:textId="342C4481" w:rsidR="002D6ED9" w:rsidRPr="004D093B" w:rsidRDefault="00B71796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bosentan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CA292" w14:textId="68D67EA4" w:rsidR="002D6ED9" w:rsidRPr="00547788" w:rsidRDefault="006F1223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B.31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58478" w14:textId="64021156" w:rsidR="002D6ED9" w:rsidRPr="00547788" w:rsidRDefault="00B71796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LECZENIE TĘTNICZEGO NADCIŚNIENIA PŁUCNEGO (TNP) (ICD-10 I27, I27.0)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8568B" w14:textId="5553F945" w:rsidR="00820D27" w:rsidRPr="00547788" w:rsidRDefault="00820D27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Dwie</w:t>
            </w:r>
            <w:r w:rsidR="00B71796"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nowe subpopulacje pacjentów pediatrycznych leczone w programie:</w:t>
            </w:r>
          </w:p>
          <w:p w14:paraId="67E662E7" w14:textId="03AD9921" w:rsidR="002D6ED9" w:rsidRPr="00547788" w:rsidRDefault="00CB1A9C" w:rsidP="00820D27">
            <w:pPr>
              <w:pStyle w:val="Akapitzlist"/>
              <w:numPr>
                <w:ilvl w:val="0"/>
                <w:numId w:val="25"/>
              </w:num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dzieci leczone traktem </w:t>
            </w:r>
            <w:proofErr w:type="spellStart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fontanowskim</w:t>
            </w:r>
            <w:proofErr w:type="spellEnd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="00B71796"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(niewydolne </w:t>
            </w:r>
            <w:r w:rsidR="00820D27"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krążeniowo) - </w:t>
            </w:r>
            <w:proofErr w:type="spellStart"/>
            <w:r w:rsidR="00820D27"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monoterapia</w:t>
            </w:r>
            <w:proofErr w:type="spellEnd"/>
            <w:r w:rsidR="00820D27"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lub skojarzenie (BOS+ SIL) wraz z możliwością kontynuacji po ukończeniu 18 r.ż.</w:t>
            </w:r>
          </w:p>
          <w:p w14:paraId="39DC9E8A" w14:textId="4335C1B6" w:rsidR="005E7AC7" w:rsidRDefault="00CB1A9C" w:rsidP="00820D27">
            <w:pPr>
              <w:pStyle w:val="Akapitzlist"/>
              <w:numPr>
                <w:ilvl w:val="0"/>
                <w:numId w:val="25"/>
              </w:num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dzieci z nadciśnieniem płucnym i z dysplazją oskrzelowo-płucną</w:t>
            </w:r>
            <w:r w:rsidR="00820D27"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- </w:t>
            </w:r>
            <w:proofErr w:type="spellStart"/>
            <w:r w:rsidR="00820D27"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monoterapia</w:t>
            </w:r>
            <w:proofErr w:type="spellEnd"/>
            <w:r w:rsidR="005E7AC7"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  <w:p w14:paraId="5797C9BB" w14:textId="51D1A5D9" w:rsidR="00820D27" w:rsidRPr="00547788" w:rsidRDefault="00820D27" w:rsidP="005E7AC7">
            <w:pPr>
              <w:pStyle w:val="Akapitzlist"/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(</w:t>
            </w:r>
            <w:r w:rsidRPr="00547788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Choroba rzadka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820D27" w:rsidRPr="004D093B" w14:paraId="5ED86F3E" w14:textId="77777777" w:rsidTr="00C13E3E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9B444" w14:textId="3DD5D8AF" w:rsidR="00820D27" w:rsidRPr="004D093B" w:rsidRDefault="00C839B8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2.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55631" w14:textId="399786CC" w:rsidR="00820D27" w:rsidRPr="004D093B" w:rsidRDefault="00C839B8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Różne nazwy handlowe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86633" w14:textId="6F11F6CB" w:rsidR="00820D27" w:rsidRPr="004D093B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sz w:val="18"/>
                <w:szCs w:val="18"/>
              </w:rPr>
              <w:t>sildenafil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5888C" w14:textId="79D0A322" w:rsidR="00820D27" w:rsidRPr="00547788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B.31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42A6A" w14:textId="68AC9618" w:rsidR="00820D27" w:rsidRPr="00547788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LECZENIE TĘTNICZEGO NADCIŚNIENIA PŁUCNEGO (TNP) (ICD-10 I27, I27.0)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5C0D2" w14:textId="4D98220D" w:rsidR="005E7AC7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Nowa subpopulacja pacjentów pediatrycznych leczonych w programie: </w:t>
            </w:r>
            <w:r w:rsidR="00E05014" w:rsidRPr="00E05014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dzieci leczone traktem </w:t>
            </w:r>
            <w:proofErr w:type="spellStart"/>
            <w:r w:rsidR="00E05014" w:rsidRPr="00E05014">
              <w:rPr>
                <w:rFonts w:ascii="Lato" w:hAnsi="Lato" w:cstheme="majorHAnsi"/>
                <w:color w:val="000000"/>
                <w:sz w:val="18"/>
                <w:szCs w:val="18"/>
              </w:rPr>
              <w:t>fontanowskim</w:t>
            </w:r>
            <w:proofErr w:type="spellEnd"/>
            <w:r w:rsidR="00E05014" w:rsidRPr="00E05014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(niewydolne krążeniowo) - </w:t>
            </w:r>
            <w:proofErr w:type="spellStart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monoterapia</w:t>
            </w:r>
            <w:proofErr w:type="spellEnd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lub skojarzenie (BOS+ SIL)</w:t>
            </w:r>
            <w:r w:rsidR="005E7AC7"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  <w:p w14:paraId="790C1040" w14:textId="52986501" w:rsidR="00820D27" w:rsidRPr="00547788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(</w:t>
            </w:r>
            <w:r w:rsidRPr="00547788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Choroba rzadka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820D27" w:rsidRPr="004D093B" w14:paraId="5CE97390" w14:textId="77777777" w:rsidTr="00C13E3E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6F555" w14:textId="5BC124B2" w:rsidR="00820D27" w:rsidRPr="004D093B" w:rsidRDefault="00C839B8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3.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E89EF" w14:textId="051B045F" w:rsidR="00820D27" w:rsidRPr="004D093B" w:rsidRDefault="00C839B8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Różne nazwy handlowe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E5750" w14:textId="0131AE19" w:rsidR="00820D27" w:rsidRPr="004D093B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bosentan</w:t>
            </w:r>
            <w:proofErr w:type="spellEnd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sildenafil</w:t>
            </w:r>
            <w:proofErr w:type="spellEnd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86876" w14:textId="60B423DC" w:rsidR="00820D27" w:rsidRPr="00547788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B.31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C4CE2" w14:textId="7AA70D2E" w:rsidR="00820D27" w:rsidRPr="00547788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LECZENIE TĘTNICZEGO NADCIŚNIENIA PŁUCNEGO (TNP) (ICD-10 I27, I27.0)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7BF5A" w14:textId="3B67B865" w:rsidR="005E7AC7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Możliwość rozpoczęci</w:t>
            </w:r>
            <w:r w:rsidR="005E7AC7">
              <w:rPr>
                <w:rFonts w:ascii="Lato" w:hAnsi="Lato" w:cstheme="majorHAnsi"/>
                <w:color w:val="000000"/>
                <w:sz w:val="18"/>
                <w:szCs w:val="18"/>
              </w:rPr>
              <w:t>a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leczenia od terapii skojarzonej </w:t>
            </w:r>
            <w:proofErr w:type="spellStart"/>
            <w:r w:rsidRPr="00547788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bosentan</w:t>
            </w:r>
            <w:proofErr w:type="spellEnd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+ </w:t>
            </w:r>
            <w:proofErr w:type="spellStart"/>
            <w:r w:rsidRPr="00547788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sildenafil</w:t>
            </w:r>
            <w:proofErr w:type="spellEnd"/>
            <w:r w:rsidRPr="00547788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w przypadku pacjentów z II lub III klas</w:t>
            </w:r>
            <w:r w:rsidR="005A7166"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ą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czynnościowa </w:t>
            </w:r>
            <w:r w:rsidR="005A7166"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wg NYHA 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lub profilem niskiego lub pośredniego ryzyka</w:t>
            </w:r>
            <w:r w:rsidR="005E7AC7"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</w:p>
          <w:p w14:paraId="0AFE6806" w14:textId="428AD9F1" w:rsidR="00820D27" w:rsidRPr="00547788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(</w:t>
            </w:r>
            <w:r w:rsidRPr="00547788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Choroba rzadka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) </w:t>
            </w:r>
          </w:p>
        </w:tc>
      </w:tr>
      <w:tr w:rsidR="00AE62CE" w:rsidRPr="004D093B" w14:paraId="6D899FDB" w14:textId="77777777" w:rsidTr="00CB1A9C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510F3" w14:textId="5459DB61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4.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80F3F" w14:textId="526A4C35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Omvoh</w:t>
            </w:r>
            <w:proofErr w:type="spellEnd"/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DBCFA" w14:textId="52FA6957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mirikizumab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79B8A" w14:textId="6BA81182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B.32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6B302" w14:textId="29B49F70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0B6BE9">
              <w:rPr>
                <w:rFonts w:ascii="Lato" w:hAnsi="Lato" w:cstheme="majorHAnsi"/>
                <w:color w:val="000000"/>
                <w:sz w:val="18"/>
                <w:szCs w:val="18"/>
              </w:rPr>
              <w:t>LECZENIE PACJENTÓW Z CHOROBĄ LEŚNIOWSKIEGO – CROHNA (ICD-10: K50)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E1E34" w14:textId="1155653B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0B6BE9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dorosłych </w:t>
            </w:r>
            <w:r w:rsidRPr="000B6BE9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pacjentów z ciężką lub umiarkowaną, czynną postacią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c</w:t>
            </w:r>
            <w:r w:rsidRPr="000B6BE9">
              <w:rPr>
                <w:rFonts w:ascii="Lato" w:hAnsi="Lato" w:cstheme="majorHAnsi"/>
                <w:color w:val="000000"/>
                <w:sz w:val="18"/>
                <w:szCs w:val="18"/>
              </w:rPr>
              <w:t>h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oroby </w:t>
            </w:r>
            <w:proofErr w:type="spellStart"/>
            <w:r w:rsidRPr="000B6BE9">
              <w:rPr>
                <w:rFonts w:ascii="Lato" w:hAnsi="Lato" w:cstheme="majorHAnsi"/>
                <w:color w:val="000000"/>
                <w:sz w:val="18"/>
                <w:szCs w:val="18"/>
              </w:rPr>
              <w:t>L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eśniowskiego</w:t>
            </w:r>
            <w:r w:rsidRPr="000B6BE9">
              <w:rPr>
                <w:rFonts w:ascii="Lato" w:hAnsi="Lato" w:cstheme="majorHAnsi"/>
                <w:color w:val="000000"/>
                <w:sz w:val="18"/>
                <w:szCs w:val="18"/>
              </w:rPr>
              <w:t>-C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rohna</w:t>
            </w:r>
            <w:proofErr w:type="spellEnd"/>
            <w:r w:rsidRPr="000B6BE9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(wynik w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0B6BE9">
              <w:rPr>
                <w:rFonts w:ascii="Lato" w:hAnsi="Lato" w:cstheme="majorHAnsi"/>
                <w:color w:val="000000"/>
                <w:sz w:val="18"/>
                <w:szCs w:val="18"/>
              </w:rPr>
              <w:t>skali CDAI &gt;220 punktów)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</w:tr>
      <w:tr w:rsidR="00AE62CE" w:rsidRPr="004D093B" w14:paraId="1AF8AB98" w14:textId="77777777" w:rsidTr="00CB1A9C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7C320" w14:textId="7CF623A8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5.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55C18" w14:textId="58553A1F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Alyftrek</w:t>
            </w:r>
            <w:proofErr w:type="spellEnd"/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AEAC5" w14:textId="58A3A063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d</w:t>
            </w:r>
            <w:r w:rsidRPr="00AF63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euti</w:t>
            </w:r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w</w:t>
            </w:r>
            <w:r w:rsidRPr="00AF63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a</w:t>
            </w:r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k</w:t>
            </w:r>
            <w:r w:rsidRPr="00AF63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aftor</w:t>
            </w:r>
            <w:proofErr w:type="spellEnd"/>
            <w:r w:rsidRPr="00AF63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t</w:t>
            </w:r>
            <w:r w:rsidRPr="00AF63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eza</w:t>
            </w:r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k</w:t>
            </w:r>
            <w:r w:rsidRPr="00AF63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aftor</w:t>
            </w:r>
            <w:proofErr w:type="spellEnd"/>
            <w:r w:rsidRPr="00AF63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w</w:t>
            </w:r>
            <w:r w:rsidRPr="00AF63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anza</w:t>
            </w:r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k</w:t>
            </w:r>
            <w:r w:rsidRPr="00AF63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aftor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D708A" w14:textId="13EC0623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B.112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34A55" w14:textId="54E40DFB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MUKOWISCYDOZĘ (ICD-10: E84)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ADA33" w14:textId="3A112E30" w:rsidR="00AE62CE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</w:t>
            </w:r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pacjentów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w wieku 6 lat i powyżej </w:t>
            </w:r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z mukowiscydozą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z </w:t>
            </w:r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>co najmniej jedn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ą</w:t>
            </w:r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mutacj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ą</w:t>
            </w:r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inn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ą</w:t>
            </w:r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niż klasy I genu </w:t>
            </w:r>
            <w:proofErr w:type="spellStart"/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>mukowiscydozowego</w:t>
            </w:r>
            <w:proofErr w:type="spellEnd"/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>przezbłonowego</w:t>
            </w:r>
            <w:proofErr w:type="spellEnd"/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regulatora przewodnictwa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  <w:p w14:paraId="64E75D71" w14:textId="7F9D7EB1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AF6320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</w:t>
            </w:r>
            <w:r w:rsidRPr="00AF6320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horoba rzadka)</w:t>
            </w:r>
          </w:p>
        </w:tc>
      </w:tr>
      <w:tr w:rsidR="00E649DD" w:rsidRPr="004D093B" w14:paraId="550257DA" w14:textId="77777777" w:rsidTr="00CB1A9C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A4F64" w14:textId="12BAFA91" w:rsidR="00E649DD" w:rsidRPr="004D093B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6.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47AC7" w14:textId="54D1095C" w:rsidR="00E649DD" w:rsidRPr="004D093B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Amvuttra</w:t>
            </w:r>
            <w:proofErr w:type="spellEnd"/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72120" w14:textId="7260E08A" w:rsidR="00E649DD" w:rsidRPr="004D093B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wutrisyran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E93A1" w14:textId="09931156" w:rsidR="00E649DD" w:rsidRPr="004D093B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B.162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25A82" w14:textId="6A0CC5D0" w:rsidR="00E649DD" w:rsidRPr="004D093B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LECZENIE PACJENTÓW Z KARDIOMIOPATIĄ (ICD-10: E85, I42.1)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DB7E6" w14:textId="77777777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Objęcie refundacją leku z grupy terapii wyciszających geny w dziedzicznej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amyloidozie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transtyretynowej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przebiegającej z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kardiomiopatią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w populacji pacjentów powyżej 18 r.ż. </w:t>
            </w:r>
          </w:p>
          <w:p w14:paraId="686710F4" w14:textId="3454A548" w:rsidR="00E649DD" w:rsidRPr="004D093B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(Choroba rzadka)</w:t>
            </w:r>
          </w:p>
        </w:tc>
      </w:tr>
      <w:tr w:rsidR="00E649DD" w:rsidRPr="004D093B" w14:paraId="128343DD" w14:textId="77777777" w:rsidTr="00C13E3E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F545F" w14:textId="59F53692" w:rsidR="00E649DD" w:rsidRPr="004D093B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lastRenderedPageBreak/>
              <w:t>7.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4CC53" w14:textId="2E5593DF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B0D21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Kinpeygo</w:t>
            </w:r>
            <w:proofErr w:type="spellEnd"/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F8A42" w14:textId="2416AE40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b</w:t>
            </w:r>
            <w:r w:rsidRPr="00FB0D21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udesonidum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7D46E" w14:textId="152797BB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>B.17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D3A42" w14:textId="2AF4A98A" w:rsidR="00E649DD" w:rsidRPr="008F4D28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>LECZENIE PACJENTÓW Z PIERWOTNĄ NEFROPATIĄ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>IgA</w:t>
            </w:r>
            <w:proofErr w:type="spellEnd"/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(ICD-10: N02.8)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0B598" w14:textId="0718ED5A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L</w:t>
            </w:r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>eczeni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e</w:t>
            </w:r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dorosłych pacjentów z pierwotną nefropatią </w:t>
            </w:r>
            <w:proofErr w:type="spellStart"/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>IgA</w:t>
            </w:r>
            <w:proofErr w:type="spellEnd"/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>IgAN</w:t>
            </w:r>
            <w:proofErr w:type="spellEnd"/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>) z poziomem białka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>w moczu ≥1,0 g/dobę (lub stosunkiem stężenia białka do kreatyniny w moczu (UPCR) ≥0,8 g/gram)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</w:tr>
      <w:tr w:rsidR="00E649DD" w:rsidRPr="004D093B" w14:paraId="66DC19FB" w14:textId="77777777" w:rsidTr="00CB1A9C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5553B" w14:textId="1070B985" w:rsidR="00E649DD" w:rsidRPr="004D093B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8.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39EDD" w14:textId="62563D7B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C7CE3">
              <w:rPr>
                <w:rFonts w:ascii="Lato" w:hAnsi="Lato" w:cstheme="majorHAnsi"/>
                <w:b/>
                <w:bCs/>
                <w:color w:val="000000" w:themeColor="text1"/>
                <w:sz w:val="18"/>
                <w:szCs w:val="18"/>
              </w:rPr>
              <w:t>Agamree</w:t>
            </w:r>
            <w:proofErr w:type="spellEnd"/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2435F" w14:textId="218182D5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C7CE3">
              <w:rPr>
                <w:rFonts w:ascii="Lato" w:hAnsi="Lato" w:cstheme="majorHAnsi"/>
                <w:i/>
                <w:iCs/>
                <w:color w:val="000000" w:themeColor="text1"/>
                <w:sz w:val="18"/>
                <w:szCs w:val="18"/>
              </w:rPr>
              <w:t>wamorolon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F9177" w14:textId="0084F57B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B.180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C691B" w14:textId="07CA29D5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LECZENIE CHORYCH Z DYSTROFIĄ MIĘŚNIOWĄ DUCHENNE’A (DMD) (ICD-10: G71.0)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3820E" w14:textId="77777777" w:rsidR="00E649DD" w:rsidRPr="00DC7CE3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 w:themeColor="text1"/>
                <w:sz w:val="18"/>
                <w:szCs w:val="18"/>
              </w:rPr>
            </w:pPr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 xml:space="preserve">Leczenie dystrofii mięśniowej </w:t>
            </w:r>
            <w:proofErr w:type="spellStart"/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Duchenne'a</w:t>
            </w:r>
            <w:proofErr w:type="spellEnd"/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 xml:space="preserve"> (ang. </w:t>
            </w:r>
            <w:proofErr w:type="spellStart"/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Duchenne</w:t>
            </w:r>
            <w:proofErr w:type="spellEnd"/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muscular</w:t>
            </w:r>
            <w:proofErr w:type="spellEnd"/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dystrophy</w:t>
            </w:r>
            <w:proofErr w:type="spellEnd"/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, DMD) u pacjentów w wieku od 4 lat i bez utraty zdolności chodzenia</w:t>
            </w:r>
            <w:r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.</w:t>
            </w:r>
          </w:p>
          <w:p w14:paraId="5E7919B5" w14:textId="0E9148D7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DC7CE3">
              <w:rPr>
                <w:rFonts w:ascii="Lato" w:hAnsi="Lato" w:cstheme="majorHAnsi"/>
                <w:b/>
                <w:bCs/>
                <w:color w:val="000000" w:themeColor="text1"/>
                <w:sz w:val="18"/>
                <w:szCs w:val="18"/>
              </w:rPr>
              <w:t>(Choroba rzadka)</w:t>
            </w:r>
          </w:p>
        </w:tc>
      </w:tr>
      <w:tr w:rsidR="00E649DD" w:rsidRPr="004D093B" w14:paraId="1BEDE68E" w14:textId="77777777" w:rsidTr="00CB1A9C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2B3ED" w14:textId="7982D311" w:rsidR="00E649DD" w:rsidRPr="004D093B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9.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D7712" w14:textId="76A411A1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E2D0B">
              <w:rPr>
                <w:rFonts w:ascii="Lato" w:hAnsi="Lato" w:cstheme="majorHAnsi"/>
                <w:b/>
                <w:bCs/>
                <w:sz w:val="18"/>
                <w:szCs w:val="18"/>
              </w:rPr>
              <w:t>V</w:t>
            </w:r>
            <w:r>
              <w:rPr>
                <w:rFonts w:ascii="Lato" w:hAnsi="Lato" w:cstheme="majorHAnsi"/>
                <w:b/>
                <w:bCs/>
                <w:sz w:val="18"/>
                <w:szCs w:val="18"/>
              </w:rPr>
              <w:t>oraxaze</w:t>
            </w:r>
            <w:proofErr w:type="spellEnd"/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DBD90" w14:textId="0F45502B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290BCB">
              <w:rPr>
                <w:rFonts w:ascii="Lato" w:hAnsi="Lato" w:cstheme="majorHAnsi"/>
                <w:i/>
                <w:iCs/>
                <w:sz w:val="18"/>
                <w:szCs w:val="18"/>
              </w:rPr>
              <w:t>glukarpidaz</w:t>
            </w:r>
            <w:r>
              <w:rPr>
                <w:rFonts w:ascii="Lato" w:hAnsi="Lato" w:cstheme="majorHAnsi"/>
                <w:i/>
                <w:iCs/>
                <w:sz w:val="18"/>
                <w:szCs w:val="18"/>
              </w:rPr>
              <w:t>a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E16DB" w14:textId="71212CB4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BE2D0B">
              <w:rPr>
                <w:rFonts w:ascii="Lato" w:hAnsi="Lato" w:cstheme="majorHAnsi"/>
                <w:color w:val="000000"/>
                <w:sz w:val="18"/>
                <w:szCs w:val="18"/>
              </w:rPr>
              <w:t>B.181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F855B" w14:textId="20BCE03E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BE2D0B">
              <w:rPr>
                <w:rFonts w:ascii="Lato" w:hAnsi="Lato" w:cstheme="majorHAnsi"/>
                <w:color w:val="000000"/>
                <w:sz w:val="18"/>
                <w:szCs w:val="18"/>
              </w:rPr>
              <w:t>ELIMINACJA TOKSYCZNEGO STĘŻENIA METOTREKSATU W OSOCZU U DOROSŁYCH I DZIECI (ICD-10: T45.1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BDDEF" w14:textId="08F35EE7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eastAsiaTheme="minorHAnsi" w:hAnsi="Lato"/>
                <w:sz w:val="18"/>
                <w:szCs w:val="18"/>
              </w:rPr>
              <w:t>L</w:t>
            </w:r>
            <w:r w:rsidRPr="00BE2D0B">
              <w:rPr>
                <w:rFonts w:ascii="Lato" w:eastAsiaTheme="minorHAnsi" w:hAnsi="Lato"/>
                <w:sz w:val="18"/>
                <w:szCs w:val="18"/>
              </w:rPr>
              <w:t xml:space="preserve">eczenie pacjentów otrzymujących chemioterapię dużymi dawkami </w:t>
            </w:r>
            <w:proofErr w:type="spellStart"/>
            <w:r w:rsidRPr="00BE2D0B">
              <w:rPr>
                <w:rFonts w:ascii="Lato" w:eastAsiaTheme="minorHAnsi" w:hAnsi="Lato"/>
                <w:sz w:val="18"/>
                <w:szCs w:val="18"/>
              </w:rPr>
              <w:t>metotreksatu</w:t>
            </w:r>
            <w:proofErr w:type="spellEnd"/>
            <w:r w:rsidRPr="00BE2D0B">
              <w:rPr>
                <w:rFonts w:ascii="Lato" w:eastAsiaTheme="minorHAnsi" w:hAnsi="Lato"/>
                <w:sz w:val="18"/>
                <w:szCs w:val="18"/>
              </w:rPr>
              <w:t xml:space="preserve">, u których w następstwie pogorszenia czynności nerek doszło do opóźnionej eliminacji </w:t>
            </w:r>
            <w:proofErr w:type="spellStart"/>
            <w:r w:rsidRPr="00BE2D0B">
              <w:rPr>
                <w:rFonts w:ascii="Lato" w:eastAsiaTheme="minorHAnsi" w:hAnsi="Lato"/>
                <w:sz w:val="18"/>
                <w:szCs w:val="18"/>
              </w:rPr>
              <w:t>metotreksatu</w:t>
            </w:r>
            <w:proofErr w:type="spellEnd"/>
            <w:r w:rsidRPr="00BE2D0B">
              <w:rPr>
                <w:rFonts w:ascii="Lato" w:eastAsiaTheme="minorHAnsi" w:hAnsi="Lato"/>
                <w:sz w:val="18"/>
                <w:szCs w:val="18"/>
              </w:rPr>
              <w:t xml:space="preserve">, skutkującej zagrożeniem wystąpienia działań toksycznych </w:t>
            </w:r>
            <w:proofErr w:type="spellStart"/>
            <w:r w:rsidRPr="00BE2D0B">
              <w:rPr>
                <w:rFonts w:ascii="Lato" w:eastAsiaTheme="minorHAnsi" w:hAnsi="Lato"/>
                <w:sz w:val="18"/>
                <w:szCs w:val="18"/>
              </w:rPr>
              <w:t>metotreksatu</w:t>
            </w:r>
            <w:proofErr w:type="spellEnd"/>
            <w:r w:rsidRPr="00BE2D0B">
              <w:rPr>
                <w:rFonts w:ascii="Lato" w:eastAsiaTheme="minorHAnsi" w:hAnsi="Lato"/>
                <w:sz w:val="18"/>
                <w:szCs w:val="18"/>
              </w:rPr>
              <w:t>, pomimo zastosowania standardowych środków ratunkowych</w:t>
            </w:r>
            <w:r>
              <w:rPr>
                <w:rFonts w:ascii="Lato" w:eastAsiaTheme="minorHAnsi" w:hAnsi="Lato"/>
                <w:sz w:val="18"/>
                <w:szCs w:val="18"/>
              </w:rPr>
              <w:t>.</w:t>
            </w:r>
          </w:p>
        </w:tc>
      </w:tr>
      <w:tr w:rsidR="00E649DD" w:rsidRPr="004D093B" w14:paraId="63B594E7" w14:textId="77777777" w:rsidTr="00C13E3E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F6ACF" w14:textId="25FFC4E8" w:rsidR="00E649DD" w:rsidRPr="004D093B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0.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15BB7" w14:textId="7B8C761E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Lyvdelzi</w:t>
            </w:r>
            <w:proofErr w:type="spellEnd"/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8777D" w14:textId="569C5190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seladelpar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CC17E" w14:textId="45F1D41C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B.183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7B265" w14:textId="696304FF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>LECZENIE PACJENTÓW 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>PIERWOTNYM ZAPALENIEM DRÓG ŻÓŁCIOWYCH (PBC) (ICD-10: K74.3)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3D2AA" w14:textId="16C387C7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pacjentów z pierwotnym zapaleniem dróg żółciowych (PBC) z udokumentowaną nieskutecznością lub nietolerancją leczenia kwasem </w:t>
            </w:r>
            <w:proofErr w:type="spellStart"/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>ursodeoksycholowym</w:t>
            </w:r>
            <w:proofErr w:type="spellEnd"/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(UDCA).</w:t>
            </w:r>
          </w:p>
        </w:tc>
      </w:tr>
      <w:tr w:rsidR="00E649DD" w:rsidRPr="004D093B" w14:paraId="609BE8BF" w14:textId="77777777" w:rsidTr="00C13E3E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3B69E" w14:textId="53C30896" w:rsidR="00E649DD" w:rsidRPr="004D093B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1AD09" w14:textId="663C884D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sz w:val="18"/>
                <w:szCs w:val="18"/>
              </w:rPr>
              <w:t>Iqirvo</w:t>
            </w:r>
            <w:proofErr w:type="spellEnd"/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7D963" w14:textId="3B45D5DA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sz w:val="18"/>
                <w:szCs w:val="18"/>
              </w:rPr>
              <w:t>elafibranor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B5766" w14:textId="0129EAE9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B.183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4B2E2" w14:textId="40259089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>LECZENIE PACJENTÓW 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>PIERWOTNYM ZAPALENIEM DRÓG ŻÓŁCIOWYCH (PBC) (ICD-10: K74.3)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F3EE0" w14:textId="7C26B1D5" w:rsidR="00E649DD" w:rsidRDefault="00E649DD" w:rsidP="00E649DD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pacjentów z pierwotnym zapaleniem dróg żółciowych (PBC) z udokumentowaną nieskutecznością lub nietolerancją leczenia kwasem </w:t>
            </w:r>
            <w:proofErr w:type="spellStart"/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>ursodeoksycholowym</w:t>
            </w:r>
            <w:proofErr w:type="spellEnd"/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(UDCA).</w:t>
            </w:r>
          </w:p>
        </w:tc>
      </w:tr>
    </w:tbl>
    <w:p w14:paraId="169C5300" w14:textId="77777777" w:rsidR="004D093B" w:rsidRDefault="004D093B">
      <w:pPr>
        <w:suppressAutoHyphens w:val="0"/>
        <w:rPr>
          <w:rFonts w:ascii="Lato" w:hAnsi="Lato"/>
        </w:rPr>
      </w:pPr>
      <w:r>
        <w:rPr>
          <w:rFonts w:ascii="Lato" w:hAnsi="Lato"/>
        </w:rPr>
        <w:br w:type="page"/>
      </w:r>
    </w:p>
    <w:tbl>
      <w:tblPr>
        <w:tblW w:w="5000" w:type="pct"/>
        <w:tblCellMar>
          <w:top w:w="113" w:type="dxa"/>
          <w:left w:w="10" w:type="dxa"/>
          <w:bottom w:w="113" w:type="dxa"/>
          <w:right w:w="10" w:type="dxa"/>
        </w:tblCellMar>
        <w:tblLook w:val="0000" w:firstRow="0" w:lastRow="0" w:firstColumn="0" w:lastColumn="0" w:noHBand="0" w:noVBand="0"/>
      </w:tblPr>
      <w:tblGrid>
        <w:gridCol w:w="641"/>
        <w:gridCol w:w="1645"/>
        <w:gridCol w:w="3519"/>
        <w:gridCol w:w="8183"/>
      </w:tblGrid>
      <w:tr w:rsidR="00A434EB" w:rsidRPr="004D093B" w14:paraId="0B833808" w14:textId="77777777" w:rsidTr="004D093B">
        <w:trPr>
          <w:cantSplit/>
          <w:trHeight w:val="20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B9EA6" w14:textId="428F8CF7" w:rsidR="00A434EB" w:rsidRPr="004D093B" w:rsidRDefault="00A434EB" w:rsidP="00A434EB">
            <w:pPr>
              <w:spacing w:before="60" w:after="60" w:line="240" w:lineRule="auto"/>
              <w:jc w:val="center"/>
              <w:rPr>
                <w:rFonts w:ascii="Lato" w:hAnsi="Lato" w:cstheme="majorHAnsi"/>
              </w:rPr>
            </w:pPr>
            <w:r w:rsidRPr="004D093B">
              <w:rPr>
                <w:rFonts w:ascii="Lato" w:hAnsi="Lato" w:cstheme="majorHAnsi"/>
                <w:b/>
                <w:bCs/>
                <w:color w:val="FFFFFF"/>
              </w:rPr>
              <w:lastRenderedPageBreak/>
              <w:t>Zmiany w programach lekowych i chemioterapii</w:t>
            </w:r>
          </w:p>
        </w:tc>
      </w:tr>
      <w:tr w:rsidR="00A434EB" w:rsidRPr="004D093B" w14:paraId="2BCC5E80" w14:textId="77777777" w:rsidTr="005E7AC7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385C7" w14:textId="77777777" w:rsidR="00A434EB" w:rsidRPr="004D093B" w:rsidRDefault="00A434EB" w:rsidP="00A434EB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00381" w14:textId="7E0E9907" w:rsidR="00A434EB" w:rsidRPr="004D093B" w:rsidRDefault="00A434EB" w:rsidP="00A434EB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Numer programu lekowego lub numeru załącznika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32808" w14:textId="70920D05" w:rsidR="00A434EB" w:rsidRPr="004D093B" w:rsidRDefault="00A434EB" w:rsidP="00A434EB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Nazwa programu lekowego lub załącznika chemioterapii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38F47" w14:textId="14B18ED3" w:rsidR="00A434EB" w:rsidRPr="004D093B" w:rsidRDefault="00A434EB" w:rsidP="00A434EB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Krótki opis zmian dokonanych w obrębie programu lekowego / załącznika chemioterapii</w:t>
            </w:r>
          </w:p>
        </w:tc>
      </w:tr>
      <w:tr w:rsidR="005E7AC7" w:rsidRPr="004D093B" w14:paraId="50DA02B0" w14:textId="77777777" w:rsidTr="00C13E3E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E7C88" w14:textId="5EDF5782" w:rsidR="005E7AC7" w:rsidRPr="004D093B" w:rsidRDefault="005E7AC7" w:rsidP="005E7AC7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1.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C2DB2" w14:textId="0A0C2792" w:rsidR="005E7AC7" w:rsidRPr="004D093B" w:rsidRDefault="005E7AC7" w:rsidP="005E7AC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B.6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1D9A8" w14:textId="0F56CAFB" w:rsidR="005E7AC7" w:rsidRPr="002E6B8A" w:rsidRDefault="005E7AC7" w:rsidP="005E7AC7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hAnsi="Lato"/>
                <w:bCs/>
                <w:sz w:val="18"/>
                <w:szCs w:val="18"/>
              </w:rPr>
            </w:pPr>
            <w:r w:rsidRPr="002E6B8A">
              <w:rPr>
                <w:rFonts w:ascii="Lato" w:hAnsi="Lato"/>
                <w:bCs/>
                <w:sz w:val="18"/>
                <w:szCs w:val="18"/>
              </w:rPr>
              <w:t>LECZENIE CHORYCH NA RAKA PŁUCA (ICD-10: C34) ORAZ MIĘDZYBŁONIAKA OPŁUCNEJ (ICD-10: C45)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5C8D7" w14:textId="382404E1" w:rsidR="005E7AC7" w:rsidRDefault="005E7AC7" w:rsidP="005E7AC7">
            <w:p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 w:rsidRPr="00A974C2">
              <w:rPr>
                <w:rFonts w:ascii="Lato" w:hAnsi="Lato" w:cstheme="majorHAnsi"/>
                <w:sz w:val="18"/>
                <w:szCs w:val="18"/>
              </w:rPr>
              <w:t>Kompleksowa zmiana treści programu lekowego obejmująca wszystkie jego składowe</w:t>
            </w:r>
            <w:r>
              <w:rPr>
                <w:rFonts w:ascii="Lato" w:hAnsi="Lato" w:cstheme="majorHAnsi"/>
                <w:sz w:val="18"/>
                <w:szCs w:val="18"/>
              </w:rPr>
              <w:t xml:space="preserve">. Program podzielono na dedykowane moduły leczenia: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niedrobnokomórkowego</w:t>
            </w:r>
            <w:proofErr w:type="spellEnd"/>
            <w:r w:rsidRPr="00483DF0">
              <w:rPr>
                <w:rFonts w:ascii="Lato" w:hAnsi="Lato" w:cstheme="majorHAnsi"/>
                <w:sz w:val="18"/>
                <w:szCs w:val="18"/>
              </w:rPr>
              <w:t xml:space="preserve"> raka płuca (NDRP)</w:t>
            </w:r>
            <w:r>
              <w:rPr>
                <w:rFonts w:ascii="Lato" w:hAnsi="Lato" w:cstheme="majorHAnsi"/>
                <w:sz w:val="18"/>
                <w:szCs w:val="18"/>
              </w:rPr>
              <w:t xml:space="preserve">, drobnokomórkowego raka płuca (DRP) i </w:t>
            </w:r>
            <w:proofErr w:type="spellStart"/>
            <w:r>
              <w:rPr>
                <w:rFonts w:ascii="Lato" w:hAnsi="Lato" w:cstheme="majorHAnsi"/>
                <w:sz w:val="18"/>
                <w:szCs w:val="18"/>
              </w:rPr>
              <w:t>międzybłoniaka</w:t>
            </w:r>
            <w:proofErr w:type="spellEnd"/>
            <w:r>
              <w:rPr>
                <w:rFonts w:ascii="Lato" w:hAnsi="Lato" w:cstheme="majorHAnsi"/>
                <w:sz w:val="18"/>
                <w:szCs w:val="18"/>
              </w:rPr>
              <w:t xml:space="preserve"> opłucnej. Poprawiono przejrzystość programu pod względem stosowania poszczególnych terapii w różnych stadiach zaawansowania choroby i zaimplementowano zmiany wynikające z aktualnych wytycznych klinicznych m. in.</w:t>
            </w:r>
          </w:p>
          <w:p w14:paraId="4BE6A8C9" w14:textId="77777777" w:rsidR="005E7AC7" w:rsidRDefault="005E7AC7" w:rsidP="005E7AC7">
            <w:pPr>
              <w:pStyle w:val="Akapitzlist"/>
              <w:numPr>
                <w:ilvl w:val="0"/>
                <w:numId w:val="28"/>
              </w:num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 xml:space="preserve">wprowadzono tzw. „wakacje terapeutyczne” - </w:t>
            </w:r>
            <w:r w:rsidRPr="00483DF0">
              <w:rPr>
                <w:rFonts w:ascii="Lato" w:hAnsi="Lato" w:cstheme="majorHAnsi"/>
                <w:sz w:val="18"/>
                <w:szCs w:val="18"/>
              </w:rPr>
              <w:t xml:space="preserve">ograniczono możliwość stosowania immunoterapii w stadium uogólnienia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niedrobnokomórkowego</w:t>
            </w:r>
            <w:proofErr w:type="spellEnd"/>
            <w:r w:rsidRPr="00483DF0">
              <w:rPr>
                <w:rFonts w:ascii="Lato" w:hAnsi="Lato" w:cstheme="majorHAnsi"/>
                <w:sz w:val="18"/>
                <w:szCs w:val="18"/>
              </w:rPr>
              <w:t xml:space="preserve"> raka płuca (NDRP) oraz w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międzybłoniaku</w:t>
            </w:r>
            <w:proofErr w:type="spellEnd"/>
            <w:r w:rsidRPr="00483DF0">
              <w:rPr>
                <w:rFonts w:ascii="Lato" w:hAnsi="Lato" w:cstheme="majorHAnsi"/>
                <w:sz w:val="18"/>
                <w:szCs w:val="18"/>
              </w:rPr>
              <w:t xml:space="preserve"> opłucnej</w:t>
            </w:r>
            <w:r>
              <w:rPr>
                <w:rFonts w:ascii="Lato" w:hAnsi="Lato" w:cstheme="majorHAnsi"/>
                <w:sz w:val="18"/>
                <w:szCs w:val="18"/>
              </w:rPr>
              <w:t xml:space="preserve"> </w:t>
            </w:r>
            <w:r w:rsidRPr="00483DF0">
              <w:rPr>
                <w:rFonts w:ascii="Lato" w:hAnsi="Lato" w:cstheme="majorHAnsi"/>
                <w:sz w:val="18"/>
                <w:szCs w:val="18"/>
              </w:rPr>
              <w:t>do 2 lat</w:t>
            </w:r>
            <w:r>
              <w:rPr>
                <w:rFonts w:ascii="Lato" w:hAnsi="Lato" w:cstheme="majorHAnsi"/>
                <w:sz w:val="18"/>
                <w:szCs w:val="18"/>
              </w:rPr>
              <w:t xml:space="preserve"> jednocześnie umożliwiając wznowienie terapii w przypadku nawrotu choroby;</w:t>
            </w:r>
          </w:p>
          <w:p w14:paraId="6AE60833" w14:textId="77777777" w:rsidR="005E7AC7" w:rsidRDefault="005E7AC7" w:rsidP="005E7AC7">
            <w:pPr>
              <w:pStyle w:val="Akapitzlist"/>
              <w:numPr>
                <w:ilvl w:val="0"/>
                <w:numId w:val="28"/>
              </w:num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 w:rsidRPr="00483DF0">
              <w:rPr>
                <w:rFonts w:ascii="Lato" w:hAnsi="Lato" w:cstheme="majorHAnsi"/>
                <w:sz w:val="18"/>
                <w:szCs w:val="18"/>
              </w:rPr>
              <w:t>uporządkowano zapisy</w:t>
            </w:r>
            <w:r>
              <w:rPr>
                <w:rFonts w:ascii="Lato" w:hAnsi="Lato" w:cstheme="majorHAnsi"/>
                <w:sz w:val="18"/>
                <w:szCs w:val="18"/>
              </w:rPr>
              <w:t xml:space="preserve"> kryteriów włączenia</w:t>
            </w:r>
            <w:r w:rsidRPr="00483DF0">
              <w:rPr>
                <w:rFonts w:ascii="Lato" w:hAnsi="Lato" w:cstheme="majorHAnsi"/>
                <w:sz w:val="18"/>
                <w:szCs w:val="18"/>
              </w:rPr>
              <w:t xml:space="preserve"> dotyczące możliwości leczenia pacjentów z NDRP typu NOS (ang. Not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Otherwise</w:t>
            </w:r>
            <w:proofErr w:type="spellEnd"/>
            <w:r w:rsidRPr="00483DF0">
              <w:rPr>
                <w:rFonts w:ascii="Lato" w:hAnsi="Lato" w:cstheme="majorHAnsi"/>
                <w:sz w:val="18"/>
                <w:szCs w:val="18"/>
              </w:rPr>
              <w:t xml:space="preserve">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Specified</w:t>
            </w:r>
            <w:proofErr w:type="spellEnd"/>
            <w:r w:rsidRPr="00483DF0">
              <w:rPr>
                <w:rFonts w:ascii="Lato" w:hAnsi="Lato" w:cstheme="majorHAnsi"/>
                <w:sz w:val="18"/>
                <w:szCs w:val="18"/>
              </w:rPr>
              <w:t xml:space="preserve"> –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niedrobnokomórkowy</w:t>
            </w:r>
            <w:proofErr w:type="spellEnd"/>
            <w:r w:rsidRPr="00483DF0">
              <w:rPr>
                <w:rFonts w:ascii="Lato" w:hAnsi="Lato" w:cstheme="majorHAnsi"/>
                <w:sz w:val="18"/>
                <w:szCs w:val="18"/>
              </w:rPr>
              <w:t xml:space="preserve"> rak płuca nieokreślony) immunoterapiami,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ozymertynibem</w:t>
            </w:r>
            <w:proofErr w:type="spellEnd"/>
            <w:r w:rsidRPr="00483DF0">
              <w:rPr>
                <w:rFonts w:ascii="Lato" w:hAnsi="Lato" w:cstheme="majorHAnsi"/>
                <w:sz w:val="18"/>
                <w:szCs w:val="18"/>
              </w:rPr>
              <w:t xml:space="preserve"> w skojarzeniu z chemioterapią oraz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sotorasibem</w:t>
            </w:r>
            <w:proofErr w:type="spellEnd"/>
            <w:r>
              <w:rPr>
                <w:rFonts w:ascii="Lato" w:hAnsi="Lato" w:cstheme="majorHAnsi"/>
                <w:sz w:val="18"/>
                <w:szCs w:val="18"/>
              </w:rPr>
              <w:t>;</w:t>
            </w:r>
          </w:p>
          <w:p w14:paraId="26ACFCF2" w14:textId="77777777" w:rsidR="00E5130D" w:rsidRDefault="005E7AC7" w:rsidP="00E5130D">
            <w:pPr>
              <w:pStyle w:val="Akapitzlist"/>
              <w:numPr>
                <w:ilvl w:val="0"/>
                <w:numId w:val="28"/>
              </w:num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 w:rsidRPr="00483DF0">
              <w:rPr>
                <w:rFonts w:ascii="Lato" w:hAnsi="Lato" w:cstheme="majorHAnsi"/>
                <w:sz w:val="18"/>
                <w:szCs w:val="18"/>
              </w:rPr>
              <w:t xml:space="preserve">zmieniono zapisy w zakresie możliwości włączenia pacjentów ze stopniem zaawansowania IIIB według 9. wersji klasyfikacji TNM (wcześniej stopień zaawansowania obejmował stopień IIIA według 8. wersji klasyfikacji TNM) w kryteriach włączenia m.in. do terapii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atezolizmabem</w:t>
            </w:r>
            <w:proofErr w:type="spellEnd"/>
            <w:r w:rsidRPr="00483DF0">
              <w:rPr>
                <w:rFonts w:ascii="Lato" w:hAnsi="Lato" w:cstheme="majorHAnsi"/>
                <w:sz w:val="18"/>
                <w:szCs w:val="18"/>
              </w:rPr>
              <w:t xml:space="preserve">,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alektynibem</w:t>
            </w:r>
            <w:proofErr w:type="spellEnd"/>
            <w:r>
              <w:rPr>
                <w:rFonts w:ascii="Lato" w:hAnsi="Lato" w:cstheme="majorHAnsi"/>
                <w:sz w:val="18"/>
                <w:szCs w:val="18"/>
              </w:rPr>
              <w:t>;</w:t>
            </w:r>
          </w:p>
          <w:p w14:paraId="4BC7F39F" w14:textId="7A4AE7D6" w:rsidR="005E7AC7" w:rsidRPr="00E5130D" w:rsidRDefault="005E7AC7" w:rsidP="00E5130D">
            <w:pPr>
              <w:pStyle w:val="Akapitzlist"/>
              <w:numPr>
                <w:ilvl w:val="0"/>
                <w:numId w:val="28"/>
              </w:num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 w:rsidRPr="00E5130D">
              <w:rPr>
                <w:rFonts w:ascii="Lato" w:hAnsi="Lato" w:cstheme="majorHAnsi"/>
                <w:sz w:val="18"/>
                <w:szCs w:val="18"/>
              </w:rPr>
              <w:t xml:space="preserve">dodano w kryteriach włączenia dla </w:t>
            </w:r>
            <w:proofErr w:type="spellStart"/>
            <w:r w:rsidRPr="00E5130D">
              <w:rPr>
                <w:rFonts w:ascii="Lato" w:hAnsi="Lato" w:cstheme="majorHAnsi"/>
                <w:sz w:val="18"/>
                <w:szCs w:val="18"/>
              </w:rPr>
              <w:t>alektynibu</w:t>
            </w:r>
            <w:proofErr w:type="spellEnd"/>
            <w:r w:rsidRPr="00E5130D">
              <w:rPr>
                <w:rFonts w:ascii="Lato" w:hAnsi="Lato" w:cstheme="majorHAnsi"/>
                <w:sz w:val="18"/>
                <w:szCs w:val="18"/>
              </w:rPr>
              <w:t xml:space="preserve"> stosowanego w leczeniu radykalnym rozpoznania obejmującego raka wielkokomórkowego oraz NDRP typu NOS.</w:t>
            </w:r>
          </w:p>
        </w:tc>
      </w:tr>
      <w:tr w:rsidR="005E7AC7" w:rsidRPr="004D093B" w14:paraId="571B0832" w14:textId="77777777" w:rsidTr="00C13E3E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70F3C" w14:textId="0E1C15AB" w:rsidR="005E7AC7" w:rsidRPr="004D093B" w:rsidRDefault="005E7AC7" w:rsidP="005E7AC7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2.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038BA" w14:textId="436CB881" w:rsidR="005E7AC7" w:rsidRPr="005B4CDE" w:rsidRDefault="005E7AC7" w:rsidP="005E7AC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5B4CDE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B.31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D1FCD" w14:textId="3CEF0BB9" w:rsidR="005E7AC7" w:rsidRPr="002E6B8A" w:rsidRDefault="005E7AC7" w:rsidP="005E7AC7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eastAsia="Calibri" w:hAnsi="Lato" w:cstheme="majorHAnsi"/>
                <w:bCs/>
                <w:sz w:val="18"/>
                <w:szCs w:val="18"/>
                <w:lang w:eastAsia="en-US"/>
              </w:rPr>
            </w:pPr>
            <w:r w:rsidRPr="002E6B8A">
              <w:rPr>
                <w:rFonts w:ascii="Lato" w:hAnsi="Lato"/>
                <w:bCs/>
                <w:sz w:val="18"/>
                <w:szCs w:val="18"/>
              </w:rPr>
              <w:t>LECZENIE TĘTNICZEGO NADCIŚNIENIA PŁUCNEGO (TNP) (ICD-10 I27, I27.0)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9A20F" w14:textId="58DBFFE2" w:rsidR="005E7AC7" w:rsidRPr="004D093B" w:rsidRDefault="005E7AC7" w:rsidP="005E7AC7">
            <w:pPr>
              <w:suppressAutoHyphens w:val="0"/>
              <w:autoSpaceDE w:val="0"/>
              <w:adjustRightInd w:val="0"/>
              <w:spacing w:before="120" w:after="120" w:line="240" w:lineRule="auto"/>
              <w:jc w:val="center"/>
              <w:textAlignment w:val="auto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Dodatkowo oprócz nowych wskazań uwzględniono w ocenie stanu pacjenta poza klasą czynnościową wg NYHA również skalę ryzyka; zmiany porządkujące.</w:t>
            </w:r>
          </w:p>
        </w:tc>
      </w:tr>
      <w:tr w:rsidR="005E7AC7" w:rsidRPr="004D093B" w14:paraId="67293BB2" w14:textId="77777777" w:rsidTr="00C13E3E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B881F" w14:textId="66E32355" w:rsidR="005E7AC7" w:rsidRPr="004D093B" w:rsidRDefault="005E7AC7" w:rsidP="005E7AC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3.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1F1AA" w14:textId="31A0C592" w:rsidR="005E7AC7" w:rsidRPr="005B4CDE" w:rsidRDefault="005E7AC7" w:rsidP="005E7AC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B.44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0EFE2" w14:textId="7FC82DC1" w:rsidR="005E7AC7" w:rsidRPr="002E6B8A" w:rsidRDefault="005E7AC7" w:rsidP="005E7AC7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eastAsia="Calibri" w:hAnsi="Lato" w:cstheme="majorHAnsi"/>
                <w:bCs/>
                <w:sz w:val="18"/>
                <w:szCs w:val="18"/>
                <w:lang w:eastAsia="en-US"/>
              </w:rPr>
            </w:pPr>
            <w:r w:rsidRPr="002E6B8A">
              <w:rPr>
                <w:rFonts w:ascii="Lato" w:hAnsi="Lato"/>
                <w:bCs/>
                <w:sz w:val="18"/>
                <w:szCs w:val="18"/>
              </w:rPr>
              <w:t>LECZENIE CHORYCH Z CIĘŻKĄ POSTACIĄ ASTMY (ICD-10: J45, J82)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03C66" w14:textId="77777777" w:rsidR="005E7AC7" w:rsidRPr="00CC7CC7" w:rsidRDefault="005E7AC7" w:rsidP="005E7AC7">
            <w:p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 w:rsidRPr="00CC7CC7">
              <w:rPr>
                <w:rFonts w:ascii="Lato" w:hAnsi="Lato" w:cstheme="majorHAnsi"/>
                <w:sz w:val="18"/>
                <w:szCs w:val="18"/>
              </w:rPr>
              <w:t>•</w:t>
            </w:r>
            <w:r w:rsidRPr="00CC7CC7">
              <w:rPr>
                <w:rFonts w:ascii="Lato" w:hAnsi="Lato" w:cstheme="majorHAnsi"/>
                <w:sz w:val="18"/>
                <w:szCs w:val="18"/>
              </w:rPr>
              <w:tab/>
            </w:r>
            <w:r>
              <w:rPr>
                <w:rFonts w:ascii="Lato" w:hAnsi="Lato" w:cstheme="majorHAnsi"/>
                <w:sz w:val="18"/>
                <w:szCs w:val="18"/>
              </w:rPr>
              <w:t xml:space="preserve">Obniżenie </w:t>
            </w:r>
            <w:r w:rsidRPr="00CC7CC7">
              <w:rPr>
                <w:rFonts w:ascii="Lato" w:hAnsi="Lato" w:cstheme="majorHAnsi"/>
                <w:sz w:val="18"/>
                <w:szCs w:val="18"/>
              </w:rPr>
              <w:t xml:space="preserve">wieku pacjentów do kwalifikacji </w:t>
            </w:r>
            <w:proofErr w:type="spellStart"/>
            <w:r w:rsidRPr="00CC7CC7">
              <w:rPr>
                <w:rFonts w:ascii="Lato" w:hAnsi="Lato" w:cstheme="majorHAnsi"/>
                <w:sz w:val="18"/>
                <w:szCs w:val="18"/>
              </w:rPr>
              <w:t>mepolizumabem</w:t>
            </w:r>
            <w:proofErr w:type="spellEnd"/>
            <w:r>
              <w:rPr>
                <w:rFonts w:ascii="Lato" w:hAnsi="Lato" w:cstheme="majorHAnsi"/>
                <w:sz w:val="18"/>
                <w:szCs w:val="18"/>
              </w:rPr>
              <w:t xml:space="preserve"> od 12 </w:t>
            </w:r>
            <w:proofErr w:type="gramStart"/>
            <w:r>
              <w:rPr>
                <w:rFonts w:ascii="Lato" w:hAnsi="Lato" w:cstheme="majorHAnsi"/>
                <w:sz w:val="18"/>
                <w:szCs w:val="18"/>
              </w:rPr>
              <w:t xml:space="preserve">lat </w:t>
            </w:r>
            <w:r w:rsidRPr="00CC7CC7">
              <w:rPr>
                <w:rFonts w:ascii="Lato" w:hAnsi="Lato" w:cstheme="majorHAnsi"/>
                <w:sz w:val="18"/>
                <w:szCs w:val="18"/>
              </w:rPr>
              <w:t xml:space="preserve"> i</w:t>
            </w:r>
            <w:proofErr w:type="gramEnd"/>
            <w:r w:rsidRPr="00CC7CC7">
              <w:rPr>
                <w:rFonts w:ascii="Lato" w:hAnsi="Lato" w:cstheme="majorHAnsi"/>
                <w:sz w:val="18"/>
                <w:szCs w:val="18"/>
              </w:rPr>
              <w:t xml:space="preserve"> </w:t>
            </w:r>
            <w:proofErr w:type="spellStart"/>
            <w:r w:rsidRPr="00CC7CC7">
              <w:rPr>
                <w:rFonts w:ascii="Lato" w:hAnsi="Lato" w:cstheme="majorHAnsi"/>
                <w:sz w:val="18"/>
                <w:szCs w:val="18"/>
              </w:rPr>
              <w:t>dupilumabem</w:t>
            </w:r>
            <w:proofErr w:type="spellEnd"/>
            <w:r>
              <w:rPr>
                <w:rFonts w:ascii="Lato" w:hAnsi="Lato" w:cstheme="majorHAnsi"/>
                <w:sz w:val="18"/>
                <w:szCs w:val="18"/>
              </w:rPr>
              <w:t xml:space="preserve"> od 6 lat;</w:t>
            </w:r>
          </w:p>
          <w:p w14:paraId="6169F57C" w14:textId="77777777" w:rsidR="005E7AC7" w:rsidRPr="00CC7CC7" w:rsidRDefault="005E7AC7" w:rsidP="005E7AC7">
            <w:p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 w:rsidRPr="00CC7CC7">
              <w:rPr>
                <w:rFonts w:ascii="Lato" w:hAnsi="Lato" w:cstheme="majorHAnsi"/>
                <w:sz w:val="18"/>
                <w:szCs w:val="18"/>
              </w:rPr>
              <w:t>•</w:t>
            </w:r>
            <w:r w:rsidRPr="00CC7CC7">
              <w:rPr>
                <w:rFonts w:ascii="Lato" w:hAnsi="Lato" w:cstheme="majorHAnsi"/>
                <w:sz w:val="18"/>
                <w:szCs w:val="18"/>
              </w:rPr>
              <w:tab/>
              <w:t xml:space="preserve">Obniżeniu progu eozynofilii dla </w:t>
            </w:r>
            <w:proofErr w:type="spellStart"/>
            <w:r w:rsidRPr="00CC7CC7">
              <w:rPr>
                <w:rFonts w:ascii="Lato" w:hAnsi="Lato" w:cstheme="majorHAnsi"/>
                <w:sz w:val="18"/>
                <w:szCs w:val="18"/>
              </w:rPr>
              <w:t>mepolizumabu</w:t>
            </w:r>
            <w:proofErr w:type="spellEnd"/>
            <w:r w:rsidRPr="00CC7CC7">
              <w:rPr>
                <w:rFonts w:ascii="Lato" w:hAnsi="Lato" w:cstheme="majorHAnsi"/>
                <w:sz w:val="18"/>
                <w:szCs w:val="18"/>
              </w:rPr>
              <w:t xml:space="preserve">, </w:t>
            </w:r>
            <w:proofErr w:type="spellStart"/>
            <w:r w:rsidRPr="00CC7CC7">
              <w:rPr>
                <w:rFonts w:ascii="Lato" w:hAnsi="Lato" w:cstheme="majorHAnsi"/>
                <w:sz w:val="18"/>
                <w:szCs w:val="18"/>
              </w:rPr>
              <w:t>benralizumabu</w:t>
            </w:r>
            <w:proofErr w:type="spellEnd"/>
            <w:r w:rsidRPr="00CC7CC7">
              <w:rPr>
                <w:rFonts w:ascii="Lato" w:hAnsi="Lato" w:cstheme="majorHAnsi"/>
                <w:sz w:val="18"/>
                <w:szCs w:val="18"/>
              </w:rPr>
              <w:t xml:space="preserve"> i </w:t>
            </w:r>
            <w:proofErr w:type="spellStart"/>
            <w:r w:rsidRPr="00CC7CC7">
              <w:rPr>
                <w:rFonts w:ascii="Lato" w:hAnsi="Lato" w:cstheme="majorHAnsi"/>
                <w:sz w:val="18"/>
                <w:szCs w:val="18"/>
              </w:rPr>
              <w:t>dupilumabu</w:t>
            </w:r>
            <w:proofErr w:type="spellEnd"/>
            <w:r w:rsidRPr="00CC7CC7">
              <w:rPr>
                <w:rFonts w:ascii="Lato" w:hAnsi="Lato" w:cstheme="majorHAnsi"/>
                <w:sz w:val="18"/>
                <w:szCs w:val="18"/>
              </w:rPr>
              <w:t xml:space="preserve"> oraz usunięcie skumulowanej dawki rocznej </w:t>
            </w:r>
            <w:proofErr w:type="spellStart"/>
            <w:r w:rsidRPr="00CC7CC7">
              <w:rPr>
                <w:rFonts w:ascii="Lato" w:hAnsi="Lato" w:cstheme="majorHAnsi"/>
                <w:sz w:val="18"/>
                <w:szCs w:val="18"/>
              </w:rPr>
              <w:t>dGKS</w:t>
            </w:r>
            <w:proofErr w:type="spellEnd"/>
            <w:r w:rsidRPr="00CC7CC7">
              <w:rPr>
                <w:rFonts w:ascii="Lato" w:hAnsi="Lato" w:cstheme="majorHAnsi"/>
                <w:sz w:val="18"/>
                <w:szCs w:val="18"/>
              </w:rPr>
              <w:t>;</w:t>
            </w:r>
          </w:p>
          <w:p w14:paraId="4FCF84DF" w14:textId="38FB8D7C" w:rsidR="005E7AC7" w:rsidRPr="004D093B" w:rsidRDefault="005E7AC7" w:rsidP="005E7AC7">
            <w:pPr>
              <w:suppressAutoHyphens w:val="0"/>
              <w:autoSpaceDE w:val="0"/>
              <w:adjustRightInd w:val="0"/>
              <w:spacing w:before="120" w:after="120" w:line="240" w:lineRule="auto"/>
              <w:jc w:val="center"/>
              <w:textAlignment w:val="auto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CC7CC7">
              <w:rPr>
                <w:rFonts w:ascii="Lato" w:hAnsi="Lato" w:cstheme="majorHAnsi"/>
                <w:sz w:val="18"/>
                <w:szCs w:val="18"/>
              </w:rPr>
              <w:t>•</w:t>
            </w:r>
            <w:r w:rsidRPr="00CC7CC7">
              <w:rPr>
                <w:rFonts w:ascii="Lato" w:hAnsi="Lato" w:cstheme="majorHAnsi"/>
                <w:sz w:val="18"/>
                <w:szCs w:val="18"/>
              </w:rPr>
              <w:tab/>
              <w:t>Przełączanie terapii („SWITCH</w:t>
            </w:r>
            <w:proofErr w:type="gramStart"/>
            <w:r w:rsidRPr="00CC7CC7">
              <w:rPr>
                <w:rFonts w:ascii="Lato" w:hAnsi="Lato" w:cstheme="majorHAnsi"/>
                <w:sz w:val="18"/>
                <w:szCs w:val="18"/>
              </w:rPr>
              <w:t>”)-</w:t>
            </w:r>
            <w:proofErr w:type="gramEnd"/>
            <w:r w:rsidRPr="00CC7CC7">
              <w:rPr>
                <w:rFonts w:ascii="Lato" w:hAnsi="Lato" w:cstheme="majorHAnsi"/>
                <w:sz w:val="18"/>
                <w:szCs w:val="18"/>
              </w:rPr>
              <w:t xml:space="preserve"> dotyczy wszystkich leków w PL.</w:t>
            </w:r>
          </w:p>
        </w:tc>
      </w:tr>
      <w:tr w:rsidR="00CB1A9C" w:rsidRPr="004D093B" w14:paraId="66D571B6" w14:textId="77777777" w:rsidTr="00CB1A9C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113C4" w14:textId="2C334AC7" w:rsidR="00CB1A9C" w:rsidRPr="004D093B" w:rsidRDefault="00CB1A9C" w:rsidP="00CB1A9C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4.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0310C" w14:textId="44B09466" w:rsidR="00CB1A9C" w:rsidRPr="005B4CDE" w:rsidRDefault="00CB1A9C" w:rsidP="00CB1A9C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B.121.FM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69A50" w14:textId="4539EDDD" w:rsidR="00CB1A9C" w:rsidRPr="002E6B8A" w:rsidRDefault="00CB1A9C" w:rsidP="00CB1A9C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eastAsia="Calibri" w:hAnsi="Lato" w:cstheme="majorHAnsi"/>
                <w:bCs/>
                <w:color w:val="000000"/>
                <w:sz w:val="18"/>
                <w:szCs w:val="18"/>
                <w:lang w:eastAsia="en-US"/>
              </w:rPr>
            </w:pPr>
            <w:r w:rsidRPr="002E6B8A">
              <w:rPr>
                <w:rFonts w:ascii="Lato" w:hAnsi="Lato"/>
                <w:bCs/>
                <w:sz w:val="18"/>
                <w:szCs w:val="18"/>
              </w:rPr>
              <w:t>LECZENIE AMIFAMPRYDYNĄ PACJENTÓW Z ZESPOŁEM MIASTENICZNYM LAMBERTA-EATONA (ICD-10: G73.1)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AB9C4" w14:textId="5A6704D6" w:rsidR="00CB1A9C" w:rsidRPr="004D093B" w:rsidRDefault="00CB1A9C" w:rsidP="00CB1A9C">
            <w:pPr>
              <w:suppressAutoHyphens w:val="0"/>
              <w:autoSpaceDE w:val="0"/>
              <w:adjustRightInd w:val="0"/>
              <w:spacing w:before="120" w:after="120" w:line="240" w:lineRule="auto"/>
              <w:jc w:val="center"/>
              <w:textAlignment w:val="auto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D</w:t>
            </w:r>
            <w:r w:rsidRPr="00C4286A">
              <w:rPr>
                <w:rFonts w:ascii="Lato" w:hAnsi="Lato" w:cstheme="majorHAnsi"/>
                <w:sz w:val="18"/>
                <w:szCs w:val="18"/>
              </w:rPr>
              <w:t>odanie testu 6minutowego chodu i RTG klatki piersiowej przy kwalifikacji i w monitorowaniu</w:t>
            </w:r>
            <w:r>
              <w:rPr>
                <w:rFonts w:ascii="Lato" w:hAnsi="Lato" w:cstheme="majorHAnsi"/>
                <w:sz w:val="18"/>
                <w:szCs w:val="18"/>
              </w:rPr>
              <w:t>.</w:t>
            </w:r>
          </w:p>
        </w:tc>
      </w:tr>
      <w:tr w:rsidR="00CB1A9C" w:rsidRPr="004D093B" w14:paraId="1EC37EE4" w14:textId="77777777" w:rsidTr="00C13E3E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55728" w14:textId="134CEAB4" w:rsidR="00CB1A9C" w:rsidRPr="004D093B" w:rsidRDefault="00CB1A9C" w:rsidP="00CB1A9C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5.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D53BF" w14:textId="3D315F82" w:rsidR="00CB1A9C" w:rsidRPr="005B4CDE" w:rsidRDefault="00CB1A9C" w:rsidP="00CB1A9C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771374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B.141.FM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2CBC3" w14:textId="2A29C8EF" w:rsidR="00CB1A9C" w:rsidRPr="002E6B8A" w:rsidRDefault="00CB1A9C" w:rsidP="00CB1A9C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eastAsia="Calibri" w:hAnsi="Lato" w:cstheme="majorHAnsi"/>
                <w:bCs/>
                <w:color w:val="000000"/>
                <w:sz w:val="18"/>
                <w:szCs w:val="18"/>
                <w:lang w:eastAsia="en-US"/>
              </w:rPr>
            </w:pPr>
            <w:r w:rsidRPr="002E6B8A">
              <w:rPr>
                <w:rFonts w:ascii="Lato" w:eastAsia="Calibri" w:hAnsi="Lato" w:cstheme="majorHAnsi"/>
                <w:bCs/>
                <w:color w:val="000000"/>
                <w:sz w:val="18"/>
                <w:szCs w:val="18"/>
                <w:lang w:eastAsia="en-US"/>
              </w:rPr>
              <w:t>B.141.FM LECZENIE PACJENTÓW Z RAKIEM UROTELIALNYM (ICD-10: C61, C65, C66, C67, C68)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FB79B" w14:textId="3C9AF175" w:rsidR="00CB1A9C" w:rsidRPr="004D093B" w:rsidRDefault="00CB1A9C" w:rsidP="009A65C6">
            <w:pPr>
              <w:suppressAutoHyphens w:val="0"/>
              <w:autoSpaceDE w:val="0"/>
              <w:adjustRightInd w:val="0"/>
              <w:spacing w:before="120" w:after="120" w:line="240" w:lineRule="auto"/>
              <w:jc w:val="center"/>
              <w:textAlignment w:val="auto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Modyfikacja harmonogramu badań diagnostycznych, dostosowana do harmonogramu podawania konkretnych leków onkologicznych.</w:t>
            </w:r>
          </w:p>
        </w:tc>
      </w:tr>
      <w:tr w:rsidR="00CB1A9C" w:rsidRPr="004D093B" w14:paraId="760505AF" w14:textId="77777777" w:rsidTr="00C13E3E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24D49" w14:textId="64C92F59" w:rsidR="00CB1A9C" w:rsidRPr="004D093B" w:rsidRDefault="00CB1A9C" w:rsidP="00CB1A9C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6.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BA35D" w14:textId="219772FA" w:rsidR="00CB1A9C" w:rsidRPr="005B4CDE" w:rsidRDefault="00CB1A9C" w:rsidP="00CB1A9C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B.160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29B0A" w14:textId="77777777" w:rsidR="00CB1A9C" w:rsidRPr="002E6B8A" w:rsidRDefault="00CB1A9C" w:rsidP="00CB1A9C">
            <w:pPr>
              <w:autoSpaceDE w:val="0"/>
              <w:adjustRightInd w:val="0"/>
              <w:spacing w:after="240" w:line="240" w:lineRule="auto"/>
              <w:jc w:val="center"/>
              <w:rPr>
                <w:rFonts w:ascii="Lato" w:hAnsi="Lato"/>
                <w:bCs/>
                <w:sz w:val="18"/>
                <w:szCs w:val="18"/>
              </w:rPr>
            </w:pPr>
            <w:r w:rsidRPr="002E6B8A">
              <w:rPr>
                <w:rFonts w:ascii="Lato" w:hAnsi="Lato"/>
                <w:bCs/>
                <w:sz w:val="18"/>
                <w:szCs w:val="18"/>
              </w:rPr>
              <w:t>LECZENIE PACJENTEK Z CIĘŻKĄ POSTACIĄ OSTEOPOROZY POMENOPAUZALNEJ (ICD-10: M80.0)</w:t>
            </w:r>
          </w:p>
          <w:p w14:paraId="18770952" w14:textId="19293E47" w:rsidR="00CB1A9C" w:rsidRPr="002E6B8A" w:rsidRDefault="00CB1A9C" w:rsidP="00CB1A9C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hAnsi="Lato" w:cstheme="majorHAnsi"/>
                <w:bCs/>
                <w:sz w:val="18"/>
                <w:szCs w:val="18"/>
              </w:rPr>
            </w:pP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D3CDF" w14:textId="2CA2ADA5" w:rsidR="00CB1A9C" w:rsidRPr="003B46BF" w:rsidRDefault="00CB1A9C" w:rsidP="00CB1A9C">
            <w:pPr>
              <w:suppressAutoHyphens w:val="0"/>
              <w:autoSpaceDE w:val="0"/>
              <w:adjustRightInd w:val="0"/>
              <w:spacing w:before="120" w:after="12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Zmiany o charakterze porządkowym i ujednolicającym do aktualnych wytycznych klinicznych.</w:t>
            </w:r>
          </w:p>
        </w:tc>
      </w:tr>
      <w:tr w:rsidR="00337423" w:rsidRPr="004D093B" w14:paraId="51A86B54" w14:textId="77777777" w:rsidTr="00D46CAC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93D6F" w14:textId="4FCED698" w:rsidR="00337423" w:rsidRPr="004D093B" w:rsidRDefault="00337423" w:rsidP="00337423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lastRenderedPageBreak/>
              <w:t>7.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6BB58" w14:textId="67033574" w:rsidR="00337423" w:rsidRPr="005B4CDE" w:rsidRDefault="00337423" w:rsidP="00337423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337423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B.162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DE7B9" w14:textId="01268C6B" w:rsidR="00337423" w:rsidRPr="002E6B8A" w:rsidRDefault="00337423" w:rsidP="00337423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eastAsia="Calibri" w:hAnsi="Lato" w:cstheme="majorHAnsi"/>
                <w:bCs/>
                <w:sz w:val="18"/>
                <w:szCs w:val="18"/>
                <w:lang w:eastAsia="en-US"/>
              </w:rPr>
            </w:pPr>
            <w:r w:rsidRPr="002E6B8A">
              <w:rPr>
                <w:rFonts w:ascii="Lato" w:hAnsi="Lato"/>
                <w:bCs/>
                <w:sz w:val="18"/>
                <w:szCs w:val="18"/>
              </w:rPr>
              <w:t>LECZENIE PACJENTÓW Z KARDIOMIOPATIĄ (ICD-10: E85, I42.1)</w:t>
            </w:r>
          </w:p>
        </w:tc>
        <w:tc>
          <w:tcPr>
            <w:tcW w:w="29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F8C5C" w14:textId="54075127" w:rsidR="00337423" w:rsidRPr="004D093B" w:rsidRDefault="00337423" w:rsidP="00337423">
            <w:pPr>
              <w:suppressAutoHyphens w:val="0"/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337423">
              <w:rPr>
                <w:rFonts w:ascii="Lato" w:hAnsi="Lato" w:cstheme="majorHAnsi"/>
                <w:sz w:val="18"/>
                <w:szCs w:val="18"/>
              </w:rPr>
              <w:t xml:space="preserve">Wprowadzono zasadę stosowania w ramach programów lekowych dedykowanych </w:t>
            </w:r>
            <w:proofErr w:type="spellStart"/>
            <w:r w:rsidRPr="00337423">
              <w:rPr>
                <w:rFonts w:ascii="Lato" w:hAnsi="Lato" w:cstheme="majorHAnsi"/>
                <w:sz w:val="18"/>
                <w:szCs w:val="18"/>
              </w:rPr>
              <w:t>amyloidozie</w:t>
            </w:r>
            <w:proofErr w:type="spellEnd"/>
            <w:r w:rsidRPr="00337423">
              <w:rPr>
                <w:rFonts w:ascii="Lato" w:hAnsi="Lato" w:cstheme="majorHAnsi"/>
                <w:sz w:val="18"/>
                <w:szCs w:val="18"/>
              </w:rPr>
              <w:t xml:space="preserve"> </w:t>
            </w:r>
            <w:proofErr w:type="spellStart"/>
            <w:r w:rsidRPr="00337423">
              <w:rPr>
                <w:rFonts w:ascii="Lato" w:hAnsi="Lato" w:cstheme="majorHAnsi"/>
                <w:sz w:val="18"/>
                <w:szCs w:val="18"/>
              </w:rPr>
              <w:t>transtyretynowej</w:t>
            </w:r>
            <w:proofErr w:type="spellEnd"/>
            <w:r w:rsidRPr="00337423">
              <w:rPr>
                <w:rFonts w:ascii="Lato" w:hAnsi="Lato" w:cstheme="majorHAnsi"/>
                <w:sz w:val="18"/>
                <w:szCs w:val="18"/>
              </w:rPr>
              <w:t xml:space="preserve"> wyłącznie jednej terapii (</w:t>
            </w:r>
            <w:proofErr w:type="spellStart"/>
            <w:r w:rsidRPr="00337423">
              <w:rPr>
                <w:rFonts w:ascii="Lato" w:hAnsi="Lato" w:cstheme="majorHAnsi"/>
                <w:sz w:val="18"/>
                <w:szCs w:val="18"/>
              </w:rPr>
              <w:t>monoterapia</w:t>
            </w:r>
            <w:proofErr w:type="spellEnd"/>
            <w:r w:rsidRPr="00337423">
              <w:rPr>
                <w:rFonts w:ascii="Lato" w:hAnsi="Lato" w:cstheme="majorHAnsi"/>
                <w:sz w:val="18"/>
                <w:szCs w:val="18"/>
              </w:rPr>
              <w:t xml:space="preserve">), z uwagi na brak danych klinicznych potwierdzających zasadność, skuteczność i bezpieczeństwo jednoczesnego stosowania więcej niż jednego leku w </w:t>
            </w:r>
            <w:proofErr w:type="spellStart"/>
            <w:r w:rsidRPr="00337423">
              <w:rPr>
                <w:rFonts w:ascii="Lato" w:hAnsi="Lato" w:cstheme="majorHAnsi"/>
                <w:sz w:val="18"/>
                <w:szCs w:val="18"/>
              </w:rPr>
              <w:t>amyloidozę</w:t>
            </w:r>
            <w:proofErr w:type="spellEnd"/>
            <w:r w:rsidRPr="00337423">
              <w:rPr>
                <w:rFonts w:ascii="Lato" w:hAnsi="Lato" w:cstheme="majorHAnsi"/>
                <w:sz w:val="18"/>
                <w:szCs w:val="18"/>
              </w:rPr>
              <w:t xml:space="preserve"> </w:t>
            </w:r>
            <w:proofErr w:type="spellStart"/>
            <w:r w:rsidRPr="00337423">
              <w:rPr>
                <w:rFonts w:ascii="Lato" w:hAnsi="Lato" w:cstheme="majorHAnsi"/>
                <w:sz w:val="18"/>
                <w:szCs w:val="18"/>
              </w:rPr>
              <w:t>transtyretynowej</w:t>
            </w:r>
            <w:proofErr w:type="spellEnd"/>
            <w:r>
              <w:rPr>
                <w:rFonts w:ascii="Lato" w:hAnsi="Lato" w:cstheme="majorHAnsi"/>
                <w:sz w:val="18"/>
                <w:szCs w:val="18"/>
              </w:rPr>
              <w:t>.</w:t>
            </w:r>
          </w:p>
        </w:tc>
      </w:tr>
      <w:tr w:rsidR="00337423" w:rsidRPr="004D093B" w14:paraId="386834E7" w14:textId="77777777" w:rsidTr="00D46CAC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240BE" w14:textId="5718DCB1" w:rsidR="00337423" w:rsidRDefault="00337423" w:rsidP="00337423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8.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A823B" w14:textId="05BE9B6D" w:rsidR="00337423" w:rsidRDefault="00337423" w:rsidP="00337423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337423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B.170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2D6AC" w14:textId="7C5D5D64" w:rsidR="00337423" w:rsidRPr="002E6B8A" w:rsidRDefault="00337423" w:rsidP="00337423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hAnsi="Lato"/>
                <w:bCs/>
                <w:sz w:val="18"/>
                <w:szCs w:val="18"/>
              </w:rPr>
            </w:pPr>
            <w:r w:rsidRPr="002E6B8A">
              <w:rPr>
                <w:rFonts w:ascii="Lato" w:hAnsi="Lato"/>
                <w:bCs/>
                <w:sz w:val="18"/>
                <w:szCs w:val="18"/>
              </w:rPr>
              <w:t>LECZENIE DOROSŁYCH PACJENTÓW Z POLINEUROPATIĄ W I LUB II STADIUM ZAAWANSOWANIA W PRZEBIEGU DZIEDZICZNEJ AMYLOIDOZY TRANSTYRETYNOWEJ (ICD-10: E85.1)</w:t>
            </w:r>
          </w:p>
        </w:tc>
        <w:tc>
          <w:tcPr>
            <w:tcW w:w="29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231AA" w14:textId="4FBB004C" w:rsidR="00337423" w:rsidRPr="00854A5D" w:rsidRDefault="00337423" w:rsidP="00337423">
            <w:p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</w:p>
        </w:tc>
      </w:tr>
      <w:tr w:rsidR="00337423" w:rsidRPr="004D093B" w14:paraId="4AFE6E70" w14:textId="77777777" w:rsidTr="00C13E3E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9EF51" w14:textId="0A057C6A" w:rsidR="00337423" w:rsidRPr="00547788" w:rsidRDefault="00337423" w:rsidP="00337423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9.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EAD59" w14:textId="7382DB8B" w:rsidR="00337423" w:rsidRPr="005B4CDE" w:rsidRDefault="00337423" w:rsidP="00337423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B.171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D0EA5" w14:textId="7E2D4D5E" w:rsidR="00337423" w:rsidRPr="002E6B8A" w:rsidRDefault="00337423" w:rsidP="00337423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hAnsi="Lato" w:cstheme="majorHAnsi"/>
                <w:bCs/>
                <w:sz w:val="18"/>
                <w:szCs w:val="18"/>
              </w:rPr>
            </w:pPr>
            <w:r w:rsidRPr="002E6B8A">
              <w:rPr>
                <w:rFonts w:ascii="Lato" w:hAnsi="Lato"/>
                <w:bCs/>
                <w:sz w:val="18"/>
                <w:szCs w:val="18"/>
              </w:rPr>
              <w:t>LECZENIE CHORYCH Z CIĘŻKĄ POSTACIĄ ŁYSIENIA PLACKOWATEGO (ICD-10: L63)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E0251" w14:textId="77777777" w:rsidR="00337423" w:rsidRPr="00854A5D" w:rsidRDefault="00337423" w:rsidP="00337423">
            <w:p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 w:rsidRPr="00854A5D">
              <w:rPr>
                <w:rFonts w:ascii="Lato" w:hAnsi="Lato" w:cstheme="majorHAnsi"/>
                <w:sz w:val="18"/>
                <w:szCs w:val="18"/>
              </w:rPr>
              <w:t>Doprecyzowanie zapisów dotyczących kryteriów wyłączenia pacjenta z programu lekowego oraz wprowadzenie zmian porządkowych w zakresie kryteriów oceny skuteczności leczenia.</w:t>
            </w:r>
          </w:p>
          <w:p w14:paraId="76378536" w14:textId="77777777" w:rsidR="00337423" w:rsidRPr="00547788" w:rsidRDefault="00337423" w:rsidP="00337423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</w:p>
        </w:tc>
      </w:tr>
      <w:tr w:rsidR="00DE3670" w:rsidRPr="004D093B" w14:paraId="78AAA615" w14:textId="77777777" w:rsidTr="00C13E3E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43556" w14:textId="5026AA65" w:rsidR="00DE3670" w:rsidRDefault="00DE3670" w:rsidP="00DE3670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EE4FB" w14:textId="2566B7F8" w:rsidR="00DE3670" w:rsidRPr="00DE3670" w:rsidRDefault="00DE3670" w:rsidP="00DE3670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DE3670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C.49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348A1" w14:textId="70AC71F8" w:rsidR="00DE3670" w:rsidRPr="002E6B8A" w:rsidRDefault="00DE3670" w:rsidP="00DE3670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hAnsi="Lato"/>
                <w:bCs/>
                <w:sz w:val="18"/>
                <w:szCs w:val="18"/>
              </w:rPr>
            </w:pPr>
            <w:r w:rsidRPr="00700C3A">
              <w:rPr>
                <w:rFonts w:ascii="Lato" w:hAnsi="Lato" w:cstheme="majorHAnsi"/>
                <w:color w:val="000000"/>
                <w:sz w:val="18"/>
                <w:szCs w:val="18"/>
              </w:rPr>
              <w:t>PEMETREKSED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D1EDF" w14:textId="77777777" w:rsidR="00DE3670" w:rsidRDefault="00DE3670" w:rsidP="00DE3670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dorosłych pacjentów </w:t>
            </w:r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chorych na </w:t>
            </w:r>
            <w:proofErr w:type="spellStart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niedrobnokomórkowego</w:t>
            </w:r>
            <w:proofErr w:type="spellEnd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raka płuca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nieokreślonego (NDRP NOS - </w:t>
            </w:r>
            <w:r w:rsidRPr="00700C3A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not </w:t>
            </w:r>
            <w:proofErr w:type="spellStart"/>
            <w:r w:rsidRPr="00700C3A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otherwise</w:t>
            </w:r>
            <w:proofErr w:type="spellEnd"/>
            <w:r w:rsidRPr="00700C3A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00C3A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specified</w:t>
            </w:r>
            <w:proofErr w:type="spellEnd"/>
            <w:r w:rsidRPr="00700C3A">
              <w:rPr>
                <w:rFonts w:ascii="Lato" w:hAnsi="Lato" w:cstheme="majorHAnsi"/>
                <w:color w:val="000000"/>
                <w:sz w:val="18"/>
                <w:szCs w:val="18"/>
              </w:rPr>
              <w:t>)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  <w:p w14:paraId="75F5FAFD" w14:textId="00B61A85" w:rsidR="00DE3670" w:rsidRPr="00854A5D" w:rsidRDefault="00DE3670" w:rsidP="00DE3670">
            <w:p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Rozszerzenie stosowania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pemetreksedu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w NDRP NOS celem umożliwienia leczenia skojarzonego z terapiami udostępnionymi w programie lekowym B.6 </w:t>
            </w:r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RAKA PŁUCA (ICD-10: C34) ORAZ MIĘDZYBŁONIAKA OPŁUCNEJ (ICD-10: C45)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</w:tr>
      <w:tr w:rsidR="00DE3670" w:rsidRPr="004D093B" w14:paraId="6B250BB4" w14:textId="77777777" w:rsidTr="00C13E3E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F0ABA" w14:textId="7663C39F" w:rsidR="00DE3670" w:rsidRPr="004D093B" w:rsidRDefault="00DE3670" w:rsidP="00DE3670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B7AE1" w14:textId="6FE854AF" w:rsidR="00DE3670" w:rsidRPr="005B4CDE" w:rsidRDefault="00DE3670" w:rsidP="00DE3670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5B4CDE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C.86.b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5E694" w14:textId="3F05A55A" w:rsidR="00DE3670" w:rsidRPr="002E6B8A" w:rsidRDefault="00DE3670" w:rsidP="00DE3670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hAnsi="Lato" w:cstheme="majorHAnsi"/>
                <w:bCs/>
                <w:i/>
                <w:iCs/>
                <w:sz w:val="18"/>
                <w:szCs w:val="18"/>
              </w:rPr>
            </w:pPr>
            <w:r w:rsidRPr="002E6B8A">
              <w:rPr>
                <w:rFonts w:ascii="Lato" w:hAnsi="Lato" w:cstheme="majorHAnsi"/>
                <w:bCs/>
                <w:sz w:val="18"/>
                <w:szCs w:val="18"/>
              </w:rPr>
              <w:t>TRASTUZUMABUM I.V.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B7144" w14:textId="1913CEF2" w:rsidR="00DE3670" w:rsidRPr="00710F56" w:rsidRDefault="00DE3670" w:rsidP="00710F56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sz w:val="18"/>
                <w:szCs w:val="18"/>
              </w:rPr>
              <w:t xml:space="preserve">Rozszerzenie wskazania dla </w:t>
            </w:r>
            <w:proofErr w:type="spellStart"/>
            <w:r w:rsidRPr="00547788">
              <w:rPr>
                <w:rFonts w:ascii="Lato" w:hAnsi="Lato" w:cstheme="majorHAnsi"/>
                <w:sz w:val="18"/>
                <w:szCs w:val="18"/>
              </w:rPr>
              <w:t>trastuzumabu</w:t>
            </w:r>
            <w:proofErr w:type="spellEnd"/>
            <w:r w:rsidRPr="00547788">
              <w:rPr>
                <w:rFonts w:ascii="Lato" w:hAnsi="Lato" w:cstheme="majorHAnsi"/>
                <w:sz w:val="18"/>
                <w:szCs w:val="18"/>
              </w:rPr>
              <w:t xml:space="preserve"> w postaci dożylnej o leczenie 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dorosłych pacjentów z HER2-dodatnim zaawansowanym lub przerzutowym rakiem gruczołowym żołądka lub połączenia żołądkowo-przełykowego z ekspresją PD-L1 wg skali CPS ≥ 1, w skojarzeniu z </w:t>
            </w:r>
            <w:proofErr w:type="spellStart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pembrolizumabem</w:t>
            </w:r>
            <w:proofErr w:type="spellEnd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i chemioterapią (I linia leczenia).</w:t>
            </w:r>
          </w:p>
        </w:tc>
      </w:tr>
      <w:tr w:rsidR="00DE3670" w:rsidRPr="004D093B" w14:paraId="7F3278A6" w14:textId="77777777" w:rsidTr="00C13E3E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63742" w14:textId="6C54B048" w:rsidR="00DE3670" w:rsidRPr="004D093B" w:rsidRDefault="00DE3670" w:rsidP="00DE3670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29A66" w14:textId="07AAB048" w:rsidR="00DE3670" w:rsidRPr="005B4CDE" w:rsidRDefault="00DE3670" w:rsidP="00DE3670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5B4CDE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C.95.a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A0718" w14:textId="3A395D13" w:rsidR="00DE3670" w:rsidRPr="002E6B8A" w:rsidRDefault="00DE3670" w:rsidP="00DE3670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hAnsi="Lato" w:cstheme="majorHAnsi"/>
                <w:bCs/>
                <w:i/>
                <w:iCs/>
                <w:sz w:val="18"/>
                <w:szCs w:val="18"/>
              </w:rPr>
            </w:pPr>
            <w:r w:rsidRPr="002E6B8A">
              <w:rPr>
                <w:rFonts w:ascii="Lato" w:hAnsi="Lato" w:cstheme="majorHAnsi"/>
                <w:bCs/>
                <w:sz w:val="18"/>
                <w:szCs w:val="18"/>
              </w:rPr>
              <w:t>CETUXIMAB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F22B0" w14:textId="45B46E1B" w:rsidR="00DE3670" w:rsidRPr="004D093B" w:rsidRDefault="00DE3670" w:rsidP="00DE3670">
            <w:pPr>
              <w:suppressAutoHyphens w:val="0"/>
              <w:autoSpaceDE w:val="0"/>
              <w:adjustRightInd w:val="0"/>
              <w:spacing w:before="120" w:after="12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Rozszerzenie wskazania dla </w:t>
            </w:r>
            <w:proofErr w:type="spellStart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cetuksymabu</w:t>
            </w:r>
            <w:proofErr w:type="spellEnd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o leczenie dorosłych pacjentów z zaawansowanym rakiem jelita grubego z mutacją BRAF V600E, w skojarzeniu z </w:t>
            </w:r>
            <w:proofErr w:type="spellStart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enkorafenibem</w:t>
            </w:r>
            <w:proofErr w:type="spellEnd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(II lub kolejne linie leczenia).</w:t>
            </w:r>
          </w:p>
        </w:tc>
      </w:tr>
      <w:tr w:rsidR="00DE3670" w:rsidRPr="004D093B" w14:paraId="1A92407E" w14:textId="77777777" w:rsidTr="00CB1A9C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C4C1A" w14:textId="5DB47C79" w:rsidR="00DE3670" w:rsidRPr="00547788" w:rsidRDefault="00DE3670" w:rsidP="00DE3670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06EC3" w14:textId="35F0D13C" w:rsidR="00DE3670" w:rsidRPr="005B4CDE" w:rsidRDefault="00DE3670" w:rsidP="00DE3670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5B4CDE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C.99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62F92" w14:textId="7297B2F3" w:rsidR="00DE3670" w:rsidRPr="002E6B8A" w:rsidRDefault="00DE3670" w:rsidP="00DE3670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hAnsi="Lato" w:cstheme="majorHAnsi"/>
                <w:bCs/>
                <w:i/>
                <w:iCs/>
                <w:sz w:val="18"/>
                <w:szCs w:val="18"/>
              </w:rPr>
            </w:pPr>
            <w:r w:rsidRPr="002E6B8A">
              <w:rPr>
                <w:rFonts w:ascii="Lato" w:hAnsi="Lato" w:cstheme="majorHAnsi"/>
                <w:bCs/>
                <w:color w:val="000000"/>
                <w:sz w:val="18"/>
                <w:szCs w:val="18"/>
              </w:rPr>
              <w:t>AKSITINIB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BA9EA" w14:textId="40B91168" w:rsidR="00DE3670" w:rsidRPr="00547788" w:rsidRDefault="00DE3670" w:rsidP="00DE3670">
            <w:pPr>
              <w:suppressAutoHyphens w:val="0"/>
              <w:autoSpaceDE w:val="0"/>
              <w:adjustRightInd w:val="0"/>
              <w:spacing w:before="120" w:after="12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Rozszerzenie aktualnego wskazania o terapię skojarzoną z </w:t>
            </w:r>
            <w:proofErr w:type="spellStart"/>
            <w:r w:rsidRPr="00547788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pembrolizumabem</w:t>
            </w:r>
            <w:proofErr w:type="spellEnd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w I linii leczenia raka </w:t>
            </w:r>
            <w:proofErr w:type="spellStart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nerkowokomórkowego</w:t>
            </w:r>
            <w:proofErr w:type="spellEnd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w przypadku dorosłych pacjentów z rokowaniem pośrednim lub niekorzystnym wg skali IMDC.</w:t>
            </w:r>
          </w:p>
        </w:tc>
      </w:tr>
    </w:tbl>
    <w:p w14:paraId="6B996492" w14:textId="1B62B2F8" w:rsidR="009D10B8" w:rsidRDefault="00E649DD" w:rsidP="00E649DD">
      <w:pPr>
        <w:suppressAutoHyphens w:val="0"/>
        <w:rPr>
          <w:rFonts w:ascii="Lato" w:hAnsi="Lato"/>
          <w:b/>
          <w:bCs/>
          <w:color w:val="00B0F0"/>
        </w:rPr>
      </w:pPr>
      <w:r>
        <w:rPr>
          <w:rFonts w:ascii="Lato" w:hAnsi="Lato"/>
          <w:b/>
          <w:bCs/>
          <w:color w:val="00B0F0"/>
        </w:rPr>
        <w:t xml:space="preserve"> </w:t>
      </w:r>
    </w:p>
    <w:sectPr w:rsidR="009D10B8" w:rsidSect="0066013D">
      <w:headerReference w:type="first" r:id="rId11"/>
      <w:pgSz w:w="16838" w:h="11906" w:orient="landscape"/>
      <w:pgMar w:top="993" w:right="1417" w:bottom="709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02F18" w14:textId="77777777" w:rsidR="0076587D" w:rsidRDefault="0076587D">
      <w:pPr>
        <w:spacing w:after="0" w:line="240" w:lineRule="auto"/>
      </w:pPr>
      <w:r>
        <w:separator/>
      </w:r>
    </w:p>
  </w:endnote>
  <w:endnote w:type="continuationSeparator" w:id="0">
    <w:p w14:paraId="70AA471B" w14:textId="77777777" w:rsidR="0076587D" w:rsidRDefault="0076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52F93" w14:textId="77777777" w:rsidR="0076587D" w:rsidRDefault="0076587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4265451" w14:textId="77777777" w:rsidR="0076587D" w:rsidRDefault="00765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F36CF" w14:textId="4633511D" w:rsidR="005058F2" w:rsidRDefault="00143D0B">
    <w:pPr>
      <w:pStyle w:val="Nagwek"/>
    </w:pPr>
    <w:bookmarkStart w:id="1" w:name="_Hlk74147372"/>
    <w:bookmarkEnd w:id="1"/>
    <w:r>
      <w:rPr>
        <w:noProof/>
        <w:lang w:eastAsia="pl-PL"/>
      </w:rPr>
      <w:drawing>
        <wp:inline distT="0" distB="0" distL="0" distR="0" wp14:anchorId="39BB8D04" wp14:editId="6B1DB73B">
          <wp:extent cx="2381885" cy="1061720"/>
          <wp:effectExtent l="0" t="0" r="0" b="0"/>
          <wp:docPr id="1161187530" name="Obraz 11611875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81885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3136"/>
    <w:multiLevelType w:val="hybridMultilevel"/>
    <w:tmpl w:val="8764B016"/>
    <w:lvl w:ilvl="0" w:tplc="602CEA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163CA"/>
    <w:multiLevelType w:val="hybridMultilevel"/>
    <w:tmpl w:val="0DE0BC64"/>
    <w:lvl w:ilvl="0" w:tplc="CEC4EFEE">
      <w:start w:val="1"/>
      <w:numFmt w:val="bullet"/>
      <w:lvlText w:val="•"/>
      <w:lvlJc w:val="left"/>
      <w:pPr>
        <w:ind w:left="1049" w:firstLine="227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 w15:restartNumberingAfterBreak="0">
    <w:nsid w:val="0D2743CD"/>
    <w:multiLevelType w:val="hybridMultilevel"/>
    <w:tmpl w:val="C2FA7544"/>
    <w:lvl w:ilvl="0" w:tplc="04150001">
      <w:start w:val="1"/>
      <w:numFmt w:val="bullet"/>
      <w:lvlText w:val=""/>
      <w:lvlJc w:val="left"/>
      <w:pPr>
        <w:ind w:left="-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47" w:hanging="360"/>
      </w:pPr>
      <w:rPr>
        <w:rFonts w:ascii="Wingdings" w:hAnsi="Wingdings" w:hint="default"/>
      </w:rPr>
    </w:lvl>
  </w:abstractNum>
  <w:abstractNum w:abstractNumId="3" w15:restartNumberingAfterBreak="0">
    <w:nsid w:val="10D60DA8"/>
    <w:multiLevelType w:val="hybridMultilevel"/>
    <w:tmpl w:val="178480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FE0EDD"/>
    <w:multiLevelType w:val="hybridMultilevel"/>
    <w:tmpl w:val="AD006D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F2875"/>
    <w:multiLevelType w:val="hybridMultilevel"/>
    <w:tmpl w:val="1EC49BCA"/>
    <w:lvl w:ilvl="0" w:tplc="5A3E6A7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83431"/>
    <w:multiLevelType w:val="hybridMultilevel"/>
    <w:tmpl w:val="ABB6E3FC"/>
    <w:lvl w:ilvl="0" w:tplc="FC02698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42910"/>
    <w:multiLevelType w:val="hybridMultilevel"/>
    <w:tmpl w:val="10004B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57CAC"/>
    <w:multiLevelType w:val="multilevel"/>
    <w:tmpl w:val="0A84EA68"/>
    <w:lvl w:ilvl="0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227" w:hanging="227"/>
      </w:pPr>
      <w:rPr>
        <w:rFonts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227" w:hanging="227"/>
      </w:pPr>
      <w:rPr>
        <w:rFonts w:hint="default"/>
        <w:b/>
        <w:bCs/>
        <w:i w:val="0"/>
      </w:rPr>
    </w:lvl>
    <w:lvl w:ilvl="3">
      <w:start w:val="1"/>
      <w:numFmt w:val="decimal"/>
      <w:suff w:val="space"/>
      <w:lvlText w:val="%4)"/>
      <w:lvlJc w:val="left"/>
      <w:pPr>
        <w:ind w:left="454" w:hanging="227"/>
      </w:pPr>
      <w:rPr>
        <w:rFonts w:hint="default"/>
        <w:b w:val="0"/>
        <w:bCs w:val="0"/>
      </w:rPr>
    </w:lvl>
    <w:lvl w:ilvl="4">
      <w:start w:val="1"/>
      <w:numFmt w:val="lowerLetter"/>
      <w:suff w:val="space"/>
      <w:lvlText w:val="%5)"/>
      <w:lvlJc w:val="left"/>
      <w:pPr>
        <w:ind w:left="680" w:hanging="226"/>
      </w:pPr>
      <w:rPr>
        <w:rFonts w:hint="default"/>
        <w:b w:val="0"/>
        <w:bCs/>
      </w:rPr>
    </w:lvl>
    <w:lvl w:ilvl="5">
      <w:start w:val="1"/>
      <w:numFmt w:val="bullet"/>
      <w:lvlText w:val=""/>
      <w:lvlJc w:val="left"/>
      <w:pPr>
        <w:ind w:left="907" w:hanging="227"/>
      </w:pPr>
      <w:rPr>
        <w:rFonts w:ascii="Symbol" w:hAnsi="Symbol" w:hint="default"/>
      </w:rPr>
    </w:lvl>
    <w:lvl w:ilvl="6">
      <w:start w:val="1"/>
      <w:numFmt w:val="lowerRoman"/>
      <w:lvlText w:val="%7."/>
      <w:lvlJc w:val="left"/>
      <w:pPr>
        <w:ind w:left="113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5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6" w:hanging="1440"/>
      </w:pPr>
      <w:rPr>
        <w:rFonts w:hint="default"/>
      </w:rPr>
    </w:lvl>
  </w:abstractNum>
  <w:abstractNum w:abstractNumId="9" w15:restartNumberingAfterBreak="0">
    <w:nsid w:val="1E346ADB"/>
    <w:multiLevelType w:val="multilevel"/>
    <w:tmpl w:val="887C7392"/>
    <w:lvl w:ilvl="0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227" w:hanging="227"/>
      </w:pPr>
      <w:rPr>
        <w:rFonts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227" w:hanging="227"/>
      </w:pPr>
      <w:rPr>
        <w:rFonts w:hint="default"/>
        <w:b/>
        <w:bCs/>
        <w:i w:val="0"/>
      </w:rPr>
    </w:lvl>
    <w:lvl w:ilvl="3">
      <w:start w:val="1"/>
      <w:numFmt w:val="decimal"/>
      <w:suff w:val="space"/>
      <w:lvlText w:val="%4)"/>
      <w:lvlJc w:val="left"/>
      <w:pPr>
        <w:ind w:left="454" w:hanging="227"/>
      </w:pPr>
      <w:rPr>
        <w:rFonts w:hint="default"/>
        <w:b w:val="0"/>
        <w:bCs w:val="0"/>
      </w:rPr>
    </w:lvl>
    <w:lvl w:ilvl="4">
      <w:start w:val="1"/>
      <w:numFmt w:val="lowerLetter"/>
      <w:suff w:val="space"/>
      <w:lvlText w:val="%5)"/>
      <w:lvlJc w:val="left"/>
      <w:pPr>
        <w:ind w:left="680" w:hanging="226"/>
      </w:pPr>
      <w:rPr>
        <w:rFonts w:hint="default"/>
      </w:rPr>
    </w:lvl>
    <w:lvl w:ilvl="5">
      <w:start w:val="1"/>
      <w:numFmt w:val="bullet"/>
      <w:lvlText w:val=""/>
      <w:lvlJc w:val="left"/>
      <w:pPr>
        <w:ind w:left="907" w:hanging="227"/>
      </w:pPr>
      <w:rPr>
        <w:rFonts w:ascii="Symbol" w:hAnsi="Symbol" w:hint="default"/>
      </w:rPr>
    </w:lvl>
    <w:lvl w:ilvl="6">
      <w:start w:val="1"/>
      <w:numFmt w:val="lowerRoman"/>
      <w:lvlText w:val="%7."/>
      <w:lvlJc w:val="left"/>
      <w:pPr>
        <w:ind w:left="113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5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6" w:hanging="1440"/>
      </w:pPr>
      <w:rPr>
        <w:rFonts w:hint="default"/>
      </w:rPr>
    </w:lvl>
  </w:abstractNum>
  <w:abstractNum w:abstractNumId="10" w15:restartNumberingAfterBreak="0">
    <w:nsid w:val="26CF102F"/>
    <w:multiLevelType w:val="hybridMultilevel"/>
    <w:tmpl w:val="863AC064"/>
    <w:lvl w:ilvl="0" w:tplc="B36838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91E53"/>
    <w:multiLevelType w:val="hybridMultilevel"/>
    <w:tmpl w:val="E0781596"/>
    <w:lvl w:ilvl="0" w:tplc="FC02698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4F3043"/>
    <w:multiLevelType w:val="hybridMultilevel"/>
    <w:tmpl w:val="7F041AF0"/>
    <w:lvl w:ilvl="0" w:tplc="07E64A30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0" w:hanging="360"/>
      </w:pPr>
    </w:lvl>
    <w:lvl w:ilvl="2" w:tplc="0415001B" w:tentative="1">
      <w:start w:val="1"/>
      <w:numFmt w:val="lowerRoman"/>
      <w:lvlText w:val="%3."/>
      <w:lvlJc w:val="right"/>
      <w:pPr>
        <w:ind w:left="1850" w:hanging="180"/>
      </w:pPr>
    </w:lvl>
    <w:lvl w:ilvl="3" w:tplc="0415000F" w:tentative="1">
      <w:start w:val="1"/>
      <w:numFmt w:val="decimal"/>
      <w:lvlText w:val="%4."/>
      <w:lvlJc w:val="left"/>
      <w:pPr>
        <w:ind w:left="2570" w:hanging="360"/>
      </w:pPr>
    </w:lvl>
    <w:lvl w:ilvl="4" w:tplc="04150019" w:tentative="1">
      <w:start w:val="1"/>
      <w:numFmt w:val="lowerLetter"/>
      <w:lvlText w:val="%5."/>
      <w:lvlJc w:val="left"/>
      <w:pPr>
        <w:ind w:left="3290" w:hanging="360"/>
      </w:pPr>
    </w:lvl>
    <w:lvl w:ilvl="5" w:tplc="0415001B" w:tentative="1">
      <w:start w:val="1"/>
      <w:numFmt w:val="lowerRoman"/>
      <w:lvlText w:val="%6."/>
      <w:lvlJc w:val="right"/>
      <w:pPr>
        <w:ind w:left="4010" w:hanging="180"/>
      </w:pPr>
    </w:lvl>
    <w:lvl w:ilvl="6" w:tplc="0415000F" w:tentative="1">
      <w:start w:val="1"/>
      <w:numFmt w:val="decimal"/>
      <w:lvlText w:val="%7."/>
      <w:lvlJc w:val="left"/>
      <w:pPr>
        <w:ind w:left="4730" w:hanging="360"/>
      </w:pPr>
    </w:lvl>
    <w:lvl w:ilvl="7" w:tplc="04150019" w:tentative="1">
      <w:start w:val="1"/>
      <w:numFmt w:val="lowerLetter"/>
      <w:lvlText w:val="%8."/>
      <w:lvlJc w:val="left"/>
      <w:pPr>
        <w:ind w:left="5450" w:hanging="360"/>
      </w:pPr>
    </w:lvl>
    <w:lvl w:ilvl="8" w:tplc="0415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3" w15:restartNumberingAfterBreak="0">
    <w:nsid w:val="393F60CD"/>
    <w:multiLevelType w:val="hybridMultilevel"/>
    <w:tmpl w:val="758009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E0B82"/>
    <w:multiLevelType w:val="hybridMultilevel"/>
    <w:tmpl w:val="386CF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C6885"/>
    <w:multiLevelType w:val="hybridMultilevel"/>
    <w:tmpl w:val="0B8EC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A43569"/>
    <w:multiLevelType w:val="hybridMultilevel"/>
    <w:tmpl w:val="34262254"/>
    <w:lvl w:ilvl="0" w:tplc="042EBB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40582"/>
    <w:multiLevelType w:val="hybridMultilevel"/>
    <w:tmpl w:val="19703E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0550F8"/>
    <w:multiLevelType w:val="hybridMultilevel"/>
    <w:tmpl w:val="06123F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F6E8B"/>
    <w:multiLevelType w:val="multilevel"/>
    <w:tmpl w:val="C32AD0A0"/>
    <w:lvl w:ilvl="0">
      <w:start w:val="1"/>
      <w:numFmt w:val="decimal"/>
      <w:suff w:val="space"/>
      <w:lvlText w:val="%1."/>
      <w:lvlJc w:val="left"/>
      <w:pPr>
        <w:ind w:left="227" w:hanging="227"/>
      </w:pPr>
      <w:rPr>
        <w:b/>
      </w:rPr>
    </w:lvl>
    <w:lvl w:ilvl="1">
      <w:start w:val="1"/>
      <w:numFmt w:val="decimal"/>
      <w:suff w:val="space"/>
      <w:lvlText w:val="%1.%2."/>
      <w:lvlJc w:val="left"/>
      <w:pPr>
        <w:ind w:left="227" w:hanging="227"/>
      </w:pPr>
      <w:rPr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227" w:hanging="227"/>
      </w:pPr>
      <w:rPr>
        <w:b/>
        <w:bCs/>
        <w:i w:val="0"/>
      </w:rPr>
    </w:lvl>
    <w:lvl w:ilvl="3">
      <w:start w:val="1"/>
      <w:numFmt w:val="decimal"/>
      <w:suff w:val="space"/>
      <w:lvlText w:val="%4)"/>
      <w:lvlJc w:val="left"/>
      <w:pPr>
        <w:ind w:left="454" w:hanging="227"/>
      </w:pPr>
      <w:rPr>
        <w:b w:val="0"/>
        <w:bCs/>
        <w:strike w:val="0"/>
      </w:rPr>
    </w:lvl>
    <w:lvl w:ilvl="4">
      <w:start w:val="1"/>
      <w:numFmt w:val="lowerLetter"/>
      <w:suff w:val="space"/>
      <w:lvlText w:val="%5)"/>
      <w:lvlJc w:val="left"/>
      <w:pPr>
        <w:ind w:left="680" w:hanging="226"/>
      </w:pPr>
    </w:lvl>
    <w:lvl w:ilvl="5">
      <w:start w:val="1"/>
      <w:numFmt w:val="bullet"/>
      <w:lvlText w:val=""/>
      <w:lvlJc w:val="left"/>
      <w:pPr>
        <w:ind w:left="907" w:hanging="227"/>
      </w:pPr>
      <w:rPr>
        <w:rFonts w:ascii="Symbol" w:hAnsi="Symbol" w:hint="default"/>
      </w:rPr>
    </w:lvl>
    <w:lvl w:ilvl="6">
      <w:start w:val="1"/>
      <w:numFmt w:val="lowerRoman"/>
      <w:lvlText w:val="%7."/>
      <w:lvlJc w:val="left"/>
      <w:pPr>
        <w:ind w:left="1134" w:hanging="227"/>
      </w:pPr>
    </w:lvl>
    <w:lvl w:ilvl="7">
      <w:start w:val="1"/>
      <w:numFmt w:val="decimal"/>
      <w:lvlText w:val="%1.%2.%3.%4.%5.%6.%7.%8."/>
      <w:lvlJc w:val="left"/>
      <w:pPr>
        <w:ind w:left="3950" w:hanging="1224"/>
      </w:pPr>
    </w:lvl>
    <w:lvl w:ilvl="8">
      <w:start w:val="1"/>
      <w:numFmt w:val="decimal"/>
      <w:lvlText w:val="%1.%2.%3.%4.%5.%6.%7.%8.%9."/>
      <w:lvlJc w:val="left"/>
      <w:pPr>
        <w:ind w:left="4526" w:hanging="1440"/>
      </w:pPr>
    </w:lvl>
  </w:abstractNum>
  <w:abstractNum w:abstractNumId="20" w15:restartNumberingAfterBreak="0">
    <w:nsid w:val="4EBA728E"/>
    <w:multiLevelType w:val="hybridMultilevel"/>
    <w:tmpl w:val="1748AC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72792B"/>
    <w:multiLevelType w:val="hybridMultilevel"/>
    <w:tmpl w:val="75AA86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54493A"/>
    <w:multiLevelType w:val="hybridMultilevel"/>
    <w:tmpl w:val="911C4334"/>
    <w:lvl w:ilvl="0" w:tplc="B83C8D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B03E5C"/>
    <w:multiLevelType w:val="hybridMultilevel"/>
    <w:tmpl w:val="FF32B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FF5C7F"/>
    <w:multiLevelType w:val="hybridMultilevel"/>
    <w:tmpl w:val="5AF27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7A37F3"/>
    <w:multiLevelType w:val="hybridMultilevel"/>
    <w:tmpl w:val="8764B01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C30263"/>
    <w:multiLevelType w:val="hybridMultilevel"/>
    <w:tmpl w:val="8910B7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83F0D0B"/>
    <w:multiLevelType w:val="hybridMultilevel"/>
    <w:tmpl w:val="3A2E6C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594C8D"/>
    <w:multiLevelType w:val="hybridMultilevel"/>
    <w:tmpl w:val="10004B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324C5B"/>
    <w:multiLevelType w:val="hybridMultilevel"/>
    <w:tmpl w:val="01F6A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068946">
    <w:abstractNumId w:val="7"/>
  </w:num>
  <w:num w:numId="2" w16cid:durableId="983047750">
    <w:abstractNumId w:val="5"/>
  </w:num>
  <w:num w:numId="3" w16cid:durableId="912206815">
    <w:abstractNumId w:val="8"/>
  </w:num>
  <w:num w:numId="4" w16cid:durableId="19192415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3262071">
    <w:abstractNumId w:val="28"/>
  </w:num>
  <w:num w:numId="6" w16cid:durableId="1164782895">
    <w:abstractNumId w:val="6"/>
  </w:num>
  <w:num w:numId="7" w16cid:durableId="1764568987">
    <w:abstractNumId w:val="11"/>
  </w:num>
  <w:num w:numId="8" w16cid:durableId="1605840971">
    <w:abstractNumId w:val="12"/>
  </w:num>
  <w:num w:numId="9" w16cid:durableId="969629549">
    <w:abstractNumId w:val="24"/>
  </w:num>
  <w:num w:numId="10" w16cid:durableId="1576276737">
    <w:abstractNumId w:val="2"/>
  </w:num>
  <w:num w:numId="11" w16cid:durableId="409036424">
    <w:abstractNumId w:val="29"/>
  </w:num>
  <w:num w:numId="12" w16cid:durableId="1526747669">
    <w:abstractNumId w:val="4"/>
  </w:num>
  <w:num w:numId="13" w16cid:durableId="1746950255">
    <w:abstractNumId w:val="13"/>
  </w:num>
  <w:num w:numId="14" w16cid:durableId="329715522">
    <w:abstractNumId w:val="15"/>
  </w:num>
  <w:num w:numId="15" w16cid:durableId="1837842867">
    <w:abstractNumId w:val="14"/>
  </w:num>
  <w:num w:numId="16" w16cid:durableId="1970238000">
    <w:abstractNumId w:val="27"/>
  </w:num>
  <w:num w:numId="17" w16cid:durableId="485172914">
    <w:abstractNumId w:val="19"/>
  </w:num>
  <w:num w:numId="18" w16cid:durableId="338780148">
    <w:abstractNumId w:val="9"/>
  </w:num>
  <w:num w:numId="19" w16cid:durableId="1977641737">
    <w:abstractNumId w:val="2"/>
  </w:num>
  <w:num w:numId="20" w16cid:durableId="1099830501">
    <w:abstractNumId w:val="1"/>
  </w:num>
  <w:num w:numId="21" w16cid:durableId="1796680411">
    <w:abstractNumId w:val="21"/>
  </w:num>
  <w:num w:numId="22" w16cid:durableId="1157845039">
    <w:abstractNumId w:val="20"/>
  </w:num>
  <w:num w:numId="23" w16cid:durableId="1318220489">
    <w:abstractNumId w:val="17"/>
  </w:num>
  <w:num w:numId="24" w16cid:durableId="791442922">
    <w:abstractNumId w:val="23"/>
  </w:num>
  <w:num w:numId="25" w16cid:durableId="945818636">
    <w:abstractNumId w:val="10"/>
  </w:num>
  <w:num w:numId="26" w16cid:durableId="1997799690">
    <w:abstractNumId w:val="16"/>
  </w:num>
  <w:num w:numId="27" w16cid:durableId="1334383298">
    <w:abstractNumId w:val="22"/>
  </w:num>
  <w:num w:numId="28" w16cid:durableId="1776055627">
    <w:abstractNumId w:val="3"/>
  </w:num>
  <w:num w:numId="29" w16cid:durableId="997459662">
    <w:abstractNumId w:val="0"/>
  </w:num>
  <w:num w:numId="30" w16cid:durableId="650329675">
    <w:abstractNumId w:val="25"/>
  </w:num>
  <w:num w:numId="31" w16cid:durableId="5832728">
    <w:abstractNumId w:val="18"/>
  </w:num>
  <w:num w:numId="32" w16cid:durableId="101307157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8C5"/>
    <w:rsid w:val="00006AE8"/>
    <w:rsid w:val="00031E9F"/>
    <w:rsid w:val="00033ED5"/>
    <w:rsid w:val="0004009C"/>
    <w:rsid w:val="0005011B"/>
    <w:rsid w:val="00052E44"/>
    <w:rsid w:val="000702E4"/>
    <w:rsid w:val="00070A13"/>
    <w:rsid w:val="00070A89"/>
    <w:rsid w:val="0008118E"/>
    <w:rsid w:val="00086074"/>
    <w:rsid w:val="0009112E"/>
    <w:rsid w:val="00097B17"/>
    <w:rsid w:val="000A0FA7"/>
    <w:rsid w:val="000A4576"/>
    <w:rsid w:val="000A688D"/>
    <w:rsid w:val="000A6B96"/>
    <w:rsid w:val="000B21F0"/>
    <w:rsid w:val="000B32C4"/>
    <w:rsid w:val="000B38ED"/>
    <w:rsid w:val="000B7075"/>
    <w:rsid w:val="000D02C0"/>
    <w:rsid w:val="000D2FED"/>
    <w:rsid w:val="000E21E5"/>
    <w:rsid w:val="000E3BBE"/>
    <w:rsid w:val="000E649C"/>
    <w:rsid w:val="000F077F"/>
    <w:rsid w:val="000F3ED2"/>
    <w:rsid w:val="000F5E24"/>
    <w:rsid w:val="001030B2"/>
    <w:rsid w:val="001204EA"/>
    <w:rsid w:val="0013043A"/>
    <w:rsid w:val="0014120D"/>
    <w:rsid w:val="00143D0B"/>
    <w:rsid w:val="00144B55"/>
    <w:rsid w:val="00155C8E"/>
    <w:rsid w:val="00161605"/>
    <w:rsid w:val="00170D7F"/>
    <w:rsid w:val="00172790"/>
    <w:rsid w:val="00173D8E"/>
    <w:rsid w:val="00180F5C"/>
    <w:rsid w:val="00186CB7"/>
    <w:rsid w:val="00190358"/>
    <w:rsid w:val="001933DE"/>
    <w:rsid w:val="00194CB4"/>
    <w:rsid w:val="00197FA2"/>
    <w:rsid w:val="001A1A5B"/>
    <w:rsid w:val="001A7E82"/>
    <w:rsid w:val="001B0859"/>
    <w:rsid w:val="001B354B"/>
    <w:rsid w:val="001B440C"/>
    <w:rsid w:val="001B7475"/>
    <w:rsid w:val="001D0703"/>
    <w:rsid w:val="001D6485"/>
    <w:rsid w:val="001E2320"/>
    <w:rsid w:val="001E610A"/>
    <w:rsid w:val="001E721F"/>
    <w:rsid w:val="00205C55"/>
    <w:rsid w:val="00206C0B"/>
    <w:rsid w:val="00221A2A"/>
    <w:rsid w:val="002245B4"/>
    <w:rsid w:val="002270E2"/>
    <w:rsid w:val="00230BB7"/>
    <w:rsid w:val="00245AE5"/>
    <w:rsid w:val="0024697E"/>
    <w:rsid w:val="00255E53"/>
    <w:rsid w:val="00275115"/>
    <w:rsid w:val="00280311"/>
    <w:rsid w:val="00281BE7"/>
    <w:rsid w:val="00286651"/>
    <w:rsid w:val="00287196"/>
    <w:rsid w:val="00290BCB"/>
    <w:rsid w:val="0029287B"/>
    <w:rsid w:val="0029403F"/>
    <w:rsid w:val="002C0340"/>
    <w:rsid w:val="002C19DE"/>
    <w:rsid w:val="002D55B8"/>
    <w:rsid w:val="002D6ED9"/>
    <w:rsid w:val="002E46AC"/>
    <w:rsid w:val="002E6B8A"/>
    <w:rsid w:val="002F0FB2"/>
    <w:rsid w:val="002F61E3"/>
    <w:rsid w:val="003051DF"/>
    <w:rsid w:val="0031104C"/>
    <w:rsid w:val="003130CA"/>
    <w:rsid w:val="00326537"/>
    <w:rsid w:val="003357D9"/>
    <w:rsid w:val="00337423"/>
    <w:rsid w:val="00337B00"/>
    <w:rsid w:val="00355899"/>
    <w:rsid w:val="00356E75"/>
    <w:rsid w:val="0035733E"/>
    <w:rsid w:val="00374DBE"/>
    <w:rsid w:val="0037704D"/>
    <w:rsid w:val="0037714E"/>
    <w:rsid w:val="003841AB"/>
    <w:rsid w:val="003935E8"/>
    <w:rsid w:val="003975D4"/>
    <w:rsid w:val="003A0F16"/>
    <w:rsid w:val="003A5B7D"/>
    <w:rsid w:val="003A6433"/>
    <w:rsid w:val="003B46BF"/>
    <w:rsid w:val="003D2AE2"/>
    <w:rsid w:val="003D71C6"/>
    <w:rsid w:val="003E28D1"/>
    <w:rsid w:val="003F072E"/>
    <w:rsid w:val="00404F9B"/>
    <w:rsid w:val="00411C64"/>
    <w:rsid w:val="004156E6"/>
    <w:rsid w:val="00415707"/>
    <w:rsid w:val="00416F70"/>
    <w:rsid w:val="0041703B"/>
    <w:rsid w:val="004403B4"/>
    <w:rsid w:val="00446466"/>
    <w:rsid w:val="00447CE9"/>
    <w:rsid w:val="00453B55"/>
    <w:rsid w:val="00457779"/>
    <w:rsid w:val="00466FE8"/>
    <w:rsid w:val="004744CD"/>
    <w:rsid w:val="0048011A"/>
    <w:rsid w:val="004850DC"/>
    <w:rsid w:val="00490715"/>
    <w:rsid w:val="00491267"/>
    <w:rsid w:val="00491300"/>
    <w:rsid w:val="00492285"/>
    <w:rsid w:val="004A2F20"/>
    <w:rsid w:val="004A2F45"/>
    <w:rsid w:val="004A5135"/>
    <w:rsid w:val="004B2F38"/>
    <w:rsid w:val="004C04BB"/>
    <w:rsid w:val="004C35E7"/>
    <w:rsid w:val="004D093B"/>
    <w:rsid w:val="004D2191"/>
    <w:rsid w:val="004D7DDC"/>
    <w:rsid w:val="004E4723"/>
    <w:rsid w:val="004F3FEF"/>
    <w:rsid w:val="00500CF7"/>
    <w:rsid w:val="005058F2"/>
    <w:rsid w:val="00512C38"/>
    <w:rsid w:val="00512C7C"/>
    <w:rsid w:val="005130EF"/>
    <w:rsid w:val="005143E4"/>
    <w:rsid w:val="005208ED"/>
    <w:rsid w:val="00547788"/>
    <w:rsid w:val="0055182D"/>
    <w:rsid w:val="00553AE5"/>
    <w:rsid w:val="0056748F"/>
    <w:rsid w:val="00574D83"/>
    <w:rsid w:val="00582743"/>
    <w:rsid w:val="005871C9"/>
    <w:rsid w:val="005A7166"/>
    <w:rsid w:val="005B06B3"/>
    <w:rsid w:val="005B4CDE"/>
    <w:rsid w:val="005B598A"/>
    <w:rsid w:val="005C1959"/>
    <w:rsid w:val="005C499F"/>
    <w:rsid w:val="005C608D"/>
    <w:rsid w:val="005C6551"/>
    <w:rsid w:val="005D269A"/>
    <w:rsid w:val="005D3140"/>
    <w:rsid w:val="005D5D31"/>
    <w:rsid w:val="005E4CF5"/>
    <w:rsid w:val="005E7898"/>
    <w:rsid w:val="005E7AC7"/>
    <w:rsid w:val="005F70FE"/>
    <w:rsid w:val="006008CD"/>
    <w:rsid w:val="00633806"/>
    <w:rsid w:val="00633883"/>
    <w:rsid w:val="00634434"/>
    <w:rsid w:val="0064109C"/>
    <w:rsid w:val="0064487F"/>
    <w:rsid w:val="0066013D"/>
    <w:rsid w:val="006648F3"/>
    <w:rsid w:val="00670C14"/>
    <w:rsid w:val="0068046C"/>
    <w:rsid w:val="00680B0E"/>
    <w:rsid w:val="00687B5F"/>
    <w:rsid w:val="00687E5A"/>
    <w:rsid w:val="006905E7"/>
    <w:rsid w:val="006967BC"/>
    <w:rsid w:val="006A03EB"/>
    <w:rsid w:val="006A533F"/>
    <w:rsid w:val="006A7DCE"/>
    <w:rsid w:val="006B1374"/>
    <w:rsid w:val="006C1B62"/>
    <w:rsid w:val="006C452F"/>
    <w:rsid w:val="006C4ED5"/>
    <w:rsid w:val="006D079B"/>
    <w:rsid w:val="006D183E"/>
    <w:rsid w:val="006D336E"/>
    <w:rsid w:val="006D54B7"/>
    <w:rsid w:val="006D7964"/>
    <w:rsid w:val="006F1223"/>
    <w:rsid w:val="006F498A"/>
    <w:rsid w:val="006F5BEB"/>
    <w:rsid w:val="00710F56"/>
    <w:rsid w:val="007135A8"/>
    <w:rsid w:val="007156F6"/>
    <w:rsid w:val="00715B91"/>
    <w:rsid w:val="00723514"/>
    <w:rsid w:val="007321D8"/>
    <w:rsid w:val="00733AF9"/>
    <w:rsid w:val="00734732"/>
    <w:rsid w:val="00740ABA"/>
    <w:rsid w:val="0074295D"/>
    <w:rsid w:val="00755E27"/>
    <w:rsid w:val="0076587D"/>
    <w:rsid w:val="0078723A"/>
    <w:rsid w:val="007A4FB5"/>
    <w:rsid w:val="007B043E"/>
    <w:rsid w:val="007C4332"/>
    <w:rsid w:val="007C4C95"/>
    <w:rsid w:val="007D0493"/>
    <w:rsid w:val="007D1551"/>
    <w:rsid w:val="007D273D"/>
    <w:rsid w:val="007D58BF"/>
    <w:rsid w:val="007D6A3A"/>
    <w:rsid w:val="007D6B6F"/>
    <w:rsid w:val="007D74E2"/>
    <w:rsid w:val="007F016E"/>
    <w:rsid w:val="008008F6"/>
    <w:rsid w:val="008017A7"/>
    <w:rsid w:val="00820D27"/>
    <w:rsid w:val="00823875"/>
    <w:rsid w:val="00827817"/>
    <w:rsid w:val="00827986"/>
    <w:rsid w:val="008279BD"/>
    <w:rsid w:val="0084154E"/>
    <w:rsid w:val="00843352"/>
    <w:rsid w:val="00844624"/>
    <w:rsid w:val="00844D1D"/>
    <w:rsid w:val="008462C0"/>
    <w:rsid w:val="0087118E"/>
    <w:rsid w:val="00873103"/>
    <w:rsid w:val="008771C8"/>
    <w:rsid w:val="00882DCA"/>
    <w:rsid w:val="0088727A"/>
    <w:rsid w:val="00896D35"/>
    <w:rsid w:val="008971D4"/>
    <w:rsid w:val="008B00C4"/>
    <w:rsid w:val="008B43B0"/>
    <w:rsid w:val="008C0493"/>
    <w:rsid w:val="008C0E92"/>
    <w:rsid w:val="008D0752"/>
    <w:rsid w:val="008D45C3"/>
    <w:rsid w:val="008E18D7"/>
    <w:rsid w:val="008E33C7"/>
    <w:rsid w:val="008F1D35"/>
    <w:rsid w:val="009066C7"/>
    <w:rsid w:val="00912260"/>
    <w:rsid w:val="0092216D"/>
    <w:rsid w:val="00933339"/>
    <w:rsid w:val="00953B84"/>
    <w:rsid w:val="00960C43"/>
    <w:rsid w:val="009611E9"/>
    <w:rsid w:val="00982754"/>
    <w:rsid w:val="009943F4"/>
    <w:rsid w:val="00995FDD"/>
    <w:rsid w:val="00996389"/>
    <w:rsid w:val="009A0BD2"/>
    <w:rsid w:val="009A2234"/>
    <w:rsid w:val="009A65C6"/>
    <w:rsid w:val="009A6D46"/>
    <w:rsid w:val="009B2F99"/>
    <w:rsid w:val="009B76E4"/>
    <w:rsid w:val="009B7A4D"/>
    <w:rsid w:val="009C573D"/>
    <w:rsid w:val="009D10B8"/>
    <w:rsid w:val="009D185F"/>
    <w:rsid w:val="009D43CC"/>
    <w:rsid w:val="009E2331"/>
    <w:rsid w:val="009F413F"/>
    <w:rsid w:val="009F550A"/>
    <w:rsid w:val="009F7497"/>
    <w:rsid w:val="00A01F60"/>
    <w:rsid w:val="00A03985"/>
    <w:rsid w:val="00A05890"/>
    <w:rsid w:val="00A07E35"/>
    <w:rsid w:val="00A118F0"/>
    <w:rsid w:val="00A159DA"/>
    <w:rsid w:val="00A22494"/>
    <w:rsid w:val="00A22A7B"/>
    <w:rsid w:val="00A242D8"/>
    <w:rsid w:val="00A27AA6"/>
    <w:rsid w:val="00A434EB"/>
    <w:rsid w:val="00A4489E"/>
    <w:rsid w:val="00A5351C"/>
    <w:rsid w:val="00A54C06"/>
    <w:rsid w:val="00A633F0"/>
    <w:rsid w:val="00A6481E"/>
    <w:rsid w:val="00A66140"/>
    <w:rsid w:val="00A66626"/>
    <w:rsid w:val="00A7064A"/>
    <w:rsid w:val="00A7345A"/>
    <w:rsid w:val="00A75027"/>
    <w:rsid w:val="00A90397"/>
    <w:rsid w:val="00A90CB0"/>
    <w:rsid w:val="00A9216A"/>
    <w:rsid w:val="00A9374D"/>
    <w:rsid w:val="00A94461"/>
    <w:rsid w:val="00A960EA"/>
    <w:rsid w:val="00AA2D1D"/>
    <w:rsid w:val="00AA4608"/>
    <w:rsid w:val="00AA6179"/>
    <w:rsid w:val="00AB1089"/>
    <w:rsid w:val="00AB1235"/>
    <w:rsid w:val="00AB2D5E"/>
    <w:rsid w:val="00AC0511"/>
    <w:rsid w:val="00AD08C5"/>
    <w:rsid w:val="00AE069A"/>
    <w:rsid w:val="00AE62CE"/>
    <w:rsid w:val="00AF1EBC"/>
    <w:rsid w:val="00AF4A5D"/>
    <w:rsid w:val="00B1467F"/>
    <w:rsid w:val="00B25AAB"/>
    <w:rsid w:val="00B31928"/>
    <w:rsid w:val="00B326A9"/>
    <w:rsid w:val="00B326AF"/>
    <w:rsid w:val="00B45ED3"/>
    <w:rsid w:val="00B543E9"/>
    <w:rsid w:val="00B57127"/>
    <w:rsid w:val="00B71796"/>
    <w:rsid w:val="00B76B2B"/>
    <w:rsid w:val="00B8251D"/>
    <w:rsid w:val="00B94288"/>
    <w:rsid w:val="00B9538B"/>
    <w:rsid w:val="00B95420"/>
    <w:rsid w:val="00BA15A9"/>
    <w:rsid w:val="00BB30C0"/>
    <w:rsid w:val="00BC376D"/>
    <w:rsid w:val="00BD18E8"/>
    <w:rsid w:val="00BD20BC"/>
    <w:rsid w:val="00C13E3E"/>
    <w:rsid w:val="00C15673"/>
    <w:rsid w:val="00C15E6F"/>
    <w:rsid w:val="00C210A9"/>
    <w:rsid w:val="00C22821"/>
    <w:rsid w:val="00C235DE"/>
    <w:rsid w:val="00C243BF"/>
    <w:rsid w:val="00C25F63"/>
    <w:rsid w:val="00C276AE"/>
    <w:rsid w:val="00C33F30"/>
    <w:rsid w:val="00C34F0F"/>
    <w:rsid w:val="00C4237C"/>
    <w:rsid w:val="00C55C85"/>
    <w:rsid w:val="00C60868"/>
    <w:rsid w:val="00C6097A"/>
    <w:rsid w:val="00C64DAA"/>
    <w:rsid w:val="00C65204"/>
    <w:rsid w:val="00C70530"/>
    <w:rsid w:val="00C77217"/>
    <w:rsid w:val="00C816A5"/>
    <w:rsid w:val="00C839B8"/>
    <w:rsid w:val="00C83BE1"/>
    <w:rsid w:val="00C97315"/>
    <w:rsid w:val="00CA1AD2"/>
    <w:rsid w:val="00CA2878"/>
    <w:rsid w:val="00CA7D06"/>
    <w:rsid w:val="00CB1A9C"/>
    <w:rsid w:val="00CB2E2B"/>
    <w:rsid w:val="00CB3D33"/>
    <w:rsid w:val="00CC0463"/>
    <w:rsid w:val="00CC7F58"/>
    <w:rsid w:val="00CD47C3"/>
    <w:rsid w:val="00CE099F"/>
    <w:rsid w:val="00CE73E2"/>
    <w:rsid w:val="00CF402D"/>
    <w:rsid w:val="00CF5E4F"/>
    <w:rsid w:val="00CF7674"/>
    <w:rsid w:val="00D17D3E"/>
    <w:rsid w:val="00D21F75"/>
    <w:rsid w:val="00D27500"/>
    <w:rsid w:val="00D44A5D"/>
    <w:rsid w:val="00D510E8"/>
    <w:rsid w:val="00D554A2"/>
    <w:rsid w:val="00D555FA"/>
    <w:rsid w:val="00D5628B"/>
    <w:rsid w:val="00D629FF"/>
    <w:rsid w:val="00D63F4F"/>
    <w:rsid w:val="00D6426A"/>
    <w:rsid w:val="00D66456"/>
    <w:rsid w:val="00D71D40"/>
    <w:rsid w:val="00D77CD0"/>
    <w:rsid w:val="00D9306F"/>
    <w:rsid w:val="00DB0B88"/>
    <w:rsid w:val="00DD18C6"/>
    <w:rsid w:val="00DD6D00"/>
    <w:rsid w:val="00DE00F0"/>
    <w:rsid w:val="00DE1894"/>
    <w:rsid w:val="00DE3670"/>
    <w:rsid w:val="00DE5079"/>
    <w:rsid w:val="00DF6B3A"/>
    <w:rsid w:val="00E05014"/>
    <w:rsid w:val="00E10271"/>
    <w:rsid w:val="00E34DF7"/>
    <w:rsid w:val="00E35DF6"/>
    <w:rsid w:val="00E50D44"/>
    <w:rsid w:val="00E5130D"/>
    <w:rsid w:val="00E52765"/>
    <w:rsid w:val="00E64133"/>
    <w:rsid w:val="00E649DD"/>
    <w:rsid w:val="00E66456"/>
    <w:rsid w:val="00E738D5"/>
    <w:rsid w:val="00E8288D"/>
    <w:rsid w:val="00E8348C"/>
    <w:rsid w:val="00E900DE"/>
    <w:rsid w:val="00E91E64"/>
    <w:rsid w:val="00E975CF"/>
    <w:rsid w:val="00EA326D"/>
    <w:rsid w:val="00EB1B3E"/>
    <w:rsid w:val="00EB5A68"/>
    <w:rsid w:val="00EB77EA"/>
    <w:rsid w:val="00EC0C4F"/>
    <w:rsid w:val="00EC2B8F"/>
    <w:rsid w:val="00EC74BA"/>
    <w:rsid w:val="00ED15F0"/>
    <w:rsid w:val="00EE4384"/>
    <w:rsid w:val="00EE4BD7"/>
    <w:rsid w:val="00EF3551"/>
    <w:rsid w:val="00F017D6"/>
    <w:rsid w:val="00F06429"/>
    <w:rsid w:val="00F12CF6"/>
    <w:rsid w:val="00F147FC"/>
    <w:rsid w:val="00F15BD4"/>
    <w:rsid w:val="00F3001F"/>
    <w:rsid w:val="00F31A79"/>
    <w:rsid w:val="00F358B7"/>
    <w:rsid w:val="00F373EA"/>
    <w:rsid w:val="00F42214"/>
    <w:rsid w:val="00F5061B"/>
    <w:rsid w:val="00F61A7D"/>
    <w:rsid w:val="00F63AA8"/>
    <w:rsid w:val="00F63DAF"/>
    <w:rsid w:val="00F67CA2"/>
    <w:rsid w:val="00F859A8"/>
    <w:rsid w:val="00F9203E"/>
    <w:rsid w:val="00F957B7"/>
    <w:rsid w:val="00FA53DF"/>
    <w:rsid w:val="00FB2364"/>
    <w:rsid w:val="00FB30AC"/>
    <w:rsid w:val="00FB3B6F"/>
    <w:rsid w:val="00FC712D"/>
    <w:rsid w:val="00FD39E3"/>
    <w:rsid w:val="00FD48BC"/>
    <w:rsid w:val="00FE1242"/>
    <w:rsid w:val="00FE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11808D"/>
  <w15:docId w15:val="{9907FBD6-CEC2-42E2-A88E-10EDFCF32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6466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Bullet1,Styl moj,aotm_załączniki,Akapit z listą11,Table Legend,Dot pt,F5 List Paragraph,List Paragraph1,No Spacing1,List Paragraph Char Char Char,Indicator Text,Colorful List - Accent 11,Numbered Para 1,Bullet 1,Bullet Points,MAIN CONTENT"/>
    <w:basedOn w:val="Normalny"/>
    <w:link w:val="AkapitzlistZnak"/>
    <w:uiPriority w:val="34"/>
    <w:qFormat/>
    <w:rsid w:val="008C0E9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C0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0E92"/>
  </w:style>
  <w:style w:type="paragraph" w:styleId="Stopka">
    <w:name w:val="footer"/>
    <w:basedOn w:val="Normalny"/>
    <w:link w:val="StopkaZnak"/>
    <w:uiPriority w:val="99"/>
    <w:unhideWhenUsed/>
    <w:rsid w:val="008C0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0E92"/>
  </w:style>
  <w:style w:type="paragraph" w:customStyle="1" w:styleId="Style2">
    <w:name w:val="Style2"/>
    <w:basedOn w:val="Normalny"/>
    <w:uiPriority w:val="99"/>
    <w:rsid w:val="00230BB7"/>
    <w:pPr>
      <w:widowControl w:val="0"/>
      <w:suppressAutoHyphens w:val="0"/>
      <w:autoSpaceDE w:val="0"/>
      <w:adjustRightInd w:val="0"/>
      <w:spacing w:after="0" w:line="331" w:lineRule="exact"/>
      <w:jc w:val="both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9">
    <w:name w:val="Font Style19"/>
    <w:basedOn w:val="Domylnaczcionkaakapitu"/>
    <w:uiPriority w:val="99"/>
    <w:rsid w:val="00230BB7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0">
    <w:name w:val="Font Style20"/>
    <w:basedOn w:val="Domylnaczcionkaakapitu"/>
    <w:uiPriority w:val="99"/>
    <w:rsid w:val="00230BB7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6C1B62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Theme="minorEastAsia" w:hAnsi="Times New Roman"/>
      <w:sz w:val="24"/>
      <w:szCs w:val="24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1E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1E9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1E9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1E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1E9F"/>
    <w:rPr>
      <w:b/>
      <w:bCs/>
      <w:sz w:val="20"/>
      <w:szCs w:val="20"/>
    </w:rPr>
  </w:style>
  <w:style w:type="character" w:customStyle="1" w:styleId="AkapitzlistZnak">
    <w:name w:val="Akapit z listą Znak"/>
    <w:aliases w:val="Bullet1 Znak,Styl moj Znak,aotm_załączniki Znak,Akapit z listą11 Znak,Table Legend Znak,Dot pt Znak,F5 List Paragraph Znak,List Paragraph1 Znak,No Spacing1 Znak,List Paragraph Char Char Char Znak,Indicator Text Znak,Bullet 1 Znak"/>
    <w:basedOn w:val="Domylnaczcionkaakapitu"/>
    <w:link w:val="Akapitzlist"/>
    <w:uiPriority w:val="99"/>
    <w:qFormat/>
    <w:rsid w:val="00193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\\universe\wric$\09_Pracownicy\1_39_Wilk_J\Nowe%20obj&#281;cia\lipiec%202026%20Wykresy%20od%202012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universe\wric$\09_Pracownicy\1_39_Wilk_J\Nowe%20obj&#281;cia\lipiec%202026%20Wykresy%20od%20201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universe\wric$\09_Pracownicy\1_39_Wilk_J\Nowe%20obj&#281;cia\lipiec%202026%20Wykresy%20wskazania%20od%20201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universe\wric$\09_Pracownicy\1_39_Wilk_J\Nowe%20obj&#281;cia\lipiec%202026%20Wykresy%20wskazania%20od%20201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Lato" panose="020F0502020204030203" pitchFamily="34" charset="-18"/>
                <a:ea typeface="+mn-ea"/>
                <a:cs typeface="+mn-cs"/>
              </a:defRPr>
            </a:pPr>
            <a:r>
              <a:rPr lang="pl-PL" sz="800" b="1" i="0" baseline="0">
                <a:solidFill>
                  <a:sysClr val="windowText" lastClr="000000"/>
                </a:solidFill>
                <a:effectLst/>
                <a:latin typeface="Lato" panose="020F0502020204030203" pitchFamily="34" charset="-18"/>
              </a:rPr>
              <a:t>Liczba nowych cząsteczko-wskazań w 2025 r. - ONKO/NIEONKO</a:t>
            </a:r>
            <a:endParaRPr lang="pl-PL" sz="800">
              <a:solidFill>
                <a:sysClr val="windowText" lastClr="000000"/>
              </a:solidFill>
              <a:effectLst/>
              <a:latin typeface="Lato" panose="020F0502020204030203" pitchFamily="34" charset="-18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ysClr val="windowText" lastClr="000000"/>
              </a:solidFill>
              <a:latin typeface="Lato" panose="020F0502020204030203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7.7692038495188118E-2"/>
          <c:y val="0.13625000000000001"/>
          <c:w val="0.90286351706036749"/>
          <c:h val="0.6780595765564775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'miesiące 2026'!$A$3</c:f>
              <c:strCache>
                <c:ptCount val="1"/>
                <c:pt idx="0">
                  <c:v>Wskazania onkologiczne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Lato" panose="020F0502020204030203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'miesiące 2026'!$B$1:$E$2</c:f>
              <c:strCache>
                <c:ptCount val="4"/>
                <c:pt idx="0">
                  <c:v>styczeń</c:v>
                </c:pt>
                <c:pt idx="1">
                  <c:v>kwiecień</c:v>
                </c:pt>
                <c:pt idx="2">
                  <c:v>lipiec</c:v>
                </c:pt>
                <c:pt idx="3">
                  <c:v>październik</c:v>
                </c:pt>
              </c:strCache>
            </c:strRef>
          </c:cat>
          <c:val>
            <c:numRef>
              <c:f>'miesiące 2026'!$B$3:$E$3</c:f>
              <c:numCache>
                <c:formatCode>General</c:formatCode>
                <c:ptCount val="4"/>
                <c:pt idx="0">
                  <c:v>9</c:v>
                </c:pt>
                <c:pt idx="1">
                  <c:v>14</c:v>
                </c:pt>
                <c:pt idx="2">
                  <c:v>10</c:v>
                </c:pt>
                <c:pt idx="3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58-473A-9DD6-09F5E0612557}"/>
            </c:ext>
          </c:extLst>
        </c:ser>
        <c:ser>
          <c:idx val="1"/>
          <c:order val="1"/>
          <c:tx>
            <c:strRef>
              <c:f>'miesiące 2026'!$A$4</c:f>
              <c:strCache>
                <c:ptCount val="1"/>
                <c:pt idx="0">
                  <c:v>Wskazania nieonkologiczne</c:v>
                </c:pt>
              </c:strCache>
            </c:strRef>
          </c:tx>
          <c:spPr>
            <a:solidFill>
              <a:srgbClr val="4F93D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Lato" panose="020F0502020204030203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'miesiące 2026'!$B$1:$E$2</c:f>
              <c:strCache>
                <c:ptCount val="4"/>
                <c:pt idx="0">
                  <c:v>styczeń</c:v>
                </c:pt>
                <c:pt idx="1">
                  <c:v>kwiecień</c:v>
                </c:pt>
                <c:pt idx="2">
                  <c:v>lipiec</c:v>
                </c:pt>
                <c:pt idx="3">
                  <c:v>październik</c:v>
                </c:pt>
              </c:strCache>
            </c:strRef>
          </c:cat>
          <c:val>
            <c:numRef>
              <c:f>'miesiące 2026'!$B$4:$E$4</c:f>
              <c:numCache>
                <c:formatCode>General</c:formatCode>
                <c:ptCount val="4"/>
                <c:pt idx="0">
                  <c:v>15</c:v>
                </c:pt>
                <c:pt idx="1">
                  <c:v>3</c:v>
                </c:pt>
                <c:pt idx="2">
                  <c:v>15</c:v>
                </c:pt>
                <c:pt idx="3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558-473A-9DD6-09F5E061255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703835919"/>
        <c:axId val="703834671"/>
      </c:barChart>
      <c:catAx>
        <c:axId val="7038359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Lato" panose="020F0502020204030203" pitchFamily="34" charset="-18"/>
                <a:ea typeface="+mn-ea"/>
                <a:cs typeface="+mn-cs"/>
              </a:defRPr>
            </a:pPr>
            <a:endParaRPr lang="pl-PL"/>
          </a:p>
        </c:txPr>
        <c:crossAx val="703834671"/>
        <c:crosses val="autoZero"/>
        <c:auto val="1"/>
        <c:lblAlgn val="ctr"/>
        <c:lblOffset val="100"/>
        <c:noMultiLvlLbl val="0"/>
      </c:catAx>
      <c:valAx>
        <c:axId val="70383467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Lato" panose="020F0502020204030203" pitchFamily="34" charset="-18"/>
                <a:ea typeface="+mn-ea"/>
                <a:cs typeface="+mn-cs"/>
              </a:defRPr>
            </a:pPr>
            <a:endParaRPr lang="pl-PL"/>
          </a:p>
        </c:txPr>
        <c:crossAx val="70383591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Lato" panose="020F0502020204030203" pitchFamily="34" charset="-18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Lato" panose="020F0502020204030203" pitchFamily="34" charset="-18"/>
                <a:ea typeface="+mn-ea"/>
                <a:cs typeface="+mn-cs"/>
              </a:defRPr>
            </a:pPr>
            <a:r>
              <a:rPr lang="pl-PL" sz="800" b="1" i="0" baseline="0">
                <a:solidFill>
                  <a:sysClr val="windowText" lastClr="000000"/>
                </a:solidFill>
                <a:effectLst/>
                <a:latin typeface="Lato" panose="020F0502020204030203" pitchFamily="34" charset="-18"/>
              </a:rPr>
              <a:t>Liczba nowych cząsteczko-wskazań w 2025 r. - choroby rzadkie</a:t>
            </a:r>
            <a:endParaRPr lang="pl-PL" sz="800">
              <a:solidFill>
                <a:sysClr val="windowText" lastClr="000000"/>
              </a:solidFill>
              <a:effectLst/>
              <a:latin typeface="Lato" panose="020F0502020204030203" pitchFamily="34" charset="-18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ysClr val="windowText" lastClr="000000"/>
              </a:solidFill>
              <a:latin typeface="Lato" panose="020F0502020204030203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7.7692038495188118E-2"/>
          <c:y val="0.13625000000000001"/>
          <c:w val="0.90286351706036749"/>
          <c:h val="0.678294299750992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'miesiące 2026'!$A$18</c:f>
              <c:strCache>
                <c:ptCount val="1"/>
                <c:pt idx="0">
                  <c:v>Wskazania rzadkie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Lato" panose="020F0502020204030203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'miesiące 2026'!$B$16:$E$17</c:f>
              <c:strCache>
                <c:ptCount val="4"/>
                <c:pt idx="0">
                  <c:v>styczeń</c:v>
                </c:pt>
                <c:pt idx="1">
                  <c:v>kwiecień</c:v>
                </c:pt>
                <c:pt idx="2">
                  <c:v>lipiec</c:v>
                </c:pt>
                <c:pt idx="3">
                  <c:v>październik</c:v>
                </c:pt>
              </c:strCache>
            </c:strRef>
          </c:cat>
          <c:val>
            <c:numRef>
              <c:f>'miesiące 2026'!$B$18:$E$18</c:f>
              <c:numCache>
                <c:formatCode>General</c:formatCode>
                <c:ptCount val="4"/>
                <c:pt idx="0">
                  <c:v>8</c:v>
                </c:pt>
                <c:pt idx="1">
                  <c:v>6</c:v>
                </c:pt>
                <c:pt idx="2">
                  <c:v>8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A9D-465E-A721-3488C85C9F58}"/>
            </c:ext>
          </c:extLst>
        </c:ser>
        <c:ser>
          <c:idx val="1"/>
          <c:order val="1"/>
          <c:tx>
            <c:strRef>
              <c:f>'miesiące 2026'!$A$19</c:f>
              <c:strCache>
                <c:ptCount val="1"/>
                <c:pt idx="0">
                  <c:v>Pozostałe</c:v>
                </c:pt>
              </c:strCache>
            </c:strRef>
          </c:tx>
          <c:spPr>
            <a:solidFill>
              <a:srgbClr val="4F93D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Lato" panose="020F0502020204030203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'miesiące 2026'!$B$16:$E$17</c:f>
              <c:strCache>
                <c:ptCount val="4"/>
                <c:pt idx="0">
                  <c:v>styczeń</c:v>
                </c:pt>
                <c:pt idx="1">
                  <c:v>kwiecień</c:v>
                </c:pt>
                <c:pt idx="2">
                  <c:v>lipiec</c:v>
                </c:pt>
                <c:pt idx="3">
                  <c:v>październik</c:v>
                </c:pt>
              </c:strCache>
            </c:strRef>
          </c:cat>
          <c:val>
            <c:numRef>
              <c:f>'miesiące 2026'!$B$19:$E$19</c:f>
              <c:numCache>
                <c:formatCode>General</c:formatCode>
                <c:ptCount val="4"/>
                <c:pt idx="0">
                  <c:v>16</c:v>
                </c:pt>
                <c:pt idx="1">
                  <c:v>11</c:v>
                </c:pt>
                <c:pt idx="2">
                  <c:v>17</c:v>
                </c:pt>
                <c:pt idx="3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A9D-465E-A721-3488C85C9F5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703835919"/>
        <c:axId val="703834671"/>
      </c:barChart>
      <c:catAx>
        <c:axId val="7038359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Lato" panose="020F0502020204030203" pitchFamily="34" charset="-18"/>
                <a:ea typeface="+mn-ea"/>
                <a:cs typeface="+mn-cs"/>
              </a:defRPr>
            </a:pPr>
            <a:endParaRPr lang="pl-PL"/>
          </a:p>
        </c:txPr>
        <c:crossAx val="703834671"/>
        <c:crosses val="autoZero"/>
        <c:auto val="1"/>
        <c:lblAlgn val="ctr"/>
        <c:lblOffset val="100"/>
        <c:noMultiLvlLbl val="0"/>
      </c:catAx>
      <c:valAx>
        <c:axId val="70383467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Lato" panose="020F0502020204030203" pitchFamily="34" charset="-18"/>
                <a:ea typeface="+mn-ea"/>
                <a:cs typeface="+mn-cs"/>
              </a:defRPr>
            </a:pPr>
            <a:endParaRPr lang="pl-PL"/>
          </a:p>
        </c:txPr>
        <c:crossAx val="70383591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Lato" panose="020F0502020204030203" pitchFamily="34" charset="-18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800" b="1" i="0" u="none" strike="noStrike" kern="1200" spc="0" baseline="0">
                <a:solidFill>
                  <a:sysClr val="windowText" lastClr="000000"/>
                </a:solidFill>
                <a:latin typeface="Lato" panose="020F0502020204030203" pitchFamily="34" charset="-18"/>
                <a:ea typeface="+mn-ea"/>
                <a:cs typeface="+mn-cs"/>
              </a:defRPr>
            </a:pPr>
            <a:r>
              <a:rPr lang="pl-PL" sz="800" b="1">
                <a:solidFill>
                  <a:sysClr val="windowText" lastClr="000000"/>
                </a:solidFill>
                <a:latin typeface="Lato" panose="020F0502020204030203" pitchFamily="34" charset="-18"/>
              </a:rPr>
              <a:t>Cząsteczko-wskazania onkologiczne w 2026 r. </a:t>
            </a:r>
          </a:p>
        </c:rich>
      </c:tx>
      <c:layout>
        <c:manualLayout>
          <c:xMode val="edge"/>
          <c:yMode val="edge"/>
          <c:x val="0.25296529732800593"/>
          <c:y val="1.769768386342007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800" b="1" i="0" u="none" strike="noStrike" kern="1200" spc="0" baseline="0">
              <a:solidFill>
                <a:sysClr val="windowText" lastClr="000000"/>
              </a:solidFill>
              <a:latin typeface="Lato" panose="020F0502020204030203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0.13582997522272922"/>
          <c:y val="9.8100953445576469E-2"/>
          <c:w val="0.84009663854336591"/>
          <c:h val="0.83397299496965116"/>
        </c:manualLayout>
      </c:layout>
      <c:barChart>
        <c:barDir val="bar"/>
        <c:grouping val="clustered"/>
        <c:varyColors val="0"/>
        <c:ser>
          <c:idx val="10"/>
          <c:order val="0"/>
          <c:tx>
            <c:strRef>
              <c:f>'miesiące 2026'!$B$2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4F93D1"/>
            </a:solidFill>
            <a:ln>
              <a:noFill/>
            </a:ln>
            <a:effectLst/>
          </c:spPr>
          <c:invertIfNegative val="0"/>
          <c:cat>
            <c:strRef>
              <c:f>('miesiące 2026'!$A$3:$A$10,'miesiące 2026'!$A$12)</c:f>
              <c:strCache>
                <c:ptCount val="8"/>
                <c:pt idx="0">
                  <c:v>Inne</c:v>
                </c:pt>
                <c:pt idx="1">
                  <c:v>Nowotwory układu 
urologicznego</c:v>
                </c:pt>
                <c:pt idx="2">
                  <c:v>Nowotwory układu 
pokarmowego</c:v>
                </c:pt>
                <c:pt idx="3">
                  <c:v>Nowotwory układu 
oddechowego</c:v>
                </c:pt>
                <c:pt idx="4">
                  <c:v>Nowotwory nerki</c:v>
                </c:pt>
                <c:pt idx="5">
                  <c:v>Nowotwory głowy 
i szyi</c:v>
                </c:pt>
                <c:pt idx="6">
                  <c:v>Nowotwory 
ginekologiczne</c:v>
                </c:pt>
                <c:pt idx="7">
                  <c:v>Hematoonkologia</c:v>
                </c:pt>
              </c:strCache>
              <c:extLst/>
            </c:strRef>
          </c:cat>
          <c:val>
            <c:numRef>
              <c:f>('miesiące 2026'!$B$3:$B$10,'miesiące 2026'!$B$12)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14</c:v>
                </c:pt>
                <c:pt idx="3">
                  <c:v>14</c:v>
                </c:pt>
                <c:pt idx="4">
                  <c:v>1</c:v>
                </c:pt>
                <c:pt idx="5">
                  <c:v>1</c:v>
                </c:pt>
                <c:pt idx="6">
                  <c:v>4</c:v>
                </c:pt>
                <c:pt idx="7">
                  <c:v>8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2B99-4AF8-B111-5E1B43BD02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51046271"/>
        <c:axId val="751054175"/>
      </c:barChart>
      <c:valAx>
        <c:axId val="75105417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Lato" panose="020F0502020204030203" pitchFamily="34" charset="-18"/>
                <a:ea typeface="+mn-ea"/>
                <a:cs typeface="+mn-cs"/>
              </a:defRPr>
            </a:pPr>
            <a:endParaRPr lang="pl-PL"/>
          </a:p>
        </c:txPr>
        <c:crossAx val="751046271"/>
        <c:crosses val="autoZero"/>
        <c:crossBetween val="between"/>
        <c:majorUnit val="1"/>
      </c:valAx>
      <c:catAx>
        <c:axId val="751046271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Lato" panose="020F0502020204030203" pitchFamily="34" charset="-18"/>
                <a:ea typeface="+mn-ea"/>
                <a:cs typeface="+mn-cs"/>
              </a:defRPr>
            </a:pPr>
            <a:endParaRPr lang="pl-PL"/>
          </a:p>
        </c:txPr>
        <c:crossAx val="751054175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spc="0" baseline="0">
                <a:solidFill>
                  <a:sysClr val="windowText" lastClr="000000"/>
                </a:solidFill>
                <a:latin typeface="Lato" panose="020F0502020204030203" pitchFamily="34" charset="-18"/>
                <a:ea typeface="+mn-ea"/>
                <a:cs typeface="+mn-cs"/>
              </a:defRPr>
            </a:pPr>
            <a:r>
              <a:rPr lang="pl-PL" sz="800" b="1">
                <a:latin typeface="Lato" panose="020F0502020204030203" pitchFamily="34" charset="-18"/>
              </a:rPr>
              <a:t>Cząsteczko-wskazania nieonkologiczne w 2026 r.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spc="0" baseline="0">
              <a:solidFill>
                <a:sysClr val="windowText" lastClr="000000"/>
              </a:solidFill>
              <a:latin typeface="Lato" panose="020F0502020204030203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0.20948966438366801"/>
          <c:y val="8.9823594591149331E-2"/>
          <c:w val="0.76644349190079053"/>
          <c:h val="0.8422503538240783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'miesiące 2026'!$B$19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4F93D1"/>
            </a:solidFill>
            <a:ln>
              <a:noFill/>
            </a:ln>
            <a:effectLst/>
          </c:spPr>
          <c:invertIfNegative val="0"/>
          <c:cat>
            <c:strRef>
              <c:f>'miesiące 2026'!$A$20:$A$39</c:f>
              <c:strCache>
                <c:ptCount val="13"/>
                <c:pt idx="0">
                  <c:v>Urologia</c:v>
                </c:pt>
                <c:pt idx="1">
                  <c:v>Pulmonologia</c:v>
                </c:pt>
                <c:pt idx="2">
                  <c:v>Psychiatria</c:v>
                </c:pt>
                <c:pt idx="3">
                  <c:v>Okulistyka</c:v>
                </c:pt>
                <c:pt idx="4">
                  <c:v>Neurologia</c:v>
                </c:pt>
                <c:pt idx="5">
                  <c:v>Nefrologia </c:v>
                </c:pt>
                <c:pt idx="6">
                  <c:v>Kardiologia</c:v>
                </c:pt>
                <c:pt idx="7">
                  <c:v>Hepatologia</c:v>
                </c:pt>
                <c:pt idx="8">
                  <c:v>Hematologia</c:v>
                </c:pt>
                <c:pt idx="9">
                  <c:v>Gastroenterologia</c:v>
                </c:pt>
                <c:pt idx="10">
                  <c:v>Dermatologia</c:v>
                </c:pt>
                <c:pt idx="11">
                  <c:v>Choroby metaboliczne</c:v>
                </c:pt>
                <c:pt idx="12">
                  <c:v>Alergologia</c:v>
                </c:pt>
              </c:strCache>
              <c:extLst/>
            </c:strRef>
          </c:cat>
          <c:val>
            <c:numRef>
              <c:f>'miesiące 2026'!$B$20:$B$39</c:f>
              <c:numCache>
                <c:formatCode>General</c:formatCode>
                <c:ptCount val="13"/>
                <c:pt idx="0">
                  <c:v>1</c:v>
                </c:pt>
                <c:pt idx="1">
                  <c:v>3</c:v>
                </c:pt>
                <c:pt idx="2">
                  <c:v>1</c:v>
                </c:pt>
                <c:pt idx="3">
                  <c:v>2</c:v>
                </c:pt>
                <c:pt idx="4">
                  <c:v>4</c:v>
                </c:pt>
                <c:pt idx="5">
                  <c:v>2</c:v>
                </c:pt>
                <c:pt idx="6">
                  <c:v>15</c:v>
                </c:pt>
                <c:pt idx="7">
                  <c:v>1</c:v>
                </c:pt>
                <c:pt idx="8">
                  <c:v>2</c:v>
                </c:pt>
                <c:pt idx="9">
                  <c:v>6</c:v>
                </c:pt>
                <c:pt idx="10">
                  <c:v>3</c:v>
                </c:pt>
                <c:pt idx="11">
                  <c:v>2</c:v>
                </c:pt>
                <c:pt idx="12">
                  <c:v>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A008-4778-89AB-C1930146E9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1296495"/>
        <c:axId val="241294831"/>
      </c:barChart>
      <c:valAx>
        <c:axId val="24129483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Lato" panose="020F0502020204030203" pitchFamily="34" charset="-18"/>
                <a:ea typeface="+mn-ea"/>
                <a:cs typeface="+mn-cs"/>
              </a:defRPr>
            </a:pPr>
            <a:endParaRPr lang="pl-PL"/>
          </a:p>
        </c:txPr>
        <c:crossAx val="241296495"/>
        <c:crosses val="autoZero"/>
        <c:crossBetween val="between"/>
        <c:majorUnit val="1"/>
      </c:valAx>
      <c:catAx>
        <c:axId val="24129649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Lato" panose="020F0502020204030203" pitchFamily="34" charset="-18"/>
                <a:ea typeface="+mn-ea"/>
                <a:cs typeface="+mn-cs"/>
              </a:defRPr>
            </a:pPr>
            <a:endParaRPr lang="pl-PL"/>
          </a:p>
        </c:txPr>
        <c:crossAx val="241294831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 2013–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 2013–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 2013–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2087</Words>
  <Characters>12526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Oczkowski Mateusz</dc:creator>
  <dc:description/>
  <cp:lastModifiedBy>Tobiaszewski Paweł</cp:lastModifiedBy>
  <cp:revision>3</cp:revision>
  <dcterms:created xsi:type="dcterms:W3CDTF">2026-09-16T14:22:00Z</dcterms:created>
  <dcterms:modified xsi:type="dcterms:W3CDTF">2026-09-16T14:23:00Z</dcterms:modified>
</cp:coreProperties>
</file>