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196B5" w14:textId="77777777" w:rsidR="00F825BD" w:rsidRDefault="008E26B8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07 kwietnia 2021</w:t>
      </w:r>
      <w:bookmarkEnd w:id="0"/>
      <w:r>
        <w:rPr>
          <w:rFonts w:ascii="Arial" w:hAnsi="Arial" w:cs="Arial"/>
        </w:rPr>
        <w:t xml:space="preserve"> r.</w:t>
      </w:r>
    </w:p>
    <w:p w14:paraId="295F8588" w14:textId="77777777" w:rsidR="00F825BD" w:rsidRDefault="002E1DC7" w:rsidP="00F825BD">
      <w:pPr>
        <w:spacing w:after="0" w:line="240" w:lineRule="auto"/>
        <w:rPr>
          <w:rFonts w:ascii="Arial" w:hAnsi="Arial" w:cs="Arial"/>
        </w:rPr>
      </w:pPr>
    </w:p>
    <w:p w14:paraId="2F4E0CAB" w14:textId="77777777" w:rsidR="00DB3C37" w:rsidRDefault="008E26B8" w:rsidP="00DB3C37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DLG.055.3.2021</w:t>
      </w:r>
      <w:bookmarkEnd w:id="1"/>
      <w:r w:rsidRPr="00E50F9C">
        <w:rPr>
          <w:rFonts w:ascii="Arial" w:hAnsi="Arial" w:cs="Arial"/>
        </w:rPr>
        <w:t xml:space="preserve">                                                                                 </w:t>
      </w:r>
    </w:p>
    <w:p w14:paraId="422DE952" w14:textId="6048B9A3" w:rsidR="00E50F9C" w:rsidRPr="00DB3C37" w:rsidRDefault="008E26B8" w:rsidP="00DB3C37">
      <w:pPr>
        <w:spacing w:before="120" w:after="660" w:line="240" w:lineRule="auto"/>
        <w:rPr>
          <w:rFonts w:ascii="Arial" w:hAnsi="Arial" w:cs="Arial"/>
        </w:rPr>
      </w:pPr>
      <w:r w:rsidRPr="00E50F9C">
        <w:rPr>
          <w:rFonts w:ascii="Arial" w:hAnsi="Arial"/>
        </w:rPr>
        <w:t>Szanowna Pani,</w:t>
      </w:r>
    </w:p>
    <w:p w14:paraId="765CD2D1" w14:textId="77777777" w:rsidR="00E50F9C" w:rsidRPr="00E50F9C" w:rsidRDefault="008E26B8" w:rsidP="00E50F9C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 xml:space="preserve">w nawiązaniu do petycji  PET/III/1/21 z dnia 1 marca 2021 r. w sprawie wyposażenia łóżek szpitalnych oddziału kardiologii a także pododdziału intensywnego nadzoru kardiologicznego, intensywnego nadzoru neurologicznego, Anestezjologii i Intensywnej Terapii, sali operacyjnej, sali zabiegowej, sali porodowej, OIOM, sali dozoru, sali wybudzeniowej, sali pozabiegowej, sali pooperacyjnej, obszaru wstępnej intensywnej terapii na SOR, sali szybkiego reagowania i wczesnego ostrzegania, sali obserwacyjnej w SOR/oddziale, izolatki  we wskazane urządzenia, uprzejmie proszę </w:t>
      </w:r>
      <w:r w:rsidRPr="00E50F9C">
        <w:rPr>
          <w:rFonts w:ascii="Arial" w:hAnsi="Arial"/>
        </w:rPr>
        <w:br/>
        <w:t>o przyjęcie następujących wyjaśnień.</w:t>
      </w:r>
    </w:p>
    <w:p w14:paraId="62108892" w14:textId="77777777" w:rsidR="00E50F9C" w:rsidRPr="00E50F9C" w:rsidRDefault="002E1DC7" w:rsidP="00E50F9C">
      <w:pPr>
        <w:spacing w:after="0" w:line="360" w:lineRule="auto"/>
        <w:contextualSpacing/>
        <w:jc w:val="both"/>
        <w:rPr>
          <w:rFonts w:ascii="Arial" w:hAnsi="Arial"/>
        </w:rPr>
      </w:pPr>
    </w:p>
    <w:p w14:paraId="2F543191" w14:textId="77777777" w:rsidR="00E50F9C" w:rsidRPr="00E50F9C" w:rsidRDefault="008E26B8" w:rsidP="00E50F9C">
      <w:pPr>
        <w:spacing w:after="0" w:line="360" w:lineRule="auto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 xml:space="preserve">Odnosząc się konieczności wyposażenia w sprzęt łóżek szpitalnych, sal i stanowisk intensywnej opieki medycznej należy zauważyć, że każdorazowo wskazano warunki szczegółowe, jakie powinny spełniać świadczeniodawcy przy udzielaniu świadczeń gwarantowanych w trybie hospitalizacji i hospitalizacji planowej, ponadto warunki są inne w zależności od profilu i rodzaju komórki organizacyjnej. Trudno zatem odnosząc się do Pani propozycji stosować takie same wymagania niezbędne do realizacji świadczeń </w:t>
      </w:r>
      <w:r>
        <w:rPr>
          <w:rFonts w:ascii="Arial" w:hAnsi="Arial"/>
        </w:rPr>
        <w:br/>
      </w:r>
      <w:r w:rsidRPr="00E50F9C">
        <w:rPr>
          <w:rFonts w:ascii="Arial" w:hAnsi="Arial"/>
        </w:rPr>
        <w:t xml:space="preserve">w przypadkach przez Panią wskazanych tj. w pododdziale intensywnego nadzoru kardiologicznego, intensywnego nadzoru neurologicznego, Anestezjologii </w:t>
      </w:r>
      <w:r w:rsidRPr="00E50F9C">
        <w:rPr>
          <w:rFonts w:ascii="Arial" w:hAnsi="Arial"/>
        </w:rPr>
        <w:br/>
        <w:t xml:space="preserve">i Intensywnej Terapii, sali operacyjnej, sali zabiegowej, sali porodowej, OIOM, sali dozoru, sali wybudzeniowej, sali pozabiegowej, sali pooperacyjnej, obszaru wstępnej intensywnej terapii na SOR, sali szybkiego reagowania i wczesnego ostrzegania, sali obserwacyjnej w SOR/oddziale czy w izolatce. </w:t>
      </w:r>
    </w:p>
    <w:p w14:paraId="4BFE4A10" w14:textId="77777777" w:rsidR="00E50F9C" w:rsidRPr="00E50F9C" w:rsidRDefault="002E1DC7" w:rsidP="00E50F9C">
      <w:pPr>
        <w:spacing w:after="0" w:line="360" w:lineRule="auto"/>
        <w:contextualSpacing/>
        <w:jc w:val="both"/>
        <w:rPr>
          <w:rFonts w:ascii="Arial" w:hAnsi="Arial"/>
        </w:rPr>
      </w:pPr>
    </w:p>
    <w:p w14:paraId="756C1F1A" w14:textId="77777777" w:rsidR="00E50F9C" w:rsidRPr="00E50F9C" w:rsidRDefault="008E26B8" w:rsidP="00E50F9C">
      <w:pPr>
        <w:spacing w:after="0" w:line="360" w:lineRule="auto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 xml:space="preserve">Dla przykładu zgodnie z obowiązującym rozporządzeniem Ministra Zdrowia z dnia 22 listopada 2013 r. w sprawie świadczeń gwarantowanych z zakresu leczenia szpitalnego </w:t>
      </w:r>
      <w:r w:rsidRPr="00E50F9C">
        <w:rPr>
          <w:rFonts w:ascii="Arial" w:hAnsi="Arial"/>
        </w:rPr>
        <w:lastRenderedPageBreak/>
        <w:t>(Dz .U. z 2021r. poz. 290 z późn. zm.), wyposażenie sali lub sal intensywnego nadzoru kardiologicznego obejmuje:</w:t>
      </w:r>
    </w:p>
    <w:p w14:paraId="4FF219BC" w14:textId="77777777" w:rsidR="00E50F9C" w:rsidRPr="00E50F9C" w:rsidRDefault="008E26B8" w:rsidP="00E50F9C">
      <w:pPr>
        <w:spacing w:after="0" w:line="360" w:lineRule="auto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w miejscu udzielania świadczeń:</w:t>
      </w:r>
    </w:p>
    <w:p w14:paraId="15D233B7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respirator - co najmniej jeden,</w:t>
      </w:r>
    </w:p>
    <w:p w14:paraId="3C16B4F8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kardiowerter-defibrylator - co najmniej jeden,</w:t>
      </w:r>
    </w:p>
    <w:p w14:paraId="4E295E7E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aparat EKG,</w:t>
      </w:r>
    </w:p>
    <w:p w14:paraId="241ADDCB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stymulator serca z zestawem elektrod endokawitarnych,</w:t>
      </w:r>
    </w:p>
    <w:p w14:paraId="35BB7C4E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aparat do kontrapulsacji wewnątrzaortalnej (w przypadku pracowni hemodynamicznej w lokalizacji),</w:t>
      </w:r>
    </w:p>
    <w:p w14:paraId="749C81B7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pompy infuzyjne,</w:t>
      </w:r>
    </w:p>
    <w:p w14:paraId="33295154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elektryczne/ próżniowe urządzenie do ssania - co najmniej dwa,</w:t>
      </w:r>
    </w:p>
    <w:p w14:paraId="5321C321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zestaw do intubacji - co najmniej dwa,</w:t>
      </w:r>
    </w:p>
    <w:p w14:paraId="5147AAFE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worek samorozprężalny - co najmniej dwa,</w:t>
      </w:r>
    </w:p>
    <w:p w14:paraId="4577C297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zestaw do pomiaru parametrów hemodynamicznych metodą krwawą,</w:t>
      </w:r>
    </w:p>
    <w:p w14:paraId="1E70FF69" w14:textId="77777777" w:rsidR="00E50F9C" w:rsidRPr="00E50F9C" w:rsidRDefault="008E26B8" w:rsidP="00E50F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urządzenie do nieinwazyjnego pomiaru rzutu serca - co najmniej jedno na cztery stanowiska,</w:t>
      </w:r>
    </w:p>
    <w:p w14:paraId="70032FD7" w14:textId="77777777" w:rsidR="00E50F9C" w:rsidRPr="00E50F9C" w:rsidRDefault="008E26B8" w:rsidP="00E50F9C">
      <w:pPr>
        <w:spacing w:after="0" w:line="360" w:lineRule="auto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w lokalizacji:</w:t>
      </w:r>
    </w:p>
    <w:p w14:paraId="454F3CFF" w14:textId="77777777" w:rsidR="00E50F9C" w:rsidRPr="00E50F9C" w:rsidRDefault="008E26B8" w:rsidP="00E50F9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aparat do hemofiltracji żylno-żylnej lub hemodializy,</w:t>
      </w:r>
    </w:p>
    <w:p w14:paraId="0BE3E013" w14:textId="77777777" w:rsidR="00E50F9C" w:rsidRPr="00E50F9C" w:rsidRDefault="008E26B8" w:rsidP="00E50F9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>aparat do echokardiografii serca.</w:t>
      </w:r>
    </w:p>
    <w:p w14:paraId="4017FFC9" w14:textId="77777777" w:rsidR="00E50F9C" w:rsidRPr="00E50F9C" w:rsidRDefault="002E1DC7" w:rsidP="00E50F9C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73BC9569" w14:textId="77777777" w:rsidR="00E50F9C" w:rsidRPr="00207057" w:rsidRDefault="008E26B8" w:rsidP="00207057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E50F9C">
        <w:rPr>
          <w:rFonts w:ascii="Arial" w:hAnsi="Arial"/>
        </w:rPr>
        <w:t xml:space="preserve">Odnosząc się zatem do postulatów w zakresie wyposażenia stanowisk, łóżek i sal, należy zauważyć, że obecne wymagania zaprojektowane zostały każdorazowo przy współpracy ekspertów z danej dziedziny medycyny a także w drodze zgłaszania uwag do projektów rozporządzeń w procesie legislacyjnym w trybie konsultacji publicznych. Należy także podkreślić, że wymagania, które podano za przykład stanowią tylko wymagania podstawowe, świadczeniodawca winien je spełnić. Warunki realizacji świadczeń w tym także wymagania dotyczące wyposażenia w sprzęt i aparaturę zawsze mogą zostać podwyższone przez świadczeniodawcę.  </w:t>
      </w:r>
    </w:p>
    <w:p w14:paraId="24BCE3B8" w14:textId="77777777" w:rsidR="00F825BD" w:rsidRPr="00C7058A" w:rsidRDefault="008E26B8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7D78C602" w14:textId="77777777" w:rsidR="00F825BD" w:rsidRDefault="002E1DC7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1D513576" w14:textId="77777777" w:rsidR="00F825BD" w:rsidRDefault="008E26B8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2" w:name="ezdPracownikNazwa"/>
      <w:r>
        <w:t>Dominika Janiszewska-Kajka</w:t>
      </w:r>
      <w:bookmarkEnd w:id="2"/>
      <w:r>
        <w:t xml:space="preserve"> </w:t>
      </w:r>
    </w:p>
    <w:p w14:paraId="4F7CB7B9" w14:textId="77777777" w:rsidR="00F825BD" w:rsidRDefault="008E26B8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3" w:name="ezdPracownikStanowisko"/>
      <w:r>
        <w:t>Zastępca Dyrektora</w:t>
      </w:r>
      <w:bookmarkEnd w:id="3"/>
      <w:r>
        <w:t xml:space="preserve"> </w:t>
      </w:r>
    </w:p>
    <w:p w14:paraId="7EA11576" w14:textId="77777777" w:rsidR="00F825BD" w:rsidRDefault="008E26B8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/dokument podpisany elektronicznie/</w:t>
      </w:r>
    </w:p>
    <w:p w14:paraId="04C1473B" w14:textId="77777777" w:rsidR="00F825BD" w:rsidRDefault="002E1DC7" w:rsidP="00F825BD">
      <w:pPr>
        <w:pStyle w:val="pismamz"/>
        <w:tabs>
          <w:tab w:val="left" w:pos="5400"/>
        </w:tabs>
        <w:spacing w:before="1120"/>
      </w:pPr>
    </w:p>
    <w:p w14:paraId="05D6638D" w14:textId="77777777" w:rsidR="00F825BD" w:rsidRDefault="002E1DC7" w:rsidP="00F825BD">
      <w:pPr>
        <w:pStyle w:val="pismamz"/>
        <w:tabs>
          <w:tab w:val="left" w:pos="5400"/>
        </w:tabs>
        <w:spacing w:before="1120"/>
      </w:pPr>
    </w:p>
    <w:p w14:paraId="0CB5C5C8" w14:textId="77777777" w:rsidR="0056537B" w:rsidRPr="00F825BD" w:rsidRDefault="002E1DC7" w:rsidP="00F825BD"/>
    <w:sectPr w:rsidR="0056537B" w:rsidRPr="00F825BD" w:rsidSect="00D26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10086" w14:textId="77777777" w:rsidR="002E1DC7" w:rsidRDefault="002E1DC7">
      <w:pPr>
        <w:spacing w:after="0" w:line="240" w:lineRule="auto"/>
      </w:pPr>
      <w:r>
        <w:separator/>
      </w:r>
    </w:p>
  </w:endnote>
  <w:endnote w:type="continuationSeparator" w:id="0">
    <w:p w14:paraId="6D4A11E5" w14:textId="77777777" w:rsidR="002E1DC7" w:rsidRDefault="002E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35A6F2C7-715F-4E34-B255-429EB5569AD4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B3A7E415-E64B-49EA-B0A4-81332F8479A2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D530D" w14:textId="77777777" w:rsidR="0056537B" w:rsidRDefault="008E26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0A7CDA7" w14:textId="77777777" w:rsidR="0043063F" w:rsidRDefault="002E1D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CC42" w14:textId="77777777" w:rsidR="0056537B" w:rsidRDefault="008E26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A96F6D0" w14:textId="77777777" w:rsidR="0043063F" w:rsidRDefault="002E1D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873294" w14:paraId="7F18EE9F" w14:textId="77777777" w:rsidTr="00FB0327">
      <w:tc>
        <w:tcPr>
          <w:tcW w:w="1724" w:type="dxa"/>
        </w:tcPr>
        <w:p w14:paraId="0D832D47" w14:textId="77777777" w:rsidR="0077280E" w:rsidRPr="00FB0327" w:rsidRDefault="008E26B8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564A38B9" wp14:editId="786EF17D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7C6CBECD" w14:textId="77777777" w:rsidR="0077280E" w:rsidRPr="00FB0327" w:rsidRDefault="008E26B8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72E0BFA5" w14:textId="77777777" w:rsidR="0077280E" w:rsidRPr="00FB0327" w:rsidRDefault="008E26B8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332522D7" w14:textId="77777777" w:rsidR="0077280E" w:rsidRPr="00FB0327" w:rsidRDefault="008E26B8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6" w:name="ezdAutorWydzialAtrybut3"/>
          <w:r>
            <w:rPr>
              <w:rFonts w:ascii="Arial" w:hAnsi="Arial" w:cs="Arial"/>
              <w:sz w:val="16"/>
              <w:szCs w:val="16"/>
            </w:rPr>
            <w:t>+48 22 530 02 84</w:t>
          </w:r>
          <w:bookmarkEnd w:id="6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32B65C5C" w14:textId="77777777" w:rsidR="0077280E" w:rsidRDefault="008E26B8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33331E9" wp14:editId="6E0E87E4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19020F7D" w14:textId="77777777" w:rsidR="0077280E" w:rsidRDefault="008E26B8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802446" wp14:editId="54FC6161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873D26" w14:textId="77777777" w:rsidR="009075DC" w:rsidRPr="00237FAA" w:rsidRDefault="008E26B8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713098CE" wp14:editId="70631D7B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B1548" w14:textId="77777777" w:rsidR="002E1DC7" w:rsidRDefault="002E1DC7">
      <w:pPr>
        <w:spacing w:after="0" w:line="240" w:lineRule="auto"/>
      </w:pPr>
      <w:r>
        <w:separator/>
      </w:r>
    </w:p>
  </w:footnote>
  <w:footnote w:type="continuationSeparator" w:id="0">
    <w:p w14:paraId="317C1FBF" w14:textId="77777777" w:rsidR="002E1DC7" w:rsidRDefault="002E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83C6D" w14:textId="77777777" w:rsidR="0013322B" w:rsidRDefault="002E1D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A3229" w14:textId="77777777" w:rsidR="0013322B" w:rsidRDefault="002E1D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BB267" w14:textId="77777777" w:rsidR="009075DC" w:rsidRDefault="008E26B8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38F29F" wp14:editId="7AC0A024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6EE142" w14:textId="77777777" w:rsidR="00D83080" w:rsidRPr="009D0302" w:rsidRDefault="008E26B8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4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4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5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Lecznictwa</w:t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48pt;margin-left:-8.55pt;margin-top:93.7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width:252.75pt;z-index:-251657216" fillcolor="white" stroked="f" strokeweight="0.5pt">
              <v:textbox>
                <w:txbxContent>
                  <w:p w:rsidR="00D83080" w:rsidRPr="009D0302" w:rsidP="00631CDA">
                    <w:pPr>
                      <w:pStyle w:val="Header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4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4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5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Lecznictwa</w:t>
                    </w:r>
                    <w:bookmarkEnd w:id="5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ACC71E0" wp14:editId="20396E53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555"/>
    <w:multiLevelType w:val="hybridMultilevel"/>
    <w:tmpl w:val="CC904418"/>
    <w:lvl w:ilvl="0" w:tplc="3F029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A4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02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21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B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C4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6D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1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E3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213"/>
    <w:multiLevelType w:val="hybridMultilevel"/>
    <w:tmpl w:val="1B6C449C"/>
    <w:lvl w:ilvl="0" w:tplc="45A6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61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6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A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1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25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69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E0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94"/>
    <w:rsid w:val="002E1DC7"/>
    <w:rsid w:val="00873294"/>
    <w:rsid w:val="008E26B8"/>
    <w:rsid w:val="00AD4546"/>
    <w:rsid w:val="00D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42DD"/>
  <w15:docId w15:val="{91A9CC9E-DA76-4250-BA46-448B9AAF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3</cp:revision>
  <cp:lastPrinted>2014-08-13T05:54:00Z</cp:lastPrinted>
  <dcterms:created xsi:type="dcterms:W3CDTF">2021-04-12T13:49:00Z</dcterms:created>
  <dcterms:modified xsi:type="dcterms:W3CDTF">2021-04-12T14:00:00Z</dcterms:modified>
</cp:coreProperties>
</file>