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19" w:rsidRPr="00B41419" w:rsidRDefault="00B41419" w:rsidP="00F06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419">
        <w:rPr>
          <w:rFonts w:ascii="Times New Roman" w:eastAsia="Times New Roman" w:hAnsi="Times New Roman" w:cs="Times New Roman"/>
          <w:b/>
          <w:sz w:val="24"/>
          <w:szCs w:val="24"/>
        </w:rPr>
        <w:t xml:space="preserve">Opis istotnych zagadnień dla Komisji Kwalifikacyjnej do zadania polegającego </w:t>
      </w:r>
      <w:r w:rsidR="002C04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B41419">
        <w:rPr>
          <w:rFonts w:ascii="Times New Roman" w:eastAsia="Times New Roman" w:hAnsi="Times New Roman" w:cs="Times New Roman"/>
          <w:b/>
          <w:sz w:val="24"/>
          <w:szCs w:val="24"/>
        </w:rPr>
        <w:t>na opracowaniu drugiego projektu aktu notarialnego</w:t>
      </w:r>
    </w:p>
    <w:p w:rsidR="00B41419" w:rsidRPr="00B41419" w:rsidRDefault="00C11FF0" w:rsidP="00F06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dniu 9 września 2015</w:t>
      </w:r>
      <w:r w:rsidR="00B41419" w:rsidRPr="00B41419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B41419" w:rsidRPr="00B41419" w:rsidRDefault="00B41419" w:rsidP="00F06A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86794" w:rsidRDefault="00786794" w:rsidP="00786794">
      <w:pPr>
        <w:pStyle w:val="Default"/>
      </w:pPr>
    </w:p>
    <w:p w:rsidR="00786794" w:rsidRDefault="00786794" w:rsidP="00786794">
      <w:pPr>
        <w:pStyle w:val="Default"/>
        <w:rPr>
          <w:sz w:val="23"/>
          <w:szCs w:val="23"/>
        </w:rPr>
      </w:pPr>
    </w:p>
    <w:p w:rsidR="00786794" w:rsidRDefault="00786794" w:rsidP="00786794">
      <w:pPr>
        <w:pStyle w:val="Default"/>
        <w:spacing w:line="360" w:lineRule="auto"/>
        <w:jc w:val="both"/>
      </w:pPr>
      <w:r>
        <w:t xml:space="preserve">           </w:t>
      </w:r>
      <w:r w:rsidRPr="0019175D">
        <w:t xml:space="preserve">W ocenie </w:t>
      </w:r>
      <w:r w:rsidRPr="0019175D">
        <w:rPr>
          <w:iCs/>
        </w:rPr>
        <w:t xml:space="preserve">Zespołu do przygotowania zadań na egzamin notarialny, </w:t>
      </w:r>
      <w:r w:rsidRPr="0019175D">
        <w:t xml:space="preserve">zdający powinien </w:t>
      </w:r>
      <w:r w:rsidR="00616A49">
        <w:t xml:space="preserve"> </w:t>
      </w:r>
      <w:r w:rsidRPr="0019175D">
        <w:t>w projekcie aktu notarialnego zwrócić uwagę w szczególno</w:t>
      </w:r>
      <w:r w:rsidR="0054481D">
        <w:t>ści na następujące zagadnienia:</w:t>
      </w:r>
      <w:bookmarkStart w:id="0" w:name="_GoBack"/>
      <w:bookmarkEnd w:id="0"/>
    </w:p>
    <w:p w:rsidR="0019175D" w:rsidRPr="0019175D" w:rsidRDefault="0019175D" w:rsidP="00786794">
      <w:pPr>
        <w:pStyle w:val="Default"/>
        <w:spacing w:line="360" w:lineRule="auto"/>
        <w:jc w:val="both"/>
      </w:pPr>
    </w:p>
    <w:p w:rsidR="00D9746B" w:rsidRDefault="00786794" w:rsidP="00786794">
      <w:pPr>
        <w:pStyle w:val="Default"/>
        <w:spacing w:line="360" w:lineRule="auto"/>
        <w:jc w:val="both"/>
      </w:pPr>
      <w:r>
        <w:t xml:space="preserve">           Zdający powinien wykazać się umiejętnością (1) sporządzenia statutu spółki komandytowo - akcyjnej, (2) wraz z umiejętnością prawidłowego zapisu w niej wszelkich wskazanych klauzul, (3) prawidłowym rozwiązaniem reprezentacji osób zawierających umowę oraz (4) prawidłowym naliczeniem wynagrodzenia notariusza i podatków. </w:t>
      </w:r>
    </w:p>
    <w:p w:rsidR="00F80E60" w:rsidRPr="00D9746B" w:rsidRDefault="00D9746B" w:rsidP="00D974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46B">
        <w:rPr>
          <w:rFonts w:ascii="Times New Roman" w:hAnsi="Times New Roman" w:cs="Times New Roman"/>
          <w:sz w:val="24"/>
          <w:szCs w:val="24"/>
        </w:rPr>
        <w:t xml:space="preserve">Projekt aktu notarialnego winien być sporządzony zgodnie z ustawą z dnia 14 lutego 1991 r. – Prawo o notariacie (Dz. U. z 2014 r., poz. 164 z </w:t>
      </w:r>
      <w:proofErr w:type="spellStart"/>
      <w:r w:rsidRPr="00D974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9746B">
        <w:rPr>
          <w:rFonts w:ascii="Times New Roman" w:hAnsi="Times New Roman" w:cs="Times New Roman"/>
          <w:sz w:val="24"/>
          <w:szCs w:val="24"/>
        </w:rPr>
        <w:t>. zm.), w tym art. 3,  a</w:t>
      </w:r>
      <w:r>
        <w:rPr>
          <w:rFonts w:ascii="Times New Roman" w:hAnsi="Times New Roman" w:cs="Times New Roman"/>
          <w:sz w:val="24"/>
          <w:szCs w:val="24"/>
        </w:rPr>
        <w:t xml:space="preserve">rt. 7, </w:t>
      </w:r>
      <w:r w:rsidR="00A2619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art. 80, art. 85</w:t>
      </w:r>
      <w:r w:rsidRPr="00D9746B">
        <w:rPr>
          <w:rFonts w:ascii="Times New Roman" w:hAnsi="Times New Roman" w:cs="Times New Roman"/>
          <w:sz w:val="24"/>
          <w:szCs w:val="24"/>
        </w:rPr>
        <w:t>, art. 92 i art. 94.</w:t>
      </w:r>
    </w:p>
    <w:p w:rsidR="00B03F13" w:rsidRDefault="00786794" w:rsidP="00B03F13">
      <w:pPr>
        <w:pStyle w:val="Default"/>
        <w:spacing w:line="360" w:lineRule="auto"/>
        <w:jc w:val="both"/>
      </w:pPr>
      <w:r>
        <w:t xml:space="preserve">           </w:t>
      </w:r>
      <w:r w:rsidR="0080269A">
        <w:t>Przy rozwiązywaniu zadania mogą pojawić się</w:t>
      </w:r>
      <w:r>
        <w:t xml:space="preserve"> </w:t>
      </w:r>
      <w:r w:rsidR="0080269A">
        <w:t xml:space="preserve">następujące </w:t>
      </w:r>
      <w:r w:rsidR="00A333F0">
        <w:t>zagadnienia:</w:t>
      </w:r>
    </w:p>
    <w:p w:rsidR="00786794" w:rsidRDefault="00786794" w:rsidP="00B03F13">
      <w:pPr>
        <w:pStyle w:val="Default"/>
        <w:numPr>
          <w:ilvl w:val="0"/>
          <w:numId w:val="8"/>
        </w:numPr>
        <w:spacing w:line="360" w:lineRule="auto"/>
        <w:jc w:val="both"/>
      </w:pPr>
      <w:r>
        <w:t>w związku ze wskazaniem wysokości kapitału zakładowego zdający powinien:</w:t>
      </w:r>
    </w:p>
    <w:p w:rsidR="00786794" w:rsidRDefault="00786794" w:rsidP="00B03F13">
      <w:pPr>
        <w:pStyle w:val="Default"/>
        <w:spacing w:line="360" w:lineRule="auto"/>
        <w:ind w:left="993" w:hanging="284"/>
        <w:jc w:val="both"/>
      </w:pPr>
      <w:r w:rsidRPr="00A333F0">
        <w:t>- określić w umowie nie tylko jego wskazaną wysokość, ale również dokonać zaliczenia nadwyżki na kapitał zapasowy;</w:t>
      </w:r>
    </w:p>
    <w:p w:rsidR="00786794" w:rsidRDefault="00786794" w:rsidP="00B03F13">
      <w:pPr>
        <w:pStyle w:val="Default"/>
        <w:spacing w:line="360" w:lineRule="auto"/>
        <w:ind w:left="993" w:hanging="284"/>
        <w:jc w:val="both"/>
      </w:pPr>
      <w:r>
        <w:t xml:space="preserve">- określić zobowiązanie do wniesienia wkładu niepieniężnego, bowiem wskazano </w:t>
      </w:r>
      <w:r w:rsidR="00B03F13">
        <w:t xml:space="preserve">              </w:t>
      </w:r>
      <w:r>
        <w:t>w zadaniu, iż wkład ten ma być wniesiony w przyszłości, przy czym z uwa</w:t>
      </w:r>
      <w:r w:rsidR="00B03F13">
        <w:t xml:space="preserve">gi na treść art. 431 § 3 </w:t>
      </w:r>
      <w:proofErr w:type="spellStart"/>
      <w:r w:rsidR="00B03F13">
        <w:t>k.s.h</w:t>
      </w:r>
      <w:proofErr w:type="spellEnd"/>
      <w:r w:rsidR="00B03F13">
        <w:t xml:space="preserve">. </w:t>
      </w:r>
      <w:r>
        <w:t>i wskazany zamiar podwyższenia kapitału zak</w:t>
      </w:r>
      <w:r w:rsidR="00A333F0">
        <w:t xml:space="preserve">ładowego </w:t>
      </w:r>
      <w:r w:rsidR="00523837">
        <w:t xml:space="preserve">             </w:t>
      </w:r>
      <w:r w:rsidR="00A333F0">
        <w:t>do dnia 30 czerwca 2016</w:t>
      </w:r>
      <w:r>
        <w:t xml:space="preserve"> r. do tej daty najpóźniej powinno nastąpić wniesienie wkładu niepieniężnego;</w:t>
      </w:r>
    </w:p>
    <w:p w:rsidR="00786794" w:rsidRDefault="00786794" w:rsidP="00B03F13">
      <w:pPr>
        <w:pStyle w:val="Default"/>
        <w:spacing w:line="360" w:lineRule="auto"/>
        <w:ind w:left="851" w:hanging="142"/>
        <w:jc w:val="both"/>
      </w:pPr>
      <w:r>
        <w:t xml:space="preserve">- </w:t>
      </w:r>
      <w:r w:rsidR="00A333F0">
        <w:t xml:space="preserve">przy określeniu zobowiązania </w:t>
      </w:r>
      <w:r>
        <w:t>do wniesienia wł</w:t>
      </w:r>
      <w:r w:rsidR="00B03F13">
        <w:t xml:space="preserve">asności nieruchomości do spółki  </w:t>
      </w:r>
      <w:r w:rsidR="00A333F0">
        <w:t>dokonać jej opisu</w:t>
      </w:r>
      <w:r>
        <w:t>;</w:t>
      </w:r>
    </w:p>
    <w:p w:rsidR="00786794" w:rsidRDefault="00786794" w:rsidP="00B03F13">
      <w:pPr>
        <w:pStyle w:val="Default"/>
        <w:spacing w:line="360" w:lineRule="auto"/>
        <w:ind w:left="993" w:hanging="284"/>
        <w:jc w:val="both"/>
      </w:pPr>
      <w:r>
        <w:t>- określić minimalną wartość wkładów pieniężnych jak</w:t>
      </w:r>
      <w:r w:rsidR="00995712">
        <w:t>a</w:t>
      </w:r>
      <w:r>
        <w:t xml:space="preserve"> ma być wnies</w:t>
      </w:r>
      <w:r w:rsidR="00995712">
        <w:t xml:space="preserve">iona przy sporządzeniu statutu oraz w pozostałej części do dnia </w:t>
      </w:r>
      <w:r>
        <w:t xml:space="preserve">31 grudnia 2015 r. Z uwagi na treść art. 309 § 3 i 4 </w:t>
      </w:r>
      <w:proofErr w:type="spellStart"/>
      <w:r>
        <w:t>k.s.h</w:t>
      </w:r>
      <w:proofErr w:type="spellEnd"/>
      <w:r>
        <w:t xml:space="preserve">. powinno nastąpić pokrycie co najmniej </w:t>
      </w:r>
      <w:r w:rsidR="00EC3941">
        <w:t xml:space="preserve">                         </w:t>
      </w:r>
      <w:r>
        <w:t xml:space="preserve">100.000 złotych wartości </w:t>
      </w:r>
      <w:r w:rsidR="00995712">
        <w:t>kapitału przy zawiązaniu spółki,</w:t>
      </w:r>
    </w:p>
    <w:p w:rsidR="00786794" w:rsidRDefault="00786794" w:rsidP="00995712">
      <w:pPr>
        <w:pStyle w:val="Default"/>
        <w:numPr>
          <w:ilvl w:val="0"/>
          <w:numId w:val="8"/>
        </w:numPr>
        <w:spacing w:line="360" w:lineRule="auto"/>
        <w:jc w:val="both"/>
      </w:pPr>
      <w:r>
        <w:t>zdający powinien określić również wkłady wnoszone przez komplementariuszy,</w:t>
      </w:r>
    </w:p>
    <w:p w:rsidR="00786794" w:rsidRDefault="00786794" w:rsidP="00995712">
      <w:pPr>
        <w:pStyle w:val="Default"/>
        <w:numPr>
          <w:ilvl w:val="0"/>
          <w:numId w:val="8"/>
        </w:numPr>
        <w:spacing w:line="360" w:lineRule="auto"/>
        <w:jc w:val="both"/>
      </w:pPr>
      <w:r>
        <w:t>w zadaniu wskazano, iż w firmie spółki ma znaleźć się określenie fantazyjne</w:t>
      </w:r>
      <w:r w:rsidR="00995712">
        <w:t xml:space="preserve">. Nie  </w:t>
      </w:r>
      <w:r>
        <w:t>wyłącza</w:t>
      </w:r>
      <w:r w:rsidR="00995712">
        <w:t xml:space="preserve"> to jednak</w:t>
      </w:r>
      <w:r>
        <w:t xml:space="preserve"> potrzeby zawarcia w firmie oznaczenia komplementariuszy</w:t>
      </w:r>
      <w:r w:rsidR="00995712">
        <w:t>,</w:t>
      </w:r>
      <w:r>
        <w:t xml:space="preserve"> </w:t>
      </w:r>
      <w:r>
        <w:lastRenderedPageBreak/>
        <w:t>zgo</w:t>
      </w:r>
      <w:r w:rsidR="00B03F13">
        <w:t xml:space="preserve">dnie z art. 127 § 1 </w:t>
      </w:r>
      <w:r w:rsidR="00995712">
        <w:t xml:space="preserve">i 3 </w:t>
      </w:r>
      <w:proofErr w:type="spellStart"/>
      <w:r w:rsidR="00995712">
        <w:t>k.s.h</w:t>
      </w:r>
      <w:proofErr w:type="spellEnd"/>
      <w:r w:rsidR="00995712">
        <w:t xml:space="preserve">. </w:t>
      </w:r>
      <w:r>
        <w:t>Wskazanie, iż założyciele przewidują wyłącznie odpowiedzialność komplementariuszy</w:t>
      </w:r>
      <w:r w:rsidR="00995712">
        <w:t>,</w:t>
      </w:r>
      <w:r>
        <w:t xml:space="preserve"> stoi na przeszkodzie zamieszczeniu w firmie nazwisk akcjonariuszy, konsekwencją bowiem – zgodnie z art. 127 § 4 </w:t>
      </w:r>
      <w:proofErr w:type="spellStart"/>
      <w:r>
        <w:t>k.s.h</w:t>
      </w:r>
      <w:proofErr w:type="spellEnd"/>
      <w:r>
        <w:t xml:space="preserve">. – byłaby ich odpowiedzialność osobista,  </w:t>
      </w:r>
    </w:p>
    <w:p w:rsidR="00786794" w:rsidRDefault="00786794" w:rsidP="00995712">
      <w:pPr>
        <w:pStyle w:val="Default"/>
        <w:numPr>
          <w:ilvl w:val="0"/>
          <w:numId w:val="8"/>
        </w:numPr>
        <w:spacing w:line="360" w:lineRule="auto"/>
        <w:jc w:val="both"/>
      </w:pPr>
      <w:r>
        <w:t>z uwagi na fakt, iż reprezentujący spółkę z o.o. BETA członkowie zarządu są również stronami czynności spółka ta musi być reprezentowana przez radę nadzorczą lub pełnomocnika powołanego uchwałą zgromadzenia wspólników</w:t>
      </w:r>
      <w:r w:rsidR="00995712">
        <w:t xml:space="preserve">, która może być </w:t>
      </w:r>
      <w:r w:rsidR="00F80E60">
        <w:t>udokumentowana także</w:t>
      </w:r>
      <w:r w:rsidR="00995712">
        <w:t xml:space="preserve"> w zwykłej formie pisemnej</w:t>
      </w:r>
      <w:r>
        <w:t xml:space="preserve"> (art. 210 §</w:t>
      </w:r>
      <w:r w:rsidR="00995712">
        <w:t xml:space="preserve"> </w:t>
      </w:r>
      <w:r>
        <w:t xml:space="preserve">1 </w:t>
      </w:r>
      <w:proofErr w:type="spellStart"/>
      <w:r>
        <w:t>k.s.h</w:t>
      </w:r>
      <w:proofErr w:type="spellEnd"/>
      <w:r>
        <w:t>.),</w:t>
      </w:r>
    </w:p>
    <w:p w:rsidR="00786794" w:rsidRDefault="00786794" w:rsidP="00995712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ograniczenie zbywalności akcji poprzez zakaz ich zbywania przez maksymalny możliwy okres czasu wymaga uwzględnienia regulacji art. 338 </w:t>
      </w:r>
      <w:proofErr w:type="spellStart"/>
      <w:r>
        <w:t>k.s.h</w:t>
      </w:r>
      <w:proofErr w:type="spellEnd"/>
      <w:r>
        <w:t xml:space="preserve">. (w zw. z art. 126 § 1 pkt 2 </w:t>
      </w:r>
      <w:proofErr w:type="spellStart"/>
      <w:r>
        <w:t>k.s.h</w:t>
      </w:r>
      <w:proofErr w:type="spellEnd"/>
      <w:r>
        <w:t>.),</w:t>
      </w:r>
    </w:p>
    <w:p w:rsidR="00B03F13" w:rsidRDefault="00786794" w:rsidP="00B03F13">
      <w:pPr>
        <w:pStyle w:val="Default"/>
        <w:numPr>
          <w:ilvl w:val="0"/>
          <w:numId w:val="8"/>
        </w:numPr>
        <w:spacing w:line="360" w:lineRule="auto"/>
        <w:jc w:val="both"/>
      </w:pPr>
      <w:r w:rsidRPr="00A56BB1">
        <w:t>polecenie wskazuje na konieczność sporządzenia aktu notarialnego zawiązującego spółkę komandytowo</w:t>
      </w:r>
      <w:r w:rsidR="00F80E60" w:rsidRPr="00A56BB1">
        <w:t xml:space="preserve"> </w:t>
      </w:r>
      <w:r w:rsidRPr="00A56BB1">
        <w:t>-</w:t>
      </w:r>
      <w:r w:rsidR="00F80E60" w:rsidRPr="00A56BB1">
        <w:t xml:space="preserve"> </w:t>
      </w:r>
      <w:r w:rsidRPr="00A56BB1">
        <w:t xml:space="preserve">akcyjną w tym </w:t>
      </w:r>
      <w:r w:rsidRPr="00B03F13">
        <w:rPr>
          <w:b/>
        </w:rPr>
        <w:t>statut spółki</w:t>
      </w:r>
      <w:r w:rsidRPr="00A56BB1">
        <w:t>, co</w:t>
      </w:r>
      <w:r>
        <w:t xml:space="preserve"> oznacza również konieczność zawarcia oświadczeń o za</w:t>
      </w:r>
      <w:r w:rsidR="00A56BB1">
        <w:t>wiązaniu spółki i objęciu akcji.</w:t>
      </w:r>
    </w:p>
    <w:p w:rsidR="000C639A" w:rsidRDefault="000C639A" w:rsidP="000C639A">
      <w:pPr>
        <w:pStyle w:val="Default"/>
        <w:spacing w:line="360" w:lineRule="auto"/>
        <w:ind w:firstLine="708"/>
        <w:jc w:val="both"/>
      </w:pPr>
      <w:r>
        <w:t>Wydaje się zasadne zwrócenie uwagi na opis przedmiotu działania spółki. Nie ma bezwzględnego obowiązku zapisu przedmiotu działania z uwzględnieniem kodów Polskiej Klasyfikacji Działalności, tak więc nie można wymagać dokonania takiego opisu i jego braku oceniać negatywnie. Gdyby pojawił się opis przedmiotu działania z uwzględnieniem przedmiotu PKD, to w ocenie zespołu nie jest bezwzględnym wymogiem opisanie go na poziomie podklasy klasyfikacji PKD, a wystarczającym jest opisanie go przez użycie np. działu czy grupy.</w:t>
      </w:r>
    </w:p>
    <w:p w:rsidR="007C76E3" w:rsidRDefault="007C76E3" w:rsidP="007C76E3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W zakresie określenia podstawy opodatkowania podatkiem od czynności cywilnoprawnych najwłaściwsze wydaje się przyjęcie, że podstawę opodatkowania określać będzie wartość wkładów komplementariuszy i wartość kapitału zakładowego (wyrok NSA </w:t>
      </w:r>
      <w:r w:rsidR="00EC3941">
        <w:rPr>
          <w:color w:val="auto"/>
        </w:rPr>
        <w:t xml:space="preserve">                   </w:t>
      </w:r>
      <w:r>
        <w:rPr>
          <w:color w:val="auto"/>
        </w:rPr>
        <w:t>z dnia 12 grudnia 2012 r.,  II FSK 840/11, ONSA i WSA 2014, nr 1, poz. 14).</w:t>
      </w:r>
    </w:p>
    <w:p w:rsidR="007C76E3" w:rsidRDefault="007C76E3" w:rsidP="007C76E3">
      <w:pPr>
        <w:pStyle w:val="Default"/>
        <w:spacing w:line="360" w:lineRule="auto"/>
        <w:ind w:firstLine="708"/>
        <w:jc w:val="both"/>
      </w:pPr>
      <w:r>
        <w:t>Oprócz wskazanego rozwiązania nie można jednak wykluczyć również innych rozwiązań, mających swoje oparcie w interpretacjach Izb Skarbowych czy innych orzeczeniach, które zatem na potrzeby egzaminu powinny być uznane za dopuszczalne, tj:</w:t>
      </w:r>
    </w:p>
    <w:p w:rsidR="007C76E3" w:rsidRDefault="007C76E3" w:rsidP="007C76E3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pierwsze, w którym podstawę opodatkowania określać będzie wartość wkładów komplementariuszy (art. 1 ust. 2 pkt 1, art. 1 a pkt 1, art. 6 ust. 1 pkt 8 lit.  a                        </w:t>
      </w:r>
      <w:r>
        <w:t>ustawy  z  dnia  9  września  2000  r.  o  podatku  od  czynności  cywilnoprawnych  - Dz.  U.  z  2015  r.,  poz.  626</w:t>
      </w:r>
      <w:r>
        <w:rPr>
          <w:color w:val="auto"/>
        </w:rPr>
        <w:t xml:space="preserve"> – stanowisko takie zajął Wojewódzki Sąd Administracyjny w Łodzi w wyroku z dnia 25 listopada 2010 r., I SA/</w:t>
      </w:r>
      <w:proofErr w:type="spellStart"/>
      <w:r>
        <w:rPr>
          <w:color w:val="auto"/>
        </w:rPr>
        <w:t>Łd</w:t>
      </w:r>
      <w:proofErr w:type="spellEnd"/>
      <w:r>
        <w:rPr>
          <w:color w:val="auto"/>
        </w:rPr>
        <w:t xml:space="preserve"> 842/10);</w:t>
      </w:r>
    </w:p>
    <w:p w:rsidR="007C76E3" w:rsidRDefault="007C76E3" w:rsidP="007C76E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drugie, w którym podstawę opodatkowania określać będzie wartość wkładów komplementariuszy oraz wartość wkładów akcjonariuszy. Stanowisko takie znajduje swoje uzasadnienie np. w interpretacji indywidualnej wydanej przez Izbę Skarbową </w:t>
      </w:r>
      <w:r w:rsidR="00EC39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Łodzi pismem z dnia 27 listopada 2012 r. pod sygnaturą IPTPB2/436-146/12-4/TS</w:t>
      </w:r>
      <w:r w:rsidR="00715668">
        <w:rPr>
          <w:rFonts w:ascii="Times New Roman" w:hAnsi="Times New Roman"/>
          <w:sz w:val="24"/>
          <w:szCs w:val="24"/>
        </w:rPr>
        <w:t>, w której wskazano, że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i/>
          <w:sz w:val="24"/>
          <w:szCs w:val="24"/>
        </w:rPr>
        <w:t>mając na względzie, iż spółka komandytowo-akcyjna jest spółką osobową, podstawę opodatkowania stanowi więc suma wartości wszystkich wkładów zwiększających majątek spółki</w:t>
      </w:r>
      <w:r w:rsidR="00537CAD">
        <w:rPr>
          <w:rFonts w:ascii="Times New Roman" w:hAnsi="Times New Roman"/>
          <w:sz w:val="24"/>
          <w:szCs w:val="24"/>
        </w:rPr>
        <w:t>”;</w:t>
      </w:r>
    </w:p>
    <w:p w:rsidR="007C76E3" w:rsidRDefault="007C76E3" w:rsidP="007C76E3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>trzecie, w którym podstawę opodatkowania określać będzie wartość kapitału zakładowego. Rozwiązanie to może mieć zastosowanie pr</w:t>
      </w:r>
      <w:r w:rsidR="00537CAD">
        <w:rPr>
          <w:color w:val="auto"/>
        </w:rPr>
        <w:t xml:space="preserve">zyjmując wskazany wyżej pogląd </w:t>
      </w:r>
      <w:r>
        <w:rPr>
          <w:color w:val="auto"/>
        </w:rPr>
        <w:t>WSA w Łodzi o niemożliwości łącznego opodatkowania kapitału i wkładów wspólników komplementariuszy</w:t>
      </w:r>
      <w:r w:rsidR="00715668">
        <w:rPr>
          <w:color w:val="auto"/>
        </w:rPr>
        <w:t xml:space="preserve"> </w:t>
      </w:r>
      <w:r>
        <w:rPr>
          <w:color w:val="auto"/>
        </w:rPr>
        <w:t xml:space="preserve">przy uwzględnieniu zakwalifikowania spółki komandytowo-akcyjnej w obszarze podatków od czynności cywilnoprawnych </w:t>
      </w:r>
      <w:r w:rsidR="00523837">
        <w:rPr>
          <w:color w:val="auto"/>
        </w:rPr>
        <w:t xml:space="preserve">                  </w:t>
      </w:r>
      <w:r>
        <w:rPr>
          <w:color w:val="auto"/>
        </w:rPr>
        <w:t>do grona spółek kapitałowych</w:t>
      </w:r>
      <w:r w:rsidR="00715668">
        <w:rPr>
          <w:color w:val="auto"/>
        </w:rPr>
        <w:t>,</w:t>
      </w:r>
      <w:r>
        <w:rPr>
          <w:color w:val="auto"/>
        </w:rPr>
        <w:t xml:space="preserve"> co miało miejsce na skutek wyrok TSUE z dnia </w:t>
      </w:r>
      <w:r w:rsidR="00EC3941">
        <w:rPr>
          <w:color w:val="auto"/>
        </w:rPr>
        <w:t xml:space="preserve">                       </w:t>
      </w:r>
      <w:r>
        <w:rPr>
          <w:color w:val="auto"/>
        </w:rPr>
        <w:t>22 kwietnia 2015 r. w sprawi</w:t>
      </w:r>
      <w:r w:rsidR="00537CAD">
        <w:rPr>
          <w:color w:val="auto"/>
        </w:rPr>
        <w:t>e C – 357/13 w związku z art. 2</w:t>
      </w:r>
      <w:r>
        <w:rPr>
          <w:color w:val="auto"/>
        </w:rPr>
        <w:t xml:space="preserve"> ust. 1 lit. b i c dyrektywy Rady 2008/7/WE z dnia 12 lutego 2008 r. dotyczącej podatków pośrednich </w:t>
      </w:r>
      <w:r w:rsidR="00523837">
        <w:rPr>
          <w:color w:val="auto"/>
        </w:rPr>
        <w:t xml:space="preserve">                       </w:t>
      </w:r>
      <w:r>
        <w:rPr>
          <w:color w:val="auto"/>
        </w:rPr>
        <w:t>od gromadzeni</w:t>
      </w:r>
      <w:r w:rsidR="00537CAD">
        <w:rPr>
          <w:color w:val="auto"/>
        </w:rPr>
        <w:t>a kapitału – Dz. U. L 46. s. 11</w:t>
      </w:r>
      <w:r>
        <w:rPr>
          <w:color w:val="auto"/>
        </w:rPr>
        <w:t>.</w:t>
      </w:r>
    </w:p>
    <w:p w:rsidR="00786794" w:rsidRPr="00DE5632" w:rsidRDefault="00786794" w:rsidP="00A72405">
      <w:pPr>
        <w:pStyle w:val="Default"/>
        <w:spacing w:line="360" w:lineRule="auto"/>
        <w:ind w:left="740"/>
        <w:jc w:val="both"/>
        <w:rPr>
          <w:color w:val="auto"/>
        </w:rPr>
      </w:pPr>
    </w:p>
    <w:sectPr w:rsidR="00786794" w:rsidRPr="00DE56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CC" w:rsidRDefault="00B56ACC" w:rsidP="00AD45C4">
      <w:pPr>
        <w:spacing w:after="0" w:line="240" w:lineRule="auto"/>
      </w:pPr>
      <w:r>
        <w:separator/>
      </w:r>
    </w:p>
  </w:endnote>
  <w:endnote w:type="continuationSeparator" w:id="0">
    <w:p w:rsidR="00B56ACC" w:rsidRDefault="00B56ACC" w:rsidP="00AD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481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6A4B" w:rsidRPr="00F06A4B" w:rsidRDefault="00F06A4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A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6A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6A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81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06A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45C4" w:rsidRDefault="00AD4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CC" w:rsidRDefault="00B56ACC" w:rsidP="00AD45C4">
      <w:pPr>
        <w:spacing w:after="0" w:line="240" w:lineRule="auto"/>
      </w:pPr>
      <w:r>
        <w:separator/>
      </w:r>
    </w:p>
  </w:footnote>
  <w:footnote w:type="continuationSeparator" w:id="0">
    <w:p w:rsidR="00B56ACC" w:rsidRDefault="00B56ACC" w:rsidP="00AD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1B7D"/>
    <w:multiLevelType w:val="hybridMultilevel"/>
    <w:tmpl w:val="A104C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6C8"/>
    <w:multiLevelType w:val="hybridMultilevel"/>
    <w:tmpl w:val="0CAED89A"/>
    <w:lvl w:ilvl="0" w:tplc="623AB2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B0E14"/>
    <w:multiLevelType w:val="hybridMultilevel"/>
    <w:tmpl w:val="73BA0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D4421"/>
    <w:multiLevelType w:val="hybridMultilevel"/>
    <w:tmpl w:val="3ECC8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7444"/>
    <w:multiLevelType w:val="hybridMultilevel"/>
    <w:tmpl w:val="69263F0A"/>
    <w:lvl w:ilvl="0" w:tplc="27100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8704F"/>
    <w:multiLevelType w:val="hybridMultilevel"/>
    <w:tmpl w:val="78C49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1732D"/>
    <w:multiLevelType w:val="hybridMultilevel"/>
    <w:tmpl w:val="AF640016"/>
    <w:lvl w:ilvl="0" w:tplc="BE08E7FE">
      <w:start w:val="1"/>
      <w:numFmt w:val="lowerLetter"/>
      <w:lvlText w:val="%1)"/>
      <w:lvlJc w:val="left"/>
      <w:pPr>
        <w:ind w:left="740" w:hanging="3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727FF"/>
    <w:multiLevelType w:val="hybridMultilevel"/>
    <w:tmpl w:val="6C16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42"/>
    <w:rsid w:val="000534D0"/>
    <w:rsid w:val="000574A9"/>
    <w:rsid w:val="000578E3"/>
    <w:rsid w:val="00080B67"/>
    <w:rsid w:val="00095D29"/>
    <w:rsid w:val="000A2E83"/>
    <w:rsid w:val="000C639A"/>
    <w:rsid w:val="000E24A8"/>
    <w:rsid w:val="0011518D"/>
    <w:rsid w:val="0013342C"/>
    <w:rsid w:val="001378C5"/>
    <w:rsid w:val="00163812"/>
    <w:rsid w:val="0019175D"/>
    <w:rsid w:val="00222253"/>
    <w:rsid w:val="00227868"/>
    <w:rsid w:val="002C04A5"/>
    <w:rsid w:val="002F0D1C"/>
    <w:rsid w:val="00301E94"/>
    <w:rsid w:val="003540D9"/>
    <w:rsid w:val="003A3C8F"/>
    <w:rsid w:val="003B139F"/>
    <w:rsid w:val="003F5668"/>
    <w:rsid w:val="00406814"/>
    <w:rsid w:val="00414434"/>
    <w:rsid w:val="0043027F"/>
    <w:rsid w:val="004304EE"/>
    <w:rsid w:val="00474374"/>
    <w:rsid w:val="004A6BB2"/>
    <w:rsid w:val="004C24EC"/>
    <w:rsid w:val="004E1DD4"/>
    <w:rsid w:val="00523837"/>
    <w:rsid w:val="0053524D"/>
    <w:rsid w:val="00537CAD"/>
    <w:rsid w:val="0054481D"/>
    <w:rsid w:val="0058353D"/>
    <w:rsid w:val="00616A49"/>
    <w:rsid w:val="0063104F"/>
    <w:rsid w:val="0063452F"/>
    <w:rsid w:val="00644BC2"/>
    <w:rsid w:val="006601D0"/>
    <w:rsid w:val="00673619"/>
    <w:rsid w:val="00683BF4"/>
    <w:rsid w:val="00691DC9"/>
    <w:rsid w:val="006C75A5"/>
    <w:rsid w:val="00705742"/>
    <w:rsid w:val="00715668"/>
    <w:rsid w:val="00716A2C"/>
    <w:rsid w:val="00717768"/>
    <w:rsid w:val="00742E3F"/>
    <w:rsid w:val="007625C2"/>
    <w:rsid w:val="00763F5B"/>
    <w:rsid w:val="00772238"/>
    <w:rsid w:val="00786794"/>
    <w:rsid w:val="007C76E3"/>
    <w:rsid w:val="007C787A"/>
    <w:rsid w:val="007E6E3C"/>
    <w:rsid w:val="0080269A"/>
    <w:rsid w:val="00805F04"/>
    <w:rsid w:val="00820064"/>
    <w:rsid w:val="008E045B"/>
    <w:rsid w:val="008E591B"/>
    <w:rsid w:val="008F2493"/>
    <w:rsid w:val="00995712"/>
    <w:rsid w:val="009A1078"/>
    <w:rsid w:val="00A2128F"/>
    <w:rsid w:val="00A26194"/>
    <w:rsid w:val="00A333F0"/>
    <w:rsid w:val="00A56BB1"/>
    <w:rsid w:val="00A72405"/>
    <w:rsid w:val="00A76EC3"/>
    <w:rsid w:val="00AD45C4"/>
    <w:rsid w:val="00AE204D"/>
    <w:rsid w:val="00AF1D3B"/>
    <w:rsid w:val="00B03F13"/>
    <w:rsid w:val="00B2404C"/>
    <w:rsid w:val="00B35AE6"/>
    <w:rsid w:val="00B41419"/>
    <w:rsid w:val="00B56ACC"/>
    <w:rsid w:val="00B87E22"/>
    <w:rsid w:val="00C11FF0"/>
    <w:rsid w:val="00C47EFD"/>
    <w:rsid w:val="00C65524"/>
    <w:rsid w:val="00C9120A"/>
    <w:rsid w:val="00C96008"/>
    <w:rsid w:val="00CA586A"/>
    <w:rsid w:val="00CF0B99"/>
    <w:rsid w:val="00D34A25"/>
    <w:rsid w:val="00D841FC"/>
    <w:rsid w:val="00D9746B"/>
    <w:rsid w:val="00DE5632"/>
    <w:rsid w:val="00DF6554"/>
    <w:rsid w:val="00E02511"/>
    <w:rsid w:val="00E25801"/>
    <w:rsid w:val="00E40405"/>
    <w:rsid w:val="00E67CB6"/>
    <w:rsid w:val="00EA0962"/>
    <w:rsid w:val="00EA5B78"/>
    <w:rsid w:val="00EC1EE9"/>
    <w:rsid w:val="00EC3819"/>
    <w:rsid w:val="00EC3941"/>
    <w:rsid w:val="00EF3FB0"/>
    <w:rsid w:val="00F04400"/>
    <w:rsid w:val="00F06A4B"/>
    <w:rsid w:val="00F35F9C"/>
    <w:rsid w:val="00F80E60"/>
    <w:rsid w:val="00F84479"/>
    <w:rsid w:val="00FC2BFD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5C4"/>
  </w:style>
  <w:style w:type="paragraph" w:styleId="Stopka">
    <w:name w:val="footer"/>
    <w:basedOn w:val="Normalny"/>
    <w:link w:val="Stopka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5C4"/>
  </w:style>
  <w:style w:type="paragraph" w:styleId="Tekstdymka">
    <w:name w:val="Balloon Text"/>
    <w:basedOn w:val="Normalny"/>
    <w:link w:val="TekstdymkaZnak"/>
    <w:uiPriority w:val="99"/>
    <w:semiHidden/>
    <w:unhideWhenUsed/>
    <w:rsid w:val="002F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867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5C4"/>
  </w:style>
  <w:style w:type="paragraph" w:styleId="Stopka">
    <w:name w:val="footer"/>
    <w:basedOn w:val="Normalny"/>
    <w:link w:val="Stopka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5C4"/>
  </w:style>
  <w:style w:type="paragraph" w:styleId="Tekstdymka">
    <w:name w:val="Balloon Text"/>
    <w:basedOn w:val="Normalny"/>
    <w:link w:val="TekstdymkaZnak"/>
    <w:uiPriority w:val="99"/>
    <w:semiHidden/>
    <w:unhideWhenUsed/>
    <w:rsid w:val="002F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867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 notarialny</dc:creator>
  <cp:lastModifiedBy>egzamin notarialny</cp:lastModifiedBy>
  <cp:revision>39</cp:revision>
  <cp:lastPrinted>2015-06-30T13:10:00Z</cp:lastPrinted>
  <dcterms:created xsi:type="dcterms:W3CDTF">2014-08-07T12:02:00Z</dcterms:created>
  <dcterms:modified xsi:type="dcterms:W3CDTF">2015-09-01T13:25:00Z</dcterms:modified>
</cp:coreProperties>
</file>