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431B" w14:textId="77777777" w:rsidR="00901DF4" w:rsidRDefault="00901DF4" w:rsidP="00901DF4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Załącznik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B do Zaproszenia </w:t>
      </w: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CB34530" w14:textId="77777777" w:rsidR="00901DF4" w:rsidRDefault="00901DF4" w:rsidP="00901DF4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722F4E" w14:textId="77777777" w:rsidR="00901DF4" w:rsidRPr="00CF28A5" w:rsidRDefault="00901DF4" w:rsidP="00901DF4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F28A5"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 (OPZ)</w:t>
      </w:r>
    </w:p>
    <w:p w14:paraId="0B8DC09F" w14:textId="77777777" w:rsidR="00901DF4" w:rsidRPr="00CF28A5" w:rsidRDefault="00901DF4" w:rsidP="00901DF4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58233BD9" w14:textId="77777777" w:rsidR="00901DF4" w:rsidRPr="00CF28A5" w:rsidRDefault="00901DF4" w:rsidP="00901DF4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5ABBD47D" w14:textId="77777777" w:rsidR="00901DF4" w:rsidRDefault="00901DF4" w:rsidP="00901DF4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Rozdział I. Przedmiot zamówienia</w:t>
      </w:r>
    </w:p>
    <w:p w14:paraId="72D3A563" w14:textId="77777777" w:rsidR="00901DF4" w:rsidRPr="00CF28A5" w:rsidRDefault="00901DF4" w:rsidP="00901DF4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C7CA8F9" w14:textId="77777777" w:rsidR="00901DF4" w:rsidRPr="00E262B7" w:rsidRDefault="00901DF4" w:rsidP="00901DF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Przedmiotem zamówienia jest usługa trenerska dotycząca przygotowania materiałów szkoleniowych i przeprowadzenia dwóch szkoleń dla sędziów i pracowników sądów, z zakresu stosowania prawa Unii Europejskiej w sprawach </w:t>
      </w:r>
      <w:r>
        <w:rPr>
          <w:rFonts w:ascii="Calibri" w:eastAsia="Calibri" w:hAnsi="Calibri" w:cs="Calibri"/>
          <w:sz w:val="24"/>
          <w:szCs w:val="24"/>
        </w:rPr>
        <w:t>cywilnych (doręczenia, dowody, cyfryzacja, zagadnienia przekrojowe)</w:t>
      </w:r>
      <w:r w:rsidRPr="00E262B7">
        <w:rPr>
          <w:rFonts w:ascii="Calibri" w:eastAsia="Calibri" w:hAnsi="Calibri" w:cs="Calibri"/>
          <w:sz w:val="24"/>
          <w:szCs w:val="24"/>
        </w:rPr>
        <w:t>.</w:t>
      </w:r>
    </w:p>
    <w:p w14:paraId="156B226A" w14:textId="77777777" w:rsidR="00901DF4" w:rsidRPr="00E262B7" w:rsidRDefault="00901DF4" w:rsidP="00901DF4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Zamówienie współfinansowane będzie ze środków </w:t>
      </w:r>
      <w:r w:rsidRPr="00E262B7">
        <w:rPr>
          <w:rFonts w:ascii="Calibri" w:eastAsia="Calibri" w:hAnsi="Calibri" w:cs="Calibri"/>
          <w:color w:val="000000" w:themeColor="text1"/>
          <w:sz w:val="24"/>
          <w:szCs w:val="24"/>
        </w:rPr>
        <w:t>Unii Europejskiej na potrzeby projektu pn. „Polski oddział EJN ds. cywilnych – Tworzenie sieci, szkolenie i informowanie - w celu zwiększenia użyteczności EJN na poziomie lokalnym” (akronim: „PLENTIFUL”)</w:t>
      </w:r>
    </w:p>
    <w:p w14:paraId="4A13FAB3" w14:textId="77777777" w:rsidR="00901DF4" w:rsidRPr="00E262B7" w:rsidRDefault="00901DF4" w:rsidP="00901DF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Szkolenia zostaną zrealizowane podczas spotkań z cyklu </w:t>
      </w:r>
      <w:r w:rsidRPr="00E262B7">
        <w:rPr>
          <w:rFonts w:ascii="Calibri" w:eastAsia="Calibri" w:hAnsi="Calibri" w:cs="Calibri"/>
          <w:b/>
          <w:bCs/>
          <w:i/>
          <w:iCs/>
          <w:sz w:val="24"/>
          <w:szCs w:val="24"/>
        </w:rPr>
        <w:t>„Stosowanie</w:t>
      </w:r>
      <w:r w:rsidRPr="00E262B7">
        <w:rPr>
          <w:rFonts w:ascii="Calibri" w:eastAsia="Calibri" w:hAnsi="Calibri" w:cs="Calibri"/>
          <w:sz w:val="24"/>
          <w:szCs w:val="24"/>
        </w:rPr>
        <w:t xml:space="preserve"> </w:t>
      </w:r>
      <w:r w:rsidRPr="00E262B7">
        <w:rPr>
          <w:rFonts w:ascii="Calibri" w:eastAsia="Calibri" w:hAnsi="Calibri" w:cs="Calibri"/>
          <w:b/>
          <w:bCs/>
          <w:i/>
          <w:iCs/>
          <w:sz w:val="24"/>
          <w:szCs w:val="24"/>
        </w:rPr>
        <w:t>prawa Unii Europejskiej w postępowaniu cywilnym. Spotkanie informacyjno-szkoleniowe organizowane dla sędziów i pracowników sądów, w tym członków Europejskiej Sieci Sądowej w sprawach cywilnych i handlowych”</w:t>
      </w:r>
      <w:r>
        <w:rPr>
          <w:rFonts w:ascii="Calibri" w:eastAsia="Calibri" w:hAnsi="Calibri" w:cs="Calibri"/>
          <w:sz w:val="24"/>
          <w:szCs w:val="24"/>
        </w:rPr>
        <w:t xml:space="preserve"> (dalej: „Spotkanie”)</w:t>
      </w:r>
      <w:r w:rsidRPr="00965FD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 „Edycja I – Warszawa 2026” oraz „Edycja II – Poznań 2026”.</w:t>
      </w:r>
    </w:p>
    <w:p w14:paraId="7B8575B9" w14:textId="77777777" w:rsidR="00901DF4" w:rsidRPr="00E262B7" w:rsidRDefault="00901DF4" w:rsidP="00901DF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E262B7">
        <w:rPr>
          <w:rFonts w:ascii="Calibri" w:eastAsia="Calibri" w:hAnsi="Calibri" w:cs="Calibri"/>
          <w:sz w:val="24"/>
          <w:szCs w:val="24"/>
        </w:rPr>
        <w:t xml:space="preserve">Celem szkoleń jest podniesienie kompetencji uczestników w zakresie praktycznego stosowania przepisów prawa Unii Europejskiej przy rozpoznawaniu spraw </w:t>
      </w:r>
      <w:r>
        <w:rPr>
          <w:rFonts w:ascii="Calibri" w:eastAsia="Calibri" w:hAnsi="Calibri" w:cs="Calibri"/>
          <w:sz w:val="24"/>
          <w:szCs w:val="24"/>
        </w:rPr>
        <w:t>cywilnych</w:t>
      </w:r>
      <w:r w:rsidRPr="00E262B7">
        <w:rPr>
          <w:rFonts w:ascii="Calibri" w:eastAsia="Calibri" w:hAnsi="Calibri" w:cs="Calibri"/>
          <w:sz w:val="24"/>
          <w:szCs w:val="24"/>
        </w:rPr>
        <w:t>.</w:t>
      </w:r>
    </w:p>
    <w:p w14:paraId="4A022C19" w14:textId="77777777" w:rsidR="00901DF4" w:rsidRPr="00713B0E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50629884" w14:textId="77777777" w:rsidR="00901DF4" w:rsidRPr="00F61532" w:rsidRDefault="00901DF4" w:rsidP="00901DF4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61532">
        <w:rPr>
          <w:rFonts w:ascii="Calibri" w:hAnsi="Calibri" w:cs="Calibri"/>
          <w:b/>
          <w:bCs/>
          <w:sz w:val="24"/>
          <w:szCs w:val="24"/>
        </w:rPr>
        <w:t>Rozdział II . Informacje ogólne</w:t>
      </w:r>
    </w:p>
    <w:p w14:paraId="7181ED32" w14:textId="77777777" w:rsidR="00901DF4" w:rsidRPr="00F61532" w:rsidRDefault="00901DF4" w:rsidP="00901DF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Do zadań Wykonawcy będzie należeć:</w:t>
      </w:r>
    </w:p>
    <w:p w14:paraId="207590ED" w14:textId="77777777" w:rsidR="00901DF4" w:rsidRPr="00F61532" w:rsidRDefault="00901DF4" w:rsidP="00901DF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Opracowanie program</w:t>
      </w:r>
      <w:r>
        <w:rPr>
          <w:rFonts w:ascii="Calibri" w:hAnsi="Calibri" w:cs="Calibri"/>
          <w:sz w:val="24"/>
          <w:szCs w:val="24"/>
        </w:rPr>
        <w:t>ów</w:t>
      </w:r>
      <w:r w:rsidRPr="00F61532">
        <w:rPr>
          <w:rFonts w:ascii="Calibri" w:hAnsi="Calibri" w:cs="Calibri"/>
          <w:sz w:val="24"/>
          <w:szCs w:val="24"/>
        </w:rPr>
        <w:t xml:space="preserve"> szkole</w:t>
      </w:r>
      <w:r>
        <w:rPr>
          <w:rFonts w:ascii="Calibri" w:hAnsi="Calibri" w:cs="Calibri"/>
          <w:sz w:val="24"/>
          <w:szCs w:val="24"/>
        </w:rPr>
        <w:t>ń</w:t>
      </w:r>
      <w:r w:rsidRPr="00F61532">
        <w:rPr>
          <w:rFonts w:ascii="Calibri" w:hAnsi="Calibri" w:cs="Calibri"/>
          <w:sz w:val="24"/>
          <w:szCs w:val="24"/>
        </w:rPr>
        <w:t>;</w:t>
      </w:r>
    </w:p>
    <w:p w14:paraId="59458E04" w14:textId="77777777" w:rsidR="00901DF4" w:rsidRPr="00F61532" w:rsidRDefault="00901DF4" w:rsidP="00901DF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Opracowanie materiałów szkoleniowych;</w:t>
      </w:r>
    </w:p>
    <w:p w14:paraId="5C6618F3" w14:textId="77777777" w:rsidR="00901DF4" w:rsidRPr="00F61532" w:rsidRDefault="00901DF4" w:rsidP="00901DF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przeprowadzenie szkole</w:t>
      </w:r>
      <w:r>
        <w:rPr>
          <w:rFonts w:ascii="Calibri" w:hAnsi="Calibri" w:cs="Calibri"/>
          <w:sz w:val="24"/>
          <w:szCs w:val="24"/>
        </w:rPr>
        <w:t>ń</w:t>
      </w:r>
      <w:r w:rsidRPr="00F61532">
        <w:rPr>
          <w:rFonts w:ascii="Calibri" w:hAnsi="Calibri" w:cs="Calibri"/>
          <w:sz w:val="24"/>
          <w:szCs w:val="24"/>
        </w:rPr>
        <w:t xml:space="preserve"> dla łącznie 1</w:t>
      </w:r>
      <w:r>
        <w:rPr>
          <w:rFonts w:ascii="Calibri" w:hAnsi="Calibri" w:cs="Calibri"/>
          <w:sz w:val="24"/>
          <w:szCs w:val="24"/>
        </w:rPr>
        <w:t>18</w:t>
      </w:r>
      <w:r w:rsidRPr="00F61532">
        <w:rPr>
          <w:rFonts w:ascii="Calibri" w:hAnsi="Calibri" w:cs="Calibri"/>
          <w:sz w:val="24"/>
          <w:szCs w:val="24"/>
        </w:rPr>
        <w:t xml:space="preserve"> osób:</w:t>
      </w:r>
    </w:p>
    <w:p w14:paraId="53D818E3" w14:textId="77777777" w:rsidR="00901DF4" w:rsidRPr="00F61532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>- dla</w:t>
      </w:r>
      <w:r>
        <w:rPr>
          <w:rFonts w:ascii="Calibri" w:hAnsi="Calibri" w:cs="Calibri"/>
          <w:sz w:val="24"/>
          <w:szCs w:val="24"/>
        </w:rPr>
        <w:t xml:space="preserve"> maksymalnie</w:t>
      </w:r>
      <w:r w:rsidRPr="00F6153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59</w:t>
      </w:r>
      <w:r w:rsidRPr="00F61532">
        <w:rPr>
          <w:rFonts w:ascii="Calibri" w:hAnsi="Calibri" w:cs="Calibri"/>
          <w:sz w:val="24"/>
          <w:szCs w:val="24"/>
        </w:rPr>
        <w:t xml:space="preserve"> osób </w:t>
      </w:r>
      <w:r>
        <w:rPr>
          <w:rFonts w:ascii="Calibri" w:hAnsi="Calibri" w:cs="Calibri"/>
          <w:sz w:val="24"/>
          <w:szCs w:val="24"/>
        </w:rPr>
        <w:t>w trzecim dniu S</w:t>
      </w:r>
      <w:r w:rsidRPr="00F61532">
        <w:rPr>
          <w:rFonts w:ascii="Calibri" w:hAnsi="Calibri" w:cs="Calibri"/>
          <w:sz w:val="24"/>
          <w:szCs w:val="24"/>
        </w:rPr>
        <w:t xml:space="preserve">potkania w Warszawie </w:t>
      </w:r>
      <w:r>
        <w:rPr>
          <w:rFonts w:ascii="Calibri" w:hAnsi="Calibri" w:cs="Calibri"/>
          <w:sz w:val="24"/>
          <w:szCs w:val="24"/>
        </w:rPr>
        <w:t xml:space="preserve">to jest </w:t>
      </w:r>
      <w:r w:rsidRPr="00F61532">
        <w:rPr>
          <w:rFonts w:ascii="Calibri" w:hAnsi="Calibri" w:cs="Calibri"/>
          <w:sz w:val="24"/>
          <w:szCs w:val="24"/>
        </w:rPr>
        <w:t xml:space="preserve">w dniu </w:t>
      </w:r>
      <w:r>
        <w:rPr>
          <w:rFonts w:ascii="Calibri" w:hAnsi="Calibri" w:cs="Calibri"/>
          <w:sz w:val="24"/>
          <w:szCs w:val="24"/>
        </w:rPr>
        <w:t>10</w:t>
      </w:r>
      <w:r w:rsidRPr="00F61532">
        <w:rPr>
          <w:rFonts w:ascii="Calibri" w:hAnsi="Calibri" w:cs="Calibri"/>
          <w:sz w:val="24"/>
          <w:szCs w:val="24"/>
        </w:rPr>
        <w:t xml:space="preserve"> czerwca 2026 roku;</w:t>
      </w:r>
    </w:p>
    <w:p w14:paraId="243FAAE9" w14:textId="77777777" w:rsidR="00901DF4" w:rsidRPr="00F61532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61532">
        <w:rPr>
          <w:rFonts w:ascii="Calibri" w:hAnsi="Calibri" w:cs="Calibri"/>
          <w:sz w:val="24"/>
          <w:szCs w:val="24"/>
        </w:rPr>
        <w:t xml:space="preserve">- dla </w:t>
      </w:r>
      <w:r>
        <w:rPr>
          <w:rFonts w:ascii="Calibri" w:hAnsi="Calibri" w:cs="Calibri"/>
          <w:sz w:val="24"/>
          <w:szCs w:val="24"/>
        </w:rPr>
        <w:t>maksymalnie 59</w:t>
      </w:r>
      <w:r w:rsidRPr="00F61532">
        <w:rPr>
          <w:rFonts w:ascii="Calibri" w:hAnsi="Calibri" w:cs="Calibri"/>
          <w:sz w:val="24"/>
          <w:szCs w:val="24"/>
        </w:rPr>
        <w:t xml:space="preserve"> osób </w:t>
      </w:r>
      <w:r w:rsidRPr="007774F5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trzecim</w:t>
      </w:r>
      <w:r w:rsidRPr="007774F5">
        <w:rPr>
          <w:rFonts w:ascii="Calibri" w:hAnsi="Calibri" w:cs="Calibri"/>
          <w:sz w:val="24"/>
          <w:szCs w:val="24"/>
        </w:rPr>
        <w:t xml:space="preserve"> dniu Spotkania </w:t>
      </w:r>
      <w:r w:rsidRPr="00F61532">
        <w:rPr>
          <w:rFonts w:ascii="Calibri" w:hAnsi="Calibri" w:cs="Calibri"/>
          <w:sz w:val="24"/>
          <w:szCs w:val="24"/>
        </w:rPr>
        <w:t xml:space="preserve">w Poznaniu </w:t>
      </w:r>
      <w:r>
        <w:rPr>
          <w:rFonts w:ascii="Calibri" w:hAnsi="Calibri" w:cs="Calibri"/>
          <w:sz w:val="24"/>
          <w:szCs w:val="24"/>
        </w:rPr>
        <w:t xml:space="preserve">to jest </w:t>
      </w:r>
      <w:r w:rsidRPr="00F61532">
        <w:rPr>
          <w:rFonts w:ascii="Calibri" w:hAnsi="Calibri" w:cs="Calibri"/>
          <w:sz w:val="24"/>
          <w:szCs w:val="24"/>
        </w:rPr>
        <w:t>w dniu 1</w:t>
      </w:r>
      <w:r>
        <w:rPr>
          <w:rFonts w:ascii="Calibri" w:hAnsi="Calibri" w:cs="Calibri"/>
          <w:sz w:val="24"/>
          <w:szCs w:val="24"/>
        </w:rPr>
        <w:t>6</w:t>
      </w:r>
      <w:r w:rsidRPr="00F61532">
        <w:rPr>
          <w:rFonts w:ascii="Calibri" w:hAnsi="Calibri" w:cs="Calibri"/>
          <w:sz w:val="24"/>
          <w:szCs w:val="24"/>
        </w:rPr>
        <w:t xml:space="preserve"> września 2026 roku.</w:t>
      </w:r>
    </w:p>
    <w:p w14:paraId="398C7C72" w14:textId="77777777" w:rsidR="00901DF4" w:rsidRPr="00713B0E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D8EE60C" w14:textId="77777777" w:rsidR="00901DF4" w:rsidRPr="00480B12" w:rsidRDefault="00901DF4" w:rsidP="00901DF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Do zadań Zamawiającego będzie należeć:</w:t>
      </w:r>
    </w:p>
    <w:p w14:paraId="4E1C42E2" w14:textId="77777777" w:rsidR="00901DF4" w:rsidRPr="00480B12" w:rsidRDefault="00901DF4" w:rsidP="00901D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zapewnienie trenerowi noclegu i wyżywienia oraz miejsca parkingowego podczas całego Spotkania, na którym prowadzone będzie szkolenie, to jest:</w:t>
      </w:r>
    </w:p>
    <w:p w14:paraId="2D3EC0DA" w14:textId="77777777" w:rsidR="00901DF4" w:rsidRPr="00480B12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- noclegu z 1 na 2 dzień Spotkania oraz z 2 na 3 dzień Spotkania;</w:t>
      </w:r>
    </w:p>
    <w:p w14:paraId="5B79427C" w14:textId="77777777" w:rsidR="00901DF4" w:rsidRPr="00480B12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- śniadania, obiadu i kolacji 2 dnia Spotkania;</w:t>
      </w:r>
    </w:p>
    <w:p w14:paraId="55F88056" w14:textId="77777777" w:rsidR="00901DF4" w:rsidRPr="00480B12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- śniadania i obiadu 3 dnia Spotkania;</w:t>
      </w:r>
    </w:p>
    <w:p w14:paraId="396055A9" w14:textId="77777777" w:rsidR="00901DF4" w:rsidRPr="00480B12" w:rsidRDefault="00901DF4" w:rsidP="00901DF4">
      <w:pPr>
        <w:pStyle w:val="Akapitzlist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- wody i przerw kawowych;</w:t>
      </w:r>
    </w:p>
    <w:p w14:paraId="3FC2F5E2" w14:textId="77777777" w:rsidR="00901DF4" w:rsidRPr="00480B12" w:rsidRDefault="00901DF4" w:rsidP="00901D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zapewnienie trenerowi miejsca parkingowego dla samochodu osobowego w pobliżu obiektu, w którym odbywać się będzie Spotkanie;</w:t>
      </w:r>
    </w:p>
    <w:p w14:paraId="355FAF80" w14:textId="77777777" w:rsidR="00901DF4" w:rsidRPr="00480B12" w:rsidRDefault="00901DF4" w:rsidP="00901D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lastRenderedPageBreak/>
        <w:t>zapewnienie trenerowi możliwości uczestnictwa w całości Spotkania zgodnie z ramowym harmonogramem wskazanym poniżej;</w:t>
      </w:r>
    </w:p>
    <w:p w14:paraId="32DC9785" w14:textId="77777777" w:rsidR="00901DF4" w:rsidRPr="00480B12" w:rsidRDefault="00901DF4" w:rsidP="00901D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zapewnienie obsługi technicznej szkolenia (sala, komputer z dostępem do Internetu, rzutnik, mikrofon);</w:t>
      </w:r>
    </w:p>
    <w:p w14:paraId="53AD90DF" w14:textId="77777777" w:rsidR="00901DF4" w:rsidRPr="00480B12" w:rsidRDefault="00901DF4" w:rsidP="00901DF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80B12">
        <w:rPr>
          <w:rFonts w:ascii="Calibri" w:hAnsi="Calibri" w:cs="Calibri"/>
          <w:sz w:val="24"/>
          <w:szCs w:val="24"/>
        </w:rPr>
        <w:t>rekrutacja uczestników szkolenia.</w:t>
      </w:r>
    </w:p>
    <w:p w14:paraId="449BA6C2" w14:textId="77777777" w:rsidR="00901DF4" w:rsidRPr="00330CFA" w:rsidRDefault="00901DF4" w:rsidP="00901DF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30CFA">
        <w:rPr>
          <w:rFonts w:ascii="Calibri" w:hAnsi="Calibri" w:cs="Calibri"/>
          <w:sz w:val="24"/>
          <w:szCs w:val="24"/>
        </w:rPr>
        <w:t>Realizacja szkolenia od strony merytorycznej będzie przeprowadzona w uzgodnieniu z Zamawiającym.</w:t>
      </w:r>
    </w:p>
    <w:p w14:paraId="225941F6" w14:textId="77777777" w:rsidR="00901DF4" w:rsidRPr="00480B12" w:rsidRDefault="00901DF4" w:rsidP="00901DF4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80B12">
        <w:rPr>
          <w:rFonts w:ascii="Calibri" w:hAnsi="Calibri" w:cs="Calibri"/>
          <w:b/>
          <w:bCs/>
          <w:sz w:val="24"/>
          <w:szCs w:val="24"/>
        </w:rPr>
        <w:t>Rozdział III.</w:t>
      </w:r>
      <w:r w:rsidRPr="00480B12">
        <w:rPr>
          <w:rFonts w:ascii="Calibri" w:hAnsi="Calibri" w:cs="Calibri"/>
          <w:b/>
          <w:bCs/>
          <w:sz w:val="24"/>
          <w:szCs w:val="24"/>
        </w:rPr>
        <w:tab/>
        <w:t>Program szkole</w:t>
      </w:r>
      <w:r>
        <w:rPr>
          <w:rFonts w:ascii="Calibri" w:hAnsi="Calibri" w:cs="Calibri"/>
          <w:b/>
          <w:bCs/>
          <w:sz w:val="24"/>
          <w:szCs w:val="24"/>
        </w:rPr>
        <w:t>ń</w:t>
      </w:r>
      <w:r w:rsidRPr="00480B12">
        <w:rPr>
          <w:rFonts w:ascii="Calibri" w:hAnsi="Calibri" w:cs="Calibri"/>
          <w:b/>
          <w:bCs/>
          <w:sz w:val="24"/>
          <w:szCs w:val="24"/>
        </w:rPr>
        <w:t>:</w:t>
      </w:r>
    </w:p>
    <w:p w14:paraId="554439E8" w14:textId="77777777" w:rsidR="00901DF4" w:rsidRPr="00A16EDC" w:rsidRDefault="00901DF4" w:rsidP="00901D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 xml:space="preserve">Wykonawca zrealizuje szkolenia zgodnie z programem przedstawionym w prezentacji ocenianej przez Zamawiającego oraz zgodnie z zakresem określonym w </w:t>
      </w:r>
      <w:r>
        <w:rPr>
          <w:rFonts w:ascii="Calibri" w:hAnsi="Calibri" w:cs="Calibri"/>
          <w:sz w:val="24"/>
          <w:szCs w:val="24"/>
        </w:rPr>
        <w:t>Rozdziale IV</w:t>
      </w:r>
      <w:r w:rsidRPr="00A16EDC">
        <w:rPr>
          <w:rFonts w:ascii="Calibri" w:hAnsi="Calibri" w:cs="Calibri"/>
          <w:sz w:val="24"/>
          <w:szCs w:val="24"/>
        </w:rPr>
        <w:t>, z zastrzeżeniem, że Zamawiający może zażądać uzupełnienia programu o dodatkowe elementy wynikające z aktualnych potrzeb uczestników.</w:t>
      </w:r>
    </w:p>
    <w:p w14:paraId="356E5452" w14:textId="77777777" w:rsidR="00901DF4" w:rsidRPr="00BF3766" w:rsidRDefault="00901DF4" w:rsidP="00901D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F3766">
        <w:rPr>
          <w:rFonts w:ascii="Calibri" w:hAnsi="Calibri" w:cs="Calibri"/>
          <w:sz w:val="24"/>
          <w:szCs w:val="24"/>
        </w:rPr>
        <w:t xml:space="preserve">Każde szkolenie obejmie </w:t>
      </w:r>
      <w:r>
        <w:rPr>
          <w:rFonts w:ascii="Calibri" w:hAnsi="Calibri" w:cs="Calibri"/>
          <w:sz w:val="24"/>
          <w:szCs w:val="24"/>
        </w:rPr>
        <w:t>trzy</w:t>
      </w:r>
      <w:r w:rsidRPr="00BF3766">
        <w:rPr>
          <w:rFonts w:ascii="Calibri" w:hAnsi="Calibri" w:cs="Calibri"/>
          <w:sz w:val="24"/>
          <w:szCs w:val="24"/>
        </w:rPr>
        <w:t xml:space="preserve"> moduły szkoleniowe</w:t>
      </w:r>
      <w:r>
        <w:rPr>
          <w:rFonts w:ascii="Calibri" w:hAnsi="Calibri" w:cs="Calibri"/>
          <w:sz w:val="24"/>
          <w:szCs w:val="24"/>
        </w:rPr>
        <w:t xml:space="preserve"> </w:t>
      </w:r>
      <w:r w:rsidRPr="00BF3766">
        <w:rPr>
          <w:rFonts w:ascii="Calibri" w:hAnsi="Calibri" w:cs="Calibri"/>
          <w:sz w:val="24"/>
          <w:szCs w:val="24"/>
        </w:rPr>
        <w:t xml:space="preserve">po dwie godziny szkoleniowe, łącznie </w:t>
      </w:r>
      <w:r>
        <w:rPr>
          <w:rFonts w:ascii="Calibri" w:hAnsi="Calibri" w:cs="Calibri"/>
          <w:sz w:val="24"/>
          <w:szCs w:val="24"/>
        </w:rPr>
        <w:t>6</w:t>
      </w:r>
      <w:r w:rsidRPr="00BF3766">
        <w:rPr>
          <w:rFonts w:ascii="Calibri" w:hAnsi="Calibri" w:cs="Calibri"/>
          <w:sz w:val="24"/>
          <w:szCs w:val="24"/>
        </w:rPr>
        <w:t xml:space="preserve"> godzin szkoleniow</w:t>
      </w:r>
      <w:r>
        <w:rPr>
          <w:rFonts w:ascii="Calibri" w:hAnsi="Calibri" w:cs="Calibri"/>
          <w:sz w:val="24"/>
          <w:szCs w:val="24"/>
        </w:rPr>
        <w:t>ych</w:t>
      </w:r>
      <w:r w:rsidRPr="00BF3766">
        <w:rPr>
          <w:rFonts w:ascii="Calibri" w:hAnsi="Calibri" w:cs="Calibri"/>
          <w:sz w:val="24"/>
          <w:szCs w:val="24"/>
        </w:rPr>
        <w:t>.</w:t>
      </w:r>
    </w:p>
    <w:p w14:paraId="64A59BDD" w14:textId="77777777" w:rsidR="00901DF4" w:rsidRPr="00A16EDC" w:rsidRDefault="00901DF4" w:rsidP="00901D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Program szkoleń powinien uwzględniać:</w:t>
      </w:r>
    </w:p>
    <w:p w14:paraId="40595177" w14:textId="77777777" w:rsidR="00901DF4" w:rsidRPr="00A16EDC" w:rsidRDefault="00901DF4" w:rsidP="00901DF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stosowanie różnorodnych metod i technik dydaktycznych, w szczególności aktywizujących uczestników,</w:t>
      </w:r>
    </w:p>
    <w:p w14:paraId="3D971673" w14:textId="77777777" w:rsidR="00901DF4" w:rsidRPr="00A16EDC" w:rsidRDefault="00901DF4" w:rsidP="00901DF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specyfikę grupy docelowej.</w:t>
      </w:r>
    </w:p>
    <w:p w14:paraId="684519E9" w14:textId="77777777" w:rsidR="00901DF4" w:rsidRPr="00A16EDC" w:rsidRDefault="00901DF4" w:rsidP="00901D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>Wykonawca dostosuje metody szkolenia do zakresu merytorycznego.</w:t>
      </w:r>
    </w:p>
    <w:p w14:paraId="3DFFDB35" w14:textId="77777777" w:rsidR="00901DF4" w:rsidRDefault="00901DF4" w:rsidP="00901D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6EDC">
        <w:rPr>
          <w:rFonts w:ascii="Calibri" w:hAnsi="Calibri" w:cs="Calibri"/>
          <w:sz w:val="24"/>
          <w:szCs w:val="24"/>
        </w:rPr>
        <w:t xml:space="preserve">W programie szkoleń należy uwzględnić konieczność </w:t>
      </w:r>
      <w:r>
        <w:rPr>
          <w:rFonts w:ascii="Calibri" w:hAnsi="Calibri" w:cs="Calibri"/>
          <w:sz w:val="24"/>
          <w:szCs w:val="24"/>
        </w:rPr>
        <w:t>wszechstronnego ujęcia tematyki i zwrócenia szczególnej uwagi na zagadnienia o największej doniosłości praktycznej.</w:t>
      </w:r>
    </w:p>
    <w:p w14:paraId="1B8958BF" w14:textId="77777777" w:rsidR="00901DF4" w:rsidRPr="00A16EDC" w:rsidRDefault="00901DF4" w:rsidP="00901DF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B22DD">
        <w:rPr>
          <w:rFonts w:ascii="Calibri" w:hAnsi="Calibri" w:cs="Calibri"/>
          <w:sz w:val="24"/>
          <w:szCs w:val="24"/>
        </w:rPr>
        <w:t>Zamawiający dopuszcza możliwość rozszerzenia przez Wykonawcę wymienionych zagadnień, natomiast nie dopuszcza pominięcia któregokolwiek z nich.</w:t>
      </w:r>
    </w:p>
    <w:p w14:paraId="7F1E5EB7" w14:textId="77777777" w:rsidR="00901DF4" w:rsidRPr="00DB22DD" w:rsidRDefault="00901DF4" w:rsidP="00901DF4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B22DD">
        <w:rPr>
          <w:rFonts w:ascii="Calibri" w:hAnsi="Calibri" w:cs="Calibri"/>
          <w:b/>
          <w:bCs/>
          <w:sz w:val="24"/>
          <w:szCs w:val="24"/>
        </w:rPr>
        <w:t>Rozdział IV.</w:t>
      </w:r>
      <w:r w:rsidRPr="00DB22DD">
        <w:rPr>
          <w:rFonts w:ascii="Calibri" w:hAnsi="Calibri" w:cs="Calibri"/>
          <w:b/>
          <w:bCs/>
          <w:sz w:val="24"/>
          <w:szCs w:val="24"/>
        </w:rPr>
        <w:tab/>
        <w:t>Zakres merytoryczny szkoleń:</w:t>
      </w:r>
    </w:p>
    <w:p w14:paraId="4B248FAF" w14:textId="77777777" w:rsidR="00901DF4" w:rsidRDefault="00901DF4" w:rsidP="00901DF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Pierwszy moduł każdego szkolenia polega na omówieniu zagadnień doręczania dokumentów i przeprowadzania dowodów w cywilnych postepowaniach transgranicznych z obszaru Unii Europejskiej a także cyfryzacji współpracy w ramach Unii Europejskiej w tym obszarze. Zakres merytoryczny pierwszego modułu obejmuje co najmniej:</w:t>
      </w:r>
    </w:p>
    <w:p w14:paraId="54A91A7E" w14:textId="77777777" w:rsidR="00901DF4" w:rsidRDefault="00901DF4" w:rsidP="00901DF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854A1">
        <w:rPr>
          <w:rFonts w:ascii="Calibri" w:hAnsi="Calibri" w:cs="Calibri"/>
          <w:sz w:val="24"/>
          <w:szCs w:val="24"/>
        </w:rPr>
        <w:t xml:space="preserve">Rozporządzenie </w:t>
      </w:r>
      <w:r w:rsidRPr="008C2381">
        <w:rPr>
          <w:rFonts w:ascii="Calibri" w:hAnsi="Calibri" w:cs="Calibri"/>
          <w:sz w:val="24"/>
          <w:szCs w:val="24"/>
        </w:rPr>
        <w:t>Parlamentu Europejskiego i Rady (UE) 2020/1783 z dnia 25 listopada 2020 r. w sprawie współpracy między sądami państw członkowskich przy przeprowadzaniu dowodów w sprawach cywilnych lub handlowych (przeprowadzanie dowodów) (wersja przekształcona)</w:t>
      </w:r>
      <w:r>
        <w:rPr>
          <w:rFonts w:ascii="Calibri" w:hAnsi="Calibri" w:cs="Calibri"/>
          <w:sz w:val="24"/>
          <w:szCs w:val="24"/>
        </w:rPr>
        <w:t xml:space="preserve"> – zagadnienia praktyczne, w tym najważniejsze orzecznictwo Trybunału Sprawiedliwości Unii Europejskiej na kanwie poprzedniej wersji tego aktu prawnego;</w:t>
      </w:r>
    </w:p>
    <w:p w14:paraId="766A3F84" w14:textId="77777777" w:rsidR="00901DF4" w:rsidRDefault="00901DF4" w:rsidP="00901DF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75EA2">
        <w:rPr>
          <w:rFonts w:ascii="Calibri" w:hAnsi="Calibri" w:cs="Calibri"/>
          <w:sz w:val="24"/>
          <w:szCs w:val="24"/>
        </w:rPr>
        <w:t>Rozporządzenie Parlamentu Europejskiego i Rady (UE) 2020/1784 z dnia 25 listopada 2020 r. dotyczące doręczania w państwach członkowskich dokumentów sądowych i pozasądowych w sprawach cywilnych lub handlowych („doręczanie dokumentów”) (wersja przekształcona)</w:t>
      </w:r>
      <w:r w:rsidRPr="00E75EA2">
        <w:t xml:space="preserve"> </w:t>
      </w:r>
      <w:r w:rsidRPr="00E75EA2">
        <w:rPr>
          <w:rFonts w:ascii="Calibri" w:hAnsi="Calibri" w:cs="Calibri"/>
          <w:sz w:val="24"/>
          <w:szCs w:val="24"/>
        </w:rPr>
        <w:t>– zagadnienia praktyczne, w tym najważniejsze orzecznictwo Trybunału Sprawiedliwości Unii Europejskiej na kanwie poprzedniej wersji tego aktu prawnego;</w:t>
      </w:r>
    </w:p>
    <w:p w14:paraId="6513B2CC" w14:textId="77777777" w:rsidR="00901DF4" w:rsidRPr="00213B5E" w:rsidRDefault="00901DF4" w:rsidP="00901DF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75EA2">
        <w:rPr>
          <w:rFonts w:ascii="Calibri" w:hAnsi="Calibri" w:cs="Calibri"/>
          <w:sz w:val="24"/>
          <w:szCs w:val="24"/>
        </w:rPr>
        <w:t xml:space="preserve">Rozporządzenie Parlamentu Europejskiego i Rady (UE) 2023/2844 z dnia 13 grudnia 2023 r. w sprawie cyfryzacji współpracy sądowej i dostępu do wymiaru </w:t>
      </w:r>
      <w:r w:rsidRPr="00E75EA2">
        <w:rPr>
          <w:rFonts w:ascii="Calibri" w:hAnsi="Calibri" w:cs="Calibri"/>
          <w:sz w:val="24"/>
          <w:szCs w:val="24"/>
        </w:rPr>
        <w:lastRenderedPageBreak/>
        <w:t>sprawiedliwości w sprawach cywilnych i handlowych o charakterze transgranicznym oraz współpracy wymiarów sprawiedliwości i dostępu do wymiaru sprawiedliwości w sprawach karnych o charakterze transgranicznym oraz zmieniające niektóre akty w tych dziedzinach</w:t>
      </w:r>
      <w:r>
        <w:rPr>
          <w:rFonts w:ascii="Calibri" w:hAnsi="Calibri" w:cs="Calibri"/>
          <w:sz w:val="24"/>
          <w:szCs w:val="24"/>
        </w:rPr>
        <w:t xml:space="preserve"> – zagadnienia praktyczne dla obrotu prawnego w sprawach cywilnych i handlowych</w:t>
      </w:r>
      <w:r w:rsidRPr="00213B5E">
        <w:rPr>
          <w:rFonts w:ascii="Calibri" w:hAnsi="Calibri" w:cs="Calibri"/>
          <w:sz w:val="24"/>
          <w:szCs w:val="24"/>
        </w:rPr>
        <w:t>.</w:t>
      </w:r>
    </w:p>
    <w:p w14:paraId="3FBF2216" w14:textId="77777777" w:rsidR="00901DF4" w:rsidRPr="003539E9" w:rsidRDefault="00901DF4" w:rsidP="00901DF4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Pierwszy moduł</w:t>
      </w:r>
      <w:r w:rsidRPr="003539E9">
        <w:rPr>
          <w:rFonts w:ascii="Calibri" w:hAnsi="Calibri" w:cs="Calibri"/>
          <w:sz w:val="24"/>
          <w:szCs w:val="24"/>
        </w:rPr>
        <w:t xml:space="preserve"> powinien być przeprowadzony na poziomie średnio zaawansowanym, to jest zakładającym uprzednią znajomość podstaw tematyki u uczestnika.</w:t>
      </w:r>
    </w:p>
    <w:p w14:paraId="228B8800" w14:textId="77777777" w:rsidR="00901DF4" w:rsidRDefault="00901DF4" w:rsidP="00901DF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Drugi moduł każdego szkolenia polega na omówieniu w zarysie zakresów zastosowania i doniosłości praktycznej całokształtu dorobku legislacyjnego Unii Europejskiej mającego znaczenie dla obrotu prawnego w sprawach cywilnych. Wykonawca wskaże najważniejsze aspekty praktyczne następujących zagadnień i aktów prawnych: </w:t>
      </w:r>
    </w:p>
    <w:p w14:paraId="5DED31F4" w14:textId="77777777" w:rsidR="00901DF4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znaczenie prawa pierwotnego UE przy rozpoznawaniu sprawy cywilnej (Traktaty, </w:t>
      </w:r>
      <w:r w:rsidRPr="00AC5A5C">
        <w:rPr>
          <w:rFonts w:ascii="Calibri" w:hAnsi="Calibri" w:cs="Calibri"/>
          <w:sz w:val="24"/>
          <w:szCs w:val="24"/>
        </w:rPr>
        <w:t xml:space="preserve">Karta Praw Podstawowych </w:t>
      </w:r>
      <w:r>
        <w:rPr>
          <w:rFonts w:ascii="Calibri" w:hAnsi="Calibri" w:cs="Calibri"/>
          <w:sz w:val="24"/>
          <w:szCs w:val="24"/>
        </w:rPr>
        <w:t>Unii Europejskiej);</w:t>
      </w:r>
    </w:p>
    <w:p w14:paraId="6FA24231" w14:textId="77777777" w:rsidR="00901DF4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jurysdykcja, prawo właściwe, uznawanie i wykonywanie orzeczeń – zakres regulacji UE, zasady ogólne i wyjątki:</w:t>
      </w:r>
    </w:p>
    <w:p w14:paraId="3ED248DD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3579C9">
        <w:rPr>
          <w:rFonts w:ascii="Calibri" w:hAnsi="Calibri" w:cs="Calibri"/>
          <w:sz w:val="24"/>
          <w:szCs w:val="24"/>
        </w:rPr>
        <w:t>Rozporządzenie Parlamentu Europejskiego i Rady (UE) nr 1215/2012 z dnia 12 grudnia 2012 r. w sprawie jurysdykcji i uznawania orzeczeń sądowych oraz ich wykonywania w sprawach cywilnych i handlowych (przekształcenie)</w:t>
      </w:r>
      <w:r>
        <w:rPr>
          <w:rFonts w:ascii="Calibri" w:hAnsi="Calibri" w:cs="Calibri"/>
          <w:sz w:val="24"/>
          <w:szCs w:val="24"/>
        </w:rPr>
        <w:t>;</w:t>
      </w:r>
    </w:p>
    <w:p w14:paraId="244211E4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23383">
        <w:rPr>
          <w:rFonts w:ascii="Calibri" w:hAnsi="Calibri" w:cs="Calibri"/>
          <w:sz w:val="24"/>
          <w:szCs w:val="24"/>
        </w:rPr>
        <w:t>Rozporządzenie Rady (WE) nr 4/2009 z dnia 18 grudnia 2008 r. w sprawie jurysdykcji, prawa właściwego, uznawania i wykonywania orzeczeń oraz współpracy w zakresie zobowiązań alimentacyjnych</w:t>
      </w:r>
      <w:r>
        <w:rPr>
          <w:rFonts w:ascii="Calibri" w:hAnsi="Calibri" w:cs="Calibri"/>
          <w:sz w:val="24"/>
          <w:szCs w:val="24"/>
        </w:rPr>
        <w:t>;</w:t>
      </w:r>
    </w:p>
    <w:p w14:paraId="15B515DF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15881">
        <w:rPr>
          <w:rFonts w:ascii="Calibri" w:hAnsi="Calibri" w:cs="Calibri"/>
          <w:sz w:val="24"/>
          <w:szCs w:val="24"/>
        </w:rPr>
        <w:t>Rozporządzenie Rady (UE) 2019/1111 z dnia 25 czerwca 2019 r. w sprawie jurysdykcji, uznawania i wykonywania orzeczeń w sprawach małżeńskich i w sprawach dotyczących odpowiedzialności rodzicielskiej oraz w sprawie uprowadzenia dziecka za granicę (przekształcenie)</w:t>
      </w:r>
      <w:r>
        <w:rPr>
          <w:rFonts w:ascii="Calibri" w:hAnsi="Calibri" w:cs="Calibri"/>
          <w:sz w:val="24"/>
          <w:szCs w:val="24"/>
        </w:rPr>
        <w:t>;</w:t>
      </w:r>
    </w:p>
    <w:p w14:paraId="5F14CEC5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15881">
        <w:rPr>
          <w:rFonts w:ascii="Calibri" w:hAnsi="Calibri" w:cs="Calibri"/>
          <w:sz w:val="24"/>
          <w:szCs w:val="24"/>
        </w:rPr>
        <w:t>Rozporządzenie Parlamentu Europejskiego i Rady (UE) 2015/848 z dnia 20 maja 2015 r. w sprawie postępowania upadłościowego (przekształcenie)</w:t>
      </w:r>
      <w:r>
        <w:rPr>
          <w:rFonts w:ascii="Calibri" w:hAnsi="Calibri" w:cs="Calibri"/>
          <w:sz w:val="24"/>
          <w:szCs w:val="24"/>
        </w:rPr>
        <w:t>;</w:t>
      </w:r>
    </w:p>
    <w:p w14:paraId="3C4D55B3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28BE">
        <w:rPr>
          <w:rFonts w:ascii="Calibri" w:hAnsi="Calibri" w:cs="Calibri"/>
          <w:sz w:val="24"/>
          <w:szCs w:val="24"/>
        </w:rPr>
        <w:t>Rozporządzenie Parlamentu Europejskiego i Rady (UE) nr 650/2012 z dnia 4 lipca 2012 r. w sprawie jurysdykcji, prawa właściwego, uznawania i wykonywania orzeczeń, przyjmowania i wykonywania dokumentów urzędowych dotyczących dziedziczenia oraz w sprawie ustanowienia europejskiego poświadczenia spadkowego</w:t>
      </w:r>
      <w:r>
        <w:rPr>
          <w:rFonts w:ascii="Calibri" w:hAnsi="Calibri" w:cs="Calibri"/>
          <w:sz w:val="24"/>
          <w:szCs w:val="24"/>
        </w:rPr>
        <w:t>;</w:t>
      </w:r>
    </w:p>
    <w:p w14:paraId="7DDD90B6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Konwencja </w:t>
      </w:r>
      <w:r w:rsidRPr="007A571D">
        <w:rPr>
          <w:rFonts w:ascii="Calibri" w:hAnsi="Calibri" w:cs="Calibri"/>
          <w:sz w:val="24"/>
          <w:szCs w:val="24"/>
        </w:rPr>
        <w:t>o jurysdykcji, prawie właściwym, uznawaniu, wykonywaniu i współpracy w zakresie odpowiedzialności rodzicielskiej oraz środków ochrony dzieci</w:t>
      </w:r>
      <w:r>
        <w:rPr>
          <w:rFonts w:ascii="Calibri" w:hAnsi="Calibri" w:cs="Calibri"/>
          <w:sz w:val="24"/>
          <w:szCs w:val="24"/>
        </w:rPr>
        <w:t xml:space="preserve"> </w:t>
      </w:r>
      <w:r w:rsidRPr="007A571D">
        <w:rPr>
          <w:rFonts w:ascii="Calibri" w:hAnsi="Calibri" w:cs="Calibri"/>
          <w:sz w:val="24"/>
          <w:szCs w:val="24"/>
        </w:rPr>
        <w:t>z dnia 19 października 1996 r.</w:t>
      </w:r>
      <w:r>
        <w:rPr>
          <w:rFonts w:ascii="Calibri" w:hAnsi="Calibri" w:cs="Calibri"/>
          <w:sz w:val="24"/>
          <w:szCs w:val="24"/>
        </w:rPr>
        <w:t>;</w:t>
      </w:r>
    </w:p>
    <w:p w14:paraId="38058A68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Konwencja </w:t>
      </w:r>
      <w:r w:rsidRPr="007A571D">
        <w:rPr>
          <w:rFonts w:ascii="Calibri" w:hAnsi="Calibri" w:cs="Calibri"/>
          <w:sz w:val="24"/>
          <w:szCs w:val="24"/>
        </w:rPr>
        <w:t>o międzynarodowym dochodzeniu alimentów na rzecz dzieci i innych członków rodziny</w:t>
      </w:r>
      <w:r>
        <w:rPr>
          <w:rFonts w:ascii="Calibri" w:hAnsi="Calibri" w:cs="Calibri"/>
          <w:sz w:val="24"/>
          <w:szCs w:val="24"/>
        </w:rPr>
        <w:t xml:space="preserve"> z</w:t>
      </w:r>
      <w:r w:rsidRPr="007A571D">
        <w:rPr>
          <w:rFonts w:ascii="Calibri" w:hAnsi="Calibri" w:cs="Calibri"/>
          <w:sz w:val="24"/>
          <w:szCs w:val="24"/>
        </w:rPr>
        <w:t xml:space="preserve"> dnia 23 listopada 2007 r.</w:t>
      </w:r>
      <w:r>
        <w:rPr>
          <w:rFonts w:ascii="Calibri" w:hAnsi="Calibri" w:cs="Calibri"/>
          <w:sz w:val="24"/>
          <w:szCs w:val="24"/>
        </w:rPr>
        <w:t>;</w:t>
      </w:r>
    </w:p>
    <w:p w14:paraId="479B8E06" w14:textId="77777777" w:rsidR="00901DF4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77F10">
        <w:rPr>
          <w:rFonts w:ascii="Calibri" w:hAnsi="Calibri" w:cs="Calibri"/>
          <w:sz w:val="24"/>
          <w:szCs w:val="24"/>
        </w:rPr>
        <w:t>sposób ustalania treści prawa obcego (Konwencja europejska o informacji o prawie obcym</w:t>
      </w:r>
      <w:r>
        <w:rPr>
          <w:rFonts w:ascii="Calibri" w:hAnsi="Calibri" w:cs="Calibri"/>
          <w:sz w:val="24"/>
          <w:szCs w:val="24"/>
        </w:rPr>
        <w:t xml:space="preserve"> </w:t>
      </w:r>
      <w:r w:rsidRPr="00077F10">
        <w:rPr>
          <w:rFonts w:ascii="Calibri" w:hAnsi="Calibri" w:cs="Calibri"/>
          <w:sz w:val="24"/>
          <w:szCs w:val="24"/>
        </w:rPr>
        <w:t>z dnia 7 czerwca 1968 r.)</w:t>
      </w:r>
      <w:r>
        <w:rPr>
          <w:rFonts w:ascii="Calibri" w:hAnsi="Calibri" w:cs="Calibri"/>
          <w:sz w:val="24"/>
          <w:szCs w:val="24"/>
        </w:rPr>
        <w:t>;</w:t>
      </w:r>
    </w:p>
    <w:p w14:paraId="35A458A4" w14:textId="77777777" w:rsidR="00901DF4" w:rsidRPr="00077F10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skuteczność dokumentów urzędowych (</w:t>
      </w:r>
      <w:r w:rsidRPr="003122CF">
        <w:rPr>
          <w:rFonts w:ascii="Calibri" w:hAnsi="Calibri" w:cs="Calibri"/>
          <w:sz w:val="24"/>
          <w:szCs w:val="24"/>
        </w:rPr>
        <w:t>Rozporządzenie Parlamentu Europejskiego i Rady (UE) 2016/1191 z dnia 6 lipca 2016 r. w sprawie promowania swobodnego przepływu obywateli poprzez uproszczenie wymogów dotyczących przedkładania określonych dokumentów urzędowych w Unii Europejskiej i zmieniające rozporządzenie (UE) nr 1024/2012</w:t>
      </w:r>
      <w:r>
        <w:rPr>
          <w:rFonts w:ascii="Calibri" w:hAnsi="Calibri" w:cs="Calibri"/>
          <w:sz w:val="24"/>
          <w:szCs w:val="24"/>
        </w:rPr>
        <w:t>);</w:t>
      </w:r>
    </w:p>
    <w:p w14:paraId="7CE96AF5" w14:textId="77777777" w:rsidR="00901DF4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5A5C">
        <w:rPr>
          <w:rFonts w:ascii="Calibri" w:hAnsi="Calibri" w:cs="Calibri"/>
          <w:sz w:val="24"/>
          <w:szCs w:val="24"/>
        </w:rPr>
        <w:lastRenderedPageBreak/>
        <w:t>postępowania odrębne</w:t>
      </w:r>
      <w:r>
        <w:rPr>
          <w:rFonts w:ascii="Calibri" w:hAnsi="Calibri" w:cs="Calibri"/>
          <w:sz w:val="24"/>
          <w:szCs w:val="24"/>
        </w:rPr>
        <w:t xml:space="preserve">: </w:t>
      </w:r>
    </w:p>
    <w:p w14:paraId="21B941FA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25907">
        <w:rPr>
          <w:rFonts w:ascii="Calibri" w:hAnsi="Calibri" w:cs="Calibri"/>
          <w:sz w:val="24"/>
          <w:szCs w:val="24"/>
        </w:rPr>
        <w:t>Rozporządzenie (WE) nr 1896/2006 Parlamentu Europejskiego i Rady z dnia 12 grudnia 2006 r. ustanawiające postępowanie w sprawie europejskiego nakazu zapłaty</w:t>
      </w:r>
      <w:r>
        <w:rPr>
          <w:rFonts w:ascii="Calibri" w:hAnsi="Calibri" w:cs="Calibri"/>
          <w:sz w:val="24"/>
          <w:szCs w:val="24"/>
        </w:rPr>
        <w:t>;</w:t>
      </w:r>
    </w:p>
    <w:p w14:paraId="5B24C8CB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E69C6">
        <w:rPr>
          <w:rFonts w:ascii="Calibri" w:hAnsi="Calibri" w:cs="Calibri"/>
          <w:sz w:val="24"/>
          <w:szCs w:val="24"/>
        </w:rPr>
        <w:t>Rozporządzenie (WE) nr 861/2007 Parlamentu Europejskiego i Rady z dnia 11 lipca 2007 r. ustanawiające europejskie postępowanie w sprawie drobnych roszczeń</w:t>
      </w:r>
      <w:r>
        <w:rPr>
          <w:rFonts w:ascii="Calibri" w:hAnsi="Calibri" w:cs="Calibri"/>
          <w:sz w:val="24"/>
          <w:szCs w:val="24"/>
        </w:rPr>
        <w:t>;</w:t>
      </w:r>
    </w:p>
    <w:p w14:paraId="2D37FDB2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Rozporządzenie 650/2012 jw. w zakresie </w:t>
      </w:r>
      <w:r w:rsidRPr="00AC5A5C">
        <w:rPr>
          <w:rFonts w:ascii="Calibri" w:hAnsi="Calibri" w:cs="Calibri"/>
          <w:sz w:val="24"/>
          <w:szCs w:val="24"/>
        </w:rPr>
        <w:t>europejskie</w:t>
      </w:r>
      <w:r>
        <w:rPr>
          <w:rFonts w:ascii="Calibri" w:hAnsi="Calibri" w:cs="Calibri"/>
          <w:sz w:val="24"/>
          <w:szCs w:val="24"/>
        </w:rPr>
        <w:t>go</w:t>
      </w:r>
      <w:r w:rsidRPr="00AC5A5C">
        <w:rPr>
          <w:rFonts w:ascii="Calibri" w:hAnsi="Calibri" w:cs="Calibri"/>
          <w:sz w:val="24"/>
          <w:szCs w:val="24"/>
        </w:rPr>
        <w:t xml:space="preserve"> poświadczeni</w:t>
      </w:r>
      <w:r>
        <w:rPr>
          <w:rFonts w:ascii="Calibri" w:hAnsi="Calibri" w:cs="Calibri"/>
          <w:sz w:val="24"/>
          <w:szCs w:val="24"/>
        </w:rPr>
        <w:t>a</w:t>
      </w:r>
      <w:r w:rsidRPr="00AC5A5C">
        <w:rPr>
          <w:rFonts w:ascii="Calibri" w:hAnsi="Calibri" w:cs="Calibri"/>
          <w:sz w:val="24"/>
          <w:szCs w:val="24"/>
        </w:rPr>
        <w:t xml:space="preserve"> spadkowe</w:t>
      </w:r>
      <w:r>
        <w:rPr>
          <w:rFonts w:ascii="Calibri" w:hAnsi="Calibri" w:cs="Calibri"/>
          <w:sz w:val="24"/>
          <w:szCs w:val="24"/>
        </w:rPr>
        <w:t>go;</w:t>
      </w:r>
    </w:p>
    <w:p w14:paraId="580C695C" w14:textId="77777777" w:rsidR="00901DF4" w:rsidRPr="00AC5A5C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02ADA">
        <w:rPr>
          <w:rFonts w:ascii="Calibri" w:hAnsi="Calibri" w:cs="Calibri"/>
          <w:sz w:val="24"/>
          <w:szCs w:val="24"/>
        </w:rPr>
        <w:t>Rozporządzenie Parlamentu Europejskiego i Rady (UE) nr 655/2014 z dnia 15 maja 2014 r. ustanawiające procedurę europejskiego nakazu zabezpieczenia na rachunku bankowym w celu ułatwienia transgranicznego dochodzenia wierzytelności w sprawach cywilnych i handlowych</w:t>
      </w:r>
      <w:r>
        <w:rPr>
          <w:rFonts w:ascii="Calibri" w:hAnsi="Calibri" w:cs="Calibri"/>
          <w:sz w:val="24"/>
          <w:szCs w:val="24"/>
        </w:rPr>
        <w:t>;</w:t>
      </w:r>
    </w:p>
    <w:p w14:paraId="6F32C423" w14:textId="77777777" w:rsidR="00901DF4" w:rsidRPr="00B16C51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5A5C">
        <w:rPr>
          <w:rFonts w:ascii="Calibri" w:hAnsi="Calibri" w:cs="Calibri"/>
          <w:sz w:val="24"/>
          <w:szCs w:val="24"/>
        </w:rPr>
        <w:t>pomoc prawna (</w:t>
      </w:r>
      <w:r w:rsidRPr="00302ADA">
        <w:rPr>
          <w:rFonts w:ascii="Calibri" w:hAnsi="Calibri" w:cs="Calibri"/>
          <w:sz w:val="24"/>
          <w:szCs w:val="24"/>
        </w:rPr>
        <w:t xml:space="preserve">Dyrektywa Rady 2003/8/WE z dnia 27 stycznia 2003 r. w celu usprawnienia dostępu do wymiaru sprawiedliwości w sporach transgranicznych poprzez ustanowienie minimalnych wspólnych zasad odnoszących się do pomocy prawnej w </w:t>
      </w:r>
      <w:r w:rsidRPr="00B16C51">
        <w:rPr>
          <w:rFonts w:ascii="Calibri" w:hAnsi="Calibri" w:cs="Calibri"/>
          <w:sz w:val="24"/>
          <w:szCs w:val="24"/>
        </w:rPr>
        <w:t>sporach o tym charakterze oraz implementująca ją ustawa z dnia 17 grudnia 2004 r. o prawie pomocy w postępowaniu w sprawach cywilnych prowadzonym w państwach członkowskich UE)</w:t>
      </w:r>
    </w:p>
    <w:p w14:paraId="099B6B21" w14:textId="77777777" w:rsidR="00901DF4" w:rsidRPr="00B16C51" w:rsidRDefault="00901DF4" w:rsidP="00901DF4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16C51">
        <w:rPr>
          <w:rFonts w:ascii="Calibri" w:hAnsi="Calibri" w:cs="Calibri"/>
          <w:sz w:val="24"/>
          <w:szCs w:val="24"/>
        </w:rPr>
        <w:t>wzmianka o rozporządzeniach, którymi Polska nie jest związana:</w:t>
      </w:r>
    </w:p>
    <w:p w14:paraId="2A698092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16C51">
        <w:rPr>
          <w:rFonts w:ascii="Calibri" w:hAnsi="Calibri" w:cs="Calibri"/>
          <w:sz w:val="24"/>
          <w:szCs w:val="24"/>
        </w:rPr>
        <w:t>Rozporządzenie Rady (UE) nr 1259/2010 z dnia 20 grudnia 2010 r. w sprawie wprowadzenia w życie wzmocnionej współpracy w dziedzinie prawa właściwego dla rozwodu i separacji prawnej</w:t>
      </w:r>
      <w:r>
        <w:rPr>
          <w:rFonts w:ascii="Calibri" w:hAnsi="Calibri" w:cs="Calibri"/>
          <w:sz w:val="24"/>
          <w:szCs w:val="24"/>
        </w:rPr>
        <w:t>;</w:t>
      </w:r>
    </w:p>
    <w:p w14:paraId="2C7621A1" w14:textId="77777777" w:rsidR="00901DF4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16C51">
        <w:rPr>
          <w:rFonts w:ascii="Calibri" w:hAnsi="Calibri" w:cs="Calibri"/>
          <w:sz w:val="24"/>
          <w:szCs w:val="24"/>
        </w:rPr>
        <w:t>Rozporządzenie Rady (UE) 2016/1104 z dnia 24 czerwca 2016 r. wdrażające wzmocnioną współpracę w dziedzinie jurysdykcji, prawa właściwego oraz uznawania i wykonywania orzeczeń w sprawach dotyczących skutków majątkowych zarejestrowanych związków partnerskich</w:t>
      </w:r>
      <w:r>
        <w:rPr>
          <w:rFonts w:ascii="Calibri" w:hAnsi="Calibri" w:cs="Calibri"/>
          <w:sz w:val="24"/>
          <w:szCs w:val="24"/>
        </w:rPr>
        <w:t>;</w:t>
      </w:r>
    </w:p>
    <w:p w14:paraId="4AF4E6FE" w14:textId="77777777" w:rsidR="00901DF4" w:rsidRPr="00B16C51" w:rsidRDefault="00901DF4" w:rsidP="00901D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539E9">
        <w:rPr>
          <w:rFonts w:ascii="Calibri" w:hAnsi="Calibri" w:cs="Calibri"/>
          <w:sz w:val="24"/>
          <w:szCs w:val="24"/>
        </w:rPr>
        <w:t>Rozporządzenie Rady (UE) 2016/1103 z dnia 24 czerwca 2016 r. wdrażające wzmocnioną współpracę w dziedzinie jurysdykcji, prawa właściwego oraz uznawania i wykonywania orzeczeń w sprawach dotyczących małżeńskich ustrojów majątkowych</w:t>
      </w:r>
      <w:r w:rsidRPr="00B16C51">
        <w:rPr>
          <w:rFonts w:ascii="Calibri" w:hAnsi="Calibri" w:cs="Calibri"/>
          <w:sz w:val="24"/>
          <w:szCs w:val="24"/>
        </w:rPr>
        <w:t xml:space="preserve">1259/2010, 2016/1104, 2016/1103). </w:t>
      </w:r>
    </w:p>
    <w:p w14:paraId="304E7F62" w14:textId="77777777" w:rsidR="00901DF4" w:rsidRDefault="00901DF4" w:rsidP="00901DF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Trzeci moduł każdego szkolenia polega na poprowadzeniu sesji wymiany doświadczeń między uczestnikami szkolenia na tematy związane z obrotem zagranicznym w sprawach cywilnych z obszaru Unii Europejskiej. Zadaniem Wykonawcy jest umożliwienie uczestnikom szkolenia zadawania pytań, a następnie aktywizacja pozostałych uczestników w celu wspólnego znalezienia odpowiedzi oraz zaproponowanie własnej odpowiedzi, o ile możliwe. Wykonawca powinien być przygotowany na to, że niektóre pytania mogą dotyczyć zagadnień obrotu prawnego poza Unią Europejską i w miarę możliwości służyć wsparciem w odnalezieniu odpowiedzi.</w:t>
      </w:r>
    </w:p>
    <w:p w14:paraId="4E7995A9" w14:textId="77777777" w:rsidR="00901DF4" w:rsidRPr="00EF46D5" w:rsidRDefault="00901DF4" w:rsidP="00901DF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96F640A" w14:textId="77777777" w:rsidR="00901DF4" w:rsidRPr="00A65153" w:rsidRDefault="00901DF4" w:rsidP="00901DF4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65153">
        <w:rPr>
          <w:rFonts w:ascii="Calibri" w:hAnsi="Calibri" w:cs="Calibri"/>
          <w:b/>
          <w:bCs/>
          <w:sz w:val="24"/>
          <w:szCs w:val="24"/>
        </w:rPr>
        <w:t>Rozdział V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A65153">
        <w:rPr>
          <w:rFonts w:ascii="Calibri" w:hAnsi="Calibri" w:cs="Calibri"/>
          <w:b/>
          <w:bCs/>
          <w:sz w:val="24"/>
          <w:szCs w:val="24"/>
        </w:rPr>
        <w:t>Materiały szkoleniowe</w:t>
      </w:r>
    </w:p>
    <w:p w14:paraId="315D9FD6" w14:textId="77777777" w:rsidR="00901DF4" w:rsidRDefault="00901DF4" w:rsidP="00901DF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przygotowania szkolenia Wykonawca przygotuje prezentację w formie elektronicznej do modułów pierwszego i drugiego, która będzie wyświetlana przez </w:t>
      </w:r>
      <w:r>
        <w:rPr>
          <w:rFonts w:ascii="Calibri" w:hAnsi="Calibri" w:cs="Calibri"/>
          <w:sz w:val="24"/>
          <w:szCs w:val="24"/>
        </w:rPr>
        <w:lastRenderedPageBreak/>
        <w:t>Wykonawcę w trakcie prowadzenia modułu. Format prezentacji powinien umożliwiać jej odtworzenie na komputerze wyposażonym w oprogramowanie dostępne nieodpłatnie.</w:t>
      </w:r>
    </w:p>
    <w:p w14:paraId="6FC9A42A" w14:textId="77777777" w:rsidR="00901DF4" w:rsidRDefault="00901DF4" w:rsidP="00901DF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Prezentacja powinna zawierać najistotniejsze informacje z modułu szkoleniowego i być opracowana w ten sposób, by mogła stanowić samodzielne źródło informacji również dla osób, które nie uczestniczą w szkoleniu.</w:t>
      </w:r>
    </w:p>
    <w:p w14:paraId="25ABCDC7" w14:textId="77777777" w:rsidR="00901DF4" w:rsidRDefault="00901DF4" w:rsidP="00901DF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Prezentacja powinna zawierać:</w:t>
      </w:r>
    </w:p>
    <w:p w14:paraId="4B022222" w14:textId="77777777" w:rsidR="00901DF4" w:rsidRDefault="00901DF4" w:rsidP="00901DF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nazwę i akronim projektu (zgodnie z Rozdziałem I pkt 2);</w:t>
      </w:r>
    </w:p>
    <w:p w14:paraId="2BE46033" w14:textId="77777777" w:rsidR="00901DF4" w:rsidRPr="00146109" w:rsidRDefault="00901DF4" w:rsidP="00901DF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logotyp: </w:t>
      </w:r>
      <w:r w:rsidRPr="00585A05">
        <w:rPr>
          <w:rFonts w:ascii="Calibri" w:hAnsi="Calibri" w:cs="Calibri"/>
          <w:sz w:val="24"/>
          <w:szCs w:val="24"/>
        </w:rPr>
        <w:t xml:space="preserve">„Współfinansowane przez Unię Europejską” </w:t>
      </w:r>
      <w:r>
        <w:rPr>
          <w:rFonts w:ascii="Calibri" w:hAnsi="Calibri" w:cs="Calibri"/>
          <w:sz w:val="24"/>
          <w:szCs w:val="24"/>
        </w:rPr>
        <w:t>zgodny z dokumentem</w:t>
      </w:r>
      <w:r w:rsidRPr="00146109">
        <w:rPr>
          <w:rFonts w:ascii="Calibri" w:eastAsia="Calibri" w:hAnsi="Calibri" w:cs="Calibri"/>
          <w:sz w:val="24"/>
          <w:szCs w:val="24"/>
        </w:rPr>
        <w:t xml:space="preserve"> </w:t>
      </w:r>
      <w:r w:rsidRPr="008D096A">
        <w:rPr>
          <w:rFonts w:ascii="Calibri" w:eastAsia="Calibri" w:hAnsi="Calibri" w:cs="Calibri"/>
          <w:sz w:val="24"/>
          <w:szCs w:val="24"/>
        </w:rPr>
        <w:t xml:space="preserve">szczegóły dotyczące prawidłowego oznakowania materiałów logotypem: „Współfinansowane przez Unię Europejską” znajdują się </w:t>
      </w:r>
      <w:r>
        <w:rPr>
          <w:rFonts w:ascii="Calibri" w:eastAsia="Calibri" w:hAnsi="Calibri" w:cs="Calibri"/>
          <w:sz w:val="24"/>
          <w:szCs w:val="24"/>
        </w:rPr>
        <w:t>na stronie internetowej</w:t>
      </w:r>
      <w:r w:rsidRPr="008D096A">
        <w:rPr>
          <w:rFonts w:ascii="Calibri" w:eastAsia="Calibri" w:hAnsi="Calibri" w:cs="Calibri"/>
          <w:sz w:val="24"/>
          <w:szCs w:val="24"/>
        </w:rPr>
        <w:t xml:space="preserve">: </w:t>
      </w:r>
      <w:hyperlink r:id="rId8" w:history="1">
        <w:proofErr w:type="spellStart"/>
        <w:r>
          <w:rPr>
            <w:rStyle w:val="Hipercze"/>
            <w:rFonts w:ascii="Calibri" w:eastAsia="Calibri" w:hAnsi="Calibri" w:cs="Calibri"/>
            <w:sz w:val="24"/>
            <w:szCs w:val="24"/>
          </w:rPr>
          <w:t>Communicating</w:t>
        </w:r>
        <w:proofErr w:type="spellEnd"/>
        <w:r>
          <w:rPr>
            <w:rStyle w:val="Hipercze"/>
            <w:rFonts w:ascii="Calibri" w:eastAsia="Calibri" w:hAnsi="Calibri" w:cs="Calibri"/>
            <w:sz w:val="24"/>
            <w:szCs w:val="24"/>
          </w:rPr>
          <w:t xml:space="preserve"> and </w:t>
        </w:r>
        <w:proofErr w:type="spellStart"/>
        <w:r>
          <w:rPr>
            <w:rStyle w:val="Hipercze"/>
            <w:rFonts w:ascii="Calibri" w:eastAsia="Calibri" w:hAnsi="Calibri" w:cs="Calibri"/>
            <w:sz w:val="24"/>
            <w:szCs w:val="24"/>
          </w:rPr>
          <w:t>raising</w:t>
        </w:r>
        <w:proofErr w:type="spellEnd"/>
        <w:r>
          <w:rPr>
            <w:rStyle w:val="Hipercze"/>
            <w:rFonts w:ascii="Calibri" w:eastAsia="Calibri" w:hAnsi="Calibri" w:cs="Calibri"/>
            <w:sz w:val="24"/>
            <w:szCs w:val="24"/>
          </w:rPr>
          <w:t xml:space="preserve"> EU </w:t>
        </w:r>
        <w:proofErr w:type="spellStart"/>
        <w:r>
          <w:rPr>
            <w:rStyle w:val="Hipercze"/>
            <w:rFonts w:ascii="Calibri" w:eastAsia="Calibri" w:hAnsi="Calibri" w:cs="Calibri"/>
            <w:sz w:val="24"/>
            <w:szCs w:val="24"/>
          </w:rPr>
          <w:t>visibility</w:t>
        </w:r>
        <w:proofErr w:type="spellEnd"/>
      </w:hyperlink>
      <w:r>
        <w:t xml:space="preserve"> (dokument dotyczący używania oznaczeń UE w kontekście programów na lata 2021-2027 dostępny również w języku polskim po wyborze odpowiedniej opcji);</w:t>
      </w:r>
    </w:p>
    <w:p w14:paraId="734B42F1" w14:textId="77777777" w:rsidR="00901DF4" w:rsidRDefault="00901DF4" w:rsidP="00901DF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t>logotyp Ministerstwa Sprawiedliwości zgodny z Księgą znaku Ministerstwa Sprawiedliwości</w:t>
      </w:r>
      <w:r w:rsidRPr="00146109">
        <w:t xml:space="preserve">; </w:t>
      </w:r>
      <w:r w:rsidRPr="00146109">
        <w:rPr>
          <w:rFonts w:ascii="Calibri" w:eastAsia="Calibri" w:hAnsi="Calibri" w:cs="Calibri"/>
          <w:sz w:val="24"/>
          <w:szCs w:val="24"/>
        </w:rPr>
        <w:t>Księga znaku Ministerstwa Sprawiedliwości</w:t>
      </w:r>
      <w:r w:rsidRPr="008D096A">
        <w:rPr>
          <w:rFonts w:ascii="Calibri" w:eastAsia="Calibri" w:hAnsi="Calibri" w:cs="Calibri"/>
          <w:sz w:val="24"/>
          <w:szCs w:val="24"/>
        </w:rPr>
        <w:t xml:space="preserve"> zostanie przekazana Wykonawcy niezwłocznie po zawarciu umowy</w:t>
      </w:r>
    </w:p>
    <w:p w14:paraId="2953FD28" w14:textId="77777777" w:rsidR="00901DF4" w:rsidRDefault="00901DF4" w:rsidP="00901DF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ED0C42">
        <w:rPr>
          <w:rFonts w:ascii="Calibri" w:hAnsi="Calibri" w:cs="Calibri"/>
          <w:sz w:val="24"/>
          <w:szCs w:val="24"/>
        </w:rPr>
        <w:t>adnotację:</w:t>
      </w:r>
      <w:r w:rsidRPr="00ED0C42">
        <w:t xml:space="preserve"> </w:t>
      </w:r>
      <w:r w:rsidRPr="00ED0C42">
        <w:rPr>
          <w:rFonts w:ascii="Calibri" w:hAnsi="Calibri" w:cs="Calibri"/>
          <w:sz w:val="24"/>
          <w:szCs w:val="24"/>
        </w:rPr>
        <w:t>„Finansowane przez Unię Europejską. Wyrażone poglądy i opinie są  jednak wyłącznie poglądami i opiniami autora(-ów) i nie muszą odzwierciedlać poglądów Unii Europejskiej lub Komisji Europejskiej. Ani Unia Europejska, ani organ przyznający dotację nie ponoszą za nie odpowiedzialności".</w:t>
      </w:r>
    </w:p>
    <w:p w14:paraId="1623A6B3" w14:textId="77777777" w:rsidR="00901DF4" w:rsidRDefault="00901DF4" w:rsidP="00901DF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Forma graficzna prezentacji powinna uwzględniać zasady dostępności cyfrowej według standardu </w:t>
      </w:r>
      <w:hyperlink r:id="rId9" w:history="1">
        <w:r w:rsidRPr="004A7DEA">
          <w:rPr>
            <w:rStyle w:val="Hipercze"/>
            <w:rFonts w:ascii="Calibri" w:hAnsi="Calibri" w:cs="Calibri"/>
            <w:sz w:val="24"/>
            <w:szCs w:val="24"/>
          </w:rPr>
          <w:t>WCAG 2.1</w:t>
        </w:r>
      </w:hyperlink>
      <w:r>
        <w:rPr>
          <w:rFonts w:ascii="Calibri" w:hAnsi="Calibri" w:cs="Calibri"/>
          <w:sz w:val="24"/>
          <w:szCs w:val="24"/>
        </w:rPr>
        <w:t>, albo format pliku powinien umożliwić Zamawiającemu edycję prezentacji w celu zastosowania zasad dostępności cyfrowej.</w:t>
      </w:r>
    </w:p>
    <w:p w14:paraId="70BED939" w14:textId="77777777" w:rsidR="00901DF4" w:rsidRDefault="00901DF4" w:rsidP="00901DF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przedstawi Zamawiającemu projekt prezentacji w formie elektronicznej w terminie 10 dni kalendarzowych przed dniem szkolenia. Wykonawca obowiązany jest uwzględnić uwagi, które Zamawiający wniesie w terminie 3 dni kalendarzowych od przedstawienia projektu.</w:t>
      </w:r>
    </w:p>
    <w:p w14:paraId="64A04263" w14:textId="77777777" w:rsidR="00901DF4" w:rsidRPr="009D72F1" w:rsidRDefault="00901DF4" w:rsidP="00901DF4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Gotową prezentację Wykonawca przekaże Zamawiającemu w formie elektronicznej najpóźniej na 1 dzień kalendarzowy przed rozpoczęciem szkolenia.</w:t>
      </w:r>
    </w:p>
    <w:p w14:paraId="731FB258" w14:textId="77777777" w:rsidR="00901DF4" w:rsidRPr="005622B8" w:rsidRDefault="00901DF4" w:rsidP="00901DF4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622B8">
        <w:rPr>
          <w:rFonts w:ascii="Calibri" w:hAnsi="Calibri" w:cs="Calibri"/>
          <w:b/>
          <w:bCs/>
          <w:sz w:val="24"/>
          <w:szCs w:val="24"/>
        </w:rPr>
        <w:t>Rozdział VI</w:t>
      </w:r>
      <w:r w:rsidRPr="005622B8">
        <w:rPr>
          <w:rFonts w:ascii="Calibri" w:hAnsi="Calibri" w:cs="Calibri"/>
          <w:b/>
          <w:bCs/>
          <w:sz w:val="24"/>
          <w:szCs w:val="24"/>
        </w:rPr>
        <w:tab/>
        <w:t>Organizacja szkolenia w ramach Spotkania</w:t>
      </w:r>
    </w:p>
    <w:p w14:paraId="2209C6C4" w14:textId="77777777" w:rsidR="00901DF4" w:rsidRDefault="00901DF4" w:rsidP="00901DF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Szkolenie zostanie przeprowadzone trzeciego dnia spotkania, zgodnie z ramowym programem Spotkania określonym poniżej.</w:t>
      </w:r>
    </w:p>
    <w:p w14:paraId="6C1B1D26" w14:textId="77777777" w:rsidR="00901DF4" w:rsidRDefault="00901DF4" w:rsidP="00901DF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zastrzega możliwość zmiany godzin modułów szkoleniowych prowadzonych przez Wykonawcę, w przedziale czasowym 9:00-16:00.</w:t>
      </w:r>
    </w:p>
    <w:p w14:paraId="673A33BD" w14:textId="77777777" w:rsidR="00901DF4" w:rsidRDefault="00901DF4" w:rsidP="00901DF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po uzgodnieniu w trybie roboczym z Zamawiającym może zmieniać organizację prowadzonych przez siebie modułów, w szczególności zmienić ich kolejność albo proporcje czasowe.</w:t>
      </w:r>
    </w:p>
    <w:p w14:paraId="3EDFBA18" w14:textId="77777777" w:rsidR="00901DF4" w:rsidRDefault="00901DF4" w:rsidP="00901DF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Wykonawcy przysługuje prawo udziału w całym Spotkaniu w charakterze uczestnika, w tym do korzystania z noclegu, wyżywienia i parkingu. W przypadku, gdy Wykonawca nie zgłosi Zamawiającemu innego zapotrzebowania w terminie 14 dni kalendarzowych przed dniem szkolenia przyjmuje się, że Wykonawca:</w:t>
      </w:r>
    </w:p>
    <w:p w14:paraId="27F2FBCB" w14:textId="77777777" w:rsidR="00901DF4" w:rsidRDefault="00901DF4" w:rsidP="00901DF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Korzysta z noclegu wyłącznie między 2 a 3 dniem Spotkania;</w:t>
      </w:r>
    </w:p>
    <w:p w14:paraId="2FB262C1" w14:textId="77777777" w:rsidR="00901DF4" w:rsidRDefault="00901DF4" w:rsidP="00901DF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Korzysta z wyżywienia wyłącznie 3 dnia Spotkania;</w:t>
      </w:r>
    </w:p>
    <w:p w14:paraId="69834EF1" w14:textId="77777777" w:rsidR="00901DF4" w:rsidRDefault="00901DF4" w:rsidP="00901DF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korzysta z parkingu.</w:t>
      </w:r>
    </w:p>
    <w:p w14:paraId="6D7862AB" w14:textId="77777777" w:rsidR="00901DF4" w:rsidRPr="005622B8" w:rsidRDefault="00901DF4" w:rsidP="00901DF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lastRenderedPageBreak/>
        <w:t>Ramowy program Spotkania</w:t>
      </w:r>
    </w:p>
    <w:p w14:paraId="3E6E2246" w14:textId="77777777" w:rsidR="00901DF4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2259D7D" w14:textId="77777777" w:rsidR="00901DF4" w:rsidRPr="005622B8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>Dzień 1: przyjazd uczestników korzystających z noclegu.</w:t>
      </w:r>
    </w:p>
    <w:p w14:paraId="181797E2" w14:textId="77777777" w:rsidR="00901DF4" w:rsidRPr="005622B8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C2A79EA" w14:textId="77777777" w:rsidR="00901DF4" w:rsidRPr="005622B8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 xml:space="preserve">Dzień 2. </w:t>
      </w:r>
    </w:p>
    <w:p w14:paraId="6493E46A" w14:textId="77777777" w:rsidR="00901DF4" w:rsidRPr="005622B8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622B8">
        <w:rPr>
          <w:rFonts w:ascii="Calibri" w:eastAsia="Calibri" w:hAnsi="Calibri" w:cs="Calibri"/>
          <w:sz w:val="24"/>
          <w:szCs w:val="24"/>
        </w:rPr>
        <w:t>- do godz. 9.00 – śniadanie w hotelu dla uczestników korzystających z noclegu.</w:t>
      </w:r>
    </w:p>
    <w:p w14:paraId="18AEB19E" w14:textId="77777777" w:rsidR="00901DF4" w:rsidRPr="00CF28A5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901DF4" w:rsidRPr="00CF28A5" w14:paraId="1011AF5F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00E0BE96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08.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8FC3F35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Rejestracja uczestników</w:t>
            </w:r>
          </w:p>
        </w:tc>
      </w:tr>
      <w:tr w:rsidR="00901DF4" w:rsidRPr="00CF28A5" w14:paraId="3476FECA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118189A9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center"/>
          </w:tcPr>
          <w:p w14:paraId="318ACA13" w14:textId="77777777" w:rsidR="00901DF4" w:rsidRPr="001303C5" w:rsidRDefault="00901DF4" w:rsidP="009B2D50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 w:rsidRPr="001303C5">
              <w:rPr>
                <w:rFonts w:ascii="Calibri" w:hAnsi="Calibri"/>
                <w:color w:val="000000"/>
                <w:sz w:val="24"/>
              </w:rPr>
              <w:t>Powitanie uczestników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przedstawienie obecnych na sali członków Europejskiej Sieci Sądowej w sprawach cywilnych i handlowych (EJN)</w:t>
            </w:r>
          </w:p>
        </w:tc>
      </w:tr>
      <w:tr w:rsidR="00901DF4" w:rsidRPr="00CF28A5" w14:paraId="1EF747E7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54195496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6ACEEA16" w14:textId="77777777" w:rsidR="00901DF4" w:rsidRPr="001303C5" w:rsidRDefault="00901DF4" w:rsidP="009B2D50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Prezentacja EJN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1DF4" w:rsidRPr="00CF28A5" w14:paraId="4E76E8BA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0F8E30C7" w14:textId="77777777" w:rsidR="00901DF4" w:rsidRDefault="00901DF4" w:rsidP="009B2D50">
            <w:pPr>
              <w:ind w:left="142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-</w:t>
            </w:r>
          </w:p>
          <w:p w14:paraId="5CF1FD2F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670" w:type="dxa"/>
            <w:vAlign w:val="center"/>
          </w:tcPr>
          <w:p w14:paraId="4A8AEB6F" w14:textId="77777777" w:rsidR="00901DF4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Omówienie najważniejszych narzędzi pracy w sprawach z zakresu obrotu prawnego z zagranicą</w:t>
            </w:r>
          </w:p>
        </w:tc>
      </w:tr>
      <w:tr w:rsidR="00901DF4" w:rsidRPr="00CF28A5" w14:paraId="2A4B081F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42CAF486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670" w:type="dxa"/>
            <w:vAlign w:val="center"/>
          </w:tcPr>
          <w:p w14:paraId="7F13810F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901DF4" w:rsidRPr="00CF28A5" w14:paraId="3044D532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1B8367DA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5670" w:type="dxa"/>
            <w:vAlign w:val="center"/>
          </w:tcPr>
          <w:p w14:paraId="1B33E0D4" w14:textId="77777777" w:rsidR="00901DF4" w:rsidRPr="001303C5" w:rsidRDefault="00901DF4" w:rsidP="009B2D50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szkolenie: obrót cywilny z państwami członkowskimi UE w sprawach rodzinnych w praktyce</w:t>
            </w:r>
          </w:p>
        </w:tc>
      </w:tr>
      <w:tr w:rsidR="00901DF4" w:rsidRPr="00CF28A5" w14:paraId="57641D23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5BB3B122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- 14.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14:paraId="179F5A9E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+ przerwa kawowa </w:t>
            </w:r>
          </w:p>
        </w:tc>
      </w:tr>
      <w:tr w:rsidR="00901DF4" w:rsidRPr="00CF28A5" w14:paraId="0C5785C2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36BEBB55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5670" w:type="dxa"/>
            <w:vAlign w:val="center"/>
          </w:tcPr>
          <w:p w14:paraId="4E2569C5" w14:textId="77777777" w:rsidR="00901DF4" w:rsidRPr="001303C5" w:rsidRDefault="00901DF4" w:rsidP="009B2D50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Szkolenie: obrót cywilny z państwami członkowskimi UE w sprawach spadkowych w praktyce</w:t>
            </w:r>
          </w:p>
        </w:tc>
      </w:tr>
      <w:tr w:rsidR="00901DF4" w:rsidRPr="00CF28A5" w14:paraId="3069B548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14B31921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670" w:type="dxa"/>
            <w:vAlign w:val="center"/>
          </w:tcPr>
          <w:p w14:paraId="35D7BC90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1DF4" w:rsidRPr="00CF28A5" w14:paraId="4D70F92E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625C643F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5670" w:type="dxa"/>
            <w:vAlign w:val="center"/>
          </w:tcPr>
          <w:p w14:paraId="0D7E9D9B" w14:textId="77777777" w:rsidR="00901DF4" w:rsidRPr="001303C5" w:rsidRDefault="00901DF4" w:rsidP="009B2D50">
            <w:pPr>
              <w:ind w:left="142"/>
              <w:jc w:val="both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Spotkanie zamknięte dla członków EJN: omówienie bieżących problemów w obrocie prawnym z zagranicą ze szczególnym uwzględnieniem kontekstu lokalnego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1DF4" w:rsidRPr="00CF28A5" w14:paraId="57641C04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02144A8F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19.30</w:t>
            </w:r>
          </w:p>
        </w:tc>
        <w:tc>
          <w:tcPr>
            <w:tcW w:w="5670" w:type="dxa"/>
            <w:vAlign w:val="center"/>
          </w:tcPr>
          <w:p w14:paraId="5F7CF231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Kolacja</w:t>
            </w:r>
          </w:p>
        </w:tc>
      </w:tr>
    </w:tbl>
    <w:p w14:paraId="3693AA9B" w14:textId="77777777" w:rsidR="00901DF4" w:rsidRDefault="00901DF4" w:rsidP="00901DF4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A04DE63" w14:textId="77777777" w:rsidR="00901DF4" w:rsidRDefault="00901DF4" w:rsidP="00901DF4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7D47341" w14:textId="77777777" w:rsidR="00901DF4" w:rsidRPr="00DC18EE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C18EE">
        <w:rPr>
          <w:rFonts w:ascii="Calibri" w:eastAsia="Calibri" w:hAnsi="Calibri" w:cs="Calibri"/>
          <w:sz w:val="24"/>
          <w:szCs w:val="24"/>
        </w:rPr>
        <w:t xml:space="preserve">Dzień 3. </w:t>
      </w:r>
    </w:p>
    <w:p w14:paraId="7C563EAE" w14:textId="77777777" w:rsidR="00901DF4" w:rsidRPr="00DC18EE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C18EE">
        <w:rPr>
          <w:rFonts w:ascii="Calibri" w:eastAsia="Calibri" w:hAnsi="Calibri" w:cs="Calibri"/>
          <w:sz w:val="24"/>
          <w:szCs w:val="24"/>
        </w:rPr>
        <w:t>- do godz. 9.00 – śniadanie w hotelu dla uczestników korzystających z noclegu</w:t>
      </w:r>
    </w:p>
    <w:p w14:paraId="13AF90A6" w14:textId="77777777" w:rsidR="00901DF4" w:rsidRPr="00CF28A5" w:rsidRDefault="00901DF4" w:rsidP="00901DF4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901DF4" w:rsidRPr="00CF28A5" w14:paraId="2D8036BB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514CF876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670" w:type="dxa"/>
            <w:vAlign w:val="center"/>
          </w:tcPr>
          <w:p w14:paraId="10E49DA3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 moduł szkoleniowy prowadzony przez Wykonawcę</w:t>
            </w:r>
          </w:p>
        </w:tc>
      </w:tr>
      <w:tr w:rsidR="00901DF4" w:rsidRPr="00CF28A5" w14:paraId="4101D757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2AC06679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5670" w:type="dxa"/>
            <w:vAlign w:val="center"/>
          </w:tcPr>
          <w:p w14:paraId="3227EED3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901DF4" w:rsidRPr="00CF28A5" w14:paraId="1C468569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7EAEF167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0.45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670" w:type="dxa"/>
            <w:vAlign w:val="center"/>
          </w:tcPr>
          <w:p w14:paraId="18700397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II moduł szkoleniowy prowadzony przez Wykonawcę</w:t>
            </w:r>
          </w:p>
        </w:tc>
      </w:tr>
      <w:tr w:rsidR="00901DF4" w:rsidRPr="00CF28A5" w14:paraId="5633C2D2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5878C08B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2.15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670" w:type="dxa"/>
            <w:vAlign w:val="center"/>
          </w:tcPr>
          <w:p w14:paraId="2B7F8591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+ przerwa kawowa</w:t>
            </w:r>
          </w:p>
        </w:tc>
      </w:tr>
      <w:tr w:rsidR="00901DF4" w:rsidRPr="00CF28A5" w14:paraId="7546C94B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1AC5E681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vAlign w:val="center"/>
          </w:tcPr>
          <w:p w14:paraId="3528B223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II moduł szkoleniowy prowadzony przez Wykonawcę</w:t>
            </w:r>
          </w:p>
        </w:tc>
      </w:tr>
      <w:tr w:rsidR="00901DF4" w:rsidRPr="00CF28A5" w14:paraId="146C2AA0" w14:textId="77777777" w:rsidTr="009B2D50">
        <w:trPr>
          <w:trHeight w:val="567"/>
          <w:jc w:val="center"/>
        </w:trPr>
        <w:tc>
          <w:tcPr>
            <w:tcW w:w="1526" w:type="dxa"/>
            <w:vAlign w:val="center"/>
          </w:tcPr>
          <w:p w14:paraId="37A5479F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5.00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CF28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670" w:type="dxa"/>
            <w:vAlign w:val="center"/>
          </w:tcPr>
          <w:p w14:paraId="5AB95E86" w14:textId="77777777" w:rsidR="00901DF4" w:rsidRPr="00CF28A5" w:rsidRDefault="00901DF4" w:rsidP="009B2D50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Zakończenie spotkania, wypełnienie ankiet</w:t>
            </w:r>
            <w:r w:rsidRPr="00CF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4ABFDD7" w14:textId="77777777" w:rsidR="00901DF4" w:rsidRDefault="00901DF4" w:rsidP="00901DF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B11FE90" w14:textId="1978875B" w:rsidR="00897522" w:rsidRPr="00901DF4" w:rsidRDefault="00897522" w:rsidP="00901DF4"/>
    <w:sectPr w:rsidR="00897522" w:rsidRPr="00901DF4" w:rsidSect="00D76952">
      <w:headerReference w:type="default" r:id="rId10"/>
      <w:footerReference w:type="default" r:id="rId11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C756F" w14:textId="77777777" w:rsidR="004C4533" w:rsidRDefault="004C4533">
      <w:pPr>
        <w:spacing w:after="0" w:line="240" w:lineRule="auto"/>
      </w:pPr>
      <w:r>
        <w:separator/>
      </w:r>
    </w:p>
  </w:endnote>
  <w:endnote w:type="continuationSeparator" w:id="0">
    <w:p w14:paraId="74046D72" w14:textId="77777777" w:rsidR="004C4533" w:rsidRDefault="004C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540366"/>
      <w:docPartObj>
        <w:docPartGallery w:val="Page Numbers (Bottom of Page)"/>
        <w:docPartUnique/>
      </w:docPartObj>
    </w:sdtPr>
    <w:sdtContent>
      <w:p w14:paraId="06B884D3" w14:textId="7BD60A1F" w:rsidR="00F269A9" w:rsidRDefault="00F269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7E6F3" w14:textId="77777777" w:rsidR="00D76952" w:rsidRPr="007121FA" w:rsidRDefault="00D76952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092B1" w14:textId="77777777" w:rsidR="004C4533" w:rsidRDefault="004C4533">
      <w:pPr>
        <w:spacing w:after="0" w:line="240" w:lineRule="auto"/>
      </w:pPr>
      <w:r>
        <w:separator/>
      </w:r>
    </w:p>
  </w:footnote>
  <w:footnote w:type="continuationSeparator" w:id="0">
    <w:p w14:paraId="7370D1C4" w14:textId="77777777" w:rsidR="004C4533" w:rsidRDefault="004C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9374D" w14:textId="77777777" w:rsidR="00F269A9" w:rsidRPr="005B1BA9" w:rsidRDefault="00F269A9" w:rsidP="00F269A9">
    <w:pPr>
      <w:pStyle w:val="Nagwek"/>
      <w:tabs>
        <w:tab w:val="clear" w:pos="4536"/>
        <w:tab w:val="clear" w:pos="9072"/>
        <w:tab w:val="left" w:pos="85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EBDC32" wp14:editId="646B408E">
          <wp:simplePos x="0" y="0"/>
          <wp:positionH relativeFrom="margin">
            <wp:align>right</wp:align>
          </wp:positionH>
          <wp:positionV relativeFrom="paragraph">
            <wp:posOffset>10615</wp:posOffset>
          </wp:positionV>
          <wp:extent cx="2136775" cy="854710"/>
          <wp:effectExtent l="0" t="0" r="0" b="0"/>
          <wp:wrapThrough wrapText="bothSides">
            <wp:wrapPolygon edited="0">
              <wp:start x="3081" y="2407"/>
              <wp:lineTo x="1155" y="4333"/>
              <wp:lineTo x="963" y="8666"/>
              <wp:lineTo x="1155" y="16368"/>
              <wp:lineTo x="2889" y="18294"/>
              <wp:lineTo x="7125" y="19257"/>
              <wp:lineTo x="20412" y="19257"/>
              <wp:lineTo x="20798" y="7221"/>
              <wp:lineTo x="17331" y="5296"/>
              <wp:lineTo x="5007" y="2407"/>
              <wp:lineTo x="3081" y="2407"/>
            </wp:wrapPolygon>
          </wp:wrapThrough>
          <wp:docPr id="1504712141" name="Obraz 1504712141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12141" name="Obraz 1504712141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871FD" wp14:editId="5059A7B0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913852425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3B14D" w14:textId="77777777" w:rsidR="00F269A9" w:rsidRPr="005C250D" w:rsidRDefault="00F269A9" w:rsidP="00F269A9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5C250D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71459FA7" wp14:editId="170AAADA">
                                <wp:extent cx="2874724" cy="514350"/>
                                <wp:effectExtent l="0" t="0" r="1905" b="0"/>
                                <wp:docPr id="2042956747" name="Obraz 1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619687" name="Obraz 1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832" cy="5147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19871F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8g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ju+lsiiGOsdvp5zHaCJNd/rbOh68CNIlGQR3Kkthi&#10;h7UPXeopJRYzsKqVStIoQ5qCzm4Q8rcIgiuDNS69Riu027YfYAvlEedy0EnuLV/VWHzNfHhhDjXG&#10;fnFvwzMeUgEWgd6ipAL382/3MR+pxyglDe5MQf2PPXOCEvXNoCh3o8kkLllyJkgEOu46sr2OmL1+&#10;AFzLEb4Qy5MZ84M6mdKBfsP1XsaqGGKGY+2ChpP5ELpNxufBxXKZknCtLAtrs7E8QkfSIrWv7Rtz&#10;tuc/oHJPcNoulr+Tocvt6F7uA8g6aRQJ7ljteceVTCr3zyfu/LWfsi6PfPEL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MQBXyAUAgAAL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41D3B14D" w14:textId="77777777" w:rsidR="00F269A9" w:rsidRPr="005C250D" w:rsidRDefault="00F269A9" w:rsidP="00F269A9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5C250D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71459FA7" wp14:editId="170AAADA">
                          <wp:extent cx="2874724" cy="514350"/>
                          <wp:effectExtent l="0" t="0" r="1905" b="0"/>
                          <wp:docPr id="2042956747" name="Obraz 1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8619687" name="Obraz 1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832" cy="5147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6DB511B" w14:textId="77777777" w:rsidR="00F269A9" w:rsidRDefault="00F269A9" w:rsidP="00F269A9">
    <w:pPr>
      <w:pStyle w:val="Nagwek"/>
    </w:pPr>
  </w:p>
  <w:p w14:paraId="26C31AE7" w14:textId="77777777" w:rsidR="00F269A9" w:rsidRPr="00872CB6" w:rsidRDefault="00F269A9" w:rsidP="00F269A9">
    <w:pPr>
      <w:pStyle w:val="Nagwek"/>
    </w:pPr>
  </w:p>
  <w:p w14:paraId="7D933701" w14:textId="695A21E8" w:rsidR="00D76952" w:rsidRPr="00F269A9" w:rsidRDefault="00D76952" w:rsidP="00F26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4409"/>
    <w:multiLevelType w:val="hybridMultilevel"/>
    <w:tmpl w:val="8924948A"/>
    <w:lvl w:ilvl="0" w:tplc="9A30B1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064E27"/>
    <w:multiLevelType w:val="hybridMultilevel"/>
    <w:tmpl w:val="D5327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B8"/>
    <w:multiLevelType w:val="hybridMultilevel"/>
    <w:tmpl w:val="8D3EF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9E3"/>
    <w:multiLevelType w:val="hybridMultilevel"/>
    <w:tmpl w:val="D9D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CA1"/>
    <w:multiLevelType w:val="hybridMultilevel"/>
    <w:tmpl w:val="9164470A"/>
    <w:lvl w:ilvl="0" w:tplc="B3AAEF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5138DF"/>
    <w:multiLevelType w:val="hybridMultilevel"/>
    <w:tmpl w:val="82FA2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057"/>
    <w:multiLevelType w:val="hybridMultilevel"/>
    <w:tmpl w:val="00DA0FDE"/>
    <w:lvl w:ilvl="0" w:tplc="9E7686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6C0EC74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DE20EBAC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D7C07D8C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EB3A98C2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C99609F2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FB8A9DB0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F3CEA04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24BC908C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abstractNum w:abstractNumId="7" w15:restartNumberingAfterBreak="0">
    <w:nsid w:val="281A2972"/>
    <w:multiLevelType w:val="hybridMultilevel"/>
    <w:tmpl w:val="8DE4F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A4DBE"/>
    <w:multiLevelType w:val="hybridMultilevel"/>
    <w:tmpl w:val="0060D4CC"/>
    <w:lvl w:ilvl="0" w:tplc="48EE244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33AE5604"/>
    <w:multiLevelType w:val="hybridMultilevel"/>
    <w:tmpl w:val="4B349EC6"/>
    <w:lvl w:ilvl="0" w:tplc="F476F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01353"/>
    <w:multiLevelType w:val="hybridMultilevel"/>
    <w:tmpl w:val="936E6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7864293"/>
    <w:multiLevelType w:val="hybridMultilevel"/>
    <w:tmpl w:val="C134856A"/>
    <w:lvl w:ilvl="0" w:tplc="741E1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F06B56"/>
    <w:multiLevelType w:val="hybridMultilevel"/>
    <w:tmpl w:val="F3E2CD02"/>
    <w:lvl w:ilvl="0" w:tplc="777EC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00D5F"/>
    <w:multiLevelType w:val="hybridMultilevel"/>
    <w:tmpl w:val="85D609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1D75EF"/>
    <w:multiLevelType w:val="hybridMultilevel"/>
    <w:tmpl w:val="910877CA"/>
    <w:lvl w:ilvl="0" w:tplc="E54414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371E"/>
    <w:multiLevelType w:val="hybridMultilevel"/>
    <w:tmpl w:val="85D60992"/>
    <w:lvl w:ilvl="0" w:tplc="D1347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99406D"/>
    <w:multiLevelType w:val="hybridMultilevel"/>
    <w:tmpl w:val="9ED00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D53208"/>
    <w:multiLevelType w:val="hybridMultilevel"/>
    <w:tmpl w:val="2FDA2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C3F9D"/>
    <w:multiLevelType w:val="hybridMultilevel"/>
    <w:tmpl w:val="5106DA9E"/>
    <w:lvl w:ilvl="0" w:tplc="06869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DB3CF1"/>
    <w:multiLevelType w:val="hybridMultilevel"/>
    <w:tmpl w:val="9C20F266"/>
    <w:lvl w:ilvl="0" w:tplc="DFDE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606984"/>
    <w:multiLevelType w:val="hybridMultilevel"/>
    <w:tmpl w:val="99721FCE"/>
    <w:lvl w:ilvl="0" w:tplc="E8140B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9072C8"/>
    <w:multiLevelType w:val="hybridMultilevel"/>
    <w:tmpl w:val="55A63FD2"/>
    <w:lvl w:ilvl="0" w:tplc="DE38C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A94AF9"/>
    <w:multiLevelType w:val="hybridMultilevel"/>
    <w:tmpl w:val="4A18C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51628"/>
    <w:multiLevelType w:val="hybridMultilevel"/>
    <w:tmpl w:val="243C807E"/>
    <w:lvl w:ilvl="0" w:tplc="07EE74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5264072" w:tentative="1">
      <w:start w:val="1"/>
      <w:numFmt w:val="lowerLetter"/>
      <w:lvlText w:val="%2."/>
      <w:lvlJc w:val="left"/>
      <w:pPr>
        <w:ind w:left="1440" w:hanging="360"/>
      </w:pPr>
    </w:lvl>
    <w:lvl w:ilvl="2" w:tplc="B1B04D88" w:tentative="1">
      <w:start w:val="1"/>
      <w:numFmt w:val="lowerRoman"/>
      <w:lvlText w:val="%3."/>
      <w:lvlJc w:val="right"/>
      <w:pPr>
        <w:ind w:left="2160" w:hanging="180"/>
      </w:pPr>
    </w:lvl>
    <w:lvl w:ilvl="3" w:tplc="D3F271D8" w:tentative="1">
      <w:start w:val="1"/>
      <w:numFmt w:val="decimal"/>
      <w:lvlText w:val="%4."/>
      <w:lvlJc w:val="left"/>
      <w:pPr>
        <w:ind w:left="2880" w:hanging="360"/>
      </w:pPr>
    </w:lvl>
    <w:lvl w:ilvl="4" w:tplc="D1BEF2EE" w:tentative="1">
      <w:start w:val="1"/>
      <w:numFmt w:val="lowerLetter"/>
      <w:lvlText w:val="%5."/>
      <w:lvlJc w:val="left"/>
      <w:pPr>
        <w:ind w:left="3600" w:hanging="360"/>
      </w:pPr>
    </w:lvl>
    <w:lvl w:ilvl="5" w:tplc="415015C8" w:tentative="1">
      <w:start w:val="1"/>
      <w:numFmt w:val="lowerRoman"/>
      <w:lvlText w:val="%6."/>
      <w:lvlJc w:val="right"/>
      <w:pPr>
        <w:ind w:left="4320" w:hanging="180"/>
      </w:pPr>
    </w:lvl>
    <w:lvl w:ilvl="6" w:tplc="1FD0C88A" w:tentative="1">
      <w:start w:val="1"/>
      <w:numFmt w:val="decimal"/>
      <w:lvlText w:val="%7."/>
      <w:lvlJc w:val="left"/>
      <w:pPr>
        <w:ind w:left="5040" w:hanging="360"/>
      </w:pPr>
    </w:lvl>
    <w:lvl w:ilvl="7" w:tplc="E4F8AEA4" w:tentative="1">
      <w:start w:val="1"/>
      <w:numFmt w:val="lowerLetter"/>
      <w:lvlText w:val="%8."/>
      <w:lvlJc w:val="left"/>
      <w:pPr>
        <w:ind w:left="5760" w:hanging="360"/>
      </w:pPr>
    </w:lvl>
    <w:lvl w:ilvl="8" w:tplc="696E3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C5493"/>
    <w:multiLevelType w:val="hybridMultilevel"/>
    <w:tmpl w:val="B6800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4776"/>
    <w:multiLevelType w:val="hybridMultilevel"/>
    <w:tmpl w:val="11A07442"/>
    <w:lvl w:ilvl="0" w:tplc="DF160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532531"/>
    <w:multiLevelType w:val="hybridMultilevel"/>
    <w:tmpl w:val="E66A04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D905B44"/>
    <w:multiLevelType w:val="hybridMultilevel"/>
    <w:tmpl w:val="ED22C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27455">
    <w:abstractNumId w:val="8"/>
  </w:num>
  <w:num w:numId="2" w16cid:durableId="544097871">
    <w:abstractNumId w:val="3"/>
  </w:num>
  <w:num w:numId="3" w16cid:durableId="1045525691">
    <w:abstractNumId w:val="1"/>
  </w:num>
  <w:num w:numId="4" w16cid:durableId="1022822661">
    <w:abstractNumId w:val="13"/>
  </w:num>
  <w:num w:numId="5" w16cid:durableId="153494415">
    <w:abstractNumId w:val="17"/>
  </w:num>
  <w:num w:numId="6" w16cid:durableId="1325621553">
    <w:abstractNumId w:val="18"/>
  </w:num>
  <w:num w:numId="7" w16cid:durableId="1081875422">
    <w:abstractNumId w:val="7"/>
  </w:num>
  <w:num w:numId="8" w16cid:durableId="1145390414">
    <w:abstractNumId w:val="27"/>
  </w:num>
  <w:num w:numId="9" w16cid:durableId="482622526">
    <w:abstractNumId w:val="10"/>
  </w:num>
  <w:num w:numId="10" w16cid:durableId="1963029599">
    <w:abstractNumId w:val="5"/>
  </w:num>
  <w:num w:numId="11" w16cid:durableId="130710922">
    <w:abstractNumId w:val="16"/>
  </w:num>
  <w:num w:numId="12" w16cid:durableId="113986364">
    <w:abstractNumId w:val="22"/>
  </w:num>
  <w:num w:numId="13" w16cid:durableId="2136218184">
    <w:abstractNumId w:val="28"/>
  </w:num>
  <w:num w:numId="14" w16cid:durableId="1733502904">
    <w:abstractNumId w:val="26"/>
  </w:num>
  <w:num w:numId="15" w16cid:durableId="1858424214">
    <w:abstractNumId w:val="2"/>
  </w:num>
  <w:num w:numId="16" w16cid:durableId="799539858">
    <w:abstractNumId w:val="12"/>
  </w:num>
  <w:num w:numId="17" w16cid:durableId="1070536379">
    <w:abstractNumId w:val="11"/>
  </w:num>
  <w:num w:numId="18" w16cid:durableId="31656564">
    <w:abstractNumId w:val="23"/>
  </w:num>
  <w:num w:numId="19" w16cid:durableId="1094285519">
    <w:abstractNumId w:val="20"/>
  </w:num>
  <w:num w:numId="20" w16cid:durableId="1851991828">
    <w:abstractNumId w:val="25"/>
  </w:num>
  <w:num w:numId="21" w16cid:durableId="1108696596">
    <w:abstractNumId w:val="9"/>
  </w:num>
  <w:num w:numId="22" w16cid:durableId="1949893036">
    <w:abstractNumId w:val="4"/>
  </w:num>
  <w:num w:numId="23" w16cid:durableId="927612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4654320">
    <w:abstractNumId w:val="24"/>
  </w:num>
  <w:num w:numId="25" w16cid:durableId="1126120809">
    <w:abstractNumId w:val="15"/>
  </w:num>
  <w:num w:numId="26" w16cid:durableId="625546047">
    <w:abstractNumId w:val="14"/>
  </w:num>
  <w:num w:numId="27" w16cid:durableId="1221330777">
    <w:abstractNumId w:val="0"/>
  </w:num>
  <w:num w:numId="28" w16cid:durableId="1521502993">
    <w:abstractNumId w:val="19"/>
  </w:num>
  <w:num w:numId="29" w16cid:durableId="1236265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2"/>
    <w:rsid w:val="000032C1"/>
    <w:rsid w:val="000043FD"/>
    <w:rsid w:val="00010044"/>
    <w:rsid w:val="00016A75"/>
    <w:rsid w:val="00017A12"/>
    <w:rsid w:val="00043BFA"/>
    <w:rsid w:val="00044B0A"/>
    <w:rsid w:val="00064625"/>
    <w:rsid w:val="00065B99"/>
    <w:rsid w:val="00067311"/>
    <w:rsid w:val="00074BF5"/>
    <w:rsid w:val="00077F10"/>
    <w:rsid w:val="0009489D"/>
    <w:rsid w:val="000A154F"/>
    <w:rsid w:val="000A2E06"/>
    <w:rsid w:val="000C0BA7"/>
    <w:rsid w:val="000C5E26"/>
    <w:rsid w:val="000C68AF"/>
    <w:rsid w:val="000F6264"/>
    <w:rsid w:val="00122544"/>
    <w:rsid w:val="0012527F"/>
    <w:rsid w:val="001265B0"/>
    <w:rsid w:val="0013254F"/>
    <w:rsid w:val="00134FC4"/>
    <w:rsid w:val="00140E4A"/>
    <w:rsid w:val="00141B83"/>
    <w:rsid w:val="00146109"/>
    <w:rsid w:val="00150CCA"/>
    <w:rsid w:val="001633A1"/>
    <w:rsid w:val="001674FA"/>
    <w:rsid w:val="001715ED"/>
    <w:rsid w:val="00171E06"/>
    <w:rsid w:val="00180669"/>
    <w:rsid w:val="00185690"/>
    <w:rsid w:val="001929E8"/>
    <w:rsid w:val="001A0FC3"/>
    <w:rsid w:val="001A2D30"/>
    <w:rsid w:val="001B111D"/>
    <w:rsid w:val="001D7307"/>
    <w:rsid w:val="001E4578"/>
    <w:rsid w:val="001E45B0"/>
    <w:rsid w:val="002023E1"/>
    <w:rsid w:val="00205960"/>
    <w:rsid w:val="00207739"/>
    <w:rsid w:val="00213B5E"/>
    <w:rsid w:val="00215B5D"/>
    <w:rsid w:val="002211CE"/>
    <w:rsid w:val="002237B9"/>
    <w:rsid w:val="00225907"/>
    <w:rsid w:val="00236C16"/>
    <w:rsid w:val="00244867"/>
    <w:rsid w:val="00250C39"/>
    <w:rsid w:val="00255980"/>
    <w:rsid w:val="00261AD0"/>
    <w:rsid w:val="00263600"/>
    <w:rsid w:val="0027098B"/>
    <w:rsid w:val="00287187"/>
    <w:rsid w:val="00296F65"/>
    <w:rsid w:val="002A70E3"/>
    <w:rsid w:val="002B0FA6"/>
    <w:rsid w:val="002C00FC"/>
    <w:rsid w:val="002D166C"/>
    <w:rsid w:val="002D514B"/>
    <w:rsid w:val="002D546D"/>
    <w:rsid w:val="002E5C3B"/>
    <w:rsid w:val="002F2E99"/>
    <w:rsid w:val="00302ADA"/>
    <w:rsid w:val="00304D19"/>
    <w:rsid w:val="00311991"/>
    <w:rsid w:val="003122CF"/>
    <w:rsid w:val="00313A68"/>
    <w:rsid w:val="00320D66"/>
    <w:rsid w:val="003235EE"/>
    <w:rsid w:val="003307A7"/>
    <w:rsid w:val="00330CFA"/>
    <w:rsid w:val="00335EBF"/>
    <w:rsid w:val="00343E52"/>
    <w:rsid w:val="003468CB"/>
    <w:rsid w:val="003539E9"/>
    <w:rsid w:val="00354C82"/>
    <w:rsid w:val="003579C9"/>
    <w:rsid w:val="00361856"/>
    <w:rsid w:val="003813C4"/>
    <w:rsid w:val="003839FA"/>
    <w:rsid w:val="0038537B"/>
    <w:rsid w:val="0039262C"/>
    <w:rsid w:val="00392A87"/>
    <w:rsid w:val="00394047"/>
    <w:rsid w:val="003B2863"/>
    <w:rsid w:val="003B3530"/>
    <w:rsid w:val="003D2681"/>
    <w:rsid w:val="003D7D37"/>
    <w:rsid w:val="003E0F4B"/>
    <w:rsid w:val="003E4253"/>
    <w:rsid w:val="003F3241"/>
    <w:rsid w:val="00400DAC"/>
    <w:rsid w:val="0041176E"/>
    <w:rsid w:val="004208D8"/>
    <w:rsid w:val="00433B58"/>
    <w:rsid w:val="004341B3"/>
    <w:rsid w:val="00447AC2"/>
    <w:rsid w:val="00450411"/>
    <w:rsid w:val="0045173D"/>
    <w:rsid w:val="004540E0"/>
    <w:rsid w:val="0046082B"/>
    <w:rsid w:val="00480B12"/>
    <w:rsid w:val="00484118"/>
    <w:rsid w:val="00486DE9"/>
    <w:rsid w:val="00495989"/>
    <w:rsid w:val="004A283F"/>
    <w:rsid w:val="004A7DEA"/>
    <w:rsid w:val="004B7934"/>
    <w:rsid w:val="004C137C"/>
    <w:rsid w:val="004C20AA"/>
    <w:rsid w:val="004C2703"/>
    <w:rsid w:val="004C4533"/>
    <w:rsid w:val="004D2050"/>
    <w:rsid w:val="004F1252"/>
    <w:rsid w:val="00517B16"/>
    <w:rsid w:val="00530A47"/>
    <w:rsid w:val="00530B80"/>
    <w:rsid w:val="00531804"/>
    <w:rsid w:val="00542AF5"/>
    <w:rsid w:val="005443C2"/>
    <w:rsid w:val="00546E84"/>
    <w:rsid w:val="005575B3"/>
    <w:rsid w:val="005622B8"/>
    <w:rsid w:val="00562F80"/>
    <w:rsid w:val="005714B8"/>
    <w:rsid w:val="00574303"/>
    <w:rsid w:val="00585A05"/>
    <w:rsid w:val="00590F29"/>
    <w:rsid w:val="00594C58"/>
    <w:rsid w:val="005B4824"/>
    <w:rsid w:val="005C250D"/>
    <w:rsid w:val="005C2B47"/>
    <w:rsid w:val="005D0787"/>
    <w:rsid w:val="005D1B9F"/>
    <w:rsid w:val="005D4ACA"/>
    <w:rsid w:val="005E0105"/>
    <w:rsid w:val="005E5597"/>
    <w:rsid w:val="005F3978"/>
    <w:rsid w:val="005F731A"/>
    <w:rsid w:val="005F746D"/>
    <w:rsid w:val="00603DEC"/>
    <w:rsid w:val="00610F76"/>
    <w:rsid w:val="00614019"/>
    <w:rsid w:val="00631721"/>
    <w:rsid w:val="00634035"/>
    <w:rsid w:val="00637059"/>
    <w:rsid w:val="00637FF9"/>
    <w:rsid w:val="00640C5E"/>
    <w:rsid w:val="0064386B"/>
    <w:rsid w:val="00647537"/>
    <w:rsid w:val="00654838"/>
    <w:rsid w:val="006549FF"/>
    <w:rsid w:val="006559E4"/>
    <w:rsid w:val="0066620E"/>
    <w:rsid w:val="00690645"/>
    <w:rsid w:val="006A5D00"/>
    <w:rsid w:val="006A6AC6"/>
    <w:rsid w:val="006A7580"/>
    <w:rsid w:val="006B704A"/>
    <w:rsid w:val="006C0ED0"/>
    <w:rsid w:val="006D083D"/>
    <w:rsid w:val="006D2BB3"/>
    <w:rsid w:val="006D334A"/>
    <w:rsid w:val="006D34E1"/>
    <w:rsid w:val="006E7AD6"/>
    <w:rsid w:val="007046F4"/>
    <w:rsid w:val="00713B0E"/>
    <w:rsid w:val="0071411C"/>
    <w:rsid w:val="0072082A"/>
    <w:rsid w:val="00722C09"/>
    <w:rsid w:val="00723383"/>
    <w:rsid w:val="00735063"/>
    <w:rsid w:val="00735361"/>
    <w:rsid w:val="00740A21"/>
    <w:rsid w:val="00741708"/>
    <w:rsid w:val="0074429A"/>
    <w:rsid w:val="00745B25"/>
    <w:rsid w:val="00750CF2"/>
    <w:rsid w:val="0075137A"/>
    <w:rsid w:val="00751701"/>
    <w:rsid w:val="007556A0"/>
    <w:rsid w:val="007606AE"/>
    <w:rsid w:val="0076131D"/>
    <w:rsid w:val="007765D2"/>
    <w:rsid w:val="007774F5"/>
    <w:rsid w:val="007A571D"/>
    <w:rsid w:val="007A7B1A"/>
    <w:rsid w:val="007B6D3D"/>
    <w:rsid w:val="007D1443"/>
    <w:rsid w:val="007E7471"/>
    <w:rsid w:val="007F675C"/>
    <w:rsid w:val="007F764B"/>
    <w:rsid w:val="007F791A"/>
    <w:rsid w:val="008045E7"/>
    <w:rsid w:val="008054CC"/>
    <w:rsid w:val="00805D20"/>
    <w:rsid w:val="0080648D"/>
    <w:rsid w:val="008101D6"/>
    <w:rsid w:val="00813187"/>
    <w:rsid w:val="00814E16"/>
    <w:rsid w:val="0082478F"/>
    <w:rsid w:val="00830D9F"/>
    <w:rsid w:val="00831D49"/>
    <w:rsid w:val="00846A98"/>
    <w:rsid w:val="008519D8"/>
    <w:rsid w:val="008570DF"/>
    <w:rsid w:val="0086064E"/>
    <w:rsid w:val="008638BF"/>
    <w:rsid w:val="008647D3"/>
    <w:rsid w:val="00865B58"/>
    <w:rsid w:val="008852FB"/>
    <w:rsid w:val="00885B8A"/>
    <w:rsid w:val="00893AF0"/>
    <w:rsid w:val="00897522"/>
    <w:rsid w:val="008B4FA8"/>
    <w:rsid w:val="008C2381"/>
    <w:rsid w:val="008D4750"/>
    <w:rsid w:val="008F3877"/>
    <w:rsid w:val="008F4922"/>
    <w:rsid w:val="008F7792"/>
    <w:rsid w:val="009015E3"/>
    <w:rsid w:val="00901DF4"/>
    <w:rsid w:val="00907C25"/>
    <w:rsid w:val="00912DA3"/>
    <w:rsid w:val="009153C9"/>
    <w:rsid w:val="009330C5"/>
    <w:rsid w:val="00936C43"/>
    <w:rsid w:val="00942571"/>
    <w:rsid w:val="00944B2F"/>
    <w:rsid w:val="009468CA"/>
    <w:rsid w:val="00947E6B"/>
    <w:rsid w:val="00965FD9"/>
    <w:rsid w:val="00972CE4"/>
    <w:rsid w:val="00973228"/>
    <w:rsid w:val="00980F7F"/>
    <w:rsid w:val="00990E34"/>
    <w:rsid w:val="00991BA7"/>
    <w:rsid w:val="00991FE4"/>
    <w:rsid w:val="009A1572"/>
    <w:rsid w:val="009A1F56"/>
    <w:rsid w:val="009A7AB0"/>
    <w:rsid w:val="009B27E7"/>
    <w:rsid w:val="009C3549"/>
    <w:rsid w:val="009C35BE"/>
    <w:rsid w:val="009C6905"/>
    <w:rsid w:val="009D72F1"/>
    <w:rsid w:val="009E7CB5"/>
    <w:rsid w:val="009F3A6A"/>
    <w:rsid w:val="009F641C"/>
    <w:rsid w:val="00A00E8A"/>
    <w:rsid w:val="00A13325"/>
    <w:rsid w:val="00A136D7"/>
    <w:rsid w:val="00A16EDC"/>
    <w:rsid w:val="00A20F30"/>
    <w:rsid w:val="00A212A9"/>
    <w:rsid w:val="00A231CD"/>
    <w:rsid w:val="00A23562"/>
    <w:rsid w:val="00A65153"/>
    <w:rsid w:val="00A77118"/>
    <w:rsid w:val="00A8047D"/>
    <w:rsid w:val="00A97AEB"/>
    <w:rsid w:val="00AA3434"/>
    <w:rsid w:val="00AA456E"/>
    <w:rsid w:val="00AA674D"/>
    <w:rsid w:val="00AA6948"/>
    <w:rsid w:val="00AA7FBF"/>
    <w:rsid w:val="00AC421D"/>
    <w:rsid w:val="00AC5A5C"/>
    <w:rsid w:val="00AD2EDF"/>
    <w:rsid w:val="00AD3597"/>
    <w:rsid w:val="00AE1D97"/>
    <w:rsid w:val="00AE598A"/>
    <w:rsid w:val="00AE6185"/>
    <w:rsid w:val="00AE72EC"/>
    <w:rsid w:val="00B01846"/>
    <w:rsid w:val="00B019CC"/>
    <w:rsid w:val="00B04287"/>
    <w:rsid w:val="00B16C51"/>
    <w:rsid w:val="00B25C45"/>
    <w:rsid w:val="00B3063C"/>
    <w:rsid w:val="00B523F4"/>
    <w:rsid w:val="00B52D49"/>
    <w:rsid w:val="00B64A90"/>
    <w:rsid w:val="00B651F4"/>
    <w:rsid w:val="00B9280C"/>
    <w:rsid w:val="00B972D1"/>
    <w:rsid w:val="00B974D0"/>
    <w:rsid w:val="00BA2481"/>
    <w:rsid w:val="00BB73C5"/>
    <w:rsid w:val="00BC7868"/>
    <w:rsid w:val="00BD307B"/>
    <w:rsid w:val="00BE28BE"/>
    <w:rsid w:val="00BF26D3"/>
    <w:rsid w:val="00BF3766"/>
    <w:rsid w:val="00BF5B81"/>
    <w:rsid w:val="00C14CCB"/>
    <w:rsid w:val="00C20E74"/>
    <w:rsid w:val="00C22F89"/>
    <w:rsid w:val="00C43D98"/>
    <w:rsid w:val="00C46EC8"/>
    <w:rsid w:val="00C476DF"/>
    <w:rsid w:val="00C52388"/>
    <w:rsid w:val="00C54A4E"/>
    <w:rsid w:val="00C554F7"/>
    <w:rsid w:val="00C64681"/>
    <w:rsid w:val="00C64C26"/>
    <w:rsid w:val="00C65A74"/>
    <w:rsid w:val="00C70D73"/>
    <w:rsid w:val="00C75732"/>
    <w:rsid w:val="00C80DE1"/>
    <w:rsid w:val="00C821D8"/>
    <w:rsid w:val="00C8307B"/>
    <w:rsid w:val="00C854A1"/>
    <w:rsid w:val="00C85C17"/>
    <w:rsid w:val="00C91FC3"/>
    <w:rsid w:val="00C92A9D"/>
    <w:rsid w:val="00CA4294"/>
    <w:rsid w:val="00CA4FC6"/>
    <w:rsid w:val="00CA7799"/>
    <w:rsid w:val="00CB0A27"/>
    <w:rsid w:val="00CC17D9"/>
    <w:rsid w:val="00CF1C24"/>
    <w:rsid w:val="00CF28A5"/>
    <w:rsid w:val="00D02C3B"/>
    <w:rsid w:val="00D04703"/>
    <w:rsid w:val="00D0668A"/>
    <w:rsid w:val="00D1135C"/>
    <w:rsid w:val="00D13D24"/>
    <w:rsid w:val="00D15881"/>
    <w:rsid w:val="00D3072D"/>
    <w:rsid w:val="00D32EA3"/>
    <w:rsid w:val="00D339A0"/>
    <w:rsid w:val="00D36EDA"/>
    <w:rsid w:val="00D722C7"/>
    <w:rsid w:val="00D76952"/>
    <w:rsid w:val="00D84416"/>
    <w:rsid w:val="00DA7111"/>
    <w:rsid w:val="00DB1405"/>
    <w:rsid w:val="00DB22DD"/>
    <w:rsid w:val="00DB3A60"/>
    <w:rsid w:val="00DC18EE"/>
    <w:rsid w:val="00DC79A0"/>
    <w:rsid w:val="00DD5A10"/>
    <w:rsid w:val="00DE0B49"/>
    <w:rsid w:val="00DF349F"/>
    <w:rsid w:val="00E02F53"/>
    <w:rsid w:val="00E0355E"/>
    <w:rsid w:val="00E21B8F"/>
    <w:rsid w:val="00E262B7"/>
    <w:rsid w:val="00E338B6"/>
    <w:rsid w:val="00E44966"/>
    <w:rsid w:val="00E51462"/>
    <w:rsid w:val="00E5650E"/>
    <w:rsid w:val="00E74E63"/>
    <w:rsid w:val="00E75A7F"/>
    <w:rsid w:val="00E75EA2"/>
    <w:rsid w:val="00E76E14"/>
    <w:rsid w:val="00E96E99"/>
    <w:rsid w:val="00EA1C26"/>
    <w:rsid w:val="00EB289A"/>
    <w:rsid w:val="00EB4B88"/>
    <w:rsid w:val="00ED0C42"/>
    <w:rsid w:val="00ED2EBF"/>
    <w:rsid w:val="00EE135D"/>
    <w:rsid w:val="00EE69C6"/>
    <w:rsid w:val="00EE79A2"/>
    <w:rsid w:val="00EF46D5"/>
    <w:rsid w:val="00F04499"/>
    <w:rsid w:val="00F05081"/>
    <w:rsid w:val="00F0695C"/>
    <w:rsid w:val="00F11A21"/>
    <w:rsid w:val="00F20EBE"/>
    <w:rsid w:val="00F24A8F"/>
    <w:rsid w:val="00F269A9"/>
    <w:rsid w:val="00F26E73"/>
    <w:rsid w:val="00F41E01"/>
    <w:rsid w:val="00F514F1"/>
    <w:rsid w:val="00F516FF"/>
    <w:rsid w:val="00F554B5"/>
    <w:rsid w:val="00F60F39"/>
    <w:rsid w:val="00F61532"/>
    <w:rsid w:val="00F75E4B"/>
    <w:rsid w:val="00F90A58"/>
    <w:rsid w:val="00F9121D"/>
    <w:rsid w:val="00F9447D"/>
    <w:rsid w:val="00F950B6"/>
    <w:rsid w:val="00FA1AE2"/>
    <w:rsid w:val="00FC39B4"/>
    <w:rsid w:val="00FC561C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82EB"/>
  <w15:chartTrackingRefBased/>
  <w15:docId w15:val="{AD03390B-F203-4F26-A228-7F4FBD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7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952"/>
    <w:rPr>
      <w:i/>
      <w:iCs/>
      <w:color w:val="404040" w:themeColor="text1" w:themeTint="BF"/>
    </w:rPr>
  </w:style>
  <w:style w:type="paragraph" w:styleId="Akapitzlist">
    <w:name w:val="List Paragraph"/>
    <w:aliases w:val="Akapit normalny,Akapit z listą BS,Body MS Bullet,Bullet 1,Bullet Number,BulletC,ISCG Numerowanie,List Paragraph1,List Paragraph11,List Paragraph2,List Paragraph_0,T_SZ_List Paragraph,Use Case List Paragraph,Wyliczanie,Wypunktowanie,lp1"/>
    <w:basedOn w:val="Normalny"/>
    <w:link w:val="AkapitzlistZnak"/>
    <w:qFormat/>
    <w:rsid w:val="00D7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9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5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52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D769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7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E9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E9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E9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443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C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B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B5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B58"/>
    <w:rPr>
      <w:vertAlign w:val="superscript"/>
    </w:rPr>
  </w:style>
  <w:style w:type="paragraph" w:styleId="Tekstpodstawowy2">
    <w:name w:val="Body Text 2"/>
    <w:basedOn w:val="Normalny"/>
    <w:link w:val="Tekstpodstawowy2Znak"/>
    <w:rsid w:val="00B52D49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52D49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character" w:customStyle="1" w:styleId="AkapitzlistZnak">
    <w:name w:val="Akapit z listą Znak"/>
    <w:aliases w:val="Akapit normalny Znak,Akapit z listą BS Znak,Body MS Bullet Znak,Bullet 1 Znak,Bullet Number Znak,BulletC Znak,ISCG Numerowanie Znak,List Paragraph1 Znak,List Paragraph11 Znak,List Paragraph2 Znak,List Paragraph_0 Znak,Wyliczanie Znak"/>
    <w:link w:val="Akapitzlist"/>
    <w:qFormat/>
    <w:rsid w:val="00B52D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funding-tenders/managing-your-project/communicating-and-raising-eu-visibility_en?prefLang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3.org/Translations/WCAG21-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D91A-04EA-4354-8DFC-A7924F2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2102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cp:lastPrinted>2026-02-26T09:19:00Z</cp:lastPrinted>
  <dcterms:created xsi:type="dcterms:W3CDTF">2026-05-04T09:42:00Z</dcterms:created>
  <dcterms:modified xsi:type="dcterms:W3CDTF">2026-05-04T09:42:00Z</dcterms:modified>
</cp:coreProperties>
</file>