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0" w:line="240" w:lineRule="auto"/>
        <w:ind w:left="0" w:right="0" w:firstLine="0"/>
        <w:jc w:val="left"/>
      </w:pPr>
      <w:bookmarkStart w:id="0" w:name="bookmark0"/>
      <w:r>
        <w:rPr>
          <w:rStyle w:val="CharStyle7"/>
        </w:rPr>
        <w:t>Ministerstwo</w:t>
      </w:r>
      <w:bookmarkEnd w:id="0"/>
    </w:p>
    <w:p>
      <w:pPr>
        <w:pStyle w:val="Style6"/>
        <w:keepNext/>
        <w:keepLines/>
        <w:widowControl w:val="0"/>
        <w:shd w:val="clear" w:color="auto" w:fill="auto"/>
        <w:bidi w:val="0"/>
        <w:spacing w:before="0" w:after="540" w:line="214" w:lineRule="auto"/>
        <w:ind w:left="0" w:right="0" w:firstLine="0"/>
        <w:jc w:val="left"/>
      </w:pPr>
      <w:r>
        <w:rPr>
          <w:rStyle w:val="CharStyle7"/>
        </w:rPr>
        <w:t>Klimatu i Środowiska</w:t>
      </w:r>
    </w:p>
    <w:p>
      <w:pPr>
        <w:pStyle w:val="Style8"/>
        <w:keepNext w:val="0"/>
        <w:keepLines w:val="0"/>
        <w:widowControl w:val="0"/>
        <w:shd w:val="clear" w:color="auto" w:fill="auto"/>
        <w:bidi w:val="0"/>
        <w:spacing w:before="0" w:after="540" w:line="240" w:lineRule="auto"/>
        <w:ind w:left="0" w:right="0" w:firstLine="0"/>
        <w:jc w:val="left"/>
      </w:pPr>
      <w:r>
        <w:rPr>
          <w:rStyle w:val="CharStyle9"/>
        </w:rPr>
        <w:t>Departament Gospodarki Odpadami</w:t>
      </w:r>
    </w:p>
    <w:p>
      <w:pPr>
        <w:pStyle w:val="Style8"/>
        <w:keepNext w:val="0"/>
        <w:keepLines w:val="0"/>
        <w:widowControl w:val="0"/>
        <w:shd w:val="clear" w:color="auto" w:fill="auto"/>
        <w:bidi w:val="0"/>
        <w:spacing w:before="0" w:after="0" w:line="240" w:lineRule="auto"/>
        <w:ind w:left="0" w:right="0" w:firstLine="0"/>
        <w:jc w:val="left"/>
      </w:pPr>
      <w:r>
        <w:rPr>
          <w:rStyle w:val="CharStyle9"/>
        </w:rPr>
        <w:t>DGO-OK.053.7.2026.IR</w:t>
      </w:r>
    </w:p>
    <w:p>
      <w:pPr>
        <w:pStyle w:val="Style8"/>
        <w:keepNext w:val="0"/>
        <w:keepLines w:val="0"/>
        <w:widowControl w:val="0"/>
        <w:shd w:val="clear" w:color="auto" w:fill="auto"/>
        <w:bidi w:val="0"/>
        <w:spacing w:before="0" w:after="0" w:line="240" w:lineRule="auto"/>
        <w:ind w:left="0" w:right="0" w:firstLine="0"/>
        <w:jc w:val="left"/>
      </w:pPr>
      <w:r>
        <w:rPr>
          <w:rStyle w:val="CharStyle9"/>
        </w:rPr>
        <w:t>4508857.18718330.15125375</w:t>
      </w:r>
    </w:p>
    <w:p>
      <w:pPr>
        <w:pStyle w:val="Style8"/>
        <w:keepNext w:val="0"/>
        <w:keepLines w:val="0"/>
        <w:widowControl w:val="0"/>
        <w:shd w:val="clear" w:color="auto" w:fill="auto"/>
        <w:bidi w:val="0"/>
        <w:spacing w:before="0" w:after="540" w:line="240" w:lineRule="auto"/>
        <w:ind w:left="0" w:right="0" w:firstLine="0"/>
        <w:jc w:val="left"/>
      </w:pPr>
      <w:r>
        <w:rPr>
          <w:rStyle w:val="CharStyle9"/>
        </w:rPr>
        <w:t>Warszawa, 11-09-2026</w:t>
      </w:r>
    </w:p>
    <w:p>
      <w:pPr>
        <w:pStyle w:val="Style10"/>
        <w:keepNext/>
        <w:keepLines/>
        <w:widowControl w:val="0"/>
        <w:shd w:val="clear" w:color="auto" w:fill="auto"/>
        <w:bidi w:val="0"/>
        <w:spacing w:before="0" w:after="1320" w:line="240" w:lineRule="auto"/>
        <w:ind w:left="0" w:right="0" w:firstLine="0"/>
        <w:jc w:val="left"/>
      </w:pPr>
      <w:bookmarkStart w:id="3" w:name="bookmark3"/>
      <w:r>
        <w:rPr>
          <w:rStyle w:val="CharStyle11"/>
          <w:b/>
          <w:bCs/>
        </w:rPr>
        <w:t>Pani</w:t>
      </w:r>
      <w:bookmarkEnd w:id="3"/>
    </w:p>
    <w:p>
      <w:pPr>
        <w:pStyle w:val="Style8"/>
        <w:keepNext w:val="0"/>
        <w:keepLines w:val="0"/>
        <w:widowControl w:val="0"/>
        <w:shd w:val="clear" w:color="auto" w:fill="auto"/>
        <w:bidi w:val="0"/>
        <w:spacing w:before="0" w:line="240" w:lineRule="auto"/>
        <w:ind w:left="0" w:right="0" w:firstLine="0"/>
        <w:jc w:val="left"/>
        <w:rPr>
          <w:sz w:val="22"/>
          <w:szCs w:val="22"/>
        </w:rPr>
      </w:pPr>
      <w:r>
        <w:rPr>
          <w:rStyle w:val="CharStyle9"/>
          <w:i/>
          <w:iCs/>
          <w:sz w:val="22"/>
          <w:szCs w:val="22"/>
        </w:rPr>
        <w:t>Szanowna Pani,</w:t>
      </w:r>
    </w:p>
    <w:p>
      <w:pPr>
        <w:pStyle w:val="Style8"/>
        <w:keepNext w:val="0"/>
        <w:keepLines w:val="0"/>
        <w:widowControl w:val="0"/>
        <w:shd w:val="clear" w:color="auto" w:fill="auto"/>
        <w:bidi w:val="0"/>
        <w:spacing w:before="0"/>
        <w:ind w:left="0" w:right="0" w:firstLine="0"/>
        <w:jc w:val="left"/>
      </w:pPr>
      <w:r>
        <w:rPr>
          <w:rStyle w:val="CharStyle9"/>
        </w:rPr>
        <w:t>w związku z pismem z dnia 7 sierpnia 2026 r. w sprawie wprowadzenia mechanizmu uwzględniania wpływu systemu kaucyjnego na wysokość opłat za gospodarowanie odpadami komunalnymi ponoszonych przez mieszkańców, poniżej przekazuję odpowiedzi odnoszące się do poszczególnych punktów pozostających w kompetencji Ministerstwa Środowiska.</w:t>
      </w:r>
    </w:p>
    <w:p>
      <w:pPr>
        <w:pStyle w:val="Style10"/>
        <w:keepNext/>
        <w:keepLines/>
        <w:widowControl w:val="0"/>
        <w:shd w:val="clear" w:color="auto" w:fill="auto"/>
        <w:bidi w:val="0"/>
        <w:spacing w:before="0"/>
        <w:ind w:left="0" w:right="0" w:firstLine="0"/>
        <w:jc w:val="left"/>
      </w:pPr>
      <w:bookmarkStart w:id="5" w:name="bookmark5"/>
      <w:r>
        <w:rPr>
          <w:rStyle w:val="CharStyle11"/>
          <w:b/>
          <w:bCs/>
        </w:rPr>
        <w:t>Monitorowanie zmian w strumieniu odpadów opakowaniowych objętych systemem kaucyjnym</w:t>
      </w:r>
      <w:bookmarkEnd w:id="5"/>
    </w:p>
    <w:p>
      <w:pPr>
        <w:pStyle w:val="Style8"/>
        <w:keepNext w:val="0"/>
        <w:keepLines w:val="0"/>
        <w:widowControl w:val="0"/>
        <w:shd w:val="clear" w:color="auto" w:fill="auto"/>
        <w:bidi w:val="0"/>
        <w:spacing w:before="0"/>
        <w:ind w:left="0" w:right="0" w:firstLine="0"/>
        <w:jc w:val="left"/>
      </w:pPr>
      <w:r>
        <w:rPr>
          <w:rStyle w:val="CharStyle9"/>
        </w:rPr>
        <w:t>Gminy już obecnie mają możliwość monitorowania zmian w strumieniu odpadów opakowaniowych objętych systemem kaucyjnym. Zgodnie z art. 40p ustawy z dnia 13 czerwca 2013 r. o gospodarce opakowaniami i odpadami opakowaniowymi</w:t>
      </w:r>
      <w:r>
        <w:rPr>
          <w:rStyle w:val="CharStyle9"/>
          <w:vertAlign w:val="superscript"/>
        </w:rPr>
        <w:footnoteReference w:id="2"/>
      </w:r>
      <w:r>
        <w:rPr>
          <w:rStyle w:val="CharStyle9"/>
          <w:vertAlign w:val="superscript"/>
        </w:rPr>
        <w:t xml:space="preserve"> </w:t>
      </w:r>
      <w:r>
        <w:rPr>
          <w:rStyle w:val="CharStyle9"/>
        </w:rPr>
        <w:t>podmiot reprezentujący jest obowiązany do sporządzania rocznego sprawozdania o odpadach opakowaniowych odebranych w ramach systemu kaucyjnego na terenie danej gminy. Sprawozdanie to jest przekazywane wójtowi, burmistrzowi albo prezydentowi miasta, a także związkowi międzygminnemu albo związkowi metropolitalnemu, w terminie do dnia 31 stycznia za poprzedni rok kalendarzowy.</w:t>
      </w:r>
    </w:p>
    <w:p>
      <w:pPr>
        <w:pStyle w:val="Style8"/>
        <w:keepNext w:val="0"/>
        <w:keepLines w:val="0"/>
        <w:widowControl w:val="0"/>
        <w:shd w:val="clear" w:color="auto" w:fill="auto"/>
        <w:bidi w:val="0"/>
        <w:spacing w:before="0"/>
        <w:ind w:left="0" w:right="0" w:firstLine="0"/>
        <w:jc w:val="left"/>
      </w:pPr>
      <w:r>
        <w:rPr>
          <w:rStyle w:val="CharStyle9"/>
        </w:rPr>
        <w:t>Sprawozdanie zawiera w szczególności informacje o masie poszczególnych rodzajów zebranych odpadów opakowaniowych i sposobie ich zagospodarowania, w tym o instalacjach, do których zostały przekazane, a także o masie odpadów opakowaniowych przygotowanych do ponownego użycia i do recyklingu.</w:t>
      </w:r>
    </w:p>
    <w:p>
      <w:pPr>
        <w:pStyle w:val="Style8"/>
        <w:keepNext w:val="0"/>
        <w:keepLines w:val="0"/>
        <w:widowControl w:val="0"/>
        <w:shd w:val="clear" w:color="auto" w:fill="auto"/>
        <w:bidi w:val="0"/>
        <w:spacing w:before="0" w:after="640"/>
        <w:ind w:left="0" w:right="0" w:firstLine="0"/>
        <w:jc w:val="left"/>
      </w:pPr>
      <w:r>
        <w:rPr>
          <w:rStyle w:val="CharStyle9"/>
        </w:rPr>
        <w:t>Oznacza to, że na poziomie gminy dostępne są dane pozwalające na ocenę zmian ilościowych dotyczących opakowań i odpadów opakowaniowych objętych systemem kaucyjnym oraz ich zagospodarowania. Dane te mogą być wykorzystywane również przy analizie zmian zachodzących w całym strumieniu odpadów komunalnych.</w:t>
      </w:r>
    </w:p>
    <w:p>
      <w:pPr>
        <w:pStyle w:val="Style10"/>
        <w:keepNext/>
        <w:keepLines/>
        <w:widowControl w:val="0"/>
        <w:shd w:val="clear" w:color="auto" w:fill="auto"/>
        <w:bidi w:val="0"/>
        <w:spacing w:before="0" w:after="300" w:line="240" w:lineRule="auto"/>
        <w:ind w:left="0" w:right="0" w:firstLine="0"/>
        <w:jc w:val="left"/>
      </w:pPr>
      <w:bookmarkStart w:id="7" w:name="bookmark7"/>
      <w:r>
        <w:rPr>
          <w:rStyle w:val="CharStyle11"/>
          <w:b/>
          <w:bCs/>
        </w:rPr>
        <w:t>Uwzględnianie wpływu systemu kaucyjnego przy ustalaniu wysokości opłaty</w:t>
      </w:r>
      <w:bookmarkEnd w:id="7"/>
    </w:p>
    <w:p>
      <w:pPr>
        <w:pStyle w:val="Style13"/>
        <w:keepNext w:val="0"/>
        <w:keepLines w:val="0"/>
        <w:widowControl w:val="0"/>
        <w:shd w:val="clear" w:color="auto" w:fill="auto"/>
        <w:bidi w:val="0"/>
        <w:spacing w:before="0" w:line="240" w:lineRule="auto"/>
        <w:ind w:left="0" w:right="0" w:firstLine="0"/>
        <w:jc w:val="left"/>
      </w:pPr>
      <w:r>
        <w:rPr>
          <w:rStyle w:val="CharStyle14"/>
          <w:vertAlign w:val="superscript"/>
        </w:rPr>
        <w:t>1</w:t>
      </w:r>
      <w:r>
        <w:rPr>
          <w:rStyle w:val="CharStyle14"/>
        </w:rPr>
        <w:t xml:space="preserve"> Dz. U. z 2026 r. poz. 619</w:t>
      </w:r>
    </w:p>
    <w:p>
      <w:pPr>
        <w:pStyle w:val="Style8"/>
        <w:keepNext w:val="0"/>
        <w:keepLines w:val="0"/>
        <w:widowControl w:val="0"/>
        <w:shd w:val="clear" w:color="auto" w:fill="auto"/>
        <w:bidi w:val="0"/>
        <w:spacing w:before="0"/>
        <w:ind w:left="0" w:right="0" w:firstLine="0"/>
        <w:jc w:val="left"/>
      </w:pPr>
      <w:r>
        <w:rPr>
          <w:rStyle w:val="CharStyle9"/>
        </w:rPr>
        <w:t>Wprowadzenie systemu kaucyjnego może prowadzić do zmiany ilości i struktury odpadów opakowaniowych trafiających do gminnego systemu gospodarowania odpadami komunalnymi. Sam fakt zmniejszenia ilości określonego rodzaju odpadów nie oznacza jednak automatycznie proporcjonalnego zmniejszenia kosztów funkcjonowania całego systemu.</w:t>
      </w:r>
    </w:p>
    <w:p>
      <w:pPr>
        <w:pStyle w:val="Style8"/>
        <w:keepNext w:val="0"/>
        <w:keepLines w:val="0"/>
        <w:widowControl w:val="0"/>
        <w:shd w:val="clear" w:color="auto" w:fill="auto"/>
        <w:bidi w:val="0"/>
        <w:spacing w:before="0"/>
        <w:ind w:left="0" w:right="0" w:firstLine="0"/>
        <w:jc w:val="left"/>
      </w:pPr>
      <w:r>
        <w:rPr>
          <w:rStyle w:val="CharStyle9"/>
        </w:rPr>
        <w:t>System gospodarowania odpadami komunalnymi obejmuje bowiem nie tylko odbieranie i zagospodarowanie poszczególnych rodzajów odpadów, lecz również m.in. transport i zbieranie odpadów, prowadzenie i utrzymanie punktów selektywnego zbierania odpadów komunalnych, działania administracyjne oraz edukację ekologiczną. Zakres kosztów pokrywanych z opłaty określa art. 6r ust. 2 ustawy o utrzymaniu czystości i porządku w gminach.</w:t>
      </w:r>
    </w:p>
    <w:p>
      <w:pPr>
        <w:pStyle w:val="Style8"/>
        <w:keepNext w:val="0"/>
        <w:keepLines w:val="0"/>
        <w:widowControl w:val="0"/>
        <w:shd w:val="clear" w:color="auto" w:fill="auto"/>
        <w:bidi w:val="0"/>
        <w:spacing w:before="0"/>
        <w:ind w:left="0" w:right="0" w:firstLine="0"/>
        <w:jc w:val="left"/>
      </w:pPr>
      <w:r>
        <w:rPr>
          <w:rStyle w:val="CharStyle9"/>
        </w:rPr>
        <w:t>W związku z powyższym wpływ systemu kaucyjnego powinien być oceniany na podstawie rzeczywistych zmian ilościowych i kosztowych w całym gminnym systemie gospodarowania odpadami komunalnymi, a nie wyłącznie na podstawie ilości opakowań wyłączonych z tego systemu.</w:t>
      </w:r>
    </w:p>
    <w:p>
      <w:pPr>
        <w:pStyle w:val="Style10"/>
        <w:keepNext/>
        <w:keepLines/>
        <w:widowControl w:val="0"/>
        <w:shd w:val="clear" w:color="auto" w:fill="auto"/>
        <w:bidi w:val="0"/>
        <w:spacing w:before="0"/>
        <w:ind w:left="0" w:right="0" w:firstLine="0"/>
        <w:jc w:val="left"/>
      </w:pPr>
      <w:bookmarkStart w:id="9" w:name="bookmark9"/>
      <w:r>
        <w:rPr>
          <w:rStyle w:val="CharStyle11"/>
          <w:b/>
          <w:bCs/>
        </w:rPr>
        <w:t>Ustalanie wysokości stawki opłaty przez radę gminy</w:t>
      </w:r>
      <w:bookmarkEnd w:id="9"/>
    </w:p>
    <w:p>
      <w:pPr>
        <w:pStyle w:val="Style8"/>
        <w:keepNext w:val="0"/>
        <w:keepLines w:val="0"/>
        <w:widowControl w:val="0"/>
        <w:shd w:val="clear" w:color="auto" w:fill="auto"/>
        <w:bidi w:val="0"/>
        <w:spacing w:before="0"/>
        <w:ind w:left="0" w:right="0" w:firstLine="0"/>
        <w:jc w:val="left"/>
      </w:pPr>
      <w:r>
        <w:rPr>
          <w:rStyle w:val="CharStyle9"/>
        </w:rPr>
        <w:t>Wysokość opłaty za gospodarowanie odpadami komunalnymi nie jest ustalana automatycznie. Zgodnie z art. 6k ust. 1 ustawy o utrzymaniu czystości i porządku w gminach rada gminy, w drodze uchwały, dokonuje wyboru metody ustalenia opłaty oraz ustala stawkę tej opłaty.</w:t>
      </w:r>
    </w:p>
    <w:p>
      <w:pPr>
        <w:pStyle w:val="Style8"/>
        <w:keepNext w:val="0"/>
        <w:keepLines w:val="0"/>
        <w:widowControl w:val="0"/>
        <w:shd w:val="clear" w:color="auto" w:fill="auto"/>
        <w:bidi w:val="0"/>
        <w:spacing w:before="0"/>
        <w:ind w:left="0" w:right="0" w:firstLine="0"/>
        <w:jc w:val="left"/>
      </w:pPr>
      <w:r>
        <w:rPr>
          <w:rStyle w:val="CharStyle9"/>
        </w:rPr>
        <w:t>Przy określaniu stawki rada gminy bierze pod uwagę, zgodnie z art. 6k ust. 2, w szczególności:</w:t>
      </w:r>
    </w:p>
    <w:p>
      <w:pPr>
        <w:pStyle w:val="Style8"/>
        <w:keepNext w:val="0"/>
        <w:keepLines w:val="0"/>
        <w:widowControl w:val="0"/>
        <w:numPr>
          <w:ilvl w:val="0"/>
          <w:numId w:val="1"/>
        </w:numPr>
        <w:shd w:val="clear" w:color="auto" w:fill="auto"/>
        <w:tabs>
          <w:tab w:pos="754" w:val="left"/>
        </w:tabs>
        <w:bidi w:val="0"/>
        <w:spacing w:before="0" w:after="0"/>
        <w:ind w:left="0" w:right="0" w:firstLine="380"/>
        <w:jc w:val="left"/>
      </w:pPr>
      <w:r>
        <w:rPr>
          <w:rStyle w:val="CharStyle9"/>
        </w:rPr>
        <w:t>liczbę mieszkańców zamieszkujących daną gminę;</w:t>
      </w:r>
    </w:p>
    <w:p>
      <w:pPr>
        <w:pStyle w:val="Style8"/>
        <w:keepNext w:val="0"/>
        <w:keepLines w:val="0"/>
        <w:widowControl w:val="0"/>
        <w:numPr>
          <w:ilvl w:val="0"/>
          <w:numId w:val="1"/>
        </w:numPr>
        <w:shd w:val="clear" w:color="auto" w:fill="auto"/>
        <w:tabs>
          <w:tab w:pos="754" w:val="left"/>
        </w:tabs>
        <w:bidi w:val="0"/>
        <w:spacing w:before="0" w:after="0"/>
        <w:ind w:left="0" w:right="0" w:firstLine="380"/>
        <w:jc w:val="left"/>
      </w:pPr>
      <w:r>
        <w:rPr>
          <w:rStyle w:val="CharStyle9"/>
        </w:rPr>
        <w:t>ilość wytwarzanych na terenie gminy odpadów komunalnych;</w:t>
      </w:r>
    </w:p>
    <w:p>
      <w:pPr>
        <w:pStyle w:val="Style8"/>
        <w:keepNext w:val="0"/>
        <w:keepLines w:val="0"/>
        <w:widowControl w:val="0"/>
        <w:numPr>
          <w:ilvl w:val="0"/>
          <w:numId w:val="1"/>
        </w:numPr>
        <w:shd w:val="clear" w:color="auto" w:fill="auto"/>
        <w:tabs>
          <w:tab w:pos="754" w:val="left"/>
        </w:tabs>
        <w:bidi w:val="0"/>
        <w:spacing w:before="0" w:after="0"/>
        <w:ind w:left="740" w:right="0" w:hanging="360"/>
        <w:jc w:val="left"/>
      </w:pPr>
      <w:r>
        <w:rPr>
          <w:rStyle w:val="CharStyle9"/>
        </w:rPr>
        <w:t>koszty funkcjonowania systemu gospodarowania odpadami komunalnymi, o których mowa w art. 6r ust. 2–2b i 2d;</w:t>
      </w:r>
    </w:p>
    <w:p>
      <w:pPr>
        <w:pStyle w:val="Style8"/>
        <w:keepNext w:val="0"/>
        <w:keepLines w:val="0"/>
        <w:widowControl w:val="0"/>
        <w:numPr>
          <w:ilvl w:val="0"/>
          <w:numId w:val="1"/>
        </w:numPr>
        <w:shd w:val="clear" w:color="auto" w:fill="auto"/>
        <w:tabs>
          <w:tab w:pos="754" w:val="left"/>
        </w:tabs>
        <w:bidi w:val="0"/>
        <w:spacing w:before="0"/>
        <w:ind w:left="740" w:right="0" w:hanging="360"/>
        <w:jc w:val="left"/>
      </w:pPr>
      <w:r>
        <w:rPr>
          <w:rStyle w:val="CharStyle9"/>
        </w:rPr>
        <w:t>przypadki, w których właściciele nieruchomości wytwarzają odpady nieregularnie [...].</w:t>
      </w:r>
    </w:p>
    <w:p>
      <w:pPr>
        <w:pStyle w:val="Style8"/>
        <w:keepNext w:val="0"/>
        <w:keepLines w:val="0"/>
        <w:widowControl w:val="0"/>
        <w:shd w:val="clear" w:color="auto" w:fill="auto"/>
        <w:bidi w:val="0"/>
        <w:spacing w:before="0"/>
        <w:ind w:left="0" w:right="0" w:firstLine="0"/>
        <w:jc w:val="left"/>
      </w:pPr>
      <w:r>
        <w:rPr>
          <w:rStyle w:val="CharStyle9"/>
        </w:rPr>
        <w:t>Oznacza to, że zmiany wynikające z funkcjonowania systemu kaucyjnego mogą zostać uwzględnione w procesie ustalania wysokości stawki, jeżeli wpływają na ilość odpadów pozostających w gminnym systemie lub na rzeczywiste koszty jego funkcjonowania.</w:t>
      </w:r>
    </w:p>
    <w:p>
      <w:pPr>
        <w:pStyle w:val="Style10"/>
        <w:keepNext/>
        <w:keepLines/>
        <w:widowControl w:val="0"/>
        <w:shd w:val="clear" w:color="auto" w:fill="auto"/>
        <w:bidi w:val="0"/>
        <w:spacing w:before="0"/>
        <w:ind w:left="0" w:right="0" w:firstLine="0"/>
        <w:jc w:val="left"/>
      </w:pPr>
      <w:bookmarkStart w:id="11" w:name="bookmark11"/>
      <w:r>
        <w:rPr>
          <w:rStyle w:val="CharStyle11"/>
          <w:b/>
          <w:bCs/>
        </w:rPr>
        <w:t>Brak podstaw do automatycznego obniżenia opłaty</w:t>
      </w:r>
      <w:bookmarkEnd w:id="11"/>
    </w:p>
    <w:p>
      <w:pPr>
        <w:pStyle w:val="Style8"/>
        <w:keepNext w:val="0"/>
        <w:keepLines w:val="0"/>
        <w:widowControl w:val="0"/>
        <w:shd w:val="clear" w:color="auto" w:fill="auto"/>
        <w:bidi w:val="0"/>
        <w:spacing w:before="0"/>
        <w:ind w:left="0" w:right="0" w:firstLine="0"/>
        <w:jc w:val="left"/>
      </w:pPr>
      <w:r>
        <w:rPr>
          <w:rStyle w:val="CharStyle9"/>
        </w:rPr>
        <w:t>Nie znajduje natomiast uzasadnienia wprowadzenie mechanizmu, zgodnie z którym zmniejszenie ilości odpadów opakowaniowych kierowanych do gminnego systemu automatycznie powodowałoby proporcjonalne obniżenie opłaty ponoszonej przez mieszkańców.</w:t>
      </w:r>
    </w:p>
    <w:p>
      <w:pPr>
        <w:pStyle w:val="Style8"/>
        <w:keepNext w:val="0"/>
        <w:keepLines w:val="0"/>
        <w:widowControl w:val="0"/>
        <w:shd w:val="clear" w:color="auto" w:fill="auto"/>
        <w:bidi w:val="0"/>
        <w:spacing w:before="0"/>
        <w:ind w:left="0" w:right="0" w:firstLine="0"/>
        <w:jc w:val="left"/>
      </w:pPr>
      <w:r>
        <w:rPr>
          <w:rStyle w:val="CharStyle9"/>
        </w:rPr>
        <w:t>Takie rozwiązanie nie uwzględniałoby wszystkich elementów, które zgodnie z art. 6k ust. 2 ustawy powinny być brane pod uwagę przy ustalaniu stawki. Koszty poszczególnych elementów systemu mogą bowiem nie zmniejszać się</w:t>
      </w:r>
    </w:p>
    <w:p>
      <w:pPr>
        <w:pStyle w:val="Style8"/>
        <w:keepNext w:val="0"/>
        <w:keepLines w:val="0"/>
        <w:widowControl w:val="0"/>
        <w:shd w:val="clear" w:color="auto" w:fill="auto"/>
        <w:bidi w:val="0"/>
        <w:spacing w:before="0"/>
        <w:ind w:left="0" w:right="0" w:firstLine="0"/>
        <w:jc w:val="left"/>
      </w:pPr>
      <w:r>
        <w:rPr>
          <w:rStyle w:val="CharStyle9"/>
        </w:rPr>
        <w:t>proporcjonalnie do ilości odebranych odpadów. Część kosztów ma charakter stały lub pozostaje niezależna od masy konkretnego strumienia odpadów.</w:t>
      </w:r>
    </w:p>
    <w:p>
      <w:pPr>
        <w:pStyle w:val="Style8"/>
        <w:keepNext w:val="0"/>
        <w:keepLines w:val="0"/>
        <w:widowControl w:val="0"/>
        <w:shd w:val="clear" w:color="auto" w:fill="auto"/>
        <w:bidi w:val="0"/>
        <w:spacing w:before="0"/>
        <w:ind w:left="0" w:right="0" w:firstLine="0"/>
        <w:jc w:val="left"/>
      </w:pPr>
      <w:r>
        <w:rPr>
          <w:rStyle w:val="CharStyle9"/>
        </w:rPr>
        <w:t>Automatyczny mechanizm obniżania opłaty mógłby zatem prowadzić do ustalenia stawki bez uwzględnienia rzeczywistych kosztów funkcjonowania całego systemu, a tym samym pozostawałby w sprzeczności z zasadami ustalania stawki określonymi w art. 6k ustawy.</w:t>
      </w:r>
    </w:p>
    <w:p>
      <w:pPr>
        <w:pStyle w:val="Style8"/>
        <w:keepNext w:val="0"/>
        <w:keepLines w:val="0"/>
        <w:widowControl w:val="0"/>
        <w:shd w:val="clear" w:color="auto" w:fill="auto"/>
        <w:bidi w:val="0"/>
        <w:spacing w:before="0"/>
        <w:ind w:left="0" w:right="0" w:firstLine="0"/>
        <w:jc w:val="left"/>
      </w:pPr>
      <w:r>
        <w:rPr>
          <w:rStyle w:val="CharStyle9"/>
        </w:rPr>
        <w:t>Nie oznacza to jednak, że zmniejszenie kosztów funkcjonowania systemu nie może znaleźć odzwierciedlenia w wysokości opłaty. Jeżeli analiza rzeczywistych kosztów wykaże, że zmiana strumienia odpadów, w tym wynikająca z funkcjonowania systemu kaucyjnego, prowadzi do zmniejszenia kosztów systemu, rada gminy może uwzględnić tę okoliczność przy podejmowaniu uchwały w sprawie wysokości stawki.</w:t>
      </w:r>
    </w:p>
    <w:p>
      <w:pPr>
        <w:pStyle w:val="Style10"/>
        <w:keepNext/>
        <w:keepLines/>
        <w:widowControl w:val="0"/>
        <w:shd w:val="clear" w:color="auto" w:fill="auto"/>
        <w:bidi w:val="0"/>
        <w:spacing w:before="0"/>
        <w:ind w:left="0" w:right="0" w:firstLine="0"/>
        <w:jc w:val="left"/>
      </w:pPr>
      <w:bookmarkStart w:id="13" w:name="bookmark13"/>
      <w:r>
        <w:rPr>
          <w:rStyle w:val="CharStyle11"/>
          <w:b/>
          <w:bCs/>
        </w:rPr>
        <w:t>Zasada przeznaczenia opłaty wyłącznie na funkcjonowanie systemu</w:t>
      </w:r>
      <w:bookmarkEnd w:id="13"/>
    </w:p>
    <w:p>
      <w:pPr>
        <w:pStyle w:val="Style8"/>
        <w:keepNext w:val="0"/>
        <w:keepLines w:val="0"/>
        <w:widowControl w:val="0"/>
        <w:shd w:val="clear" w:color="auto" w:fill="auto"/>
        <w:bidi w:val="0"/>
        <w:spacing w:before="0"/>
        <w:ind w:left="0" w:right="0" w:firstLine="0"/>
        <w:jc w:val="left"/>
      </w:pPr>
      <w:r>
        <w:rPr>
          <w:rStyle w:val="CharStyle9"/>
        </w:rPr>
        <w:t>Istotnym mechanizmem zabezpieczającym interesy mieszkańców jest również sposób określenia przeznaczenia środków pochodzących z opłaty.</w:t>
      </w:r>
    </w:p>
    <w:p>
      <w:pPr>
        <w:pStyle w:val="Style8"/>
        <w:keepNext w:val="0"/>
        <w:keepLines w:val="0"/>
        <w:widowControl w:val="0"/>
        <w:shd w:val="clear" w:color="auto" w:fill="auto"/>
        <w:bidi w:val="0"/>
        <w:spacing w:before="0"/>
        <w:ind w:left="0" w:right="0" w:firstLine="0"/>
        <w:jc w:val="left"/>
      </w:pPr>
      <w:r>
        <w:rPr>
          <w:rStyle w:val="CharStyle9"/>
        </w:rPr>
        <w:t>Zgodnie z art. 6r ust. 1aa ustawy o utrzymaniu czystości i porządku w gminach środki z opłaty za gospodarowanie odpadami komunalnymi nie mogą być wykorzystane na cele niezwiązane z pokrywaniem kosztów funkcjonowania systemu gospodarowania odpadami komunalnymi.</w:t>
      </w:r>
    </w:p>
    <w:p>
      <w:pPr>
        <w:pStyle w:val="Style8"/>
        <w:keepNext w:val="0"/>
        <w:keepLines w:val="0"/>
        <w:widowControl w:val="0"/>
        <w:shd w:val="clear" w:color="auto" w:fill="auto"/>
        <w:bidi w:val="0"/>
        <w:spacing w:before="0"/>
        <w:ind w:left="0" w:right="0" w:firstLine="0"/>
        <w:jc w:val="left"/>
      </w:pPr>
      <w:r>
        <w:rPr>
          <w:rStyle w:val="CharStyle9"/>
        </w:rPr>
        <w:t>Jednocześnie art. 6r ust. 2 określa katalog kosztów, które mogą być pokrywane z pobranych opłat. Obejmuje on w szczególności koszty odbierania, transportu, zbierania, odzysku i unieszkodliwiania odpadów komunalnych oraz tworzenia i utrzymania punktów selektywnego zbierania odpadów komunalnych.</w:t>
      </w:r>
    </w:p>
    <w:p>
      <w:pPr>
        <w:pStyle w:val="Style8"/>
        <w:keepNext w:val="0"/>
        <w:keepLines w:val="0"/>
        <w:widowControl w:val="0"/>
        <w:shd w:val="clear" w:color="auto" w:fill="auto"/>
        <w:bidi w:val="0"/>
        <w:spacing w:before="0"/>
        <w:ind w:left="0" w:right="0" w:firstLine="0"/>
        <w:jc w:val="left"/>
      </w:pPr>
      <w:r>
        <w:rPr>
          <w:rStyle w:val="CharStyle9"/>
        </w:rPr>
        <w:t>Regulacja ta powoduje, że środki pochodzące z opłat nie mogą być przeznaczane na dowolne cele budżetowe gminy.</w:t>
      </w:r>
    </w:p>
    <w:p>
      <w:pPr>
        <w:pStyle w:val="Style10"/>
        <w:keepNext/>
        <w:keepLines/>
        <w:widowControl w:val="0"/>
        <w:shd w:val="clear" w:color="auto" w:fill="auto"/>
        <w:bidi w:val="0"/>
        <w:spacing w:before="0"/>
        <w:ind w:left="0" w:right="0" w:firstLine="0"/>
        <w:jc w:val="left"/>
      </w:pPr>
      <w:bookmarkStart w:id="15" w:name="bookmark15"/>
      <w:r>
        <w:rPr>
          <w:rStyle w:val="CharStyle11"/>
          <w:b/>
          <w:bCs/>
        </w:rPr>
        <w:t>Informowanie mieszkańców o kosztach funkcjonowania systemu</w:t>
      </w:r>
      <w:bookmarkEnd w:id="15"/>
    </w:p>
    <w:p>
      <w:pPr>
        <w:pStyle w:val="Style8"/>
        <w:keepNext w:val="0"/>
        <w:keepLines w:val="0"/>
        <w:widowControl w:val="0"/>
        <w:shd w:val="clear" w:color="auto" w:fill="auto"/>
        <w:bidi w:val="0"/>
        <w:spacing w:before="0"/>
        <w:ind w:left="0" w:right="0" w:firstLine="0"/>
        <w:jc w:val="left"/>
      </w:pPr>
      <w:r>
        <w:rPr>
          <w:rStyle w:val="CharStyle9"/>
        </w:rPr>
        <w:t>Obowiązujące przepisy zapewniają również mieszkańcom dostęp do informacji o funkcjonowaniu gminnego systemu gospodarowania odpadami komunalnymi.</w:t>
      </w:r>
    </w:p>
    <w:p>
      <w:pPr>
        <w:pStyle w:val="Style8"/>
        <w:keepNext w:val="0"/>
        <w:keepLines w:val="0"/>
        <w:widowControl w:val="0"/>
        <w:shd w:val="clear" w:color="auto" w:fill="auto"/>
        <w:bidi w:val="0"/>
        <w:spacing w:before="0"/>
        <w:ind w:left="0" w:right="0" w:firstLine="0"/>
        <w:jc w:val="left"/>
      </w:pPr>
      <w:r>
        <w:rPr>
          <w:rStyle w:val="CharStyle9"/>
        </w:rPr>
        <w:t>Informacje dotyczące kosztów funkcjonowania systemu są ujmowane w corocznej analizie stanu gospodarki odpadami komunalnymi sporządzanej na podstawie art. 9tb ustawy. W szczególności analiza obejmuje koszty poniesione w związku z odbieraniem, odzyskiem, recyklingiem i unieszkodliwianiem odpadów komunalnych oraz wpływy, wydatki i nadwyżki z opłat za gospodarowanie odpadami komunalnymi</w:t>
      </w:r>
      <w:r>
        <w:rPr>
          <w:rStyle w:val="CharStyle9"/>
          <w:vertAlign w:val="superscript"/>
        </w:rPr>
        <w:footnoteReference w:id="3"/>
      </w:r>
      <w:r>
        <w:rPr>
          <w:rStyle w:val="CharStyle9"/>
        </w:rPr>
        <w:t>.</w:t>
      </w:r>
    </w:p>
    <w:p>
      <w:pPr>
        <w:pStyle w:val="Style8"/>
        <w:keepNext w:val="0"/>
        <w:keepLines w:val="0"/>
        <w:widowControl w:val="0"/>
        <w:shd w:val="clear" w:color="auto" w:fill="auto"/>
        <w:bidi w:val="0"/>
        <w:spacing w:before="0"/>
        <w:ind w:left="0" w:right="0" w:firstLine="0"/>
        <w:jc w:val="left"/>
      </w:pPr>
      <w:r>
        <w:rPr>
          <w:rStyle w:val="CharStyle9"/>
        </w:rPr>
        <w:t>Analiza jest publicznie udostępniana w Biuletynie Informacji Publicznej urzędu gminy</w:t>
      </w:r>
      <w:r>
        <w:rPr>
          <w:rStyle w:val="CharStyle9"/>
          <w:vertAlign w:val="superscript"/>
        </w:rPr>
        <w:footnoteReference w:id="4"/>
      </w:r>
      <w:r>
        <w:rPr>
          <w:rStyle w:val="CharStyle9"/>
        </w:rPr>
        <w:t>. Mechanizm ten zapewnia mieszkańcom możliwość zapoznania się z informacjami dotyczącymi kosztów funkcjonowania systemu oraz zmian zachodzących w gospodarce odpadami na terenie gminy.</w:t>
      </w:r>
    </w:p>
    <w:p>
      <w:pPr>
        <w:pStyle w:val="Style10"/>
        <w:keepNext/>
        <w:keepLines/>
        <w:widowControl w:val="0"/>
        <w:shd w:val="clear" w:color="auto" w:fill="auto"/>
        <w:bidi w:val="0"/>
        <w:spacing w:before="0"/>
        <w:ind w:left="0" w:right="0" w:firstLine="0"/>
        <w:jc w:val="left"/>
      </w:pPr>
      <w:bookmarkStart w:id="17" w:name="bookmark17"/>
      <w:r>
        <w:rPr>
          <w:rStyle w:val="CharStyle11"/>
          <w:b/>
          <w:bCs/>
        </w:rPr>
        <w:t>W zakresie zwiększenia poziomów zbierania i recyklingu odpadów opakowaniowych</w:t>
      </w:r>
      <w:bookmarkEnd w:id="17"/>
    </w:p>
    <w:p>
      <w:pPr>
        <w:pStyle w:val="Style8"/>
        <w:keepNext w:val="0"/>
        <w:keepLines w:val="0"/>
        <w:widowControl w:val="0"/>
        <w:shd w:val="clear" w:color="auto" w:fill="auto"/>
        <w:bidi w:val="0"/>
        <w:spacing w:before="0"/>
        <w:ind w:left="0" w:right="0" w:firstLine="0"/>
        <w:jc w:val="left"/>
      </w:pPr>
      <w:r>
        <w:rPr>
          <w:rStyle w:val="CharStyle9"/>
        </w:rPr>
        <w:t>W ramach gminnego systemu gospodarowania odpadami komunalnymi odpady opakowaniowe z tworzyw sztucznych są zbierane i ewidencjonowane łącznie, bez wyodrębniania poszczególnych kategorii produktów, takich jak butelki, zabawki czy inne wyroby wykonane z tworzyw sztucznych. Dostępne dane dotyczą wyłącznie całkowitej masy zebranych odpadów z tworzyw sztucznych, w związku z czym nie ma możliwości precyzyjnego określenia masy samych butelek.</w:t>
      </w:r>
    </w:p>
    <w:p>
      <w:pPr>
        <w:pStyle w:val="Style8"/>
        <w:keepNext w:val="0"/>
        <w:keepLines w:val="0"/>
        <w:widowControl w:val="0"/>
        <w:shd w:val="clear" w:color="auto" w:fill="auto"/>
        <w:bidi w:val="0"/>
        <w:spacing w:before="0"/>
        <w:ind w:left="0" w:right="0" w:firstLine="0"/>
        <w:jc w:val="left"/>
      </w:pPr>
      <w:r>
        <w:rPr>
          <w:rStyle w:val="CharStyle9"/>
        </w:rPr>
        <w:t>Wprowadzenie systemu kaucyjnego wpłynie pozytywnie na zwiększenie poziomów selektywnego zbierania odpadów opakowaniowych i ich recykling, ponieważ do recyklingu będzie trafiało więcej czystego surowca.</w:t>
      </w:r>
    </w:p>
    <w:p>
      <w:pPr>
        <w:pStyle w:val="Style8"/>
        <w:keepNext w:val="0"/>
        <w:keepLines w:val="0"/>
        <w:widowControl w:val="0"/>
        <w:shd w:val="clear" w:color="auto" w:fill="auto"/>
        <w:bidi w:val="0"/>
        <w:spacing w:before="0"/>
        <w:ind w:left="0" w:right="0" w:firstLine="0"/>
        <w:jc w:val="left"/>
      </w:pPr>
      <w:r>
        <w:rPr>
          <w:rStyle w:val="CharStyle9"/>
        </w:rPr>
        <w:t>Według aktualnych danych dotyczących gospodarowania odpadami komunalnymi wiele gmin nie osiągnęło wymaganego poziomu recyklingu odpadów komunalnych. Dokonywane przez mieszkańców zwroty odpadów opakowaniowych w ramach systemów kaucyjnych zwiększać będą poziomy selektywnego zbierania, a w kolejnym kroku również recyklingu, który będzie mógł zostać zaliczony do poziomów recyklingu odpadów komunalnych zapewnianych przez gminy. Dane ze sprawozdań za 2025 r. przygotowywane przez podmioty prowadzące systemy kaucyjne zostały przekazane do gmin, które mogły uwzględnić odpowiednie dane w swoich sprawozdaniach.</w:t>
      </w:r>
    </w:p>
    <w:p>
      <w:pPr>
        <w:pStyle w:val="Style8"/>
        <w:keepNext w:val="0"/>
        <w:keepLines w:val="0"/>
        <w:widowControl w:val="0"/>
        <w:shd w:val="clear" w:color="auto" w:fill="auto"/>
        <w:bidi w:val="0"/>
        <w:spacing w:before="0"/>
        <w:ind w:left="0" w:right="0" w:firstLine="0"/>
        <w:jc w:val="left"/>
      </w:pPr>
      <w:r>
        <w:rPr>
          <w:rStyle w:val="CharStyle9"/>
        </w:rPr>
        <w:t>W ramach systemu kaucyjnego prowadzone są szacunki dotyczące prognozowanych poziomów zbierania odpadów. Wstępne wyniki wskazują, że w pierwszym pełnym roku funkcjonowania systemu kaucyjnego możliwe będzie zebranie ok. 231 tys. Mg zużytych butelek z tworzyw sztucznych oraz ok. 46 tys. Mg zużytych puszek metalowych. Powyższe wartości zostały określone przy założeniu, że podmioty reprezentujące osiągną wymagany ustawowo poziom selektywnego zbierania opakowań i odpadów opakowaniowych wynoszący 77%.</w:t>
      </w:r>
    </w:p>
    <w:p>
      <w:pPr>
        <w:pStyle w:val="Style8"/>
        <w:keepNext w:val="0"/>
        <w:keepLines w:val="0"/>
        <w:widowControl w:val="0"/>
        <w:shd w:val="clear" w:color="auto" w:fill="auto"/>
        <w:bidi w:val="0"/>
        <w:spacing w:before="0"/>
        <w:ind w:left="0" w:right="0" w:firstLine="0"/>
        <w:jc w:val="left"/>
      </w:pPr>
      <w:r>
        <w:rPr>
          <w:rStyle w:val="CharStyle9"/>
        </w:rPr>
        <w:t>Ministerstwo przyjęło zasadę komplementarności systemu kaucyjnego i systemów gminnych. W praktyce obejmuje to:</w:t>
      </w:r>
    </w:p>
    <w:p>
      <w:pPr>
        <w:pStyle w:val="Style8"/>
        <w:keepNext w:val="0"/>
        <w:keepLines w:val="0"/>
        <w:widowControl w:val="0"/>
        <w:numPr>
          <w:ilvl w:val="0"/>
          <w:numId w:val="3"/>
        </w:numPr>
        <w:shd w:val="clear" w:color="auto" w:fill="auto"/>
        <w:tabs>
          <w:tab w:pos="745" w:val="left"/>
        </w:tabs>
        <w:bidi w:val="0"/>
        <w:spacing w:before="0" w:after="0"/>
        <w:ind w:left="740" w:right="0" w:hanging="360"/>
        <w:jc w:val="left"/>
      </w:pPr>
      <w:r>
        <w:rPr>
          <w:rStyle w:val="CharStyle9"/>
        </w:rPr>
        <w:t>harmonizację metodyki raportowania tak, by uwzględniała fakt objęcia części opakowań systemem kaucyjnym i aby uniknąć sztucznego zaniżenia wskaźników gmin,</w:t>
      </w:r>
    </w:p>
    <w:p>
      <w:pPr>
        <w:pStyle w:val="Style8"/>
        <w:keepNext w:val="0"/>
        <w:keepLines w:val="0"/>
        <w:widowControl w:val="0"/>
        <w:numPr>
          <w:ilvl w:val="0"/>
          <w:numId w:val="3"/>
        </w:numPr>
        <w:shd w:val="clear" w:color="auto" w:fill="auto"/>
        <w:tabs>
          <w:tab w:pos="745" w:val="left"/>
        </w:tabs>
        <w:bidi w:val="0"/>
        <w:spacing w:before="0" w:after="0"/>
        <w:ind w:left="740" w:right="0" w:hanging="360"/>
        <w:jc w:val="left"/>
      </w:pPr>
      <w:r>
        <w:rPr>
          <w:rStyle w:val="CharStyle9"/>
        </w:rPr>
        <w:t>dialog z operatorami i gminami w celu ustalenia praktycznych rozwiązań raportowych oraz przepływu informacji,</w:t>
      </w:r>
    </w:p>
    <w:p>
      <w:pPr>
        <w:pStyle w:val="Style8"/>
        <w:keepNext w:val="0"/>
        <w:keepLines w:val="0"/>
        <w:widowControl w:val="0"/>
        <w:numPr>
          <w:ilvl w:val="0"/>
          <w:numId w:val="3"/>
        </w:numPr>
        <w:shd w:val="clear" w:color="auto" w:fill="auto"/>
        <w:tabs>
          <w:tab w:pos="745" w:val="left"/>
        </w:tabs>
        <w:bidi w:val="0"/>
        <w:spacing w:before="0"/>
        <w:ind w:left="740" w:right="0" w:hanging="360"/>
        <w:jc w:val="left"/>
      </w:pPr>
      <w:r>
        <w:rPr>
          <w:rStyle w:val="CharStyle9"/>
        </w:rPr>
        <w:t>opracowanie interpretacji i wytycznych ujednolicających stosowanie przepisów i procedur w obszarze ewidencji i raportowania,</w:t>
      </w:r>
    </w:p>
    <w:p>
      <w:pPr>
        <w:pStyle w:val="Style8"/>
        <w:keepNext w:val="0"/>
        <w:keepLines w:val="0"/>
        <w:widowControl w:val="0"/>
        <w:numPr>
          <w:ilvl w:val="0"/>
          <w:numId w:val="3"/>
        </w:numPr>
        <w:shd w:val="clear" w:color="auto" w:fill="auto"/>
        <w:tabs>
          <w:tab w:pos="745" w:val="left"/>
        </w:tabs>
        <w:bidi w:val="0"/>
        <w:spacing w:before="0"/>
        <w:ind w:left="740" w:right="0" w:hanging="360"/>
        <w:jc w:val="left"/>
      </w:pPr>
      <w:r>
        <w:rPr>
          <w:rStyle w:val="CharStyle9"/>
        </w:rPr>
        <w:t>działania edukacyjne i informacyjne, w tym kampanię MKiŚ oraz współpracę z operatorami systemu kaucyjnego, by zapewnić sprawne przekazywanie danych i eliminowanie luk systemowych.</w:t>
      </w:r>
    </w:p>
    <w:p>
      <w:pPr>
        <w:pStyle w:val="Style8"/>
        <w:keepNext w:val="0"/>
        <w:keepLines w:val="0"/>
        <w:widowControl w:val="0"/>
        <w:shd w:val="clear" w:color="auto" w:fill="auto"/>
        <w:bidi w:val="0"/>
        <w:spacing w:before="0"/>
        <w:ind w:left="0" w:right="0" w:firstLine="0"/>
        <w:jc w:val="left"/>
      </w:pPr>
      <w:r>
        <w:rPr>
          <w:rStyle w:val="CharStyle9"/>
        </w:rPr>
        <w:t>Włączenie samorządu w działania wspomagające rozwój systemu kaucyjnego jest istotne dla zapewnienia powszechności systemu. Ministerstwo liczy na współpracę gmin z operatorami systemu w zakresie organizacji punktów zbierania odpadów opakowaniach, a także prowadzenia działań informacyjnych dla mieszkańców i przedsiębiorców na swoim terenie.</w:t>
      </w:r>
    </w:p>
    <w:p>
      <w:pPr>
        <w:pStyle w:val="Style8"/>
        <w:keepNext w:val="0"/>
        <w:keepLines w:val="0"/>
        <w:widowControl w:val="0"/>
        <w:shd w:val="clear" w:color="auto" w:fill="auto"/>
        <w:bidi w:val="0"/>
        <w:spacing w:before="0"/>
        <w:ind w:left="0" w:right="0" w:firstLine="0"/>
        <w:jc w:val="left"/>
      </w:pPr>
      <w:r>
        <w:rPr>
          <w:rStyle w:val="CharStyle9"/>
        </w:rPr>
        <w:t>Biorąc pod uwagę powyższe, w ocenie Ministerstwa obowiązujące przepisy zawierają mechanizmy pozwalające zarówno na monitorowanie zmian wynikających z funkcjonowania systemu kaucyjnego, jak i na uwzględnienie tych zmian przy ustalaniu wysokości opłaty za gospodarowanie odpadami komunalnymi.</w:t>
      </w:r>
    </w:p>
    <w:p>
      <w:pPr>
        <w:pStyle w:val="Style8"/>
        <w:keepNext w:val="0"/>
        <w:keepLines w:val="0"/>
        <w:widowControl w:val="0"/>
        <w:shd w:val="clear" w:color="auto" w:fill="auto"/>
        <w:bidi w:val="0"/>
        <w:spacing w:before="0" w:after="640"/>
        <w:ind w:left="0" w:right="0" w:firstLine="0"/>
        <w:jc w:val="left"/>
      </w:pPr>
      <w:r>
        <w:rPr>
          <w:rStyle w:val="CharStyle9"/>
        </w:rPr>
        <w:t>W konsekwencji Ministerstwo uznaje, że realizacja postulatów zawartych w petycji w zakresie monitorowania wpływu systemu kaucyjnego, przejrzystości kosztów oraz uwzględniania rzeczywistych zmian kosztów w wysokości opłaty jest możliwa w ramach obowiązujących przepisów, bez konieczności wprowadzania dodatkowego, automatycznego mechanizmu zmiany wysokości opłaty.</w:t>
      </w:r>
    </w:p>
    <w:p>
      <w:pPr>
        <w:pStyle w:val="Style8"/>
        <w:keepNext w:val="0"/>
        <w:keepLines w:val="0"/>
        <w:widowControl w:val="0"/>
        <w:shd w:val="clear" w:color="auto" w:fill="auto"/>
        <w:bidi w:val="0"/>
        <w:spacing w:before="0" w:after="440"/>
        <w:ind w:left="0" w:right="0" w:firstLine="0"/>
        <w:jc w:val="left"/>
      </w:pPr>
      <w:r>
        <w:rPr>
          <w:rStyle w:val="CharStyle9"/>
        </w:rPr>
        <w:t>Z wyrazami szacunku</w:t>
      </w:r>
    </w:p>
    <w:p>
      <w:pPr>
        <w:pStyle w:val="Style8"/>
        <w:keepNext w:val="0"/>
        <w:keepLines w:val="0"/>
        <w:widowControl w:val="0"/>
        <w:shd w:val="clear" w:color="auto" w:fill="auto"/>
        <w:bidi w:val="0"/>
        <w:spacing w:before="0" w:after="0"/>
        <w:ind w:left="0" w:right="0" w:firstLine="0"/>
        <w:jc w:val="left"/>
      </w:pPr>
      <w:r>
        <w:rPr>
          <w:rStyle w:val="CharStyle9"/>
        </w:rPr>
        <w:t>Dyrektor</w:t>
      </w:r>
    </w:p>
    <w:p>
      <w:pPr>
        <w:pStyle w:val="Style8"/>
        <w:keepNext w:val="0"/>
        <w:keepLines w:val="0"/>
        <w:widowControl w:val="0"/>
        <w:shd w:val="clear" w:color="auto" w:fill="auto"/>
        <w:bidi w:val="0"/>
        <w:spacing w:before="0" w:after="860"/>
        <w:ind w:left="0" w:right="0" w:firstLine="0"/>
        <w:jc w:val="left"/>
      </w:pPr>
      <w:r>
        <w:rPr>
          <w:rStyle w:val="CharStyle9"/>
        </w:rPr>
        <w:t>Departament Gospodarki Odpadami Ministerstwo Klimatu i Środowiska / – podpisany cyfrowo/</w:t>
      </w:r>
    </w:p>
    <w:p>
      <w:pPr>
        <w:pStyle w:val="Style8"/>
        <w:keepNext w:val="0"/>
        <w:keepLines w:val="0"/>
        <w:widowControl w:val="0"/>
        <w:shd w:val="clear" w:color="auto" w:fill="auto"/>
        <w:bidi w:val="0"/>
        <w:spacing w:before="0" w:after="100"/>
        <w:ind w:left="0" w:right="0" w:firstLine="0"/>
        <w:jc w:val="left"/>
      </w:pPr>
      <w:r>
        <w:rPr>
          <w:rStyle w:val="CharStyle9"/>
          <w:u w:val="single"/>
        </w:rPr>
        <w:t>Do wiadomości:</w:t>
      </w:r>
    </w:p>
    <w:p>
      <w:pPr>
        <w:pStyle w:val="Style8"/>
        <w:keepNext w:val="0"/>
        <w:keepLines w:val="0"/>
        <w:widowControl w:val="0"/>
        <w:numPr>
          <w:ilvl w:val="0"/>
          <w:numId w:val="5"/>
        </w:numPr>
        <w:shd w:val="clear" w:color="auto" w:fill="auto"/>
        <w:tabs>
          <w:tab w:pos="306" w:val="left"/>
        </w:tabs>
        <w:bidi w:val="0"/>
        <w:spacing w:before="0" w:after="100"/>
        <w:ind w:left="0" w:right="0" w:firstLine="0"/>
        <w:jc w:val="left"/>
      </w:pPr>
      <w:r>
        <w:rPr>
          <w:rStyle w:val="CharStyle9"/>
        </w:rPr>
        <w:t>Kancelaria Prezesa RM</w:t>
      </w:r>
    </w:p>
    <w:p>
      <w:pPr>
        <w:pStyle w:val="Style8"/>
        <w:keepNext w:val="0"/>
        <w:keepLines w:val="0"/>
        <w:widowControl w:val="0"/>
        <w:numPr>
          <w:ilvl w:val="0"/>
          <w:numId w:val="5"/>
        </w:numPr>
        <w:shd w:val="clear" w:color="auto" w:fill="auto"/>
        <w:tabs>
          <w:tab w:pos="315" w:val="left"/>
        </w:tabs>
        <w:bidi w:val="0"/>
        <w:spacing w:before="0"/>
        <w:ind w:left="0" w:right="0" w:firstLine="0"/>
        <w:jc w:val="left"/>
      </w:pPr>
      <w:r>
        <w:rPr>
          <w:rStyle w:val="CharStyle9"/>
        </w:rPr>
        <w:t>Biuro Kontroli i Audytu MKiŚ</w:t>
      </w:r>
    </w:p>
    <w:sectPr>
      <w:footnotePr>
        <w:pos w:val="pageBottom"/>
        <w:numFmt w:val="decimal"/>
        <w:numStart w:val="1"/>
        <w:numRestart w:val="continuous"/>
        <w15:footnoteColumns w:val="1"/>
      </w:footnotePr>
      <w:pgSz w:w="11900" w:h="16840"/>
      <w:pgMar w:top="754" w:right="1967" w:bottom="679" w:left="1946" w:header="326" w:footer="251"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line="240" w:lineRule="auto"/>
        <w:ind w:left="0" w:right="0" w:firstLine="0"/>
        <w:jc w:val="both"/>
        <w:rPr>
          <w:sz w:val="16"/>
          <w:szCs w:val="16"/>
        </w:rPr>
      </w:pPr>
      <w:r>
        <w:rPr>
          <w:rStyle w:val="CharStyle3"/>
          <w:sz w:val="16"/>
          <w:szCs w:val="16"/>
        </w:rPr>
        <w:t xml:space="preserve">Telefon: (+48) 22 369 29 00 ul. Wawelska 52/54, 00-922 Warszawa </w:t>
      </w:r>
      <w:r>
        <w:fldChar w:fldCharType="begin"/>
      </w:r>
      <w:r>
        <w:rPr/>
        <w:instrText> HYPERLINK "mailto:info@klimat.gov.pl" </w:instrText>
      </w:r>
      <w:r>
        <w:fldChar w:fldCharType="separate"/>
      </w:r>
      <w:r>
        <w:rPr>
          <w:rStyle w:val="CharStyle3"/>
          <w:sz w:val="16"/>
          <w:szCs w:val="16"/>
        </w:rPr>
        <w:t>info@klimat.gov.pl</w:t>
      </w:r>
      <w:r>
        <w:fldChar w:fldCharType="end"/>
      </w:r>
      <w:r>
        <w:rPr>
          <w:rStyle w:val="CharStyle3"/>
          <w:sz w:val="16"/>
          <w:szCs w:val="16"/>
        </w:rPr>
        <w:t xml:space="preserve"> Ministerstwo Klimatu i Środowiska </w:t>
      </w:r>
      <w:r>
        <w:fldChar w:fldCharType="begin"/>
      </w:r>
      <w:r>
        <w:rPr/>
        <w:instrText> HYPERLINK "http://www.gov.pl/klimat" </w:instrText>
      </w:r>
      <w:r>
        <w:fldChar w:fldCharType="separate"/>
      </w:r>
      <w:r>
        <w:rPr>
          <w:rStyle w:val="CharStyle3"/>
          <w:sz w:val="16"/>
          <w:szCs w:val="16"/>
        </w:rPr>
        <w:t>www.gov.pl/klimat</w:t>
      </w:r>
      <w:r>
        <w:fldChar w:fldCharType="end"/>
      </w:r>
    </w:p>
    <w:p>
      <w:pPr>
        <w:pStyle w:val="Style2"/>
        <w:keepNext w:val="0"/>
        <w:keepLines w:val="0"/>
        <w:widowControl w:val="0"/>
        <w:shd w:val="clear" w:color="auto" w:fill="auto"/>
        <w:bidi w:val="0"/>
        <w:spacing w:before="0" w:after="0" w:line="240" w:lineRule="auto"/>
        <w:ind w:left="0" w:right="0" w:firstLine="0"/>
        <w:jc w:val="center"/>
        <w:rPr>
          <w:sz w:val="13"/>
          <w:szCs w:val="13"/>
        </w:rPr>
      </w:pPr>
      <w:r>
        <w:rPr>
          <w:rStyle w:val="CharStyle3"/>
          <w:sz w:val="13"/>
          <w:szCs w:val="13"/>
        </w:rPr>
        <w:t>Działamy zgodnie z EMAS - zarządzając instytucją, dbamy o środowisko</w:t>
      </w:r>
    </w:p>
  </w:footnote>
  <w:footnote w:id="3">
    <w:p>
      <w:pPr>
        <w:pStyle w:val="Style2"/>
        <w:keepNext w:val="0"/>
        <w:keepLines w:val="0"/>
        <w:widowControl w:val="0"/>
        <w:shd w:val="clear" w:color="auto" w:fill="auto"/>
        <w:bidi w:val="0"/>
        <w:spacing w:before="0" w:after="0" w:line="240" w:lineRule="auto"/>
        <w:ind w:left="0" w:right="0" w:firstLine="0"/>
        <w:jc w:val="both"/>
      </w:pPr>
      <w:r>
        <w:rPr>
          <w:rStyle w:val="CharStyle3"/>
          <w:vertAlign w:val="superscript"/>
        </w:rPr>
        <w:footnoteRef/>
      </w:r>
      <w:r>
        <w:rPr>
          <w:rStyle w:val="CharStyle3"/>
        </w:rPr>
        <w:t xml:space="preserve"> art. 9tb ust. 1 pkt 3 ustawy z dnia 13 września 1996 r. o utrzymaniu czystości i porządku w gminach (Dz. U. z 2025 r. poz. 733 z późn. zm.)</w:t>
      </w:r>
    </w:p>
  </w:footnote>
  <w:footnote w:id="4">
    <w:p>
      <w:pPr>
        <w:pStyle w:val="Style2"/>
        <w:keepNext w:val="0"/>
        <w:keepLines w:val="0"/>
        <w:widowControl w:val="0"/>
        <w:shd w:val="clear" w:color="auto" w:fill="auto"/>
        <w:bidi w:val="0"/>
        <w:spacing w:before="0" w:after="0" w:line="240" w:lineRule="auto"/>
        <w:ind w:left="0" w:right="0" w:firstLine="0"/>
        <w:jc w:val="left"/>
      </w:pPr>
      <w:r>
        <w:rPr>
          <w:rStyle w:val="CharStyle3"/>
          <w:vertAlign w:val="superscript"/>
        </w:rPr>
        <w:footnoteRef/>
      </w:r>
      <w:r>
        <w:rPr>
          <w:rStyle w:val="CharStyle3"/>
        </w:rPr>
        <w:t xml:space="preserve"> Art. 9tb ust. 3 u.c.p.g.</w:t>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abstractNum>
  <w:abstractNum w:abstractNumId="4">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abstractNum>
  <w:num w:numId="1">
    <w:abstractNumId w:val="0"/>
  </w:num>
  <w:num w:numId="3">
    <w:abstractNumId w:val="2"/>
  </w:num>
  <w:num w:numId="5">
    <w:abstractNumId w:val="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Footnote_"/>
    <w:basedOn w:val="DefaultParagraphFont"/>
    <w:link w:val="Style2"/>
    <w:rPr>
      <w:rFonts w:ascii="Arial" w:eastAsia="Arial" w:hAnsi="Arial" w:cs="Arial"/>
      <w:b w:val="0"/>
      <w:bCs w:val="0"/>
      <w:i w:val="0"/>
      <w:iCs w:val="0"/>
      <w:smallCaps w:val="0"/>
      <w:strike w:val="0"/>
      <w:sz w:val="18"/>
      <w:szCs w:val="18"/>
      <w:u w:val="none"/>
    </w:rPr>
  </w:style>
  <w:style w:type="character" w:customStyle="1" w:styleId="CharStyle7">
    <w:name w:val="Heading #1_"/>
    <w:basedOn w:val="DefaultParagraphFont"/>
    <w:link w:val="Style6"/>
    <w:rPr>
      <w:rFonts w:ascii="Corbel" w:eastAsia="Corbel" w:hAnsi="Corbel" w:cs="Corbel"/>
      <w:b w:val="0"/>
      <w:bCs w:val="0"/>
      <w:i w:val="0"/>
      <w:iCs w:val="0"/>
      <w:smallCaps w:val="0"/>
      <w:strike w:val="0"/>
      <w:sz w:val="36"/>
      <w:szCs w:val="36"/>
      <w:u w:val="none"/>
    </w:rPr>
  </w:style>
  <w:style w:type="character" w:customStyle="1" w:styleId="CharStyle9">
    <w:name w:val="Body text_"/>
    <w:basedOn w:val="DefaultParagraphFont"/>
    <w:link w:val="Style8"/>
    <w:rPr>
      <w:rFonts w:ascii="Arial" w:eastAsia="Arial" w:hAnsi="Arial" w:cs="Arial"/>
      <w:b w:val="0"/>
      <w:bCs w:val="0"/>
      <w:i w:val="0"/>
      <w:iCs w:val="0"/>
      <w:smallCaps w:val="0"/>
      <w:strike w:val="0"/>
      <w:sz w:val="20"/>
      <w:szCs w:val="20"/>
      <w:u w:val="none"/>
    </w:rPr>
  </w:style>
  <w:style w:type="character" w:customStyle="1" w:styleId="CharStyle11">
    <w:name w:val="Heading #2_"/>
    <w:basedOn w:val="DefaultParagraphFont"/>
    <w:link w:val="Style10"/>
    <w:rPr>
      <w:rFonts w:ascii="Arial" w:eastAsia="Arial" w:hAnsi="Arial" w:cs="Arial"/>
      <w:b/>
      <w:bCs/>
      <w:i w:val="0"/>
      <w:iCs w:val="0"/>
      <w:smallCaps w:val="0"/>
      <w:strike w:val="0"/>
      <w:sz w:val="20"/>
      <w:szCs w:val="20"/>
      <w:u w:val="none"/>
    </w:rPr>
  </w:style>
  <w:style w:type="character" w:customStyle="1" w:styleId="CharStyle14">
    <w:name w:val="Body text (2)_"/>
    <w:basedOn w:val="DefaultParagraphFont"/>
    <w:link w:val="Style13"/>
    <w:rPr>
      <w:rFonts w:ascii="Arial" w:eastAsia="Arial" w:hAnsi="Arial" w:cs="Arial"/>
      <w:b w:val="0"/>
      <w:bCs w:val="0"/>
      <w:i w:val="0"/>
      <w:iCs w:val="0"/>
      <w:smallCaps w:val="0"/>
      <w:strike w:val="0"/>
      <w:sz w:val="18"/>
      <w:szCs w:val="18"/>
      <w:u w:val="none"/>
    </w:rPr>
  </w:style>
  <w:style w:type="paragraph" w:customStyle="1" w:styleId="Style2">
    <w:name w:val="Footnote"/>
    <w:basedOn w:val="Normal"/>
    <w:link w:val="CharStyle3"/>
    <w:pPr>
      <w:widowControl w:val="0"/>
      <w:shd w:val="clear" w:color="auto" w:fill="auto"/>
    </w:pPr>
    <w:rPr>
      <w:rFonts w:ascii="Arial" w:eastAsia="Arial" w:hAnsi="Arial" w:cs="Arial"/>
      <w:b w:val="0"/>
      <w:bCs w:val="0"/>
      <w:i w:val="0"/>
      <w:iCs w:val="0"/>
      <w:smallCaps w:val="0"/>
      <w:strike w:val="0"/>
      <w:sz w:val="18"/>
      <w:szCs w:val="18"/>
      <w:u w:val="none"/>
    </w:rPr>
  </w:style>
  <w:style w:type="paragraph" w:customStyle="1" w:styleId="Style6">
    <w:name w:val="Heading #1"/>
    <w:basedOn w:val="Normal"/>
    <w:link w:val="CharStyle7"/>
    <w:pPr>
      <w:widowControl w:val="0"/>
      <w:shd w:val="clear" w:color="auto" w:fill="auto"/>
      <w:spacing w:after="270" w:line="226" w:lineRule="auto"/>
      <w:outlineLvl w:val="0"/>
    </w:pPr>
    <w:rPr>
      <w:rFonts w:ascii="Corbel" w:eastAsia="Corbel" w:hAnsi="Corbel" w:cs="Corbel"/>
      <w:b w:val="0"/>
      <w:bCs w:val="0"/>
      <w:i w:val="0"/>
      <w:iCs w:val="0"/>
      <w:smallCaps w:val="0"/>
      <w:strike w:val="0"/>
      <w:sz w:val="36"/>
      <w:szCs w:val="36"/>
      <w:u w:val="none"/>
    </w:rPr>
  </w:style>
  <w:style w:type="paragraph" w:styleId="Style8">
    <w:name w:val="Body text"/>
    <w:basedOn w:val="Normal"/>
    <w:link w:val="CharStyle9"/>
    <w:qFormat/>
    <w:pPr>
      <w:widowControl w:val="0"/>
      <w:shd w:val="clear" w:color="auto" w:fill="auto"/>
      <w:spacing w:after="180" w:line="276" w:lineRule="auto"/>
    </w:pPr>
    <w:rPr>
      <w:rFonts w:ascii="Arial" w:eastAsia="Arial" w:hAnsi="Arial" w:cs="Arial"/>
      <w:b w:val="0"/>
      <w:bCs w:val="0"/>
      <w:i w:val="0"/>
      <w:iCs w:val="0"/>
      <w:smallCaps w:val="0"/>
      <w:strike w:val="0"/>
      <w:sz w:val="20"/>
      <w:szCs w:val="20"/>
      <w:u w:val="none"/>
    </w:rPr>
  </w:style>
  <w:style w:type="paragraph" w:customStyle="1" w:styleId="Style10">
    <w:name w:val="Heading #2"/>
    <w:basedOn w:val="Normal"/>
    <w:link w:val="CharStyle11"/>
    <w:pPr>
      <w:widowControl w:val="0"/>
      <w:shd w:val="clear" w:color="auto" w:fill="auto"/>
      <w:spacing w:after="180" w:line="276" w:lineRule="auto"/>
      <w:outlineLvl w:val="1"/>
    </w:pPr>
    <w:rPr>
      <w:rFonts w:ascii="Arial" w:eastAsia="Arial" w:hAnsi="Arial" w:cs="Arial"/>
      <w:b/>
      <w:bCs/>
      <w:i w:val="0"/>
      <w:iCs w:val="0"/>
      <w:smallCaps w:val="0"/>
      <w:strike w:val="0"/>
      <w:sz w:val="20"/>
      <w:szCs w:val="20"/>
      <w:u w:val="none"/>
    </w:rPr>
  </w:style>
  <w:style w:type="paragraph" w:customStyle="1" w:styleId="Style13">
    <w:name w:val="Body text (2)"/>
    <w:basedOn w:val="Normal"/>
    <w:link w:val="CharStyle14"/>
    <w:pPr>
      <w:widowControl w:val="0"/>
      <w:shd w:val="clear" w:color="auto" w:fill="auto"/>
      <w:spacing w:after="240"/>
    </w:pPr>
    <w:rPr>
      <w:rFonts w:ascii="Arial" w:eastAsia="Arial" w:hAnsi="Arial" w:cs="Arial"/>
      <w:b w:val="0"/>
      <w:bCs w:val="0"/>
      <w:i w:val="0"/>
      <w:iCs w:val="0"/>
      <w:smallCaps w:val="0"/>
      <w:strike w:val="0"/>
      <w:sz w:val="18"/>
      <w:szCs w:val="18"/>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

<file path=docProps/core.xml><?xml version="1.0" encoding="utf-8"?>
<cp:coreProperties xmlns:cp="http://schemas.openxmlformats.org/package/2006/metadata/core-properties" xmlns:dc="http://purl.org/dc/elements/1.1/">
  <dc:title>Szablon ogólny kolor</dc:title>
  <dc:subject/>
  <dc:creator/>
  <cp:keywords>PL, KOLOR</cp:keywords>
</cp:coreProperties>
</file>