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0AD" w:rsidRDefault="00A350AD">
      <w:pPr>
        <w:pStyle w:val="Heading110"/>
        <w:keepNext/>
        <w:keepLines/>
        <w:pBdr>
          <w:bottom w:val="single" w:sz="4" w:space="0" w:color="auto"/>
        </w:pBdr>
        <w:spacing w:after="260"/>
      </w:pPr>
      <w:bookmarkStart w:id="0" w:name="_GoBack"/>
      <w:bookmarkEnd w:id="0"/>
    </w:p>
    <w:p w:rsidR="00A350AD" w:rsidRDefault="00627E59">
      <w:pPr>
        <w:pStyle w:val="Bodytext10"/>
        <w:tabs>
          <w:tab w:val="left" w:pos="2987"/>
        </w:tabs>
        <w:spacing w:after="0"/>
      </w:pPr>
      <w:r>
        <w:rPr>
          <w:rStyle w:val="Bodytext1"/>
          <w:rFonts w:ascii="Arial" w:eastAsia="Arial" w:hAnsi="Arial" w:cs="Arial"/>
          <w:b/>
          <w:bCs/>
          <w:sz w:val="19"/>
          <w:szCs w:val="19"/>
        </w:rPr>
        <w:t>Od:</w:t>
      </w:r>
      <w:r>
        <w:rPr>
          <w:rStyle w:val="Bodytext1"/>
          <w:rFonts w:ascii="Arial" w:eastAsia="Arial" w:hAnsi="Arial" w:cs="Arial"/>
          <w:b/>
          <w:bCs/>
          <w:sz w:val="19"/>
          <w:szCs w:val="19"/>
        </w:rPr>
        <w:tab/>
      </w:r>
    </w:p>
    <w:p w:rsidR="00A350AD" w:rsidRDefault="00627E59">
      <w:pPr>
        <w:pStyle w:val="Bodytext10"/>
        <w:tabs>
          <w:tab w:val="left" w:pos="2987"/>
          <w:tab w:val="center" w:pos="5681"/>
        </w:tabs>
        <w:spacing w:after="0"/>
      </w:pPr>
      <w:r>
        <w:rPr>
          <w:rStyle w:val="Bodytext1"/>
          <w:rFonts w:ascii="Arial" w:eastAsia="Arial" w:hAnsi="Arial" w:cs="Arial"/>
          <w:b/>
          <w:bCs/>
          <w:sz w:val="19"/>
          <w:szCs w:val="19"/>
        </w:rPr>
        <w:t>Wysłano:</w:t>
      </w:r>
      <w:r>
        <w:rPr>
          <w:rStyle w:val="Bodytext1"/>
          <w:rFonts w:ascii="Arial" w:eastAsia="Arial" w:hAnsi="Arial" w:cs="Arial"/>
          <w:b/>
          <w:bCs/>
          <w:sz w:val="19"/>
          <w:szCs w:val="19"/>
        </w:rPr>
        <w:tab/>
      </w:r>
      <w:r>
        <w:rPr>
          <w:rStyle w:val="Bodytext1"/>
        </w:rPr>
        <w:t>wtorek, 24 grudnia 2024</w:t>
      </w:r>
      <w:r>
        <w:rPr>
          <w:rStyle w:val="Bodytext1"/>
        </w:rPr>
        <w:tab/>
        <w:t>10:14</w:t>
      </w:r>
    </w:p>
    <w:p w:rsidR="00A350AD" w:rsidRDefault="00627E59">
      <w:pPr>
        <w:pStyle w:val="Bodytext10"/>
        <w:tabs>
          <w:tab w:val="left" w:pos="2987"/>
        </w:tabs>
        <w:spacing w:after="0"/>
      </w:pPr>
      <w:r>
        <w:rPr>
          <w:rStyle w:val="Bodytext1"/>
          <w:rFonts w:ascii="Arial" w:eastAsia="Arial" w:hAnsi="Arial" w:cs="Arial"/>
          <w:b/>
          <w:bCs/>
          <w:sz w:val="19"/>
          <w:szCs w:val="19"/>
        </w:rPr>
        <w:t>Do:</w:t>
      </w:r>
      <w:r>
        <w:rPr>
          <w:rStyle w:val="Bodytext1"/>
          <w:rFonts w:ascii="Arial" w:eastAsia="Arial" w:hAnsi="Arial" w:cs="Arial"/>
          <w:b/>
          <w:bCs/>
          <w:sz w:val="19"/>
          <w:szCs w:val="19"/>
        </w:rPr>
        <w:tab/>
      </w:r>
      <w:r>
        <w:rPr>
          <w:rStyle w:val="Bodytext1"/>
        </w:rPr>
        <w:t>kontakt; kontakt</w:t>
      </w:r>
    </w:p>
    <w:p w:rsidR="00A350AD" w:rsidRDefault="00627E59">
      <w:pPr>
        <w:pStyle w:val="Bodytext10"/>
        <w:tabs>
          <w:tab w:val="left" w:pos="2987"/>
        </w:tabs>
        <w:spacing w:after="0" w:line="310" w:lineRule="auto"/>
      </w:pPr>
      <w:r>
        <w:rPr>
          <w:rStyle w:val="Bodytext1"/>
          <w:rFonts w:ascii="Arial" w:eastAsia="Arial" w:hAnsi="Arial" w:cs="Arial"/>
          <w:b/>
          <w:bCs/>
          <w:sz w:val="19"/>
          <w:szCs w:val="19"/>
        </w:rPr>
        <w:t>DW:</w:t>
      </w:r>
      <w:r>
        <w:rPr>
          <w:rStyle w:val="Bodytext1"/>
          <w:rFonts w:ascii="Arial" w:eastAsia="Arial" w:hAnsi="Arial" w:cs="Arial"/>
          <w:b/>
          <w:bCs/>
          <w:sz w:val="19"/>
          <w:szCs w:val="19"/>
        </w:rPr>
        <w:tab/>
      </w:r>
      <w:r>
        <w:rPr>
          <w:rStyle w:val="Bodytext1"/>
        </w:rPr>
        <w:t>skep1;skep</w:t>
      </w:r>
    </w:p>
    <w:p w:rsidR="00A350AD" w:rsidRDefault="00627E59">
      <w:pPr>
        <w:pStyle w:val="Bodytext10"/>
        <w:tabs>
          <w:tab w:val="left" w:pos="2987"/>
        </w:tabs>
        <w:spacing w:after="540"/>
      </w:pPr>
      <w:r>
        <w:rPr>
          <w:rStyle w:val="Bodytext1"/>
          <w:rFonts w:ascii="Arial" w:eastAsia="Arial" w:hAnsi="Arial" w:cs="Arial"/>
          <w:b/>
          <w:bCs/>
          <w:sz w:val="19"/>
          <w:szCs w:val="19"/>
        </w:rPr>
        <w:t>Temat:</w:t>
      </w:r>
      <w:r>
        <w:rPr>
          <w:rStyle w:val="Bodytext1"/>
          <w:rFonts w:ascii="Arial" w:eastAsia="Arial" w:hAnsi="Arial" w:cs="Arial"/>
          <w:b/>
          <w:bCs/>
          <w:sz w:val="19"/>
          <w:szCs w:val="19"/>
        </w:rPr>
        <w:tab/>
      </w:r>
      <w:r>
        <w:rPr>
          <w:rStyle w:val="Bodytext1"/>
        </w:rPr>
        <w:t xml:space="preserve">Petycja o zmianę przepisów </w:t>
      </w:r>
      <w:r>
        <w:rPr>
          <w:rStyle w:val="Bodytext1"/>
          <w:lang w:val="en-US" w:eastAsia="en-US" w:bidi="en-US"/>
        </w:rPr>
        <w:t xml:space="preserve">dot. </w:t>
      </w:r>
      <w:r>
        <w:rPr>
          <w:rStyle w:val="Bodytext1"/>
        </w:rPr>
        <w:t>rent i emerytur zakonnic</w:t>
      </w:r>
    </w:p>
    <w:p w:rsidR="00A350AD" w:rsidRDefault="00627E59">
      <w:pPr>
        <w:pStyle w:val="Heading110"/>
        <w:keepNext/>
        <w:keepLines/>
        <w:spacing w:after="540"/>
      </w:pPr>
      <w:bookmarkStart w:id="1" w:name="bookmark2"/>
      <w:r>
        <w:rPr>
          <w:rStyle w:val="Heading11"/>
          <w:b/>
          <w:bCs/>
        </w:rPr>
        <w:t>Uwaga! Wiadomość pochodzi od zewnętrznego nadawcy.</w:t>
      </w:r>
      <w:bookmarkEnd w:id="1"/>
    </w:p>
    <w:p w:rsidR="00A350AD" w:rsidRDefault="00627E59">
      <w:pPr>
        <w:pStyle w:val="Bodytext10"/>
        <w:spacing w:after="0" w:line="266" w:lineRule="auto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DO:</w:t>
      </w:r>
    </w:p>
    <w:p w:rsidR="00A350AD" w:rsidRDefault="00627E59">
      <w:pPr>
        <w:pStyle w:val="Bodytext10"/>
        <w:spacing w:after="0" w:line="266" w:lineRule="auto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Ministerstwo Spraw Wewnętrznych i Administracji</w:t>
      </w:r>
    </w:p>
    <w:p w:rsidR="00A350AD" w:rsidRDefault="00627E59">
      <w:pPr>
        <w:pStyle w:val="Bodytext10"/>
        <w:spacing w:line="266" w:lineRule="auto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Ministra do spraw Równości</w:t>
      </w:r>
    </w:p>
    <w:p w:rsidR="00A350AD" w:rsidRDefault="00627E59">
      <w:pPr>
        <w:pStyle w:val="Bodytext10"/>
      </w:pPr>
      <w:r>
        <w:rPr>
          <w:rStyle w:val="Bodytext1"/>
          <w:lang w:val="en-US" w:eastAsia="en-US" w:bidi="en-US"/>
        </w:rPr>
        <w:t xml:space="preserve">dot. </w:t>
      </w:r>
      <w:r>
        <w:rPr>
          <w:rStyle w:val="Bodytext1"/>
        </w:rPr>
        <w:t xml:space="preserve">artykułu: </w:t>
      </w:r>
      <w:hyperlink r:id="rId6" w:history="1">
        <w:r>
          <w:rPr>
            <w:rStyle w:val="Bodytext1"/>
            <w:u w:val="single"/>
            <w:lang w:val="en-US" w:eastAsia="en-US" w:bidi="en-US"/>
          </w:rPr>
          <w:t>https://www.o2.pl/biznes/gotowi-emerytury-zakonnic-ludzie-wzburzeni-7035208603654912a</w:t>
        </w:r>
      </w:hyperlink>
    </w:p>
    <w:p w:rsidR="00A350AD" w:rsidRDefault="00627E59">
      <w:pPr>
        <w:pStyle w:val="Bodytext10"/>
        <w:spacing w:after="0"/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25 Konstytucji:</w:t>
      </w:r>
    </w:p>
    <w:p w:rsidR="00A350AD" w:rsidRDefault="00627E59">
      <w:pPr>
        <w:pStyle w:val="Bodytext10"/>
      </w:pPr>
      <w:r>
        <w:rPr>
          <w:rStyle w:val="Bodytext1"/>
        </w:rPr>
        <w:t xml:space="preserve">ust. 3 Stosunki między państwem a kościołami i innymi związkami wyznaniowymi są kształtowane na zasadach poszanowania ich autonomii oraz wzajemnej niezależności każdego w swoim zakresie, jak również </w:t>
      </w:r>
      <w:r>
        <w:rPr>
          <w:rStyle w:val="Bodytext1"/>
          <w:b/>
          <w:bCs/>
          <w:sz w:val="22"/>
          <w:szCs w:val="22"/>
        </w:rPr>
        <w:t xml:space="preserve">współdziałania dla dobra człowieka </w:t>
      </w:r>
      <w:r>
        <w:rPr>
          <w:rStyle w:val="Bodytext1"/>
        </w:rPr>
        <w:t>i dobra wspólnego.</w:t>
      </w:r>
    </w:p>
    <w:p w:rsidR="00A350AD" w:rsidRDefault="00627E59">
      <w:pPr>
        <w:pStyle w:val="Bodytext10"/>
        <w:rPr>
          <w:sz w:val="22"/>
          <w:szCs w:val="22"/>
        </w:rPr>
      </w:pPr>
      <w:r>
        <w:rPr>
          <w:rStyle w:val="Bodytext1"/>
        </w:rPr>
        <w:t xml:space="preserve">ust. 5 Stosunki między Rzecząpospolitą Polską a innymi kościołami oraz związkami wyznaniowymi określają </w:t>
      </w:r>
      <w:r>
        <w:rPr>
          <w:rStyle w:val="Bodytext1"/>
          <w:b/>
          <w:bCs/>
          <w:sz w:val="22"/>
          <w:szCs w:val="22"/>
        </w:rPr>
        <w:t>ustawy uchwalone na podstawie umów zawartych przez Radę Ministrów z ich właściwymi przedstawicielami.</w:t>
      </w:r>
    </w:p>
    <w:p w:rsidR="00A350AD" w:rsidRDefault="00627E59">
      <w:pPr>
        <w:pStyle w:val="Bodytext10"/>
        <w:spacing w:after="0"/>
      </w:pPr>
      <w:r>
        <w:rPr>
          <w:rStyle w:val="Bodytext1"/>
        </w:rPr>
        <w:t>Ustawa o systemie ubezpieczeń społecznych:</w:t>
      </w:r>
    </w:p>
    <w:p w:rsidR="00A350AD" w:rsidRDefault="00627E59">
      <w:pPr>
        <w:pStyle w:val="Bodytext10"/>
        <w:spacing w:after="0"/>
        <w:jc w:val="both"/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6. ust. 1</w:t>
      </w:r>
    </w:p>
    <w:p w:rsidR="00A350AD" w:rsidRDefault="00627E59">
      <w:pPr>
        <w:pStyle w:val="Bodytext10"/>
        <w:spacing w:after="0" w:line="266" w:lineRule="auto"/>
        <w:jc w:val="both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Obowiązkowo ubezpieczeniom emerytalnemu i rentowym podlegają.</w:t>
      </w:r>
    </w:p>
    <w:p w:rsidR="00A350AD" w:rsidRDefault="00627E59">
      <w:pPr>
        <w:pStyle w:val="Bodytext10"/>
        <w:spacing w:after="0"/>
        <w:jc w:val="both"/>
      </w:pPr>
      <w:r>
        <w:rPr>
          <w:rStyle w:val="Bodytext1"/>
        </w:rPr>
        <w:t xml:space="preserve">z zastrzeżeniem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8 i 9. osoby fizyczne, które na obszarze Rzeczypospolitej Polskiej</w:t>
      </w:r>
    </w:p>
    <w:p w:rsidR="00A350AD" w:rsidRDefault="00627E59">
      <w:pPr>
        <w:pStyle w:val="Bodytext10"/>
        <w:spacing w:after="0"/>
        <w:jc w:val="both"/>
      </w:pPr>
      <w:r>
        <w:rPr>
          <w:rStyle w:val="Bodytext1"/>
        </w:rPr>
        <w:t>są:</w:t>
      </w:r>
    </w:p>
    <w:p w:rsidR="00A350AD" w:rsidRDefault="00627E59">
      <w:pPr>
        <w:pStyle w:val="Bodytext10"/>
        <w:jc w:val="both"/>
        <w:rPr>
          <w:sz w:val="22"/>
          <w:szCs w:val="22"/>
        </w:rPr>
      </w:pPr>
      <w:r>
        <w:rPr>
          <w:rStyle w:val="Bodytext1"/>
        </w:rPr>
        <w:t xml:space="preserve">10) </w:t>
      </w:r>
      <w:r>
        <w:rPr>
          <w:rStyle w:val="Bodytext1"/>
          <w:b/>
          <w:bCs/>
          <w:sz w:val="22"/>
          <w:szCs w:val="22"/>
        </w:rPr>
        <w:t>duchownymi</w:t>
      </w:r>
    </w:p>
    <w:p w:rsidR="00A350AD" w:rsidRDefault="00627E59">
      <w:pPr>
        <w:pStyle w:val="Bodytext10"/>
      </w:pPr>
      <w:r>
        <w:rPr>
          <w:rStyle w:val="Bodytext1"/>
        </w:rPr>
        <w:t>Ustawa o przejęciu przez Państwo dóbr martwej ręki, poręczeniu proboszczom posiadania gospodarstw rolnych i utworzeniu Funduszu Kościelnego:</w:t>
      </w:r>
    </w:p>
    <w:p w:rsidR="00A350AD" w:rsidRDefault="00627E59">
      <w:pPr>
        <w:pStyle w:val="Bodytext10"/>
        <w:spacing w:after="0"/>
        <w:jc w:val="both"/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9. ust. 1. Fundusz Kościelny świadczyć będzie na następujące cele:</w:t>
      </w:r>
    </w:p>
    <w:p w:rsidR="00A350AD" w:rsidRDefault="00627E59">
      <w:pPr>
        <w:pStyle w:val="Bodytext10"/>
        <w:jc w:val="both"/>
      </w:pPr>
      <w:r>
        <w:rPr>
          <w:rStyle w:val="Bodytext1"/>
          <w:b/>
          <w:bCs/>
          <w:sz w:val="22"/>
          <w:szCs w:val="22"/>
        </w:rPr>
        <w:t xml:space="preserve">4) opłacanie składek na ubezpieczenie społeczne duchownych </w:t>
      </w:r>
      <w:r>
        <w:rPr>
          <w:rStyle w:val="Bodytext1"/>
        </w:rPr>
        <w:t>w wymiarze określonym w ustawie z dnia 13 października 1998 r. o systemie ubezpieczeń społecznych</w:t>
      </w:r>
    </w:p>
    <w:p w:rsidR="00A350AD" w:rsidRDefault="00627E59">
      <w:pPr>
        <w:pStyle w:val="Bodytext10"/>
        <w:spacing w:after="820"/>
        <w:jc w:val="both"/>
        <w:rPr>
          <w:sz w:val="22"/>
          <w:szCs w:val="22"/>
        </w:rPr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10. ust. 1. </w:t>
      </w:r>
      <w:r>
        <w:rPr>
          <w:rStyle w:val="Bodytext1"/>
          <w:b/>
          <w:bCs/>
          <w:sz w:val="22"/>
          <w:szCs w:val="22"/>
        </w:rPr>
        <w:t>Funduszu Kościelny podlega nadzorowi Ministra Administracji Publicznej.</w:t>
      </w:r>
    </w:p>
    <w:p w:rsidR="00A350AD" w:rsidRDefault="00627E59">
      <w:pPr>
        <w:pStyle w:val="Bodytext10"/>
        <w:spacing w:after="0" w:line="226" w:lineRule="auto"/>
        <w:jc w:val="both"/>
      </w:pPr>
      <w:r>
        <w:rPr>
          <w:rStyle w:val="Bodytext1"/>
        </w:rPr>
        <w:t>Mając na względzie:</w:t>
      </w:r>
    </w:p>
    <w:p w:rsidR="00A350AD" w:rsidRDefault="00627E59">
      <w:pPr>
        <w:pStyle w:val="Bodytext10"/>
        <w:spacing w:after="0" w:line="226" w:lineRule="auto"/>
        <w:jc w:val="both"/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25 ust. 3 Konstytucji i działanie dla dobra człowieka (zakonnic)</w:t>
      </w:r>
    </w:p>
    <w:p w:rsidR="00A350AD" w:rsidRDefault="00627E59">
      <w:pPr>
        <w:pStyle w:val="Bodytext10"/>
        <w:spacing w:after="0" w:line="226" w:lineRule="auto"/>
        <w:jc w:val="both"/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25 ust. 5 Konstytucji i działanie Rady Ministrów jako decy</w:t>
      </w:r>
      <w:r w:rsidR="00867F9B">
        <w:rPr>
          <w:rStyle w:val="Bodytext1"/>
        </w:rPr>
        <w:t>denta w sprawie zawierania umów</w:t>
      </w:r>
    </w:p>
    <w:p w:rsidR="00A350AD" w:rsidRDefault="00867F9B">
      <w:pPr>
        <w:pStyle w:val="Bodytext10"/>
        <w:spacing w:after="0" w:line="226" w:lineRule="auto"/>
        <w:jc w:val="both"/>
      </w:pPr>
      <w:r>
        <w:rPr>
          <w:rStyle w:val="Bodytext1"/>
        </w:rPr>
        <w:t xml:space="preserve">z </w:t>
      </w:r>
      <w:r w:rsidR="00627E59">
        <w:rPr>
          <w:rStyle w:val="Bodytext1"/>
        </w:rPr>
        <w:t>Kościołem katolickim (w tym zakonów)</w:t>
      </w:r>
    </w:p>
    <w:p w:rsidR="00A350AD" w:rsidRDefault="00627E59">
      <w:pPr>
        <w:pStyle w:val="Bodytext10"/>
        <w:spacing w:line="226" w:lineRule="auto"/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6 ust. 1 pkt. 10) Ustawy o systemie ubezpieczeń społecznych i obowiązek objęcia nimi duchownych (zakonnic)</w:t>
      </w:r>
      <w:r>
        <w:br w:type="page"/>
      </w:r>
    </w:p>
    <w:p w:rsidR="00A350AD" w:rsidRDefault="00627E59">
      <w:pPr>
        <w:pStyle w:val="Bodytext10"/>
      </w:pPr>
      <w:r>
        <w:rPr>
          <w:rStyle w:val="Bodytext1"/>
          <w:lang w:val="en-US" w:eastAsia="en-US" w:bidi="en-US"/>
        </w:rPr>
        <w:lastRenderedPageBreak/>
        <w:t xml:space="preserve">art. 9 </w:t>
      </w:r>
      <w:r>
        <w:rPr>
          <w:rStyle w:val="Bodytext1"/>
        </w:rPr>
        <w:t xml:space="preserve">ust. </w:t>
      </w:r>
      <w:r>
        <w:rPr>
          <w:rStyle w:val="Bodytext1"/>
          <w:lang w:val="en-US" w:eastAsia="en-US" w:bidi="en-US"/>
        </w:rPr>
        <w:t xml:space="preserve">1 pkt. 4) </w:t>
      </w:r>
      <w:r>
        <w:rPr>
          <w:rStyle w:val="Bodytext1"/>
        </w:rPr>
        <w:t>Ustawy o przejęciu przez Państwo dóbr martwej ręki, poręczeniu proboszczom posiadania gospodarstw rolnych i utworzeniu Funduszu Kościelnego i przeznaczaniu środków z Funduszu Kościelnego na ubezpieczenia społeczne duchownych (zakonnic)</w:t>
      </w:r>
    </w:p>
    <w:p w:rsidR="00A350AD" w:rsidRDefault="00627E59">
      <w:pPr>
        <w:pStyle w:val="Bodytext10"/>
        <w:spacing w:line="271" w:lineRule="auto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składam petycję aby zrekonstruować obowiązujące akty prawne, które zabezpieczą interes zakonnic w</w:t>
      </w:r>
      <w:r w:rsidR="00867F9B">
        <w:rPr>
          <w:rStyle w:val="Bodytext1"/>
          <w:b/>
          <w:bCs/>
          <w:sz w:val="22"/>
          <w:szCs w:val="22"/>
        </w:rPr>
        <w:t> </w:t>
      </w:r>
      <w:r>
        <w:rPr>
          <w:rStyle w:val="Bodytext1"/>
          <w:b/>
          <w:bCs/>
          <w:sz w:val="22"/>
          <w:szCs w:val="22"/>
        </w:rPr>
        <w:t>zakresie równego prawa do rent i emerytur oraz według równowagi finansowej w porównaniu z księżmi.</w:t>
      </w:r>
    </w:p>
    <w:p w:rsidR="00A350AD" w:rsidRDefault="00627E59">
      <w:pPr>
        <w:pStyle w:val="Bodytext10"/>
        <w:spacing w:line="252" w:lineRule="auto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Dyskryminacja finansowa zakonnic jest niedopuszczalna (ubóstwo powinno być dobrowolnym wyrażaniem wiary poprzez skromne życie a nie poprzez puste konto emerytalne na trudny okres życia jakim jest starość i</w:t>
      </w:r>
      <w:r w:rsidR="00867F9B">
        <w:rPr>
          <w:rStyle w:val="Bodytext1"/>
          <w:b/>
          <w:bCs/>
          <w:sz w:val="22"/>
          <w:szCs w:val="22"/>
        </w:rPr>
        <w:t> </w:t>
      </w:r>
      <w:r>
        <w:rPr>
          <w:rStyle w:val="Bodytext1"/>
          <w:b/>
          <w:bCs/>
          <w:sz w:val="22"/>
          <w:szCs w:val="22"/>
        </w:rPr>
        <w:t>niedołężność lub</w:t>
      </w:r>
      <w:r w:rsidR="00867F9B">
        <w:rPr>
          <w:rStyle w:val="Bodytext1"/>
          <w:b/>
          <w:bCs/>
          <w:sz w:val="22"/>
          <w:szCs w:val="22"/>
        </w:rPr>
        <w:t xml:space="preserve"> </w:t>
      </w:r>
      <w:proofErr w:type="spellStart"/>
      <w:r>
        <w:rPr>
          <w:rStyle w:val="Bodytext1"/>
          <w:b/>
          <w:bCs/>
          <w:sz w:val="22"/>
          <w:szCs w:val="22"/>
        </w:rPr>
        <w:t>przemocowe</w:t>
      </w:r>
      <w:proofErr w:type="spellEnd"/>
      <w:r>
        <w:rPr>
          <w:rStyle w:val="Bodytext1"/>
          <w:b/>
          <w:bCs/>
          <w:sz w:val="22"/>
          <w:szCs w:val="22"/>
        </w:rPr>
        <w:t xml:space="preserve"> odbieranie środków przez matki przełożone).</w:t>
      </w:r>
    </w:p>
    <w:p w:rsidR="00A350AD" w:rsidRDefault="00627E59">
      <w:pPr>
        <w:pStyle w:val="Bodytext10"/>
        <w:spacing w:line="257" w:lineRule="auto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 xml:space="preserve">Ubóstwo </w:t>
      </w:r>
      <w:proofErr w:type="spellStart"/>
      <w:r>
        <w:rPr>
          <w:rStyle w:val="Bodytext1"/>
          <w:b/>
          <w:bCs/>
          <w:sz w:val="22"/>
          <w:szCs w:val="22"/>
        </w:rPr>
        <w:t>przemocowe</w:t>
      </w:r>
      <w:proofErr w:type="spellEnd"/>
      <w:r>
        <w:rPr>
          <w:rStyle w:val="Bodytext1"/>
          <w:b/>
          <w:bCs/>
          <w:sz w:val="22"/>
          <w:szCs w:val="22"/>
        </w:rPr>
        <w:t xml:space="preserve"> stosowane względem zakonnic trzeba wyeliminować bo Bóg oczekuje raczej decyzji dobrowolnych i świadectw prawdziwej wia</w:t>
      </w:r>
      <w:r w:rsidR="00867F9B">
        <w:rPr>
          <w:rStyle w:val="Bodytext1"/>
          <w:b/>
          <w:bCs/>
          <w:sz w:val="22"/>
          <w:szCs w:val="22"/>
        </w:rPr>
        <w:t>ry</w:t>
      </w:r>
      <w:r>
        <w:rPr>
          <w:rStyle w:val="Bodytext1"/>
          <w:b/>
          <w:bCs/>
          <w:sz w:val="22"/>
          <w:szCs w:val="22"/>
        </w:rPr>
        <w:t xml:space="preserve"> wyrażanej poprzez ubogie życie materialne i jednocześnie bogate życie duchowe.</w:t>
      </w:r>
    </w:p>
    <w:p w:rsidR="00A350AD" w:rsidRDefault="00627E59">
      <w:pPr>
        <w:pStyle w:val="Bodytext10"/>
      </w:pPr>
      <w:r>
        <w:rPr>
          <w:rStyle w:val="Bodytext1"/>
        </w:rPr>
        <w:t>Petycja nie wymaga odpowiedzi. Ewentualnie odpowiedź proszę kierować na niniejszego e-maila.</w:t>
      </w:r>
    </w:p>
    <w:p w:rsidR="00A350AD" w:rsidRDefault="00627E59">
      <w:pPr>
        <w:pStyle w:val="Bodytext10"/>
        <w:spacing w:after="0"/>
      </w:pPr>
      <w:r>
        <w:rPr>
          <w:rStyle w:val="Bodytext1"/>
        </w:rPr>
        <w:t>z poważaniem</w:t>
      </w:r>
    </w:p>
    <w:sectPr w:rsidR="00A350AD">
      <w:footerReference w:type="even" r:id="rId7"/>
      <w:footerReference w:type="default" r:id="rId8"/>
      <w:pgSz w:w="11900" w:h="16840"/>
      <w:pgMar w:top="886" w:right="773" w:bottom="1274" w:left="72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995" w:rsidRDefault="008E0995">
      <w:r>
        <w:separator/>
      </w:r>
    </w:p>
  </w:endnote>
  <w:endnote w:type="continuationSeparator" w:id="0">
    <w:p w:rsidR="008E0995" w:rsidRDefault="008E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0AD" w:rsidRDefault="00627E5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3782695</wp:posOffset>
              </wp:positionH>
              <wp:positionV relativeFrom="page">
                <wp:posOffset>10099675</wp:posOffset>
              </wp:positionV>
              <wp:extent cx="41275" cy="730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350AD" w:rsidRDefault="00627E59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7.85000000000002pt;margin-top:795.25pt;width:3.25pt;height:5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10"/>
                        <w:rFonts w:ascii="Arial" w:eastAsia="Arial" w:hAnsi="Arial" w:cs="Arial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0AD" w:rsidRDefault="00A350AD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995" w:rsidRDefault="008E0995"/>
  </w:footnote>
  <w:footnote w:type="continuationSeparator" w:id="0">
    <w:p w:rsidR="008E0995" w:rsidRDefault="008E09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0AD"/>
    <w:rsid w:val="00627E59"/>
    <w:rsid w:val="00867F9B"/>
    <w:rsid w:val="00893B64"/>
    <w:rsid w:val="008E0995"/>
    <w:rsid w:val="00A350AD"/>
    <w:rsid w:val="00D11E78"/>
    <w:rsid w:val="00FA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72DE7-1965-4726-B841-11CC3BA1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10">
    <w:name w:val="Heading #1|1"/>
    <w:basedOn w:val="Normalny"/>
    <w:link w:val="Heading11"/>
    <w:pPr>
      <w:spacing w:after="400"/>
      <w:outlineLvl w:val="0"/>
    </w:pPr>
    <w:rPr>
      <w:b/>
      <w:bCs/>
      <w:sz w:val="26"/>
      <w:szCs w:val="26"/>
    </w:rPr>
  </w:style>
  <w:style w:type="paragraph" w:customStyle="1" w:styleId="Bodytext10">
    <w:name w:val="Body text|1"/>
    <w:basedOn w:val="Normalny"/>
    <w:link w:val="Bodytext1"/>
    <w:pPr>
      <w:spacing w:after="260"/>
    </w:p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2.pl/biznes/gotowi-emerytury-zakonnic-ludzie-wzburzeni-7035208603654912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2025-01-23T13:26:00Z</dcterms:created>
  <dcterms:modified xsi:type="dcterms:W3CDTF">2025-01-23T13:26:00Z</dcterms:modified>
</cp:coreProperties>
</file>