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A5F" w:rsidRPr="00232149" w:rsidRDefault="008D6A5F" w:rsidP="00232149">
      <w:pPr>
        <w:jc w:val="both"/>
        <w:rPr>
          <w:rFonts w:ascii="Times New Roman" w:hAnsi="Times New Roman" w:cs="Times New Roman"/>
          <w:sz w:val="24"/>
          <w:szCs w:val="24"/>
          <w:lang w:val="en-GB"/>
        </w:rPr>
      </w:pPr>
      <w:bookmarkStart w:id="0" w:name="_GoBack"/>
      <w:bookmarkEnd w:id="0"/>
      <w:r w:rsidRPr="00232149">
        <w:rPr>
          <w:rFonts w:ascii="Times New Roman" w:hAnsi="Times New Roman" w:cs="Times New Roman"/>
          <w:sz w:val="24"/>
          <w:szCs w:val="24"/>
          <w:lang w:val="en-GB"/>
        </w:rPr>
        <w:t xml:space="preserve">Opinion of the Advocate </w:t>
      </w:r>
      <w:r w:rsidR="00232149" w:rsidRPr="00232149">
        <w:rPr>
          <w:rFonts w:ascii="Times New Roman" w:hAnsi="Times New Roman" w:cs="Times New Roman"/>
          <w:sz w:val="24"/>
          <w:szCs w:val="24"/>
          <w:lang w:val="en-GB"/>
        </w:rPr>
        <w:t>G</w:t>
      </w:r>
      <w:r w:rsidRPr="00232149">
        <w:rPr>
          <w:rFonts w:ascii="Times New Roman" w:hAnsi="Times New Roman" w:cs="Times New Roman"/>
          <w:sz w:val="24"/>
          <w:szCs w:val="24"/>
          <w:lang w:val="en-GB"/>
        </w:rPr>
        <w:t>eneral of the CJEU in line with the position of the Ministry of Justice</w:t>
      </w:r>
    </w:p>
    <w:p w:rsidR="008D6A5F" w:rsidRPr="00232149" w:rsidRDefault="008D6A5F" w:rsidP="00232149">
      <w:pPr>
        <w:jc w:val="both"/>
        <w:rPr>
          <w:rFonts w:ascii="Times New Roman" w:hAnsi="Times New Roman" w:cs="Times New Roman"/>
          <w:sz w:val="24"/>
          <w:szCs w:val="24"/>
          <w:lang w:val="en-GB"/>
        </w:rPr>
      </w:pPr>
    </w:p>
    <w:p w:rsidR="003206D9" w:rsidRPr="00232149" w:rsidRDefault="008D6A5F" w:rsidP="00232149">
      <w:pPr>
        <w:jc w:val="both"/>
        <w:rPr>
          <w:rFonts w:ascii="Times New Roman" w:hAnsi="Times New Roman" w:cs="Times New Roman"/>
          <w:sz w:val="24"/>
          <w:szCs w:val="24"/>
          <w:lang w:val="en-GB"/>
        </w:rPr>
      </w:pPr>
      <w:r w:rsidRPr="00232149">
        <w:rPr>
          <w:rFonts w:ascii="Times New Roman" w:hAnsi="Times New Roman" w:cs="Times New Roman"/>
          <w:sz w:val="24"/>
          <w:szCs w:val="24"/>
          <w:lang w:val="en-GB"/>
        </w:rPr>
        <w:t>The Ministry of Justice welcomed with satisfaction today's opinion of the Advocate General of the CJEU, Manuel Campos Sánchez-</w:t>
      </w:r>
      <w:proofErr w:type="spellStart"/>
      <w:r w:rsidRPr="00232149">
        <w:rPr>
          <w:rFonts w:ascii="Times New Roman" w:hAnsi="Times New Roman" w:cs="Times New Roman"/>
          <w:sz w:val="24"/>
          <w:szCs w:val="24"/>
          <w:lang w:val="en-GB"/>
        </w:rPr>
        <w:t>Bordona</w:t>
      </w:r>
      <w:proofErr w:type="spellEnd"/>
      <w:r w:rsidRPr="00232149">
        <w:rPr>
          <w:rFonts w:ascii="Times New Roman" w:hAnsi="Times New Roman" w:cs="Times New Roman"/>
          <w:sz w:val="24"/>
          <w:szCs w:val="24"/>
          <w:lang w:val="en-GB"/>
        </w:rPr>
        <w:t xml:space="preserve">, on the use of European Arrest Warrants (EAWs). The </w:t>
      </w:r>
      <w:proofErr w:type="spellStart"/>
      <w:r w:rsidR="00ED168E" w:rsidRPr="00232149">
        <w:rPr>
          <w:rFonts w:ascii="Times New Roman" w:hAnsi="Times New Roman" w:cs="Times New Roman"/>
          <w:sz w:val="24"/>
          <w:szCs w:val="24"/>
          <w:lang w:val="en-GB"/>
        </w:rPr>
        <w:t>the</w:t>
      </w:r>
      <w:proofErr w:type="spellEnd"/>
      <w:r w:rsidR="00ED168E" w:rsidRPr="00232149">
        <w:rPr>
          <w:rFonts w:ascii="Times New Roman" w:hAnsi="Times New Roman" w:cs="Times New Roman"/>
          <w:sz w:val="24"/>
          <w:szCs w:val="24"/>
          <w:lang w:val="en-GB"/>
        </w:rPr>
        <w:t xml:space="preserve"> Advocate </w:t>
      </w:r>
      <w:r w:rsidR="00232149" w:rsidRPr="00232149">
        <w:rPr>
          <w:rFonts w:ascii="Times New Roman" w:hAnsi="Times New Roman" w:cs="Times New Roman"/>
          <w:sz w:val="24"/>
          <w:szCs w:val="24"/>
          <w:lang w:val="en-GB"/>
        </w:rPr>
        <w:t>G</w:t>
      </w:r>
      <w:r w:rsidR="00ED168E" w:rsidRPr="00232149">
        <w:rPr>
          <w:rFonts w:ascii="Times New Roman" w:hAnsi="Times New Roman" w:cs="Times New Roman"/>
          <w:sz w:val="24"/>
          <w:szCs w:val="24"/>
          <w:lang w:val="en-GB"/>
        </w:rPr>
        <w:t xml:space="preserve">eneral </w:t>
      </w:r>
      <w:r w:rsidRPr="00232149">
        <w:rPr>
          <w:rFonts w:ascii="Times New Roman" w:hAnsi="Times New Roman" w:cs="Times New Roman"/>
          <w:sz w:val="24"/>
          <w:szCs w:val="24"/>
          <w:lang w:val="en-GB"/>
        </w:rPr>
        <w:t>confirmed that the reforms of the judiciary carried out in Poland cannot be the reason for the refusal to execute the EAW.</w:t>
      </w:r>
    </w:p>
    <w:p w:rsidR="00ED168E" w:rsidRPr="00232149" w:rsidRDefault="00ED168E" w:rsidP="00232149">
      <w:pPr>
        <w:jc w:val="both"/>
        <w:rPr>
          <w:rFonts w:ascii="Times New Roman" w:hAnsi="Times New Roman" w:cs="Times New Roman"/>
          <w:sz w:val="24"/>
          <w:szCs w:val="24"/>
          <w:lang w:val="en-GB"/>
        </w:rPr>
      </w:pPr>
      <w:r w:rsidRPr="00232149">
        <w:rPr>
          <w:rFonts w:ascii="Times New Roman" w:hAnsi="Times New Roman" w:cs="Times New Roman"/>
          <w:sz w:val="24"/>
          <w:szCs w:val="24"/>
          <w:lang w:val="en-GB"/>
        </w:rPr>
        <w:t>Since the Dutch court initiated proceedings in this case, Poland has consistently emphasized that there are no grounds for stating that Polish courts did not meet the requirement of independence. However, the court in Amsterdam, based on a false thesis, questioned the execution of two EAWs issued against persons suspected of crimes and hiding from the Polish justice system.</w:t>
      </w:r>
    </w:p>
    <w:p w:rsidR="00ED168E" w:rsidRPr="00232149" w:rsidRDefault="00ED168E" w:rsidP="00232149">
      <w:pPr>
        <w:jc w:val="both"/>
        <w:rPr>
          <w:rFonts w:ascii="Times New Roman" w:hAnsi="Times New Roman" w:cs="Times New Roman"/>
          <w:sz w:val="24"/>
          <w:szCs w:val="24"/>
          <w:lang w:val="en-GB"/>
        </w:rPr>
      </w:pPr>
      <w:r w:rsidRPr="00232149">
        <w:rPr>
          <w:rFonts w:ascii="Times New Roman" w:hAnsi="Times New Roman" w:cs="Times New Roman"/>
          <w:sz w:val="24"/>
          <w:szCs w:val="24"/>
          <w:lang w:val="en-GB"/>
        </w:rPr>
        <w:t xml:space="preserve">The representative of the Government of the Republic of Poland - Deputy Minister of Justice </w:t>
      </w:r>
      <w:proofErr w:type="spellStart"/>
      <w:r w:rsidRPr="00232149">
        <w:rPr>
          <w:rFonts w:ascii="Times New Roman" w:hAnsi="Times New Roman" w:cs="Times New Roman"/>
          <w:sz w:val="24"/>
          <w:szCs w:val="24"/>
          <w:lang w:val="en-GB"/>
        </w:rPr>
        <w:t>Dr.</w:t>
      </w:r>
      <w:proofErr w:type="spellEnd"/>
      <w:r w:rsidRPr="00232149">
        <w:rPr>
          <w:rFonts w:ascii="Times New Roman" w:hAnsi="Times New Roman" w:cs="Times New Roman"/>
          <w:sz w:val="24"/>
          <w:szCs w:val="24"/>
          <w:lang w:val="en-GB"/>
        </w:rPr>
        <w:t xml:space="preserve"> Anna Dalkowska - already during the hearing on October 12, 2020, indicated that there can be no automatism in the cases of European arrest warrants. If we accept the arguments of the Dutch court that referred the question to the CJEU for a preliminary ruling, it would be possible to exclude the judiciary of one Member State by another.</w:t>
      </w:r>
    </w:p>
    <w:p w:rsidR="00ED168E" w:rsidRPr="00232149" w:rsidRDefault="00ED168E" w:rsidP="00232149">
      <w:pPr>
        <w:jc w:val="both"/>
        <w:rPr>
          <w:rFonts w:ascii="Times New Roman" w:hAnsi="Times New Roman" w:cs="Times New Roman"/>
          <w:sz w:val="24"/>
          <w:szCs w:val="24"/>
          <w:lang w:val="en-GB"/>
        </w:rPr>
      </w:pPr>
      <w:r w:rsidRPr="00232149">
        <w:rPr>
          <w:rFonts w:ascii="Times New Roman" w:hAnsi="Times New Roman" w:cs="Times New Roman"/>
          <w:sz w:val="24"/>
          <w:szCs w:val="24"/>
          <w:lang w:val="en-GB"/>
        </w:rPr>
        <w:t>This standpoint was also held by the European Commission, as well as by Ireland and Belgium. The Advocate General of the CJEU also clearly stated that the Dutch court does not find any real grounds based on the applicable provisions of law to refuse to surrender persons covered by the EAW to Poland.</w:t>
      </w:r>
    </w:p>
    <w:p w:rsidR="00ED168E" w:rsidRPr="00232149" w:rsidRDefault="00ED168E" w:rsidP="00232149">
      <w:pPr>
        <w:jc w:val="both"/>
        <w:rPr>
          <w:rFonts w:ascii="Times New Roman" w:hAnsi="Times New Roman" w:cs="Times New Roman"/>
          <w:sz w:val="24"/>
          <w:szCs w:val="24"/>
          <w:lang w:val="en-GB"/>
        </w:rPr>
      </w:pPr>
      <w:r w:rsidRPr="00232149">
        <w:rPr>
          <w:rFonts w:ascii="Times New Roman" w:hAnsi="Times New Roman" w:cs="Times New Roman"/>
          <w:sz w:val="24"/>
          <w:szCs w:val="24"/>
          <w:lang w:val="en-GB"/>
        </w:rPr>
        <w:t>Due to the incorrect position of the Dutch court and the artificial legal problem created in this way, the opinion issued by the Advocate General of the CJEU had to be consistent with the position of Poland.</w:t>
      </w:r>
    </w:p>
    <w:p w:rsidR="00232149" w:rsidRPr="00232149" w:rsidRDefault="00232149" w:rsidP="00232149">
      <w:pPr>
        <w:jc w:val="both"/>
        <w:rPr>
          <w:rFonts w:ascii="Times New Roman" w:hAnsi="Times New Roman" w:cs="Times New Roman"/>
          <w:sz w:val="24"/>
          <w:szCs w:val="24"/>
          <w:lang w:val="en-GB"/>
        </w:rPr>
      </w:pPr>
    </w:p>
    <w:p w:rsidR="00232149" w:rsidRPr="00232149" w:rsidRDefault="00232149" w:rsidP="00232149">
      <w:pPr>
        <w:jc w:val="both"/>
        <w:rPr>
          <w:rFonts w:ascii="Times New Roman" w:hAnsi="Times New Roman" w:cs="Times New Roman"/>
          <w:sz w:val="24"/>
          <w:szCs w:val="24"/>
          <w:lang w:val="en-GB"/>
        </w:rPr>
      </w:pPr>
      <w:r w:rsidRPr="00232149">
        <w:rPr>
          <w:rFonts w:ascii="Times New Roman" w:hAnsi="Times New Roman" w:cs="Times New Roman"/>
          <w:sz w:val="24"/>
          <w:szCs w:val="24"/>
          <w:lang w:val="en-GB"/>
        </w:rPr>
        <w:t xml:space="preserve">Office of Communication and Promotion </w:t>
      </w:r>
    </w:p>
    <w:p w:rsidR="00ED168E" w:rsidRPr="00232149" w:rsidRDefault="00232149" w:rsidP="00232149">
      <w:pPr>
        <w:jc w:val="both"/>
        <w:rPr>
          <w:rFonts w:ascii="Times New Roman" w:hAnsi="Times New Roman" w:cs="Times New Roman"/>
          <w:sz w:val="24"/>
          <w:szCs w:val="24"/>
          <w:lang w:val="en-GB"/>
        </w:rPr>
      </w:pPr>
      <w:r w:rsidRPr="00232149">
        <w:rPr>
          <w:rFonts w:ascii="Times New Roman" w:hAnsi="Times New Roman" w:cs="Times New Roman"/>
          <w:sz w:val="24"/>
          <w:szCs w:val="24"/>
          <w:lang w:val="en-GB"/>
        </w:rPr>
        <w:t>Ministry of Justice</w:t>
      </w:r>
    </w:p>
    <w:sectPr w:rsidR="00ED168E" w:rsidRPr="002321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A5F"/>
    <w:rsid w:val="00232149"/>
    <w:rsid w:val="003206D9"/>
    <w:rsid w:val="008D6A5F"/>
    <w:rsid w:val="008E656E"/>
    <w:rsid w:val="00ED16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1550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Sporczyk-Popielarczyk Anna  (DLPC)</dc:creator>
  <cp:lastModifiedBy>Ewa Łosińska</cp:lastModifiedBy>
  <cp:revision>2</cp:revision>
  <dcterms:created xsi:type="dcterms:W3CDTF">2020-11-12T18:31:00Z</dcterms:created>
  <dcterms:modified xsi:type="dcterms:W3CDTF">2020-11-12T18:31:00Z</dcterms:modified>
</cp:coreProperties>
</file>