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8A03" w14:textId="4C503F65" w:rsidR="00E66518" w:rsidRPr="009E2887" w:rsidRDefault="00421E11" w:rsidP="00421E11">
      <w:pPr>
        <w:jc w:val="center"/>
        <w:rPr>
          <w:rFonts w:cstheme="minorHAnsi"/>
          <w:sz w:val="20"/>
          <w:szCs w:val="20"/>
          <w:lang w:val="en-US"/>
        </w:rPr>
      </w:pPr>
      <w:r w:rsidRPr="009E2887">
        <w:rPr>
          <w:rFonts w:cstheme="minorHAnsi"/>
          <w:b/>
          <w:bCs/>
          <w:sz w:val="20"/>
          <w:szCs w:val="20"/>
          <w:lang w:val="en-US"/>
        </w:rPr>
        <w:t>INSTRUCTIONS</w:t>
      </w:r>
      <w:r w:rsidRPr="009E2887">
        <w:rPr>
          <w:rFonts w:cstheme="minorHAnsi"/>
          <w:sz w:val="20"/>
          <w:szCs w:val="20"/>
          <w:lang w:val="en-US"/>
        </w:rPr>
        <w:br/>
      </w:r>
      <w:r w:rsidR="009E2887" w:rsidRPr="009E2887">
        <w:rPr>
          <w:rFonts w:cstheme="minorHAnsi"/>
          <w:b/>
          <w:bCs/>
          <w:sz w:val="20"/>
          <w:szCs w:val="20"/>
          <w:lang w:val="en-US"/>
        </w:rPr>
        <w:t>DELIVERY OF A COPY OF THE STATEMENT OF CLAIM TO THE DEFENDANT</w:t>
      </w:r>
      <w:r w:rsidRPr="009E2887">
        <w:rPr>
          <w:rFonts w:cstheme="minorHAnsi"/>
          <w:sz w:val="20"/>
          <w:szCs w:val="20"/>
          <w:lang w:val="en-US"/>
        </w:rPr>
        <w:br/>
        <w:t>(civil proceedings)</w:t>
      </w:r>
    </w:p>
    <w:p w14:paraId="4127CE6D" w14:textId="77777777" w:rsidR="00421E11" w:rsidRPr="009E2887" w:rsidRDefault="00421E11" w:rsidP="00421E11">
      <w:pPr>
        <w:jc w:val="both"/>
        <w:rPr>
          <w:rFonts w:cstheme="minorHAnsi"/>
          <w:sz w:val="20"/>
          <w:szCs w:val="20"/>
          <w:lang w:val="en-US"/>
        </w:rPr>
      </w:pPr>
    </w:p>
    <w:p w14:paraId="16F84C7F" w14:textId="7E223DF3" w:rsidR="009E2887" w:rsidRPr="009E2887" w:rsidRDefault="009E2887" w:rsidP="009E2887">
      <w:pPr>
        <w:pStyle w:val="Akapitzlist"/>
        <w:numPr>
          <w:ilvl w:val="0"/>
          <w:numId w:val="1"/>
        </w:numPr>
        <w:spacing w:line="276" w:lineRule="auto"/>
        <w:jc w:val="both"/>
        <w:rPr>
          <w:rFonts w:cstheme="minorHAnsi"/>
          <w:b/>
          <w:bCs/>
          <w:sz w:val="20"/>
          <w:szCs w:val="20"/>
          <w:lang w:val="en-US"/>
        </w:rPr>
      </w:pPr>
      <w:r w:rsidRPr="009E2887">
        <w:rPr>
          <w:rFonts w:cstheme="minorHAnsi"/>
          <w:sz w:val="20"/>
          <w:szCs w:val="20"/>
          <w:lang w:val="en-US"/>
        </w:rPr>
        <w:t xml:space="preserve">You have just received a copy of the </w:t>
      </w:r>
      <w:r>
        <w:rPr>
          <w:rFonts w:cstheme="minorHAnsi"/>
          <w:sz w:val="20"/>
          <w:szCs w:val="20"/>
          <w:lang w:val="en-US"/>
        </w:rPr>
        <w:t>s</w:t>
      </w:r>
      <w:r w:rsidRPr="009E2887">
        <w:rPr>
          <w:rFonts w:cstheme="minorHAnsi"/>
          <w:sz w:val="20"/>
          <w:szCs w:val="20"/>
          <w:lang w:val="en-US"/>
        </w:rPr>
        <w:t xml:space="preserve">tatement of </w:t>
      </w:r>
      <w:r>
        <w:rPr>
          <w:rFonts w:cstheme="minorHAnsi"/>
          <w:sz w:val="20"/>
          <w:szCs w:val="20"/>
          <w:lang w:val="en-US"/>
        </w:rPr>
        <w:t>c</w:t>
      </w:r>
      <w:r w:rsidRPr="009E2887">
        <w:rPr>
          <w:rFonts w:cstheme="minorHAnsi"/>
          <w:sz w:val="20"/>
          <w:szCs w:val="20"/>
          <w:lang w:val="en-US"/>
        </w:rPr>
        <w:t xml:space="preserve">laim along with attachments, which means that you are a party to the proceedings before the Court. This letter constitutes a set of essential instructions regarding the rights and obligations of a party to the proceedings and indicates the manner in which further proceedings before the Court will be conducted. </w:t>
      </w:r>
      <w:r w:rsidRPr="009E2887">
        <w:rPr>
          <w:rFonts w:cstheme="minorHAnsi"/>
          <w:b/>
          <w:bCs/>
          <w:sz w:val="20"/>
          <w:szCs w:val="20"/>
          <w:lang w:val="en-US"/>
        </w:rPr>
        <w:t>A defendant who has not familiarized themselves with these instructions bears the risk of the procedural consequences arising therefrom, including effects related to lack of knowledge of the rights and obligations indicated therein.</w:t>
      </w:r>
    </w:p>
    <w:p w14:paraId="199F454C" w14:textId="2CE3489B" w:rsidR="009E2887" w:rsidRDefault="009E2887" w:rsidP="009E2887">
      <w:pPr>
        <w:pStyle w:val="Akapitzlist"/>
        <w:numPr>
          <w:ilvl w:val="0"/>
          <w:numId w:val="1"/>
        </w:numPr>
        <w:spacing w:line="276" w:lineRule="auto"/>
        <w:jc w:val="both"/>
        <w:rPr>
          <w:rFonts w:cstheme="minorHAnsi"/>
          <w:sz w:val="20"/>
          <w:szCs w:val="20"/>
          <w:lang w:val="en-US"/>
        </w:rPr>
      </w:pPr>
      <w:r w:rsidRPr="009E2887">
        <w:rPr>
          <w:rFonts w:cstheme="minorHAnsi"/>
          <w:sz w:val="20"/>
          <w:szCs w:val="20"/>
          <w:lang w:val="en-US"/>
        </w:rPr>
        <w:t xml:space="preserve">The defendant – </w:t>
      </w:r>
      <w:r w:rsidRPr="009E2887">
        <w:rPr>
          <w:rFonts w:cstheme="minorHAnsi"/>
          <w:b/>
          <w:bCs/>
          <w:sz w:val="20"/>
          <w:szCs w:val="20"/>
          <w:lang w:val="en-US"/>
        </w:rPr>
        <w:t>if they do not fully or partially acknowledge the claim – is obliged, pursuant to the court’s summons, to file a</w:t>
      </w:r>
      <w:r w:rsidRPr="009E2887">
        <w:rPr>
          <w:rFonts w:cstheme="minorHAnsi"/>
          <w:sz w:val="20"/>
          <w:szCs w:val="20"/>
          <w:lang w:val="en-US"/>
        </w:rPr>
        <w:t xml:space="preserve"> </w:t>
      </w:r>
      <w:r w:rsidRPr="009E2887">
        <w:rPr>
          <w:rFonts w:cstheme="minorHAnsi"/>
          <w:b/>
          <w:bCs/>
          <w:sz w:val="20"/>
          <w:szCs w:val="20"/>
          <w:lang w:val="en-US"/>
        </w:rPr>
        <w:t xml:space="preserve">statement of </w:t>
      </w:r>
      <w:proofErr w:type="spellStart"/>
      <w:r w:rsidRPr="009E2887">
        <w:rPr>
          <w:rFonts w:cstheme="minorHAnsi"/>
          <w:b/>
          <w:bCs/>
          <w:sz w:val="20"/>
          <w:szCs w:val="20"/>
          <w:lang w:val="en-US"/>
        </w:rPr>
        <w:t>defence</w:t>
      </w:r>
      <w:proofErr w:type="spellEnd"/>
      <w:r w:rsidRPr="009E2887">
        <w:rPr>
          <w:rFonts w:cstheme="minorHAnsi"/>
          <w:sz w:val="20"/>
          <w:szCs w:val="20"/>
          <w:lang w:val="en-US"/>
        </w:rPr>
        <w:t xml:space="preserve"> within the time limit specified therein (Article 205¹ § 1 of the Act of 17 November 1964 – Code of Civil Procedure (Journal of Laws </w:t>
      </w:r>
      <w:r>
        <w:rPr>
          <w:rFonts w:cstheme="minorHAnsi"/>
          <w:sz w:val="20"/>
          <w:szCs w:val="20"/>
          <w:lang w:val="en-US"/>
        </w:rPr>
        <w:t xml:space="preserve">of </w:t>
      </w:r>
      <w:r w:rsidRPr="009E2887">
        <w:rPr>
          <w:rFonts w:cstheme="minorHAnsi"/>
          <w:sz w:val="20"/>
          <w:szCs w:val="20"/>
          <w:lang w:val="en-US"/>
        </w:rPr>
        <w:t>2024, item 1568, consolidated text – hereinafter “C.C.P.”)).</w:t>
      </w:r>
    </w:p>
    <w:p w14:paraId="31736CA3" w14:textId="77777777" w:rsidR="009E2887" w:rsidRDefault="009E2887" w:rsidP="009E2887">
      <w:pPr>
        <w:pStyle w:val="Akapitzlist"/>
        <w:spacing w:line="276" w:lineRule="auto"/>
        <w:ind w:left="1080"/>
        <w:jc w:val="both"/>
        <w:rPr>
          <w:rFonts w:cstheme="minorHAnsi"/>
          <w:sz w:val="20"/>
          <w:szCs w:val="20"/>
          <w:lang w:val="en-US"/>
        </w:rPr>
      </w:pPr>
    </w:p>
    <w:p w14:paraId="69A7923B" w14:textId="77777777" w:rsidR="00B71007" w:rsidRDefault="00B71007" w:rsidP="00B71007">
      <w:pPr>
        <w:pStyle w:val="Akapitzlist"/>
        <w:spacing w:line="276" w:lineRule="auto"/>
        <w:ind w:left="1080"/>
        <w:jc w:val="both"/>
        <w:rPr>
          <w:rFonts w:cstheme="minorHAnsi"/>
          <w:sz w:val="20"/>
          <w:szCs w:val="20"/>
          <w:lang w:val="en-US"/>
        </w:rPr>
      </w:pPr>
      <w:r w:rsidRPr="00B71007">
        <w:rPr>
          <w:rFonts w:cstheme="minorHAnsi"/>
          <w:sz w:val="20"/>
          <w:szCs w:val="20"/>
          <w:lang w:val="en-US"/>
        </w:rPr>
        <w:t xml:space="preserve">A statement of </w:t>
      </w:r>
      <w:proofErr w:type="spellStart"/>
      <w:r w:rsidRPr="00B71007">
        <w:rPr>
          <w:rFonts w:cstheme="minorHAnsi"/>
          <w:sz w:val="20"/>
          <w:szCs w:val="20"/>
          <w:lang w:val="en-US"/>
        </w:rPr>
        <w:t>defence</w:t>
      </w:r>
      <w:proofErr w:type="spellEnd"/>
      <w:r w:rsidRPr="00B71007">
        <w:rPr>
          <w:rFonts w:cstheme="minorHAnsi"/>
          <w:sz w:val="20"/>
          <w:szCs w:val="20"/>
          <w:lang w:val="en-US"/>
        </w:rPr>
        <w:t xml:space="preserve"> filed after this deadline shall be returned (Article 205¹ § 2 C.C.P.).</w:t>
      </w:r>
    </w:p>
    <w:p w14:paraId="489BC0CD" w14:textId="77777777" w:rsidR="00B71007" w:rsidRPr="00B71007" w:rsidRDefault="00B71007" w:rsidP="00B71007">
      <w:pPr>
        <w:pStyle w:val="Akapitzlist"/>
        <w:spacing w:line="276" w:lineRule="auto"/>
        <w:ind w:left="1080"/>
        <w:jc w:val="both"/>
        <w:rPr>
          <w:rFonts w:cstheme="minorHAnsi"/>
          <w:sz w:val="20"/>
          <w:szCs w:val="20"/>
          <w:lang w:val="en-US"/>
        </w:rPr>
      </w:pPr>
    </w:p>
    <w:p w14:paraId="5CA1CCBB" w14:textId="6B315D13" w:rsidR="00B71007" w:rsidRDefault="00B71007" w:rsidP="00B71007">
      <w:pPr>
        <w:pStyle w:val="Akapitzlist"/>
        <w:spacing w:line="276" w:lineRule="auto"/>
        <w:ind w:left="1080"/>
        <w:jc w:val="both"/>
        <w:rPr>
          <w:rFonts w:cstheme="minorHAnsi"/>
          <w:sz w:val="20"/>
          <w:szCs w:val="20"/>
          <w:lang w:val="en-US"/>
        </w:rPr>
      </w:pPr>
      <w:r w:rsidRPr="00B71007">
        <w:rPr>
          <w:rFonts w:cstheme="minorHAnsi"/>
          <w:sz w:val="20"/>
          <w:szCs w:val="20"/>
          <w:lang w:val="en-US"/>
        </w:rPr>
        <w:t>The</w:t>
      </w:r>
      <w:r>
        <w:rPr>
          <w:rFonts w:cstheme="minorHAnsi"/>
          <w:sz w:val="20"/>
          <w:szCs w:val="20"/>
          <w:lang w:val="en-US"/>
        </w:rPr>
        <w:t> </w:t>
      </w:r>
      <w:r w:rsidRPr="00B71007">
        <w:rPr>
          <w:rFonts w:cstheme="minorHAnsi"/>
          <w:sz w:val="20"/>
          <w:szCs w:val="20"/>
          <w:lang w:val="en-US"/>
        </w:rPr>
        <w:t>statement</w:t>
      </w:r>
      <w:r>
        <w:rPr>
          <w:rFonts w:cstheme="minorHAnsi"/>
          <w:sz w:val="20"/>
          <w:szCs w:val="20"/>
          <w:lang w:val="en-US"/>
        </w:rPr>
        <w:t> </w:t>
      </w:r>
      <w:r w:rsidRPr="00B71007">
        <w:rPr>
          <w:rFonts w:cstheme="minorHAnsi"/>
          <w:sz w:val="20"/>
          <w:szCs w:val="20"/>
          <w:lang w:val="en-US"/>
        </w:rPr>
        <w:t>of</w:t>
      </w:r>
      <w:r>
        <w:rPr>
          <w:rFonts w:cstheme="minorHAnsi"/>
          <w:sz w:val="20"/>
          <w:szCs w:val="20"/>
          <w:lang w:val="en-US"/>
        </w:rPr>
        <w:t> </w:t>
      </w:r>
      <w:proofErr w:type="spellStart"/>
      <w:r w:rsidRPr="00B71007">
        <w:rPr>
          <w:rFonts w:cstheme="minorHAnsi"/>
          <w:sz w:val="20"/>
          <w:szCs w:val="20"/>
          <w:lang w:val="en-US"/>
        </w:rPr>
        <w:t>defence</w:t>
      </w:r>
      <w:proofErr w:type="spellEnd"/>
      <w:r>
        <w:rPr>
          <w:rFonts w:cstheme="minorHAnsi"/>
          <w:sz w:val="20"/>
          <w:szCs w:val="20"/>
          <w:lang w:val="en-US"/>
        </w:rPr>
        <w:t> </w:t>
      </w:r>
      <w:r w:rsidRPr="00B71007">
        <w:rPr>
          <w:rFonts w:cstheme="minorHAnsi"/>
          <w:sz w:val="20"/>
          <w:szCs w:val="20"/>
          <w:lang w:val="en-US"/>
        </w:rPr>
        <w:t>should</w:t>
      </w:r>
      <w:r>
        <w:rPr>
          <w:rFonts w:cstheme="minorHAnsi"/>
          <w:sz w:val="20"/>
          <w:szCs w:val="20"/>
          <w:lang w:val="en-US"/>
        </w:rPr>
        <w:t> </w:t>
      </w:r>
      <w:r w:rsidRPr="00B71007">
        <w:rPr>
          <w:rFonts w:cstheme="minorHAnsi"/>
          <w:sz w:val="20"/>
          <w:szCs w:val="20"/>
          <w:lang w:val="en-US"/>
        </w:rPr>
        <w:t>include</w:t>
      </w:r>
      <w:r>
        <w:rPr>
          <w:rFonts w:cstheme="minorHAnsi"/>
          <w:sz w:val="20"/>
          <w:szCs w:val="20"/>
          <w:lang w:val="en-US"/>
        </w:rPr>
        <w:t> </w:t>
      </w:r>
      <w:r w:rsidRPr="00B71007">
        <w:rPr>
          <w:rFonts w:cstheme="minorHAnsi"/>
          <w:sz w:val="20"/>
          <w:szCs w:val="20"/>
          <w:lang w:val="en-US"/>
        </w:rPr>
        <w:t>(Article</w:t>
      </w:r>
      <w:r>
        <w:rPr>
          <w:rFonts w:cstheme="minorHAnsi"/>
          <w:sz w:val="20"/>
          <w:szCs w:val="20"/>
          <w:lang w:val="en-US"/>
        </w:rPr>
        <w:t> </w:t>
      </w:r>
      <w:r w:rsidRPr="00B71007">
        <w:rPr>
          <w:rFonts w:cstheme="minorHAnsi"/>
          <w:sz w:val="20"/>
          <w:szCs w:val="20"/>
          <w:lang w:val="en-US"/>
        </w:rPr>
        <w:t>126</w:t>
      </w:r>
      <w:r>
        <w:rPr>
          <w:rFonts w:cstheme="minorHAnsi"/>
          <w:sz w:val="20"/>
          <w:szCs w:val="20"/>
          <w:lang w:val="en-US"/>
        </w:rPr>
        <w:t> </w:t>
      </w:r>
      <w:r w:rsidRPr="00B71007">
        <w:rPr>
          <w:rFonts w:cstheme="minorHAnsi"/>
          <w:sz w:val="20"/>
          <w:szCs w:val="20"/>
          <w:lang w:val="en-US"/>
        </w:rPr>
        <w:t>C.C.P.):</w:t>
      </w:r>
    </w:p>
    <w:p w14:paraId="445A86D6" w14:textId="61AD35BC" w:rsidR="00B71007" w:rsidRDefault="00B71007" w:rsidP="00B71007">
      <w:pPr>
        <w:pStyle w:val="Akapitzlist"/>
        <w:numPr>
          <w:ilvl w:val="0"/>
          <w:numId w:val="2"/>
        </w:numPr>
        <w:spacing w:line="276" w:lineRule="auto"/>
        <w:jc w:val="both"/>
        <w:rPr>
          <w:rFonts w:cstheme="minorHAnsi"/>
          <w:sz w:val="20"/>
          <w:szCs w:val="20"/>
          <w:lang w:val="en-US"/>
        </w:rPr>
      </w:pPr>
      <w:r w:rsidRPr="00B71007">
        <w:rPr>
          <w:rFonts w:cstheme="minorHAnsi"/>
          <w:sz w:val="20"/>
          <w:szCs w:val="20"/>
          <w:lang w:val="en-US"/>
        </w:rPr>
        <w:t>designation of the court to which it is addressed and the case reference number;</w:t>
      </w:r>
    </w:p>
    <w:p w14:paraId="4B9FC4F2" w14:textId="62779ECF" w:rsidR="00B71007" w:rsidRDefault="00B71007" w:rsidP="00B71007">
      <w:pPr>
        <w:pStyle w:val="Akapitzlist"/>
        <w:numPr>
          <w:ilvl w:val="0"/>
          <w:numId w:val="2"/>
        </w:numPr>
        <w:spacing w:line="276" w:lineRule="auto"/>
        <w:jc w:val="both"/>
        <w:rPr>
          <w:rFonts w:cstheme="minorHAnsi"/>
          <w:sz w:val="20"/>
          <w:szCs w:val="20"/>
          <w:lang w:val="en-US"/>
        </w:rPr>
      </w:pPr>
      <w:r w:rsidRPr="00B71007">
        <w:rPr>
          <w:rFonts w:cstheme="minorHAnsi"/>
          <w:sz w:val="20"/>
          <w:szCs w:val="20"/>
          <w:lang w:val="en-US"/>
        </w:rPr>
        <w:t>the names of the parties, their legal representatives, and attorneys;</w:t>
      </w:r>
    </w:p>
    <w:p w14:paraId="4948591F" w14:textId="362701A6" w:rsidR="00B71007" w:rsidRDefault="00B71007" w:rsidP="00B71007">
      <w:pPr>
        <w:pStyle w:val="Akapitzlist"/>
        <w:numPr>
          <w:ilvl w:val="0"/>
          <w:numId w:val="2"/>
        </w:numPr>
        <w:spacing w:line="276" w:lineRule="auto"/>
        <w:jc w:val="both"/>
        <w:rPr>
          <w:rFonts w:cstheme="minorHAnsi"/>
          <w:sz w:val="20"/>
          <w:szCs w:val="20"/>
          <w:lang w:val="en-US"/>
        </w:rPr>
      </w:pPr>
      <w:r w:rsidRPr="00B71007">
        <w:rPr>
          <w:rFonts w:cstheme="minorHAnsi"/>
          <w:sz w:val="20"/>
          <w:szCs w:val="20"/>
          <w:lang w:val="en-US"/>
        </w:rPr>
        <w:t>designation of the type of document (</w:t>
      </w:r>
      <w:r w:rsidRPr="00B71007">
        <w:rPr>
          <w:rFonts w:cstheme="minorHAnsi"/>
          <w:i/>
          <w:iCs/>
          <w:sz w:val="20"/>
          <w:szCs w:val="20"/>
          <w:lang w:val="en-US"/>
        </w:rPr>
        <w:t xml:space="preserve">statement of </w:t>
      </w:r>
      <w:proofErr w:type="spellStart"/>
      <w:r w:rsidRPr="00B71007">
        <w:rPr>
          <w:rFonts w:cstheme="minorHAnsi"/>
          <w:i/>
          <w:iCs/>
          <w:sz w:val="20"/>
          <w:szCs w:val="20"/>
          <w:lang w:val="en-US"/>
        </w:rPr>
        <w:t>defence</w:t>
      </w:r>
      <w:proofErr w:type="spellEnd"/>
      <w:r w:rsidRPr="00B71007">
        <w:rPr>
          <w:rFonts w:cstheme="minorHAnsi"/>
          <w:sz w:val="20"/>
          <w:szCs w:val="20"/>
          <w:lang w:val="en-US"/>
        </w:rPr>
        <w:t>);</w:t>
      </w:r>
    </w:p>
    <w:p w14:paraId="3BA8087B" w14:textId="0453F678" w:rsidR="00B71007" w:rsidRDefault="00B71007" w:rsidP="00B71007">
      <w:pPr>
        <w:pStyle w:val="Akapitzlist"/>
        <w:numPr>
          <w:ilvl w:val="0"/>
          <w:numId w:val="2"/>
        </w:numPr>
        <w:spacing w:line="276" w:lineRule="auto"/>
        <w:jc w:val="both"/>
        <w:rPr>
          <w:rFonts w:cstheme="minorHAnsi"/>
          <w:sz w:val="20"/>
          <w:szCs w:val="20"/>
          <w:lang w:val="en-US"/>
        </w:rPr>
      </w:pPr>
      <w:r w:rsidRPr="00B71007">
        <w:rPr>
          <w:rFonts w:cstheme="minorHAnsi"/>
          <w:sz w:val="20"/>
          <w:szCs w:val="20"/>
          <w:lang w:val="en-US"/>
        </w:rPr>
        <w:t>the substance of the request or statement;</w:t>
      </w:r>
    </w:p>
    <w:p w14:paraId="4B25E2E9" w14:textId="6015ECDF" w:rsidR="00B71007" w:rsidRDefault="00B71007" w:rsidP="00B71007">
      <w:pPr>
        <w:pStyle w:val="Akapitzlist"/>
        <w:numPr>
          <w:ilvl w:val="0"/>
          <w:numId w:val="2"/>
        </w:numPr>
        <w:spacing w:line="276" w:lineRule="auto"/>
        <w:jc w:val="both"/>
        <w:rPr>
          <w:rFonts w:cstheme="minorHAnsi"/>
          <w:sz w:val="20"/>
          <w:szCs w:val="20"/>
          <w:lang w:val="en-US"/>
        </w:rPr>
      </w:pPr>
      <w:r w:rsidRPr="00B71007">
        <w:rPr>
          <w:rFonts w:cstheme="minorHAnsi"/>
          <w:sz w:val="20"/>
          <w:szCs w:val="20"/>
          <w:lang w:val="en-US"/>
        </w:rPr>
        <w:t>if necessary for the resolution of the case – indication of the facts on which the defendant bases their request or statement, and indication of the evidence to prove each of these facts;</w:t>
      </w:r>
    </w:p>
    <w:p w14:paraId="5A2D5EA0" w14:textId="5C4B0406" w:rsidR="00B71007" w:rsidRDefault="00B71007" w:rsidP="00B71007">
      <w:pPr>
        <w:pStyle w:val="Akapitzlist"/>
        <w:numPr>
          <w:ilvl w:val="0"/>
          <w:numId w:val="2"/>
        </w:numPr>
        <w:spacing w:line="276" w:lineRule="auto"/>
        <w:jc w:val="both"/>
        <w:rPr>
          <w:rFonts w:cstheme="minorHAnsi"/>
          <w:sz w:val="20"/>
          <w:szCs w:val="20"/>
          <w:lang w:val="en-US"/>
        </w:rPr>
      </w:pPr>
      <w:r w:rsidRPr="00B71007">
        <w:rPr>
          <w:rFonts w:cstheme="minorHAnsi"/>
          <w:sz w:val="20"/>
          <w:szCs w:val="20"/>
          <w:lang w:val="en-US"/>
        </w:rPr>
        <w:t>the signature of the defendant or their legal representative or attorney;</w:t>
      </w:r>
    </w:p>
    <w:p w14:paraId="7254CC32" w14:textId="77777777" w:rsidR="00B71007" w:rsidRDefault="00B71007" w:rsidP="00B71007">
      <w:pPr>
        <w:pStyle w:val="Akapitzlist"/>
        <w:numPr>
          <w:ilvl w:val="0"/>
          <w:numId w:val="2"/>
        </w:numPr>
        <w:spacing w:line="276" w:lineRule="auto"/>
        <w:jc w:val="both"/>
        <w:rPr>
          <w:rFonts w:cstheme="minorHAnsi"/>
          <w:sz w:val="20"/>
          <w:szCs w:val="20"/>
          <w:lang w:val="en-US"/>
        </w:rPr>
      </w:pPr>
      <w:r w:rsidRPr="00B71007">
        <w:rPr>
          <w:rFonts w:cstheme="minorHAnsi"/>
          <w:sz w:val="20"/>
          <w:szCs w:val="20"/>
        </w:rPr>
        <w:t xml:space="preserve">a list of </w:t>
      </w:r>
      <w:proofErr w:type="spellStart"/>
      <w:r w:rsidRPr="00B71007">
        <w:rPr>
          <w:rFonts w:cstheme="minorHAnsi"/>
          <w:sz w:val="20"/>
          <w:szCs w:val="20"/>
        </w:rPr>
        <w:t>attachments</w:t>
      </w:r>
      <w:proofErr w:type="spellEnd"/>
      <w:r w:rsidRPr="00B71007">
        <w:rPr>
          <w:rFonts w:cstheme="minorHAnsi"/>
          <w:sz w:val="20"/>
          <w:szCs w:val="20"/>
        </w:rPr>
        <w:t>.</w:t>
      </w:r>
    </w:p>
    <w:p w14:paraId="6B422609" w14:textId="77777777" w:rsidR="00B71007" w:rsidRDefault="00B71007" w:rsidP="00B71007">
      <w:pPr>
        <w:pStyle w:val="Akapitzlist"/>
        <w:spacing w:line="276" w:lineRule="auto"/>
        <w:ind w:left="1440"/>
        <w:jc w:val="both"/>
        <w:rPr>
          <w:rFonts w:cstheme="minorHAnsi"/>
          <w:sz w:val="20"/>
          <w:szCs w:val="20"/>
          <w:lang w:val="en-US"/>
        </w:rPr>
      </w:pPr>
    </w:p>
    <w:p w14:paraId="587A94B8" w14:textId="77860386" w:rsidR="00B71007" w:rsidRDefault="00B71007" w:rsidP="00B71007">
      <w:pPr>
        <w:pStyle w:val="Akapitzlist"/>
        <w:spacing w:line="276" w:lineRule="auto"/>
        <w:ind w:left="1077"/>
        <w:jc w:val="both"/>
        <w:rPr>
          <w:rFonts w:cstheme="minorHAnsi"/>
          <w:sz w:val="20"/>
          <w:szCs w:val="20"/>
          <w:lang w:val="en-US"/>
        </w:rPr>
      </w:pPr>
      <w:r w:rsidRPr="00B71007">
        <w:rPr>
          <w:rFonts w:cstheme="minorHAnsi"/>
          <w:sz w:val="20"/>
          <w:szCs w:val="20"/>
          <w:lang w:val="en-US"/>
        </w:rPr>
        <w:t xml:space="preserve">The defendant should attach to the statement of </w:t>
      </w:r>
      <w:proofErr w:type="spellStart"/>
      <w:r w:rsidRPr="00B71007">
        <w:rPr>
          <w:rFonts w:cstheme="minorHAnsi"/>
          <w:sz w:val="20"/>
          <w:szCs w:val="20"/>
          <w:lang w:val="en-US"/>
        </w:rPr>
        <w:t>defence</w:t>
      </w:r>
      <w:proofErr w:type="spellEnd"/>
      <w:r w:rsidRPr="00B71007">
        <w:rPr>
          <w:rFonts w:cstheme="minorHAnsi"/>
          <w:sz w:val="20"/>
          <w:szCs w:val="20"/>
          <w:lang w:val="en-US"/>
        </w:rPr>
        <w:t>:</w:t>
      </w:r>
    </w:p>
    <w:p w14:paraId="62951D34" w14:textId="291DBF8D" w:rsidR="00B71007" w:rsidRDefault="00B82CD2" w:rsidP="00B71007">
      <w:pPr>
        <w:pStyle w:val="Akapitzlist"/>
        <w:numPr>
          <w:ilvl w:val="0"/>
          <w:numId w:val="3"/>
        </w:numPr>
        <w:spacing w:line="276" w:lineRule="auto"/>
        <w:jc w:val="both"/>
        <w:rPr>
          <w:rFonts w:cstheme="minorHAnsi"/>
          <w:sz w:val="20"/>
          <w:szCs w:val="20"/>
          <w:lang w:val="en-US"/>
        </w:rPr>
      </w:pPr>
      <w:r w:rsidRPr="00B82CD2">
        <w:rPr>
          <w:rFonts w:cstheme="minorHAnsi"/>
          <w:sz w:val="20"/>
          <w:szCs w:val="20"/>
          <w:lang w:val="en-US"/>
        </w:rPr>
        <w:t xml:space="preserve">the attachments listed in the statement of </w:t>
      </w:r>
      <w:proofErr w:type="spellStart"/>
      <w:r w:rsidRPr="00B82CD2">
        <w:rPr>
          <w:rFonts w:cstheme="minorHAnsi"/>
          <w:sz w:val="20"/>
          <w:szCs w:val="20"/>
          <w:lang w:val="en-US"/>
        </w:rPr>
        <w:t>defence</w:t>
      </w:r>
      <w:proofErr w:type="spellEnd"/>
      <w:r w:rsidRPr="00B82CD2">
        <w:rPr>
          <w:rFonts w:cstheme="minorHAnsi"/>
          <w:sz w:val="20"/>
          <w:szCs w:val="20"/>
          <w:lang w:val="en-US"/>
        </w:rPr>
        <w:t xml:space="preserve"> (Article 126 § 1</w:t>
      </w:r>
      <w:r w:rsidRPr="00195331">
        <w:rPr>
          <w:rFonts w:cstheme="minorHAnsi"/>
          <w:sz w:val="20"/>
          <w:szCs w:val="20"/>
          <w:vertAlign w:val="superscript"/>
          <w:lang w:val="en-US"/>
        </w:rPr>
        <w:t>1</w:t>
      </w:r>
      <w:r w:rsidRPr="00B82CD2">
        <w:rPr>
          <w:rFonts w:cstheme="minorHAnsi"/>
          <w:sz w:val="20"/>
          <w:szCs w:val="20"/>
          <w:lang w:val="en-US"/>
        </w:rPr>
        <w:t xml:space="preserve"> C.C.P.);</w:t>
      </w:r>
    </w:p>
    <w:p w14:paraId="2069F232" w14:textId="10BFF66C" w:rsidR="00B82CD2" w:rsidRDefault="00B82CD2" w:rsidP="00B71007">
      <w:pPr>
        <w:pStyle w:val="Akapitzlist"/>
        <w:numPr>
          <w:ilvl w:val="0"/>
          <w:numId w:val="3"/>
        </w:numPr>
        <w:spacing w:line="276" w:lineRule="auto"/>
        <w:jc w:val="both"/>
        <w:rPr>
          <w:rFonts w:cstheme="minorHAnsi"/>
          <w:sz w:val="20"/>
          <w:szCs w:val="20"/>
          <w:lang w:val="en-US"/>
        </w:rPr>
      </w:pPr>
      <w:r w:rsidRPr="00B82CD2">
        <w:rPr>
          <w:rFonts w:cstheme="minorHAnsi"/>
          <w:sz w:val="20"/>
          <w:szCs w:val="20"/>
          <w:lang w:val="en-US"/>
        </w:rPr>
        <w:t xml:space="preserve">a copy of the statement of </w:t>
      </w:r>
      <w:proofErr w:type="spellStart"/>
      <w:r w:rsidRPr="00B82CD2">
        <w:rPr>
          <w:rFonts w:cstheme="minorHAnsi"/>
          <w:sz w:val="20"/>
          <w:szCs w:val="20"/>
          <w:lang w:val="en-US"/>
        </w:rPr>
        <w:t>defence</w:t>
      </w:r>
      <w:proofErr w:type="spellEnd"/>
      <w:r w:rsidRPr="00B82CD2">
        <w:rPr>
          <w:rFonts w:cstheme="minorHAnsi"/>
          <w:sz w:val="20"/>
          <w:szCs w:val="20"/>
          <w:lang w:val="en-US"/>
        </w:rPr>
        <w:t xml:space="preserve"> and copies of the attachments for delivery to the parties participating in the case, and additionally, if the attachments were not submitted in their original form to the court, one copy of each attachment for the court file (Article 128 § 1 C.C.P.).</w:t>
      </w:r>
    </w:p>
    <w:p w14:paraId="66C908BB" w14:textId="24890145" w:rsidR="00195331" w:rsidRDefault="00195331" w:rsidP="00195331">
      <w:pPr>
        <w:spacing w:line="276" w:lineRule="auto"/>
        <w:ind w:left="1077"/>
        <w:jc w:val="both"/>
        <w:rPr>
          <w:rFonts w:cstheme="minorHAnsi"/>
          <w:sz w:val="20"/>
          <w:szCs w:val="20"/>
          <w:lang w:val="en-US"/>
        </w:rPr>
      </w:pPr>
      <w:r w:rsidRPr="00195331">
        <w:rPr>
          <w:rFonts w:cstheme="minorHAnsi"/>
          <w:sz w:val="20"/>
          <w:szCs w:val="20"/>
          <w:lang w:val="en-US"/>
        </w:rPr>
        <w:t xml:space="preserve">A defendant who is a natural person should indicate their </w:t>
      </w:r>
      <w:r w:rsidRPr="00195331">
        <w:rPr>
          <w:rFonts w:cstheme="minorHAnsi"/>
          <w:b/>
          <w:bCs/>
          <w:sz w:val="20"/>
          <w:szCs w:val="20"/>
          <w:lang w:val="en-US"/>
        </w:rPr>
        <w:t>PESEL</w:t>
      </w:r>
      <w:r w:rsidRPr="00195331">
        <w:rPr>
          <w:rFonts w:cstheme="minorHAnsi"/>
          <w:sz w:val="20"/>
          <w:szCs w:val="20"/>
          <w:lang w:val="en-US"/>
        </w:rPr>
        <w:t xml:space="preserve"> number in the first </w:t>
      </w:r>
      <w:r w:rsidR="00BA4252">
        <w:rPr>
          <w:rFonts w:cstheme="minorHAnsi"/>
          <w:sz w:val="20"/>
          <w:szCs w:val="20"/>
          <w:lang w:val="en-US"/>
        </w:rPr>
        <w:t>pleading</w:t>
      </w:r>
      <w:r w:rsidRPr="00195331">
        <w:rPr>
          <w:rFonts w:cstheme="minorHAnsi"/>
          <w:sz w:val="20"/>
          <w:szCs w:val="20"/>
          <w:lang w:val="en-US"/>
        </w:rPr>
        <w:t xml:space="preserve">, if they are required to have one or possess one, even if not obliged. A defendant who is not a natural person should indicate their number in the </w:t>
      </w:r>
      <w:r w:rsidRPr="00195331">
        <w:rPr>
          <w:rFonts w:cstheme="minorHAnsi"/>
          <w:b/>
          <w:bCs/>
          <w:sz w:val="20"/>
          <w:szCs w:val="20"/>
          <w:lang w:val="en-US"/>
        </w:rPr>
        <w:t>National Court Register</w:t>
      </w:r>
      <w:r w:rsidRPr="00195331">
        <w:rPr>
          <w:rFonts w:cstheme="minorHAnsi"/>
          <w:sz w:val="20"/>
          <w:szCs w:val="20"/>
          <w:lang w:val="en-US"/>
        </w:rPr>
        <w:t>, and if none exists – a number in another relevant register, record, or their NIP, if they are obliged to have one (Article 208¹ C.C.P.).</w:t>
      </w:r>
    </w:p>
    <w:p w14:paraId="33F78FFB" w14:textId="1644C355" w:rsidR="00195331" w:rsidRDefault="00EA3DEA" w:rsidP="00195331">
      <w:pPr>
        <w:pStyle w:val="Akapitzlist"/>
        <w:numPr>
          <w:ilvl w:val="0"/>
          <w:numId w:val="1"/>
        </w:numPr>
        <w:spacing w:line="276" w:lineRule="auto"/>
        <w:jc w:val="both"/>
        <w:rPr>
          <w:rFonts w:cstheme="minorHAnsi"/>
          <w:sz w:val="20"/>
          <w:szCs w:val="20"/>
          <w:lang w:val="en-US"/>
        </w:rPr>
      </w:pPr>
      <w:r w:rsidRPr="00EA3DEA">
        <w:rPr>
          <w:rFonts w:cstheme="minorHAnsi"/>
          <w:sz w:val="20"/>
          <w:szCs w:val="20"/>
          <w:lang w:val="en-US"/>
        </w:rPr>
        <w:t xml:space="preserve">The defendant </w:t>
      </w:r>
      <w:r w:rsidRPr="00EA3DEA">
        <w:rPr>
          <w:rFonts w:cstheme="minorHAnsi"/>
          <w:b/>
          <w:bCs/>
          <w:sz w:val="20"/>
          <w:szCs w:val="20"/>
          <w:lang w:val="en-US"/>
        </w:rPr>
        <w:t>may acknowledge the claim in whole or in part.</w:t>
      </w:r>
      <w:r w:rsidRPr="00EA3DEA">
        <w:rPr>
          <w:rFonts w:cstheme="minorHAnsi"/>
          <w:sz w:val="20"/>
          <w:szCs w:val="20"/>
          <w:lang w:val="en-US"/>
        </w:rPr>
        <w:t xml:space="preserve"> If the defendant acknowledges the claim, the court may issue a judgment consistent with the demands of the statement of claim. Such a judgment is immediately enforceable and may serve as a basis for enforcement before it becomes final (Article 333 § 1 point 2 C.C.P.). The defendant may request reimbursement of legal costs from the claimant if they provided no grounds for the lawsuit and acknowledged the claim at the first procedural action (Article 101 C.C.P.).</w:t>
      </w:r>
    </w:p>
    <w:p w14:paraId="5A084647" w14:textId="77777777" w:rsidR="00EA3DEA" w:rsidRDefault="00EA3DEA" w:rsidP="00EA3DEA">
      <w:pPr>
        <w:pStyle w:val="Akapitzlist"/>
        <w:numPr>
          <w:ilvl w:val="0"/>
          <w:numId w:val="1"/>
        </w:numPr>
        <w:spacing w:line="276" w:lineRule="auto"/>
        <w:jc w:val="both"/>
        <w:rPr>
          <w:rFonts w:cstheme="minorHAnsi"/>
          <w:sz w:val="20"/>
          <w:szCs w:val="20"/>
          <w:lang w:val="en-US"/>
        </w:rPr>
      </w:pPr>
      <w:r w:rsidRPr="00EA3DEA">
        <w:rPr>
          <w:rFonts w:cstheme="minorHAnsi"/>
          <w:b/>
          <w:bCs/>
          <w:sz w:val="20"/>
          <w:szCs w:val="20"/>
          <w:lang w:val="en-US"/>
        </w:rPr>
        <w:t xml:space="preserve">If the defendant did not file a statement of </w:t>
      </w:r>
      <w:proofErr w:type="spellStart"/>
      <w:r w:rsidRPr="00EA3DEA">
        <w:rPr>
          <w:rFonts w:cstheme="minorHAnsi"/>
          <w:b/>
          <w:bCs/>
          <w:sz w:val="20"/>
          <w:szCs w:val="20"/>
          <w:lang w:val="en-US"/>
        </w:rPr>
        <w:t>defence</w:t>
      </w:r>
      <w:proofErr w:type="spellEnd"/>
      <w:r w:rsidRPr="00EA3DEA">
        <w:rPr>
          <w:rFonts w:cstheme="minorHAnsi"/>
          <w:b/>
          <w:bCs/>
          <w:sz w:val="20"/>
          <w:szCs w:val="20"/>
          <w:lang w:val="en-US"/>
        </w:rPr>
        <w:t xml:space="preserve"> within the prescribed time limit</w:t>
      </w:r>
      <w:r w:rsidRPr="00EA3DEA">
        <w:rPr>
          <w:rFonts w:cstheme="minorHAnsi"/>
          <w:sz w:val="20"/>
          <w:szCs w:val="20"/>
          <w:lang w:val="en-US"/>
        </w:rPr>
        <w:t xml:space="preserve">, or if they filed a statement of </w:t>
      </w:r>
      <w:proofErr w:type="spellStart"/>
      <w:r w:rsidRPr="00EA3DEA">
        <w:rPr>
          <w:rFonts w:cstheme="minorHAnsi"/>
          <w:sz w:val="20"/>
          <w:szCs w:val="20"/>
          <w:lang w:val="en-US"/>
        </w:rPr>
        <w:t>defence</w:t>
      </w:r>
      <w:proofErr w:type="spellEnd"/>
      <w:r w:rsidRPr="00EA3DEA">
        <w:rPr>
          <w:rFonts w:cstheme="minorHAnsi"/>
          <w:sz w:val="20"/>
          <w:szCs w:val="20"/>
          <w:lang w:val="en-US"/>
        </w:rPr>
        <w:t xml:space="preserve"> containing a defect which the defendant did not remedy despite being summoned, the court may issue </w:t>
      </w:r>
      <w:r w:rsidRPr="00EA3DEA">
        <w:rPr>
          <w:rFonts w:cstheme="minorHAnsi"/>
          <w:b/>
          <w:bCs/>
          <w:sz w:val="20"/>
          <w:szCs w:val="20"/>
          <w:lang w:val="en-US"/>
        </w:rPr>
        <w:t>a default judgment</w:t>
      </w:r>
      <w:r w:rsidRPr="00EA3DEA">
        <w:rPr>
          <w:rFonts w:cstheme="minorHAnsi"/>
          <w:sz w:val="20"/>
          <w:szCs w:val="20"/>
          <w:lang w:val="en-US"/>
        </w:rPr>
        <w:t>.</w:t>
      </w:r>
    </w:p>
    <w:p w14:paraId="2824C752" w14:textId="5C54C759" w:rsidR="00EA3DEA" w:rsidRPr="00990912" w:rsidRDefault="00EA3DEA" w:rsidP="00EA3DEA">
      <w:pPr>
        <w:pStyle w:val="Akapitzlist"/>
        <w:spacing w:line="276" w:lineRule="auto"/>
        <w:ind w:left="1080"/>
        <w:jc w:val="both"/>
        <w:rPr>
          <w:sz w:val="20"/>
          <w:szCs w:val="20"/>
          <w:lang w:val="en-US"/>
        </w:rPr>
      </w:pPr>
      <w:r w:rsidRPr="00990912">
        <w:rPr>
          <w:sz w:val="20"/>
          <w:szCs w:val="20"/>
          <w:lang w:val="en-US"/>
        </w:rPr>
        <w:lastRenderedPageBreak/>
        <w:t xml:space="preserve">In such cases, the claimant’s assertions regarding facts contained in the statement of claim or </w:t>
      </w:r>
      <w:r w:rsidR="00FC2EB2">
        <w:rPr>
          <w:sz w:val="20"/>
          <w:szCs w:val="20"/>
          <w:lang w:val="en-US"/>
        </w:rPr>
        <w:t>pleadings</w:t>
      </w:r>
      <w:r w:rsidRPr="00990912">
        <w:rPr>
          <w:sz w:val="20"/>
          <w:szCs w:val="20"/>
          <w:lang w:val="en-US"/>
        </w:rPr>
        <w:t xml:space="preserve"> delivered to the defendant prior to the hearing are considered true, unless they give rise to justified doubts or were cited for the purpose of circumventing the law (Article 339 § 2 C.C.P.).</w:t>
      </w:r>
    </w:p>
    <w:p w14:paraId="7D0B6C94" w14:textId="75967574" w:rsidR="00EA3DEA" w:rsidRDefault="00EA3DEA" w:rsidP="00EA3DEA">
      <w:pPr>
        <w:pStyle w:val="Akapitzlist"/>
        <w:spacing w:line="276" w:lineRule="auto"/>
        <w:ind w:left="1080"/>
        <w:jc w:val="both"/>
        <w:rPr>
          <w:sz w:val="20"/>
          <w:szCs w:val="20"/>
          <w:lang w:val="en-US"/>
        </w:rPr>
      </w:pPr>
      <w:r w:rsidRPr="00990912">
        <w:rPr>
          <w:sz w:val="20"/>
          <w:szCs w:val="20"/>
          <w:lang w:val="en-US"/>
        </w:rPr>
        <w:t xml:space="preserve">A default judgment – in the event that the claim is upheld and if the judgment is suitable for enforcement – is automatically granted </w:t>
      </w:r>
      <w:r w:rsidRPr="00990912">
        <w:rPr>
          <w:b/>
          <w:bCs/>
          <w:sz w:val="20"/>
          <w:szCs w:val="20"/>
          <w:lang w:val="en-US"/>
        </w:rPr>
        <w:t>immediate enforceability</w:t>
      </w:r>
      <w:r w:rsidRPr="00990912">
        <w:rPr>
          <w:sz w:val="20"/>
          <w:szCs w:val="20"/>
          <w:lang w:val="en-US"/>
        </w:rPr>
        <w:t xml:space="preserve"> (Article 333 § 1 point 3 C.C.P.). Upon being issued with an enforcement clause at the claimant’s request, the judgment serves as a basis for initiating enforcement.</w:t>
      </w:r>
    </w:p>
    <w:p w14:paraId="4F342468" w14:textId="5356972D" w:rsidR="00990912" w:rsidRDefault="00E16E5C" w:rsidP="00990912">
      <w:pPr>
        <w:pStyle w:val="Akapitzlist"/>
        <w:numPr>
          <w:ilvl w:val="0"/>
          <w:numId w:val="1"/>
        </w:numPr>
        <w:spacing w:line="276" w:lineRule="auto"/>
        <w:jc w:val="both"/>
        <w:rPr>
          <w:rFonts w:cstheme="minorHAnsi"/>
          <w:sz w:val="20"/>
          <w:szCs w:val="20"/>
          <w:lang w:val="en-US"/>
        </w:rPr>
      </w:pPr>
      <w:r w:rsidRPr="00E16E5C">
        <w:rPr>
          <w:rFonts w:cstheme="minorHAnsi"/>
          <w:b/>
          <w:bCs/>
          <w:sz w:val="20"/>
          <w:szCs w:val="20"/>
          <w:lang w:val="en-US"/>
        </w:rPr>
        <w:t>The court may examine the case at a non-public session</w:t>
      </w:r>
      <w:r w:rsidRPr="00E16E5C">
        <w:rPr>
          <w:rFonts w:cstheme="minorHAnsi"/>
          <w:sz w:val="20"/>
          <w:szCs w:val="20"/>
          <w:lang w:val="en-US"/>
        </w:rPr>
        <w:t xml:space="preserve"> where the defendant has acknowledged the claim, or where, after the parties have submitted </w:t>
      </w:r>
      <w:r w:rsidR="00FC2EB2">
        <w:rPr>
          <w:rFonts w:cstheme="minorHAnsi"/>
          <w:sz w:val="20"/>
          <w:szCs w:val="20"/>
          <w:lang w:val="en-US"/>
        </w:rPr>
        <w:t>pleadings</w:t>
      </w:r>
      <w:r w:rsidRPr="00E16E5C">
        <w:rPr>
          <w:rFonts w:cstheme="minorHAnsi"/>
          <w:sz w:val="20"/>
          <w:szCs w:val="20"/>
          <w:lang w:val="en-US"/>
        </w:rPr>
        <w:t xml:space="preserve"> and evidence, including objections or opposition to a payment order or to a default judgment, the court deems – considering the entirety of the submitted assertions and evidence requests – that holding a hearing is unnecessary. Examination at a non-public session is not permitted if the party has requested to be heard at a hearing in their first </w:t>
      </w:r>
      <w:r w:rsidR="00FC2EB2">
        <w:rPr>
          <w:rFonts w:cstheme="minorHAnsi"/>
          <w:sz w:val="20"/>
          <w:szCs w:val="20"/>
          <w:lang w:val="en-US"/>
        </w:rPr>
        <w:t>pleading</w:t>
      </w:r>
      <w:r w:rsidRPr="00E16E5C">
        <w:rPr>
          <w:rFonts w:cstheme="minorHAnsi"/>
          <w:sz w:val="20"/>
          <w:szCs w:val="20"/>
          <w:lang w:val="en-US"/>
        </w:rPr>
        <w:t xml:space="preserve"> or if a specific provision requires it.</w:t>
      </w:r>
      <w:r>
        <w:rPr>
          <w:rFonts w:cstheme="minorHAnsi"/>
          <w:sz w:val="20"/>
          <w:szCs w:val="20"/>
          <w:lang w:val="en-US"/>
        </w:rPr>
        <w:t xml:space="preserve"> </w:t>
      </w:r>
      <w:r w:rsidRPr="00E16E5C">
        <w:rPr>
          <w:rFonts w:cstheme="minorHAnsi"/>
          <w:sz w:val="20"/>
          <w:szCs w:val="20"/>
          <w:lang w:val="en-US"/>
        </w:rPr>
        <w:t xml:space="preserve">In cases where the defendant acknowledges the claim and the subject-matter value of the dispute does not exceed </w:t>
      </w:r>
      <w:r>
        <w:rPr>
          <w:rFonts w:cstheme="minorHAnsi"/>
          <w:sz w:val="20"/>
          <w:szCs w:val="20"/>
          <w:lang w:val="en-US"/>
        </w:rPr>
        <w:t xml:space="preserve">PLN </w:t>
      </w:r>
      <w:r w:rsidRPr="00E16E5C">
        <w:rPr>
          <w:rFonts w:cstheme="minorHAnsi"/>
          <w:sz w:val="20"/>
          <w:szCs w:val="20"/>
          <w:lang w:val="en-US"/>
        </w:rPr>
        <w:t xml:space="preserve">4,000, the court may issue a judgment at a non-public session even if the defendant requests a hearing. If a party wishes to be heard at a hearing, they should include such a request in their first </w:t>
      </w:r>
      <w:r w:rsidR="00FC2EB2">
        <w:rPr>
          <w:rFonts w:cstheme="minorHAnsi"/>
          <w:sz w:val="20"/>
          <w:szCs w:val="20"/>
          <w:lang w:val="en-US"/>
        </w:rPr>
        <w:t xml:space="preserve">pleading </w:t>
      </w:r>
      <w:r w:rsidRPr="00E16E5C">
        <w:rPr>
          <w:rFonts w:cstheme="minorHAnsi"/>
          <w:sz w:val="20"/>
          <w:szCs w:val="20"/>
          <w:lang w:val="en-US"/>
        </w:rPr>
        <w:t xml:space="preserve">(Articles 148¹ § 1 and 3, </w:t>
      </w:r>
      <w:r>
        <w:rPr>
          <w:rFonts w:cstheme="minorHAnsi"/>
          <w:sz w:val="20"/>
          <w:szCs w:val="20"/>
          <w:lang w:val="en-US"/>
        </w:rPr>
        <w:t xml:space="preserve">Article </w:t>
      </w:r>
      <w:r w:rsidRPr="00E16E5C">
        <w:rPr>
          <w:rFonts w:cstheme="minorHAnsi"/>
          <w:sz w:val="20"/>
          <w:szCs w:val="20"/>
          <w:lang w:val="en-US"/>
        </w:rPr>
        <w:t>505¹</w:t>
      </w:r>
      <w:r w:rsidRPr="00E16E5C">
        <w:rPr>
          <w:rFonts w:cstheme="minorHAnsi"/>
          <w:sz w:val="20"/>
          <w:szCs w:val="20"/>
          <w:vertAlign w:val="superscript"/>
          <w:lang w:val="en-US"/>
        </w:rPr>
        <w:t>a</w:t>
      </w:r>
      <w:r w:rsidRPr="00E16E5C">
        <w:rPr>
          <w:rFonts w:cstheme="minorHAnsi"/>
          <w:sz w:val="20"/>
          <w:szCs w:val="20"/>
          <w:lang w:val="en-US"/>
        </w:rPr>
        <w:t xml:space="preserve"> C.C.P.).</w:t>
      </w:r>
    </w:p>
    <w:p w14:paraId="28D97185" w14:textId="293D1EAE" w:rsidR="00E16E5C" w:rsidRDefault="00AF51D6" w:rsidP="00990912">
      <w:pPr>
        <w:pStyle w:val="Akapitzlist"/>
        <w:numPr>
          <w:ilvl w:val="0"/>
          <w:numId w:val="1"/>
        </w:numPr>
        <w:spacing w:line="276" w:lineRule="auto"/>
        <w:jc w:val="both"/>
        <w:rPr>
          <w:rFonts w:cstheme="minorHAnsi"/>
          <w:sz w:val="20"/>
          <w:szCs w:val="20"/>
          <w:lang w:val="en-US"/>
        </w:rPr>
      </w:pPr>
      <w:r w:rsidRPr="00AF51D6">
        <w:rPr>
          <w:rFonts w:cstheme="minorHAnsi"/>
          <w:b/>
          <w:bCs/>
          <w:sz w:val="20"/>
          <w:szCs w:val="20"/>
          <w:lang w:val="en-US"/>
        </w:rPr>
        <w:t xml:space="preserve">Filing a </w:t>
      </w:r>
      <w:r w:rsidR="00FC2EB2">
        <w:rPr>
          <w:rFonts w:cstheme="minorHAnsi"/>
          <w:b/>
          <w:bCs/>
          <w:sz w:val="20"/>
          <w:szCs w:val="20"/>
          <w:lang w:val="en-US"/>
        </w:rPr>
        <w:t>pleading</w:t>
      </w:r>
      <w:r w:rsidRPr="00AF51D6">
        <w:rPr>
          <w:rFonts w:cstheme="minorHAnsi"/>
          <w:sz w:val="20"/>
          <w:szCs w:val="20"/>
          <w:lang w:val="en-US"/>
        </w:rPr>
        <w:t xml:space="preserve"> at a Polish branch of a postal operator providing universal postal services, or at a foreign postal branch of a postal operator providing universal postal services in another EU Member State, </w:t>
      </w:r>
      <w:r w:rsidRPr="00AF51D6">
        <w:rPr>
          <w:rFonts w:cstheme="minorHAnsi"/>
          <w:b/>
          <w:bCs/>
          <w:sz w:val="20"/>
          <w:szCs w:val="20"/>
          <w:lang w:val="en-US"/>
        </w:rPr>
        <w:t>is equivalent to submitting it to the court.</w:t>
      </w:r>
      <w:r w:rsidRPr="00AF51D6">
        <w:rPr>
          <w:rFonts w:cstheme="minorHAnsi"/>
          <w:sz w:val="20"/>
          <w:szCs w:val="20"/>
          <w:lang w:val="en-US"/>
        </w:rPr>
        <w:t xml:space="preserve"> The same applies to filing a document by a soldier at a military unit headquarters, by a person deprived of liberty at the administration of a penal institution, or by a crew member of a Polish seagoing vessel with the ship’s captain (Articles 165 § 2–3 C.C.P.).</w:t>
      </w:r>
    </w:p>
    <w:p w14:paraId="2878C56A" w14:textId="54CB2B59" w:rsidR="00AF51D6" w:rsidRDefault="00E34BE3" w:rsidP="00990912">
      <w:pPr>
        <w:pStyle w:val="Akapitzlist"/>
        <w:numPr>
          <w:ilvl w:val="0"/>
          <w:numId w:val="1"/>
        </w:numPr>
        <w:spacing w:line="276" w:lineRule="auto"/>
        <w:jc w:val="both"/>
        <w:rPr>
          <w:rFonts w:cstheme="minorHAnsi"/>
          <w:sz w:val="20"/>
          <w:szCs w:val="20"/>
          <w:lang w:val="en-US"/>
        </w:rPr>
      </w:pPr>
      <w:r w:rsidRPr="00E34BE3">
        <w:rPr>
          <w:rFonts w:cstheme="minorHAnsi"/>
          <w:b/>
          <w:bCs/>
          <w:sz w:val="20"/>
          <w:szCs w:val="20"/>
          <w:lang w:val="en-US"/>
        </w:rPr>
        <w:t>The running of a time limit set by the court</w:t>
      </w:r>
      <w:r w:rsidRPr="00E34BE3">
        <w:rPr>
          <w:rFonts w:cstheme="minorHAnsi"/>
          <w:sz w:val="20"/>
          <w:szCs w:val="20"/>
          <w:lang w:val="en-US"/>
        </w:rPr>
        <w:t xml:space="preserve"> or the presiding judge (court deadline) begins from the announcement of the relevant decision or order, </w:t>
      </w:r>
      <w:r w:rsidRPr="00E34BE3">
        <w:rPr>
          <w:rFonts w:cstheme="minorHAnsi"/>
          <w:b/>
          <w:bCs/>
          <w:sz w:val="20"/>
          <w:szCs w:val="20"/>
          <w:lang w:val="en-US"/>
        </w:rPr>
        <w:t xml:space="preserve">and where the code provides for service </w:t>
      </w:r>
      <w:r w:rsidRPr="00E34BE3">
        <w:rPr>
          <w:rFonts w:cstheme="minorHAnsi"/>
          <w:b/>
          <w:bCs/>
          <w:i/>
          <w:iCs/>
          <w:sz w:val="20"/>
          <w:szCs w:val="20"/>
          <w:lang w:val="en-US"/>
        </w:rPr>
        <w:t>ex officio</w:t>
      </w:r>
      <w:r w:rsidRPr="00E34BE3">
        <w:rPr>
          <w:rFonts w:cstheme="minorHAnsi"/>
          <w:b/>
          <w:bCs/>
          <w:sz w:val="20"/>
          <w:szCs w:val="20"/>
          <w:lang w:val="en-US"/>
        </w:rPr>
        <w:t xml:space="preserve"> – from its delivery</w:t>
      </w:r>
      <w:r w:rsidRPr="00E34BE3">
        <w:rPr>
          <w:rFonts w:cstheme="minorHAnsi"/>
          <w:sz w:val="20"/>
          <w:szCs w:val="20"/>
          <w:lang w:val="en-US"/>
        </w:rPr>
        <w:t xml:space="preserve"> (Article 164 C.C.P.).</w:t>
      </w:r>
    </w:p>
    <w:p w14:paraId="1B53F5AE" w14:textId="6824BC50" w:rsidR="00E34BE3" w:rsidRDefault="0069607F" w:rsidP="00990912">
      <w:pPr>
        <w:pStyle w:val="Akapitzlist"/>
        <w:numPr>
          <w:ilvl w:val="0"/>
          <w:numId w:val="1"/>
        </w:numPr>
        <w:spacing w:line="276" w:lineRule="auto"/>
        <w:jc w:val="both"/>
        <w:rPr>
          <w:rFonts w:cstheme="minorHAnsi"/>
          <w:sz w:val="20"/>
          <w:szCs w:val="20"/>
          <w:lang w:val="en-US"/>
        </w:rPr>
      </w:pPr>
      <w:r w:rsidRPr="0069607F">
        <w:rPr>
          <w:rFonts w:cstheme="minorHAnsi"/>
          <w:sz w:val="20"/>
          <w:szCs w:val="20"/>
          <w:lang w:val="en-US"/>
        </w:rPr>
        <w:t>A dispute between the claimant and the defendant may be</w:t>
      </w:r>
      <w:r w:rsidRPr="0069607F">
        <w:rPr>
          <w:rFonts w:cstheme="minorHAnsi"/>
          <w:b/>
          <w:bCs/>
          <w:sz w:val="20"/>
          <w:szCs w:val="20"/>
          <w:lang w:val="en-US"/>
        </w:rPr>
        <w:t xml:space="preserve"> resolved through a settlement</w:t>
      </w:r>
      <w:r w:rsidRPr="0069607F">
        <w:rPr>
          <w:rFonts w:cstheme="minorHAnsi"/>
          <w:sz w:val="20"/>
          <w:szCs w:val="20"/>
          <w:lang w:val="en-US"/>
        </w:rPr>
        <w:t xml:space="preserve">. A settlement may be </w:t>
      </w:r>
      <w:r w:rsidRPr="0069607F">
        <w:rPr>
          <w:rFonts w:cstheme="minorHAnsi"/>
          <w:b/>
          <w:bCs/>
          <w:sz w:val="20"/>
          <w:szCs w:val="20"/>
          <w:lang w:val="en-US"/>
        </w:rPr>
        <w:t>concluded before a mediator or before the court</w:t>
      </w:r>
      <w:r w:rsidRPr="0069607F">
        <w:rPr>
          <w:rFonts w:cstheme="minorHAnsi"/>
          <w:sz w:val="20"/>
          <w:szCs w:val="20"/>
          <w:lang w:val="en-US"/>
        </w:rPr>
        <w:t xml:space="preserve"> (Article 205² § 1 point 1 C.C.P.). A settlement is one of the ways to quickly resolve a dispute; at every stage of the proceedings, the court strives for an amicable resolution of the dispute, in particular by encouraging the parties to mediation (Article 10 C.C.P.). During the proceedings, the court may refer the parties to mediation. Mediation constitutes one of the methods of amicable dispute resolution; it is conducted with the participation of a neutral mediator, is confidential, and voluntary. It is also a less costly means of resolving disputes than court proceedings.</w:t>
      </w:r>
    </w:p>
    <w:p w14:paraId="3028C6D5" w14:textId="77777777" w:rsidR="00055956" w:rsidRDefault="00055956" w:rsidP="00055956">
      <w:pPr>
        <w:pStyle w:val="Akapitzlist"/>
        <w:spacing w:line="276" w:lineRule="auto"/>
        <w:ind w:left="1080"/>
        <w:jc w:val="both"/>
        <w:rPr>
          <w:rFonts w:cstheme="minorHAnsi"/>
          <w:sz w:val="20"/>
          <w:szCs w:val="20"/>
          <w:lang w:val="en-US"/>
        </w:rPr>
      </w:pPr>
    </w:p>
    <w:p w14:paraId="29078F11" w14:textId="03DE18C0" w:rsidR="00055956" w:rsidRPr="00055956" w:rsidRDefault="00055956" w:rsidP="00055956">
      <w:pPr>
        <w:pStyle w:val="Akapitzlist"/>
        <w:spacing w:line="276" w:lineRule="auto"/>
        <w:ind w:left="1080"/>
        <w:jc w:val="both"/>
        <w:rPr>
          <w:rFonts w:cstheme="minorHAnsi"/>
          <w:sz w:val="20"/>
          <w:szCs w:val="20"/>
          <w:lang w:val="en-US"/>
        </w:rPr>
      </w:pPr>
      <w:r w:rsidRPr="00055956">
        <w:rPr>
          <w:rFonts w:cstheme="minorHAnsi"/>
          <w:sz w:val="20"/>
          <w:szCs w:val="20"/>
          <w:lang w:val="en-US"/>
        </w:rPr>
        <w:t>The mediator conducts the mediation using various methods aimed at reaching an amicable resolution of the dispute, including by supporting the parties in formulating settlement proposals, or, upon the parties’ joint request, may indicate ways of resolving the dispute which are not binding on the parties (Article 183³</w:t>
      </w:r>
      <w:r w:rsidRPr="00055956">
        <w:rPr>
          <w:rFonts w:cstheme="minorHAnsi"/>
          <w:sz w:val="20"/>
          <w:szCs w:val="20"/>
          <w:vertAlign w:val="superscript"/>
          <w:lang w:val="en-US"/>
        </w:rPr>
        <w:t>a</w:t>
      </w:r>
      <w:r w:rsidRPr="00055956">
        <w:rPr>
          <w:rFonts w:cstheme="minorHAnsi"/>
          <w:sz w:val="20"/>
          <w:szCs w:val="20"/>
          <w:lang w:val="en-US"/>
        </w:rPr>
        <w:t xml:space="preserve"> C.C.P.). The mediator, the parties, and other persons participating in the mediation proceedings are obliged to maintain confidentiality regarding facts they learn in connection with conducting the mediation. The parties may release the mediator and other participants from this obligation (Article 183</w:t>
      </w:r>
      <w:r w:rsidRPr="00055956">
        <w:rPr>
          <w:rFonts w:cstheme="minorHAnsi"/>
          <w:sz w:val="20"/>
          <w:szCs w:val="20"/>
          <w:vertAlign w:val="superscript"/>
          <w:lang w:val="en-US"/>
        </w:rPr>
        <w:t>4</w:t>
      </w:r>
      <w:r w:rsidRPr="00055956">
        <w:rPr>
          <w:rFonts w:cstheme="minorHAnsi"/>
          <w:sz w:val="20"/>
          <w:szCs w:val="20"/>
          <w:lang w:val="en-US"/>
        </w:rPr>
        <w:t xml:space="preserve"> C.C.P.).</w:t>
      </w:r>
      <w:r>
        <w:rPr>
          <w:rFonts w:cstheme="minorHAnsi"/>
          <w:sz w:val="20"/>
          <w:szCs w:val="20"/>
          <w:lang w:val="en-US"/>
        </w:rPr>
        <w:t xml:space="preserve"> </w:t>
      </w:r>
      <w:r w:rsidRPr="00055956">
        <w:rPr>
          <w:rFonts w:cstheme="minorHAnsi"/>
          <w:sz w:val="20"/>
          <w:szCs w:val="20"/>
          <w:lang w:val="en-US"/>
        </w:rPr>
        <w:t xml:space="preserve">A settlement concluded before a mediator, once approved by the court, has the legal effect of a settlement concluded before the court. </w:t>
      </w:r>
      <w:r w:rsidRPr="00055956">
        <w:rPr>
          <w:rFonts w:cstheme="minorHAnsi"/>
          <w:b/>
          <w:bCs/>
          <w:sz w:val="20"/>
          <w:szCs w:val="20"/>
          <w:lang w:val="en-US"/>
        </w:rPr>
        <w:t xml:space="preserve">A settlement concluded before a mediator, which has been approved with an enforcement clause, constitutes an enforceable title. </w:t>
      </w:r>
      <w:r w:rsidRPr="00055956">
        <w:rPr>
          <w:rFonts w:cstheme="minorHAnsi"/>
          <w:sz w:val="20"/>
          <w:szCs w:val="20"/>
          <w:lang w:val="en-US"/>
        </w:rPr>
        <w:t>In the case of a court settlement, the costs of the proceedings in which it was concluded are mutually waived, unless the parties have agreed otherwise (Article 104 C.C.P.).</w:t>
      </w:r>
      <w:r>
        <w:rPr>
          <w:rFonts w:cstheme="minorHAnsi"/>
          <w:sz w:val="20"/>
          <w:szCs w:val="20"/>
          <w:lang w:val="en-US"/>
        </w:rPr>
        <w:t xml:space="preserve"> </w:t>
      </w:r>
      <w:r w:rsidRPr="00055956">
        <w:rPr>
          <w:rFonts w:cstheme="minorHAnsi"/>
          <w:sz w:val="20"/>
          <w:szCs w:val="20"/>
          <w:lang w:val="en-US"/>
        </w:rPr>
        <w:t>If the settlement is concluded after the commencement of the hearing, the court shall refund the claimant half of the court fee (Article 79 § 1 point 3 letter c of the Act of 28 July 2005 on court costs in civil cases (Journal of Laws</w:t>
      </w:r>
      <w:r w:rsidR="008F4212">
        <w:rPr>
          <w:rFonts w:cstheme="minorHAnsi"/>
          <w:sz w:val="20"/>
          <w:szCs w:val="20"/>
          <w:lang w:val="en-US"/>
        </w:rPr>
        <w:t xml:space="preserve"> of</w:t>
      </w:r>
      <w:r w:rsidRPr="00055956">
        <w:rPr>
          <w:rFonts w:cstheme="minorHAnsi"/>
          <w:sz w:val="20"/>
          <w:szCs w:val="20"/>
          <w:lang w:val="en-US"/>
        </w:rPr>
        <w:t xml:space="preserve"> 2025, item 1228, consolidated text – hereinafter “C.C.C.C.”)). In the case of a settlement concluded before a mediator prior to the commencement </w:t>
      </w:r>
      <w:r w:rsidRPr="00055956">
        <w:rPr>
          <w:rFonts w:cstheme="minorHAnsi"/>
          <w:sz w:val="20"/>
          <w:szCs w:val="20"/>
          <w:lang w:val="en-US"/>
        </w:rPr>
        <w:lastRenderedPageBreak/>
        <w:t>of the first-instance court hearing, the court shall refund the claimant the full court fee (Article 79 § 1 point 1 letter h C.C.C.C.), whereas if the settlement is concluded before a mediator after the commencement of the hearing, the court shall refund three-quarters of the fee paid for the initiating document or for objections to a payment order (Article 79 § 1 point 2 letter a C.C.C.C.).</w:t>
      </w:r>
    </w:p>
    <w:p w14:paraId="12B87231" w14:textId="77777777" w:rsidR="00055956" w:rsidRDefault="00055956" w:rsidP="00055956">
      <w:pPr>
        <w:pStyle w:val="Akapitzlist"/>
        <w:spacing w:line="276" w:lineRule="auto"/>
        <w:ind w:left="1080"/>
        <w:jc w:val="both"/>
        <w:rPr>
          <w:rFonts w:cstheme="minorHAnsi"/>
          <w:sz w:val="20"/>
          <w:szCs w:val="20"/>
          <w:lang w:val="en-US"/>
        </w:rPr>
      </w:pPr>
    </w:p>
    <w:p w14:paraId="22085B0A" w14:textId="5F928300" w:rsidR="00055956" w:rsidRDefault="00055956" w:rsidP="00055956">
      <w:pPr>
        <w:pStyle w:val="Akapitzlist"/>
        <w:spacing w:line="276" w:lineRule="auto"/>
        <w:ind w:left="1080"/>
        <w:jc w:val="both"/>
        <w:rPr>
          <w:rFonts w:cstheme="minorHAnsi"/>
          <w:sz w:val="20"/>
          <w:szCs w:val="20"/>
          <w:lang w:val="en-US"/>
        </w:rPr>
      </w:pPr>
      <w:r w:rsidRPr="00055956">
        <w:rPr>
          <w:rFonts w:cstheme="minorHAnsi"/>
          <w:sz w:val="20"/>
          <w:szCs w:val="20"/>
          <w:lang w:val="en-US"/>
        </w:rPr>
        <w:t>If the parties have concluded a settlement before the court, or if a settlement concluded before a mediator has been approved by the court, the court shall discontinue the proceedings (Article 355 C.C.P.).</w:t>
      </w:r>
    </w:p>
    <w:p w14:paraId="09BF750C" w14:textId="24345DE6" w:rsidR="008F4212" w:rsidRDefault="0016257B" w:rsidP="008F4212">
      <w:pPr>
        <w:pStyle w:val="Akapitzlist"/>
        <w:numPr>
          <w:ilvl w:val="0"/>
          <w:numId w:val="1"/>
        </w:numPr>
        <w:spacing w:line="276" w:lineRule="auto"/>
        <w:jc w:val="both"/>
        <w:rPr>
          <w:rFonts w:cstheme="minorHAnsi"/>
          <w:sz w:val="20"/>
          <w:szCs w:val="20"/>
          <w:lang w:val="en-US"/>
        </w:rPr>
      </w:pPr>
      <w:r w:rsidRPr="0016257B">
        <w:rPr>
          <w:rFonts w:cstheme="minorHAnsi"/>
          <w:sz w:val="20"/>
          <w:szCs w:val="20"/>
          <w:lang w:val="en-US"/>
        </w:rPr>
        <w:t xml:space="preserve">At every stage of the proceedings, </w:t>
      </w:r>
      <w:r w:rsidRPr="0016257B">
        <w:rPr>
          <w:rFonts w:cstheme="minorHAnsi"/>
          <w:b/>
          <w:bCs/>
          <w:sz w:val="20"/>
          <w:szCs w:val="20"/>
          <w:lang w:val="en-US"/>
        </w:rPr>
        <w:t>a party may appoint a legal representative.</w:t>
      </w:r>
      <w:r w:rsidRPr="0016257B">
        <w:rPr>
          <w:rFonts w:cstheme="minorHAnsi"/>
          <w:sz w:val="20"/>
          <w:szCs w:val="20"/>
          <w:lang w:val="en-US"/>
        </w:rPr>
        <w:t xml:space="preserve"> The appointment of a legal representative in the person of an advocate, legal adviser, or patent attorney is not mandatory (Article 205² § 1 point 2 C.C.P.). A power of attorney may be general, for conducting specific cases, or for certain procedural actions.</w:t>
      </w:r>
    </w:p>
    <w:p w14:paraId="0A174684" w14:textId="77777777" w:rsidR="0016257B" w:rsidRDefault="0016257B" w:rsidP="0016257B">
      <w:pPr>
        <w:pStyle w:val="Akapitzlist"/>
        <w:spacing w:line="276" w:lineRule="auto"/>
        <w:ind w:left="1080"/>
        <w:jc w:val="both"/>
        <w:rPr>
          <w:rFonts w:cstheme="minorHAnsi"/>
          <w:sz w:val="20"/>
          <w:szCs w:val="20"/>
          <w:lang w:val="en-US"/>
        </w:rPr>
      </w:pPr>
    </w:p>
    <w:p w14:paraId="1B45A7F9" w14:textId="28C2D9B0" w:rsidR="0016257B" w:rsidRDefault="0016257B" w:rsidP="0016257B">
      <w:pPr>
        <w:pStyle w:val="Akapitzlist"/>
        <w:spacing w:line="276" w:lineRule="auto"/>
        <w:ind w:left="1080"/>
        <w:jc w:val="both"/>
        <w:rPr>
          <w:rFonts w:cstheme="minorHAnsi"/>
          <w:sz w:val="20"/>
          <w:szCs w:val="20"/>
          <w:lang w:val="en-US"/>
        </w:rPr>
      </w:pPr>
      <w:r w:rsidRPr="0016257B">
        <w:rPr>
          <w:rFonts w:cstheme="minorHAnsi"/>
          <w:sz w:val="20"/>
          <w:szCs w:val="20"/>
          <w:lang w:val="en-US"/>
        </w:rPr>
        <w:t>A legal representative may be an advocate or legal adviser, and in matters of industrial property also a patent attorney, as well as a person managing the party’s property or interests, or a person in a permanent contractual relationship with the party, if the subject of the case falls within the scope of that contract, a co-participant in the dispute, as well as the party’s parents, spouse, siblings, descendants, or persons in an adoptive relationship with the party (Article 87 § 1 C.C.P.).</w:t>
      </w:r>
    </w:p>
    <w:p w14:paraId="1732B7F0" w14:textId="77777777" w:rsidR="0016257B" w:rsidRDefault="0016257B" w:rsidP="0016257B">
      <w:pPr>
        <w:pStyle w:val="Akapitzlist"/>
        <w:spacing w:line="276" w:lineRule="auto"/>
        <w:ind w:left="1080"/>
        <w:jc w:val="both"/>
        <w:rPr>
          <w:rFonts w:cstheme="minorHAnsi"/>
          <w:sz w:val="20"/>
          <w:szCs w:val="20"/>
          <w:lang w:val="en-US"/>
        </w:rPr>
      </w:pPr>
    </w:p>
    <w:p w14:paraId="4F5047B9" w14:textId="67314B43" w:rsidR="0016257B" w:rsidRDefault="0016257B" w:rsidP="0016257B">
      <w:pPr>
        <w:pStyle w:val="Akapitzlist"/>
        <w:spacing w:line="276" w:lineRule="auto"/>
        <w:ind w:left="1080"/>
        <w:jc w:val="both"/>
        <w:rPr>
          <w:rFonts w:cstheme="minorHAnsi"/>
          <w:sz w:val="20"/>
          <w:szCs w:val="20"/>
          <w:lang w:val="en-US"/>
        </w:rPr>
      </w:pPr>
      <w:r w:rsidRPr="0016257B">
        <w:rPr>
          <w:rFonts w:cstheme="minorHAnsi"/>
          <w:sz w:val="20"/>
          <w:szCs w:val="20"/>
          <w:lang w:val="en-US"/>
        </w:rPr>
        <w:t>A representative of a legal person or entrepreneur, including one without legal personality, may also be an employee of that entity or its superior body. A legal person providing, under separate regulations, legal services to an entrepreneur, legal person, or other organizational unit may grant a procedural power of attorney</w:t>
      </w:r>
      <w:r>
        <w:rPr>
          <w:rFonts w:cstheme="minorHAnsi"/>
          <w:sz w:val="20"/>
          <w:szCs w:val="20"/>
          <w:lang w:val="en-US"/>
        </w:rPr>
        <w:t xml:space="preserve"> </w:t>
      </w:r>
      <w:r w:rsidRPr="0016257B">
        <w:rPr>
          <w:rFonts w:cstheme="minorHAnsi"/>
          <w:sz w:val="20"/>
          <w:szCs w:val="20"/>
          <w:lang w:val="en-US"/>
        </w:rPr>
        <w:t>– on behalf of the entity they represent</w:t>
      </w:r>
      <w:r>
        <w:rPr>
          <w:rFonts w:cstheme="minorHAnsi"/>
          <w:sz w:val="20"/>
          <w:szCs w:val="20"/>
          <w:lang w:val="en-US"/>
        </w:rPr>
        <w:t xml:space="preserve"> </w:t>
      </w:r>
      <w:r w:rsidRPr="0016257B">
        <w:rPr>
          <w:rFonts w:cstheme="minorHAnsi"/>
          <w:sz w:val="20"/>
          <w:szCs w:val="20"/>
          <w:lang w:val="en-US"/>
        </w:rPr>
        <w:t>– to an advocate or legal adviser, provided they have been authorized to do so by that entity (Article 87 § 2 C.C.P.).</w:t>
      </w:r>
    </w:p>
    <w:p w14:paraId="142FBCB9" w14:textId="77777777" w:rsidR="0016257B" w:rsidRPr="0016257B" w:rsidRDefault="0016257B" w:rsidP="0016257B">
      <w:pPr>
        <w:pStyle w:val="Akapitzlist"/>
        <w:spacing w:line="276" w:lineRule="auto"/>
        <w:ind w:left="1080"/>
        <w:jc w:val="both"/>
        <w:rPr>
          <w:rFonts w:cstheme="minorHAnsi"/>
          <w:sz w:val="20"/>
          <w:szCs w:val="20"/>
          <w:lang w:val="en-US"/>
        </w:rPr>
      </w:pPr>
    </w:p>
    <w:p w14:paraId="55DC6D1B" w14:textId="5857AE11" w:rsidR="0016257B" w:rsidRDefault="0016257B" w:rsidP="0016257B">
      <w:pPr>
        <w:pStyle w:val="Akapitzlist"/>
        <w:spacing w:line="276" w:lineRule="auto"/>
        <w:ind w:left="1080"/>
        <w:jc w:val="both"/>
        <w:rPr>
          <w:rFonts w:cstheme="minorHAnsi"/>
          <w:sz w:val="20"/>
          <w:szCs w:val="20"/>
          <w:lang w:val="en-US"/>
        </w:rPr>
      </w:pPr>
      <w:r w:rsidRPr="0016257B">
        <w:rPr>
          <w:rFonts w:cstheme="minorHAnsi"/>
          <w:b/>
          <w:bCs/>
          <w:sz w:val="20"/>
          <w:szCs w:val="20"/>
          <w:lang w:val="en-US"/>
        </w:rPr>
        <w:t>A power of attorney</w:t>
      </w:r>
      <w:r w:rsidRPr="0016257B">
        <w:rPr>
          <w:rFonts w:cstheme="minorHAnsi"/>
          <w:sz w:val="20"/>
          <w:szCs w:val="20"/>
          <w:lang w:val="en-US"/>
        </w:rPr>
        <w:t xml:space="preserve"> limited solely to receiving court documents (</w:t>
      </w:r>
      <w:r w:rsidR="008B0A76">
        <w:rPr>
          <w:rFonts w:cstheme="minorHAnsi"/>
          <w:b/>
          <w:bCs/>
          <w:sz w:val="20"/>
          <w:szCs w:val="20"/>
          <w:lang w:val="en-US"/>
        </w:rPr>
        <w:t>legal</w:t>
      </w:r>
      <w:r w:rsidRPr="0016257B">
        <w:rPr>
          <w:rFonts w:cstheme="minorHAnsi"/>
          <w:b/>
          <w:bCs/>
          <w:sz w:val="20"/>
          <w:szCs w:val="20"/>
          <w:lang w:val="en-US"/>
        </w:rPr>
        <w:t xml:space="preserve"> representative</w:t>
      </w:r>
      <w:r w:rsidR="008B0A76">
        <w:rPr>
          <w:rFonts w:cstheme="minorHAnsi"/>
          <w:b/>
          <w:bCs/>
          <w:sz w:val="20"/>
          <w:szCs w:val="20"/>
          <w:lang w:val="en-US"/>
        </w:rPr>
        <w:t xml:space="preserve"> for service</w:t>
      </w:r>
      <w:r w:rsidRPr="0016257B">
        <w:rPr>
          <w:rFonts w:cstheme="minorHAnsi"/>
          <w:sz w:val="20"/>
          <w:szCs w:val="20"/>
          <w:lang w:val="en-US"/>
        </w:rPr>
        <w:t>) may be granted to any natural person with full legal capacity.</w:t>
      </w:r>
    </w:p>
    <w:p w14:paraId="5777BCF7" w14:textId="77777777" w:rsidR="0016257B" w:rsidRPr="0016257B" w:rsidRDefault="0016257B" w:rsidP="0016257B">
      <w:pPr>
        <w:pStyle w:val="Akapitzlist"/>
        <w:spacing w:line="276" w:lineRule="auto"/>
        <w:ind w:left="1080"/>
        <w:jc w:val="both"/>
        <w:rPr>
          <w:rFonts w:cstheme="minorHAnsi"/>
          <w:sz w:val="20"/>
          <w:szCs w:val="20"/>
          <w:lang w:val="en-US"/>
        </w:rPr>
      </w:pPr>
    </w:p>
    <w:p w14:paraId="04528A0A" w14:textId="1BA6FBE6" w:rsidR="0016257B" w:rsidRDefault="0016257B" w:rsidP="0016257B">
      <w:pPr>
        <w:pStyle w:val="Akapitzlist"/>
        <w:spacing w:line="276" w:lineRule="auto"/>
        <w:ind w:left="1080"/>
        <w:jc w:val="both"/>
        <w:rPr>
          <w:rFonts w:cstheme="minorHAnsi"/>
          <w:sz w:val="20"/>
          <w:szCs w:val="20"/>
          <w:lang w:val="en-US"/>
        </w:rPr>
      </w:pPr>
      <w:r w:rsidRPr="0016257B">
        <w:rPr>
          <w:rFonts w:cstheme="minorHAnsi"/>
          <w:sz w:val="20"/>
          <w:szCs w:val="20"/>
          <w:lang w:val="en-US"/>
        </w:rPr>
        <w:t>The legal representative is obliged, at their first procedural act, to submit a written power of attorney with the principal’s signature or a certified copy of the power of attorney, as well as other documents evidencing their authorization</w:t>
      </w:r>
      <w:r w:rsidRPr="0016257B">
        <w:rPr>
          <w:lang w:val="en-US"/>
        </w:rPr>
        <w:t xml:space="preserve"> </w:t>
      </w:r>
      <w:r w:rsidRPr="0016257B">
        <w:rPr>
          <w:rFonts w:cstheme="minorHAnsi"/>
          <w:sz w:val="20"/>
          <w:szCs w:val="20"/>
          <w:lang w:val="en-US"/>
        </w:rPr>
        <w:t>– all these documents must be submitted along with a copy for the opposing party (Article 89 § 1 C.C.P.).</w:t>
      </w:r>
    </w:p>
    <w:p w14:paraId="3D7B5C66" w14:textId="308EE350" w:rsidR="0016257B" w:rsidRDefault="006D7A9E" w:rsidP="0016257B">
      <w:pPr>
        <w:pStyle w:val="Akapitzlist"/>
        <w:numPr>
          <w:ilvl w:val="0"/>
          <w:numId w:val="1"/>
        </w:numPr>
        <w:spacing w:line="276" w:lineRule="auto"/>
        <w:jc w:val="both"/>
        <w:rPr>
          <w:rFonts w:cstheme="minorHAnsi"/>
          <w:sz w:val="20"/>
          <w:szCs w:val="20"/>
          <w:lang w:val="en-US"/>
        </w:rPr>
      </w:pPr>
      <w:r w:rsidRPr="006D7A9E">
        <w:rPr>
          <w:rFonts w:cstheme="minorHAnsi"/>
          <w:b/>
          <w:bCs/>
          <w:sz w:val="20"/>
          <w:szCs w:val="20"/>
          <w:lang w:val="en-US"/>
        </w:rPr>
        <w:t>Exemption from court fees</w:t>
      </w:r>
      <w:r w:rsidRPr="006D7A9E">
        <w:rPr>
          <w:rFonts w:cstheme="minorHAnsi"/>
          <w:sz w:val="20"/>
          <w:szCs w:val="20"/>
          <w:lang w:val="en-US"/>
        </w:rPr>
        <w:t xml:space="preserve"> may be requested by </w:t>
      </w:r>
      <w:r w:rsidRPr="006D7A9E">
        <w:rPr>
          <w:rFonts w:cstheme="minorHAnsi"/>
          <w:b/>
          <w:bCs/>
          <w:sz w:val="20"/>
          <w:szCs w:val="20"/>
          <w:lang w:val="en-US"/>
        </w:rPr>
        <w:t>a natural person</w:t>
      </w:r>
      <w:r w:rsidRPr="006D7A9E">
        <w:rPr>
          <w:rFonts w:cstheme="minorHAnsi"/>
          <w:sz w:val="20"/>
          <w:szCs w:val="20"/>
          <w:lang w:val="en-US"/>
        </w:rPr>
        <w:t xml:space="preserve"> if they submit a statement indicating that they are unable to bear the fees without detriment to the necessary maintenance of themselves and their family, or that paying the fees would put them at such detriment (Article 102 § 1 C.C.C.C.). A request for exemption from court fees must be accompanied by a statement containing detailed information on the applicant’s family status, assets, income, and sources of livelihood (Article 102 § 2 C.C.C.C.). </w:t>
      </w:r>
      <w:r w:rsidRPr="006D7A9E">
        <w:rPr>
          <w:rFonts w:cstheme="minorHAnsi"/>
          <w:b/>
          <w:bCs/>
          <w:sz w:val="20"/>
          <w:szCs w:val="20"/>
          <w:lang w:val="en-US"/>
        </w:rPr>
        <w:t xml:space="preserve">The statement is to be completed according to a prescribed template. </w:t>
      </w:r>
      <w:r w:rsidRPr="006D7A9E">
        <w:rPr>
          <w:rFonts w:cstheme="minorHAnsi"/>
          <w:sz w:val="20"/>
          <w:szCs w:val="20"/>
          <w:lang w:val="en-US"/>
        </w:rPr>
        <w:t>The form is available on the Ministry of Justice website or at the court. Failure to submit this form with the application constitutes a formal defect of the application.</w:t>
      </w:r>
      <w:r>
        <w:rPr>
          <w:rFonts w:cstheme="minorHAnsi"/>
          <w:sz w:val="20"/>
          <w:szCs w:val="20"/>
          <w:lang w:val="en-US"/>
        </w:rPr>
        <w:t xml:space="preserve"> </w:t>
      </w:r>
      <w:r w:rsidRPr="006D7A9E">
        <w:rPr>
          <w:rFonts w:cstheme="minorHAnsi"/>
          <w:sz w:val="20"/>
          <w:szCs w:val="20"/>
          <w:lang w:val="en-US"/>
        </w:rPr>
        <w:t xml:space="preserve">The court may grant exemption from court fees </w:t>
      </w:r>
      <w:r w:rsidRPr="006D7A9E">
        <w:rPr>
          <w:rFonts w:cstheme="minorHAnsi"/>
          <w:b/>
          <w:bCs/>
          <w:sz w:val="20"/>
          <w:szCs w:val="20"/>
          <w:lang w:val="en-US"/>
        </w:rPr>
        <w:t>to a legal person or an organizational unit without legal personality</w:t>
      </w:r>
      <w:r w:rsidRPr="006D7A9E">
        <w:rPr>
          <w:rFonts w:cstheme="minorHAnsi"/>
          <w:sz w:val="20"/>
          <w:szCs w:val="20"/>
          <w:lang w:val="en-US"/>
        </w:rPr>
        <w:t>, which is granted legal capacity by law, if they demonstrate insufficient funds to pay the fees (Article 103 § 1 C.C.C.C.).</w:t>
      </w:r>
    </w:p>
    <w:p w14:paraId="3465C4F6" w14:textId="77777777" w:rsidR="006D7A9E" w:rsidRDefault="006D7A9E" w:rsidP="006D7A9E">
      <w:pPr>
        <w:pStyle w:val="Akapitzlist"/>
        <w:spacing w:line="276" w:lineRule="auto"/>
        <w:ind w:left="1080"/>
        <w:jc w:val="both"/>
        <w:rPr>
          <w:rFonts w:cstheme="minorHAnsi"/>
          <w:b/>
          <w:bCs/>
          <w:sz w:val="20"/>
          <w:szCs w:val="20"/>
          <w:lang w:val="en-US"/>
        </w:rPr>
      </w:pPr>
    </w:p>
    <w:p w14:paraId="5DA170AB" w14:textId="3C4825E4" w:rsidR="006D7A9E" w:rsidRDefault="006D7A9E" w:rsidP="006D7A9E">
      <w:pPr>
        <w:pStyle w:val="Akapitzlist"/>
        <w:spacing w:line="276" w:lineRule="auto"/>
        <w:ind w:left="1080"/>
        <w:jc w:val="both"/>
        <w:rPr>
          <w:rFonts w:cstheme="minorHAnsi"/>
          <w:sz w:val="20"/>
          <w:szCs w:val="20"/>
          <w:lang w:val="en-US"/>
        </w:rPr>
      </w:pPr>
      <w:r w:rsidRPr="006D7A9E">
        <w:rPr>
          <w:rFonts w:cstheme="minorHAnsi"/>
          <w:sz w:val="20"/>
          <w:szCs w:val="20"/>
          <w:lang w:val="en-US"/>
        </w:rPr>
        <w:t xml:space="preserve">A party exempted by the court from court fees, in whole or in part, may request </w:t>
      </w:r>
      <w:r w:rsidRPr="006D7A9E">
        <w:rPr>
          <w:rFonts w:cstheme="minorHAnsi"/>
          <w:b/>
          <w:bCs/>
          <w:sz w:val="20"/>
          <w:szCs w:val="20"/>
          <w:lang w:val="en-US"/>
        </w:rPr>
        <w:t>the appointment of an advocate or legal adviser.</w:t>
      </w:r>
      <w:r w:rsidRPr="006D7A9E">
        <w:rPr>
          <w:rFonts w:cstheme="minorHAnsi"/>
          <w:sz w:val="20"/>
          <w:szCs w:val="20"/>
          <w:lang w:val="en-US"/>
        </w:rPr>
        <w:t xml:space="preserve"> A natural person not exempted by the court may request the appointment of an advocate or legal adviser if they submit a statement indicating that they are unable to bear the costs of an advocate’s or legal adviser’s remuneration without detriment to the necessary maintenance of themselves and their family (the </w:t>
      </w:r>
      <w:r>
        <w:rPr>
          <w:rFonts w:cstheme="minorHAnsi"/>
          <w:sz w:val="20"/>
          <w:szCs w:val="20"/>
          <w:lang w:val="en-US"/>
        </w:rPr>
        <w:t>template</w:t>
      </w:r>
      <w:r w:rsidRPr="006D7A9E">
        <w:rPr>
          <w:rFonts w:cstheme="minorHAnsi"/>
          <w:sz w:val="20"/>
          <w:szCs w:val="20"/>
          <w:lang w:val="en-US"/>
        </w:rPr>
        <w:t xml:space="preserve"> is available on the Ministry of Justice website or at the court). A legal person or other organizational unit granted legal capacity </w:t>
      </w:r>
      <w:r w:rsidRPr="006D7A9E">
        <w:rPr>
          <w:rFonts w:cstheme="minorHAnsi"/>
          <w:sz w:val="20"/>
          <w:szCs w:val="20"/>
          <w:lang w:val="en-US"/>
        </w:rPr>
        <w:lastRenderedPageBreak/>
        <w:t>by law, not exempted from court fees, may request the appointment of an advocate or legal adviser if they demonstrate insufficient funds to cover the costs of such remuneration.</w:t>
      </w:r>
      <w:r>
        <w:rPr>
          <w:rFonts w:cstheme="minorHAnsi"/>
          <w:sz w:val="20"/>
          <w:szCs w:val="20"/>
          <w:lang w:val="en-US"/>
        </w:rPr>
        <w:t xml:space="preserve"> </w:t>
      </w:r>
      <w:r w:rsidRPr="006D7A9E">
        <w:rPr>
          <w:rFonts w:cstheme="minorHAnsi"/>
          <w:sz w:val="20"/>
          <w:szCs w:val="20"/>
          <w:lang w:val="en-US"/>
        </w:rPr>
        <w:t xml:space="preserve">The request for the appointment of an advocate or legal adviser may be submitted together with the request for exemption from court fees or separately, in writing or orally for the record, to the court where the case is to be filed or is already pending. </w:t>
      </w:r>
      <w:r w:rsidRPr="006D7A9E">
        <w:rPr>
          <w:rFonts w:cstheme="minorHAnsi"/>
          <w:b/>
          <w:bCs/>
          <w:sz w:val="20"/>
          <w:szCs w:val="20"/>
          <w:lang w:val="en-US"/>
        </w:rPr>
        <w:t>The court will grant the request only if it considers the participation of an advocate or legal adviser in the case necessary</w:t>
      </w:r>
      <w:r w:rsidRPr="006D7A9E">
        <w:rPr>
          <w:rFonts w:cstheme="minorHAnsi"/>
          <w:sz w:val="20"/>
          <w:szCs w:val="20"/>
          <w:lang w:val="en-US"/>
        </w:rPr>
        <w:t xml:space="preserve"> (Article 117 C.C.P.).</w:t>
      </w:r>
    </w:p>
    <w:p w14:paraId="25761913" w14:textId="65D0B87B" w:rsidR="006D7A9E" w:rsidRPr="0016257B" w:rsidRDefault="00D42594" w:rsidP="006D7A9E">
      <w:pPr>
        <w:pStyle w:val="Akapitzlist"/>
        <w:numPr>
          <w:ilvl w:val="0"/>
          <w:numId w:val="1"/>
        </w:numPr>
        <w:spacing w:line="276" w:lineRule="auto"/>
        <w:jc w:val="both"/>
        <w:rPr>
          <w:rFonts w:cstheme="minorHAnsi"/>
          <w:sz w:val="20"/>
          <w:szCs w:val="20"/>
          <w:lang w:val="en-US"/>
        </w:rPr>
      </w:pPr>
      <w:r w:rsidRPr="00D42594">
        <w:rPr>
          <w:rFonts w:cstheme="minorHAnsi"/>
          <w:sz w:val="20"/>
          <w:szCs w:val="20"/>
          <w:lang w:val="en-US"/>
        </w:rPr>
        <w:t xml:space="preserve">During the proceedings, a preparatory submission may only be filed if the presiding judge so orders and only within the specified deadline (Article 205² § 1 point 3 C.C.P.). In justified cases, the presiding judge may order </w:t>
      </w:r>
      <w:r w:rsidRPr="00D42594">
        <w:rPr>
          <w:rFonts w:cstheme="minorHAnsi"/>
          <w:b/>
          <w:bCs/>
          <w:sz w:val="20"/>
          <w:szCs w:val="20"/>
          <w:lang w:val="en-US"/>
        </w:rPr>
        <w:t>the parties to exchange preparatory submissions</w:t>
      </w:r>
      <w:r w:rsidRPr="00D42594">
        <w:rPr>
          <w:rFonts w:cstheme="minorHAnsi"/>
          <w:sz w:val="20"/>
          <w:szCs w:val="20"/>
          <w:lang w:val="en-US"/>
        </w:rPr>
        <w:t>, specifying the order of submission, the deadlines for filing, and the circumstances that must be clarified (Article 205³ § 1 C.C.P.).</w:t>
      </w:r>
    </w:p>
    <w:p w14:paraId="698ED34D" w14:textId="77777777" w:rsidR="0016257B" w:rsidRDefault="0016257B" w:rsidP="0016257B">
      <w:pPr>
        <w:pStyle w:val="Akapitzlist"/>
        <w:spacing w:line="276" w:lineRule="auto"/>
        <w:ind w:left="1080"/>
        <w:jc w:val="both"/>
        <w:rPr>
          <w:rFonts w:cstheme="minorHAnsi"/>
          <w:sz w:val="20"/>
          <w:szCs w:val="20"/>
          <w:lang w:val="en-US"/>
        </w:rPr>
      </w:pPr>
    </w:p>
    <w:p w14:paraId="18062CE1" w14:textId="5DC00549" w:rsidR="00D42594" w:rsidRDefault="00D42594" w:rsidP="0016257B">
      <w:pPr>
        <w:pStyle w:val="Akapitzlist"/>
        <w:spacing w:line="276" w:lineRule="auto"/>
        <w:ind w:left="1080"/>
        <w:jc w:val="both"/>
        <w:rPr>
          <w:rFonts w:cstheme="minorHAnsi"/>
          <w:sz w:val="20"/>
          <w:szCs w:val="20"/>
          <w:lang w:val="en-US"/>
        </w:rPr>
      </w:pPr>
      <w:r w:rsidRPr="00D42594">
        <w:rPr>
          <w:rFonts w:cstheme="minorHAnsi"/>
          <w:sz w:val="20"/>
          <w:szCs w:val="20"/>
          <w:lang w:val="en-US"/>
        </w:rPr>
        <w:t>Preparatory submissions must concisely present the state of the case, specify which facts the party admits and which they deny, and additionally comment on the claims and evidence submitted by the opposing party. In these submissions, parties may also indicate the legal grounds for their claims or motions (Article 127 § 1 and 2 C.C.P.).</w:t>
      </w:r>
    </w:p>
    <w:p w14:paraId="4E7B2FF1" w14:textId="77777777" w:rsidR="00D42594" w:rsidRDefault="00D42594" w:rsidP="0016257B">
      <w:pPr>
        <w:pStyle w:val="Akapitzlist"/>
        <w:spacing w:line="276" w:lineRule="auto"/>
        <w:ind w:left="1080"/>
        <w:jc w:val="both"/>
        <w:rPr>
          <w:rFonts w:cstheme="minorHAnsi"/>
          <w:sz w:val="20"/>
          <w:szCs w:val="20"/>
          <w:lang w:val="en-US"/>
        </w:rPr>
      </w:pPr>
    </w:p>
    <w:p w14:paraId="5FFAC705" w14:textId="26266261" w:rsidR="00D42594" w:rsidRPr="00D42594" w:rsidRDefault="00D42594" w:rsidP="0016257B">
      <w:pPr>
        <w:pStyle w:val="Akapitzlist"/>
        <w:spacing w:line="276" w:lineRule="auto"/>
        <w:ind w:left="1080"/>
        <w:jc w:val="both"/>
        <w:rPr>
          <w:rFonts w:cstheme="minorHAnsi"/>
          <w:sz w:val="20"/>
          <w:szCs w:val="20"/>
          <w:lang w:val="en-US"/>
        </w:rPr>
      </w:pPr>
      <w:r w:rsidRPr="00D42594">
        <w:rPr>
          <w:rFonts w:cstheme="minorHAnsi"/>
          <w:sz w:val="20"/>
          <w:szCs w:val="20"/>
          <w:lang w:val="en-US"/>
        </w:rPr>
        <w:t xml:space="preserve">The presiding judge may further require a party, in the preparatory submission, to provide </w:t>
      </w:r>
      <w:r w:rsidRPr="00D42594">
        <w:rPr>
          <w:rFonts w:cstheme="minorHAnsi"/>
          <w:b/>
          <w:bCs/>
          <w:sz w:val="20"/>
          <w:szCs w:val="20"/>
          <w:lang w:val="en-US"/>
        </w:rPr>
        <w:t>all claims and evidence</w:t>
      </w:r>
      <w:r w:rsidRPr="00D42594">
        <w:rPr>
          <w:rFonts w:cstheme="minorHAnsi"/>
          <w:sz w:val="20"/>
          <w:szCs w:val="20"/>
          <w:lang w:val="en-US"/>
        </w:rPr>
        <w:t xml:space="preserve"> relevant to resolving the case under penalty of losing the right to invoke them in further proceedings. In such a case, claims and evidence submitted in violation of this obligation shall be disregarded, unless the party demonstrates that it was not possible to present them in the preparatory submission or that the need to present them arose later (Article 205³ § 2 C.C.P.).</w:t>
      </w:r>
    </w:p>
    <w:p w14:paraId="73633B6F" w14:textId="77777777" w:rsidR="00D42594" w:rsidRDefault="00D42594" w:rsidP="0016257B">
      <w:pPr>
        <w:pStyle w:val="Akapitzlist"/>
        <w:spacing w:line="276" w:lineRule="auto"/>
        <w:ind w:left="1080"/>
        <w:jc w:val="both"/>
        <w:rPr>
          <w:rFonts w:cstheme="minorHAnsi"/>
          <w:sz w:val="20"/>
          <w:szCs w:val="20"/>
          <w:lang w:val="en-US"/>
        </w:rPr>
      </w:pPr>
    </w:p>
    <w:p w14:paraId="3C800D2C" w14:textId="34BEB298" w:rsidR="00D42594" w:rsidRDefault="00D42594" w:rsidP="0016257B">
      <w:pPr>
        <w:pStyle w:val="Akapitzlist"/>
        <w:spacing w:line="276" w:lineRule="auto"/>
        <w:ind w:left="1080"/>
        <w:jc w:val="both"/>
        <w:rPr>
          <w:rFonts w:cstheme="minorHAnsi"/>
          <w:sz w:val="20"/>
          <w:szCs w:val="20"/>
          <w:lang w:val="en-US"/>
        </w:rPr>
      </w:pPr>
      <w:r w:rsidRPr="00D42594">
        <w:rPr>
          <w:rFonts w:cstheme="minorHAnsi"/>
          <w:sz w:val="20"/>
          <w:szCs w:val="20"/>
          <w:lang w:val="en-US"/>
        </w:rPr>
        <w:t>The subsequent scheduling of a preparatory hearing does not open a new deadline for submitting additional claims or evidence (Article 205³ § 3 C.C.P.).</w:t>
      </w:r>
    </w:p>
    <w:p w14:paraId="02612EE6" w14:textId="77777777" w:rsidR="00D42594" w:rsidRDefault="00D42594" w:rsidP="0016257B">
      <w:pPr>
        <w:pStyle w:val="Akapitzlist"/>
        <w:spacing w:line="276" w:lineRule="auto"/>
        <w:ind w:left="1080"/>
        <w:jc w:val="both"/>
        <w:rPr>
          <w:rFonts w:cstheme="minorHAnsi"/>
          <w:sz w:val="20"/>
          <w:szCs w:val="20"/>
          <w:lang w:val="en-US"/>
        </w:rPr>
      </w:pPr>
    </w:p>
    <w:p w14:paraId="2AB92A38" w14:textId="15B3E23B" w:rsidR="00D42594" w:rsidRDefault="00D42594" w:rsidP="0016257B">
      <w:pPr>
        <w:pStyle w:val="Akapitzlist"/>
        <w:spacing w:line="276" w:lineRule="auto"/>
        <w:ind w:left="1080"/>
        <w:jc w:val="both"/>
        <w:rPr>
          <w:rFonts w:cstheme="minorHAnsi"/>
          <w:sz w:val="20"/>
          <w:szCs w:val="20"/>
          <w:lang w:val="en-US"/>
        </w:rPr>
      </w:pPr>
      <w:r w:rsidRPr="00D42594">
        <w:rPr>
          <w:rFonts w:cstheme="minorHAnsi"/>
          <w:sz w:val="20"/>
          <w:szCs w:val="20"/>
          <w:lang w:val="en-US"/>
        </w:rPr>
        <w:t>The presiding judge may order the return of a preparatory submission filed after the deadline or without an order (Article 205³ § 5 C.C.P.).</w:t>
      </w:r>
    </w:p>
    <w:p w14:paraId="19703483" w14:textId="55E7E690" w:rsidR="00D42594" w:rsidRPr="00921972" w:rsidRDefault="00921972" w:rsidP="00D42594">
      <w:pPr>
        <w:pStyle w:val="Akapitzlist"/>
        <w:numPr>
          <w:ilvl w:val="0"/>
          <w:numId w:val="1"/>
        </w:numPr>
        <w:spacing w:line="276" w:lineRule="auto"/>
        <w:jc w:val="both"/>
        <w:rPr>
          <w:rFonts w:cstheme="minorHAnsi"/>
          <w:sz w:val="20"/>
          <w:szCs w:val="20"/>
          <w:lang w:val="en-US"/>
        </w:rPr>
      </w:pPr>
      <w:r w:rsidRPr="00921972">
        <w:rPr>
          <w:rFonts w:cstheme="minorHAnsi"/>
          <w:b/>
          <w:bCs/>
          <w:sz w:val="20"/>
          <w:szCs w:val="20"/>
          <w:lang w:val="en-US"/>
        </w:rPr>
        <w:t xml:space="preserve">After filing a statement of </w:t>
      </w:r>
      <w:proofErr w:type="spellStart"/>
      <w:r w:rsidRPr="00921972">
        <w:rPr>
          <w:rFonts w:cstheme="minorHAnsi"/>
          <w:b/>
          <w:bCs/>
          <w:sz w:val="20"/>
          <w:szCs w:val="20"/>
          <w:lang w:val="en-US"/>
        </w:rPr>
        <w:t>defence</w:t>
      </w:r>
      <w:proofErr w:type="spellEnd"/>
      <w:r w:rsidRPr="00921972">
        <w:rPr>
          <w:rFonts w:cstheme="minorHAnsi"/>
          <w:b/>
          <w:bCs/>
          <w:sz w:val="20"/>
          <w:szCs w:val="20"/>
          <w:lang w:val="en-US"/>
        </w:rPr>
        <w:t>,</w:t>
      </w:r>
      <w:r w:rsidRPr="00921972">
        <w:rPr>
          <w:rFonts w:cstheme="minorHAnsi"/>
          <w:sz w:val="20"/>
          <w:szCs w:val="20"/>
          <w:lang w:val="en-US"/>
        </w:rPr>
        <w:t xml:space="preserve"> or if a statement of </w:t>
      </w:r>
      <w:proofErr w:type="spellStart"/>
      <w:r w:rsidRPr="00921972">
        <w:rPr>
          <w:rFonts w:cstheme="minorHAnsi"/>
          <w:sz w:val="20"/>
          <w:szCs w:val="20"/>
          <w:lang w:val="en-US"/>
        </w:rPr>
        <w:t>defence</w:t>
      </w:r>
      <w:proofErr w:type="spellEnd"/>
      <w:r w:rsidRPr="00921972">
        <w:rPr>
          <w:rFonts w:cstheme="minorHAnsi"/>
          <w:sz w:val="20"/>
          <w:szCs w:val="20"/>
          <w:lang w:val="en-US"/>
        </w:rPr>
        <w:t xml:space="preserve"> has not been filed but a default judgment has not been issued, </w:t>
      </w:r>
      <w:r w:rsidRPr="00921972">
        <w:rPr>
          <w:rFonts w:cstheme="minorHAnsi"/>
          <w:b/>
          <w:bCs/>
          <w:sz w:val="20"/>
          <w:szCs w:val="20"/>
          <w:lang w:val="en-US"/>
        </w:rPr>
        <w:t>the presiding judge may schedule a preparatory hearing.</w:t>
      </w:r>
      <w:r w:rsidRPr="00921972">
        <w:rPr>
          <w:rFonts w:cstheme="minorHAnsi"/>
          <w:sz w:val="20"/>
          <w:szCs w:val="20"/>
          <w:lang w:val="en-US"/>
        </w:rPr>
        <w:t xml:space="preserve"> If a preparatory hearing is scheduled, the parties and their legal representatives are obliged to attend (Article 205</w:t>
      </w:r>
      <w:r w:rsidRPr="00921972">
        <w:rPr>
          <w:rFonts w:cstheme="minorHAnsi"/>
          <w:sz w:val="20"/>
          <w:szCs w:val="20"/>
          <w:vertAlign w:val="superscript"/>
          <w:lang w:val="en-US"/>
        </w:rPr>
        <w:t>4a</w:t>
      </w:r>
      <w:r w:rsidRPr="00921972">
        <w:rPr>
          <w:rFonts w:cstheme="minorHAnsi"/>
          <w:sz w:val="20"/>
          <w:szCs w:val="20"/>
          <w:lang w:val="en-US"/>
        </w:rPr>
        <w:t xml:space="preserve"> § 1 point 1 C.C.P.). The presiding judge may refrain from summoning the party to the preparatory hearing if the circumstances of the case indicate that the participation of their legal representative will be sufficient.</w:t>
      </w:r>
    </w:p>
    <w:p w14:paraId="1B7ED5E0" w14:textId="77777777" w:rsidR="00921972" w:rsidRPr="00921972" w:rsidRDefault="00921972" w:rsidP="00921972">
      <w:pPr>
        <w:pStyle w:val="Akapitzlist"/>
        <w:spacing w:line="276" w:lineRule="auto"/>
        <w:ind w:left="1080"/>
        <w:jc w:val="both"/>
        <w:rPr>
          <w:rFonts w:cstheme="minorHAnsi"/>
          <w:sz w:val="20"/>
          <w:szCs w:val="20"/>
          <w:lang w:val="en-US"/>
        </w:rPr>
      </w:pPr>
    </w:p>
    <w:p w14:paraId="7D7A52E8" w14:textId="079DA0A9" w:rsidR="00921972" w:rsidRPr="00921972" w:rsidRDefault="00921972" w:rsidP="00921972">
      <w:pPr>
        <w:pStyle w:val="Akapitzlist"/>
        <w:spacing w:line="276" w:lineRule="auto"/>
        <w:ind w:left="1080"/>
        <w:jc w:val="both"/>
        <w:rPr>
          <w:rFonts w:cstheme="minorHAnsi"/>
          <w:sz w:val="20"/>
          <w:szCs w:val="20"/>
          <w:lang w:val="en-US"/>
        </w:rPr>
      </w:pPr>
      <w:r w:rsidRPr="00921972">
        <w:rPr>
          <w:rFonts w:cstheme="minorHAnsi"/>
          <w:b/>
          <w:bCs/>
          <w:sz w:val="20"/>
          <w:szCs w:val="20"/>
          <w:lang w:val="en-US"/>
        </w:rPr>
        <w:t>If the defendant does not appear at the preparatory hearing,</w:t>
      </w:r>
      <w:r w:rsidRPr="00921972">
        <w:rPr>
          <w:rFonts w:cstheme="minorHAnsi"/>
          <w:sz w:val="20"/>
          <w:szCs w:val="20"/>
          <w:lang w:val="en-US"/>
        </w:rPr>
        <w:t xml:space="preserve"> the trial plan is prepared without their participation. The determinations contained in the trial plan are binding on the defendant in the further course of the proceedings. If the defendant’s absence is unjustified, the court may, regardless of the outcome of the case, impose on the defendant the obligation to cover costs in an amount higher than would result from the outcome of the case, or even to cover all costs (Article 205</w:t>
      </w:r>
      <w:r w:rsidRPr="00921972">
        <w:rPr>
          <w:rFonts w:cstheme="minorHAnsi"/>
          <w:sz w:val="20"/>
          <w:szCs w:val="20"/>
          <w:vertAlign w:val="superscript"/>
          <w:lang w:val="en-US"/>
        </w:rPr>
        <w:t>5</w:t>
      </w:r>
      <w:r w:rsidRPr="00921972">
        <w:rPr>
          <w:rFonts w:cstheme="minorHAnsi"/>
          <w:sz w:val="20"/>
          <w:szCs w:val="20"/>
          <w:lang w:val="en-US"/>
        </w:rPr>
        <w:t xml:space="preserve"> § 6 C.C.P.).</w:t>
      </w:r>
    </w:p>
    <w:p w14:paraId="3FBD5690" w14:textId="77777777" w:rsidR="00921972" w:rsidRPr="00921972" w:rsidRDefault="00921972" w:rsidP="00921972">
      <w:pPr>
        <w:pStyle w:val="Akapitzlist"/>
        <w:spacing w:line="276" w:lineRule="auto"/>
        <w:ind w:left="1080"/>
        <w:jc w:val="both"/>
        <w:rPr>
          <w:rFonts w:cstheme="minorHAnsi"/>
          <w:sz w:val="20"/>
          <w:szCs w:val="20"/>
          <w:lang w:val="en-US"/>
        </w:rPr>
      </w:pPr>
    </w:p>
    <w:p w14:paraId="108AEBCB" w14:textId="3427AD10" w:rsidR="00921972" w:rsidRDefault="00921972" w:rsidP="00921972">
      <w:pPr>
        <w:pStyle w:val="Akapitzlist"/>
        <w:spacing w:line="276" w:lineRule="auto"/>
        <w:ind w:left="1080"/>
        <w:jc w:val="both"/>
        <w:rPr>
          <w:rFonts w:cstheme="minorHAnsi"/>
          <w:sz w:val="20"/>
          <w:szCs w:val="20"/>
          <w:lang w:val="en-US"/>
        </w:rPr>
      </w:pPr>
      <w:r w:rsidRPr="00921972">
        <w:rPr>
          <w:rFonts w:cstheme="minorHAnsi"/>
          <w:sz w:val="20"/>
          <w:szCs w:val="20"/>
          <w:lang w:val="en-US"/>
        </w:rPr>
        <w:t>At the preparatory hearing, the presiding judge establishes the subject of the dispute with the parties and clarifies the parties’ positions, including with regard to the legal aspects of the dispute. At this hearing, the parties may conclude a settlement. If the dispute cannot be resolved, a trial plan is prepared with the participation of the parties. The determinations contained in this plan are binding on the party, even if they are absent from the hearing (Article 205</w:t>
      </w:r>
      <w:r w:rsidRPr="00921972">
        <w:rPr>
          <w:rFonts w:cstheme="minorHAnsi"/>
          <w:sz w:val="20"/>
          <w:szCs w:val="20"/>
          <w:vertAlign w:val="superscript"/>
          <w:lang w:val="en-US"/>
        </w:rPr>
        <w:t>6</w:t>
      </w:r>
      <w:r w:rsidRPr="00921972">
        <w:rPr>
          <w:rFonts w:cstheme="minorHAnsi"/>
          <w:sz w:val="20"/>
          <w:szCs w:val="20"/>
          <w:lang w:val="en-US"/>
        </w:rPr>
        <w:t xml:space="preserve"> C.C.P.).</w:t>
      </w:r>
    </w:p>
    <w:p w14:paraId="31AB011C" w14:textId="77777777" w:rsidR="00921972" w:rsidRDefault="00921972" w:rsidP="00921972">
      <w:pPr>
        <w:pStyle w:val="Akapitzlist"/>
        <w:spacing w:line="276" w:lineRule="auto"/>
        <w:ind w:left="1080"/>
        <w:jc w:val="both"/>
        <w:rPr>
          <w:rFonts w:cstheme="minorHAnsi"/>
          <w:sz w:val="20"/>
          <w:szCs w:val="20"/>
          <w:lang w:val="en-US"/>
        </w:rPr>
      </w:pPr>
    </w:p>
    <w:p w14:paraId="73F3A1AF" w14:textId="77777777" w:rsidR="00921972" w:rsidRPr="00921972" w:rsidRDefault="00921972" w:rsidP="00921972">
      <w:pPr>
        <w:pStyle w:val="Akapitzlist"/>
        <w:spacing w:line="276" w:lineRule="auto"/>
        <w:ind w:left="1080"/>
        <w:jc w:val="both"/>
        <w:rPr>
          <w:rFonts w:cstheme="minorHAnsi"/>
          <w:sz w:val="20"/>
          <w:szCs w:val="20"/>
          <w:lang w:val="en-US"/>
        </w:rPr>
      </w:pPr>
    </w:p>
    <w:p w14:paraId="48F9B781" w14:textId="77777777" w:rsidR="00921972" w:rsidRPr="00921972" w:rsidRDefault="00921972" w:rsidP="00921972">
      <w:pPr>
        <w:pStyle w:val="Akapitzlist"/>
        <w:spacing w:line="276" w:lineRule="auto"/>
        <w:ind w:left="1080"/>
        <w:jc w:val="both"/>
        <w:rPr>
          <w:rFonts w:cstheme="minorHAnsi"/>
          <w:sz w:val="20"/>
          <w:szCs w:val="20"/>
          <w:lang w:val="en-US"/>
        </w:rPr>
      </w:pPr>
    </w:p>
    <w:p w14:paraId="6B544D07" w14:textId="6981D54F" w:rsidR="00921972" w:rsidRDefault="00921972" w:rsidP="00921972">
      <w:pPr>
        <w:pStyle w:val="Akapitzlist"/>
        <w:spacing w:line="276" w:lineRule="auto"/>
        <w:ind w:left="1080"/>
        <w:jc w:val="both"/>
        <w:rPr>
          <w:rFonts w:cstheme="minorHAnsi"/>
          <w:sz w:val="20"/>
          <w:szCs w:val="20"/>
          <w:lang w:val="en-US"/>
        </w:rPr>
      </w:pPr>
      <w:r w:rsidRPr="00921972">
        <w:rPr>
          <w:rFonts w:cstheme="minorHAnsi"/>
          <w:sz w:val="20"/>
          <w:szCs w:val="20"/>
          <w:lang w:val="en-US"/>
        </w:rPr>
        <w:lastRenderedPageBreak/>
        <w:t>If the circumstances of the case indicate that holding a preparatory hearing will not contribute to a more efficient resolution of the case, the presiding judge may direct the case along another appropriate course, in particular, to be adjudicated, including at trial (Article 205</w:t>
      </w:r>
      <w:r w:rsidRPr="00921972">
        <w:rPr>
          <w:rFonts w:cstheme="minorHAnsi"/>
          <w:sz w:val="20"/>
          <w:szCs w:val="20"/>
          <w:vertAlign w:val="superscript"/>
          <w:lang w:val="en-US"/>
        </w:rPr>
        <w:t>4</w:t>
      </w:r>
      <w:r w:rsidRPr="00921972">
        <w:rPr>
          <w:rFonts w:cstheme="minorHAnsi"/>
          <w:sz w:val="20"/>
          <w:szCs w:val="20"/>
          <w:lang w:val="en-US"/>
        </w:rPr>
        <w:t xml:space="preserve"> § 3 C.C.P.).</w:t>
      </w:r>
    </w:p>
    <w:p w14:paraId="16C4338F" w14:textId="4E06C102" w:rsidR="00921972" w:rsidRPr="007D2562" w:rsidRDefault="007D2562" w:rsidP="00921972">
      <w:pPr>
        <w:pStyle w:val="Akapitzlist"/>
        <w:numPr>
          <w:ilvl w:val="0"/>
          <w:numId w:val="1"/>
        </w:numPr>
        <w:spacing w:line="276" w:lineRule="auto"/>
        <w:jc w:val="both"/>
        <w:rPr>
          <w:rFonts w:cstheme="minorHAnsi"/>
          <w:sz w:val="20"/>
          <w:szCs w:val="20"/>
          <w:lang w:val="en-US"/>
        </w:rPr>
      </w:pPr>
      <w:r w:rsidRPr="000221B6">
        <w:rPr>
          <w:rFonts w:cstheme="minorHAnsi"/>
          <w:b/>
          <w:bCs/>
          <w:sz w:val="20"/>
          <w:szCs w:val="20"/>
          <w:lang w:val="en-US"/>
        </w:rPr>
        <w:t>The burden of proving a fact</w:t>
      </w:r>
      <w:r w:rsidRPr="007D2562">
        <w:rPr>
          <w:rFonts w:cstheme="minorHAnsi"/>
          <w:sz w:val="20"/>
          <w:szCs w:val="20"/>
          <w:lang w:val="en-US"/>
        </w:rPr>
        <w:t xml:space="preserve"> rests on the person who derives legal consequences from that fact (Article 6 of the Act of 23 April 1964 – Civil Code, Journal of Laws </w:t>
      </w:r>
      <w:r w:rsidR="000221B6">
        <w:rPr>
          <w:rFonts w:cstheme="minorHAnsi"/>
          <w:sz w:val="20"/>
          <w:szCs w:val="20"/>
          <w:lang w:val="en-US"/>
        </w:rPr>
        <w:t xml:space="preserve">of </w:t>
      </w:r>
      <w:r w:rsidRPr="007D2562">
        <w:rPr>
          <w:rFonts w:cstheme="minorHAnsi"/>
          <w:sz w:val="20"/>
          <w:szCs w:val="20"/>
          <w:lang w:val="en-US"/>
        </w:rPr>
        <w:t>2025, item 1071, consolidated text).</w:t>
      </w:r>
    </w:p>
    <w:p w14:paraId="4E968268" w14:textId="77777777" w:rsidR="007D2562" w:rsidRDefault="007D2562" w:rsidP="007D2562">
      <w:pPr>
        <w:pStyle w:val="Akapitzlist"/>
        <w:spacing w:line="276" w:lineRule="auto"/>
        <w:ind w:left="1080"/>
        <w:jc w:val="both"/>
        <w:rPr>
          <w:rFonts w:cstheme="minorHAnsi"/>
          <w:sz w:val="20"/>
          <w:szCs w:val="20"/>
          <w:lang w:val="en-US"/>
        </w:rPr>
      </w:pPr>
    </w:p>
    <w:p w14:paraId="7D5E0754" w14:textId="7E69A018" w:rsidR="007D2562" w:rsidRPr="007D2562" w:rsidRDefault="007D2562" w:rsidP="007D2562">
      <w:pPr>
        <w:pStyle w:val="Akapitzlist"/>
        <w:spacing w:line="276" w:lineRule="auto"/>
        <w:ind w:left="1080"/>
        <w:jc w:val="both"/>
        <w:rPr>
          <w:rFonts w:cstheme="minorHAnsi"/>
          <w:sz w:val="20"/>
          <w:szCs w:val="20"/>
          <w:lang w:val="en-US"/>
        </w:rPr>
      </w:pPr>
      <w:r w:rsidRPr="000221B6">
        <w:rPr>
          <w:rFonts w:cstheme="minorHAnsi"/>
          <w:b/>
          <w:bCs/>
          <w:sz w:val="20"/>
          <w:szCs w:val="20"/>
          <w:lang w:val="en-US"/>
        </w:rPr>
        <w:t>A party relying on a particular fact</w:t>
      </w:r>
      <w:r w:rsidRPr="007D2562">
        <w:rPr>
          <w:rFonts w:cstheme="minorHAnsi"/>
          <w:sz w:val="20"/>
          <w:szCs w:val="20"/>
          <w:lang w:val="en-US"/>
        </w:rPr>
        <w:t xml:space="preserve"> and deriving beneficial legal consequences from it </w:t>
      </w:r>
      <w:r w:rsidRPr="000221B6">
        <w:rPr>
          <w:rFonts w:cstheme="minorHAnsi"/>
          <w:b/>
          <w:bCs/>
          <w:sz w:val="20"/>
          <w:szCs w:val="20"/>
          <w:lang w:val="en-US"/>
        </w:rPr>
        <w:t>has the obligation to indicate evidence to establish it</w:t>
      </w:r>
      <w:r w:rsidRPr="007D2562">
        <w:rPr>
          <w:rFonts w:cstheme="minorHAnsi"/>
          <w:sz w:val="20"/>
          <w:szCs w:val="20"/>
          <w:lang w:val="en-US"/>
        </w:rPr>
        <w:t xml:space="preserve"> (Article 232 C.C.P.).</w:t>
      </w:r>
    </w:p>
    <w:p w14:paraId="1DA53D04" w14:textId="77777777" w:rsidR="007D2562" w:rsidRDefault="007D2562" w:rsidP="007D2562">
      <w:pPr>
        <w:pStyle w:val="Akapitzlist"/>
        <w:spacing w:line="276" w:lineRule="auto"/>
        <w:ind w:left="1080"/>
        <w:jc w:val="both"/>
        <w:rPr>
          <w:rFonts w:cstheme="minorHAnsi"/>
          <w:sz w:val="20"/>
          <w:szCs w:val="20"/>
          <w:lang w:val="en-US"/>
        </w:rPr>
      </w:pPr>
    </w:p>
    <w:p w14:paraId="34238E51" w14:textId="0CF3EE3C" w:rsidR="007D2562" w:rsidRPr="007D2562" w:rsidRDefault="007D2562" w:rsidP="007D2562">
      <w:pPr>
        <w:pStyle w:val="Akapitzlist"/>
        <w:spacing w:line="276" w:lineRule="auto"/>
        <w:ind w:left="1080"/>
        <w:jc w:val="both"/>
        <w:rPr>
          <w:rFonts w:cstheme="minorHAnsi"/>
          <w:sz w:val="20"/>
          <w:szCs w:val="20"/>
          <w:lang w:val="en-US"/>
        </w:rPr>
      </w:pPr>
      <w:r w:rsidRPr="000221B6">
        <w:rPr>
          <w:rFonts w:cstheme="minorHAnsi"/>
          <w:b/>
          <w:bCs/>
          <w:sz w:val="20"/>
          <w:szCs w:val="20"/>
          <w:lang w:val="en-US"/>
        </w:rPr>
        <w:t>Facts that are generally known</w:t>
      </w:r>
      <w:r w:rsidRPr="007D2562">
        <w:rPr>
          <w:rFonts w:cstheme="minorHAnsi"/>
          <w:sz w:val="20"/>
          <w:szCs w:val="20"/>
          <w:lang w:val="en-US"/>
        </w:rPr>
        <w:t xml:space="preserve"> do not require proof, and the court considers them even if the parties do not invoke them</w:t>
      </w:r>
      <w:r w:rsidRPr="000221B6">
        <w:rPr>
          <w:rFonts w:cstheme="minorHAnsi"/>
          <w:b/>
          <w:bCs/>
          <w:sz w:val="20"/>
          <w:szCs w:val="20"/>
          <w:lang w:val="en-US"/>
        </w:rPr>
        <w:t>. Facts for which information is publicly accessible</w:t>
      </w:r>
      <w:r w:rsidRPr="007D2562">
        <w:rPr>
          <w:rFonts w:cstheme="minorHAnsi"/>
          <w:sz w:val="20"/>
          <w:szCs w:val="20"/>
          <w:lang w:val="en-US"/>
        </w:rPr>
        <w:t xml:space="preserve"> and facts known to the court </w:t>
      </w:r>
      <w:r w:rsidRPr="000221B6">
        <w:rPr>
          <w:rFonts w:cstheme="minorHAnsi"/>
          <w:i/>
          <w:iCs/>
          <w:sz w:val="20"/>
          <w:szCs w:val="20"/>
          <w:lang w:val="en-US"/>
        </w:rPr>
        <w:t>ex officio</w:t>
      </w:r>
      <w:r w:rsidRPr="007D2562">
        <w:rPr>
          <w:rFonts w:cstheme="minorHAnsi"/>
          <w:sz w:val="20"/>
          <w:szCs w:val="20"/>
          <w:lang w:val="en-US"/>
        </w:rPr>
        <w:t xml:space="preserve"> also do not require proof (Article 228 C.C.P.).</w:t>
      </w:r>
    </w:p>
    <w:p w14:paraId="4FBECCEF" w14:textId="77777777" w:rsidR="007D2562" w:rsidRPr="007D2562" w:rsidRDefault="007D2562" w:rsidP="007D2562">
      <w:pPr>
        <w:pStyle w:val="Akapitzlist"/>
        <w:spacing w:line="276" w:lineRule="auto"/>
        <w:ind w:left="1080"/>
        <w:jc w:val="both"/>
        <w:rPr>
          <w:rFonts w:cstheme="minorHAnsi"/>
          <w:sz w:val="20"/>
          <w:szCs w:val="20"/>
          <w:lang w:val="en-US"/>
        </w:rPr>
      </w:pPr>
    </w:p>
    <w:p w14:paraId="6305A31E" w14:textId="03C68D5F" w:rsidR="007D2562" w:rsidRDefault="007D2562" w:rsidP="007D2562">
      <w:pPr>
        <w:pStyle w:val="Akapitzlist"/>
        <w:spacing w:line="276" w:lineRule="auto"/>
        <w:ind w:left="1080"/>
        <w:jc w:val="both"/>
        <w:rPr>
          <w:rFonts w:cstheme="minorHAnsi"/>
          <w:sz w:val="20"/>
          <w:szCs w:val="20"/>
          <w:lang w:val="en-US"/>
        </w:rPr>
      </w:pPr>
      <w:r w:rsidRPr="000221B6">
        <w:rPr>
          <w:rFonts w:cstheme="minorHAnsi"/>
          <w:b/>
          <w:bCs/>
          <w:sz w:val="20"/>
          <w:szCs w:val="20"/>
          <w:lang w:val="en-US"/>
        </w:rPr>
        <w:t>Facts admitted during the proceedings</w:t>
      </w:r>
      <w:r w:rsidRPr="007D2562">
        <w:rPr>
          <w:rFonts w:cstheme="minorHAnsi"/>
          <w:sz w:val="20"/>
          <w:szCs w:val="20"/>
          <w:lang w:val="en-US"/>
        </w:rPr>
        <w:t xml:space="preserve"> by the opposing party do not require proof, provided that the admission does not raise doubts (Article 229 C.C.P.).</w:t>
      </w:r>
    </w:p>
    <w:p w14:paraId="048ABFA7" w14:textId="77777777" w:rsidR="007D2562" w:rsidRDefault="007D2562" w:rsidP="007D2562">
      <w:pPr>
        <w:pStyle w:val="Akapitzlist"/>
        <w:spacing w:line="276" w:lineRule="auto"/>
        <w:ind w:left="1080"/>
        <w:jc w:val="both"/>
        <w:rPr>
          <w:rFonts w:cstheme="minorHAnsi"/>
          <w:sz w:val="20"/>
          <w:szCs w:val="20"/>
          <w:lang w:val="en-US"/>
        </w:rPr>
      </w:pPr>
    </w:p>
    <w:p w14:paraId="13AED699" w14:textId="3D76FED1" w:rsidR="007D2562" w:rsidRDefault="007D2562" w:rsidP="007D2562">
      <w:pPr>
        <w:pStyle w:val="Akapitzlist"/>
        <w:spacing w:line="276" w:lineRule="auto"/>
        <w:ind w:left="1080"/>
        <w:jc w:val="both"/>
        <w:rPr>
          <w:rFonts w:cstheme="minorHAnsi"/>
          <w:sz w:val="20"/>
          <w:szCs w:val="20"/>
          <w:lang w:val="en-US"/>
        </w:rPr>
      </w:pPr>
      <w:r w:rsidRPr="007D2562">
        <w:rPr>
          <w:rFonts w:cstheme="minorHAnsi"/>
          <w:sz w:val="20"/>
          <w:szCs w:val="20"/>
          <w:lang w:val="en-US"/>
        </w:rPr>
        <w:t xml:space="preserve">If </w:t>
      </w:r>
      <w:r w:rsidRPr="000221B6">
        <w:rPr>
          <w:rFonts w:cstheme="minorHAnsi"/>
          <w:b/>
          <w:bCs/>
          <w:sz w:val="20"/>
          <w:szCs w:val="20"/>
          <w:lang w:val="en-US"/>
        </w:rPr>
        <w:t>a party does not comment on the opposing party’s claims regarding facts</w:t>
      </w:r>
      <w:r w:rsidRPr="007D2562">
        <w:rPr>
          <w:rFonts w:cstheme="minorHAnsi"/>
          <w:sz w:val="20"/>
          <w:szCs w:val="20"/>
          <w:lang w:val="en-US"/>
        </w:rPr>
        <w:t>, the court, taking into account the results of the entire hearing, may recognize those facts as admitted (Article 230 C.C.P.).</w:t>
      </w:r>
    </w:p>
    <w:p w14:paraId="12545D79" w14:textId="6A5419F8" w:rsidR="007D2562" w:rsidRDefault="002B3DCD" w:rsidP="007D2562">
      <w:pPr>
        <w:pStyle w:val="Akapitzlist"/>
        <w:numPr>
          <w:ilvl w:val="0"/>
          <w:numId w:val="1"/>
        </w:numPr>
        <w:spacing w:line="276" w:lineRule="auto"/>
        <w:jc w:val="both"/>
        <w:rPr>
          <w:rFonts w:cstheme="minorHAnsi"/>
          <w:sz w:val="20"/>
          <w:szCs w:val="20"/>
          <w:lang w:val="en-US"/>
        </w:rPr>
      </w:pPr>
      <w:r w:rsidRPr="002B3DCD">
        <w:rPr>
          <w:rFonts w:cstheme="minorHAnsi"/>
          <w:sz w:val="20"/>
          <w:szCs w:val="20"/>
          <w:lang w:val="en-US"/>
        </w:rPr>
        <w:t xml:space="preserve">Parties and participants in the proceedings are obliged to perform procedural actions </w:t>
      </w:r>
      <w:r w:rsidRPr="00214210">
        <w:rPr>
          <w:rFonts w:cstheme="minorHAnsi"/>
          <w:b/>
          <w:bCs/>
          <w:sz w:val="20"/>
          <w:szCs w:val="20"/>
          <w:lang w:val="en-US"/>
        </w:rPr>
        <w:t>in accordance with good practice</w:t>
      </w:r>
      <w:r w:rsidRPr="002B3DCD">
        <w:rPr>
          <w:rFonts w:cstheme="minorHAnsi"/>
          <w:sz w:val="20"/>
          <w:szCs w:val="20"/>
          <w:lang w:val="en-US"/>
        </w:rPr>
        <w:t>, to provide explanations regarding the circumstances of the case truthfully and without concealment, and to present evidence (Article 3 C.C.P.).</w:t>
      </w:r>
    </w:p>
    <w:p w14:paraId="6DC082B0" w14:textId="77777777" w:rsidR="002B3DCD" w:rsidRDefault="002B3DCD" w:rsidP="002B3DCD">
      <w:pPr>
        <w:pStyle w:val="Akapitzlist"/>
        <w:spacing w:line="276" w:lineRule="auto"/>
        <w:ind w:left="1080"/>
        <w:jc w:val="both"/>
        <w:rPr>
          <w:rFonts w:cstheme="minorHAnsi"/>
          <w:sz w:val="20"/>
          <w:szCs w:val="20"/>
          <w:lang w:val="en-US"/>
        </w:rPr>
      </w:pPr>
    </w:p>
    <w:p w14:paraId="16EED4CC" w14:textId="3AE9ABD0" w:rsidR="002B3DCD" w:rsidRDefault="002B3DCD" w:rsidP="002B3DCD">
      <w:pPr>
        <w:pStyle w:val="Akapitzlist"/>
        <w:spacing w:line="276" w:lineRule="auto"/>
        <w:ind w:left="1080"/>
        <w:jc w:val="both"/>
        <w:rPr>
          <w:rFonts w:cstheme="minorHAnsi"/>
          <w:sz w:val="20"/>
          <w:szCs w:val="20"/>
          <w:lang w:val="en-US"/>
        </w:rPr>
      </w:pPr>
      <w:r w:rsidRPr="002B3DCD">
        <w:rPr>
          <w:rFonts w:cstheme="minorHAnsi"/>
          <w:sz w:val="20"/>
          <w:szCs w:val="20"/>
          <w:lang w:val="en-US"/>
        </w:rPr>
        <w:t xml:space="preserve">The rights granted under procedural provisions must not be used by the parties or participants in a manner inconsistent with the purpose for which they were established </w:t>
      </w:r>
      <w:r w:rsidRPr="00214210">
        <w:rPr>
          <w:rFonts w:cstheme="minorHAnsi"/>
          <w:b/>
          <w:bCs/>
          <w:sz w:val="20"/>
          <w:szCs w:val="20"/>
          <w:lang w:val="en-US"/>
        </w:rPr>
        <w:t>(abuse of procedural law)</w:t>
      </w:r>
      <w:r w:rsidRPr="002B3DCD">
        <w:rPr>
          <w:rFonts w:cstheme="minorHAnsi"/>
          <w:sz w:val="20"/>
          <w:szCs w:val="20"/>
          <w:lang w:val="en-US"/>
        </w:rPr>
        <w:t xml:space="preserve"> (Article 4</w:t>
      </w:r>
      <w:r w:rsidRPr="00214210">
        <w:rPr>
          <w:rFonts w:cstheme="minorHAnsi"/>
          <w:sz w:val="20"/>
          <w:szCs w:val="20"/>
          <w:vertAlign w:val="superscript"/>
          <w:lang w:val="en-US"/>
        </w:rPr>
        <w:t>1</w:t>
      </w:r>
      <w:r w:rsidRPr="002B3DCD">
        <w:rPr>
          <w:rFonts w:cstheme="minorHAnsi"/>
          <w:sz w:val="20"/>
          <w:szCs w:val="20"/>
          <w:lang w:val="en-US"/>
        </w:rPr>
        <w:t xml:space="preserve"> C.C.P.).</w:t>
      </w:r>
    </w:p>
    <w:p w14:paraId="46E5FB2E" w14:textId="0CCC44D6" w:rsidR="002B3DCD" w:rsidRDefault="00214210" w:rsidP="002B3DCD">
      <w:pPr>
        <w:pStyle w:val="Akapitzlist"/>
        <w:numPr>
          <w:ilvl w:val="0"/>
          <w:numId w:val="1"/>
        </w:numPr>
        <w:spacing w:line="276" w:lineRule="auto"/>
        <w:jc w:val="both"/>
        <w:rPr>
          <w:rFonts w:cstheme="minorHAnsi"/>
          <w:sz w:val="20"/>
          <w:szCs w:val="20"/>
          <w:lang w:val="en-US"/>
        </w:rPr>
      </w:pPr>
      <w:r w:rsidRPr="00214210">
        <w:rPr>
          <w:rFonts w:cstheme="minorHAnsi"/>
          <w:b/>
          <w:bCs/>
          <w:sz w:val="20"/>
          <w:szCs w:val="20"/>
          <w:lang w:val="en-US"/>
        </w:rPr>
        <w:t>A party’s absence at a hearing</w:t>
      </w:r>
      <w:r w:rsidRPr="00214210">
        <w:rPr>
          <w:rFonts w:cstheme="minorHAnsi"/>
          <w:sz w:val="20"/>
          <w:szCs w:val="20"/>
          <w:lang w:val="en-US"/>
        </w:rPr>
        <w:t xml:space="preserve"> does not prevent the proceedings from continuing. If a party fails to appear when summoned by the court and does not justify their absence, they may be held responsible for the costs of the proceedings (Article 103 § 3 point 1 C.C.P</w:t>
      </w:r>
      <w:r w:rsidRPr="00214210">
        <w:rPr>
          <w:rFonts w:cstheme="minorHAnsi"/>
          <w:b/>
          <w:bCs/>
          <w:sz w:val="20"/>
          <w:szCs w:val="20"/>
          <w:lang w:val="en-US"/>
        </w:rPr>
        <w:t>.). Justification of absence due to illness</w:t>
      </w:r>
      <w:r w:rsidRPr="00214210">
        <w:rPr>
          <w:rFonts w:cstheme="minorHAnsi"/>
          <w:sz w:val="20"/>
          <w:szCs w:val="20"/>
          <w:lang w:val="en-US"/>
        </w:rPr>
        <w:t xml:space="preserve"> of the parties, their legal representatives, attorneys, witnesses, or other participants in the proceedings </w:t>
      </w:r>
      <w:r w:rsidRPr="00214210">
        <w:rPr>
          <w:rFonts w:cstheme="minorHAnsi"/>
          <w:b/>
          <w:bCs/>
          <w:sz w:val="20"/>
          <w:szCs w:val="20"/>
          <w:lang w:val="en-US"/>
        </w:rPr>
        <w:t>requires submission of a certificate</w:t>
      </w:r>
      <w:r w:rsidRPr="00214210">
        <w:rPr>
          <w:rFonts w:cstheme="minorHAnsi"/>
          <w:sz w:val="20"/>
          <w:szCs w:val="20"/>
          <w:lang w:val="en-US"/>
        </w:rPr>
        <w:t xml:space="preserve"> confirming the inability to appear upon summons or notification by the court, </w:t>
      </w:r>
      <w:r w:rsidRPr="00214210">
        <w:rPr>
          <w:rFonts w:cstheme="minorHAnsi"/>
          <w:b/>
          <w:bCs/>
          <w:sz w:val="20"/>
          <w:szCs w:val="20"/>
          <w:lang w:val="en-US"/>
        </w:rPr>
        <w:t>issued by a court physician</w:t>
      </w:r>
      <w:r w:rsidRPr="00214210">
        <w:rPr>
          <w:rFonts w:cstheme="minorHAnsi"/>
          <w:sz w:val="20"/>
          <w:szCs w:val="20"/>
          <w:lang w:val="en-US"/>
        </w:rPr>
        <w:t xml:space="preserve"> (Article 214¹ § 1 C.C.P.).</w:t>
      </w:r>
    </w:p>
    <w:p w14:paraId="2CDD43FA" w14:textId="48048151" w:rsidR="00214210" w:rsidRDefault="00B1522F" w:rsidP="002B3DCD">
      <w:pPr>
        <w:pStyle w:val="Akapitzlist"/>
        <w:numPr>
          <w:ilvl w:val="0"/>
          <w:numId w:val="1"/>
        </w:numPr>
        <w:spacing w:line="276" w:lineRule="auto"/>
        <w:jc w:val="both"/>
        <w:rPr>
          <w:rFonts w:cstheme="minorHAnsi"/>
          <w:sz w:val="20"/>
          <w:szCs w:val="20"/>
          <w:lang w:val="en-US"/>
        </w:rPr>
      </w:pPr>
      <w:r w:rsidRPr="00B1522F">
        <w:rPr>
          <w:rFonts w:cstheme="minorHAnsi"/>
          <w:sz w:val="20"/>
          <w:szCs w:val="20"/>
          <w:lang w:val="en-US"/>
        </w:rPr>
        <w:t xml:space="preserve">A party should </w:t>
      </w:r>
      <w:r w:rsidRPr="00B1522F">
        <w:rPr>
          <w:rFonts w:cstheme="minorHAnsi"/>
          <w:b/>
          <w:bCs/>
          <w:sz w:val="20"/>
          <w:szCs w:val="20"/>
          <w:lang w:val="en-US"/>
        </w:rPr>
        <w:t>draw the court’s attention to any breach of procedural rules</w:t>
      </w:r>
      <w:r w:rsidRPr="00B1522F">
        <w:rPr>
          <w:rFonts w:cstheme="minorHAnsi"/>
          <w:sz w:val="20"/>
          <w:szCs w:val="20"/>
          <w:lang w:val="en-US"/>
        </w:rPr>
        <w:t xml:space="preserve"> by requesting that a reservation be entered into the record. Such a reservation may be submitted no later than at the next hearing (Article 162 § 1 C.C.P.).</w:t>
      </w:r>
    </w:p>
    <w:p w14:paraId="25733762" w14:textId="77777777" w:rsidR="00B1522F" w:rsidRDefault="00B1522F" w:rsidP="002B3DCD">
      <w:pPr>
        <w:pStyle w:val="Akapitzlist"/>
        <w:numPr>
          <w:ilvl w:val="0"/>
          <w:numId w:val="1"/>
        </w:numPr>
        <w:spacing w:line="276" w:lineRule="auto"/>
        <w:jc w:val="both"/>
        <w:rPr>
          <w:rFonts w:cstheme="minorHAnsi"/>
          <w:sz w:val="20"/>
          <w:szCs w:val="20"/>
          <w:lang w:val="en-US"/>
        </w:rPr>
      </w:pPr>
      <w:r w:rsidRPr="00B1522F">
        <w:rPr>
          <w:rFonts w:cstheme="minorHAnsi"/>
          <w:sz w:val="20"/>
          <w:szCs w:val="20"/>
          <w:lang w:val="en-US"/>
        </w:rPr>
        <w:t xml:space="preserve">Parties and their representatives are </w:t>
      </w:r>
      <w:r w:rsidRPr="00B1522F">
        <w:rPr>
          <w:rFonts w:cstheme="minorHAnsi"/>
          <w:b/>
          <w:bCs/>
          <w:sz w:val="20"/>
          <w:szCs w:val="20"/>
          <w:lang w:val="en-US"/>
        </w:rPr>
        <w:t>obliged to notify the court of any change in their place of residence</w:t>
      </w:r>
      <w:r w:rsidRPr="00B1522F">
        <w:rPr>
          <w:rFonts w:cstheme="minorHAnsi"/>
          <w:sz w:val="20"/>
          <w:szCs w:val="20"/>
          <w:lang w:val="en-US"/>
        </w:rPr>
        <w:t xml:space="preserve">, and in the case of parties that are not natural persons – of any change in their </w:t>
      </w:r>
      <w:r w:rsidRPr="00B1522F">
        <w:rPr>
          <w:rFonts w:cstheme="minorHAnsi"/>
          <w:b/>
          <w:bCs/>
          <w:sz w:val="20"/>
          <w:szCs w:val="20"/>
          <w:lang w:val="en-US"/>
        </w:rPr>
        <w:t>registered office</w:t>
      </w:r>
      <w:r w:rsidRPr="00B1522F">
        <w:rPr>
          <w:rFonts w:cstheme="minorHAnsi"/>
          <w:sz w:val="20"/>
          <w:szCs w:val="20"/>
          <w:lang w:val="en-US"/>
        </w:rPr>
        <w:t xml:space="preserve">. A party that is </w:t>
      </w:r>
      <w:r w:rsidRPr="00B1522F">
        <w:rPr>
          <w:rFonts w:cstheme="minorHAnsi"/>
          <w:b/>
          <w:bCs/>
          <w:sz w:val="20"/>
          <w:szCs w:val="20"/>
          <w:lang w:val="en-US"/>
        </w:rPr>
        <w:t>an entrepreneur registered in the Central Registration and Information on Economic Activity (CEIDG)</w:t>
      </w:r>
      <w:r w:rsidRPr="00B1522F">
        <w:rPr>
          <w:rFonts w:cstheme="minorHAnsi"/>
          <w:sz w:val="20"/>
          <w:szCs w:val="20"/>
          <w:lang w:val="en-US"/>
        </w:rPr>
        <w:t xml:space="preserve"> is obliged to notify the court of any change of the address for service provided in that register. </w:t>
      </w:r>
    </w:p>
    <w:p w14:paraId="0A045A8C" w14:textId="77777777" w:rsidR="00B1522F" w:rsidRDefault="00B1522F" w:rsidP="00B1522F">
      <w:pPr>
        <w:pStyle w:val="Akapitzlist"/>
        <w:spacing w:line="276" w:lineRule="auto"/>
        <w:ind w:left="1080"/>
        <w:jc w:val="both"/>
        <w:rPr>
          <w:rFonts w:cstheme="minorHAnsi"/>
          <w:sz w:val="20"/>
          <w:szCs w:val="20"/>
          <w:lang w:val="en-US"/>
        </w:rPr>
      </w:pPr>
    </w:p>
    <w:p w14:paraId="7424884C" w14:textId="50208111" w:rsidR="00B1522F" w:rsidRPr="002B3DCD" w:rsidRDefault="00B1522F" w:rsidP="00B1522F">
      <w:pPr>
        <w:pStyle w:val="Akapitzlist"/>
        <w:spacing w:line="276" w:lineRule="auto"/>
        <w:ind w:left="1080"/>
        <w:jc w:val="both"/>
        <w:rPr>
          <w:rFonts w:cstheme="minorHAnsi"/>
          <w:sz w:val="20"/>
          <w:szCs w:val="20"/>
          <w:lang w:val="en-US"/>
        </w:rPr>
      </w:pPr>
      <w:r w:rsidRPr="00B1522F">
        <w:rPr>
          <w:rFonts w:cstheme="minorHAnsi"/>
          <w:sz w:val="20"/>
          <w:szCs w:val="20"/>
          <w:lang w:val="en-US"/>
        </w:rPr>
        <w:t>If these obligations are neglected, the court document shall be placed in the case file with effect of service, unless the court is aware of the new address (Article 136 § 2 C.C.P.).</w:t>
      </w:r>
    </w:p>
    <w:p w14:paraId="2DC0651E" w14:textId="77777777" w:rsidR="00D42594" w:rsidRPr="00055956" w:rsidRDefault="00D42594" w:rsidP="0016257B">
      <w:pPr>
        <w:pStyle w:val="Akapitzlist"/>
        <w:spacing w:line="276" w:lineRule="auto"/>
        <w:ind w:left="1080"/>
        <w:jc w:val="both"/>
        <w:rPr>
          <w:rFonts w:cstheme="minorHAnsi"/>
          <w:sz w:val="20"/>
          <w:szCs w:val="20"/>
          <w:lang w:val="en-US"/>
        </w:rPr>
      </w:pPr>
    </w:p>
    <w:p w14:paraId="443E17B7" w14:textId="77777777" w:rsidR="00055956" w:rsidRPr="00990912" w:rsidRDefault="00055956" w:rsidP="00055956">
      <w:pPr>
        <w:pStyle w:val="Akapitzlist"/>
        <w:spacing w:line="276" w:lineRule="auto"/>
        <w:ind w:left="1080"/>
        <w:jc w:val="both"/>
        <w:rPr>
          <w:rFonts w:cstheme="minorHAnsi"/>
          <w:sz w:val="20"/>
          <w:szCs w:val="20"/>
          <w:lang w:val="en-US"/>
        </w:rPr>
      </w:pPr>
    </w:p>
    <w:p w14:paraId="7747236D" w14:textId="77777777" w:rsidR="00EA3DEA" w:rsidRPr="00195331" w:rsidRDefault="00EA3DEA" w:rsidP="00EA3DEA">
      <w:pPr>
        <w:pStyle w:val="Akapitzlist"/>
        <w:spacing w:line="276" w:lineRule="auto"/>
        <w:ind w:left="1080"/>
        <w:jc w:val="both"/>
        <w:rPr>
          <w:rFonts w:cstheme="minorHAnsi"/>
          <w:sz w:val="20"/>
          <w:szCs w:val="20"/>
          <w:lang w:val="en-US"/>
        </w:rPr>
      </w:pPr>
    </w:p>
    <w:p w14:paraId="263A667D" w14:textId="20BDB918" w:rsidR="009E2887" w:rsidRPr="009E2887" w:rsidRDefault="009E2887" w:rsidP="009E2887">
      <w:pPr>
        <w:pStyle w:val="Akapitzlist"/>
        <w:spacing w:line="276" w:lineRule="auto"/>
        <w:ind w:left="1080"/>
        <w:jc w:val="both"/>
        <w:rPr>
          <w:rFonts w:cstheme="minorHAnsi"/>
          <w:sz w:val="20"/>
          <w:szCs w:val="20"/>
          <w:lang w:val="en-US"/>
        </w:rPr>
      </w:pPr>
    </w:p>
    <w:sectPr w:rsidR="009E2887" w:rsidRPr="009E28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41D0" w14:textId="77777777" w:rsidR="009A3EBC" w:rsidRDefault="009A3EBC" w:rsidP="009A3EBC">
      <w:pPr>
        <w:spacing w:after="0" w:line="240" w:lineRule="auto"/>
      </w:pPr>
      <w:r>
        <w:separator/>
      </w:r>
    </w:p>
  </w:endnote>
  <w:endnote w:type="continuationSeparator" w:id="0">
    <w:p w14:paraId="04F48739" w14:textId="77777777" w:rsidR="009A3EBC" w:rsidRDefault="009A3EBC" w:rsidP="009A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D8AB" w14:textId="77777777" w:rsidR="009A3EBC" w:rsidRDefault="009A3EBC" w:rsidP="009A3EBC">
      <w:pPr>
        <w:spacing w:after="0" w:line="240" w:lineRule="auto"/>
      </w:pPr>
      <w:r>
        <w:separator/>
      </w:r>
    </w:p>
  </w:footnote>
  <w:footnote w:type="continuationSeparator" w:id="0">
    <w:p w14:paraId="07FD6CB5" w14:textId="77777777" w:rsidR="009A3EBC" w:rsidRDefault="009A3EBC" w:rsidP="009A3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11409"/>
    <w:multiLevelType w:val="hybridMultilevel"/>
    <w:tmpl w:val="44D05FE8"/>
    <w:lvl w:ilvl="0" w:tplc="6D3AEC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6A756020"/>
    <w:multiLevelType w:val="hybridMultilevel"/>
    <w:tmpl w:val="7F904416"/>
    <w:lvl w:ilvl="0" w:tplc="FA32EF00">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2" w15:restartNumberingAfterBreak="0">
    <w:nsid w:val="73B369F9"/>
    <w:multiLevelType w:val="hybridMultilevel"/>
    <w:tmpl w:val="2710F56C"/>
    <w:lvl w:ilvl="0" w:tplc="17A2047A">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3688663">
    <w:abstractNumId w:val="2"/>
  </w:num>
  <w:num w:numId="2" w16cid:durableId="833372505">
    <w:abstractNumId w:val="0"/>
  </w:num>
  <w:num w:numId="3" w16cid:durableId="759107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82488"/>
    <w:rsid w:val="000221B6"/>
    <w:rsid w:val="00055956"/>
    <w:rsid w:val="000908F5"/>
    <w:rsid w:val="0016257B"/>
    <w:rsid w:val="00195331"/>
    <w:rsid w:val="00214210"/>
    <w:rsid w:val="002B3DCD"/>
    <w:rsid w:val="00421E11"/>
    <w:rsid w:val="00682488"/>
    <w:rsid w:val="0069607F"/>
    <w:rsid w:val="006D4B8A"/>
    <w:rsid w:val="006D7A9E"/>
    <w:rsid w:val="007D2562"/>
    <w:rsid w:val="008120C6"/>
    <w:rsid w:val="008B0A76"/>
    <w:rsid w:val="008F4212"/>
    <w:rsid w:val="00921972"/>
    <w:rsid w:val="00990912"/>
    <w:rsid w:val="009A3EBC"/>
    <w:rsid w:val="009E2887"/>
    <w:rsid w:val="00AF51D6"/>
    <w:rsid w:val="00B1522F"/>
    <w:rsid w:val="00B71007"/>
    <w:rsid w:val="00B82CD2"/>
    <w:rsid w:val="00BA4252"/>
    <w:rsid w:val="00D42594"/>
    <w:rsid w:val="00E16E5C"/>
    <w:rsid w:val="00E34BE3"/>
    <w:rsid w:val="00E408A0"/>
    <w:rsid w:val="00E66518"/>
    <w:rsid w:val="00EA3DEA"/>
    <w:rsid w:val="00FC2E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4AD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824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824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8248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8248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8248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8248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8248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8248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8248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8248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8248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8248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8248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8248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8248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8248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8248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82488"/>
    <w:rPr>
      <w:rFonts w:eastAsiaTheme="majorEastAsia" w:cstheme="majorBidi"/>
      <w:color w:val="272727" w:themeColor="text1" w:themeTint="D8"/>
    </w:rPr>
  </w:style>
  <w:style w:type="paragraph" w:styleId="Tytu">
    <w:name w:val="Title"/>
    <w:basedOn w:val="Normalny"/>
    <w:next w:val="Normalny"/>
    <w:link w:val="TytuZnak"/>
    <w:uiPriority w:val="10"/>
    <w:qFormat/>
    <w:rsid w:val="00682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8248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8248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8248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82488"/>
    <w:pPr>
      <w:spacing w:before="160"/>
      <w:jc w:val="center"/>
    </w:pPr>
    <w:rPr>
      <w:i/>
      <w:iCs/>
      <w:color w:val="404040" w:themeColor="text1" w:themeTint="BF"/>
    </w:rPr>
  </w:style>
  <w:style w:type="character" w:customStyle="1" w:styleId="CytatZnak">
    <w:name w:val="Cytat Znak"/>
    <w:basedOn w:val="Domylnaczcionkaakapitu"/>
    <w:link w:val="Cytat"/>
    <w:uiPriority w:val="29"/>
    <w:rsid w:val="00682488"/>
    <w:rPr>
      <w:i/>
      <w:iCs/>
      <w:color w:val="404040" w:themeColor="text1" w:themeTint="BF"/>
    </w:rPr>
  </w:style>
  <w:style w:type="paragraph" w:styleId="Akapitzlist">
    <w:name w:val="List Paragraph"/>
    <w:basedOn w:val="Normalny"/>
    <w:uiPriority w:val="34"/>
    <w:qFormat/>
    <w:rsid w:val="00682488"/>
    <w:pPr>
      <w:ind w:left="720"/>
      <w:contextualSpacing/>
    </w:pPr>
  </w:style>
  <w:style w:type="character" w:styleId="Wyrnienieintensywne">
    <w:name w:val="Intense Emphasis"/>
    <w:basedOn w:val="Domylnaczcionkaakapitu"/>
    <w:uiPriority w:val="21"/>
    <w:qFormat/>
    <w:rsid w:val="00682488"/>
    <w:rPr>
      <w:i/>
      <w:iCs/>
      <w:color w:val="2F5496" w:themeColor="accent1" w:themeShade="BF"/>
    </w:rPr>
  </w:style>
  <w:style w:type="paragraph" w:styleId="Cytatintensywny">
    <w:name w:val="Intense Quote"/>
    <w:basedOn w:val="Normalny"/>
    <w:next w:val="Normalny"/>
    <w:link w:val="CytatintensywnyZnak"/>
    <w:uiPriority w:val="30"/>
    <w:qFormat/>
    <w:rsid w:val="00682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82488"/>
    <w:rPr>
      <w:i/>
      <w:iCs/>
      <w:color w:val="2F5496" w:themeColor="accent1" w:themeShade="BF"/>
    </w:rPr>
  </w:style>
  <w:style w:type="character" w:styleId="Odwoanieintensywne">
    <w:name w:val="Intense Reference"/>
    <w:basedOn w:val="Domylnaczcionkaakapitu"/>
    <w:uiPriority w:val="32"/>
    <w:qFormat/>
    <w:rsid w:val="00682488"/>
    <w:rPr>
      <w:b/>
      <w:bCs/>
      <w:smallCaps/>
      <w:color w:val="2F5496" w:themeColor="accent1" w:themeShade="BF"/>
      <w:spacing w:val="5"/>
    </w:rPr>
  </w:style>
  <w:style w:type="paragraph" w:styleId="NormalnyWeb">
    <w:name w:val="Normal (Web)"/>
    <w:basedOn w:val="Normalny"/>
    <w:uiPriority w:val="99"/>
    <w:semiHidden/>
    <w:unhideWhenUsed/>
    <w:rsid w:val="00EA3D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9A3E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3EBC"/>
  </w:style>
  <w:style w:type="paragraph" w:styleId="Stopka">
    <w:name w:val="footer"/>
    <w:basedOn w:val="Normalny"/>
    <w:link w:val="StopkaZnak"/>
    <w:uiPriority w:val="99"/>
    <w:unhideWhenUsed/>
    <w:rsid w:val="009A3E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3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3088</Words>
  <Characters>15598</Characters>
  <Application>Microsoft Office Word</Application>
  <DocSecurity>0</DocSecurity>
  <Lines>243</Lines>
  <Paragraphs>63</Paragraphs>
  <ScaleCrop>false</ScaleCrop>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2026-04-10T10:18:00Z</dcterms:created>
  <dcterms:modified xsi:type="dcterms:W3CDTF">2026-04-10T10:18:00Z</dcterms:modified>
</cp:coreProperties>
</file>