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909" w:rsidRPr="002F4820" w:rsidRDefault="00353909" w:rsidP="00C86C85">
      <w:pPr>
        <w:spacing w:line="360" w:lineRule="auto"/>
        <w:jc w:val="center"/>
        <w:rPr>
          <w:b/>
          <w:sz w:val="28"/>
          <w:szCs w:val="28"/>
        </w:rPr>
      </w:pPr>
      <w:r w:rsidRPr="002F4820">
        <w:rPr>
          <w:b/>
          <w:sz w:val="28"/>
          <w:szCs w:val="28"/>
        </w:rPr>
        <w:t xml:space="preserve">OPIS ISTOTNYCH ZAGADNIEŃ DLA KOMISJI EGZAMINACYJNEJ DO ZADANIA Z ZAKRESU PRAWA KARNEGO </w:t>
      </w:r>
    </w:p>
    <w:p w:rsidR="00353909" w:rsidRPr="00713FEE" w:rsidRDefault="00353909" w:rsidP="00C86C85">
      <w:pPr>
        <w:spacing w:line="360" w:lineRule="auto"/>
        <w:jc w:val="center"/>
        <w:rPr>
          <w:b/>
        </w:rPr>
      </w:pPr>
      <w:r w:rsidRPr="00713FEE">
        <w:rPr>
          <w:b/>
        </w:rPr>
        <w:t>(EGZAMIN ADWOKACKI – 11 MARCA 2015 R.)</w:t>
      </w:r>
    </w:p>
    <w:p w:rsidR="00353909" w:rsidRPr="00BF2FEF" w:rsidRDefault="00353909" w:rsidP="001B0F41">
      <w:pPr>
        <w:spacing w:line="360" w:lineRule="auto"/>
        <w:jc w:val="both"/>
      </w:pPr>
    </w:p>
    <w:p w:rsidR="00353909" w:rsidRPr="001B0F41" w:rsidRDefault="00353909" w:rsidP="001B0F41">
      <w:pPr>
        <w:spacing w:line="360" w:lineRule="auto"/>
        <w:ind w:firstLine="360"/>
        <w:jc w:val="both"/>
      </w:pPr>
      <w:r w:rsidRPr="00BF2FEF">
        <w:t>Zdaniem zespołu</w:t>
      </w:r>
      <w:r w:rsidRPr="004608E3">
        <w:rPr>
          <w:rFonts w:ascii="Garamond" w:hAnsi="Garamond"/>
        </w:rPr>
        <w:t xml:space="preserve"> </w:t>
      </w:r>
      <w:r w:rsidRPr="004608E3">
        <w:t>do przygotowania zadań na egzamin adwokacki, w przypadku</w:t>
      </w:r>
      <w:r w:rsidRPr="00BF2FEF">
        <w:t xml:space="preserve"> zadania </w:t>
      </w:r>
      <w:r>
        <w:t xml:space="preserve">     </w:t>
      </w:r>
      <w:r w:rsidRPr="00BF2FEF">
        <w:t>z zakresu prawa karnego, zasadne jest sporządzenie apelacji. Przy ocenie prac, w ramach wymogów zawartych w art. 78e ust. 2 ustawy – Prawo o adwokaturze, należy zwrócić uwagę na następujące problemy:</w:t>
      </w:r>
    </w:p>
    <w:p w:rsidR="00353909" w:rsidRDefault="00353909" w:rsidP="007801E4">
      <w:pPr>
        <w:spacing w:line="360" w:lineRule="auto"/>
        <w:jc w:val="both"/>
      </w:pPr>
    </w:p>
    <w:p w:rsidR="00353909" w:rsidRPr="00E84CE1" w:rsidRDefault="00353909" w:rsidP="00E84CE1">
      <w:pPr>
        <w:spacing w:line="360" w:lineRule="auto"/>
        <w:jc w:val="both"/>
        <w:rPr>
          <w:sz w:val="28"/>
          <w:szCs w:val="28"/>
        </w:rPr>
      </w:pPr>
      <w:r>
        <w:t>1. Sąd Rejonowy błędnie skazał oskarżonego za przestępstwo z art. 13 § 1 k.k.                       w zw. z art. 280 § 1 k.k.</w:t>
      </w:r>
      <w:r w:rsidRPr="00E84CE1">
        <w:rPr>
          <w:sz w:val="28"/>
          <w:szCs w:val="28"/>
        </w:rPr>
        <w:t xml:space="preserve"> </w:t>
      </w:r>
      <w:r w:rsidRPr="006A0929">
        <w:t>Z treści z</w:t>
      </w:r>
      <w:r>
        <w:t>adania wynika, że Zenon Lisiecki dobrowolnie odstąpił od dokonania przedmiotowego przestępstwa. Kierując się litością wobec Małgorzaty Kwiatkowskiej, która zaczęła płakać i prosić go, aby nie zabierał jej pieniędzy, postanowił przerwać swoje przestępcze zachowanie na etapie usiłowania. Nie dokonał bowiem kradzieży, czyli zaboru cudzej rzeczy w celu przywłaszczenia (w tym przypadku pieniędzy). O odstąpieniu przez oskarżonego od dokonania omawianego czynu zdecydowały jego przeżycia wewnętrzne (litość, współczucie wobec pokrzywdzonej), a nie czynniki zewnętrzne. Takie też ustalenia poczynił Sąd.</w:t>
      </w:r>
    </w:p>
    <w:p w:rsidR="00353909" w:rsidRDefault="00353909" w:rsidP="00E231EA">
      <w:pPr>
        <w:spacing w:line="360" w:lineRule="auto"/>
        <w:ind w:firstLine="708"/>
        <w:jc w:val="both"/>
      </w:pPr>
      <w:r>
        <w:t>Zgodnie z art. 15 § 1 k.k.</w:t>
      </w:r>
      <w:r w:rsidRPr="006A0929">
        <w:t>,</w:t>
      </w:r>
      <w:r>
        <w:t xml:space="preserve"> nie podlega karze za usiłowanie, kto dobrowolnie odstąpił od dokonania. Z kolei zgodnie z art. 17 § 1 pkt 4 k.p.k., nie wszczyna się postępowania,               a wszczęte umarza, gdy ustawa stanowi, że sprawca nie podlega karze. Stwierdzenie tej </w:t>
      </w:r>
      <w:r w:rsidRPr="00F16AE6">
        <w:rPr>
          <w:spacing w:val="-4"/>
        </w:rPr>
        <w:t>ujemnej przesłanki procesowej po rozpoczęciu przewodu sądowego, w myśl art. 414 § 1 k.p.k.,</w:t>
      </w:r>
      <w:r>
        <w:t xml:space="preserve"> winno skutkować wydaniem przez Sąd wyroku umarzającego postępowanie w tym zakresie. </w:t>
      </w:r>
      <w:r w:rsidRPr="006A0929">
        <w:t xml:space="preserve"> </w:t>
      </w:r>
    </w:p>
    <w:p w:rsidR="00353909" w:rsidRDefault="00353909" w:rsidP="008078A1">
      <w:pPr>
        <w:spacing w:line="360" w:lineRule="auto"/>
        <w:jc w:val="both"/>
      </w:pPr>
      <w:r>
        <w:t xml:space="preserve">2. Sąd Rejonowy błędnie ustalił, że oskarżony był uprzednio karany. Prawdą jest, że wyrokiem Sądu Rejonowego w Gnieźnie z dnia 20 sierpnia 2012 r., sygn. akt II K 433/12, Zenon Lisiecki został skazany za przestępstwo z art. 178a § 1 k.k. Rzecz w tym, iż                  w momencie wyrokowania doszło już do zatarcia tego skazania. </w:t>
      </w:r>
      <w:r w:rsidRPr="00F16AE6">
        <w:rPr>
          <w:spacing w:val="-6"/>
        </w:rPr>
        <w:t>Otóż, zgodnie z art. 76 § 1 k.k.,</w:t>
      </w:r>
      <w:r>
        <w:t xml:space="preserve"> w przypadku orzeczenia kary z warunkowym zawieszeniem jej wykonania, zatarcie skazania następuje z mocy prawa z upływem 6 miesięcy od zakończenia okresu próby. Wspomniany wyrok uprawomocnił się w dniu 28 sierpnia 2012 r. Dwuletni okres próby zakończył się więc z upływem 28 sierpnia 2014 r., a dalsze 6 miesięcy upłynęło z dniem 28 lutego 2015 r. Wyrok w omawianej sprawie zapadł zaś w dniu 3 marca 2015 r.</w:t>
      </w:r>
    </w:p>
    <w:p w:rsidR="00353909" w:rsidRDefault="00353909" w:rsidP="008078A1">
      <w:pPr>
        <w:spacing w:line="360" w:lineRule="auto"/>
        <w:jc w:val="both"/>
      </w:pPr>
      <w:r>
        <w:tab/>
        <w:t>W konsekwencji, Sąd błędnie zakwalifikował zachowanie oskarżonego z § 4 art.     178a k.k. Podstawą takiego rozstrzygnięcia było uprzednie skazanie Zenona Lisieckiego za przestępstwo z art. 178a § 1 k.k. Nie ulega jednak wątpliwości, że skazanie to uległo zatarciu przed datą wyrokowania w tej sprawie i nie mogło stanowić podstawy do przyjęcia kwalifikacji z § 4 art. 178a k.k. (por. postanowienie  Sądu Najwyższego z dnia 21 sierpnia 2012 r., V KK 59/12, OSNKW 2013/1/3). Zaznaczyć jednocześnie trzeba, że w dniu             10 listopada 2014 r., kiedy to oskarżony prowadził pojazd mechaniczny w stanie nietrzeźwości, upłynął już okres obowiązywania zakazu prowadzenia pojazdów mechanicznych, orzeczony wobec niego wyrokiem Sądu Rejonowego w Gnieźnie z dnia               20 sierpnia 2012 r. W efekcie, przedstawiony w zadaniu stan faktyczny pozwalał jedynie na zakwalifikowanie analizowanego zachowania oskarżonego z § 1 art. 178a k.k.</w:t>
      </w:r>
    </w:p>
    <w:p w:rsidR="00353909" w:rsidRDefault="00353909" w:rsidP="003059ED">
      <w:pPr>
        <w:spacing w:line="360" w:lineRule="auto"/>
        <w:jc w:val="both"/>
        <w:rPr>
          <w:rFonts w:cs="A"/>
        </w:rPr>
      </w:pPr>
      <w:r>
        <w:tab/>
        <w:t>W momencie wyrokowania oskarżony w rozumieniu prawa był osobą nie karaną. Błędnie zatem Sąd potraktował za okoliczność obciążającą jego „uprzednią karalność.”</w:t>
      </w:r>
    </w:p>
    <w:p w:rsidR="00353909" w:rsidRDefault="00353909" w:rsidP="00957D3E">
      <w:pPr>
        <w:spacing w:line="360" w:lineRule="auto"/>
        <w:jc w:val="both"/>
        <w:rPr>
          <w:rFonts w:cs="A"/>
        </w:rPr>
      </w:pPr>
      <w:r>
        <w:rPr>
          <w:rFonts w:cs="A"/>
        </w:rPr>
        <w:t xml:space="preserve">3. Skazując Zenona Lisieckiego za przestępstwo z art. 288 § 1 k.k. Sąd dopuścił się obrazy art. 199 k.p.k. oraz art. 391 § 2 k.p.k. </w:t>
      </w:r>
    </w:p>
    <w:p w:rsidR="00353909" w:rsidRDefault="00353909" w:rsidP="00957D3E">
      <w:pPr>
        <w:spacing w:line="360" w:lineRule="auto"/>
        <w:jc w:val="both"/>
        <w:rPr>
          <w:rFonts w:cs="A"/>
        </w:rPr>
      </w:pPr>
      <w:r>
        <w:rPr>
          <w:rFonts w:cs="A"/>
        </w:rPr>
        <w:tab/>
        <w:t xml:space="preserve">Zgodnie z art. 199 k.p.k., złożone wobec lekarza udzielającego pomocy medycznej oświadczenia oskarżonego, dotyczące zarzucanego mu czynu, nie mogą stanowić dowodu. Wbrew treści tego przepisu Sąd wykorzystał oświadczenie Zenona Lisieckiego, jakie złożył on wobec Piotra Molika, tj. lekarza, który udzielił mu pomocy medycznej. Co istotne, oświadczenie to stało się </w:t>
      </w:r>
      <w:r w:rsidRPr="00342EAB">
        <w:rPr>
          <w:rFonts w:cs="A"/>
          <w:i/>
        </w:rPr>
        <w:t>de facto</w:t>
      </w:r>
      <w:r>
        <w:rPr>
          <w:rFonts w:cs="A"/>
          <w:i/>
        </w:rPr>
        <w:t xml:space="preserve"> </w:t>
      </w:r>
      <w:r>
        <w:rPr>
          <w:rFonts w:cs="A"/>
        </w:rPr>
        <w:t>najważniejszym dowodem, który zadecydował o skazaniu oskarżonego za przestępstwo z art. 288 § 1 k.k.</w:t>
      </w:r>
    </w:p>
    <w:p w:rsidR="00353909" w:rsidRDefault="00353909" w:rsidP="00957D3E">
      <w:pPr>
        <w:spacing w:line="360" w:lineRule="auto"/>
        <w:jc w:val="both"/>
        <w:rPr>
          <w:rFonts w:cs="A"/>
        </w:rPr>
      </w:pPr>
      <w:r>
        <w:rPr>
          <w:rFonts w:cs="A"/>
        </w:rPr>
        <w:tab/>
        <w:t xml:space="preserve">Jeżeli chodzi o obrazę art. 391 § 2 k.p.k., to wyjść trzeba od tego, że Sąd dopuścił dowód z przesłuchania w charakterze świadka Jakuba Szymczaka, którego sprawę wyłączono do odrębnego rozpoznania. Świadek ten odmówił składania zeznań – korzystając                    z uprawnienia, jakie przewiduje art. 182 § 3 k.p.k. Sąd jednak błędnie przyjął, że niedopuszczalne było „skorzystanie” z wyjaśnień Jakuba Szymczaka, jakie złożył on                    w postępowaniu przygotowawczym. Możliwość taką przewiduje art. 391 § 2 k.p.k. </w:t>
      </w:r>
    </w:p>
    <w:p w:rsidR="00353909" w:rsidRPr="00342EAB" w:rsidRDefault="00353909" w:rsidP="00957D3E">
      <w:pPr>
        <w:spacing w:line="360" w:lineRule="auto"/>
        <w:jc w:val="both"/>
        <w:rPr>
          <w:rFonts w:cs="A"/>
        </w:rPr>
      </w:pPr>
      <w:r>
        <w:rPr>
          <w:rFonts w:cs="A"/>
        </w:rPr>
        <w:tab/>
        <w:t>Należy zauważyć, że Zenon Lisiecki nie przyznał się do popełnienia przestępstwa              z art. 288 § 1 k.k. Wyjaśnił, że to Andrzej Drzewiecki wybił szybę w sklepie. Jego wersję potwierdził Jakub Szymczak w wyjaśnieniach, jakie złożył w postępowaniu przygotowawczym. W tej sytuacji odczytanie wyjaśnień Jakuba Szymczaka było obowiązkiem Sądu, ponieważ wyjaśnienia te miały istotne znaczenia dla rozstrzygnięcia               w sprawie, a w szczególności dla oceny linii obrony Zenona Lisieckiego (Sąd przyjął wszak, że żaden dowód nie potwierdza jego wersji). Sąd dopuścił się zatem obrazy art. 391 § 2 k.p.k.</w:t>
      </w:r>
    </w:p>
    <w:p w:rsidR="00353909" w:rsidRDefault="00353909" w:rsidP="00957D3E">
      <w:pPr>
        <w:spacing w:line="360" w:lineRule="auto"/>
        <w:jc w:val="both"/>
        <w:rPr>
          <w:rFonts w:cs="A"/>
        </w:rPr>
      </w:pPr>
      <w:r>
        <w:rPr>
          <w:rFonts w:cs="A"/>
        </w:rPr>
        <w:tab/>
        <w:t>Obraza przytoczonych przepisów niewątpliwie mogła mieć wpływ na treść zapadłego wyroku, ponieważ nie da się wykluczyć, że pominięcie zeznań Piotra Molika i wzięcie pod uwagę wyjaśnień Jakuba Szymczaka doprowadziłoby Sąd do odmiennej oceny dowodów         i uniewinnienia oskarżonego od popełnienia przestępstwa z art. 288 § 1 k.k.</w:t>
      </w:r>
    </w:p>
    <w:p w:rsidR="00353909" w:rsidRDefault="00353909" w:rsidP="00957D3E">
      <w:pPr>
        <w:spacing w:line="360" w:lineRule="auto"/>
        <w:jc w:val="both"/>
        <w:rPr>
          <w:rFonts w:cs="A"/>
        </w:rPr>
      </w:pPr>
      <w:r>
        <w:t xml:space="preserve">4. Sąd Rejonowy nie zaliczył oskarżonemu na poczet wymierzonej mu kary pozbawienia wolności okresu zatrzymania, choć art. 63 § 1 k.k. obliguje do dokonania takiego zaliczenia. Wprawdzie, zgodnie z </w:t>
      </w:r>
      <w:smartTag w:uri="lexAThandschemas/lexAThand" w:element="lexATelementyStruktury">
        <w:smartTagPr>
          <w:attr w:name="ProductID3" w:val="art. 420 k.p.k."/>
        </w:smartTagPr>
        <w:r>
          <w:t>art. 420 k.p.k.</w:t>
        </w:r>
      </w:smartTag>
      <w:r>
        <w:t>, sąd może dokonać takiego zaliczenia na posiedzeniu, ale nie ma też żadnych przeszkód do podniesienia w tym kierunku zarzutu w apelacji, co wskazywałoby na dostrzeżenie przez zdającego problemu i stanowiłoby dodatkowy walor pracy.</w:t>
      </w:r>
    </w:p>
    <w:p w:rsidR="00353909" w:rsidRDefault="00353909" w:rsidP="00957D3E">
      <w:pPr>
        <w:spacing w:line="360" w:lineRule="auto"/>
        <w:jc w:val="both"/>
        <w:rPr>
          <w:rFonts w:cs="A"/>
        </w:rPr>
      </w:pPr>
    </w:p>
    <w:p w:rsidR="00353909" w:rsidRDefault="00353909" w:rsidP="00957D3E">
      <w:pPr>
        <w:spacing w:line="360" w:lineRule="auto"/>
        <w:jc w:val="both"/>
        <w:rPr>
          <w:rFonts w:cs="A"/>
        </w:rPr>
      </w:pPr>
    </w:p>
    <w:p w:rsidR="00353909" w:rsidRDefault="00353909" w:rsidP="00957D3E">
      <w:pPr>
        <w:spacing w:line="360" w:lineRule="auto"/>
        <w:jc w:val="both"/>
        <w:rPr>
          <w:rFonts w:cs="A"/>
        </w:rPr>
      </w:pPr>
      <w:r>
        <w:rPr>
          <w:rFonts w:cs="A"/>
        </w:rPr>
        <w:tab/>
        <w:t xml:space="preserve"> </w:t>
      </w:r>
    </w:p>
    <w:p w:rsidR="00353909" w:rsidRPr="001B0F41" w:rsidRDefault="00353909" w:rsidP="009337F7">
      <w:pPr>
        <w:spacing w:line="360" w:lineRule="auto"/>
        <w:jc w:val="both"/>
      </w:pPr>
      <w:r>
        <w:t xml:space="preserve"> </w:t>
      </w:r>
    </w:p>
    <w:p w:rsidR="00353909" w:rsidRDefault="00353909" w:rsidP="007801E4">
      <w:pPr>
        <w:jc w:val="both"/>
      </w:pPr>
    </w:p>
    <w:sectPr w:rsidR="00353909" w:rsidSect="00E22AD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909" w:rsidRDefault="00353909">
      <w:r>
        <w:separator/>
      </w:r>
    </w:p>
  </w:endnote>
  <w:endnote w:type="continuationSeparator" w:id="0">
    <w:p w:rsidR="00353909" w:rsidRDefault="00353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09" w:rsidRDefault="00353909" w:rsidP="00E22B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3909" w:rsidRDefault="00353909" w:rsidP="00EA57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909" w:rsidRPr="00E32A28" w:rsidRDefault="00353909" w:rsidP="00E22B7E">
    <w:pPr>
      <w:pStyle w:val="Footer"/>
      <w:framePr w:wrap="around" w:vAnchor="text" w:hAnchor="margin" w:xAlign="right" w:y="1"/>
      <w:rPr>
        <w:rStyle w:val="PageNumber"/>
        <w:sz w:val="22"/>
        <w:szCs w:val="22"/>
      </w:rPr>
    </w:pPr>
    <w:r w:rsidRPr="00E32A28">
      <w:rPr>
        <w:rStyle w:val="PageNumber"/>
        <w:sz w:val="22"/>
        <w:szCs w:val="22"/>
      </w:rPr>
      <w:fldChar w:fldCharType="begin"/>
    </w:r>
    <w:r w:rsidRPr="00E32A28">
      <w:rPr>
        <w:rStyle w:val="PageNumber"/>
        <w:sz w:val="22"/>
        <w:szCs w:val="22"/>
      </w:rPr>
      <w:instrText xml:space="preserve">PAGE  </w:instrText>
    </w:r>
    <w:r w:rsidRPr="00E32A28">
      <w:rPr>
        <w:rStyle w:val="PageNumber"/>
        <w:sz w:val="22"/>
        <w:szCs w:val="22"/>
      </w:rPr>
      <w:fldChar w:fldCharType="separate"/>
    </w:r>
    <w:r>
      <w:rPr>
        <w:rStyle w:val="PageNumber"/>
        <w:noProof/>
        <w:sz w:val="22"/>
        <w:szCs w:val="22"/>
      </w:rPr>
      <w:t>3</w:t>
    </w:r>
    <w:r w:rsidRPr="00E32A28">
      <w:rPr>
        <w:rStyle w:val="PageNumber"/>
        <w:sz w:val="22"/>
        <w:szCs w:val="22"/>
      </w:rPr>
      <w:fldChar w:fldCharType="end"/>
    </w:r>
  </w:p>
  <w:p w:rsidR="00353909" w:rsidRDefault="00353909" w:rsidP="00EA57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909" w:rsidRDefault="00353909">
      <w:r>
        <w:separator/>
      </w:r>
    </w:p>
  </w:footnote>
  <w:footnote w:type="continuationSeparator" w:id="0">
    <w:p w:rsidR="00353909" w:rsidRDefault="00353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206"/>
    <w:multiLevelType w:val="hybridMultilevel"/>
    <w:tmpl w:val="A3EC24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AA349E7"/>
    <w:multiLevelType w:val="hybridMultilevel"/>
    <w:tmpl w:val="3F96DD98"/>
    <w:lvl w:ilvl="0" w:tplc="F3E2D8F8">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545901"/>
    <w:multiLevelType w:val="hybridMultilevel"/>
    <w:tmpl w:val="64F0B2C6"/>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05"/>
        </w:tabs>
        <w:ind w:left="1005" w:hanging="360"/>
      </w:pPr>
      <w:rPr>
        <w:rFonts w:cs="Times New Roman"/>
      </w:rPr>
    </w:lvl>
    <w:lvl w:ilvl="2" w:tplc="0415001B">
      <w:start w:val="1"/>
      <w:numFmt w:val="decimal"/>
      <w:lvlText w:val="%3."/>
      <w:lvlJc w:val="left"/>
      <w:pPr>
        <w:tabs>
          <w:tab w:val="num" w:pos="1725"/>
        </w:tabs>
        <w:ind w:left="1725" w:hanging="360"/>
      </w:pPr>
      <w:rPr>
        <w:rFonts w:cs="Times New Roman"/>
      </w:rPr>
    </w:lvl>
    <w:lvl w:ilvl="3" w:tplc="0415000F">
      <w:start w:val="1"/>
      <w:numFmt w:val="decimal"/>
      <w:lvlText w:val="%4."/>
      <w:lvlJc w:val="left"/>
      <w:pPr>
        <w:tabs>
          <w:tab w:val="num" w:pos="2445"/>
        </w:tabs>
        <w:ind w:left="2445" w:hanging="360"/>
      </w:pPr>
      <w:rPr>
        <w:rFonts w:cs="Times New Roman"/>
      </w:rPr>
    </w:lvl>
    <w:lvl w:ilvl="4" w:tplc="04150019">
      <w:start w:val="1"/>
      <w:numFmt w:val="decimal"/>
      <w:lvlText w:val="%5."/>
      <w:lvlJc w:val="left"/>
      <w:pPr>
        <w:tabs>
          <w:tab w:val="num" w:pos="3165"/>
        </w:tabs>
        <w:ind w:left="3165" w:hanging="360"/>
      </w:pPr>
      <w:rPr>
        <w:rFonts w:cs="Times New Roman"/>
      </w:rPr>
    </w:lvl>
    <w:lvl w:ilvl="5" w:tplc="0415001B">
      <w:start w:val="1"/>
      <w:numFmt w:val="decimal"/>
      <w:lvlText w:val="%6."/>
      <w:lvlJc w:val="left"/>
      <w:pPr>
        <w:tabs>
          <w:tab w:val="num" w:pos="3885"/>
        </w:tabs>
        <w:ind w:left="3885" w:hanging="360"/>
      </w:pPr>
      <w:rPr>
        <w:rFonts w:cs="Times New Roman"/>
      </w:rPr>
    </w:lvl>
    <w:lvl w:ilvl="6" w:tplc="0415000F">
      <w:start w:val="1"/>
      <w:numFmt w:val="decimal"/>
      <w:lvlText w:val="%7."/>
      <w:lvlJc w:val="left"/>
      <w:pPr>
        <w:tabs>
          <w:tab w:val="num" w:pos="4605"/>
        </w:tabs>
        <w:ind w:left="4605" w:hanging="360"/>
      </w:pPr>
      <w:rPr>
        <w:rFonts w:cs="Times New Roman"/>
      </w:rPr>
    </w:lvl>
    <w:lvl w:ilvl="7" w:tplc="04150019">
      <w:start w:val="1"/>
      <w:numFmt w:val="decimal"/>
      <w:lvlText w:val="%8."/>
      <w:lvlJc w:val="left"/>
      <w:pPr>
        <w:tabs>
          <w:tab w:val="num" w:pos="5325"/>
        </w:tabs>
        <w:ind w:left="5325" w:hanging="360"/>
      </w:pPr>
      <w:rPr>
        <w:rFonts w:cs="Times New Roman"/>
      </w:rPr>
    </w:lvl>
    <w:lvl w:ilvl="8" w:tplc="0415001B">
      <w:start w:val="1"/>
      <w:numFmt w:val="decimal"/>
      <w:lvlText w:val="%9."/>
      <w:lvlJc w:val="left"/>
      <w:pPr>
        <w:tabs>
          <w:tab w:val="num" w:pos="6045"/>
        </w:tabs>
        <w:ind w:left="6045" w:hanging="360"/>
      </w:pPr>
      <w:rPr>
        <w:rFonts w:cs="Times New Roman"/>
      </w:rPr>
    </w:lvl>
  </w:abstractNum>
  <w:abstractNum w:abstractNumId="3">
    <w:nsid w:val="22C16F99"/>
    <w:multiLevelType w:val="hybridMultilevel"/>
    <w:tmpl w:val="27B0F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93A5BFD"/>
    <w:multiLevelType w:val="hybridMultilevel"/>
    <w:tmpl w:val="9AE241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E4B356A"/>
    <w:multiLevelType w:val="hybridMultilevel"/>
    <w:tmpl w:val="C37034B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78F10D75"/>
    <w:multiLevelType w:val="hybridMultilevel"/>
    <w:tmpl w:val="0302C396"/>
    <w:lvl w:ilvl="0" w:tplc="0415000F">
      <w:start w:val="1"/>
      <w:numFmt w:val="decimal"/>
      <w:lvlText w:val="%1."/>
      <w:lvlJc w:val="left"/>
      <w:pPr>
        <w:ind w:left="1260" w:hanging="360"/>
      </w:pPr>
      <w:rPr>
        <w:rFonts w:cs="Times New Roman"/>
      </w:rPr>
    </w:lvl>
    <w:lvl w:ilvl="1" w:tplc="04150019" w:tentative="1">
      <w:start w:val="1"/>
      <w:numFmt w:val="lowerLetter"/>
      <w:lvlText w:val="%2."/>
      <w:lvlJc w:val="left"/>
      <w:pPr>
        <w:ind w:left="1980" w:hanging="360"/>
      </w:pPr>
      <w:rPr>
        <w:rFonts w:cs="Times New Roman"/>
      </w:rPr>
    </w:lvl>
    <w:lvl w:ilvl="2" w:tplc="0415001B" w:tentative="1">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F41"/>
    <w:rsid w:val="00051E71"/>
    <w:rsid w:val="00062069"/>
    <w:rsid w:val="00097C18"/>
    <w:rsid w:val="000A3C02"/>
    <w:rsid w:val="000C2AD2"/>
    <w:rsid w:val="000E0FF0"/>
    <w:rsid w:val="000E1ACA"/>
    <w:rsid w:val="000E2053"/>
    <w:rsid w:val="00111CE0"/>
    <w:rsid w:val="001418C7"/>
    <w:rsid w:val="001B0F41"/>
    <w:rsid w:val="001E5B4C"/>
    <w:rsid w:val="001F68D1"/>
    <w:rsid w:val="002116CD"/>
    <w:rsid w:val="00211A3F"/>
    <w:rsid w:val="0027320A"/>
    <w:rsid w:val="002F4820"/>
    <w:rsid w:val="00304DAC"/>
    <w:rsid w:val="003059ED"/>
    <w:rsid w:val="0031794B"/>
    <w:rsid w:val="00342EAB"/>
    <w:rsid w:val="00353909"/>
    <w:rsid w:val="0045230F"/>
    <w:rsid w:val="00456C7D"/>
    <w:rsid w:val="00457133"/>
    <w:rsid w:val="004608E3"/>
    <w:rsid w:val="00471390"/>
    <w:rsid w:val="00480AC2"/>
    <w:rsid w:val="0048706C"/>
    <w:rsid w:val="0049157A"/>
    <w:rsid w:val="004A6C49"/>
    <w:rsid w:val="004C7A30"/>
    <w:rsid w:val="004E0A34"/>
    <w:rsid w:val="004E196D"/>
    <w:rsid w:val="004F1B61"/>
    <w:rsid w:val="00561B76"/>
    <w:rsid w:val="00595526"/>
    <w:rsid w:val="005D2420"/>
    <w:rsid w:val="005D478D"/>
    <w:rsid w:val="006247F9"/>
    <w:rsid w:val="00680C36"/>
    <w:rsid w:val="00693FEA"/>
    <w:rsid w:val="006A0929"/>
    <w:rsid w:val="006E03F0"/>
    <w:rsid w:val="00713FEE"/>
    <w:rsid w:val="007226C8"/>
    <w:rsid w:val="007801E4"/>
    <w:rsid w:val="00785BAD"/>
    <w:rsid w:val="007A16B1"/>
    <w:rsid w:val="007C074F"/>
    <w:rsid w:val="007E29B8"/>
    <w:rsid w:val="008078A1"/>
    <w:rsid w:val="00820492"/>
    <w:rsid w:val="008465B6"/>
    <w:rsid w:val="00870E6D"/>
    <w:rsid w:val="008B5DFE"/>
    <w:rsid w:val="00906552"/>
    <w:rsid w:val="009337F7"/>
    <w:rsid w:val="00957D3E"/>
    <w:rsid w:val="00960902"/>
    <w:rsid w:val="009B6C1C"/>
    <w:rsid w:val="00A45CC8"/>
    <w:rsid w:val="00A7217C"/>
    <w:rsid w:val="00A95D67"/>
    <w:rsid w:val="00B07E0C"/>
    <w:rsid w:val="00B56B37"/>
    <w:rsid w:val="00B64F7D"/>
    <w:rsid w:val="00BA589F"/>
    <w:rsid w:val="00BB432A"/>
    <w:rsid w:val="00BD7569"/>
    <w:rsid w:val="00BF2FEF"/>
    <w:rsid w:val="00C1417D"/>
    <w:rsid w:val="00C43E5F"/>
    <w:rsid w:val="00C86C85"/>
    <w:rsid w:val="00CB114C"/>
    <w:rsid w:val="00CC1B5E"/>
    <w:rsid w:val="00CC7222"/>
    <w:rsid w:val="00CD2CC3"/>
    <w:rsid w:val="00CE72BD"/>
    <w:rsid w:val="00D53116"/>
    <w:rsid w:val="00D64473"/>
    <w:rsid w:val="00D9107F"/>
    <w:rsid w:val="00DA1E61"/>
    <w:rsid w:val="00DA584C"/>
    <w:rsid w:val="00DC77D1"/>
    <w:rsid w:val="00DF461A"/>
    <w:rsid w:val="00E22AD5"/>
    <w:rsid w:val="00E22B7E"/>
    <w:rsid w:val="00E231EA"/>
    <w:rsid w:val="00E32A28"/>
    <w:rsid w:val="00E84CE1"/>
    <w:rsid w:val="00EA57F0"/>
    <w:rsid w:val="00EB7087"/>
    <w:rsid w:val="00EF3675"/>
    <w:rsid w:val="00F16AE6"/>
    <w:rsid w:val="00F243DE"/>
    <w:rsid w:val="00FB2425"/>
    <w:rsid w:val="00FC2ABD"/>
    <w:rsid w:val="00FC5ADE"/>
    <w:rsid w:val="00FF0F6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lexAThandschemas/lexAThand" w:name="lexATelementyStruktur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4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0F41"/>
    <w:pPr>
      <w:ind w:left="720"/>
      <w:contextualSpacing/>
    </w:pPr>
  </w:style>
  <w:style w:type="paragraph" w:styleId="Footer">
    <w:name w:val="footer"/>
    <w:basedOn w:val="Normal"/>
    <w:link w:val="FooterChar"/>
    <w:uiPriority w:val="99"/>
    <w:rsid w:val="00EA57F0"/>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character" w:styleId="PageNumber">
    <w:name w:val="page number"/>
    <w:basedOn w:val="DefaultParagraphFont"/>
    <w:uiPriority w:val="99"/>
    <w:rsid w:val="00EA57F0"/>
    <w:rPr>
      <w:rFonts w:cs="Times New Roman"/>
    </w:rPr>
  </w:style>
  <w:style w:type="paragraph" w:styleId="Header">
    <w:name w:val="header"/>
    <w:basedOn w:val="Normal"/>
    <w:link w:val="HeaderChar"/>
    <w:uiPriority w:val="99"/>
    <w:rsid w:val="00E32A28"/>
    <w:pPr>
      <w:tabs>
        <w:tab w:val="center" w:pos="4536"/>
        <w:tab w:val="right" w:pos="9072"/>
      </w:tabs>
    </w:pPr>
  </w:style>
  <w:style w:type="character" w:customStyle="1" w:styleId="HeaderChar">
    <w:name w:val="Header Char"/>
    <w:basedOn w:val="DefaultParagraphFont"/>
    <w:link w:val="Header"/>
    <w:uiPriority w:val="99"/>
    <w:semiHidden/>
    <w:rsid w:val="00BD052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62872016">
      <w:marLeft w:val="0"/>
      <w:marRight w:val="0"/>
      <w:marTop w:val="0"/>
      <w:marBottom w:val="0"/>
      <w:divBdr>
        <w:top w:val="none" w:sz="0" w:space="0" w:color="auto"/>
        <w:left w:val="none" w:sz="0" w:space="0" w:color="auto"/>
        <w:bottom w:val="none" w:sz="0" w:space="0" w:color="auto"/>
        <w:right w:val="none" w:sz="0" w:space="0" w:color="auto"/>
      </w:divBdr>
    </w:div>
    <w:div w:id="1762872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641</TotalTime>
  <Pages>3</Pages>
  <Words>859</Words>
  <Characters>5159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egzamin adwokacki</cp:lastModifiedBy>
  <cp:revision>29</cp:revision>
  <cp:lastPrinted>2015-02-20T10:17:00Z</cp:lastPrinted>
  <dcterms:created xsi:type="dcterms:W3CDTF">2014-01-22T14:44:00Z</dcterms:created>
  <dcterms:modified xsi:type="dcterms:W3CDTF">2015-02-23T15:11:00Z</dcterms:modified>
</cp:coreProperties>
</file>