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F6" w:rsidRPr="005C3FF1" w:rsidRDefault="0019093F" w:rsidP="005714D3">
      <w:pPr>
        <w:pStyle w:val="Heading310"/>
        <w:keepNext/>
        <w:keepLines/>
        <w:spacing w:after="0"/>
        <w:jc w:val="center"/>
        <w:rPr>
          <w:b w:val="0"/>
          <w:sz w:val="28"/>
        </w:rPr>
      </w:pPr>
      <w:bookmarkStart w:id="0" w:name="bookmark0"/>
      <w:r w:rsidRPr="005C3FF1">
        <w:rPr>
          <w:rStyle w:val="Heading31"/>
          <w:b/>
          <w:sz w:val="28"/>
        </w:rPr>
        <w:t>Zaproszenie do składania projektów</w:t>
      </w:r>
      <w:bookmarkEnd w:id="0"/>
    </w:p>
    <w:p w:rsidR="00A455F6" w:rsidRPr="005C3FF1" w:rsidRDefault="005714D3" w:rsidP="005714D3">
      <w:pPr>
        <w:pStyle w:val="Heading310"/>
        <w:keepNext/>
        <w:keepLines/>
        <w:spacing w:after="0"/>
        <w:jc w:val="center"/>
        <w:rPr>
          <w:rStyle w:val="Heading31"/>
          <w:b/>
          <w:sz w:val="28"/>
        </w:rPr>
      </w:pPr>
      <w:r w:rsidRPr="005C3FF1">
        <w:rPr>
          <w:rStyle w:val="Heading31"/>
          <w:b/>
          <w:sz w:val="28"/>
        </w:rPr>
        <w:t>Konkurs o Europejską Nagrodę</w:t>
      </w:r>
      <w:r w:rsidR="0019093F" w:rsidRPr="005C3FF1">
        <w:rPr>
          <w:rStyle w:val="Heading31"/>
          <w:b/>
          <w:sz w:val="28"/>
        </w:rPr>
        <w:t xml:space="preserve"> </w:t>
      </w:r>
      <w:r w:rsidRPr="005C3FF1">
        <w:rPr>
          <w:rStyle w:val="Heading31"/>
          <w:b/>
          <w:sz w:val="28"/>
        </w:rPr>
        <w:br/>
      </w:r>
      <w:r w:rsidR="0019093F" w:rsidRPr="005C3FF1">
        <w:rPr>
          <w:rStyle w:val="Heading31"/>
          <w:b/>
          <w:sz w:val="28"/>
        </w:rPr>
        <w:t>w dziedzinie Zapobiegania Przestępczości (ECPA)</w:t>
      </w:r>
    </w:p>
    <w:p w:rsidR="005714D3" w:rsidRPr="005C3FF1" w:rsidRDefault="005714D3" w:rsidP="005714D3">
      <w:pPr>
        <w:pStyle w:val="Heading310"/>
        <w:keepNext/>
        <w:keepLines/>
        <w:spacing w:after="300"/>
        <w:jc w:val="center"/>
        <w:rPr>
          <w:b w:val="0"/>
          <w:sz w:val="28"/>
        </w:rPr>
      </w:pPr>
      <w:r w:rsidRPr="005C3FF1">
        <w:rPr>
          <w:rStyle w:val="Heading31"/>
          <w:b/>
          <w:sz w:val="28"/>
        </w:rPr>
        <w:t>Edycja 2025</w:t>
      </w:r>
    </w:p>
    <w:p w:rsidR="005714D3" w:rsidRDefault="005714D3">
      <w:pPr>
        <w:pStyle w:val="Bodytext10"/>
        <w:rPr>
          <w:rStyle w:val="Bodytext1"/>
          <w:sz w:val="4"/>
        </w:rPr>
      </w:pPr>
    </w:p>
    <w:p w:rsidR="005C3FF1" w:rsidRPr="004F271B" w:rsidRDefault="005C3FF1">
      <w:pPr>
        <w:pStyle w:val="Bodytext10"/>
        <w:rPr>
          <w:rStyle w:val="Bodytext1"/>
          <w:sz w:val="4"/>
        </w:rPr>
      </w:pPr>
    </w:p>
    <w:p w:rsidR="00A455F6" w:rsidRPr="005714D3" w:rsidRDefault="0019093F">
      <w:pPr>
        <w:pStyle w:val="Bodytext10"/>
        <w:rPr>
          <w:i/>
        </w:rPr>
      </w:pPr>
      <w:r w:rsidRPr="005714D3">
        <w:rPr>
          <w:rStyle w:val="Bodytext1"/>
          <w:i/>
        </w:rPr>
        <w:t>Szanowni Przedstawiciele Krajowi, Drodzy Koledzy,</w:t>
      </w:r>
    </w:p>
    <w:p w:rsidR="00A455F6" w:rsidRDefault="0019093F">
      <w:pPr>
        <w:pStyle w:val="Bodytext10"/>
        <w:jc w:val="both"/>
      </w:pPr>
      <w:r>
        <w:rPr>
          <w:rStyle w:val="Bodytext1"/>
        </w:rPr>
        <w:t>Duńska prezydencja</w:t>
      </w:r>
      <w:r w:rsidR="00462A28">
        <w:rPr>
          <w:rStyle w:val="Bodytext1"/>
        </w:rPr>
        <w:t xml:space="preserve"> w Radzie</w:t>
      </w:r>
      <w:r>
        <w:rPr>
          <w:rStyle w:val="Bodytext1"/>
        </w:rPr>
        <w:t xml:space="preserve"> Unii Europejskiej ma zaszczyt zorganizować </w:t>
      </w:r>
      <w:r w:rsidR="00462A28">
        <w:rPr>
          <w:rStyle w:val="Bodytext1"/>
        </w:rPr>
        <w:t xml:space="preserve">[tegoroczną edycję] konkursu o </w:t>
      </w:r>
      <w:r>
        <w:rPr>
          <w:rStyle w:val="Bodytext1"/>
        </w:rPr>
        <w:t>Europejską Nagrodę w dziedzinie Zapobie</w:t>
      </w:r>
      <w:r w:rsidR="00462A28">
        <w:rPr>
          <w:rStyle w:val="Bodytext1"/>
        </w:rPr>
        <w:t>gania Przestępczości (ECPA)</w:t>
      </w:r>
      <w:r>
        <w:rPr>
          <w:rStyle w:val="Bodytext1"/>
        </w:rPr>
        <w:t xml:space="preserve">. Od </w:t>
      </w:r>
      <w:r w:rsidR="00462A28">
        <w:rPr>
          <w:rStyle w:val="Bodytext1"/>
        </w:rPr>
        <w:t>czasu</w:t>
      </w:r>
      <w:r>
        <w:rPr>
          <w:rStyle w:val="Bodytext1"/>
        </w:rPr>
        <w:t xml:space="preserve"> powstania Europejskiej Sieci Zapobiegania Przestępczości (EUCPN), </w:t>
      </w:r>
      <w:r w:rsidR="00462A28">
        <w:rPr>
          <w:rStyle w:val="Bodytext1"/>
        </w:rPr>
        <w:t>ECPA stanowi istotny element aktywności Sieci, przyczyniając się do</w:t>
      </w:r>
      <w:r>
        <w:rPr>
          <w:rStyle w:val="Bodytext1"/>
        </w:rPr>
        <w:t xml:space="preserve"> wymian</w:t>
      </w:r>
      <w:r w:rsidR="00462A28">
        <w:rPr>
          <w:rStyle w:val="Bodytext1"/>
        </w:rPr>
        <w:t>y najlepszych praktyk oraz do promocji i docenienia osiągnięć</w:t>
      </w:r>
      <w:r>
        <w:rPr>
          <w:rStyle w:val="Bodytext1"/>
        </w:rPr>
        <w:t xml:space="preserve"> w zakresie zapobiegania przestępczości w całej Europie.</w:t>
      </w:r>
    </w:p>
    <w:p w:rsidR="005714D3" w:rsidRPr="005714D3" w:rsidRDefault="0019093F">
      <w:pPr>
        <w:pStyle w:val="Bodytext10"/>
        <w:jc w:val="both"/>
        <w:rPr>
          <w:b/>
          <w:bCs/>
        </w:rPr>
      </w:pPr>
      <w:r>
        <w:rPr>
          <w:rStyle w:val="Bodytext1"/>
        </w:rPr>
        <w:t xml:space="preserve">W 2025 r. duńska prezydencja EUCPN skoncentruje się na </w:t>
      </w:r>
      <w:r>
        <w:rPr>
          <w:rStyle w:val="Bodytext1"/>
          <w:b/>
          <w:bCs/>
        </w:rPr>
        <w:t xml:space="preserve">zapobieganiu oszustwom </w:t>
      </w:r>
      <w:r w:rsidR="003109B9">
        <w:rPr>
          <w:rStyle w:val="Bodytext1"/>
          <w:b/>
          <w:bCs/>
        </w:rPr>
        <w:t>popełnianym online</w:t>
      </w:r>
      <w:bookmarkStart w:id="1" w:name="_GoBack"/>
      <w:bookmarkEnd w:id="1"/>
      <w:r>
        <w:rPr>
          <w:rStyle w:val="Bodytext1"/>
          <w:b/>
          <w:bCs/>
        </w:rPr>
        <w:t xml:space="preserve"> </w:t>
      </w:r>
      <w:r w:rsidR="00462A28">
        <w:rPr>
          <w:rStyle w:val="Bodytext1"/>
          <w:b/>
          <w:bCs/>
        </w:rPr>
        <w:t>na szkodę obywateli</w:t>
      </w:r>
      <w:r>
        <w:rPr>
          <w:rStyle w:val="Bodytext1"/>
          <w:b/>
          <w:bCs/>
        </w:rPr>
        <w:t>.</w:t>
      </w:r>
    </w:p>
    <w:p w:rsidR="00462A28" w:rsidRPr="005714D3" w:rsidRDefault="0019093F" w:rsidP="005714D3">
      <w:pPr>
        <w:pStyle w:val="Heading310"/>
        <w:keepNext/>
        <w:keepLines/>
        <w:spacing w:after="0"/>
        <w:jc w:val="both"/>
        <w:rPr>
          <w:b w:val="0"/>
        </w:rPr>
      </w:pPr>
      <w:bookmarkStart w:id="2" w:name="bookmark3"/>
      <w:r w:rsidRPr="00462A28">
        <w:rPr>
          <w:rStyle w:val="Heading31"/>
          <w:b/>
        </w:rPr>
        <w:t>Temat i zakres</w:t>
      </w:r>
      <w:r w:rsidR="00462A28" w:rsidRPr="00462A28">
        <w:rPr>
          <w:rStyle w:val="Heading31"/>
          <w:b/>
        </w:rPr>
        <w:t xml:space="preserve"> konkursu</w:t>
      </w:r>
      <w:r w:rsidRPr="00462A28">
        <w:rPr>
          <w:rStyle w:val="Heading31"/>
          <w:b/>
        </w:rPr>
        <w:t xml:space="preserve"> ECPA 2025</w:t>
      </w:r>
      <w:bookmarkEnd w:id="2"/>
    </w:p>
    <w:p w:rsidR="00462A28" w:rsidRPr="00462A28" w:rsidRDefault="00462A28" w:rsidP="005714D3">
      <w:pPr>
        <w:spacing w:after="120" w:line="264" w:lineRule="auto"/>
        <w:jc w:val="both"/>
        <w:rPr>
          <w:rStyle w:val="Bodytext1"/>
        </w:rPr>
      </w:pPr>
      <w:r w:rsidRPr="00462A28">
        <w:rPr>
          <w:rStyle w:val="Bodytext1"/>
        </w:rPr>
        <w:t xml:space="preserve">Oszustwa popełniane online stanowią szybko rosnące i coraz bardziej złożone zagrożenie w UE. Według EU-SOCTA 2025 jest to rodzaj przestępczości zorganizowanej, którego przyrost jest najbardziej dynamiczny. Tego rodzaju przestępstwa dotykają zarówno osoby fizyczne, przedsiębiorstwa, jak i instytucje publiczne. Często skutkują one poważnymi konsekwencjami finansowymi i psychologicznymi, które dotykają ofiar. Ponadto zagrożenie to podważa zaufanie do instytucji i całego społeczeństwa cyfrowego. </w:t>
      </w:r>
    </w:p>
    <w:p w:rsidR="00462A28" w:rsidRPr="00462A28" w:rsidRDefault="00462A28" w:rsidP="005714D3">
      <w:pPr>
        <w:spacing w:after="120" w:line="264" w:lineRule="auto"/>
        <w:jc w:val="both"/>
        <w:rPr>
          <w:rStyle w:val="Bodytext1"/>
        </w:rPr>
      </w:pPr>
      <w:r w:rsidRPr="00462A28">
        <w:rPr>
          <w:rStyle w:val="Bodytext1"/>
        </w:rPr>
        <w:t xml:space="preserve">Wiele ofiar doświadcza ponownych ataków, a szczególnie wrażliwe grupy są przedmiotem profilowania oraz są identyfikowane przez sprawców w drodze analizy danych. Oszustwa inwestycyjne, ataki </w:t>
      </w:r>
      <w:proofErr w:type="spellStart"/>
      <w:r w:rsidRPr="00462A28">
        <w:rPr>
          <w:rStyle w:val="Bodytext1"/>
        </w:rPr>
        <w:t>phishingowe</w:t>
      </w:r>
      <w:proofErr w:type="spellEnd"/>
      <w:r w:rsidRPr="00462A28">
        <w:rPr>
          <w:rStyle w:val="Bodytext1"/>
        </w:rPr>
        <w:t xml:space="preserve"> (za pośrednictwem poczty elektronicznej oraz telefonów, w tym SMS-ów), kradzież tożsamości to tylko kilka przykładów na to, w jaki sposób siatki przestępcze wykorzystują sferę cyfrową dla korzyści finansowych. </w:t>
      </w:r>
    </w:p>
    <w:p w:rsidR="00462A28" w:rsidRPr="00462A28" w:rsidRDefault="00462A28" w:rsidP="005714D3">
      <w:pPr>
        <w:spacing w:after="120" w:line="264" w:lineRule="auto"/>
        <w:jc w:val="both"/>
        <w:rPr>
          <w:rStyle w:val="Bodytext1"/>
        </w:rPr>
      </w:pPr>
      <w:r w:rsidRPr="00462A28">
        <w:rPr>
          <w:rStyle w:val="Bodytext1"/>
        </w:rPr>
        <w:t xml:space="preserve">Można spodziewać się, że problem oszustw internetowych wzrośnie zarówno pod względem ilości, jak i złożoności, i pozostaną one wysoce dochodowe, służąc wzmocnieniu siatek przestępczych. Na szkody spowodowane oszustwami internetowymi zwrócono również uwagę w nowej, opublikowanej przez Komisję Europejską w kwietniu 2025 roku, europejskiej strategii bezpieczeństwa wewnętrznego. W dokumencie tym zapowiedziano opracowanie planu działania w sprawie oszustw internetowych. Plan ten będzie się koncentrował na zapobieganiu, skuteczniejszym egzekwowaniu prawa, lepszej ochronie ofiar oraz naprawie szkód. </w:t>
      </w:r>
    </w:p>
    <w:p w:rsidR="00462A28" w:rsidRDefault="00462A28" w:rsidP="005714D3">
      <w:pPr>
        <w:spacing w:after="120" w:line="264" w:lineRule="auto"/>
        <w:jc w:val="both"/>
        <w:rPr>
          <w:rStyle w:val="Bodytext1"/>
        </w:rPr>
      </w:pPr>
      <w:r w:rsidRPr="00462A28">
        <w:rPr>
          <w:rStyle w:val="Bodytext1"/>
        </w:rPr>
        <w:t>Tegoroczna edycja konkursu ECPA jest poświęcona innowacyjnym, skutecznym projektom zapobiegania przestępczości mającym na celu ochronę obywateli przed oszustwami internetowymi. Projekty mogą dotyczyć interwencji technologicznych lub behawioralnych, partnerstw publiczno-prywatnych, współpracy transnarodowej, szkoleń bądź innych narzędzi dla organów egzekwowania prawa, lub strategii na rzecz społeczności lokalnych. Kluczowym wymogiem jest to, aby inicjatywa przyczyniała się do zapobiegania oszustwom internetowym wymierzonym w obywateli oraz skutkom takich oszustw. W tematykę konkursu wpisują się również inicjatywy dotyczące różnych etapów popełniania przestępstwa, mające na celu zakłócenie jego popełnienia, na przykład poprzez zapobieganie gromadzeniu zasobów [niezbędnych do popełnieni</w:t>
      </w:r>
      <w:r>
        <w:rPr>
          <w:rStyle w:val="Bodytext1"/>
        </w:rPr>
        <w:t>a</w:t>
      </w:r>
      <w:r w:rsidRPr="00462A28">
        <w:rPr>
          <w:rStyle w:val="Bodytext1"/>
        </w:rPr>
        <w:t xml:space="preserve"> przestępstwa], takich jak </w:t>
      </w:r>
      <w:r w:rsidRPr="00462A28">
        <w:rPr>
          <w:rStyle w:val="Bodytext1"/>
        </w:rPr>
        <w:lastRenderedPageBreak/>
        <w:t xml:space="preserve">werbunek młodych osób wykorzystywanych jako </w:t>
      </w:r>
      <w:r>
        <w:rPr>
          <w:rStyle w:val="Bodytext1"/>
        </w:rPr>
        <w:t xml:space="preserve">tzw. </w:t>
      </w:r>
      <w:r w:rsidRPr="00462A28">
        <w:rPr>
          <w:rStyle w:val="Bodytext1"/>
        </w:rPr>
        <w:t xml:space="preserve">muły pieniężne </w:t>
      </w:r>
      <w:r>
        <w:rPr>
          <w:rStyle w:val="Bodytext1"/>
        </w:rPr>
        <w:t xml:space="preserve">(ang. – </w:t>
      </w:r>
      <w:proofErr w:type="spellStart"/>
      <w:r>
        <w:rPr>
          <w:rStyle w:val="Bodytext1"/>
        </w:rPr>
        <w:t>money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mules</w:t>
      </w:r>
      <w:proofErr w:type="spellEnd"/>
      <w:r>
        <w:rPr>
          <w:rStyle w:val="Bodytext1"/>
        </w:rPr>
        <w:t xml:space="preserve">) </w:t>
      </w:r>
      <w:r w:rsidRPr="00462A28">
        <w:rPr>
          <w:rStyle w:val="Bodytext1"/>
        </w:rPr>
        <w:t xml:space="preserve">lub w roli innego pośrednika w popełnianiu czynu zabronionego; innym przykładem mogą być działania ukierunkowane na internetowe platformy handlowe, na których można nabyć narzędzia ułatwiające popełnienie przestępstwa, takie jak zestawy </w:t>
      </w:r>
      <w:proofErr w:type="spellStart"/>
      <w:r w:rsidRPr="00462A28">
        <w:rPr>
          <w:rStyle w:val="Bodytext1"/>
        </w:rPr>
        <w:t>phishingowe</w:t>
      </w:r>
      <w:proofErr w:type="spellEnd"/>
      <w:r w:rsidRPr="00462A28">
        <w:rPr>
          <w:rStyle w:val="Bodytext1"/>
        </w:rPr>
        <w:t xml:space="preserve"> oraz inne zasoby, w tym dane osobowe obywateli.</w:t>
      </w:r>
    </w:p>
    <w:p w:rsidR="00462A28" w:rsidRPr="00462A28" w:rsidRDefault="00462A28" w:rsidP="005714D3">
      <w:pPr>
        <w:spacing w:line="264" w:lineRule="auto"/>
        <w:jc w:val="both"/>
        <w:rPr>
          <w:rStyle w:val="Bodytext1"/>
        </w:rPr>
      </w:pPr>
    </w:p>
    <w:p w:rsidR="00A455F6" w:rsidRDefault="0019093F">
      <w:pPr>
        <w:pStyle w:val="Bodytext10"/>
        <w:jc w:val="both"/>
      </w:pPr>
      <w:r>
        <w:rPr>
          <w:rStyle w:val="Bodytext1"/>
        </w:rPr>
        <w:t xml:space="preserve">Każde państwo członkowskie UE ma możliwość zgłoszenia </w:t>
      </w:r>
      <w:r>
        <w:rPr>
          <w:rStyle w:val="Bodytext1"/>
          <w:b/>
          <w:bCs/>
        </w:rPr>
        <w:t xml:space="preserve">jednego projektu krajowego </w:t>
      </w:r>
      <w:r>
        <w:rPr>
          <w:rStyle w:val="Bodytext1"/>
        </w:rPr>
        <w:t>poświęconego temu zagadnieniu, do udziału w konkursie ECPA 2025.</w:t>
      </w:r>
    </w:p>
    <w:p w:rsidR="00A455F6" w:rsidRPr="005714D3" w:rsidRDefault="0019093F" w:rsidP="004733EB">
      <w:pPr>
        <w:pStyle w:val="Bodytext10"/>
        <w:tabs>
          <w:tab w:val="left" w:pos="8971"/>
        </w:tabs>
        <w:spacing w:after="0"/>
        <w:jc w:val="both"/>
      </w:pPr>
      <w:r>
        <w:rPr>
          <w:rStyle w:val="Bodytext1"/>
        </w:rPr>
        <w:t>Zwracamy się z uprzejmą prośbą o wypełnienie zgłosze</w:t>
      </w:r>
      <w:r w:rsidR="004733EB">
        <w:rPr>
          <w:rStyle w:val="Bodytext1"/>
        </w:rPr>
        <w:t>nia</w:t>
      </w:r>
      <w:r>
        <w:rPr>
          <w:rStyle w:val="Bodytext1"/>
        </w:rPr>
        <w:t xml:space="preserve"> </w:t>
      </w:r>
      <w:r>
        <w:rPr>
          <w:rStyle w:val="Bodytext1"/>
          <w:b/>
          <w:bCs/>
        </w:rPr>
        <w:t xml:space="preserve">w języku angielskim </w:t>
      </w:r>
      <w:r w:rsidR="004733EB">
        <w:rPr>
          <w:rStyle w:val="Bodytext1"/>
        </w:rPr>
        <w:t>i przesłanie ich do S</w:t>
      </w:r>
      <w:r>
        <w:rPr>
          <w:rStyle w:val="Bodytext1"/>
        </w:rPr>
        <w:t xml:space="preserve">ekretariatu EUCPN </w:t>
      </w:r>
      <w:r w:rsidR="004733EB">
        <w:rPr>
          <w:rStyle w:val="Bodytext1"/>
        </w:rPr>
        <w:t>za pośrednictwem</w:t>
      </w:r>
      <w:r>
        <w:rPr>
          <w:rStyle w:val="Bodytext1"/>
        </w:rPr>
        <w:t xml:space="preserve"> </w:t>
      </w:r>
      <w:r w:rsidRPr="005714D3">
        <w:rPr>
          <w:rStyle w:val="Bodytext1"/>
          <w:bCs/>
        </w:rPr>
        <w:t xml:space="preserve">krajowego przedstawiciela EUCPN </w:t>
      </w:r>
      <w:r w:rsidRPr="005714D3">
        <w:rPr>
          <w:rStyle w:val="Bodytext1"/>
        </w:rPr>
        <w:t xml:space="preserve">danego państwa członkowskiego. Każdy kraj może przedłożyć </w:t>
      </w:r>
      <w:r w:rsidRPr="005714D3">
        <w:rPr>
          <w:rStyle w:val="Bodytext1"/>
          <w:bCs/>
        </w:rPr>
        <w:t>jed</w:t>
      </w:r>
      <w:r w:rsidR="004733EB" w:rsidRPr="005714D3">
        <w:rPr>
          <w:rStyle w:val="Bodytext1"/>
          <w:bCs/>
        </w:rPr>
        <w:t>no</w:t>
      </w:r>
      <w:r w:rsidRPr="005714D3">
        <w:rPr>
          <w:rStyle w:val="Bodytext1"/>
          <w:bCs/>
        </w:rPr>
        <w:t xml:space="preserve"> oficjaln</w:t>
      </w:r>
      <w:r w:rsidR="004733EB" w:rsidRPr="005714D3">
        <w:rPr>
          <w:rStyle w:val="Bodytext1"/>
          <w:bCs/>
        </w:rPr>
        <w:t>e zgłoszenie na konkurs ECPA</w:t>
      </w:r>
      <w:r w:rsidRPr="005714D3">
        <w:rPr>
          <w:rStyle w:val="Bodytext1"/>
        </w:rPr>
        <w:t>.</w:t>
      </w:r>
    </w:p>
    <w:p w:rsidR="004733EB" w:rsidRPr="005714D3" w:rsidRDefault="004733EB">
      <w:pPr>
        <w:pStyle w:val="Bodytext10"/>
        <w:spacing w:after="260"/>
        <w:rPr>
          <w:rStyle w:val="Bodytext1"/>
          <w:bCs/>
        </w:rPr>
      </w:pPr>
      <w:r w:rsidRPr="005714D3">
        <w:rPr>
          <w:rStyle w:val="Bodytext1"/>
          <w:bCs/>
        </w:rPr>
        <w:t>Nieprzekraczalny t</w:t>
      </w:r>
      <w:r w:rsidR="0019093F" w:rsidRPr="005714D3">
        <w:rPr>
          <w:rStyle w:val="Bodytext1"/>
          <w:bCs/>
        </w:rPr>
        <w:t>ermin nadsyłania zgło</w:t>
      </w:r>
      <w:r w:rsidRPr="005714D3">
        <w:rPr>
          <w:rStyle w:val="Bodytext1"/>
          <w:bCs/>
        </w:rPr>
        <w:t xml:space="preserve">szeń upływa 26 września 2025 r. </w:t>
      </w:r>
    </w:p>
    <w:p w:rsidR="004733EB" w:rsidRDefault="004733EB" w:rsidP="005714D3">
      <w:pPr>
        <w:pStyle w:val="Bodytext10"/>
        <w:spacing w:after="260"/>
        <w:jc w:val="both"/>
        <w:rPr>
          <w:rStyle w:val="Bodytext1"/>
          <w:b/>
          <w:bCs/>
        </w:rPr>
      </w:pPr>
      <w:r w:rsidRPr="005714D3">
        <w:rPr>
          <w:rStyle w:val="Bodytext1"/>
          <w:bCs/>
        </w:rPr>
        <w:t>[</w:t>
      </w:r>
      <w:r w:rsidRPr="005714D3">
        <w:rPr>
          <w:rStyle w:val="Bodytext1"/>
          <w:b/>
          <w:bCs/>
          <w:u w:val="single"/>
        </w:rPr>
        <w:t>UWAGA</w:t>
      </w:r>
      <w:r w:rsidRPr="005714D3">
        <w:rPr>
          <w:rStyle w:val="Bodytext1"/>
          <w:bCs/>
        </w:rPr>
        <w:t xml:space="preserve">: Pierwszym etapem konkursu są eliminacje krajowe. </w:t>
      </w:r>
      <w:r w:rsidRPr="005714D3">
        <w:rPr>
          <w:bCs/>
        </w:rPr>
        <w:t xml:space="preserve">W ramach krajowego etapu konkursu ECPA, </w:t>
      </w:r>
      <w:r w:rsidRPr="005714D3">
        <w:rPr>
          <w:b/>
          <w:bCs/>
        </w:rPr>
        <w:t>projekty opisane na formularzu zgłoszeniowym</w:t>
      </w:r>
      <w:r w:rsidRPr="005714D3">
        <w:rPr>
          <w:b/>
        </w:rPr>
        <w:t> (w języku polskim)</w:t>
      </w:r>
      <w:r w:rsidRPr="005714D3">
        <w:rPr>
          <w:b/>
          <w:bCs/>
        </w:rPr>
        <w:t> należy składać </w:t>
      </w:r>
      <w:r w:rsidR="005714D3" w:rsidRPr="005714D3">
        <w:rPr>
          <w:b/>
          <w:bCs/>
        </w:rPr>
        <w:t xml:space="preserve">najpóźniej </w:t>
      </w:r>
      <w:r w:rsidRPr="005714D3">
        <w:rPr>
          <w:b/>
          <w:bCs/>
        </w:rPr>
        <w:t>do 1</w:t>
      </w:r>
      <w:r w:rsidR="005C3FF1">
        <w:rPr>
          <w:b/>
          <w:bCs/>
        </w:rPr>
        <w:t>3</w:t>
      </w:r>
      <w:r w:rsidRPr="005714D3">
        <w:rPr>
          <w:b/>
          <w:bCs/>
        </w:rPr>
        <w:t xml:space="preserve"> </w:t>
      </w:r>
      <w:r w:rsidR="005C3FF1">
        <w:rPr>
          <w:b/>
          <w:bCs/>
        </w:rPr>
        <w:t>sierpnia</w:t>
      </w:r>
      <w:r w:rsidRPr="005714D3">
        <w:rPr>
          <w:b/>
          <w:bCs/>
        </w:rPr>
        <w:t xml:space="preserve"> 2025 r</w:t>
      </w:r>
      <w:r w:rsidRPr="005714D3">
        <w:rPr>
          <w:b/>
        </w:rPr>
        <w:t xml:space="preserve">. </w:t>
      </w:r>
      <w:r w:rsidRPr="005714D3">
        <w:t>do Departam</w:t>
      </w:r>
      <w:r w:rsidR="005C3FF1">
        <w:t>entu Porządku Publicznego MSWiA.</w:t>
      </w:r>
      <w:r w:rsidRPr="005714D3">
        <w:t xml:space="preserve"> zgodnie z </w:t>
      </w:r>
      <w:r w:rsidR="005C3FF1">
        <w:t>treścią komunikatu</w:t>
      </w:r>
      <w:r w:rsidRPr="005714D3">
        <w:t xml:space="preserve"> na stronie internetowej MSWiA</w:t>
      </w:r>
      <w:r w:rsidR="005C3FF1">
        <w:t>, zawierającego bardziej szczegółowe informacje</w:t>
      </w:r>
      <w:r w:rsidRPr="005714D3">
        <w:t xml:space="preserve"> –</w:t>
      </w:r>
      <w:r w:rsidR="005714D3" w:rsidRPr="005714D3">
        <w:t xml:space="preserve"> przyp. WPHN DPP MSWiA</w:t>
      </w:r>
      <w:r w:rsidR="005714D3">
        <w:t>].</w:t>
      </w:r>
    </w:p>
    <w:p w:rsidR="00A455F6" w:rsidRDefault="0019093F" w:rsidP="005C3FF1">
      <w:pPr>
        <w:pStyle w:val="Bodytext10"/>
        <w:spacing w:after="260" w:line="264" w:lineRule="auto"/>
        <w:jc w:val="both"/>
        <w:rPr>
          <w:rStyle w:val="Bodytext1"/>
        </w:rPr>
      </w:pPr>
      <w:r>
        <w:rPr>
          <w:rStyle w:val="Bodytext1"/>
          <w:b/>
          <w:bCs/>
        </w:rPr>
        <w:t xml:space="preserve">Konferencja </w:t>
      </w:r>
      <w:r w:rsidR="004733EB">
        <w:rPr>
          <w:rStyle w:val="Bodytext1"/>
          <w:b/>
          <w:bCs/>
        </w:rPr>
        <w:t>dobrych</w:t>
      </w:r>
      <w:r>
        <w:rPr>
          <w:rStyle w:val="Bodytext1"/>
          <w:b/>
          <w:bCs/>
        </w:rPr>
        <w:t xml:space="preserve"> praktyk,</w:t>
      </w:r>
      <w:r>
        <w:rPr>
          <w:rStyle w:val="Bodytext1"/>
        </w:rPr>
        <w:t xml:space="preserve"> podczas której zostaną </w:t>
      </w:r>
      <w:r w:rsidR="004733EB">
        <w:rPr>
          <w:rStyle w:val="Bodytext1"/>
        </w:rPr>
        <w:t xml:space="preserve">zaprezentowane wszystkie zgłoszenia krajowe oraz </w:t>
      </w:r>
      <w:r>
        <w:rPr>
          <w:rStyle w:val="Bodytext1"/>
        </w:rPr>
        <w:t>zostanie ogłoszony</w:t>
      </w:r>
      <w:r w:rsidR="004733EB">
        <w:rPr>
          <w:rStyle w:val="Bodytext1"/>
        </w:rPr>
        <w:t xml:space="preserve"> zwycięzca konkursu</w:t>
      </w:r>
      <w:r>
        <w:rPr>
          <w:rStyle w:val="Bodytext1"/>
        </w:rPr>
        <w:t xml:space="preserve">, odbędzie się w dniach 27–28 listopada 2025 r. </w:t>
      </w:r>
      <w:r>
        <w:rPr>
          <w:rStyle w:val="Bodytext1"/>
          <w:b/>
          <w:bCs/>
        </w:rPr>
        <w:t>w Kopenhadze (Dania).</w:t>
      </w:r>
      <w:r>
        <w:rPr>
          <w:rStyle w:val="Bodytext1"/>
        </w:rPr>
        <w:t xml:space="preserve"> Ceremonia </w:t>
      </w:r>
      <w:r>
        <w:rPr>
          <w:rStyle w:val="Bodytext1"/>
          <w:b/>
          <w:bCs/>
        </w:rPr>
        <w:t xml:space="preserve">wręczenia nagród </w:t>
      </w:r>
      <w:r>
        <w:rPr>
          <w:rStyle w:val="Bodytext1"/>
        </w:rPr>
        <w:t>odbędzie się 28 listopada 2025 r.</w:t>
      </w:r>
    </w:p>
    <w:p w:rsidR="005C3FF1" w:rsidRDefault="005C3FF1" w:rsidP="005C3FF1">
      <w:pPr>
        <w:spacing w:line="264" w:lineRule="auto"/>
        <w:jc w:val="both"/>
        <w:rPr>
          <w:rStyle w:val="Bodytext1"/>
        </w:rPr>
      </w:pPr>
      <w:r>
        <w:rPr>
          <w:rStyle w:val="Bodytext1"/>
        </w:rPr>
        <w:t>[</w:t>
      </w:r>
      <w:r w:rsidRPr="005C3FF1">
        <w:rPr>
          <w:rStyle w:val="Bodytext1"/>
          <w:b/>
          <w:bCs/>
          <w:u w:val="single"/>
        </w:rPr>
        <w:t>UWAGA:</w:t>
      </w:r>
      <w:r>
        <w:rPr>
          <w:rStyle w:val="Bodytext1"/>
        </w:rPr>
        <w:t xml:space="preserve"> </w:t>
      </w:r>
      <w:r w:rsidRPr="005C3FF1">
        <w:rPr>
          <w:rStyle w:val="Bodytext1"/>
          <w:b/>
        </w:rPr>
        <w:t>Koszty związane z udziałem w konferencji pokrywa zwycięzca eliminacji krajowych</w:t>
      </w:r>
      <w:r w:rsidRPr="005C3FF1">
        <w:rPr>
          <w:rStyle w:val="Bodytext1"/>
        </w:rPr>
        <w:t>. W przypadku braku możliwości udziału zwycięzcy w konferencji, przygotowaną przez zwycięzcę, w języku angielskim, prezentację, może wygłosić krajowy przedstawiciel Polski w EUCPN</w:t>
      </w:r>
      <w:r>
        <w:rPr>
          <w:rStyle w:val="Bodytext1"/>
        </w:rPr>
        <w:t xml:space="preserve"> lub inny uczestnik konferencji </w:t>
      </w:r>
      <w:r w:rsidRPr="005C3FF1">
        <w:rPr>
          <w:rStyle w:val="Bodytext1"/>
        </w:rPr>
        <w:t>– przyp. WPHN DPP MSWiA].</w:t>
      </w:r>
    </w:p>
    <w:p w:rsidR="005C3FF1" w:rsidRDefault="005C3FF1" w:rsidP="005C3FF1">
      <w:pPr>
        <w:spacing w:line="264" w:lineRule="auto"/>
        <w:jc w:val="both"/>
      </w:pPr>
    </w:p>
    <w:p w:rsidR="00A455F6" w:rsidRDefault="0019093F">
      <w:pPr>
        <w:pStyle w:val="Bodytext10"/>
        <w:spacing w:after="0"/>
      </w:pPr>
      <w:r>
        <w:rPr>
          <w:rStyle w:val="Bodytext1"/>
        </w:rPr>
        <w:t>W załączeniu przesyłam następujące dokumenty:</w:t>
      </w:r>
    </w:p>
    <w:p w:rsidR="00A455F6" w:rsidRDefault="0019093F">
      <w:pPr>
        <w:pStyle w:val="Bodytext10"/>
        <w:numPr>
          <w:ilvl w:val="0"/>
          <w:numId w:val="1"/>
        </w:numPr>
        <w:tabs>
          <w:tab w:val="left" w:pos="750"/>
        </w:tabs>
        <w:spacing w:after="0" w:line="170" w:lineRule="auto"/>
        <w:ind w:firstLine="400"/>
        <w:jc w:val="both"/>
      </w:pPr>
      <w:r>
        <w:rPr>
          <w:rStyle w:val="Bodytext1"/>
          <w:b/>
          <w:bCs/>
        </w:rPr>
        <w:t xml:space="preserve">Załącznik I: </w:t>
      </w:r>
      <w:r w:rsidR="004733EB">
        <w:rPr>
          <w:rStyle w:val="Bodytext1"/>
          <w:b/>
          <w:bCs/>
        </w:rPr>
        <w:t>Szablon zgłoszenia</w:t>
      </w:r>
      <w:r>
        <w:rPr>
          <w:rStyle w:val="Bodytext1"/>
          <w:b/>
          <w:bCs/>
        </w:rPr>
        <w:t xml:space="preserve"> </w:t>
      </w:r>
      <w:r w:rsidR="004733EB" w:rsidRPr="004733EB">
        <w:rPr>
          <w:rStyle w:val="Bodytext1"/>
          <w:bCs/>
        </w:rPr>
        <w:t>projektu</w:t>
      </w:r>
      <w:r w:rsidR="004733EB">
        <w:rPr>
          <w:rStyle w:val="Bodytext1"/>
          <w:b/>
          <w:bCs/>
        </w:rPr>
        <w:t xml:space="preserve"> </w:t>
      </w:r>
      <w:r w:rsidR="004733EB" w:rsidRPr="004733EB">
        <w:rPr>
          <w:rStyle w:val="Bodytext1"/>
          <w:bCs/>
        </w:rPr>
        <w:t xml:space="preserve">do udziału w konkursie </w:t>
      </w:r>
      <w:r w:rsidRPr="004733EB">
        <w:rPr>
          <w:rStyle w:val="Bodytext1"/>
        </w:rPr>
        <w:t>ECPA</w:t>
      </w:r>
    </w:p>
    <w:p w:rsidR="00A455F6" w:rsidRDefault="0019093F">
      <w:pPr>
        <w:pStyle w:val="Bodytext10"/>
        <w:numPr>
          <w:ilvl w:val="0"/>
          <w:numId w:val="1"/>
        </w:numPr>
        <w:tabs>
          <w:tab w:val="left" w:pos="750"/>
        </w:tabs>
        <w:spacing w:after="0" w:line="170" w:lineRule="auto"/>
        <w:ind w:firstLine="400"/>
        <w:jc w:val="both"/>
      </w:pPr>
      <w:r>
        <w:rPr>
          <w:rStyle w:val="Bodytext1"/>
          <w:b/>
          <w:bCs/>
        </w:rPr>
        <w:t xml:space="preserve">Załącznik II: </w:t>
      </w:r>
      <w:r w:rsidR="004733EB">
        <w:rPr>
          <w:rStyle w:val="Bodytext1"/>
          <w:b/>
          <w:bCs/>
        </w:rPr>
        <w:t>Arkusz</w:t>
      </w:r>
      <w:r>
        <w:rPr>
          <w:rStyle w:val="Bodytext1"/>
          <w:b/>
          <w:bCs/>
        </w:rPr>
        <w:t xml:space="preserve"> oceny </w:t>
      </w:r>
      <w:r w:rsidR="004733EB" w:rsidRPr="004733EB">
        <w:rPr>
          <w:rStyle w:val="Bodytext1"/>
          <w:bCs/>
        </w:rPr>
        <w:t>projektu</w:t>
      </w:r>
      <w:r w:rsidR="004733EB">
        <w:rPr>
          <w:rStyle w:val="Bodytext1"/>
          <w:b/>
          <w:bCs/>
        </w:rPr>
        <w:t xml:space="preserve"> </w:t>
      </w:r>
    </w:p>
    <w:p w:rsidR="00A455F6" w:rsidRDefault="0019093F">
      <w:pPr>
        <w:pStyle w:val="Bodytext10"/>
        <w:numPr>
          <w:ilvl w:val="0"/>
          <w:numId w:val="1"/>
        </w:numPr>
        <w:tabs>
          <w:tab w:val="left" w:pos="750"/>
        </w:tabs>
        <w:spacing w:after="0" w:line="170" w:lineRule="auto"/>
        <w:ind w:firstLine="400"/>
      </w:pPr>
      <w:r>
        <w:rPr>
          <w:rStyle w:val="Bodytext1"/>
          <w:b/>
          <w:bCs/>
        </w:rPr>
        <w:t xml:space="preserve">Załącznik III: </w:t>
      </w:r>
      <w:r>
        <w:rPr>
          <w:rStyle w:val="Bodytext1"/>
        </w:rPr>
        <w:t>Zasady i procedury przyznawania i przedstawiania ECPA</w:t>
      </w:r>
    </w:p>
    <w:p w:rsidR="00A455F6" w:rsidRDefault="0019093F">
      <w:pPr>
        <w:pStyle w:val="Bodytext10"/>
        <w:numPr>
          <w:ilvl w:val="0"/>
          <w:numId w:val="1"/>
        </w:numPr>
        <w:tabs>
          <w:tab w:val="left" w:pos="750"/>
        </w:tabs>
        <w:spacing w:after="260" w:line="170" w:lineRule="auto"/>
        <w:ind w:firstLine="400"/>
        <w:jc w:val="both"/>
        <w:rPr>
          <w:rStyle w:val="Bodytext1"/>
        </w:rPr>
      </w:pPr>
      <w:r>
        <w:rPr>
          <w:rStyle w:val="Bodytext1"/>
          <w:b/>
          <w:bCs/>
        </w:rPr>
        <w:t xml:space="preserve">Załącznik IV: </w:t>
      </w:r>
      <w:r>
        <w:rPr>
          <w:rStyle w:val="Bodytext1"/>
        </w:rPr>
        <w:t>Wytyczne dla prezenterów</w:t>
      </w:r>
    </w:p>
    <w:p w:rsidR="004F271B" w:rsidRPr="004F271B" w:rsidRDefault="004F271B" w:rsidP="004F271B">
      <w:pPr>
        <w:pStyle w:val="Bodytext10"/>
        <w:tabs>
          <w:tab w:val="left" w:pos="750"/>
        </w:tabs>
        <w:spacing w:after="120" w:line="264" w:lineRule="auto"/>
        <w:jc w:val="both"/>
      </w:pPr>
      <w:r w:rsidRPr="004F271B">
        <w:rPr>
          <w:rStyle w:val="Bodytext1"/>
          <w:bCs/>
        </w:rPr>
        <w:t xml:space="preserve">[Dokumenty w języku angielskim dostępne są na stronie: </w:t>
      </w:r>
      <w:hyperlink r:id="rId7" w:history="1">
        <w:r w:rsidRPr="004F271B">
          <w:rPr>
            <w:rStyle w:val="Hipercze"/>
            <w:bCs/>
          </w:rPr>
          <w:t>https://www.eucpn.org/events/ecpa-bpc-2025</w:t>
        </w:r>
      </w:hyperlink>
      <w:r w:rsidRPr="004F271B">
        <w:rPr>
          <w:rStyle w:val="Bodytext1"/>
          <w:bCs/>
        </w:rPr>
        <w:t xml:space="preserve">, a tłumaczenie załącznika I na język polski znajduje się na stronie: </w:t>
      </w:r>
      <w:hyperlink r:id="rId8" w:history="1">
        <w:r w:rsidRPr="004F271B">
          <w:rPr>
            <w:rStyle w:val="Hipercze"/>
            <w:bCs/>
          </w:rPr>
          <w:t>https://eucpn.org/document/ecpa-documents</w:t>
        </w:r>
      </w:hyperlink>
      <w:r w:rsidRPr="004F271B">
        <w:rPr>
          <w:rStyle w:val="Bodytext1"/>
          <w:bCs/>
        </w:rPr>
        <w:t xml:space="preserve"> oraz na stronie MSWiA</w:t>
      </w:r>
      <w:r>
        <w:rPr>
          <w:rStyle w:val="Bodytext1"/>
          <w:bCs/>
        </w:rPr>
        <w:t xml:space="preserve"> </w:t>
      </w:r>
      <w:r w:rsidRPr="005714D3">
        <w:t>– przyp. WPHN DPP MSWiA</w:t>
      </w:r>
      <w:r w:rsidRPr="004F271B">
        <w:rPr>
          <w:rStyle w:val="Bodytext1"/>
          <w:bCs/>
        </w:rPr>
        <w:t>]</w:t>
      </w:r>
      <w:r>
        <w:rPr>
          <w:rStyle w:val="Bodytext1"/>
          <w:bCs/>
        </w:rPr>
        <w:t>.</w:t>
      </w:r>
    </w:p>
    <w:p w:rsidR="00A455F6" w:rsidRDefault="0019093F" w:rsidP="004733EB">
      <w:pPr>
        <w:pStyle w:val="Bodytext10"/>
        <w:spacing w:after="260"/>
        <w:jc w:val="both"/>
      </w:pPr>
      <w:r>
        <w:rPr>
          <w:rStyle w:val="Bodytext1"/>
        </w:rPr>
        <w:t xml:space="preserve">Wszystkie projekty będą oceniane przez jury wyłącznie na podstawie informacji podanych </w:t>
      </w:r>
      <w:r w:rsidR="004733EB">
        <w:rPr>
          <w:rStyle w:val="Bodytext1"/>
        </w:rPr>
        <w:t>w</w:t>
      </w:r>
      <w:r>
        <w:rPr>
          <w:rStyle w:val="Bodytext1"/>
        </w:rPr>
        <w:t xml:space="preserve"> </w:t>
      </w:r>
      <w:r w:rsidR="004733EB">
        <w:rPr>
          <w:rStyle w:val="Bodytext1"/>
          <w:b/>
          <w:bCs/>
        </w:rPr>
        <w:t>szablonie</w:t>
      </w:r>
      <w:r>
        <w:rPr>
          <w:rStyle w:val="Bodytext1"/>
          <w:b/>
          <w:bCs/>
        </w:rPr>
        <w:t xml:space="preserve"> (załącznik I).</w:t>
      </w:r>
      <w:r>
        <w:rPr>
          <w:rStyle w:val="Bodytext1"/>
        </w:rPr>
        <w:t xml:space="preserve"> Wszelkie dodatkowe materiały wykraczające poza oficjalny wzór </w:t>
      </w:r>
      <w:r>
        <w:rPr>
          <w:rStyle w:val="Bodytext1"/>
          <w:b/>
          <w:bCs/>
        </w:rPr>
        <w:t xml:space="preserve">nie </w:t>
      </w:r>
      <w:r>
        <w:rPr>
          <w:rStyle w:val="Bodytext1"/>
        </w:rPr>
        <w:t>będą uwzględniane w procesie oceny.</w:t>
      </w:r>
    </w:p>
    <w:p w:rsidR="00A455F6" w:rsidRDefault="0019093F" w:rsidP="004733EB">
      <w:pPr>
        <w:pStyle w:val="Bodytext10"/>
        <w:spacing w:after="260"/>
        <w:jc w:val="both"/>
        <w:rPr>
          <w:rStyle w:val="Bodytext1"/>
        </w:rPr>
      </w:pPr>
      <w:r>
        <w:rPr>
          <w:rStyle w:val="Bodytext1"/>
        </w:rPr>
        <w:t>Zachęca się jednak</w:t>
      </w:r>
      <w:r w:rsidR="004733EB">
        <w:rPr>
          <w:rStyle w:val="Bodytext1"/>
        </w:rPr>
        <w:t>, aby</w:t>
      </w:r>
      <w:r>
        <w:rPr>
          <w:rStyle w:val="Bodytext1"/>
        </w:rPr>
        <w:t xml:space="preserve"> </w:t>
      </w:r>
      <w:r w:rsidR="004733EB">
        <w:rPr>
          <w:rStyle w:val="Bodytext1"/>
        </w:rPr>
        <w:t>podczas konferencji dobrych praktyk uczestnicy konkursu</w:t>
      </w:r>
      <w:r>
        <w:rPr>
          <w:rStyle w:val="Bodytext1"/>
        </w:rPr>
        <w:t xml:space="preserve"> </w:t>
      </w:r>
      <w:r w:rsidR="004733EB">
        <w:rPr>
          <w:rStyle w:val="Bodytext1"/>
        </w:rPr>
        <w:t>dysponowali materiałami ilustracyjnymi</w:t>
      </w:r>
      <w:r>
        <w:rPr>
          <w:rStyle w:val="Bodytext1"/>
        </w:rPr>
        <w:t xml:space="preserve"> i kreatywn</w:t>
      </w:r>
      <w:r w:rsidR="004733EB">
        <w:rPr>
          <w:rStyle w:val="Bodytext1"/>
        </w:rPr>
        <w:t>ymi</w:t>
      </w:r>
      <w:r>
        <w:rPr>
          <w:rStyle w:val="Bodytext1"/>
        </w:rPr>
        <w:t xml:space="preserve"> (np. płyty DVD, ulotki, plakaty, aplikacje, link</w:t>
      </w:r>
      <w:r w:rsidR="004733EB">
        <w:rPr>
          <w:rStyle w:val="Bodytext1"/>
        </w:rPr>
        <w:t>i do stron internetowych itp.). Podczas konferencji możliwe będzie udostępnienie tych materiałów oraz podzielenie się nimi z innymi uczestnikami wydarzenia.</w:t>
      </w:r>
    </w:p>
    <w:p w:rsidR="005714D3" w:rsidRDefault="005714D3" w:rsidP="004733EB">
      <w:pPr>
        <w:pStyle w:val="Bodytext10"/>
        <w:spacing w:after="260"/>
        <w:jc w:val="both"/>
      </w:pPr>
      <w:r>
        <w:lastRenderedPageBreak/>
        <w:t>W razie pytań, uprzejmie prosimy o kontakt [za pośrednictwem przedstawiciela krajowego w EUCPN] z Sekretariatem Sieci.</w:t>
      </w:r>
    </w:p>
    <w:p w:rsidR="00A455F6" w:rsidRPr="005714D3" w:rsidRDefault="0019093F">
      <w:pPr>
        <w:pStyle w:val="Bodytext10"/>
        <w:spacing w:after="0"/>
        <w:rPr>
          <w:rStyle w:val="Bodytext1"/>
        </w:rPr>
      </w:pPr>
      <w:r>
        <w:rPr>
          <w:rStyle w:val="Bodytext1"/>
        </w:rPr>
        <w:t>Z poważaniem,</w:t>
      </w:r>
    </w:p>
    <w:p w:rsidR="00A455F6" w:rsidRPr="005714D3" w:rsidRDefault="0019093F">
      <w:pPr>
        <w:pStyle w:val="Heading210"/>
        <w:keepNext/>
        <w:keepLines/>
        <w:rPr>
          <w:rStyle w:val="Bodytext1"/>
          <w:b w:val="0"/>
          <w:bCs w:val="0"/>
          <w:color w:val="000000"/>
        </w:rPr>
      </w:pPr>
      <w:bookmarkStart w:id="3" w:name="bookmark5"/>
      <w:r w:rsidRPr="005714D3">
        <w:rPr>
          <w:rStyle w:val="Bodytext1"/>
          <w:b w:val="0"/>
          <w:color w:val="000000"/>
        </w:rPr>
        <w:t>Anne-Julie Boesen Pedersen</w:t>
      </w:r>
      <w:bookmarkEnd w:id="3"/>
    </w:p>
    <w:p w:rsidR="005714D3" w:rsidRDefault="0019093F" w:rsidP="005714D3">
      <w:pPr>
        <w:pStyle w:val="Bodytext10"/>
        <w:spacing w:after="0"/>
        <w:rPr>
          <w:rStyle w:val="Bodytext1"/>
        </w:rPr>
      </w:pPr>
      <w:r>
        <w:rPr>
          <w:rStyle w:val="Bodytext1"/>
        </w:rPr>
        <w:t xml:space="preserve">Szef </w:t>
      </w:r>
      <w:r w:rsidR="005714D3">
        <w:rPr>
          <w:rStyle w:val="Bodytext1"/>
        </w:rPr>
        <w:t>S</w:t>
      </w:r>
      <w:r>
        <w:rPr>
          <w:rStyle w:val="Bodytext1"/>
        </w:rPr>
        <w:t>ekretariatu</w:t>
      </w:r>
      <w:r w:rsidR="005714D3">
        <w:rPr>
          <w:rStyle w:val="Bodytext1"/>
        </w:rPr>
        <w:t xml:space="preserve"> Duńskiej Rady ds. Zapobiegania Przestępczości, </w:t>
      </w:r>
    </w:p>
    <w:p w:rsidR="00A455F6" w:rsidRPr="005714D3" w:rsidRDefault="005714D3" w:rsidP="005714D3">
      <w:pPr>
        <w:pStyle w:val="Bodytext10"/>
        <w:spacing w:after="260"/>
        <w:rPr>
          <w:rStyle w:val="Bodytext1"/>
        </w:rPr>
      </w:pPr>
      <w:r>
        <w:rPr>
          <w:rStyle w:val="Bodytext1"/>
        </w:rPr>
        <w:t>Przewodnicząca</w:t>
      </w:r>
      <w:r w:rsidR="0019093F">
        <w:rPr>
          <w:rStyle w:val="Bodytext1"/>
        </w:rPr>
        <w:t xml:space="preserve"> EUCPN</w:t>
      </w:r>
    </w:p>
    <w:sectPr w:rsidR="00A455F6" w:rsidRPr="005714D3">
      <w:headerReference w:type="default" r:id="rId9"/>
      <w:pgSz w:w="11900" w:h="16840"/>
      <w:pgMar w:top="1484" w:right="1089" w:bottom="1758" w:left="1091" w:header="0" w:footer="13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EB" w:rsidRDefault="004733EB">
      <w:r>
        <w:separator/>
      </w:r>
    </w:p>
  </w:endnote>
  <w:endnote w:type="continuationSeparator" w:id="0">
    <w:p w:rsidR="004733EB" w:rsidRDefault="0047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EB" w:rsidRDefault="004733EB"/>
  </w:footnote>
  <w:footnote w:type="continuationSeparator" w:id="0">
    <w:p w:rsidR="004733EB" w:rsidRDefault="004733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3EB" w:rsidRDefault="004733EB">
    <w:pPr>
      <w:spacing w:line="1" w:lineRule="exact"/>
    </w:pPr>
    <w:r>
      <w:rPr>
        <w:noProof/>
        <w:lang w:val="pl-PL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2376805</wp:posOffset>
              </wp:positionH>
              <wp:positionV relativeFrom="page">
                <wp:posOffset>506730</wp:posOffset>
              </wp:positionV>
              <wp:extent cx="1082040" cy="365760"/>
              <wp:effectExtent l="0" t="0" r="0" b="0"/>
              <wp:wrapNone/>
              <wp:docPr id="1" name="Kształ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3EB" w:rsidRDefault="004733E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ształt 1" o:spid="_x0000_s1026" type="#_x0000_t202" style="position:absolute;margin-left:187.15pt;margin-top:39.9pt;width:85.2pt;height:28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" filled="f" stroked="f">
              <v:textbox inset="0,0,0,0">
                <w:txbxContent>
                  <w:p w:rsidR="004733EB" w:rsidRDefault="004733EB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5583555</wp:posOffset>
              </wp:positionH>
              <wp:positionV relativeFrom="page">
                <wp:posOffset>509905</wp:posOffset>
              </wp:positionV>
              <wp:extent cx="777240" cy="362585"/>
              <wp:effectExtent l="0" t="0" r="0" b="0"/>
              <wp:wrapNone/>
              <wp:docPr id="7" name="Kształ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362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3EB" w:rsidRDefault="004733E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Kształt 7" o:spid="_x0000_s1027" type="#_x0000_t202" style="position:absolute;margin-left:439.65pt;margin-top:40.15pt;width:61.2pt;height:28.5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" filled="f" stroked="f">
              <v:textbox inset="0,0,0,0">
                <w:txbxContent>
                  <w:p w:rsidR="004733EB" w:rsidRDefault="004733EB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1228090</wp:posOffset>
              </wp:positionH>
              <wp:positionV relativeFrom="page">
                <wp:posOffset>570865</wp:posOffset>
              </wp:positionV>
              <wp:extent cx="624840" cy="167640"/>
              <wp:effectExtent l="0" t="0" r="0" b="0"/>
              <wp:wrapNone/>
              <wp:docPr id="13" name="Kształ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3EB" w:rsidRDefault="004733EB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Kształt 13" o:spid="_x0000_s1028" type="#_x0000_t202" style="position:absolute;margin-left:96.7pt;margin-top:44.95pt;width:49.2pt;height:13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" filled="f" stroked="f">
              <v:textbox style="mso-fit-shape-to-text:t" inset="0,0,0,0">
                <w:txbxContent>
                  <w:p w:rsidR="004733EB" w:rsidRDefault="004733EB">
                    <w:pPr>
                      <w:pStyle w:val="Headerorfooter20"/>
                      <w:rPr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671195</wp:posOffset>
              </wp:positionV>
              <wp:extent cx="259080" cy="207010"/>
              <wp:effectExtent l="0" t="0" r="0" b="0"/>
              <wp:wrapNone/>
              <wp:docPr id="15" name="Kształ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3EB" w:rsidRDefault="004733E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Kształt 15" o:spid="_x0000_s1029" type="#_x0000_t202" style="position:absolute;margin-left:72.7pt;margin-top:52.85pt;width:20.4pt;height:16.3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" filled="f" stroked="f">
              <v:textbox inset="0,0,0,0">
                <w:txbxContent>
                  <w:p w:rsidR="004733EB" w:rsidRDefault="004733EB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8428B"/>
    <w:multiLevelType w:val="multilevel"/>
    <w:tmpl w:val="36884E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F6"/>
    <w:rsid w:val="0019093F"/>
    <w:rsid w:val="003109B9"/>
    <w:rsid w:val="003F4763"/>
    <w:rsid w:val="00462A28"/>
    <w:rsid w:val="004733EB"/>
    <w:rsid w:val="004F271B"/>
    <w:rsid w:val="005714D3"/>
    <w:rsid w:val="005C3FF1"/>
    <w:rsid w:val="00A455F6"/>
    <w:rsid w:val="00E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2607AC-CA63-4115-9E02-616EB91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5A6386"/>
      <w:sz w:val="8"/>
      <w:szCs w:val="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color w:val="0046FF"/>
      <w:sz w:val="28"/>
      <w:szCs w:val="28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0046FF"/>
      <w:sz w:val="30"/>
      <w:szCs w:val="3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|3"/>
    <w:basedOn w:val="Normalny"/>
    <w:link w:val="Bodytext3"/>
    <w:pPr>
      <w:spacing w:after="580"/>
      <w:ind w:left="4050"/>
    </w:pPr>
    <w:rPr>
      <w:rFonts w:ascii="Arial" w:eastAsia="Arial" w:hAnsi="Arial" w:cs="Arial"/>
      <w:b/>
      <w:bCs/>
      <w:color w:val="5A6386"/>
      <w:sz w:val="8"/>
      <w:szCs w:val="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150" w:line="276" w:lineRule="auto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after="24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alny"/>
    <w:link w:val="Heading21"/>
    <w:pPr>
      <w:spacing w:after="40"/>
      <w:outlineLvl w:val="1"/>
    </w:pPr>
    <w:rPr>
      <w:rFonts w:ascii="Arial" w:eastAsia="Arial" w:hAnsi="Arial" w:cs="Arial"/>
      <w:b/>
      <w:bCs/>
      <w:color w:val="0046FF"/>
      <w:sz w:val="28"/>
      <w:szCs w:val="28"/>
    </w:rPr>
  </w:style>
  <w:style w:type="paragraph" w:customStyle="1" w:styleId="Heading110">
    <w:name w:val="Heading #1|1"/>
    <w:basedOn w:val="Normalny"/>
    <w:link w:val="Heading11"/>
    <w:pPr>
      <w:spacing w:after="90" w:line="223" w:lineRule="auto"/>
      <w:outlineLvl w:val="0"/>
    </w:pPr>
    <w:rPr>
      <w:rFonts w:ascii="Arial" w:eastAsia="Arial" w:hAnsi="Arial" w:cs="Arial"/>
      <w:color w:val="0046FF"/>
      <w:sz w:val="30"/>
      <w:szCs w:val="30"/>
    </w:rPr>
  </w:style>
  <w:style w:type="paragraph" w:customStyle="1" w:styleId="Bodytext20">
    <w:name w:val="Body text|2"/>
    <w:basedOn w:val="Normalny"/>
    <w:link w:val="Bodytext2"/>
    <w:pPr>
      <w:spacing w:after="130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A2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62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A28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4F2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pn.org/document/ecpa-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cpn.org/events/ecpa-bpc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Wridt Jensen</dc:creator>
  <cp:keywords/>
  <cp:lastModifiedBy>WPHN</cp:lastModifiedBy>
  <cp:revision>9</cp:revision>
  <dcterms:created xsi:type="dcterms:W3CDTF">2025-07-02T08:16:00Z</dcterms:created>
  <dcterms:modified xsi:type="dcterms:W3CDTF">2025-07-03T07:50:00Z</dcterms:modified>
</cp:coreProperties>
</file>