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bookmarkStart w:id="0" w:name="bookmark0"/>
      <w:r w:rsidRPr="000B5C83">
        <w:rPr>
          <w:sz w:val="24"/>
        </w:rPr>
        <w:t>CAC/COSP/IRG/2014/CRP. 13</w:t>
      </w:r>
      <w:bookmarkEnd w:id="0"/>
    </w:p>
    <w:p w:rsidR="00A407B3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0B5C83">
        <w:rPr>
          <w:sz w:val="24"/>
        </w:rPr>
        <w:t xml:space="preserve">24 września 2014 </w:t>
      </w: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0B5C83">
        <w:rPr>
          <w:sz w:val="24"/>
        </w:rPr>
        <w:t>Tylko wersja angielska</w:t>
      </w:r>
    </w:p>
    <w:p w:rsidR="00A407B3" w:rsidRPr="000B5C83" w:rsidRDefault="00A407B3" w:rsidP="00A407B3">
      <w:pPr>
        <w:pStyle w:val="Teksttreci20"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1" w:name="bookmark1"/>
    </w:p>
    <w:p w:rsidR="00A407B3" w:rsidRPr="000B5C83" w:rsidRDefault="00171E70" w:rsidP="00A407B3">
      <w:pPr>
        <w:pStyle w:val="Teksttreci20"/>
        <w:shd w:val="clear" w:color="auto" w:fill="auto"/>
        <w:spacing w:line="240" w:lineRule="auto"/>
        <w:jc w:val="both"/>
        <w:rPr>
          <w:sz w:val="24"/>
          <w:szCs w:val="24"/>
        </w:rPr>
      </w:pPr>
      <w:r w:rsidRPr="000B5C83">
        <w:rPr>
          <w:sz w:val="24"/>
        </w:rPr>
        <w:t xml:space="preserve">Grupa Przeglądowa ds. Implementacji </w:t>
      </w:r>
    </w:p>
    <w:p w:rsidR="00AA1848" w:rsidRPr="000B5C83" w:rsidRDefault="00171E70" w:rsidP="00A407B3">
      <w:pPr>
        <w:pStyle w:val="Teksttreci20"/>
        <w:shd w:val="clear" w:color="auto" w:fill="auto"/>
        <w:spacing w:line="240" w:lineRule="auto"/>
        <w:jc w:val="both"/>
        <w:rPr>
          <w:sz w:val="24"/>
          <w:szCs w:val="24"/>
        </w:rPr>
      </w:pPr>
      <w:r w:rsidRPr="000B5C83">
        <w:rPr>
          <w:rStyle w:val="Teksttreci295pt"/>
          <w:b/>
          <w:sz w:val="24"/>
        </w:rPr>
        <w:t>Wznowiona sesja piąta</w:t>
      </w:r>
      <w:bookmarkEnd w:id="1"/>
    </w:p>
    <w:p w:rsidR="00A407B3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Wiedeń, 13-15 października 2014 </w:t>
      </w: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Pozycja 2 agendy </w:t>
      </w:r>
    </w:p>
    <w:p w:rsidR="00A407B3" w:rsidRPr="000B5C83" w:rsidRDefault="00171E70" w:rsidP="00A407B3">
      <w:pPr>
        <w:pStyle w:val="Teksttreci3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0B5C83">
        <w:rPr>
          <w:sz w:val="24"/>
        </w:rPr>
        <w:t xml:space="preserve">Przegląd implementacji Konwencji  </w:t>
      </w:r>
    </w:p>
    <w:p w:rsidR="00AA1848" w:rsidRPr="000B5C83" w:rsidRDefault="00171E70" w:rsidP="00A407B3">
      <w:pPr>
        <w:pStyle w:val="Teksttreci3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0B5C83">
        <w:rPr>
          <w:sz w:val="24"/>
        </w:rPr>
        <w:t>Narodów Zjednoczonych przeciwko Korupcji</w:t>
      </w:r>
    </w:p>
    <w:p w:rsidR="00A407B3" w:rsidRPr="000B5C83" w:rsidRDefault="00A407B3" w:rsidP="00A407B3">
      <w:pPr>
        <w:pStyle w:val="Nagwek20"/>
        <w:keepNext/>
        <w:keepLines/>
        <w:shd w:val="clear" w:color="auto" w:fill="auto"/>
        <w:spacing w:before="0" w:after="0" w:line="240" w:lineRule="auto"/>
        <w:ind w:firstLine="0"/>
        <w:jc w:val="both"/>
        <w:outlineLvl w:val="9"/>
        <w:rPr>
          <w:sz w:val="24"/>
          <w:szCs w:val="24"/>
        </w:rPr>
      </w:pPr>
      <w:bookmarkStart w:id="2" w:name="bookmark2"/>
    </w:p>
    <w:p w:rsidR="00A407B3" w:rsidRPr="000B5C83" w:rsidRDefault="00171E70" w:rsidP="00A407B3">
      <w:pPr>
        <w:pStyle w:val="Nagwek20"/>
        <w:keepNext/>
        <w:keepLines/>
        <w:shd w:val="clear" w:color="auto" w:fill="auto"/>
        <w:spacing w:before="0" w:after="0" w:line="240" w:lineRule="auto"/>
        <w:ind w:firstLine="0"/>
        <w:jc w:val="both"/>
        <w:outlineLvl w:val="9"/>
        <w:rPr>
          <w:sz w:val="24"/>
          <w:szCs w:val="24"/>
        </w:rPr>
      </w:pPr>
      <w:r w:rsidRPr="000B5C83">
        <w:rPr>
          <w:sz w:val="24"/>
        </w:rPr>
        <w:t xml:space="preserve">Streszczenie: Polska </w:t>
      </w:r>
    </w:p>
    <w:p w:rsidR="00AA1848" w:rsidRPr="000B5C83" w:rsidRDefault="00171E70" w:rsidP="00A407B3">
      <w:pPr>
        <w:pStyle w:val="Nagwek20"/>
        <w:keepNext/>
        <w:keepLines/>
        <w:shd w:val="clear" w:color="auto" w:fill="auto"/>
        <w:spacing w:before="0" w:after="0" w:line="240" w:lineRule="auto"/>
        <w:ind w:firstLine="0"/>
        <w:jc w:val="both"/>
        <w:outlineLvl w:val="9"/>
        <w:rPr>
          <w:sz w:val="24"/>
          <w:szCs w:val="24"/>
        </w:rPr>
      </w:pPr>
      <w:r w:rsidRPr="000B5C83">
        <w:rPr>
          <w:rStyle w:val="Nagwek2115pt"/>
          <w:b/>
          <w:sz w:val="24"/>
        </w:rPr>
        <w:t>Nota od Sekretariatu</w:t>
      </w:r>
      <w:bookmarkEnd w:id="2"/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tab/>
      </w:r>
      <w:r w:rsidRPr="000B5C83">
        <w:rPr>
          <w:sz w:val="24"/>
        </w:rPr>
        <w:t xml:space="preserve">Niniejszy dokument konferencyjny zostaje udostępniony Grupie Przeglądowej ds. Implementacji zgodnie z punktem 36 </w:t>
      </w:r>
      <w:r w:rsidR="00F55ADB">
        <w:rPr>
          <w:sz w:val="24"/>
        </w:rPr>
        <w:t>zakresu w</w:t>
      </w:r>
      <w:r w:rsidRPr="000B5C83">
        <w:rPr>
          <w:sz w:val="24"/>
        </w:rPr>
        <w:t xml:space="preserve">ymagań i </w:t>
      </w:r>
      <w:r w:rsidR="00F55ADB">
        <w:rPr>
          <w:sz w:val="24"/>
        </w:rPr>
        <w:t>o</w:t>
      </w:r>
      <w:r w:rsidRPr="000B5C83">
        <w:rPr>
          <w:sz w:val="24"/>
        </w:rPr>
        <w:t xml:space="preserve">bowiązków </w:t>
      </w:r>
      <w:r w:rsidR="00F55ADB">
        <w:rPr>
          <w:sz w:val="24"/>
        </w:rPr>
        <w:t xml:space="preserve">dotyczących </w:t>
      </w:r>
      <w:r w:rsidRPr="000B5C83">
        <w:rPr>
          <w:sz w:val="24"/>
        </w:rPr>
        <w:t xml:space="preserve">Mechanizmu Przeglądu Implementacji Konwencji Narodów Zjednoczonych przeciwko Korupcji (Konferencja Państw Stron, uchwała 3/1, aneks). </w:t>
      </w:r>
      <w:r w:rsidR="00F55ADB">
        <w:rPr>
          <w:sz w:val="24"/>
        </w:rPr>
        <w:t xml:space="preserve">Niniejsze </w:t>
      </w:r>
      <w:r w:rsidRPr="000B5C83">
        <w:rPr>
          <w:sz w:val="24"/>
        </w:rPr>
        <w:t>streszczenie od</w:t>
      </w:r>
      <w:r w:rsidR="00F55ADB">
        <w:rPr>
          <w:sz w:val="24"/>
        </w:rPr>
        <w:t>nosi się do przeglądu</w:t>
      </w:r>
      <w:r w:rsidRPr="000B5C83">
        <w:rPr>
          <w:sz w:val="24"/>
        </w:rPr>
        <w:t xml:space="preserve"> państwa przeprowadzone</w:t>
      </w:r>
      <w:r w:rsidR="00F55ADB">
        <w:rPr>
          <w:sz w:val="24"/>
        </w:rPr>
        <w:t>go</w:t>
      </w:r>
      <w:r w:rsidRPr="000B5C83">
        <w:rPr>
          <w:sz w:val="24"/>
        </w:rPr>
        <w:t xml:space="preserve"> w czwartym roku </w:t>
      </w:r>
      <w:r w:rsidR="00F55ADB">
        <w:rPr>
          <w:sz w:val="24"/>
        </w:rPr>
        <w:t xml:space="preserve">pierwszego </w:t>
      </w:r>
      <w:r w:rsidRPr="000B5C83">
        <w:rPr>
          <w:sz w:val="24"/>
        </w:rPr>
        <w:t>cyklu przeglądowego.</w:t>
      </w:r>
    </w:p>
    <w:p w:rsidR="00A407B3" w:rsidRPr="000B5C83" w:rsidRDefault="00A407B3" w:rsidP="00A407B3">
      <w:pPr>
        <w:pStyle w:val="Nagwek10"/>
        <w:keepNext/>
        <w:keepLines/>
        <w:shd w:val="clear" w:color="auto" w:fill="auto"/>
        <w:spacing w:before="0" w:line="240" w:lineRule="auto"/>
        <w:jc w:val="both"/>
        <w:outlineLvl w:val="9"/>
        <w:rPr>
          <w:rStyle w:val="Nagwek1TimesNewRoman9pt"/>
          <w:rFonts w:eastAsia="Franklin Gothic Medium Cond"/>
          <w:sz w:val="24"/>
          <w:szCs w:val="24"/>
        </w:rPr>
      </w:pPr>
      <w:bookmarkStart w:id="3" w:name="bookmark3"/>
    </w:p>
    <w:p w:rsidR="00A407B3" w:rsidRPr="000B5C83" w:rsidRDefault="00A407B3">
      <w:pPr>
        <w:rPr>
          <w:rFonts w:ascii="Times New Roman" w:eastAsia="Franklin Gothic Medium Cond" w:hAnsi="Times New Roman" w:cs="Times New Roman"/>
          <w:b/>
        </w:rPr>
      </w:pPr>
      <w:bookmarkStart w:id="4" w:name="bookmark4"/>
      <w:bookmarkEnd w:id="3"/>
      <w:r w:rsidRPr="000B5C83">
        <w:br w:type="page"/>
      </w:r>
    </w:p>
    <w:p w:rsidR="00A407B3" w:rsidRPr="000B5C83" w:rsidRDefault="00171E70" w:rsidP="00A407B3">
      <w:pPr>
        <w:pStyle w:val="Nagwek10"/>
        <w:keepNext/>
        <w:keepLines/>
        <w:shd w:val="clear" w:color="auto" w:fill="auto"/>
        <w:spacing w:before="0" w:line="240" w:lineRule="auto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0B5C83">
        <w:rPr>
          <w:rFonts w:ascii="Times New Roman" w:hAnsi="Times New Roman"/>
          <w:b/>
          <w:sz w:val="24"/>
        </w:rPr>
        <w:lastRenderedPageBreak/>
        <w:t xml:space="preserve">II. Streszczenie </w:t>
      </w:r>
    </w:p>
    <w:p w:rsidR="00A407B3" w:rsidRPr="000B5C83" w:rsidRDefault="00A407B3" w:rsidP="00A407B3">
      <w:pPr>
        <w:pStyle w:val="Nagwek10"/>
        <w:keepNext/>
        <w:keepLines/>
        <w:shd w:val="clear" w:color="auto" w:fill="auto"/>
        <w:spacing w:before="0" w:line="240" w:lineRule="auto"/>
        <w:jc w:val="both"/>
        <w:outlineLvl w:val="9"/>
        <w:rPr>
          <w:rStyle w:val="Nagwek2115pt"/>
          <w:rFonts w:eastAsia="Franklin Gothic Medium Cond"/>
          <w:sz w:val="24"/>
          <w:szCs w:val="24"/>
        </w:rPr>
      </w:pPr>
    </w:p>
    <w:p w:rsidR="00AA1848" w:rsidRPr="000B5C83" w:rsidRDefault="00171E70" w:rsidP="00A407B3">
      <w:pPr>
        <w:pStyle w:val="Nagwek10"/>
        <w:keepNext/>
        <w:keepLines/>
        <w:shd w:val="clear" w:color="auto" w:fill="auto"/>
        <w:spacing w:before="0" w:line="240" w:lineRule="auto"/>
        <w:jc w:val="both"/>
        <w:outlineLvl w:val="9"/>
        <w:rPr>
          <w:rStyle w:val="Nagwek2115pt"/>
          <w:rFonts w:eastAsia="Franklin Gothic Medium Cond"/>
          <w:sz w:val="24"/>
          <w:szCs w:val="24"/>
        </w:rPr>
      </w:pPr>
      <w:r w:rsidRPr="000B5C83">
        <w:rPr>
          <w:rStyle w:val="Nagwek2115pt"/>
          <w:rFonts w:eastAsia="Franklin Gothic Medium Cond"/>
          <w:sz w:val="24"/>
        </w:rPr>
        <w:t>Polska</w:t>
      </w:r>
      <w:bookmarkEnd w:id="4"/>
    </w:p>
    <w:p w:rsidR="00A407B3" w:rsidRPr="000B5C83" w:rsidRDefault="00A407B3" w:rsidP="00A407B3">
      <w:pPr>
        <w:pStyle w:val="Nagwek10"/>
        <w:keepNext/>
        <w:keepLines/>
        <w:shd w:val="clear" w:color="auto" w:fill="auto"/>
        <w:spacing w:before="0" w:line="240" w:lineRule="auto"/>
        <w:jc w:val="both"/>
        <w:outlineLvl w:val="9"/>
        <w:rPr>
          <w:rFonts w:ascii="Times New Roman" w:hAnsi="Times New Roman" w:cs="Times New Roman"/>
          <w:sz w:val="24"/>
          <w:szCs w:val="24"/>
        </w:rPr>
      </w:pPr>
    </w:p>
    <w:p w:rsidR="00AA1848" w:rsidRPr="000B5C83" w:rsidRDefault="00171E70" w:rsidP="00A407B3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554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bookmarkStart w:id="5" w:name="bookmark5"/>
      <w:r w:rsidRPr="000B5C83">
        <w:rPr>
          <w:sz w:val="24"/>
        </w:rPr>
        <w:t>Wprowadzenie</w:t>
      </w:r>
      <w:bookmarkEnd w:id="5"/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Konwencja Narodów Zjednoczonych przeciwko Korupcji (UNCAC) została podpisana przez Polskę </w:t>
      </w:r>
      <w:r w:rsidR="00F55ADB">
        <w:rPr>
          <w:sz w:val="24"/>
        </w:rPr>
        <w:t>dnia 1</w:t>
      </w:r>
      <w:r w:rsidRPr="000B5C83">
        <w:rPr>
          <w:sz w:val="24"/>
        </w:rPr>
        <w:t xml:space="preserve">0 grudnia 2003 roku i ratyfikowana </w:t>
      </w:r>
      <w:r w:rsidR="00F55ADB">
        <w:rPr>
          <w:sz w:val="24"/>
        </w:rPr>
        <w:t>dnia 1</w:t>
      </w:r>
      <w:r w:rsidRPr="000B5C83">
        <w:rPr>
          <w:sz w:val="24"/>
        </w:rPr>
        <w:t>2 maja 2006 roku. Po ratyfikacji i wejściu w życie w dniu 14 września 2007 roku, UNCAC stałą się integralną częścią prawa wewnętrznego. Polska złożyła swój dokument ratyfikacji Sekretarzowi Generalnemu Stanów Zjednoczonych w dniu 15 września 2006 roku.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W dniu 1 kwietnia 2014 roku </w:t>
      </w:r>
      <w:r w:rsidR="00F55ADB">
        <w:rPr>
          <w:sz w:val="24"/>
        </w:rPr>
        <w:t xml:space="preserve">Rada Ministrów </w:t>
      </w:r>
      <w:r w:rsidR="00F55ADB" w:rsidRPr="000B5C83">
        <w:rPr>
          <w:sz w:val="24"/>
        </w:rPr>
        <w:t>przyj</w:t>
      </w:r>
      <w:r w:rsidR="00F55ADB">
        <w:rPr>
          <w:sz w:val="24"/>
        </w:rPr>
        <w:t>ęła</w:t>
      </w:r>
      <w:r w:rsidRPr="000B5C83">
        <w:rPr>
          <w:sz w:val="24"/>
        </w:rPr>
        <w:t xml:space="preserve"> "Rządowy Program Antykorupcyjny na lata 2014-2019".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bookmarkStart w:id="6" w:name="bookmark6"/>
      <w:r w:rsidRPr="000B5C83">
        <w:rPr>
          <w:sz w:val="24"/>
        </w:rPr>
        <w:t>Rozdział III: Kryminalizacja i egzekwowanie prawa</w:t>
      </w:r>
      <w:bookmarkEnd w:id="6"/>
    </w:p>
    <w:p w:rsidR="00A407B3" w:rsidRPr="000B5C83" w:rsidRDefault="00A407B3" w:rsidP="00A407B3">
      <w:pPr>
        <w:pStyle w:val="Nagwek30"/>
        <w:keepNext/>
        <w:keepLines/>
        <w:shd w:val="clear" w:color="auto" w:fill="auto"/>
        <w:tabs>
          <w:tab w:val="left" w:pos="568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</w:p>
    <w:p w:rsidR="00AA1848" w:rsidRPr="000B5C83" w:rsidRDefault="00171E70" w:rsidP="00A407B3">
      <w:pPr>
        <w:pStyle w:val="Nagwek30"/>
        <w:keepNext/>
        <w:keepLines/>
        <w:numPr>
          <w:ilvl w:val="1"/>
          <w:numId w:val="1"/>
        </w:numPr>
        <w:shd w:val="clear" w:color="auto" w:fill="auto"/>
        <w:tabs>
          <w:tab w:val="left" w:pos="586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bookmarkStart w:id="7" w:name="bookmark7"/>
      <w:r w:rsidRPr="000B5C83">
        <w:rPr>
          <w:sz w:val="24"/>
        </w:rPr>
        <w:t>Obserwacje dotyczące implementacji artykułów objętych przeglądem</w:t>
      </w:r>
      <w:bookmarkEnd w:id="7"/>
    </w:p>
    <w:p w:rsidR="00A407B3" w:rsidRPr="000B5C83" w:rsidRDefault="00A407B3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‎</w:t>
      </w:r>
      <w:r w:rsidR="00F55ADB">
        <w:rPr>
          <w:sz w:val="24"/>
        </w:rPr>
        <w:t>Przekupstwo</w:t>
      </w:r>
      <w:r w:rsidRPr="000B5C83">
        <w:rPr>
          <w:sz w:val="24"/>
        </w:rPr>
        <w:t xml:space="preserve"> i handel wpływami (art. 15, 16, 18 i 21).</w:t>
      </w: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Czynne </w:t>
      </w:r>
      <w:r w:rsidR="00F55ADB">
        <w:rPr>
          <w:sz w:val="24"/>
        </w:rPr>
        <w:t>przekups</w:t>
      </w:r>
      <w:r w:rsidRPr="000B5C83">
        <w:rPr>
          <w:sz w:val="24"/>
        </w:rPr>
        <w:t xml:space="preserve">two krajowych funkcjonariuszy publicznych jest karane na </w:t>
      </w:r>
      <w:r w:rsidR="00F55ADB">
        <w:rPr>
          <w:sz w:val="24"/>
        </w:rPr>
        <w:t>podst. art.</w:t>
      </w:r>
      <w:r w:rsidRPr="000B5C83">
        <w:rPr>
          <w:sz w:val="24"/>
        </w:rPr>
        <w:t xml:space="preserve"> 229 kk, natomiast </w:t>
      </w:r>
      <w:r w:rsidR="00F55ADB">
        <w:rPr>
          <w:sz w:val="24"/>
        </w:rPr>
        <w:t xml:space="preserve">przekupstwo </w:t>
      </w:r>
      <w:r w:rsidRPr="000B5C83">
        <w:rPr>
          <w:sz w:val="24"/>
        </w:rPr>
        <w:t>bierne</w:t>
      </w:r>
      <w:r w:rsidR="00F55ADB">
        <w:rPr>
          <w:sz w:val="24"/>
        </w:rPr>
        <w:t xml:space="preserve"> </w:t>
      </w:r>
      <w:r w:rsidRPr="000B5C83">
        <w:rPr>
          <w:sz w:val="24"/>
        </w:rPr>
        <w:t xml:space="preserve">na </w:t>
      </w:r>
      <w:r w:rsidR="00F55ADB">
        <w:rPr>
          <w:sz w:val="24"/>
        </w:rPr>
        <w:t>podst. art.</w:t>
      </w:r>
      <w:r w:rsidRPr="000B5C83">
        <w:rPr>
          <w:sz w:val="24"/>
        </w:rPr>
        <w:t xml:space="preserve"> 228 kk. Obydwa </w:t>
      </w:r>
      <w:r w:rsidR="00F55ADB">
        <w:rPr>
          <w:sz w:val="24"/>
        </w:rPr>
        <w:t xml:space="preserve">artykuły </w:t>
      </w:r>
      <w:r w:rsidR="000E4F47">
        <w:rPr>
          <w:sz w:val="24"/>
        </w:rPr>
        <w:t>zawierają podstawowe</w:t>
      </w:r>
      <w:r w:rsidR="00F55ADB">
        <w:rPr>
          <w:sz w:val="24"/>
        </w:rPr>
        <w:t xml:space="preserve"> zasad</w:t>
      </w:r>
      <w:r w:rsidR="000E4F47">
        <w:rPr>
          <w:sz w:val="24"/>
        </w:rPr>
        <w:t>y</w:t>
      </w:r>
      <w:r w:rsidR="00F55ADB">
        <w:rPr>
          <w:sz w:val="24"/>
        </w:rPr>
        <w:t xml:space="preserve"> i przepisy</w:t>
      </w:r>
      <w:r w:rsidR="00F55ADB" w:rsidRPr="000B5C83">
        <w:rPr>
          <w:sz w:val="24"/>
        </w:rPr>
        <w:t xml:space="preserve"> </w:t>
      </w:r>
      <w:r w:rsidR="000E4F47">
        <w:rPr>
          <w:sz w:val="24"/>
        </w:rPr>
        <w:t xml:space="preserve">dotyczące </w:t>
      </w:r>
      <w:r w:rsidR="00F55ADB">
        <w:rPr>
          <w:sz w:val="24"/>
        </w:rPr>
        <w:t>przypadk</w:t>
      </w:r>
      <w:r w:rsidR="000E4F47">
        <w:rPr>
          <w:sz w:val="24"/>
        </w:rPr>
        <w:t>ów</w:t>
      </w:r>
      <w:r w:rsidR="00F55ADB">
        <w:rPr>
          <w:sz w:val="24"/>
        </w:rPr>
        <w:t xml:space="preserve"> kwalifikowan</w:t>
      </w:r>
      <w:r w:rsidR="000E4F47">
        <w:rPr>
          <w:sz w:val="24"/>
        </w:rPr>
        <w:t>ych</w:t>
      </w:r>
      <w:r w:rsidR="00F55ADB">
        <w:rPr>
          <w:sz w:val="24"/>
        </w:rPr>
        <w:t xml:space="preserve"> ora</w:t>
      </w:r>
      <w:r w:rsidR="000E4F47">
        <w:rPr>
          <w:sz w:val="24"/>
        </w:rPr>
        <w:t>z przypadków</w:t>
      </w:r>
      <w:r w:rsidR="00F55ADB">
        <w:rPr>
          <w:sz w:val="24"/>
        </w:rPr>
        <w:t xml:space="preserve"> mniejszej wagi.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Pojęcie "krajowego funkcjonariusza publicznego" oraz "osoby pełniącej funkcję publiczną" jest zdefiniowane, odpowiednio, w </w:t>
      </w:r>
      <w:r w:rsidR="000E4F47">
        <w:rPr>
          <w:sz w:val="24"/>
        </w:rPr>
        <w:t>art.</w:t>
      </w:r>
      <w:r w:rsidRPr="000B5C83">
        <w:rPr>
          <w:sz w:val="24"/>
        </w:rPr>
        <w:t xml:space="preserve"> 115, para</w:t>
      </w:r>
      <w:r w:rsidR="000E4F47">
        <w:rPr>
          <w:sz w:val="24"/>
        </w:rPr>
        <w:t xml:space="preserve">grafy 13 i 19 kk. Przestępstwo przekupstwa </w:t>
      </w:r>
      <w:r w:rsidRPr="000B5C83">
        <w:rPr>
          <w:sz w:val="24"/>
        </w:rPr>
        <w:t>występuje "w związku z pełnieniem funkcji publicznych".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0E4F47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115 paragraf 19 kk wyłącza stosowanie przestępstwa łapownictwa w odniesieniu do pracowników administracji publicznej, pełniących wyłącznie "czynności usługowe". Z wyjątku obejmującego "czynności usługowe" wyłączone są osoby nieposiadając</w:t>
      </w:r>
      <w:r>
        <w:rPr>
          <w:sz w:val="24"/>
        </w:rPr>
        <w:t>e</w:t>
      </w:r>
      <w:r w:rsidR="00171E70" w:rsidRPr="000B5C83">
        <w:rPr>
          <w:sz w:val="24"/>
        </w:rPr>
        <w:t xml:space="preserve"> uprawnień decyzyjnych ani </w:t>
      </w:r>
      <w:proofErr w:type="gramStart"/>
      <w:r w:rsidR="00171E70" w:rsidRPr="000B5C83">
        <w:rPr>
          <w:sz w:val="24"/>
        </w:rPr>
        <w:t>praw</w:t>
      </w:r>
      <w:proofErr w:type="gramEnd"/>
      <w:r w:rsidR="00171E70" w:rsidRPr="000B5C83">
        <w:rPr>
          <w:sz w:val="24"/>
        </w:rPr>
        <w:t xml:space="preserve"> do dysponowania środkami publicznymi. Przepis odn</w:t>
      </w:r>
      <w:r>
        <w:rPr>
          <w:sz w:val="24"/>
        </w:rPr>
        <w:t xml:space="preserve">osi się w szczególności </w:t>
      </w:r>
      <w:r w:rsidR="00171E70" w:rsidRPr="000B5C83">
        <w:rPr>
          <w:sz w:val="24"/>
        </w:rPr>
        <w:t>do osób, które, pomimo iż są zatrudnione w jednostkach organizacyjnych administracji publicznej, pełnią zadania niepowiązane w żaden sposób z czynnościami wynikającymi z udzielonej im władzy lub uprawnień.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Eksperci dokonujący przeglądu zauważyli, że sformułowanie "czynności usługowe" może powodować powstanie wątpliwości interpretacyjnych i stworzyć luki w stosowaniu przepisów dotyczących łapownictwa. Zalecili, aby polskie władze dokonały zmiany polskiego ustawodawstwa - lub wprowadziły jego jednolitą interpretację - w celu zapewnienia, że</w:t>
      </w:r>
      <w:r w:rsidR="000E4F47">
        <w:rPr>
          <w:sz w:val="24"/>
        </w:rPr>
        <w:t>by</w:t>
      </w:r>
      <w:r w:rsidRPr="000B5C83">
        <w:rPr>
          <w:sz w:val="24"/>
        </w:rPr>
        <w:t xml:space="preserve"> wyjątek obejmujący swym zakresem "czynności usługowe" w znajdując</w:t>
      </w:r>
      <w:r w:rsidR="000E4F47">
        <w:rPr>
          <w:sz w:val="24"/>
        </w:rPr>
        <w:t>ej się</w:t>
      </w:r>
      <w:r w:rsidRPr="000B5C83">
        <w:rPr>
          <w:sz w:val="24"/>
        </w:rPr>
        <w:t xml:space="preserve"> w polskim kodeksie karnym definicj</w:t>
      </w:r>
      <w:r w:rsidR="000E4F47">
        <w:rPr>
          <w:sz w:val="24"/>
        </w:rPr>
        <w:t>i</w:t>
      </w:r>
      <w:r w:rsidRPr="000B5C83">
        <w:rPr>
          <w:sz w:val="24"/>
        </w:rPr>
        <w:t xml:space="preserve"> "funkcjonariusza publicznego" oraz "osoby pełniącej funkcję publiczną" nie pociąga</w:t>
      </w:r>
      <w:r w:rsidR="000E4F47">
        <w:rPr>
          <w:sz w:val="24"/>
        </w:rPr>
        <w:t>ł</w:t>
      </w:r>
      <w:r w:rsidRPr="000B5C83">
        <w:rPr>
          <w:sz w:val="24"/>
        </w:rPr>
        <w:t xml:space="preserve"> za sobą wyjątku stosowania przepisów o łapownictwie w odniesieniu do czynów lub zaniechań funkcjonariusza publicznego “w związku z pełnieniem obowiązków służbowych”.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0E4F47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229 kk używa słów "udziela" oraz "obiecuje udzielić" korzyści majątkowej lub osobistej. Władze krajowe wyjaśniły, że "obietnicę udzielenia" należy interpretować</w:t>
      </w:r>
      <w:r>
        <w:rPr>
          <w:sz w:val="24"/>
        </w:rPr>
        <w:t xml:space="preserve">, </w:t>
      </w:r>
      <w:r w:rsidR="00171E70" w:rsidRPr="000B5C83">
        <w:rPr>
          <w:sz w:val="24"/>
        </w:rPr>
        <w:t xml:space="preserve">jako uwzględniającą ofertę udzielenia, przy czym termin ten nie jest wykorzystywany w polskim </w:t>
      </w:r>
      <w:r w:rsidR="00171E70" w:rsidRPr="000B5C83">
        <w:rPr>
          <w:sz w:val="24"/>
        </w:rPr>
        <w:lastRenderedPageBreak/>
        <w:t xml:space="preserve">ustawodawstwie karnym. Eksperci dokonujący przeglądu </w:t>
      </w:r>
      <w:proofErr w:type="gramStart"/>
      <w:r w:rsidR="00171E70" w:rsidRPr="000B5C83">
        <w:rPr>
          <w:sz w:val="24"/>
        </w:rPr>
        <w:t>zalecili,</w:t>
      </w:r>
      <w:r>
        <w:rPr>
          <w:sz w:val="24"/>
        </w:rPr>
        <w:t xml:space="preserve"> </w:t>
      </w:r>
      <w:r w:rsidR="00171E70" w:rsidRPr="000B5C83">
        <w:rPr>
          <w:sz w:val="24"/>
        </w:rPr>
        <w:t>by</w:t>
      </w:r>
      <w:proofErr w:type="gramEnd"/>
      <w:r w:rsidR="00171E70" w:rsidRPr="000B5C83">
        <w:rPr>
          <w:sz w:val="24"/>
        </w:rPr>
        <w:t xml:space="preserve"> władze krajowe kontynuowały gromadzenie jednolitego orzecznictwa w celu zagwarantowania pewności prawnej w zakresie jasnego rozróżnienia między ofertą a obietnicą nienależnej korzyści w przepisach dotyczących </w:t>
      </w:r>
      <w:r>
        <w:rPr>
          <w:sz w:val="24"/>
        </w:rPr>
        <w:t xml:space="preserve">przekupstwa </w:t>
      </w:r>
      <w:r w:rsidR="00171E70" w:rsidRPr="000B5C83">
        <w:rPr>
          <w:sz w:val="24"/>
        </w:rPr>
        <w:t>objętych krajowym ustawodawstwem.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0E4F47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229 paragraf 5 i </w:t>
      </w:r>
      <w:r>
        <w:rPr>
          <w:sz w:val="24"/>
        </w:rPr>
        <w:t xml:space="preserve">art. </w:t>
      </w:r>
      <w:r w:rsidR="00171E70" w:rsidRPr="000B5C83">
        <w:rPr>
          <w:sz w:val="24"/>
        </w:rPr>
        <w:t xml:space="preserve">228 paragraf 6 kk rozciągają zakres stosowania przepisów dotyczących </w:t>
      </w:r>
      <w:r>
        <w:rPr>
          <w:sz w:val="24"/>
        </w:rPr>
        <w:t xml:space="preserve">przekupstwa </w:t>
      </w:r>
      <w:r w:rsidR="00171E70" w:rsidRPr="000B5C83">
        <w:rPr>
          <w:sz w:val="24"/>
        </w:rPr>
        <w:t xml:space="preserve">na osoby pełniące funkcje publiczne w państwie obcym lub w międzynarodowej organizacji. Definicja "osoby pełniącej funkcje publiczne" zawarta w </w:t>
      </w:r>
      <w:r>
        <w:rPr>
          <w:sz w:val="24"/>
        </w:rPr>
        <w:t>art.</w:t>
      </w:r>
      <w:r w:rsidR="00171E70" w:rsidRPr="000B5C83">
        <w:rPr>
          <w:sz w:val="24"/>
        </w:rPr>
        <w:t xml:space="preserve"> 115 paragraf 19 kk obejmuje między innymi osoby,</w:t>
      </w:r>
      <w:r>
        <w:rPr>
          <w:sz w:val="24"/>
        </w:rPr>
        <w:t xml:space="preserve"> których </w:t>
      </w:r>
      <w:r w:rsidR="00171E70" w:rsidRPr="000B5C83">
        <w:rPr>
          <w:sz w:val="24"/>
        </w:rPr>
        <w:t>"uprawnienia i obowiązki w zakresie działalności publicznej są określone lub uznane przez ustawę lub wiążącą Rzeczpospolitą Polską umowę międzynarodową". Eksperci dokonujący przeglądu uznali za dobrą praktykę fakt, że zagraniczne przestępstwa łapownictwa są uregulowane wewnętrznie</w:t>
      </w:r>
      <w:r w:rsidR="001D2EAA">
        <w:rPr>
          <w:sz w:val="24"/>
        </w:rPr>
        <w:t>,</w:t>
      </w:r>
      <w:r w:rsidR="00171E70" w:rsidRPr="000B5C83">
        <w:rPr>
          <w:sz w:val="24"/>
        </w:rPr>
        <w:t xml:space="preserve"> jako pozostające "w związku z funkcjami publicznymi" sprawcy w obcym państwie lub w międzynarodowej organizacji, a także, że ich zakres stosowania nie jest ograniczony do "prowadzenia międzynarodowej działalności".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D2EAA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Czynne i bierne przekupstwo</w:t>
      </w:r>
      <w:r w:rsidR="00171E70" w:rsidRPr="000B5C83">
        <w:rPr>
          <w:sz w:val="24"/>
        </w:rPr>
        <w:t xml:space="preserve"> w sektorze prywatnym podlega kryminalizacji w ramach </w:t>
      </w:r>
      <w:r>
        <w:rPr>
          <w:sz w:val="24"/>
        </w:rPr>
        <w:t>art.</w:t>
      </w:r>
      <w:r w:rsidR="00171E70" w:rsidRPr="000B5C83">
        <w:rPr>
          <w:sz w:val="24"/>
        </w:rPr>
        <w:t xml:space="preserve"> 296a kk. Artykuł ten odnosi się do szczególnych form </w:t>
      </w:r>
      <w:r>
        <w:rPr>
          <w:sz w:val="24"/>
        </w:rPr>
        <w:t xml:space="preserve">działania lub zaniechania </w:t>
      </w:r>
      <w:r w:rsidR="00171E70" w:rsidRPr="000B5C83">
        <w:rPr>
          <w:sz w:val="24"/>
        </w:rPr>
        <w:t>- przyjmującego łapówkę, jaki może pociągnąć za sobą istotne szkody dla jednostki organizacyjnej prowadzącej działalność go</w:t>
      </w:r>
      <w:r>
        <w:rPr>
          <w:sz w:val="24"/>
        </w:rPr>
        <w:t xml:space="preserve">spodarczą lub jaki może stanowić </w:t>
      </w:r>
      <w:r w:rsidR="00171E70" w:rsidRPr="000B5C83">
        <w:rPr>
          <w:sz w:val="24"/>
        </w:rPr>
        <w:t>czyn nieuczciwej konkurencji, bądź też niedopuszczalny czyn preferowania nabywcy lub odbiorcy towarów, usług lub innych świadczeń. Eksperci dokonujący przeglądu uznali, że sformułowanie</w:t>
      </w:r>
      <w:r>
        <w:rPr>
          <w:sz w:val="24"/>
        </w:rPr>
        <w:t xml:space="preserve"> to pociąga za sobą dodatkowe warunki</w:t>
      </w:r>
      <w:r w:rsidR="00171E70" w:rsidRPr="000B5C83">
        <w:rPr>
          <w:sz w:val="24"/>
        </w:rPr>
        <w:t>, które ograniczają zakres stosowania przepisów krajowych w porównaniu z artykułem 21 UNCAC. Z tego względu, zalecają dokonanie zmiany krajowego ustawodawstwa w celu wyeliminowania takich ograniczających w</w:t>
      </w:r>
      <w:r>
        <w:rPr>
          <w:sz w:val="24"/>
        </w:rPr>
        <w:t>arunków</w:t>
      </w:r>
      <w:r w:rsidR="00171E70" w:rsidRPr="000B5C83">
        <w:rPr>
          <w:sz w:val="24"/>
        </w:rPr>
        <w:t>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D2EAA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18 UNCAC jest wprowadzony do prawa krajowego poprzez </w:t>
      </w:r>
      <w:r>
        <w:rPr>
          <w:sz w:val="24"/>
        </w:rPr>
        <w:t>art. 230a i 230 kk, a także art.</w:t>
      </w:r>
      <w:r w:rsidR="00171E70" w:rsidRPr="000B5C83">
        <w:rPr>
          <w:sz w:val="24"/>
        </w:rPr>
        <w:t xml:space="preserve"> 48 ustawy o sportach (sprawy dotyczące ustawiania meczów). Podobnie do przepisów dotyczących</w:t>
      </w:r>
      <w:r>
        <w:rPr>
          <w:sz w:val="24"/>
        </w:rPr>
        <w:t xml:space="preserve"> przekupstwa</w:t>
      </w:r>
      <w:r w:rsidR="00171E70" w:rsidRPr="000B5C83">
        <w:rPr>
          <w:sz w:val="24"/>
        </w:rPr>
        <w:t xml:space="preserve">, eksperci dokonujący przeglądu </w:t>
      </w:r>
      <w:proofErr w:type="gramStart"/>
      <w:r w:rsidR="00171E70" w:rsidRPr="000B5C83">
        <w:rPr>
          <w:sz w:val="24"/>
        </w:rPr>
        <w:t>zalecili, by</w:t>
      </w:r>
      <w:proofErr w:type="gramEnd"/>
      <w:r w:rsidR="00171E70" w:rsidRPr="000B5C83">
        <w:rPr>
          <w:sz w:val="24"/>
        </w:rPr>
        <w:t xml:space="preserve"> władze krajowe kontynuowały gromadzenie jednolitego orzecznictwa w celu zagwarantowania pewności prawnej w zakresie jasnego rozróżnienia między ofertą a obietnicą nienależnej korzyści w przepisach dotyczących handlu wpływami objętych krajowym ustawodawstwem.</w:t>
      </w:r>
    </w:p>
    <w:p w:rsidR="00A407B3" w:rsidRPr="000B5C83" w:rsidRDefault="00A407B3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Pranie pieniędzy, ukrywanie (art. 23 i 24)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Pranie pi</w:t>
      </w:r>
      <w:r w:rsidR="001D2EAA">
        <w:rPr>
          <w:sz w:val="24"/>
        </w:rPr>
        <w:t>eniędzy podlega kryminalizacji na podst.</w:t>
      </w:r>
      <w:r w:rsidRPr="000B5C83">
        <w:rPr>
          <w:sz w:val="24"/>
        </w:rPr>
        <w:t xml:space="preserve"> </w:t>
      </w:r>
      <w:r w:rsidR="001D2EAA">
        <w:rPr>
          <w:sz w:val="24"/>
        </w:rPr>
        <w:t xml:space="preserve">art. </w:t>
      </w:r>
      <w:r w:rsidRPr="000B5C83">
        <w:rPr>
          <w:sz w:val="24"/>
        </w:rPr>
        <w:t xml:space="preserve">299 kk, przy zastosowaniu zasady kryminalizacji "wszystkich przestępstw". Ujawnienie popełnienia przestępstwa jest objęte </w:t>
      </w:r>
      <w:r w:rsidR="001D2EAA">
        <w:rPr>
          <w:sz w:val="24"/>
        </w:rPr>
        <w:t xml:space="preserve">art. </w:t>
      </w:r>
      <w:r w:rsidRPr="000B5C83">
        <w:rPr>
          <w:sz w:val="24"/>
        </w:rPr>
        <w:t xml:space="preserve">299 kk. Podstawowy przepis odnosi się do postępowania osoby, która, między innymi, podejmuje działania mogące uniemożliwić lub </w:t>
      </w:r>
      <w:r w:rsidRPr="000B5C83">
        <w:rPr>
          <w:rStyle w:val="TeksttreciKursywa"/>
          <w:sz w:val="24"/>
        </w:rPr>
        <w:t>znacznie</w:t>
      </w:r>
      <w:r w:rsidRPr="000B5C83">
        <w:rPr>
          <w:sz w:val="24"/>
        </w:rPr>
        <w:t xml:space="preserve"> utrudnić stwierdzenie przestępnego pochodzenia aktywów lub mienia, lub miejsca ich umieszczenia, ich wykrycie, zajęcie albo orzeczenie przepadku. Eksperci dokonujący przeglądu odnotowali ograniczający wymóg "znacznego utrudnienia" stwierdzenia przestępnego pochodzenia wpływów i zalecili skreślenie słowa "znacznie".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D2EAA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24 UNCAC jest wprowadzony </w:t>
      </w:r>
      <w:r>
        <w:rPr>
          <w:sz w:val="24"/>
        </w:rPr>
        <w:t xml:space="preserve">art. </w:t>
      </w:r>
      <w:r w:rsidR="00171E70" w:rsidRPr="000B5C83">
        <w:rPr>
          <w:sz w:val="24"/>
        </w:rPr>
        <w:t>299 kk.</w:t>
      </w:r>
    </w:p>
    <w:p w:rsidR="00A407B3" w:rsidRDefault="00A407B3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0B5C83" w:rsidRPr="000B5C83" w:rsidRDefault="000B5C83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Defraudacja, nadużycie funkcji i bezpodstawne wzbogacenie się (art. 17, 19, 20 i 22).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lastRenderedPageBreak/>
        <w:t>Defraudacja w sektorze publicznym i p</w:t>
      </w:r>
      <w:r w:rsidR="001D2EAA">
        <w:rPr>
          <w:sz w:val="24"/>
        </w:rPr>
        <w:t>rywatnym polega kryminalizacji na podst.</w:t>
      </w:r>
      <w:r w:rsidRPr="000B5C83">
        <w:rPr>
          <w:sz w:val="24"/>
        </w:rPr>
        <w:t xml:space="preserve"> </w:t>
      </w:r>
      <w:r w:rsidR="001D2EAA">
        <w:rPr>
          <w:sz w:val="24"/>
        </w:rPr>
        <w:t>art.</w:t>
      </w:r>
      <w:r w:rsidRPr="000B5C83">
        <w:rPr>
          <w:sz w:val="24"/>
        </w:rPr>
        <w:t xml:space="preserve"> 284 i 296 kk. </w:t>
      </w:r>
      <w:r w:rsidR="001D2EAA">
        <w:rPr>
          <w:sz w:val="24"/>
        </w:rPr>
        <w:t>Art.</w:t>
      </w:r>
      <w:r w:rsidRPr="000B5C83">
        <w:rPr>
          <w:sz w:val="24"/>
        </w:rPr>
        <w:t xml:space="preserve"> 296 kk kryminalizuje dany czyn w szerokim zakresie, w tym sensie, że zajmowanie się sprawami majątkowymi lub działalnością gospodarczą przez nadużycie uprawnień udzielonych sprawcy lub niedopełnienie ciążącego na nim obowiązku również jest uznane za czyn karalny.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D2EAA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19 UNCAC jest w pełni </w:t>
      </w:r>
      <w:r>
        <w:rPr>
          <w:sz w:val="24"/>
        </w:rPr>
        <w:t>implementowany poprzez art.</w:t>
      </w:r>
      <w:r w:rsidR="00171E70" w:rsidRPr="000B5C83">
        <w:rPr>
          <w:sz w:val="24"/>
        </w:rPr>
        <w:t xml:space="preserve"> 231 kk.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D2EAA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 xml:space="preserve">Rozważywszy </w:t>
      </w:r>
      <w:r w:rsidR="00171E70" w:rsidRPr="000B5C83">
        <w:rPr>
          <w:sz w:val="24"/>
        </w:rPr>
        <w:t>możliwoś</w:t>
      </w:r>
      <w:r>
        <w:rPr>
          <w:sz w:val="24"/>
        </w:rPr>
        <w:t>ć</w:t>
      </w:r>
      <w:r w:rsidR="00171E70" w:rsidRPr="000B5C83">
        <w:rPr>
          <w:sz w:val="24"/>
        </w:rPr>
        <w:t xml:space="preserve"> kryminalizacji nie</w:t>
      </w:r>
      <w:r>
        <w:rPr>
          <w:sz w:val="24"/>
        </w:rPr>
        <w:t>legalnego</w:t>
      </w:r>
      <w:r w:rsidR="00171E70" w:rsidRPr="000B5C83">
        <w:rPr>
          <w:sz w:val="24"/>
        </w:rPr>
        <w:t xml:space="preserve"> wzbogacenia się, Polska nie wprowadziła tego</w:t>
      </w:r>
      <w:r>
        <w:rPr>
          <w:sz w:val="24"/>
        </w:rPr>
        <w:t xml:space="preserve"> czynu, jako</w:t>
      </w:r>
      <w:r w:rsidR="00171E70" w:rsidRPr="000B5C83">
        <w:rPr>
          <w:sz w:val="24"/>
        </w:rPr>
        <w:t xml:space="preserve"> przestępstwa.</w:t>
      </w:r>
    </w:p>
    <w:p w:rsidR="00A407B3" w:rsidRPr="000B5C83" w:rsidRDefault="00A407B3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Utrudnianie działania wymiaru sprawiedliwości (art. 25)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D2EAA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25(a) UNCAC jest wprowadzony do prawa krajowego </w:t>
      </w:r>
      <w:r>
        <w:rPr>
          <w:sz w:val="24"/>
        </w:rPr>
        <w:t xml:space="preserve">art. </w:t>
      </w:r>
      <w:r w:rsidR="00171E70" w:rsidRPr="000B5C83">
        <w:rPr>
          <w:sz w:val="24"/>
        </w:rPr>
        <w:t xml:space="preserve">18, 232-240 i 245 kk. Eksperci dokonujący przeglądu zauważyli, że brak jest indywidualnego przestępstwa, w </w:t>
      </w:r>
      <w:proofErr w:type="gramStart"/>
      <w:r w:rsidR="00171E70" w:rsidRPr="000B5C83">
        <w:rPr>
          <w:sz w:val="24"/>
        </w:rPr>
        <w:t>ramach którego</w:t>
      </w:r>
      <w:proofErr w:type="gramEnd"/>
      <w:r w:rsidR="00171E70" w:rsidRPr="000B5C83">
        <w:rPr>
          <w:sz w:val="24"/>
        </w:rPr>
        <w:t xml:space="preserve"> byłaby możliwość </w:t>
      </w:r>
      <w:r w:rsidR="00CB3F27">
        <w:rPr>
          <w:sz w:val="24"/>
        </w:rPr>
        <w:t>u</w:t>
      </w:r>
      <w:r w:rsidR="00171E70" w:rsidRPr="000B5C83">
        <w:rPr>
          <w:sz w:val="24"/>
        </w:rPr>
        <w:t>karania oferowania lub wręczania nienależnej korzyści w celu skłonienia do złożenia fałszywych zeznań lub przedstawienia dowodów w postępowaniu.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CB3F27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25(b) UNCAC jest wprowadzony </w:t>
      </w:r>
      <w:r>
        <w:rPr>
          <w:sz w:val="24"/>
        </w:rPr>
        <w:t>art.</w:t>
      </w:r>
      <w:r w:rsidR="00171E70" w:rsidRPr="000B5C83">
        <w:rPr>
          <w:sz w:val="24"/>
        </w:rPr>
        <w:t xml:space="preserve"> 232 kk.</w:t>
      </w:r>
    </w:p>
    <w:p w:rsidR="00A407B3" w:rsidRPr="000B5C83" w:rsidRDefault="00A407B3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Odpowiedzialność osób prawnych (art. 26)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Ustawa o odpowiedzialności podmiotów zbiorowych za czyny zabronione pod groźbą kary (2002) przewiduje odpowiedzialność "podmiotów zbiorowych", która ma charakter </w:t>
      </w:r>
      <w:proofErr w:type="spellStart"/>
      <w:r w:rsidRPr="000B5C83">
        <w:rPr>
          <w:rStyle w:val="TeksttreciKursywa"/>
          <w:sz w:val="24"/>
        </w:rPr>
        <w:t>sui</w:t>
      </w:r>
      <w:proofErr w:type="spellEnd"/>
      <w:r w:rsidRPr="000B5C83">
        <w:rPr>
          <w:rStyle w:val="TeksttreciKursywa"/>
          <w:sz w:val="24"/>
        </w:rPr>
        <w:t xml:space="preserve"> </w:t>
      </w:r>
      <w:proofErr w:type="spellStart"/>
      <w:r w:rsidRPr="000B5C83">
        <w:rPr>
          <w:rStyle w:val="TeksttreciKursywa"/>
          <w:sz w:val="24"/>
        </w:rPr>
        <w:t>generis</w:t>
      </w:r>
      <w:proofErr w:type="spellEnd"/>
      <w:r w:rsidRPr="000B5C83">
        <w:rPr>
          <w:sz w:val="24"/>
        </w:rPr>
        <w:t>: nie jest uznawana za odpowiedzialność</w:t>
      </w:r>
      <w:r w:rsidR="00CB3F27">
        <w:rPr>
          <w:sz w:val="24"/>
        </w:rPr>
        <w:t xml:space="preserve"> karną</w:t>
      </w:r>
      <w:r w:rsidRPr="000B5C83">
        <w:rPr>
          <w:sz w:val="24"/>
        </w:rPr>
        <w:t xml:space="preserve">, choć jest orzekana w sądzie karnym na podstawie przepisów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>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Zespół dokonujący przeglądu zauważył, że wymóg skazania osoby fizycznej w celu umożliwienia pociągnięcia do odpowiedzialności osoby prawnej (artykuł 4 ustawy) stoi w bezpośredniej sprzeczności z paragrafem 3 artykułu 26 UNCAC, a przez to poważnie narusza skuteczność ustawy. Eksperci dokonujący przeglądu zalecają wykreślenie tego ograniczenia z krajowego ustawodawstwa i ustanowienie skutecznego mechanizmu pociągania osób prawnych do odpowiedzialności, który nie jest ograniczony do przypadków, gdzie są ścigane lub skazywane osoby popełniające przestępstwa.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Ustawa o odpowiedzialności podmiotów zbiorowych wyszczególnia szereg sankcji pieniężnych za łapownictwo, handel wpływami i pranie pieniędzy.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Władze krajowe potwierdziły, że nie ma praktyki </w:t>
      </w:r>
      <w:r w:rsidR="00CB3F27">
        <w:rPr>
          <w:sz w:val="24"/>
        </w:rPr>
        <w:t xml:space="preserve">potwierdzającej </w:t>
      </w:r>
      <w:r w:rsidRPr="000B5C83">
        <w:rPr>
          <w:sz w:val="24"/>
        </w:rPr>
        <w:t>implementacj</w:t>
      </w:r>
      <w:r w:rsidR="00CB3F27">
        <w:rPr>
          <w:sz w:val="24"/>
        </w:rPr>
        <w:t>ę</w:t>
      </w:r>
      <w:r w:rsidRPr="000B5C83">
        <w:rPr>
          <w:sz w:val="24"/>
        </w:rPr>
        <w:t xml:space="preserve"> ustawy. Oprócz problemów związanych z wymogiem wcześniejszego skazania osoby fizycznej, eksperci dokonujący przeglądu zaobserwowali następujące kwestie: wyjątkowo niski poziom sankcji w stosunku do osób prawnych; brak ustawodawstwa umożliwiającego gromadzenie dowodów przeciwko osobom prawnym w związku z popełnieniem przez nie przestępstw; a także luki prawne, które mogą być wykorzystane w celu uchylenia się od odpowiedzialności przez osoby prawne (na przykład, poprzez fuzję z innym podmiotem). Zespół dokonujący przeglądu </w:t>
      </w:r>
      <w:proofErr w:type="gramStart"/>
      <w:r w:rsidRPr="000B5C83">
        <w:rPr>
          <w:sz w:val="24"/>
        </w:rPr>
        <w:t>zalecił, by</w:t>
      </w:r>
      <w:proofErr w:type="gramEnd"/>
      <w:r w:rsidRPr="000B5C83">
        <w:rPr>
          <w:sz w:val="24"/>
        </w:rPr>
        <w:t xml:space="preserve"> władze krajowe podjęły kroki mające na celu rozwiązanie tych problemów oraz zapewnienie skutecznej implementacji odpowiedniego ustawodawstwa.</w:t>
      </w:r>
    </w:p>
    <w:p w:rsidR="00A407B3" w:rsidRPr="000B5C83" w:rsidRDefault="00A407B3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Sprawstwo i usiłowanie (art. 27)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lastRenderedPageBreak/>
        <w:t xml:space="preserve">Sprawstwo popełnienia czynu zabronionego jest uregulowane w </w:t>
      </w:r>
      <w:r w:rsidR="00CB3F27">
        <w:rPr>
          <w:sz w:val="24"/>
        </w:rPr>
        <w:t>art.</w:t>
      </w:r>
      <w:r w:rsidRPr="000B5C83">
        <w:rPr>
          <w:sz w:val="24"/>
        </w:rPr>
        <w:t xml:space="preserve"> 18 i 19 kk. Usiłowanie popełnienia czynu zabronionego podlega </w:t>
      </w:r>
      <w:r w:rsidR="00CB3F27">
        <w:rPr>
          <w:sz w:val="24"/>
        </w:rPr>
        <w:t>art.</w:t>
      </w:r>
      <w:r w:rsidRPr="000B5C83">
        <w:rPr>
          <w:sz w:val="24"/>
        </w:rPr>
        <w:t xml:space="preserve"> 13-15 kk. Przygotowanie popełnienia czynu zabronionego podlega karze tylko wówczas, gdy jest to przewidziane prawem. Przygotowanie do popełnienia przestępstw korupcji nie podlega karze.</w:t>
      </w:r>
    </w:p>
    <w:p w:rsidR="00A407B3" w:rsidRPr="000B5C83" w:rsidRDefault="00A407B3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Ściganie, sądzenie i sankcje; współpraca z organami ścigania (art. 30 i 37)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Zespół dokonujący przeglądu uznał, że sankcje mające zastosowanie do osób popełniających przestępstwo korupcji są adekwatne i wystarczająco odstraszające.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W polskim systemie prawnym istnieje duża grupa funkcjonariuszy publicznych, którym przysługuje immunitet wyłączający ich spod ścigania (parlamentarzyści, sędziowie, prokuratorzy, członkowie Trybunału Stanu, Prezes Najwyższej Izby Kontroli, a także Rzecznik </w:t>
      </w:r>
      <w:proofErr w:type="gramStart"/>
      <w:r w:rsidRPr="000B5C83">
        <w:rPr>
          <w:sz w:val="24"/>
        </w:rPr>
        <w:t>Praw</w:t>
      </w:r>
      <w:proofErr w:type="gramEnd"/>
      <w:r w:rsidRPr="000B5C83">
        <w:rPr>
          <w:sz w:val="24"/>
        </w:rPr>
        <w:t xml:space="preserve"> Obywatelskich).</w:t>
      </w:r>
    </w:p>
    <w:p w:rsidR="00A407B3" w:rsidRPr="000B5C83" w:rsidRDefault="00A407B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Eksperci dokonujący przeglądu zalecili przyjęcie rozwiązań ustawodawczych mających zapewnić możliwość przeprowadzenia dochodzenia mającego na celu zabezpieczenie dowodów popełnienia czynu zabronionego, a w szczególności związanych z uchyleniem tajemnicy bankowej, zanim zostanie uchylony immunitet, a także zawężenie proceduralnego immunitetu wyłącznie do postępowania karnego i nie stosowanie go na etapie postępowania przygotowawczego.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CB3F27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37 UNCAC jest wprowadzony </w:t>
      </w:r>
      <w:r>
        <w:rPr>
          <w:sz w:val="24"/>
        </w:rPr>
        <w:t>art.</w:t>
      </w:r>
      <w:r w:rsidR="00171E70" w:rsidRPr="000B5C83">
        <w:rPr>
          <w:sz w:val="24"/>
        </w:rPr>
        <w:t xml:space="preserve"> 60; 229 paragraf 6; 230a paragraf 3; 250a paragraf 4; 296a paragraf 5; oraz 307 kk.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CB3F27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229 paragraf 6 kk reguluje bezkarność ("nie podlega karze sprawca przestępstwa"), jeżeli korzyść majątkowa lub osobista albo ich obietnica zostały przyjęte przez osobę</w:t>
      </w:r>
      <w:r>
        <w:rPr>
          <w:sz w:val="24"/>
        </w:rPr>
        <w:t xml:space="preserve"> </w:t>
      </w:r>
      <w:r w:rsidR="00171E70" w:rsidRPr="000B5C83">
        <w:rPr>
          <w:sz w:val="24"/>
        </w:rPr>
        <w:t xml:space="preserve">pełniącą funkcję publiczną, a sprawca zawiadomił o tym fakcie organ powołany do ścigania przestępstw i ujawnił wszystkie istotne okoliczności przestępstwa, zanim organ ten o nim się dowiedział. Podobne "klauzule immunitetowe" znaleźć można w </w:t>
      </w:r>
      <w:r>
        <w:rPr>
          <w:sz w:val="24"/>
        </w:rPr>
        <w:t>art.</w:t>
      </w:r>
      <w:r w:rsidR="00171E70" w:rsidRPr="000B5C83">
        <w:rPr>
          <w:sz w:val="24"/>
        </w:rPr>
        <w:t xml:space="preserve"> 230a paragraf 3 kk (czynny handel wpływami - "nie podlega karze sprawca przestępstwa") i </w:t>
      </w:r>
      <w:r>
        <w:rPr>
          <w:sz w:val="24"/>
        </w:rPr>
        <w:t>art.</w:t>
      </w:r>
      <w:r w:rsidR="00171E70" w:rsidRPr="000B5C83">
        <w:rPr>
          <w:sz w:val="24"/>
        </w:rPr>
        <w:t xml:space="preserve"> 296a paragraf 5 kk (czynne łapownictwo w sektorze łapownictwa - "nie podlega karze sprawca przestępstwa").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Eksperci dokonujący przeglądu zachęcili władze krajowe do rozważenia, czy zmiana treści przepisów w formie dodatkowego sformułowania </w:t>
      </w:r>
      <w:r w:rsidR="00CB3F27">
        <w:rPr>
          <w:rStyle w:val="TeksttreciKursywa"/>
          <w:sz w:val="24"/>
        </w:rPr>
        <w:t>("może</w:t>
      </w:r>
      <w:r w:rsidRPr="000B5C83">
        <w:rPr>
          <w:sz w:val="24"/>
        </w:rPr>
        <w:t xml:space="preserve"> nie podlegać karze"; "kara </w:t>
      </w:r>
      <w:r w:rsidRPr="000B5C83">
        <w:rPr>
          <w:rStyle w:val="TeksttreciKursywa"/>
          <w:sz w:val="24"/>
        </w:rPr>
        <w:t xml:space="preserve">może </w:t>
      </w:r>
      <w:r w:rsidRPr="000B5C83">
        <w:rPr>
          <w:sz w:val="24"/>
        </w:rPr>
        <w:t xml:space="preserve">nie być nałożona na sprawcę"; lub, odpowiednio, "sprawca </w:t>
      </w:r>
      <w:r w:rsidRPr="000B5C83">
        <w:rPr>
          <w:rStyle w:val="TeksttreciKursywa"/>
          <w:sz w:val="24"/>
        </w:rPr>
        <w:t>może</w:t>
      </w:r>
      <w:r w:rsidRPr="000B5C83">
        <w:rPr>
          <w:sz w:val="24"/>
        </w:rPr>
        <w:t xml:space="preserve"> nie podlegać karze"), w połączeniu z uwzględnieniem opcji złagodzenia kary/okoliczności łagodzących, nie okazałoby się sprzyjające większej elastyczności stosowania przepisu w poszczególnych przypadkach i nie umożliwiłoby prokuratorom "ważenie" w każdym przypadku poziomu współpracy sprawcy czynnego łapownictwa.</w:t>
      </w:r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Ochrona świadków i osób zgłaszających popełnienie przestępstwa (art. 32 i 33)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Środki ochrony świadków zostały określone w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 xml:space="preserve">, w </w:t>
      </w:r>
      <w:r w:rsidR="00CB3F27">
        <w:rPr>
          <w:sz w:val="24"/>
        </w:rPr>
        <w:t>art.</w:t>
      </w:r>
      <w:r w:rsidRPr="000B5C83">
        <w:rPr>
          <w:sz w:val="24"/>
        </w:rPr>
        <w:t xml:space="preserve"> 20a ustawy o policji oraz w </w:t>
      </w:r>
      <w:r w:rsidR="00CB3F27">
        <w:rPr>
          <w:sz w:val="24"/>
        </w:rPr>
        <w:t>art.</w:t>
      </w:r>
      <w:r w:rsidRPr="000B5C83">
        <w:rPr>
          <w:sz w:val="24"/>
        </w:rPr>
        <w:t xml:space="preserve"> 14 ustawy o świadku koronnym. Zespół dokonujący przeglądu uznał tę ostatnią ustawę za dobrą praktykę, gdyż oferuje ona nowoczesne rozwiązania ochrony świadków koronnych oraz ich osób najbliższych.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Polska poinformowała, że informatorzy </w:t>
      </w:r>
      <w:r w:rsidR="00CB3F27">
        <w:rPr>
          <w:sz w:val="24"/>
        </w:rPr>
        <w:t>(</w:t>
      </w:r>
      <w:proofErr w:type="spellStart"/>
      <w:r w:rsidR="00CB3F27" w:rsidRPr="00CB3F27">
        <w:rPr>
          <w:i/>
          <w:sz w:val="24"/>
        </w:rPr>
        <w:t>whistleblowers</w:t>
      </w:r>
      <w:proofErr w:type="spellEnd"/>
      <w:r w:rsidR="00CB3F27">
        <w:rPr>
          <w:sz w:val="24"/>
        </w:rPr>
        <w:t xml:space="preserve">) </w:t>
      </w:r>
      <w:r w:rsidRPr="000B5C83">
        <w:rPr>
          <w:sz w:val="24"/>
        </w:rPr>
        <w:t xml:space="preserve">podlegają ochronie na podstawie </w:t>
      </w:r>
      <w:r w:rsidRPr="000B5C83">
        <w:rPr>
          <w:sz w:val="24"/>
        </w:rPr>
        <w:lastRenderedPageBreak/>
        <w:t xml:space="preserve">ogólnych zasad prawa pracy. Polska odniosła się również do przepisów chroniących pracowników - informatorów przed działaniami odwetowymi, takich jak przepisy zabraniające dyskryminacji oraz przepisy zabraniające </w:t>
      </w:r>
      <w:proofErr w:type="spellStart"/>
      <w:r w:rsidRPr="000B5C83">
        <w:rPr>
          <w:sz w:val="24"/>
        </w:rPr>
        <w:t>mobbingu</w:t>
      </w:r>
      <w:proofErr w:type="spellEnd"/>
      <w:r w:rsidRPr="000B5C83">
        <w:rPr>
          <w:sz w:val="24"/>
        </w:rPr>
        <w:t xml:space="preserve"> w miejscu pracy.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Jednakże, zespół dokonujący przeglądu odnotował brak informacji w odpowiedzi na zarzuty, że krajowe przepisy dotyczące ochrony informatorów są w dużej mierze nieskuteczne ze względu na ich zróżnicowane i niejasne stosowanie. W szczególności, dostępne badania wskazują, że skuteczność stosowania przepisów kodeksu pracy w praktyce jest bardzo niska. Ponadto, kodeks pracy obejmuje swym zakresem zaledwie część ludności pracującej.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Jedną z zaobserwowanych negatywnych okoliczności była decyzja o wycofaniu ochrony informatorów z Rządowego Programu Antykorupcyjnego na lata 2014-2019. Eksperci dokonujący przeglądu zachęcili polskie władze do zmiany Programu i włączeniu ochrony informatorów</w:t>
      </w:r>
      <w:r w:rsidR="00CB3F27">
        <w:rPr>
          <w:sz w:val="24"/>
        </w:rPr>
        <w:t xml:space="preserve">, </w:t>
      </w:r>
      <w:r w:rsidRPr="000B5C83">
        <w:rPr>
          <w:sz w:val="24"/>
        </w:rPr>
        <w:t>jako wskaźnika, że powinna ona posiadać wysoki priorytet oraz wyrazu politycznej woli polepszenia skuteczności ochrony prawnej informatorów.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Kolejną rekomendacją zespołu dokonującego przeglądu było opracowanie szczegółowego ustawodawstwa dotyczącego ochrony osób zgłaszających popełnienie przestępstwa. Należałoby uwzględnić następujące kwestie: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numPr>
          <w:ilvl w:val="0"/>
          <w:numId w:val="2"/>
        </w:numPr>
        <w:shd w:val="clear" w:color="auto" w:fill="auto"/>
        <w:tabs>
          <w:tab w:val="left" w:pos="56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Wprowadzenie koncepcji "ochrony informatorów": szczegółowe ustawodawstwo dotyczące ochrony osób zgłaszających popełnienie przestępstwa może przyczynić się do wprowadzenia tej ochrony</w:t>
      </w:r>
      <w:r w:rsidR="00CB3F27">
        <w:rPr>
          <w:sz w:val="24"/>
        </w:rPr>
        <w:t>,</w:t>
      </w:r>
      <w:r w:rsidRPr="000B5C83">
        <w:rPr>
          <w:sz w:val="24"/>
        </w:rPr>
        <w:t xml:space="preserve"> jako kluczowej koncepcji w sprawach orzek</w:t>
      </w:r>
      <w:r w:rsidR="00CB3F27">
        <w:rPr>
          <w:sz w:val="24"/>
        </w:rPr>
        <w:t>anych przez sądy, które obecnie</w:t>
      </w:r>
      <w:r w:rsidRPr="000B5C83">
        <w:rPr>
          <w:sz w:val="24"/>
        </w:rPr>
        <w:t xml:space="preserve"> kończą</w:t>
      </w:r>
      <w:r w:rsidR="00CB3F27">
        <w:rPr>
          <w:sz w:val="24"/>
        </w:rPr>
        <w:t>,</w:t>
      </w:r>
      <w:r w:rsidRPr="000B5C83">
        <w:rPr>
          <w:sz w:val="24"/>
        </w:rPr>
        <w:t xml:space="preserve"> jako sprawy o niesłuszne zwolnienie</w:t>
      </w:r>
      <w:r w:rsidR="00CB3F27">
        <w:rPr>
          <w:sz w:val="24"/>
        </w:rPr>
        <w:t xml:space="preserve"> z pracy</w:t>
      </w:r>
      <w:r w:rsidRPr="000B5C83">
        <w:rPr>
          <w:sz w:val="24"/>
        </w:rPr>
        <w:t>;</w:t>
      </w:r>
    </w:p>
    <w:p w:rsidR="00F07D26" w:rsidRPr="000B5C83" w:rsidRDefault="00F07D26" w:rsidP="00F07D26">
      <w:pPr>
        <w:pStyle w:val="Teksttreci0"/>
        <w:shd w:val="clear" w:color="auto" w:fill="auto"/>
        <w:tabs>
          <w:tab w:val="left" w:pos="56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numPr>
          <w:ilvl w:val="0"/>
          <w:numId w:val="2"/>
        </w:numPr>
        <w:shd w:val="clear" w:color="auto" w:fill="auto"/>
        <w:tabs>
          <w:tab w:val="left" w:pos="55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Należy w sposób </w:t>
      </w:r>
      <w:r w:rsidRPr="000B5C83">
        <w:rPr>
          <w:rStyle w:val="TeksttreciKursywa"/>
          <w:sz w:val="24"/>
        </w:rPr>
        <w:t>expressis verbis</w:t>
      </w:r>
      <w:r w:rsidRPr="000B5C83">
        <w:rPr>
          <w:sz w:val="24"/>
        </w:rPr>
        <w:t xml:space="preserve"> zabronić odwetu na informatorach, a wszelkie formy karania powinny również być uznawane za wyraz dyskryminacji w tekstach ustawodawczych;</w:t>
      </w:r>
    </w:p>
    <w:p w:rsidR="00F07D26" w:rsidRPr="000B5C83" w:rsidRDefault="00F07D26" w:rsidP="00F07D26">
      <w:pPr>
        <w:pStyle w:val="Teksttreci0"/>
        <w:shd w:val="clear" w:color="auto" w:fill="auto"/>
        <w:tabs>
          <w:tab w:val="left" w:pos="55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numPr>
          <w:ilvl w:val="0"/>
          <w:numId w:val="2"/>
        </w:numPr>
        <w:shd w:val="clear" w:color="auto" w:fill="auto"/>
        <w:tabs>
          <w:tab w:val="left" w:pos="56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Pod względem implementacji, ciężar dowodu w sprawach informatorów powinien być </w:t>
      </w:r>
      <w:r w:rsidRPr="000B5C83">
        <w:rPr>
          <w:rStyle w:val="TeksttreciKursywa"/>
          <w:sz w:val="24"/>
        </w:rPr>
        <w:t>expressis verbis</w:t>
      </w:r>
      <w:r w:rsidRPr="000B5C83">
        <w:rPr>
          <w:sz w:val="24"/>
        </w:rPr>
        <w:t xml:space="preserve"> nałożony na pracodawcę.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 operacyjnego punktu widzenia, zespół dokonujący przeglądu uznał za dobrą praktykę opracowanie systemu zgłaszania on-</w:t>
      </w:r>
      <w:proofErr w:type="spellStart"/>
      <w:r w:rsidRPr="000B5C83">
        <w:rPr>
          <w:sz w:val="24"/>
        </w:rPr>
        <w:t>line</w:t>
      </w:r>
      <w:proofErr w:type="spellEnd"/>
      <w:r w:rsidRPr="000B5C83">
        <w:rPr>
          <w:sz w:val="24"/>
        </w:rPr>
        <w:t xml:space="preserve"> oraz za pośrednictwem linii telefonicznej </w:t>
      </w:r>
      <w:proofErr w:type="spellStart"/>
      <w:r w:rsidRPr="000B5C83">
        <w:rPr>
          <w:sz w:val="24"/>
        </w:rPr>
        <w:t>helpline</w:t>
      </w:r>
      <w:proofErr w:type="spellEnd"/>
      <w:r w:rsidRPr="000B5C83">
        <w:rPr>
          <w:sz w:val="24"/>
        </w:rPr>
        <w:t>, w oparciu o ustawę o Centralnym Biurze Antykorupcyjnym, w celu umożliwienia polskim obywatelom i innym osobom posiadającym miejsce zamieszkania w Polsce zgłaszanie przestępstw korupcji.</w:t>
      </w:r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Zamrażanie, zabezpieczanie i konfiskata; tajemnica bankowa (art. 31 i 40)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Przepisy prawa karnego w Polsce dopuszczają przepadek mający na celu pozbawienie przestępców wpływów i narzędzi zbrodni (nie ma takiego środka karnego jak "konfiskata aktywów").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Ustawodawstwo polskie przewiduje również przepadek w postępowaniu c</w:t>
      </w:r>
      <w:r w:rsidR="00CB3F27">
        <w:rPr>
          <w:sz w:val="24"/>
        </w:rPr>
        <w:t xml:space="preserve">ywilnym, zgodnie z art. </w:t>
      </w:r>
      <w:r w:rsidRPr="000B5C83">
        <w:rPr>
          <w:sz w:val="24"/>
        </w:rPr>
        <w:t>412 kodeksu cywilnego.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Mienie będące przedmiotem przepadku jest przekazywane do Skarbu Państwa, który ponosi odpowiedzialność za zarządzanie nim. Władze krajowe uznają potrzebę wprowadzenia i wdrożenia bardziej nowoczesnych przepisów dotyczących administrowania wpływami z przestępstwa lub mieniem objętym przepadkiem, zważywszy, że Skarb Państwa nie może </w:t>
      </w:r>
      <w:r w:rsidRPr="000B5C83">
        <w:rPr>
          <w:sz w:val="24"/>
        </w:rPr>
        <w:lastRenderedPageBreak/>
        <w:t>uzyskać korzyści z aktywów objętych przepadkiem. W konsekwencji, eksperci dokonujący przeglądu zarekomendowali przyjęcie i wdrożenie takich środków.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CB3F27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40 UNCAC jest wprowadzony do prawa krajowego </w:t>
      </w:r>
      <w:r>
        <w:rPr>
          <w:sz w:val="24"/>
        </w:rPr>
        <w:t xml:space="preserve">art. </w:t>
      </w:r>
      <w:r w:rsidR="00171E70" w:rsidRPr="000B5C83">
        <w:rPr>
          <w:sz w:val="24"/>
        </w:rPr>
        <w:t>105 paragraf 1 ustawy o bankowości. Polska przyznaje, że procedura występowania o rejestry bankowe - mimo że dokonywana ex-parte - może stanowić wyzwanie z prawnego punktu widzenia, pociągając za sobą opóźnienie ujawnienia tych rejestrów, czego końcowym rezultatem jest poważne opóźnienie postępów toczącego się</w:t>
      </w:r>
      <w:r w:rsidR="00B86A8E">
        <w:rPr>
          <w:sz w:val="24"/>
        </w:rPr>
        <w:t xml:space="preserve"> postępowania</w:t>
      </w:r>
      <w:r w:rsidR="00171E70" w:rsidRPr="000B5C83">
        <w:rPr>
          <w:sz w:val="24"/>
        </w:rPr>
        <w:t>. Z tego względu, zespół dokonujący przeglądu zalecił wprowadzenie skutecznych środków ustawodawczych regulujących ujawnianie rejestrów bankowych w określonym, rozsądnym terminie w celu wyeliminowania trudności prawnych i uniknięcia niepotrzebnych opóźnień.</w:t>
      </w:r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Przedawnienie; karalność (art. 29 i 41)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Okres przedawnienia uzależniony jest od długości kary pozbawienia wolności, jaką można nałożyć za popełnienie danego przestępstwa. Zgodnie z artykułem 102 kk, okres przedawnienia jest przedłużony w przypadku wszczęcia postępowania karnego wobec sprawcy. Zespół dokonujący przeglądu uznał, że okresy przedawnienia są wystarczające </w:t>
      </w:r>
      <w:r w:rsidR="00B86A8E">
        <w:rPr>
          <w:sz w:val="24"/>
        </w:rPr>
        <w:t xml:space="preserve">dla prawidłowego działania wymiaru </w:t>
      </w:r>
      <w:r w:rsidRPr="000B5C83">
        <w:rPr>
          <w:sz w:val="24"/>
        </w:rPr>
        <w:t>sprawiedliwości.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B86A8E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41 UNCAC jest wprowadzony </w:t>
      </w:r>
      <w:r>
        <w:rPr>
          <w:sz w:val="24"/>
        </w:rPr>
        <w:t>art.</w:t>
      </w:r>
      <w:r w:rsidR="00171E70" w:rsidRPr="000B5C83">
        <w:rPr>
          <w:sz w:val="24"/>
        </w:rPr>
        <w:t xml:space="preserve"> 114 i 114a kk.</w:t>
      </w:r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Właściwość sądów (art. 42)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Właściwość sądów oparta o zasadę właściwości terytorialnej</w:t>
      </w:r>
      <w:r w:rsidR="00B86A8E">
        <w:rPr>
          <w:sz w:val="24"/>
        </w:rPr>
        <w:t>,</w:t>
      </w:r>
      <w:r w:rsidRPr="000B5C83">
        <w:rPr>
          <w:sz w:val="24"/>
        </w:rPr>
        <w:t xml:space="preserve"> jest określona w </w:t>
      </w:r>
      <w:r w:rsidR="00B86A8E">
        <w:rPr>
          <w:sz w:val="24"/>
        </w:rPr>
        <w:t>art.</w:t>
      </w:r>
      <w:r w:rsidRPr="000B5C83">
        <w:rPr>
          <w:sz w:val="24"/>
        </w:rPr>
        <w:t xml:space="preserve"> 5 kk. W celu</w:t>
      </w:r>
      <w:r w:rsidR="00B86A8E">
        <w:rPr>
          <w:sz w:val="24"/>
        </w:rPr>
        <w:t xml:space="preserve"> ustalenia </w:t>
      </w:r>
      <w:proofErr w:type="spellStart"/>
      <w:r w:rsidR="00B86A8E">
        <w:rPr>
          <w:sz w:val="24"/>
        </w:rPr>
        <w:t>ekstra</w:t>
      </w:r>
      <w:r w:rsidRPr="000B5C83">
        <w:rPr>
          <w:sz w:val="24"/>
        </w:rPr>
        <w:t>terytorialnej</w:t>
      </w:r>
      <w:proofErr w:type="spellEnd"/>
      <w:r w:rsidRPr="000B5C83">
        <w:rPr>
          <w:sz w:val="24"/>
        </w:rPr>
        <w:t xml:space="preserve"> właściwości sądów, </w:t>
      </w:r>
      <w:r w:rsidR="00B86A8E">
        <w:rPr>
          <w:sz w:val="24"/>
        </w:rPr>
        <w:t xml:space="preserve">co do zasady </w:t>
      </w:r>
      <w:r w:rsidRPr="000B5C83">
        <w:rPr>
          <w:sz w:val="24"/>
        </w:rPr>
        <w:t>wymagan</w:t>
      </w:r>
      <w:r w:rsidR="00B86A8E">
        <w:rPr>
          <w:sz w:val="24"/>
        </w:rPr>
        <w:t>a</w:t>
      </w:r>
      <w:r w:rsidRPr="000B5C83">
        <w:rPr>
          <w:sz w:val="24"/>
        </w:rPr>
        <w:t xml:space="preserve"> jest podwójn</w:t>
      </w:r>
      <w:r w:rsidR="00B86A8E">
        <w:rPr>
          <w:sz w:val="24"/>
        </w:rPr>
        <w:t>a</w:t>
      </w:r>
      <w:r w:rsidRPr="000B5C83">
        <w:rPr>
          <w:sz w:val="24"/>
        </w:rPr>
        <w:t xml:space="preserve"> karalnoś</w:t>
      </w:r>
      <w:r w:rsidR="00B86A8E">
        <w:rPr>
          <w:sz w:val="24"/>
        </w:rPr>
        <w:t>ć</w:t>
      </w:r>
      <w:r w:rsidRPr="000B5C83">
        <w:rPr>
          <w:sz w:val="24"/>
        </w:rPr>
        <w:t xml:space="preserve"> (z pewnymi wyjątkami).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Zgodnie z </w:t>
      </w:r>
      <w:r w:rsidR="00B86A8E">
        <w:rPr>
          <w:sz w:val="24"/>
        </w:rPr>
        <w:t xml:space="preserve">art. </w:t>
      </w:r>
      <w:r w:rsidRPr="000B5C83">
        <w:rPr>
          <w:sz w:val="24"/>
        </w:rPr>
        <w:t>110 paragraf 2 kk, ustawę karną polską stosuje się w razie popełnienia przez cudzoziemca za granicą czynu zabronionego innego niż czyn o charakterze terrorystycznym oraz czyn zabroniony skierowany przeciwko interesom Rzeczypospolitej Polskiej, obywatela polskiego, polskiej osoby prawnej, jeżeli czyn zabroniony jest w ustawie karnej polskiej zagrożony karą przekraczającą dwa lata pozbawienia wolności, a sprawca przebywa na terytorium Rzeczypospolitej Polskiej i nie postanowiono go wydać. Eksperci dokonujący przeglądu zauważyli, że wykorzystano ten przepis do zastosowania aksjomatu "</w:t>
      </w:r>
      <w:r w:rsidRPr="00B86A8E">
        <w:rPr>
          <w:i/>
          <w:sz w:val="24"/>
        </w:rPr>
        <w:t xml:space="preserve">aut </w:t>
      </w:r>
      <w:proofErr w:type="spellStart"/>
      <w:r w:rsidRPr="00B86A8E">
        <w:rPr>
          <w:i/>
          <w:sz w:val="24"/>
        </w:rPr>
        <w:t>dedere</w:t>
      </w:r>
      <w:proofErr w:type="spellEnd"/>
      <w:r w:rsidRPr="00B86A8E">
        <w:rPr>
          <w:i/>
          <w:sz w:val="24"/>
        </w:rPr>
        <w:t xml:space="preserve"> aut </w:t>
      </w:r>
      <w:proofErr w:type="spellStart"/>
      <w:r w:rsidRPr="00B86A8E">
        <w:rPr>
          <w:i/>
          <w:sz w:val="24"/>
        </w:rPr>
        <w:t>judicare</w:t>
      </w:r>
      <w:proofErr w:type="spellEnd"/>
      <w:r w:rsidRPr="00B86A8E">
        <w:rPr>
          <w:i/>
          <w:sz w:val="24"/>
        </w:rPr>
        <w:t>"</w:t>
      </w:r>
      <w:r w:rsidRPr="000B5C83">
        <w:rPr>
          <w:sz w:val="24"/>
        </w:rPr>
        <w:t>, ale jednocześnie podkreślili ograniczenia nałożone przez pułap dwóch lat pozbawienia wolności, zalecając jego skreślenie.</w:t>
      </w:r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Konsekwencje czynów korupcyjnych; odszkodowanie za szkody (art. 34 i 35)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Zgodnie z </w:t>
      </w:r>
      <w:r w:rsidR="00B86A8E">
        <w:rPr>
          <w:sz w:val="24"/>
        </w:rPr>
        <w:t xml:space="preserve">art. </w:t>
      </w:r>
      <w:r w:rsidRPr="000B5C83">
        <w:rPr>
          <w:sz w:val="24"/>
        </w:rPr>
        <w:t>58 kodeksu cywilnego, każda działalność nielegalna, nawet działalność przyjmująca formę umowy lub jakiegokolwiek innego działania prawnego, jest bezskuteczna w obrocie prawnym. To samo stos</w:t>
      </w:r>
      <w:r w:rsidR="00B86A8E">
        <w:rPr>
          <w:sz w:val="24"/>
        </w:rPr>
        <w:t>uje się</w:t>
      </w:r>
      <w:r w:rsidRPr="000B5C83">
        <w:rPr>
          <w:sz w:val="24"/>
        </w:rPr>
        <w:t xml:space="preserve">, jeżeli umowa lub inna czynność prawna została zawarta w związku z przyjęciem/wręczeniem łapówki. </w:t>
      </w:r>
      <w:r w:rsidR="00B86A8E">
        <w:rPr>
          <w:sz w:val="24"/>
        </w:rPr>
        <w:t>Art.</w:t>
      </w:r>
      <w:r w:rsidRPr="000B5C83">
        <w:rPr>
          <w:sz w:val="24"/>
        </w:rPr>
        <w:t xml:space="preserve"> 17 paragraf 5 ustawy o zamówieniach publicznych przewiduje, że osoby wykonujące czynności w postępowaniu o udzielenie zamówienia podlegają wyłączeniu, jeżeli zostały prawomocnie skazane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lastRenderedPageBreak/>
        <w:t>Ofiara w polskim postępowaniu karnym korzysta z</w:t>
      </w:r>
      <w:r w:rsidR="00B86A8E">
        <w:rPr>
          <w:sz w:val="24"/>
        </w:rPr>
        <w:t>e</w:t>
      </w:r>
      <w:r w:rsidRPr="000B5C83">
        <w:rPr>
          <w:sz w:val="24"/>
        </w:rPr>
        <w:t xml:space="preserve"> wszystkich </w:t>
      </w:r>
      <w:proofErr w:type="gramStart"/>
      <w:r w:rsidRPr="000B5C83">
        <w:rPr>
          <w:sz w:val="24"/>
        </w:rPr>
        <w:t>praw</w:t>
      </w:r>
      <w:proofErr w:type="gramEnd"/>
      <w:r w:rsidRPr="000B5C83">
        <w:rPr>
          <w:sz w:val="24"/>
        </w:rPr>
        <w:t xml:space="preserve"> świadka. Status osoby poszkodowanej jest uregulowany w </w:t>
      </w:r>
      <w:r w:rsidR="00B86A8E">
        <w:rPr>
          <w:sz w:val="24"/>
        </w:rPr>
        <w:t>art.</w:t>
      </w:r>
      <w:r w:rsidRPr="000B5C83">
        <w:rPr>
          <w:sz w:val="24"/>
        </w:rPr>
        <w:t xml:space="preserve"> 49-52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>.</w:t>
      </w:r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Organy wyspecjalizowane i koordynacja działań między agencjami (art. 36, 38 i 39)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Centralne Biuro Antykorupcyjne (CBA) jest służbą specjalną prowadzącą działalność na podstawie ustawy z 9 czerwca 2006 roku o Centralnym Biurze Antykorupcyjnym.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Szef CBA jest powoływany na okres czterech lat i odwoływany przez Premiera, po konsultacjach z Prezydentem Rzeczpospolitej Polskiej, Komisji Służb Specjalnych oraz Parlamentarnego Komitetu ds. Służb Specjalnych.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Podczas wizyty w kraju, przedstawiciele społeczeństwa obywatelskiego sugerowali, że Szef CBA powinien być powoływany na podstawie decyzji parlamentarnej podejmowanej w wyniku propozycji złożonej przez Prezydenta Rzeczpospolitej Polskiej. Proces ten jest podobny do procesu powoływania Szefa Na</w:t>
      </w:r>
      <w:r w:rsidR="00E32EB9">
        <w:rPr>
          <w:sz w:val="24"/>
        </w:rPr>
        <w:t>czelnej Izby Kontroli</w:t>
      </w:r>
      <w:r w:rsidRPr="000B5C83">
        <w:rPr>
          <w:sz w:val="24"/>
        </w:rPr>
        <w:t>, któr</w:t>
      </w:r>
      <w:r w:rsidR="00E32EB9">
        <w:rPr>
          <w:sz w:val="24"/>
        </w:rPr>
        <w:t>a</w:t>
      </w:r>
      <w:r w:rsidRPr="000B5C83">
        <w:rPr>
          <w:sz w:val="24"/>
        </w:rPr>
        <w:t xml:space="preserve"> działa jednakże na podstawie mandatu konstytucyjnego. Zespół dokonujący przeglądu zachęcił krajowe władze do zapoznania się z tymi poglądami i dokonania oceny zasadności ich stosowania w kontekście przyszłych rozmów na temat roli, mandatów i skuteczności CBA.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Zgodnie z </w:t>
      </w:r>
      <w:r w:rsidR="00E32EB9">
        <w:rPr>
          <w:sz w:val="24"/>
        </w:rPr>
        <w:t xml:space="preserve">art. </w:t>
      </w:r>
      <w:r w:rsidRPr="000B5C83">
        <w:rPr>
          <w:sz w:val="24"/>
        </w:rPr>
        <w:t>2 ustawy o Centralnym Biurze Antykorupcyjnym, Biuro zajmuje się identyfikacją, zapobieganiem i wykrywaniem szeregu przestępstw, ściganiem przestępców, a także wykonywaniem czynności kontrolnych, analitycznych i prewencyjnych. Wykonuje zadania objęte postępowaniem przygotowawczym</w:t>
      </w:r>
      <w:r w:rsidR="00E32EB9">
        <w:rPr>
          <w:sz w:val="24"/>
        </w:rPr>
        <w:t>,</w:t>
      </w:r>
      <w:r w:rsidRPr="000B5C83">
        <w:rPr>
          <w:sz w:val="24"/>
        </w:rPr>
        <w:t xml:space="preserve"> mającym na celu ujawnienie przestępstw korupcji i przestępstw mających negatywny skutek dla gospodarki państwa.</w:t>
      </w:r>
    </w:p>
    <w:p w:rsidR="000B5C83" w:rsidRDefault="000B5C83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Podczas wizyty w państwie, przedstawiciele społeczeństwa obywatelskiego wypowiadali się na rzecz zwiększenia wysiłków CBA</w:t>
      </w:r>
      <w:r w:rsidR="00E32EB9">
        <w:rPr>
          <w:sz w:val="24"/>
        </w:rPr>
        <w:t>,</w:t>
      </w:r>
      <w:r w:rsidRPr="000B5C83">
        <w:rPr>
          <w:sz w:val="24"/>
        </w:rPr>
        <w:t xml:space="preserve"> dążących do opracowania analitycznych badań kryminologicznych na temat implementacji przepisów prawa karnego dotyczących korupcji.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Zespół dokonujący przeglądu pozytywnie przyjął fakt istnienia i funkcję CBA</w:t>
      </w:r>
      <w:r w:rsidR="00E32EB9">
        <w:rPr>
          <w:sz w:val="24"/>
        </w:rPr>
        <w:t>,</w:t>
      </w:r>
      <w:r w:rsidRPr="000B5C83">
        <w:rPr>
          <w:sz w:val="24"/>
        </w:rPr>
        <w:t xml:space="preserve"> jako specjalnego organu zwalczającego korupcję i zalecił kontynuację wysiłków ukierunkowanych w stronę zwiększenia skuteczności instytucjonalnej. Eksperci dokonujący przeglądu opowiedzieli się za sporządzeniem zarysu kompetencji Biura poprzez jak najlepsze wykorzystanie istniejących zasobów (praktycznym problemem zgłoszonym podczas wizyty w państwie był problem zapewnienia dokładności i wiarygodności </w:t>
      </w:r>
      <w:r w:rsidR="00E32EB9">
        <w:rPr>
          <w:sz w:val="24"/>
        </w:rPr>
        <w:t xml:space="preserve">oświadczeń majątkowych </w:t>
      </w:r>
      <w:r w:rsidRPr="000B5C83">
        <w:rPr>
          <w:sz w:val="24"/>
        </w:rPr>
        <w:t>i konfliktu interesów</w:t>
      </w:r>
      <w:r w:rsidR="00E32EB9">
        <w:rPr>
          <w:sz w:val="24"/>
        </w:rPr>
        <w:t>,</w:t>
      </w:r>
      <w:r w:rsidRPr="000B5C83">
        <w:rPr>
          <w:sz w:val="24"/>
        </w:rPr>
        <w:t xml:space="preserve"> ze względu na dużą liczbę funkcjonariuszy publicznych poddanych kontroli). To polskie władze muszą zdecydować, czy mandat CBA obejmować będzie zarówno funkcję egzekwowania prawa, jak i funkcję prewencyjną, czy Biuro koncentrować się winno na egzekwowaniu prawa, zgodnie z </w:t>
      </w:r>
      <w:r w:rsidR="00E32EB9">
        <w:rPr>
          <w:sz w:val="24"/>
        </w:rPr>
        <w:t xml:space="preserve">art. </w:t>
      </w:r>
      <w:r w:rsidRPr="000B5C83">
        <w:rPr>
          <w:sz w:val="24"/>
        </w:rPr>
        <w:t>36 UNCAC, a za</w:t>
      </w:r>
      <w:r w:rsidR="00E32EB9">
        <w:rPr>
          <w:sz w:val="24"/>
        </w:rPr>
        <w:t>awansowane funkcje prewencyjne należałoby powierzyć</w:t>
      </w:r>
      <w:r w:rsidRPr="000B5C83">
        <w:rPr>
          <w:sz w:val="24"/>
        </w:rPr>
        <w:t xml:space="preserve"> innemu organowi.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Generalny Inspektor Informacji Finansowej (GIIF) ponosi odpowiedzialność za realizację zadać związanych z praniem pieniędzy i finansowaniem działalności terrorystycznej. Wraz z Departamentem Informacji Finansowej, tworzą oni polską Jednostkę Wywiadu Finansowego mieszczącą się w strukturach Ministerstwa Finansów.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Odpowiedzialność za ściganie przestępstw korupcji spoczywa na służbach prokuratorskich, które nadzorują śledztwa prowadzone przez CBA i </w:t>
      </w:r>
      <w:r w:rsidR="00E32EB9">
        <w:rPr>
          <w:sz w:val="24"/>
        </w:rPr>
        <w:t xml:space="preserve">inne </w:t>
      </w:r>
      <w:r w:rsidRPr="000B5C83">
        <w:rPr>
          <w:sz w:val="24"/>
        </w:rPr>
        <w:t xml:space="preserve">organy ścigania. Ustawa z 9 października 2009 roku zmieniająca ustawę o prokuraturze wydzieliła funkcję Prokuratora </w:t>
      </w:r>
      <w:r w:rsidRPr="000B5C83">
        <w:rPr>
          <w:sz w:val="24"/>
        </w:rPr>
        <w:lastRenderedPageBreak/>
        <w:t>Generalnego z Ministerstwa Sprawiedliwości. Wyżej wspomniana ustawa, zmieniająca ustawę o prokuraturze z 1985 roku, powołała Krajową Radę Prokuratury (KRP)</w:t>
      </w:r>
      <w:r w:rsidR="00E32EB9">
        <w:rPr>
          <w:sz w:val="24"/>
        </w:rPr>
        <w:t>,</w:t>
      </w:r>
      <w:r w:rsidRPr="000B5C83">
        <w:rPr>
          <w:sz w:val="24"/>
        </w:rPr>
        <w:t xml:space="preserve"> jako wskazany samorządowy organ mający zabezpieczać i chronić niezależność prokuratorów. W ramach służb prokuratorskich stworzono wyspecjalizowane jednostki do zwalczania korupcji.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Władze krajowe poinformowały o krajowych przepisach wspierających współpracę między instytucjami rządowymi powołanymi do zwalczania przestępczości, w tym przestępstw korupc</w:t>
      </w:r>
      <w:r w:rsidR="00E32EB9">
        <w:rPr>
          <w:sz w:val="24"/>
        </w:rPr>
        <w:t>y</w:t>
      </w:r>
      <w:r w:rsidRPr="000B5C83">
        <w:rPr>
          <w:sz w:val="24"/>
        </w:rPr>
        <w:t>j</w:t>
      </w:r>
      <w:r w:rsidR="00E32EB9">
        <w:rPr>
          <w:sz w:val="24"/>
        </w:rPr>
        <w:t>nych</w:t>
      </w:r>
      <w:r w:rsidRPr="000B5C83">
        <w:rPr>
          <w:sz w:val="24"/>
        </w:rPr>
        <w:t xml:space="preserve"> (głównie </w:t>
      </w:r>
      <w:r w:rsidR="00E32EB9">
        <w:rPr>
          <w:sz w:val="24"/>
        </w:rPr>
        <w:t xml:space="preserve">art. </w:t>
      </w:r>
      <w:r w:rsidRPr="000B5C83">
        <w:rPr>
          <w:sz w:val="24"/>
        </w:rPr>
        <w:t xml:space="preserve">304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>). Poinformowały również o współpracy między instytucjami rządowymi a podmiotami z sektora prywatnego (</w:t>
      </w:r>
      <w:r w:rsidR="00E32EB9">
        <w:rPr>
          <w:sz w:val="24"/>
        </w:rPr>
        <w:t>art.</w:t>
      </w:r>
      <w:r w:rsidRPr="000B5C83">
        <w:rPr>
          <w:sz w:val="24"/>
        </w:rPr>
        <w:t xml:space="preserve"> 15 paragraf 3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 xml:space="preserve"> oraz, w odniesieniu do prania pieniędzy i finansowania działalności terrorystycznej, rozdział 4 ustawy o "zwalczaniu prania pieniędzy i finansowaniu terroryzmu" z dnia 16 listopada 2000 roku).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Eksperci dokonujący przeglądu zachęcili władze krajowe do czynienia dalszych wysiłków mających na celu rozwój koordynacji pomiędzy poszczególnymi agencjami w zwalczaniu korupcji, a także współpracy między krajowymi władzami a sektorem prywatnym w tym samym celu.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Nagwek30"/>
        <w:keepNext/>
        <w:keepLines/>
        <w:numPr>
          <w:ilvl w:val="1"/>
          <w:numId w:val="1"/>
        </w:numPr>
        <w:shd w:val="clear" w:color="auto" w:fill="auto"/>
        <w:tabs>
          <w:tab w:val="left" w:pos="566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bookmarkStart w:id="8" w:name="bookmark8"/>
      <w:r w:rsidRPr="000B5C83">
        <w:rPr>
          <w:sz w:val="24"/>
        </w:rPr>
        <w:t>Sukcesy i dobre praktyki</w:t>
      </w:r>
      <w:bookmarkEnd w:id="8"/>
    </w:p>
    <w:p w:rsidR="00F07D26" w:rsidRPr="000B5C83" w:rsidRDefault="00F07D26" w:rsidP="00F07D26">
      <w:pPr>
        <w:pStyle w:val="Nagwek30"/>
        <w:keepNext/>
        <w:keepLines/>
        <w:shd w:val="clear" w:color="auto" w:fill="auto"/>
        <w:tabs>
          <w:tab w:val="left" w:pos="566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Fakt, że przestępstwa </w:t>
      </w:r>
      <w:r w:rsidR="00E32EB9">
        <w:rPr>
          <w:sz w:val="24"/>
        </w:rPr>
        <w:t xml:space="preserve">przekupstw zagranicznych funkcjonariuszy </w:t>
      </w:r>
      <w:r w:rsidR="004109B8">
        <w:rPr>
          <w:sz w:val="24"/>
        </w:rPr>
        <w:t xml:space="preserve">są uregulowane </w:t>
      </w:r>
      <w:proofErr w:type="gramStart"/>
      <w:r w:rsidR="004109B8">
        <w:rPr>
          <w:sz w:val="24"/>
        </w:rPr>
        <w:t xml:space="preserve">wewnętrznie </w:t>
      </w:r>
      <w:r w:rsidRPr="000B5C83">
        <w:rPr>
          <w:sz w:val="24"/>
        </w:rPr>
        <w:t>jako</w:t>
      </w:r>
      <w:proofErr w:type="gramEnd"/>
      <w:r w:rsidRPr="000B5C83">
        <w:rPr>
          <w:sz w:val="24"/>
        </w:rPr>
        <w:t xml:space="preserve"> pozostające "w związku z funkcjami publicznymi" sprawcy w obcym państwie lub w międzynarodowej organizacji, a także, że ich zakres stosowania nie jest ograniczony do "prowadzenia międzynarodowej działalności".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E32EB9" w:rsidRDefault="00171E70" w:rsidP="00E32EB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Ustawa o świadku koronnym, która wprowadza nowoczesne rozwiązania dla ochrony świadków koronnych i ich bliskich;</w:t>
      </w:r>
    </w:p>
    <w:p w:rsidR="00E32EB9" w:rsidRDefault="00E32EB9" w:rsidP="00E32EB9">
      <w:pPr>
        <w:pStyle w:val="Akapitzlist"/>
      </w:pPr>
    </w:p>
    <w:p w:rsidR="00AA1848" w:rsidRPr="00E32EB9" w:rsidRDefault="00171E70" w:rsidP="00E32EB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32EB9">
        <w:rPr>
          <w:sz w:val="24"/>
        </w:rPr>
        <w:t>Opracowanie systemu zgłaszania on-</w:t>
      </w:r>
      <w:proofErr w:type="spellStart"/>
      <w:r w:rsidRPr="00E32EB9">
        <w:rPr>
          <w:sz w:val="24"/>
        </w:rPr>
        <w:t>line</w:t>
      </w:r>
      <w:proofErr w:type="spellEnd"/>
      <w:r w:rsidRPr="00E32EB9">
        <w:rPr>
          <w:sz w:val="24"/>
        </w:rPr>
        <w:t xml:space="preserve"> oraz za pośrednictwem linii telefonicznej </w:t>
      </w:r>
      <w:proofErr w:type="spellStart"/>
      <w:r w:rsidRPr="00E32EB9">
        <w:rPr>
          <w:sz w:val="24"/>
        </w:rPr>
        <w:t>helpline</w:t>
      </w:r>
      <w:proofErr w:type="spellEnd"/>
      <w:r w:rsidRPr="00E32EB9">
        <w:rPr>
          <w:sz w:val="24"/>
        </w:rPr>
        <w:t>, w oparciu o ustawę o Centralnym Biurze Antykorupcyjnym (CBA), w celu umożliwienia polskim obywatelom i innym osobom posiadającym miejsce zamieszkania w Polsce zgłaszanie przestępstw korupcji.</w:t>
      </w:r>
    </w:p>
    <w:p w:rsidR="00F07D26" w:rsidRPr="000B5C83" w:rsidRDefault="00F07D26" w:rsidP="00F07D26">
      <w:pPr>
        <w:pStyle w:val="Teksttreci0"/>
        <w:shd w:val="clear" w:color="auto" w:fill="auto"/>
        <w:tabs>
          <w:tab w:val="left" w:pos="114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Nagwek30"/>
        <w:keepNext/>
        <w:keepLines/>
        <w:numPr>
          <w:ilvl w:val="1"/>
          <w:numId w:val="1"/>
        </w:numPr>
        <w:shd w:val="clear" w:color="auto" w:fill="auto"/>
        <w:tabs>
          <w:tab w:val="left" w:pos="566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bookmarkStart w:id="9" w:name="bookmark9"/>
      <w:r w:rsidRPr="000B5C83">
        <w:rPr>
          <w:sz w:val="24"/>
        </w:rPr>
        <w:t>Wyzwania na drodze implementacji</w:t>
      </w:r>
      <w:bookmarkEnd w:id="9"/>
    </w:p>
    <w:p w:rsidR="00F07D26" w:rsidRPr="000B5C83" w:rsidRDefault="00F07D26" w:rsidP="00F07D26">
      <w:pPr>
        <w:pStyle w:val="Nagwek30"/>
        <w:keepNext/>
        <w:keepLines/>
        <w:shd w:val="clear" w:color="auto" w:fill="auto"/>
        <w:tabs>
          <w:tab w:val="left" w:pos="566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Kontynuacja gromadzenia jednolitego orzecznictwa w celu zagwarantowania pewności prawnej w zakresie jasnego rozróżnienia między ofertą a obietnicą nienależnej korzyści w przepisach dotyczących </w:t>
      </w:r>
      <w:r w:rsidR="00E32EB9">
        <w:rPr>
          <w:sz w:val="24"/>
        </w:rPr>
        <w:t xml:space="preserve">przekupstwa </w:t>
      </w:r>
      <w:r w:rsidRPr="000B5C83">
        <w:rPr>
          <w:sz w:val="24"/>
        </w:rPr>
        <w:t>i handlu wpływami</w:t>
      </w:r>
      <w:r w:rsidR="00E32EB9">
        <w:rPr>
          <w:sz w:val="24"/>
        </w:rPr>
        <w:t>,</w:t>
      </w:r>
      <w:r w:rsidRPr="000B5C83">
        <w:rPr>
          <w:sz w:val="24"/>
        </w:rPr>
        <w:t xml:space="preserve"> objętych krajowym ustawodawstwem;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Podjęcie kroków zmierzających do zmiany polskie</w:t>
      </w:r>
      <w:r w:rsidR="00E32EB9">
        <w:rPr>
          <w:sz w:val="24"/>
        </w:rPr>
        <w:t>go ustawodawstwa - lub wprowadzenia</w:t>
      </w:r>
      <w:r w:rsidRPr="000B5C83">
        <w:rPr>
          <w:sz w:val="24"/>
        </w:rPr>
        <w:t xml:space="preserve"> jego jednolit</w:t>
      </w:r>
      <w:r w:rsidR="00E32EB9">
        <w:rPr>
          <w:sz w:val="24"/>
        </w:rPr>
        <w:t>ej</w:t>
      </w:r>
      <w:r w:rsidRPr="000B5C83">
        <w:rPr>
          <w:sz w:val="24"/>
        </w:rPr>
        <w:t xml:space="preserve"> interpretacj</w:t>
      </w:r>
      <w:r w:rsidR="00E32EB9">
        <w:rPr>
          <w:sz w:val="24"/>
        </w:rPr>
        <w:t>i</w:t>
      </w:r>
      <w:r w:rsidRPr="000B5C83">
        <w:rPr>
          <w:sz w:val="24"/>
        </w:rPr>
        <w:t xml:space="preserve"> - w celu zapewnienia, że wyjątek obejmujący swym zakresem "czynności usługowe" w znajdujących w polskim kodeksie karnym definicjach "funkcjonariusza publicznego" oraz "osoby pełniącej funkcję publiczną" nie pociąga za sobą wyjątku stosowania przepisów o </w:t>
      </w:r>
      <w:r w:rsidR="00E32EB9">
        <w:rPr>
          <w:sz w:val="24"/>
        </w:rPr>
        <w:t xml:space="preserve">przekupstwie </w:t>
      </w:r>
      <w:r w:rsidRPr="000B5C83">
        <w:rPr>
          <w:sz w:val="24"/>
        </w:rPr>
        <w:t>w odniesieniu do czynów lub zaniechań funkcjonariusza publicznego “w związku z pełnieniem obowiązków służbowych”;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Zmiana krajowego ustawodawstwa w celu przezwyciężenia problemów, jakie mogą wy</w:t>
      </w:r>
      <w:r w:rsidR="00E32EB9">
        <w:rPr>
          <w:sz w:val="24"/>
        </w:rPr>
        <w:t>stąpić</w:t>
      </w:r>
      <w:r w:rsidRPr="000B5C83">
        <w:rPr>
          <w:sz w:val="24"/>
        </w:rPr>
        <w:t xml:space="preserve"> w związku z istniejącymi wymaganiami ograniczającymi zastosowanie </w:t>
      </w:r>
      <w:r w:rsidR="00E32EB9">
        <w:rPr>
          <w:sz w:val="24"/>
        </w:rPr>
        <w:t>art.</w:t>
      </w:r>
      <w:r w:rsidRPr="000B5C83">
        <w:rPr>
          <w:sz w:val="24"/>
        </w:rPr>
        <w:t xml:space="preserve"> 296a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 xml:space="preserve"> w zakresie kryminalizacji </w:t>
      </w:r>
      <w:r w:rsidR="00E32EB9">
        <w:rPr>
          <w:sz w:val="24"/>
        </w:rPr>
        <w:t xml:space="preserve">przekupstwa </w:t>
      </w:r>
      <w:r w:rsidRPr="000B5C83">
        <w:rPr>
          <w:sz w:val="24"/>
        </w:rPr>
        <w:t xml:space="preserve">w sektorze prywatnym, (czyn - lub brak czynu - przyjmującego łapówkę, </w:t>
      </w:r>
      <w:r w:rsidR="00E32EB9">
        <w:rPr>
          <w:sz w:val="24"/>
        </w:rPr>
        <w:t xml:space="preserve">który </w:t>
      </w:r>
      <w:r w:rsidRPr="000B5C83">
        <w:rPr>
          <w:sz w:val="24"/>
        </w:rPr>
        <w:t xml:space="preserve">może pociągnąć za sobą istotne szkody dla jednostki </w:t>
      </w:r>
      <w:r w:rsidRPr="000B5C83">
        <w:rPr>
          <w:sz w:val="24"/>
        </w:rPr>
        <w:lastRenderedPageBreak/>
        <w:t>organizacyjnej prowadzącej działalność gospodarczą lub</w:t>
      </w:r>
      <w:r w:rsidR="00E32EB9">
        <w:rPr>
          <w:sz w:val="24"/>
        </w:rPr>
        <w:t>,</w:t>
      </w:r>
      <w:r w:rsidRPr="000B5C83">
        <w:rPr>
          <w:sz w:val="24"/>
        </w:rPr>
        <w:t xml:space="preserve"> </w:t>
      </w:r>
      <w:r w:rsidR="00E32EB9">
        <w:rPr>
          <w:sz w:val="24"/>
        </w:rPr>
        <w:t xml:space="preserve">który </w:t>
      </w:r>
      <w:r w:rsidRPr="000B5C83">
        <w:rPr>
          <w:sz w:val="24"/>
        </w:rPr>
        <w:t>może stanowi</w:t>
      </w:r>
      <w:r w:rsidR="00E32EB9">
        <w:rPr>
          <w:sz w:val="24"/>
        </w:rPr>
        <w:t>ć</w:t>
      </w:r>
      <w:r w:rsidRPr="000B5C83">
        <w:rPr>
          <w:sz w:val="24"/>
        </w:rPr>
        <w:t xml:space="preserve"> czyn nieuczciwej konkurencji, bądź też niedopuszczalny czyn preferowania nabywcy lub odbiorcy towarów, usług lub innych świadczeń);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Zmiana krajowego ustawodawstwa zmierzająca do wyelim</w:t>
      </w:r>
      <w:r w:rsidR="00E32EB9">
        <w:rPr>
          <w:sz w:val="24"/>
        </w:rPr>
        <w:t>inowania słowa "znacznie" w art.</w:t>
      </w:r>
      <w:r w:rsidRPr="000B5C83">
        <w:rPr>
          <w:sz w:val="24"/>
        </w:rPr>
        <w:t xml:space="preserve"> 299 kk w opisie postępowania obejmującego "podejmowanie innych działań, jakie mogą uniemożliwić stwierdzenie przestępnego pochodzenia" wpływów (pranie pieniędzy);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Rozważenie wprowadzenia przepisu do krajowego ustawodawstwa określającego indywidualne przestępstwo, które konkretnie obejmuje oferowani</w:t>
      </w:r>
      <w:r w:rsidR="00E32EB9">
        <w:rPr>
          <w:sz w:val="24"/>
        </w:rPr>
        <w:t>e</w:t>
      </w:r>
      <w:r w:rsidRPr="000B5C83">
        <w:rPr>
          <w:sz w:val="24"/>
        </w:rPr>
        <w:t xml:space="preserve"> lub wręcz</w:t>
      </w:r>
      <w:r w:rsidR="00E32EB9">
        <w:rPr>
          <w:sz w:val="24"/>
        </w:rPr>
        <w:t>enie</w:t>
      </w:r>
      <w:r w:rsidRPr="000B5C83">
        <w:rPr>
          <w:sz w:val="24"/>
        </w:rPr>
        <w:t xml:space="preserve"> nienależnej korzyści w celu skłonienia do złożenia fałszywych zeznań lub </w:t>
      </w:r>
      <w:r w:rsidR="00E32EB9">
        <w:rPr>
          <w:sz w:val="24"/>
        </w:rPr>
        <w:t xml:space="preserve">dostarczenia </w:t>
      </w:r>
      <w:r w:rsidRPr="000B5C83">
        <w:rPr>
          <w:sz w:val="24"/>
        </w:rPr>
        <w:t>dowodów w postępowaniu;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Wyeliminowanie wymogu </w:t>
      </w:r>
      <w:r w:rsidR="00E32EB9">
        <w:rPr>
          <w:sz w:val="24"/>
        </w:rPr>
        <w:t xml:space="preserve">uprzedniego </w:t>
      </w:r>
      <w:r w:rsidRPr="000B5C83">
        <w:rPr>
          <w:sz w:val="24"/>
        </w:rPr>
        <w:t>skaz</w:t>
      </w:r>
      <w:r w:rsidR="00E32EB9">
        <w:rPr>
          <w:sz w:val="24"/>
        </w:rPr>
        <w:t>ania</w:t>
      </w:r>
      <w:r w:rsidRPr="000B5C83">
        <w:rPr>
          <w:sz w:val="24"/>
        </w:rPr>
        <w:t xml:space="preserve"> osoby fizycznej w celu pociągnięcia do odpowiedzialności osoby prawnej oraz określenie skutecznej odpowiedzialności osób prawnych, które nie jest ograniczone do przypadków, gdzie są ścigane lub skazywane osoby fizyczne popełniające przestępstwa;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Podejmowanie kroków mających na celu skuteczne wdrożenie ustawodawstwa krajowego dotyczącego odpowiedzialności osób prawnych, w szczególności poprzez zwiększenie sankcji, umożliwienie gromadzenia dowodów przeciwko osobom prawnym podejrzanym o popełnienie czynów zabronionych oraz zapobieganie lukom, które mogą być wykorzystywane w celu uchylenia się od odpowiedzialności przez podmioty prawne;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Wprowadzenie rozwiązań ustawodawczych mających zapewnić możliwość przeprowadzenia </w:t>
      </w:r>
      <w:r w:rsidR="00577DDE">
        <w:rPr>
          <w:sz w:val="24"/>
        </w:rPr>
        <w:t>postępowania w celu zabezpieczenia</w:t>
      </w:r>
      <w:r w:rsidRPr="000B5C83">
        <w:rPr>
          <w:sz w:val="24"/>
        </w:rPr>
        <w:t xml:space="preserve"> dowodów p</w:t>
      </w:r>
      <w:r w:rsidR="00577DDE">
        <w:rPr>
          <w:sz w:val="24"/>
        </w:rPr>
        <w:t xml:space="preserve">opełnienia czynu zabronionego, </w:t>
      </w:r>
      <w:r w:rsidRPr="000B5C83">
        <w:rPr>
          <w:sz w:val="24"/>
        </w:rPr>
        <w:t xml:space="preserve">w szczególności związanych z uchyleniem tajemnicy bankowej, zanim zostanie uchylony immunitet, a także zawężenie immunitetu </w:t>
      </w:r>
      <w:r w:rsidR="00577DDE">
        <w:rPr>
          <w:sz w:val="24"/>
        </w:rPr>
        <w:t xml:space="preserve">procesowego </w:t>
      </w:r>
      <w:r w:rsidRPr="000B5C83">
        <w:rPr>
          <w:sz w:val="24"/>
        </w:rPr>
        <w:t xml:space="preserve">wyłącznie do </w:t>
      </w:r>
      <w:r w:rsidR="00577DDE">
        <w:rPr>
          <w:sz w:val="24"/>
        </w:rPr>
        <w:t xml:space="preserve">oskarżenia </w:t>
      </w:r>
      <w:r w:rsidRPr="000B5C83">
        <w:rPr>
          <w:sz w:val="24"/>
        </w:rPr>
        <w:t xml:space="preserve">i </w:t>
      </w:r>
      <w:r w:rsidR="00577DDE">
        <w:rPr>
          <w:sz w:val="24"/>
        </w:rPr>
        <w:t>nie</w:t>
      </w:r>
      <w:r w:rsidRPr="000B5C83">
        <w:rPr>
          <w:sz w:val="24"/>
        </w:rPr>
        <w:t>stosowan</w:t>
      </w:r>
      <w:r w:rsidR="00577DDE">
        <w:rPr>
          <w:sz w:val="24"/>
        </w:rPr>
        <w:t xml:space="preserve">ie go </w:t>
      </w:r>
      <w:r w:rsidRPr="000B5C83">
        <w:rPr>
          <w:sz w:val="24"/>
        </w:rPr>
        <w:t>na etapie postępowania przygotowawczego;</w:t>
      </w:r>
    </w:p>
    <w:p w:rsidR="00F07D26" w:rsidRPr="000B5C83" w:rsidRDefault="00F07D26" w:rsidP="00F07D26">
      <w:pPr>
        <w:pStyle w:val="Teksttreci0"/>
        <w:shd w:val="clear" w:color="auto" w:fill="auto"/>
        <w:tabs>
          <w:tab w:val="left" w:pos="114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Przyjęcie i wdrożenie środków mających na celu zapewnienie bardziej skutecznego i efektywnego zarządzania wpływami z działalności przestępczej lub mieniem objętym przepadkiem;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Zbadan</w:t>
      </w:r>
      <w:r w:rsidR="00577DDE">
        <w:rPr>
          <w:sz w:val="24"/>
        </w:rPr>
        <w:t>ie możliwości zmiany Rządowego P</w:t>
      </w:r>
      <w:r w:rsidRPr="000B5C83">
        <w:rPr>
          <w:sz w:val="24"/>
        </w:rPr>
        <w:t xml:space="preserve">rogramu Antykorupcyjnego na lata 2014-2019 w celu uwzględnienia w nim ochrony informatorów; a także opracowanie szczególnego ustawodawstwa dotyczącego ochrony osób zgłaszających popełnienie przestępstwa. Względy, jakie należy </w:t>
      </w:r>
      <w:r w:rsidR="00577DDE">
        <w:rPr>
          <w:sz w:val="24"/>
        </w:rPr>
        <w:t xml:space="preserve">wziąć pod uwagę podczas opracowywania </w:t>
      </w:r>
      <w:r w:rsidRPr="000B5C83">
        <w:rPr>
          <w:sz w:val="24"/>
        </w:rPr>
        <w:t>i wdrażania takiego ustawodawstwa zostały opisane powyżej;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Wspieranie wysiłków Centralnego Biura Antykorupcyjnego skierowanych w stronę opracowania analitycznych badań kryminologicznych na temat implementacji przepisów prawa karnego dotyczących korupcji;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Zbadanie i ocena możliwości wprowadzenia w życie sugestii dotyczących ustalenia wysokich standardów powoływania Szefa CBA, z udziałem decyzji parlamentarnej dotyczącej propozycji przedstawionej przez Prezydenta Rzeczpospolitej Polskiej;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Kontynuowanie wysiłków zmierzających do zwiększenia instytucjonalnej skuteczności CBA; stworzenie zarysu kompetencji Biura z uwzględnieniem konieczności jak </w:t>
      </w:r>
      <w:r w:rsidRPr="000B5C83">
        <w:rPr>
          <w:sz w:val="24"/>
        </w:rPr>
        <w:lastRenderedPageBreak/>
        <w:t xml:space="preserve">najlepszego wykorzystania istniejących zasobów; oraz, na tej podstawie, podjęcie decyzji, czy mandat CBA obejmować będzie zarówno funkcję egzekwowania prawa, jak i funkcję prewencyjną, czy Biuro koncentrować się </w:t>
      </w:r>
      <w:r w:rsidR="00577DDE">
        <w:rPr>
          <w:sz w:val="24"/>
        </w:rPr>
        <w:t>po</w:t>
      </w:r>
      <w:r w:rsidRPr="000B5C83">
        <w:rPr>
          <w:sz w:val="24"/>
        </w:rPr>
        <w:t xml:space="preserve">winno na egzekwowaniu prawa, zgodnie z </w:t>
      </w:r>
      <w:r w:rsidR="00577DDE">
        <w:rPr>
          <w:sz w:val="24"/>
        </w:rPr>
        <w:t xml:space="preserve">art. </w:t>
      </w:r>
      <w:r w:rsidRPr="000B5C83">
        <w:rPr>
          <w:sz w:val="24"/>
        </w:rPr>
        <w:t>36 UNCAC;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Rozważenie, czy zmiana formy opcjonalnego sformułowania tekstu "klauzul immunitetowych" zawartych w </w:t>
      </w:r>
      <w:r w:rsidR="00577DDE">
        <w:rPr>
          <w:sz w:val="24"/>
        </w:rPr>
        <w:t>art.</w:t>
      </w:r>
      <w:r w:rsidRPr="000B5C83">
        <w:rPr>
          <w:sz w:val="24"/>
        </w:rPr>
        <w:t xml:space="preserve"> 229 paragraf 6, </w:t>
      </w:r>
      <w:r w:rsidR="00577DDE">
        <w:rPr>
          <w:sz w:val="24"/>
        </w:rPr>
        <w:t>art.</w:t>
      </w:r>
      <w:r w:rsidRPr="000B5C83">
        <w:rPr>
          <w:sz w:val="24"/>
        </w:rPr>
        <w:t xml:space="preserve"> 230a paragraf 3 i </w:t>
      </w:r>
      <w:r w:rsidR="00577DDE">
        <w:rPr>
          <w:sz w:val="24"/>
        </w:rPr>
        <w:t>art. 296a paragraf 5 kk ("może</w:t>
      </w:r>
      <w:r w:rsidRPr="000B5C83">
        <w:rPr>
          <w:sz w:val="24"/>
        </w:rPr>
        <w:t xml:space="preserve"> nie podlegać</w:t>
      </w:r>
      <w:r w:rsidR="00577DDE">
        <w:rPr>
          <w:sz w:val="24"/>
        </w:rPr>
        <w:t xml:space="preserve"> karze"; "kara może</w:t>
      </w:r>
      <w:r w:rsidRPr="000B5C83">
        <w:rPr>
          <w:sz w:val="24"/>
        </w:rPr>
        <w:t xml:space="preserve"> nie być nałożona na sprawcę"; lub, odpowiednio, "sprawca może nie podlegać karze"), w połączeniu z uwzględnieniem opcji złagodzenia kary/okoliczności łagodzącyc</w:t>
      </w:r>
      <w:r w:rsidR="00577DDE">
        <w:rPr>
          <w:sz w:val="24"/>
        </w:rPr>
        <w:t>h, nie okazałaby się sprzyjająca</w:t>
      </w:r>
      <w:r w:rsidRPr="000B5C83">
        <w:rPr>
          <w:sz w:val="24"/>
        </w:rPr>
        <w:t xml:space="preserve"> większej elastyczności stosowania przepisu w poszczególnych przypadkach i nie umożliwiłaby prokuratorom "ważenie" w każdym przypadku poziomu współpracy sprawcy czynnego</w:t>
      </w:r>
      <w:r w:rsidR="00577DDE">
        <w:rPr>
          <w:sz w:val="24"/>
        </w:rPr>
        <w:t xml:space="preserve"> przekupstwa</w:t>
      </w:r>
      <w:r w:rsidRPr="000B5C83">
        <w:rPr>
          <w:sz w:val="24"/>
        </w:rPr>
        <w:t>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Czynienie dalszych wysiłków mających na celu rozwój koordynacji pomiędzy poszczególnymi agencjami w zwalczaniu korupcji, a także współpracy między krajowymi władzami a sektorem prywatnym w tym samym celu;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Wdrożenie skutecznych środków ustawodawczych w celu umożliwienia ujawniania rejestrów bankowych we wskazanym, rozsądnym terminie oraz w celu złagodzenia trudności prawnych dla uniknięcia zbędnych opóźnień; oraz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407B3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Zmiana krajowego ustawodawstwa (</w:t>
      </w:r>
      <w:r w:rsidR="00577DDE">
        <w:rPr>
          <w:sz w:val="24"/>
        </w:rPr>
        <w:t xml:space="preserve">art. </w:t>
      </w:r>
      <w:r w:rsidRPr="000B5C83">
        <w:rPr>
          <w:sz w:val="24"/>
        </w:rPr>
        <w:t xml:space="preserve">110 paragraf 2 kk) </w:t>
      </w:r>
      <w:r w:rsidR="00577DDE">
        <w:rPr>
          <w:sz w:val="24"/>
        </w:rPr>
        <w:t xml:space="preserve">w celu </w:t>
      </w:r>
      <w:r w:rsidRPr="000B5C83">
        <w:rPr>
          <w:sz w:val="24"/>
        </w:rPr>
        <w:t xml:space="preserve">wyeliminowania progu dwóch lat pozbawienia wolności dla stwierdzenia właściwości krajowych sądów karnych w celu prowadzenia postępowania zamiast dokonania ekstradycji. </w:t>
      </w:r>
      <w:bookmarkStart w:id="10" w:name="bookmark10"/>
    </w:p>
    <w:p w:rsidR="00A407B3" w:rsidRPr="000B5C83" w:rsidRDefault="00A407B3" w:rsidP="00A407B3">
      <w:pPr>
        <w:pStyle w:val="Teksttreci0"/>
        <w:keepNext/>
        <w:keepLines/>
        <w:shd w:val="clear" w:color="auto" w:fill="auto"/>
        <w:tabs>
          <w:tab w:val="left" w:pos="220"/>
          <w:tab w:val="left" w:pos="573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0B5C83">
        <w:rPr>
          <w:b/>
          <w:sz w:val="24"/>
        </w:rPr>
        <w:t>Rozdział IV: Współpraca międzynarodowa</w:t>
      </w:r>
      <w:bookmarkEnd w:id="10"/>
    </w:p>
    <w:p w:rsidR="00F07D26" w:rsidRPr="000B5C83" w:rsidRDefault="00F07D26" w:rsidP="00F07D26">
      <w:pPr>
        <w:pStyle w:val="Teksttreci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Nagwek30"/>
        <w:keepNext/>
        <w:keepLines/>
        <w:numPr>
          <w:ilvl w:val="1"/>
          <w:numId w:val="1"/>
        </w:numPr>
        <w:shd w:val="clear" w:color="auto" w:fill="auto"/>
        <w:tabs>
          <w:tab w:val="left" w:pos="566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bookmarkStart w:id="11" w:name="bookmark11"/>
      <w:r w:rsidRPr="000B5C83">
        <w:rPr>
          <w:sz w:val="24"/>
        </w:rPr>
        <w:t>Obserwacje dotyczące implementacji artykułów objętych przeglądem</w:t>
      </w:r>
      <w:bookmarkEnd w:id="11"/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Ekstradycja; przekazanie osób skazanych; przekazanie postępowania karnego (art. 44, 45 i 47)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W Polsce, ekstradycja jest uregulowana w Konstytucji,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 xml:space="preserve"> oraz obowiązujących dwustronnych i wielostronnych traktatach lub umowach. W relacjach z pozostałymi Państwami Członkowskimi Unii Europejskiej, przekazanie zbiegów jest realizowane zgodnie z wymaganiami Decyzji Ramowej Rady Europejskiej z 13 czerwca 2002 w sprawie Europejskiego Nakazu Aresztowania (ENA).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Polska może wyrazić zgodę na ekstradycję zarówno posiadając, jak i nie posiadając umowy. W przypadku braku umowy, ekstradycja jest możliwa </w:t>
      </w:r>
      <w:r w:rsidR="00577DDE">
        <w:rPr>
          <w:sz w:val="24"/>
        </w:rPr>
        <w:t xml:space="preserve">w oparciu o zasadę </w:t>
      </w:r>
      <w:r w:rsidRPr="000B5C83">
        <w:rPr>
          <w:sz w:val="24"/>
        </w:rPr>
        <w:t>wzajemności. Polska uznaje UNCAC za podstawę prawną ekstradycji.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Brak podwójnej karalności, który jest stwierdzany poprzez stosowanie podejścia "postępowania leżącego u podstaw" (dobrej praktyki), stanowi wystarczające uzasadnienie odmowy wykonania ekstradycji. Eksperci dokonujący przeglądu zalecili przyjęcie bardziej elastycznego podejścia, zgodnie z </w:t>
      </w:r>
      <w:r w:rsidR="00577DDE">
        <w:rPr>
          <w:sz w:val="24"/>
        </w:rPr>
        <w:t>art.</w:t>
      </w:r>
      <w:r w:rsidRPr="000B5C83">
        <w:rPr>
          <w:sz w:val="24"/>
        </w:rPr>
        <w:t xml:space="preserve"> 44 paragraf 2 UNCAC.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Przestępstwo powinno być zagrożone karą pozbawienia wolności na </w:t>
      </w:r>
      <w:r w:rsidR="00577DDE" w:rsidRPr="000B5C83">
        <w:rPr>
          <w:sz w:val="24"/>
        </w:rPr>
        <w:t>okres, co</w:t>
      </w:r>
      <w:r w:rsidRPr="000B5C83">
        <w:rPr>
          <w:sz w:val="24"/>
        </w:rPr>
        <w:t xml:space="preserve"> najmniej jednego roku. Wszystkie przestępstwa objęte UNCAC stanowią przestępstwa uzasadniające ekstradycję.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577DDE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Art.</w:t>
      </w:r>
      <w:r w:rsidR="00171E70" w:rsidRPr="000B5C83">
        <w:rPr>
          <w:sz w:val="24"/>
        </w:rPr>
        <w:t xml:space="preserve"> 55 Konstytucji zabrania ekstradycji obywateli polskich. Można, jednakże, wyrazić zgodę na ekstradycję polskiego obywatela na wniosek zagranicznego pańs</w:t>
      </w:r>
      <w:r>
        <w:rPr>
          <w:sz w:val="24"/>
        </w:rPr>
        <w:t xml:space="preserve">twa lub międzynarodowego organu </w:t>
      </w:r>
      <w:r w:rsidR="00171E70" w:rsidRPr="000B5C83">
        <w:rPr>
          <w:sz w:val="24"/>
        </w:rPr>
        <w:t>sądowniczego, jeżeli taka możliwość wynika z międzynarodowej umowy ratyfikowanej przez Polskę.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Żadne z przestępstw określonych zgodnie z UNCAC nie jest uznawane za przestępstwo polityczne. Jeżeli chodzi o wnioski o ekstradycję związane ze sprawami finansowymi, Polska nie odmawia realizacji wniosków o ekstradycję wyłącznie na tej podstawie, że dotyczą one spraw finansowych. Okoliczności uzasadniające odmowę realizacji wniosku o ekstradycję, zarówno obowiązkowej, jak i uznaniowej, zostały opisane w artykule 604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>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Długość postępowania ekstradycyjnego jest uzależniona od przedmiotu sprawy. Proste sprawy i sprawy rozstrzygane w postępowaniu uproszczonym są zwykle przeprowadzane w przeciągu trzech miesięcy od daty złożenia wniosku o ekstradycję. Inne sprawy o ekstradycję mogą zająć nawet dwa lata, w zależności od ich złożoności.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95F4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</w:rPr>
        <w:t>Polska jest związana Europejską K</w:t>
      </w:r>
      <w:r w:rsidR="00171E70" w:rsidRPr="000B5C83">
        <w:rPr>
          <w:sz w:val="24"/>
        </w:rPr>
        <w:t>onwencją o ekstradycji i dwoma dodatkowymi protokołami do niej, a także wielostronnymi i dwustronnymi trak</w:t>
      </w:r>
      <w:r>
        <w:rPr>
          <w:sz w:val="24"/>
        </w:rPr>
        <w:t>tatami stanowiącymi podstawę</w:t>
      </w:r>
      <w:r w:rsidR="00171E70" w:rsidRPr="000B5C83">
        <w:rPr>
          <w:sz w:val="24"/>
        </w:rPr>
        <w:t xml:space="preserve"> ekstradycji.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Eksperci dokonujący przeglądu podkreślili potrzebę bardziej systematycznego podejścia do gromadzenia danych statystycznych w sprawach o ekstradycję i zachęcili władze krajowe do kontynuowania wysiłków w tym względzie.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Przekazywanie osób skazanych jest uregulowane w </w:t>
      </w:r>
      <w:r w:rsidR="00195F46">
        <w:rPr>
          <w:sz w:val="24"/>
        </w:rPr>
        <w:t>art.</w:t>
      </w:r>
      <w:r w:rsidRPr="000B5C83">
        <w:rPr>
          <w:sz w:val="24"/>
        </w:rPr>
        <w:t xml:space="preserve"> 608-611f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>. Polska jest stroną konwencji Rady Europy o przekazywaniu osób skazanych i protokołu dodatkowego do niej.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Przekazywanie postępowania karnego jest uregulowane w Rozdziale 63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 xml:space="preserve"> (</w:t>
      </w:r>
      <w:r w:rsidR="00195F46">
        <w:rPr>
          <w:sz w:val="24"/>
        </w:rPr>
        <w:t>art.</w:t>
      </w:r>
      <w:r w:rsidRPr="000B5C83">
        <w:rPr>
          <w:sz w:val="24"/>
        </w:rPr>
        <w:t xml:space="preserve"> 590</w:t>
      </w:r>
      <w:r w:rsidRPr="000B5C83">
        <w:softHyphen/>
      </w:r>
      <w:r w:rsidR="00195F46">
        <w:t>-</w:t>
      </w:r>
      <w:r w:rsidRPr="000B5C83">
        <w:rPr>
          <w:sz w:val="24"/>
        </w:rPr>
        <w:t>592).</w:t>
      </w:r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Wzajemna pomoc prawna (art. 46)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 xml:space="preserve"> reguluję kwestię wzajemnej pomocy prawnej w przypadku braku umowy. Brak podwójnej karalności stanowi uznaniową podstawę do odmowy realizacji wniosku o pomoc prawną. Pomoc prawna może być udzielona zarówno w zakresie środków przymusu bezpośredniego, jak i środków </w:t>
      </w:r>
      <w:proofErr w:type="gramStart"/>
      <w:r w:rsidRPr="000B5C83">
        <w:rPr>
          <w:sz w:val="24"/>
        </w:rPr>
        <w:t>nie angażujących</w:t>
      </w:r>
      <w:proofErr w:type="gramEnd"/>
      <w:r w:rsidRPr="000B5C83">
        <w:rPr>
          <w:sz w:val="24"/>
        </w:rPr>
        <w:t xml:space="preserve"> przymusu, przy czym w przypadku środków przymusu wymagane jest upoważnienie sądu.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Ministerstwo Sprawiedliwości jest wskazane</w:t>
      </w:r>
      <w:r w:rsidR="00195F46">
        <w:rPr>
          <w:sz w:val="24"/>
        </w:rPr>
        <w:t>,</w:t>
      </w:r>
      <w:r w:rsidRPr="000B5C83">
        <w:rPr>
          <w:sz w:val="24"/>
        </w:rPr>
        <w:t xml:space="preserve"> jako organ centralny odpowiedzialny za odbiór wniosków o wzajemną pomoc prawną.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Okoliczności uzasadniające odmowę realizacji wniosków o pomoc prawną zostały określone w </w:t>
      </w:r>
      <w:r w:rsidR="00195F46">
        <w:rPr>
          <w:sz w:val="24"/>
        </w:rPr>
        <w:t>art.</w:t>
      </w:r>
      <w:r w:rsidRPr="000B5C83">
        <w:rPr>
          <w:sz w:val="24"/>
        </w:rPr>
        <w:t xml:space="preserve"> 588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>. Tajemnica bankowa i sprawy finansowe nie stanowią, w przypadku czynów korupcji, podstawy do odmowy realizacji wniosku o pomoc prawną.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Jeżeli chodzi o realizację wniosków o pomoc prawną, ma zastosowanie prawo polskie. Jednakże, jeżeli </w:t>
      </w:r>
      <w:r w:rsidR="00AD7842">
        <w:rPr>
          <w:sz w:val="24"/>
        </w:rPr>
        <w:t xml:space="preserve">organy państwa obcego </w:t>
      </w:r>
      <w:r w:rsidRPr="000B5C83">
        <w:rPr>
          <w:sz w:val="24"/>
        </w:rPr>
        <w:t xml:space="preserve">wymagają pewnego szczególnego postępowania lub szczególnej formy pomocy, ich </w:t>
      </w:r>
      <w:r w:rsidR="00AD7842">
        <w:rPr>
          <w:sz w:val="24"/>
        </w:rPr>
        <w:t xml:space="preserve">wnioski </w:t>
      </w:r>
      <w:r w:rsidRPr="000B5C83">
        <w:rPr>
          <w:sz w:val="24"/>
        </w:rPr>
        <w:t>zostaną</w:t>
      </w:r>
      <w:r w:rsidR="00AD7842">
        <w:rPr>
          <w:sz w:val="24"/>
        </w:rPr>
        <w:t xml:space="preserve"> uwzględnione</w:t>
      </w:r>
      <w:r w:rsidRPr="000B5C83">
        <w:rPr>
          <w:sz w:val="24"/>
        </w:rPr>
        <w:t>, o ile nie stoją one w sprzeczności z zasadami wewnętrznego porządku prawnego.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lastRenderedPageBreak/>
        <w:t>Polska jest związana UNTOC oraz innymi regionalnymi instrumentami stanowiącymi podstawę prawną dla udzielenia pomocy prawnej. Poinformowano o dwustronnych umowach zawartych z 42 państwami.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Podobnie jak miało to miejsce w przypadku ekstradycji, eksperci dokonujący przeglądu powtórzyli swoją zachętę</w:t>
      </w:r>
      <w:r w:rsidR="00AD7842">
        <w:rPr>
          <w:sz w:val="24"/>
        </w:rPr>
        <w:t>,</w:t>
      </w:r>
      <w:r w:rsidRPr="000B5C83">
        <w:rPr>
          <w:sz w:val="24"/>
        </w:rPr>
        <w:t xml:space="preserve"> </w:t>
      </w:r>
      <w:r w:rsidR="00AD7842">
        <w:rPr>
          <w:sz w:val="24"/>
        </w:rPr>
        <w:t xml:space="preserve">aby </w:t>
      </w:r>
      <w:r w:rsidRPr="000B5C83">
        <w:rPr>
          <w:sz w:val="24"/>
        </w:rPr>
        <w:t>władz</w:t>
      </w:r>
      <w:r w:rsidR="00AD7842">
        <w:rPr>
          <w:sz w:val="24"/>
        </w:rPr>
        <w:t>e</w:t>
      </w:r>
      <w:r w:rsidRPr="000B5C83">
        <w:rPr>
          <w:sz w:val="24"/>
        </w:rPr>
        <w:t xml:space="preserve"> krajow</w:t>
      </w:r>
      <w:r w:rsidR="00AD7842">
        <w:rPr>
          <w:sz w:val="24"/>
        </w:rPr>
        <w:t>e</w:t>
      </w:r>
      <w:r w:rsidRPr="000B5C83">
        <w:rPr>
          <w:sz w:val="24"/>
        </w:rPr>
        <w:t xml:space="preserve"> </w:t>
      </w:r>
      <w:r w:rsidR="00AD7842">
        <w:rPr>
          <w:sz w:val="24"/>
        </w:rPr>
        <w:t xml:space="preserve">stworzyły i udostępniły </w:t>
      </w:r>
      <w:r w:rsidRPr="000B5C83">
        <w:rPr>
          <w:sz w:val="24"/>
        </w:rPr>
        <w:t>w pełni operacyjn</w:t>
      </w:r>
      <w:r w:rsidR="00AD7842">
        <w:rPr>
          <w:sz w:val="24"/>
        </w:rPr>
        <w:t>y</w:t>
      </w:r>
      <w:r w:rsidRPr="000B5C83">
        <w:rPr>
          <w:sz w:val="24"/>
        </w:rPr>
        <w:t xml:space="preserve"> system informacyjn</w:t>
      </w:r>
      <w:r w:rsidR="00AD7842">
        <w:rPr>
          <w:sz w:val="24"/>
        </w:rPr>
        <w:t>y</w:t>
      </w:r>
      <w:r w:rsidRPr="000B5C83">
        <w:rPr>
          <w:sz w:val="24"/>
        </w:rPr>
        <w:t xml:space="preserve"> gromadząc</w:t>
      </w:r>
      <w:r w:rsidR="00AD7842">
        <w:rPr>
          <w:sz w:val="24"/>
        </w:rPr>
        <w:t>y</w:t>
      </w:r>
      <w:r w:rsidRPr="000B5C83">
        <w:rPr>
          <w:sz w:val="24"/>
        </w:rPr>
        <w:t xml:space="preserve"> w sposób systematyczny informacje na temat spraw obejmujących wzajemną pomoc prawną, </w:t>
      </w:r>
      <w:r w:rsidR="0067202B">
        <w:rPr>
          <w:sz w:val="24"/>
        </w:rPr>
        <w:t xml:space="preserve">w celu łatwiejszego </w:t>
      </w:r>
      <w:r w:rsidRPr="000B5C83">
        <w:rPr>
          <w:sz w:val="24"/>
        </w:rPr>
        <w:t xml:space="preserve">monitorowania takich spraw i oceny skuteczności </w:t>
      </w:r>
      <w:r w:rsidR="0067202B">
        <w:rPr>
          <w:sz w:val="24"/>
        </w:rPr>
        <w:t xml:space="preserve">stosowania porozumień </w:t>
      </w:r>
      <w:bookmarkStart w:id="12" w:name="_GoBack"/>
      <w:bookmarkEnd w:id="12"/>
      <w:r w:rsidR="0067202B">
        <w:rPr>
          <w:sz w:val="24"/>
        </w:rPr>
        <w:t xml:space="preserve">o </w:t>
      </w:r>
      <w:r w:rsidRPr="000B5C83">
        <w:rPr>
          <w:sz w:val="24"/>
        </w:rPr>
        <w:t>wzajemnej pomocy prawnej.</w:t>
      </w:r>
    </w:p>
    <w:p w:rsidR="00F07D26" w:rsidRPr="000B5C83" w:rsidRDefault="00F07D26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</w:p>
    <w:p w:rsidR="00AA1848" w:rsidRPr="000B5C83" w:rsidRDefault="00171E70" w:rsidP="00A407B3">
      <w:pPr>
        <w:pStyle w:val="Teksttreci50"/>
        <w:shd w:val="clear" w:color="auto" w:fill="auto"/>
        <w:spacing w:line="240" w:lineRule="auto"/>
        <w:rPr>
          <w:sz w:val="24"/>
          <w:szCs w:val="24"/>
        </w:rPr>
      </w:pPr>
      <w:r w:rsidRPr="000B5C83">
        <w:rPr>
          <w:sz w:val="24"/>
        </w:rPr>
        <w:t>Współpraca organów ścigania; wspólne dochodzenia; specjalne techniki dochodzeniowe (art. 48, 49 i 50)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Polska podjęła kroki mające na celu ułatwienie wymiany informacji z zagranicznymi organami ścigania. Obowiązują dwustronne i wielostronne umowy dotyczące wymiany informacji w związku z dochodzeniami </w:t>
      </w:r>
      <w:r w:rsidR="00AD7842">
        <w:rPr>
          <w:sz w:val="24"/>
        </w:rPr>
        <w:t xml:space="preserve">oraz wymiany personelu w celu </w:t>
      </w:r>
      <w:r w:rsidRPr="000B5C83">
        <w:rPr>
          <w:sz w:val="24"/>
        </w:rPr>
        <w:t xml:space="preserve">dzielenia się informacjami na temat najlepszych praktyk. Polska jest również członkiem Europolu, Interpolu, </w:t>
      </w:r>
      <w:proofErr w:type="spellStart"/>
      <w:r w:rsidRPr="000B5C83">
        <w:rPr>
          <w:sz w:val="24"/>
        </w:rPr>
        <w:t>Międzyagencyjnej</w:t>
      </w:r>
      <w:proofErr w:type="spellEnd"/>
      <w:r w:rsidRPr="000B5C83">
        <w:rPr>
          <w:sz w:val="24"/>
        </w:rPr>
        <w:t xml:space="preserve"> Sieci Odzyskiwania Mienia </w:t>
      </w:r>
      <w:proofErr w:type="spellStart"/>
      <w:r w:rsidRPr="000B5C83">
        <w:rPr>
          <w:sz w:val="24"/>
        </w:rPr>
        <w:t>Camden</w:t>
      </w:r>
      <w:proofErr w:type="spellEnd"/>
      <w:r w:rsidRPr="000B5C83">
        <w:rPr>
          <w:sz w:val="24"/>
        </w:rPr>
        <w:t xml:space="preserve"> oraz Grupy Egmont. CBA jest członkiem Sieci Europejskich Partnerów Przeciwko Korupcji/Europejskiej Sieci Antykorupcyjnej.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Polska uznaje UNCAC za podstawę prawną współpracy organów ścigania w zakresie przestępstw objętych Konwencją.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Prowadzenie wspólnych dochodzeń jest uregulowane w </w:t>
      </w:r>
      <w:r w:rsidR="00AD7842">
        <w:rPr>
          <w:sz w:val="24"/>
        </w:rPr>
        <w:t xml:space="preserve">art. </w:t>
      </w:r>
      <w:r w:rsidRPr="000B5C83">
        <w:rPr>
          <w:sz w:val="24"/>
        </w:rPr>
        <w:t xml:space="preserve">589b-589f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 xml:space="preserve">. </w:t>
      </w:r>
      <w:r w:rsidR="00AD7842">
        <w:rPr>
          <w:sz w:val="24"/>
        </w:rPr>
        <w:t xml:space="preserve">W kraju </w:t>
      </w:r>
      <w:r w:rsidRPr="000B5C83">
        <w:rPr>
          <w:sz w:val="24"/>
        </w:rPr>
        <w:t>Prokurator Generalny jest upoważniony do zawierania umów w właściwymi organami innych państw w celu powoływania zespołów do prowadzenia wspólnych dochodzeń.</w:t>
      </w:r>
    </w:p>
    <w:p w:rsidR="00F07D26" w:rsidRPr="000B5C83" w:rsidRDefault="00F07D26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Organy ścigania, a w przypadku przestępstw korupc</w:t>
      </w:r>
      <w:r w:rsidR="00AD7842">
        <w:rPr>
          <w:sz w:val="24"/>
        </w:rPr>
        <w:t>y</w:t>
      </w:r>
      <w:r w:rsidRPr="000B5C83">
        <w:rPr>
          <w:sz w:val="24"/>
        </w:rPr>
        <w:t>j</w:t>
      </w:r>
      <w:r w:rsidR="00AD7842">
        <w:rPr>
          <w:sz w:val="24"/>
        </w:rPr>
        <w:t>nych</w:t>
      </w:r>
      <w:r w:rsidRPr="000B5C83">
        <w:rPr>
          <w:sz w:val="24"/>
        </w:rPr>
        <w:t xml:space="preserve"> również CBA, mają prawo stosować specjalne techniki dochodzeniowe. Polska zawarła szereg umów zezwalających na wykorzystanie takich technik w dochodzeniach w sprawach przestępczości zorganizowanej i korupcji. W przypadku braku umów, decyzje mogą być podejmowane indywidualnie </w:t>
      </w:r>
      <w:r w:rsidR="00AD7842">
        <w:rPr>
          <w:sz w:val="24"/>
        </w:rPr>
        <w:t>w</w:t>
      </w:r>
      <w:r w:rsidRPr="000B5C83">
        <w:rPr>
          <w:sz w:val="24"/>
        </w:rPr>
        <w:t xml:space="preserve"> poszczególnych </w:t>
      </w:r>
      <w:r w:rsidR="00AD7842">
        <w:rPr>
          <w:sz w:val="24"/>
        </w:rPr>
        <w:t>sprawach</w:t>
      </w:r>
      <w:r w:rsidRPr="000B5C83">
        <w:rPr>
          <w:sz w:val="24"/>
        </w:rPr>
        <w:t>.</w:t>
      </w:r>
    </w:p>
    <w:p w:rsidR="00F07D26" w:rsidRPr="000B5C83" w:rsidRDefault="00F07D26" w:rsidP="00F07D26">
      <w:pPr>
        <w:pStyle w:val="Nagwek30"/>
        <w:keepNext/>
        <w:keepLines/>
        <w:shd w:val="clear" w:color="auto" w:fill="auto"/>
        <w:tabs>
          <w:tab w:val="left" w:pos="557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bookmarkStart w:id="13" w:name="bookmark12"/>
    </w:p>
    <w:p w:rsidR="00AA1848" w:rsidRPr="000B5C83" w:rsidRDefault="00171E70" w:rsidP="00A407B3">
      <w:pPr>
        <w:pStyle w:val="Nagwek30"/>
        <w:keepNext/>
        <w:keepLines/>
        <w:numPr>
          <w:ilvl w:val="1"/>
          <w:numId w:val="1"/>
        </w:numPr>
        <w:shd w:val="clear" w:color="auto" w:fill="auto"/>
        <w:tabs>
          <w:tab w:val="left" w:pos="557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r w:rsidRPr="000B5C83">
        <w:rPr>
          <w:sz w:val="24"/>
        </w:rPr>
        <w:t>Sukcesy i dobre praktyki</w:t>
      </w:r>
      <w:bookmarkEnd w:id="13"/>
    </w:p>
    <w:p w:rsidR="00F07D26" w:rsidRPr="000B5C83" w:rsidRDefault="00F07D26" w:rsidP="00F07D26">
      <w:pPr>
        <w:pStyle w:val="Nagwek30"/>
        <w:keepNext/>
        <w:keepLines/>
        <w:shd w:val="clear" w:color="auto" w:fill="auto"/>
        <w:tabs>
          <w:tab w:val="left" w:pos="557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Wszechstronne ramy prawne (postanowienia </w:t>
      </w:r>
      <w:proofErr w:type="spellStart"/>
      <w:r w:rsidRPr="000B5C83">
        <w:rPr>
          <w:sz w:val="24"/>
        </w:rPr>
        <w:t>kpk</w:t>
      </w:r>
      <w:proofErr w:type="spellEnd"/>
      <w:r w:rsidRPr="000B5C83">
        <w:rPr>
          <w:sz w:val="24"/>
        </w:rPr>
        <w:t>) dotyczące współpracy międzynarodowej w sprawach karnych;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>Interpretacja wymogu podwójnej karalności, koncentrująca się na zachowaniu będącym u podstaw, a nie na prawnym sformułowaniu przestępstwa.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A407B3">
      <w:pPr>
        <w:pStyle w:val="Nagwek30"/>
        <w:keepNext/>
        <w:keepLines/>
        <w:numPr>
          <w:ilvl w:val="1"/>
          <w:numId w:val="1"/>
        </w:numPr>
        <w:shd w:val="clear" w:color="auto" w:fill="auto"/>
        <w:tabs>
          <w:tab w:val="left" w:pos="566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  <w:bookmarkStart w:id="14" w:name="bookmark13"/>
      <w:r w:rsidRPr="000B5C83">
        <w:rPr>
          <w:sz w:val="24"/>
        </w:rPr>
        <w:t>Wyzwania na drodze implementacji</w:t>
      </w:r>
      <w:bookmarkEnd w:id="14"/>
    </w:p>
    <w:p w:rsidR="00F07D26" w:rsidRPr="000B5C83" w:rsidRDefault="00F07D26" w:rsidP="00F07D26">
      <w:pPr>
        <w:pStyle w:val="Nagwek30"/>
        <w:keepNext/>
        <w:keepLines/>
        <w:shd w:val="clear" w:color="auto" w:fill="auto"/>
        <w:tabs>
          <w:tab w:val="left" w:pos="566"/>
        </w:tabs>
        <w:spacing w:after="0" w:line="240" w:lineRule="auto"/>
        <w:ind w:firstLine="0"/>
        <w:jc w:val="both"/>
        <w:outlineLvl w:val="9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Zbadanie możliwości złagodzenia ścisłego stosowania wymogu podwójnej karalności w przypadku przestępstw objętych UNCAC, które wykraczają poza sprawy związane z wykonaniem Europejskiego Nakazu Aresztowania, zgodnie z </w:t>
      </w:r>
      <w:r w:rsidR="00AD7842">
        <w:rPr>
          <w:sz w:val="24"/>
        </w:rPr>
        <w:t>art.</w:t>
      </w:r>
      <w:r w:rsidRPr="000B5C83">
        <w:rPr>
          <w:sz w:val="24"/>
        </w:rPr>
        <w:t xml:space="preserve"> 44 paragraf 2 UNCAC;</w:t>
      </w:r>
      <w:r w:rsidRPr="000B5C83">
        <w:rPr>
          <w:sz w:val="24"/>
          <w:szCs w:val="24"/>
        </w:rPr>
        <w:br/>
      </w: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Kontynuowanie wysiłków w celu wprowadzenia i zapewnienia w pełni operacyjnego systemu informacyjnego gromadzącego w sposób systematyczny informacje na temat spraw </w:t>
      </w:r>
      <w:r w:rsidRPr="000B5C83">
        <w:rPr>
          <w:sz w:val="24"/>
        </w:rPr>
        <w:lastRenderedPageBreak/>
        <w:t>obejmujących ekstradycję i wzajemną pomoc prawną, pod kątem wspierania monitorowania takich spraw i oceny skuteczności wdrożenia uzgodnień dotyczących współpracy międzynarodowej;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AA1848" w:rsidRPr="000B5C83" w:rsidRDefault="00171E70" w:rsidP="00F07D26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B5C83">
        <w:rPr>
          <w:sz w:val="24"/>
        </w:rPr>
        <w:t xml:space="preserve">Kontynuowanie badania dalszych możliwości aktywnego angażowania się w umowy wielostronne </w:t>
      </w:r>
      <w:proofErr w:type="gramStart"/>
      <w:r w:rsidRPr="000B5C83">
        <w:rPr>
          <w:sz w:val="24"/>
        </w:rPr>
        <w:t xml:space="preserve">z </w:t>
      </w:r>
      <w:r w:rsidR="00AD7842">
        <w:rPr>
          <w:sz w:val="24"/>
        </w:rPr>
        <w:t xml:space="preserve"> innymi</w:t>
      </w:r>
      <w:proofErr w:type="gramEnd"/>
      <w:r w:rsidR="00AD7842">
        <w:rPr>
          <w:sz w:val="24"/>
        </w:rPr>
        <w:t xml:space="preserve"> </w:t>
      </w:r>
      <w:r w:rsidRPr="000B5C83">
        <w:rPr>
          <w:sz w:val="24"/>
        </w:rPr>
        <w:t>państwami (w szczególności państwami pozaeuropejskimi), w celu wspierania skuteczności współpracy międzynarodowej w sprawach karnych.</w:t>
      </w:r>
    </w:p>
    <w:p w:rsidR="00F07D26" w:rsidRPr="000B5C83" w:rsidRDefault="00F07D26" w:rsidP="00F07D2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sectPr w:rsidR="00F07D26" w:rsidRPr="000B5C83" w:rsidSect="00A407B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9" w:h="16838" w:code="9"/>
      <w:pgMar w:top="1417" w:right="1417" w:bottom="1417" w:left="1417" w:header="0" w:footer="3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6F" w:rsidRDefault="00D8466F">
      <w:r>
        <w:separator/>
      </w:r>
    </w:p>
  </w:endnote>
  <w:endnote w:type="continuationSeparator" w:id="0">
    <w:p w:rsidR="00D8466F" w:rsidRDefault="00D8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42" w:rsidRDefault="00AD7842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42" w:rsidRDefault="00AD784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6F" w:rsidRDefault="00D8466F"/>
  </w:footnote>
  <w:footnote w:type="continuationSeparator" w:id="0">
    <w:p w:rsidR="00D8466F" w:rsidRDefault="00D846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42" w:rsidRDefault="00AD784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42" w:rsidRDefault="00AD784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88D"/>
    <w:multiLevelType w:val="multilevel"/>
    <w:tmpl w:val="077ED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65404B"/>
    <w:multiLevelType w:val="multilevel"/>
    <w:tmpl w:val="7370F0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571B90"/>
    <w:multiLevelType w:val="multilevel"/>
    <w:tmpl w:val="300A75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513855"/>
    <w:multiLevelType w:val="hybridMultilevel"/>
    <w:tmpl w:val="B4EC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E55D8"/>
    <w:multiLevelType w:val="multilevel"/>
    <w:tmpl w:val="30A6E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48"/>
    <w:rsid w:val="000B5C83"/>
    <w:rsid w:val="000E4F47"/>
    <w:rsid w:val="00171E70"/>
    <w:rsid w:val="00195F46"/>
    <w:rsid w:val="001D2EAA"/>
    <w:rsid w:val="00406237"/>
    <w:rsid w:val="004109B8"/>
    <w:rsid w:val="004C1CE7"/>
    <w:rsid w:val="00577DDE"/>
    <w:rsid w:val="005F5BE9"/>
    <w:rsid w:val="0067202B"/>
    <w:rsid w:val="00916603"/>
    <w:rsid w:val="00A407B3"/>
    <w:rsid w:val="00AA1848"/>
    <w:rsid w:val="00AD7842"/>
    <w:rsid w:val="00B86A8E"/>
    <w:rsid w:val="00CB3F27"/>
    <w:rsid w:val="00D8466F"/>
    <w:rsid w:val="00E32EB9"/>
    <w:rsid w:val="00F07D26"/>
    <w:rsid w:val="00F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Teksttreci4Exact0">
    <w:name w:val="Tekst treści (4) Exact"/>
    <w:basedOn w:val="Teksttreci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115pt">
    <w:name w:val="Nagłówek #2 + 11;5 pt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1">
    <w:name w:val="Nagłówek #1_"/>
    <w:basedOn w:val="Domylnaczcionkaakapitu"/>
    <w:link w:val="Nagwek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Nagwek1TimesNewRoman9pt">
    <w:name w:val="Nagłówek #1 + Times New Roman;9 pt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Nagweklubstopka6ptBezpogrubienia">
    <w:name w:val="Nagłówek lub stopka + 6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60" w:line="0" w:lineRule="atLeast"/>
      <w:ind w:hanging="1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20"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20" w:after="60" w:line="398" w:lineRule="exact"/>
      <w:ind w:hanging="5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980" w:line="422" w:lineRule="exact"/>
      <w:outlineLvl w:val="0"/>
    </w:pPr>
    <w:rPr>
      <w:rFonts w:ascii="Franklin Gothic Medium Cond" w:eastAsia="Franklin Gothic Medium Cond" w:hAnsi="Franklin Gothic Medium Cond" w:cs="Franklin Gothic Medium Cond"/>
      <w:sz w:val="37"/>
      <w:szCs w:val="3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ind w:hanging="540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E32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Teksttreci4Exact0">
    <w:name w:val="Tekst treści (4) Exact"/>
    <w:basedOn w:val="Teksttreci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115pt">
    <w:name w:val="Nagłówek #2 + 11;5 pt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1">
    <w:name w:val="Nagłówek #1_"/>
    <w:basedOn w:val="Domylnaczcionkaakapitu"/>
    <w:link w:val="Nagwek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Nagwek1TimesNewRoman9pt">
    <w:name w:val="Nagłówek #1 + Times New Roman;9 pt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Nagweklubstopka6ptBezpogrubienia">
    <w:name w:val="Nagłówek lub stopka + 6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60" w:line="0" w:lineRule="atLeast"/>
      <w:ind w:hanging="1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20"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20" w:after="60" w:line="398" w:lineRule="exact"/>
      <w:ind w:hanging="5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980" w:line="422" w:lineRule="exact"/>
      <w:outlineLvl w:val="0"/>
    </w:pPr>
    <w:rPr>
      <w:rFonts w:ascii="Franklin Gothic Medium Cond" w:eastAsia="Franklin Gothic Medium Cond" w:hAnsi="Franklin Gothic Medium Cond" w:cs="Franklin Gothic Medium Cond"/>
      <w:sz w:val="37"/>
      <w:szCs w:val="3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ind w:hanging="540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E3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5182</Words>
  <Characters>31096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- 45b52f71-de15-4f36-9242-36a0f97ee010_in_for_PDF_printing.doc</vt:lpstr>
    </vt:vector>
  </TitlesOfParts>
  <Company/>
  <LinksUpToDate>false</LinksUpToDate>
  <CharactersWithSpaces>36206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- 45b52f71-de15-4f36-9242-36a0f97ee010_in_for_PDF_printing.doc</dc:title>
  <dc:creator>Kasia</dc:creator>
  <cp:lastModifiedBy>Stawiarz Agnieszka (DWM)</cp:lastModifiedBy>
  <cp:revision>5</cp:revision>
  <cp:lastPrinted>2015-03-19T12:49:00Z</cp:lastPrinted>
  <dcterms:created xsi:type="dcterms:W3CDTF">2015-02-06T10:32:00Z</dcterms:created>
  <dcterms:modified xsi:type="dcterms:W3CDTF">2015-03-19T12:51:00Z</dcterms:modified>
</cp:coreProperties>
</file>