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388E9" w14:textId="77777777" w:rsidR="00E45BA7" w:rsidRPr="00BC2BF4" w:rsidRDefault="00E45BA7" w:rsidP="009C6C68">
      <w:pPr>
        <w:tabs>
          <w:tab w:val="left" w:pos="460"/>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jc w:val="center"/>
        <w:rPr>
          <w:rFonts w:asciiTheme="minorHAnsi" w:hAnsiTheme="minorHAnsi" w:cstheme="minorHAnsi"/>
          <w:b/>
          <w:bCs/>
          <w:sz w:val="22"/>
          <w:szCs w:val="20"/>
          <w:lang w:val="ru-RU"/>
        </w:rPr>
      </w:pPr>
      <w:r w:rsidRPr="00BC2BF4">
        <w:rPr>
          <w:rFonts w:asciiTheme="minorHAnsi" w:hAnsiTheme="minorHAnsi" w:cstheme="minorHAnsi"/>
          <w:b/>
          <w:sz w:val="22"/>
          <w:lang w:val="uk-UA" w:bidi="uk-UA"/>
        </w:rPr>
        <w:t>ПАМ’ЯТКА</w:t>
      </w:r>
    </w:p>
    <w:p w14:paraId="7638347F" w14:textId="77777777" w:rsidR="00E45BA7" w:rsidRPr="00BC2BF4" w:rsidRDefault="00E45BA7" w:rsidP="009C6C68">
      <w:pPr>
        <w:tabs>
          <w:tab w:val="left" w:pos="460"/>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jc w:val="center"/>
        <w:rPr>
          <w:rFonts w:asciiTheme="minorHAnsi" w:hAnsiTheme="minorHAnsi" w:cstheme="minorHAnsi"/>
          <w:b/>
          <w:bCs/>
          <w:sz w:val="22"/>
          <w:szCs w:val="20"/>
          <w:lang w:val="ru-RU"/>
        </w:rPr>
      </w:pPr>
      <w:r w:rsidRPr="00BC2BF4">
        <w:rPr>
          <w:rFonts w:asciiTheme="minorHAnsi" w:hAnsiTheme="minorHAnsi" w:cstheme="minorHAnsi"/>
          <w:b/>
          <w:sz w:val="22"/>
          <w:lang w:val="uk-UA" w:bidi="uk-UA"/>
        </w:rPr>
        <w:t>щодо скарги до суду другої інстанції</w:t>
      </w:r>
    </w:p>
    <w:p w14:paraId="6542F4E1" w14:textId="77777777" w:rsidR="00403C4D" w:rsidRPr="00BC2BF4" w:rsidRDefault="00E45BA7" w:rsidP="00724EA2">
      <w:pPr>
        <w:numPr>
          <w:ilvl w:val="0"/>
          <w:numId w:val="3"/>
        </w:numPr>
        <w:tabs>
          <w:tab w:val="left" w:pos="426"/>
        </w:tabs>
        <w:autoSpaceDE w:val="0"/>
        <w:autoSpaceDN w:val="0"/>
        <w:adjustRightInd w:val="0"/>
        <w:spacing w:before="120"/>
        <w:ind w:left="426" w:hanging="426"/>
        <w:jc w:val="both"/>
        <w:rPr>
          <w:rFonts w:asciiTheme="minorHAnsi" w:hAnsiTheme="minorHAnsi" w:cstheme="minorHAnsi"/>
          <w:sz w:val="20"/>
          <w:szCs w:val="20"/>
          <w:lang w:val="ru-RU"/>
        </w:rPr>
      </w:pPr>
      <w:r w:rsidRPr="00BC2BF4">
        <w:rPr>
          <w:rFonts w:asciiTheme="minorHAnsi" w:hAnsiTheme="minorHAnsi" w:cstheme="minorHAnsi"/>
          <w:sz w:val="20"/>
          <w:lang w:val="uk-UA" w:bidi="uk-UA"/>
        </w:rPr>
        <w:t xml:space="preserve">На отриману </w:t>
      </w:r>
      <w:r w:rsidRPr="00BC2BF4">
        <w:rPr>
          <w:rFonts w:asciiTheme="minorHAnsi" w:hAnsiTheme="minorHAnsi" w:cstheme="minorHAnsi"/>
          <w:b/>
          <w:sz w:val="20"/>
          <w:lang w:val="uk-UA" w:bidi="uk-UA"/>
        </w:rPr>
        <w:t>ухвалу</w:t>
      </w:r>
      <w:r w:rsidRPr="00BC2BF4">
        <w:rPr>
          <w:rFonts w:asciiTheme="minorHAnsi" w:hAnsiTheme="minorHAnsi" w:cstheme="minorHAnsi"/>
          <w:sz w:val="20"/>
          <w:lang w:val="uk-UA" w:bidi="uk-UA"/>
        </w:rPr>
        <w:t xml:space="preserve"> суду першої інстанції або </w:t>
      </w:r>
      <w:r w:rsidRPr="00BC2BF4">
        <w:rPr>
          <w:rFonts w:asciiTheme="minorHAnsi" w:hAnsiTheme="minorHAnsi" w:cstheme="minorHAnsi"/>
          <w:b/>
          <w:sz w:val="20"/>
          <w:lang w:val="uk-UA" w:bidi="uk-UA"/>
        </w:rPr>
        <w:t>розпорядження Голови щодо повернення позову чи письма, поданого як позов</w:t>
      </w:r>
      <w:r w:rsidRPr="00BC2BF4">
        <w:rPr>
          <w:rFonts w:asciiTheme="minorHAnsi" w:hAnsiTheme="minorHAnsi" w:cstheme="minorHAnsi"/>
          <w:sz w:val="20"/>
          <w:lang w:val="uk-UA" w:bidi="uk-UA"/>
        </w:rPr>
        <w:t xml:space="preserve">, можна подати </w:t>
      </w:r>
      <w:r w:rsidRPr="00BC2BF4">
        <w:rPr>
          <w:rFonts w:asciiTheme="minorHAnsi" w:hAnsiTheme="minorHAnsi" w:cstheme="minorHAnsi"/>
          <w:b/>
          <w:sz w:val="20"/>
          <w:lang w:val="uk-UA" w:bidi="uk-UA"/>
        </w:rPr>
        <w:t>скаргу</w:t>
      </w:r>
      <w:r w:rsidRPr="00BC2BF4">
        <w:rPr>
          <w:rFonts w:asciiTheme="minorHAnsi" w:hAnsiTheme="minorHAnsi" w:cstheme="minorHAnsi"/>
          <w:sz w:val="20"/>
          <w:lang w:val="uk-UA" w:bidi="uk-UA"/>
        </w:rPr>
        <w:t xml:space="preserve"> до суду другої інстанції. </w:t>
      </w:r>
    </w:p>
    <w:p w14:paraId="54B9489C" w14:textId="77777777" w:rsidR="00403C4D" w:rsidRPr="00BC2BF4" w:rsidRDefault="006C0CB2" w:rsidP="00724EA2">
      <w:pPr>
        <w:tabs>
          <w:tab w:val="left" w:pos="426"/>
        </w:tabs>
        <w:autoSpaceDE w:val="0"/>
        <w:autoSpaceDN w:val="0"/>
        <w:adjustRightInd w:val="0"/>
        <w:spacing w:before="120"/>
        <w:ind w:left="426"/>
        <w:jc w:val="both"/>
        <w:rPr>
          <w:rFonts w:asciiTheme="minorHAnsi" w:hAnsiTheme="minorHAnsi" w:cstheme="minorHAnsi"/>
          <w:b/>
          <w:sz w:val="20"/>
          <w:szCs w:val="20"/>
          <w:lang w:val="uk-UA"/>
        </w:rPr>
      </w:pPr>
      <w:bookmarkStart w:id="0" w:name="_Hlk138800023"/>
      <w:r w:rsidRPr="00BC2BF4">
        <w:rPr>
          <w:rFonts w:asciiTheme="minorHAnsi" w:hAnsiTheme="minorHAnsi" w:cstheme="minorHAnsi"/>
          <w:sz w:val="20"/>
          <w:lang w:val="uk-UA" w:bidi="uk-UA"/>
        </w:rPr>
        <w:t xml:space="preserve">Право на подання скарги має сторона, яка </w:t>
      </w:r>
      <w:r w:rsidRPr="00BC2BF4">
        <w:rPr>
          <w:rFonts w:asciiTheme="minorHAnsi" w:hAnsiTheme="minorHAnsi" w:cstheme="minorHAnsi"/>
          <w:b/>
          <w:sz w:val="20"/>
          <w:lang w:val="uk-UA" w:bidi="uk-UA"/>
        </w:rPr>
        <w:t xml:space="preserve">попередньо подала клопотання про обґрунтування ухвали. </w:t>
      </w:r>
      <w:r w:rsidRPr="00BC2BF4">
        <w:rPr>
          <w:rFonts w:asciiTheme="minorHAnsi" w:hAnsiTheme="minorHAnsi" w:cstheme="minorHAnsi"/>
          <w:sz w:val="20"/>
          <w:lang w:val="uk-UA" w:bidi="uk-UA"/>
        </w:rPr>
        <w:t xml:space="preserve">Однак якщо суд </w:t>
      </w:r>
      <w:r w:rsidRPr="00BC2BF4">
        <w:rPr>
          <w:rFonts w:asciiTheme="minorHAnsi" w:hAnsiTheme="minorHAnsi" w:cstheme="minorHAnsi"/>
          <w:b/>
          <w:sz w:val="20"/>
          <w:lang w:val="uk-UA" w:bidi="uk-UA"/>
        </w:rPr>
        <w:t>обґрунтував ухвалу за службовим обов’язком</w:t>
      </w:r>
      <w:r w:rsidRPr="00BC2BF4">
        <w:rPr>
          <w:rFonts w:asciiTheme="minorHAnsi" w:hAnsiTheme="minorHAnsi" w:cstheme="minorHAnsi"/>
          <w:sz w:val="20"/>
          <w:lang w:val="uk-UA" w:bidi="uk-UA"/>
        </w:rPr>
        <w:t xml:space="preserve">, вручення ухвали разом з обґрунтуванням звільняє сторони від обов’язку подавати клопотання про складання обґрунтування ухвали. </w:t>
      </w:r>
    </w:p>
    <w:p w14:paraId="63235F96" w14:textId="77777777" w:rsidR="006C0CB2" w:rsidRPr="00BC2BF4" w:rsidRDefault="00403C4D" w:rsidP="00724EA2">
      <w:pPr>
        <w:tabs>
          <w:tab w:val="left" w:pos="426"/>
        </w:tabs>
        <w:autoSpaceDE w:val="0"/>
        <w:autoSpaceDN w:val="0"/>
        <w:adjustRightInd w:val="0"/>
        <w:spacing w:before="120"/>
        <w:ind w:left="426"/>
        <w:jc w:val="both"/>
        <w:rPr>
          <w:rFonts w:asciiTheme="minorHAnsi" w:hAnsiTheme="minorHAnsi" w:cstheme="minorHAnsi"/>
          <w:sz w:val="20"/>
          <w:szCs w:val="20"/>
          <w:lang w:val="ru-RU"/>
        </w:rPr>
      </w:pPr>
      <w:r w:rsidRPr="00BC2BF4">
        <w:rPr>
          <w:rFonts w:asciiTheme="minorHAnsi" w:hAnsiTheme="minorHAnsi" w:cstheme="minorHAnsi"/>
          <w:sz w:val="20"/>
          <w:lang w:val="uk-UA" w:bidi="uk-UA"/>
        </w:rPr>
        <w:t>Складання письмового обґрунтування ухвали на вимогу іншої сторони не звільняє цю сторону від обов’язку подати клопотання про вручення ухвали з обґрунтуванням.</w:t>
      </w:r>
    </w:p>
    <w:p w14:paraId="5F16F24E" w14:textId="77777777" w:rsidR="00C04F76" w:rsidRPr="00BC2BF4" w:rsidRDefault="00C04F76" w:rsidP="00724EA2">
      <w:pPr>
        <w:tabs>
          <w:tab w:val="left" w:pos="426"/>
        </w:tabs>
        <w:autoSpaceDE w:val="0"/>
        <w:autoSpaceDN w:val="0"/>
        <w:adjustRightInd w:val="0"/>
        <w:spacing w:before="120"/>
        <w:ind w:left="426"/>
        <w:jc w:val="both"/>
        <w:rPr>
          <w:rFonts w:asciiTheme="minorHAnsi" w:hAnsiTheme="minorHAnsi" w:cstheme="minorHAnsi"/>
          <w:sz w:val="20"/>
          <w:szCs w:val="20"/>
          <w:lang w:val="ru-RU"/>
        </w:rPr>
      </w:pPr>
      <w:r w:rsidRPr="00BC2BF4">
        <w:rPr>
          <w:rFonts w:asciiTheme="minorHAnsi" w:hAnsiTheme="minorHAnsi" w:cstheme="minorHAnsi"/>
          <w:b/>
          <w:sz w:val="20"/>
          <w:lang w:val="uk-UA" w:bidi="uk-UA"/>
        </w:rPr>
        <w:t>Основні підстави для вирішення, зазначені при винесенні ухвали, не є її обґрунтуванням</w:t>
      </w:r>
      <w:r w:rsidRPr="00BC2BF4">
        <w:rPr>
          <w:rFonts w:asciiTheme="minorHAnsi" w:hAnsiTheme="minorHAnsi" w:cstheme="minorHAnsi"/>
          <w:sz w:val="20"/>
          <w:lang w:val="uk-UA" w:bidi="uk-UA"/>
        </w:rPr>
        <w:t>; їх зазначення не звільняє сторону від обов’язку подати клопотання про вручення ухвали з обґрунтуванням.</w:t>
      </w:r>
    </w:p>
    <w:p w14:paraId="0E5A7AFF" w14:textId="77777777" w:rsidR="00C04F76" w:rsidRPr="00BC2BF4" w:rsidRDefault="00C04F76" w:rsidP="00724EA2">
      <w:pPr>
        <w:numPr>
          <w:ilvl w:val="0"/>
          <w:numId w:val="3"/>
        </w:numPr>
        <w:tabs>
          <w:tab w:val="left" w:pos="426"/>
        </w:tabs>
        <w:autoSpaceDE w:val="0"/>
        <w:autoSpaceDN w:val="0"/>
        <w:adjustRightInd w:val="0"/>
        <w:spacing w:before="120"/>
        <w:ind w:left="425" w:hanging="426"/>
        <w:jc w:val="both"/>
        <w:rPr>
          <w:rFonts w:asciiTheme="minorHAnsi" w:hAnsiTheme="minorHAnsi" w:cstheme="minorHAnsi"/>
          <w:sz w:val="20"/>
          <w:szCs w:val="20"/>
        </w:rPr>
      </w:pPr>
      <w:bookmarkStart w:id="1" w:name="_Hlk138800061"/>
      <w:bookmarkEnd w:id="0"/>
      <w:r w:rsidRPr="00BC2BF4">
        <w:rPr>
          <w:rFonts w:asciiTheme="minorHAnsi" w:hAnsiTheme="minorHAnsi" w:cstheme="minorHAnsi"/>
          <w:sz w:val="20"/>
          <w:lang w:val="uk-UA" w:bidi="uk-UA"/>
        </w:rPr>
        <w:t xml:space="preserve">Ухвалу та розпорядження, що підлягають оскарженню, суд або голова </w:t>
      </w:r>
      <w:r w:rsidRPr="00BC2BF4">
        <w:rPr>
          <w:rFonts w:asciiTheme="minorHAnsi" w:hAnsiTheme="minorHAnsi" w:cstheme="minorHAnsi"/>
          <w:b/>
          <w:sz w:val="20"/>
          <w:lang w:val="uk-UA" w:bidi="uk-UA"/>
        </w:rPr>
        <w:t>обґрунтовує</w:t>
      </w:r>
      <w:r w:rsidRPr="00BC2BF4">
        <w:rPr>
          <w:rFonts w:asciiTheme="minorHAnsi" w:hAnsiTheme="minorHAnsi" w:cstheme="minorHAnsi"/>
          <w:sz w:val="20"/>
          <w:lang w:val="uk-UA" w:bidi="uk-UA"/>
        </w:rPr>
        <w:t xml:space="preserve"> лише на вимогу сторони, подану протягом тижня з дня вручення ухвали (ст. 357 § 1 речення 1 Закону від 17 листопада 1964 р. «Цивільний процесуальний кодекс» («Закон. Вісник».2024.1568, єд. текст) - далі ЦПК). </w:t>
      </w:r>
    </w:p>
    <w:p w14:paraId="402D4840" w14:textId="77777777" w:rsidR="00C04F76" w:rsidRPr="00BC2BF4" w:rsidRDefault="00C04F76" w:rsidP="00724EA2">
      <w:pPr>
        <w:tabs>
          <w:tab w:val="left" w:pos="426"/>
        </w:tabs>
        <w:autoSpaceDE w:val="0"/>
        <w:autoSpaceDN w:val="0"/>
        <w:adjustRightInd w:val="0"/>
        <w:spacing w:before="120"/>
        <w:ind w:left="425" w:firstLine="1"/>
        <w:jc w:val="both"/>
        <w:rPr>
          <w:rFonts w:asciiTheme="minorHAnsi" w:hAnsiTheme="minorHAnsi" w:cstheme="minorHAnsi"/>
          <w:sz w:val="20"/>
          <w:szCs w:val="20"/>
          <w:lang w:val="uk-UA"/>
        </w:rPr>
      </w:pPr>
      <w:r w:rsidRPr="00BC2BF4">
        <w:rPr>
          <w:rFonts w:asciiTheme="minorHAnsi" w:hAnsiTheme="minorHAnsi" w:cstheme="minorHAnsi"/>
          <w:sz w:val="20"/>
          <w:lang w:val="uk-UA" w:bidi="uk-UA"/>
        </w:rPr>
        <w:t>Заява про надання обґрунтування ухвали підлягає сплаті фіксованого судового збору в розмірі 100 злотих (ст. 25b Закону від 28 липня 2005 р. про судові витрати у цивільних справах («Закон. Вісник».2025.1228, єд. текст) - далі ЗСЦС).</w:t>
      </w:r>
    </w:p>
    <w:p w14:paraId="2439A142" w14:textId="77777777" w:rsidR="00C04F76" w:rsidRPr="00BC2BF4" w:rsidRDefault="00C04F76" w:rsidP="00724EA2">
      <w:pPr>
        <w:tabs>
          <w:tab w:val="left" w:pos="426"/>
        </w:tabs>
        <w:autoSpaceDE w:val="0"/>
        <w:autoSpaceDN w:val="0"/>
        <w:adjustRightInd w:val="0"/>
        <w:spacing w:before="120"/>
        <w:ind w:left="425" w:firstLine="1"/>
        <w:jc w:val="both"/>
        <w:rPr>
          <w:rFonts w:asciiTheme="minorHAnsi" w:hAnsiTheme="minorHAnsi" w:cstheme="minorHAnsi"/>
          <w:sz w:val="20"/>
          <w:szCs w:val="20"/>
          <w:lang w:val="uk-UA"/>
        </w:rPr>
      </w:pPr>
      <w:r w:rsidRPr="00BC2BF4">
        <w:rPr>
          <w:rFonts w:asciiTheme="minorHAnsi" w:hAnsiTheme="minorHAnsi" w:cstheme="minorHAnsi"/>
          <w:b/>
          <w:sz w:val="20"/>
          <w:lang w:val="uk-UA" w:bidi="uk-UA"/>
        </w:rPr>
        <w:t>Суд відхиляє</w:t>
      </w:r>
      <w:r w:rsidRPr="00BC2BF4">
        <w:rPr>
          <w:rFonts w:asciiTheme="minorHAnsi" w:hAnsiTheme="minorHAnsi" w:cstheme="minorHAnsi"/>
          <w:sz w:val="20"/>
          <w:lang w:val="uk-UA" w:bidi="uk-UA"/>
        </w:rPr>
        <w:t xml:space="preserve"> клопотання про надання обґрунтування, яке є неприйнятним, поданим із запізненням, неоплаченим або має недоліки, які не були усунені попри відповідне застереження (ст. 328 § 4 ЦПК в поєдн. зі ст. 361 ЦПК).</w:t>
      </w:r>
    </w:p>
    <w:p w14:paraId="51EC2AEE" w14:textId="77777777" w:rsidR="005B591B" w:rsidRPr="00BC2BF4" w:rsidRDefault="005B591B" w:rsidP="00724EA2">
      <w:pPr>
        <w:widowControl w:val="0"/>
        <w:numPr>
          <w:ilvl w:val="0"/>
          <w:numId w:val="3"/>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ind w:left="426" w:hanging="426"/>
        <w:jc w:val="both"/>
        <w:rPr>
          <w:rFonts w:asciiTheme="minorHAnsi" w:hAnsiTheme="minorHAnsi" w:cstheme="minorHAnsi"/>
          <w:sz w:val="20"/>
          <w:szCs w:val="20"/>
          <w:lang w:val="ru-RU"/>
        </w:rPr>
      </w:pPr>
      <w:bookmarkStart w:id="2" w:name="_Hlk138801300"/>
      <w:bookmarkEnd w:id="1"/>
      <w:r w:rsidRPr="00BC2BF4">
        <w:rPr>
          <w:rFonts w:asciiTheme="minorHAnsi" w:hAnsiTheme="minorHAnsi" w:cstheme="minorHAnsi"/>
          <w:b/>
          <w:sz w:val="20"/>
          <w:lang w:val="uk-UA" w:bidi="uk-UA"/>
        </w:rPr>
        <w:t>Скарга подається</w:t>
      </w:r>
      <w:r w:rsidRPr="00BC2BF4">
        <w:rPr>
          <w:rFonts w:asciiTheme="minorHAnsi" w:hAnsiTheme="minorHAnsi" w:cstheme="minorHAnsi"/>
          <w:sz w:val="20"/>
          <w:lang w:val="uk-UA" w:bidi="uk-UA"/>
        </w:rPr>
        <w:t xml:space="preserve"> до суду, який виніс оскаржуване рішення, протягом тижня з дати вручення ухвали разом з обґрунтуванням, в тому числі у випадку, коли вручення відбулося за службовим обов’язком (ст. 394 § 2 ЦПК). </w:t>
      </w:r>
    </w:p>
    <w:p w14:paraId="6C37D103" w14:textId="77777777" w:rsidR="005B591B" w:rsidRPr="00BC2BF4" w:rsidRDefault="00E45BA7" w:rsidP="00724EA2">
      <w:pPr>
        <w:widowControl w:val="0"/>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ind w:left="425"/>
        <w:jc w:val="both"/>
        <w:rPr>
          <w:rFonts w:asciiTheme="minorHAnsi" w:hAnsiTheme="minorHAnsi" w:cstheme="minorHAnsi"/>
          <w:sz w:val="20"/>
          <w:szCs w:val="20"/>
          <w:lang w:val="uk-UA"/>
        </w:rPr>
      </w:pPr>
      <w:r w:rsidRPr="00BC2BF4">
        <w:rPr>
          <w:rFonts w:asciiTheme="minorHAnsi" w:hAnsiTheme="minorHAnsi" w:cstheme="minorHAnsi"/>
          <w:sz w:val="20"/>
          <w:lang w:val="uk-UA" w:bidi="uk-UA"/>
        </w:rPr>
        <w:tab/>
        <w:t>Письмо, що містить скаргу, має бути подане разом з копіями (скарги та додатків до неї) у кількості, що дорівнює кількості інших сторін у провадженні.</w:t>
      </w:r>
    </w:p>
    <w:p w14:paraId="345A5727" w14:textId="77777777" w:rsidR="005B591B" w:rsidRPr="00BC2BF4" w:rsidRDefault="00E45BA7" w:rsidP="00724EA2">
      <w:pPr>
        <w:widowControl w:val="0"/>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ind w:left="425"/>
        <w:jc w:val="both"/>
        <w:rPr>
          <w:rFonts w:asciiTheme="minorHAnsi" w:hAnsiTheme="minorHAnsi" w:cstheme="minorHAnsi"/>
          <w:sz w:val="20"/>
          <w:szCs w:val="20"/>
          <w:lang w:val="ru-RU"/>
        </w:rPr>
      </w:pPr>
      <w:r w:rsidRPr="00BC2BF4">
        <w:rPr>
          <w:rFonts w:asciiTheme="minorHAnsi" w:hAnsiTheme="minorHAnsi" w:cstheme="minorHAnsi"/>
          <w:sz w:val="20"/>
          <w:lang w:val="uk-UA" w:bidi="uk-UA"/>
        </w:rPr>
        <w:tab/>
        <w:t xml:space="preserve">Скарга підлягає сплаті </w:t>
      </w:r>
      <w:r w:rsidRPr="00BC2BF4">
        <w:rPr>
          <w:rFonts w:asciiTheme="minorHAnsi" w:hAnsiTheme="minorHAnsi" w:cstheme="minorHAnsi"/>
          <w:b/>
          <w:sz w:val="20"/>
          <w:lang w:val="uk-UA" w:bidi="uk-UA"/>
        </w:rPr>
        <w:t>судового збору</w:t>
      </w:r>
      <w:r w:rsidRPr="00BC2BF4">
        <w:rPr>
          <w:rFonts w:asciiTheme="minorHAnsi" w:hAnsiTheme="minorHAnsi" w:cstheme="minorHAnsi"/>
          <w:sz w:val="20"/>
          <w:lang w:val="uk-UA" w:bidi="uk-UA"/>
        </w:rPr>
        <w:t>. Сума збору за скаргу становить п’яту частину повного судового збору. Кінцеву суму збору округлюють у бік збільшення до повного злотого (ст. 21 ЗСЦС). Обов’язок її сплати покладається на сторону, яка подає скаргу. У разі подання скарги раніше сплачений збір за клопотання про надання обґрунтування ухвали зараховується у рахунок збору за подання скарги.</w:t>
      </w:r>
    </w:p>
    <w:bookmarkEnd w:id="2"/>
    <w:p w14:paraId="08CE3EC6" w14:textId="77777777" w:rsidR="009C6C68" w:rsidRPr="00BC2BF4" w:rsidRDefault="005041FD" w:rsidP="00724EA2">
      <w:pPr>
        <w:widowControl w:val="0"/>
        <w:numPr>
          <w:ilvl w:val="0"/>
          <w:numId w:val="3"/>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ind w:left="425" w:hanging="426"/>
        <w:jc w:val="both"/>
        <w:rPr>
          <w:rFonts w:asciiTheme="minorHAnsi" w:hAnsiTheme="minorHAnsi" w:cstheme="minorHAnsi"/>
          <w:sz w:val="20"/>
          <w:szCs w:val="20"/>
          <w:lang w:val="uk-UA"/>
        </w:rPr>
      </w:pPr>
      <w:r w:rsidRPr="00BC2BF4">
        <w:rPr>
          <w:rFonts w:asciiTheme="minorHAnsi" w:hAnsiTheme="minorHAnsi" w:cstheme="minorHAnsi"/>
          <w:sz w:val="20"/>
          <w:lang w:val="uk-UA" w:bidi="uk-UA"/>
        </w:rPr>
        <w:t xml:space="preserve">Суд першої інстанції </w:t>
      </w:r>
      <w:r w:rsidRPr="00BC2BF4">
        <w:rPr>
          <w:rFonts w:asciiTheme="minorHAnsi" w:hAnsiTheme="minorHAnsi" w:cstheme="minorHAnsi"/>
          <w:b/>
          <w:sz w:val="20"/>
          <w:lang w:val="uk-UA" w:bidi="uk-UA"/>
        </w:rPr>
        <w:t>відхиляє скаргу</w:t>
      </w:r>
      <w:r w:rsidRPr="00BC2BF4">
        <w:rPr>
          <w:rFonts w:asciiTheme="minorHAnsi" w:hAnsiTheme="minorHAnsi" w:cstheme="minorHAnsi"/>
          <w:sz w:val="20"/>
          <w:lang w:val="uk-UA" w:bidi="uk-UA"/>
        </w:rPr>
        <w:t>, подану з простроченням строку або неприйнятну з інших підстав (ст. 395 § 1 ЦПК). Суд другої інстанції відхиляє скаргу, якщо вона підлягала відхиленню судом першої інстанції, а також у разі, якщо сторона не усунула недоліки у визначений строк (ст. 397 § 1</w:t>
      </w:r>
      <w:r w:rsidRPr="00BC2BF4">
        <w:rPr>
          <w:rFonts w:asciiTheme="minorHAnsi" w:hAnsiTheme="minorHAnsi" w:cstheme="minorHAnsi"/>
          <w:sz w:val="20"/>
          <w:vertAlign w:val="superscript"/>
          <w:lang w:val="uk-UA" w:bidi="uk-UA"/>
        </w:rPr>
        <w:t>1</w:t>
      </w:r>
      <w:r w:rsidRPr="00BC2BF4">
        <w:rPr>
          <w:rFonts w:asciiTheme="minorHAnsi" w:hAnsiTheme="minorHAnsi" w:cstheme="minorHAnsi"/>
          <w:sz w:val="20"/>
          <w:lang w:val="uk-UA" w:bidi="uk-UA"/>
        </w:rPr>
        <w:t xml:space="preserve"> ЦПК).</w:t>
      </w:r>
    </w:p>
    <w:p w14:paraId="6B4AEFF8" w14:textId="77777777" w:rsidR="009C6C68" w:rsidRPr="00BC2BF4" w:rsidRDefault="00733041" w:rsidP="00724EA2">
      <w:pPr>
        <w:widowControl w:val="0"/>
        <w:numPr>
          <w:ilvl w:val="0"/>
          <w:numId w:val="3"/>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ind w:left="425" w:hanging="426"/>
        <w:jc w:val="both"/>
        <w:rPr>
          <w:rFonts w:asciiTheme="minorHAnsi" w:hAnsiTheme="minorHAnsi" w:cstheme="minorHAnsi"/>
          <w:sz w:val="20"/>
          <w:szCs w:val="20"/>
          <w:lang w:val="ru-RU"/>
        </w:rPr>
      </w:pPr>
      <w:bookmarkStart w:id="3" w:name="_Hlk138801445"/>
      <w:r w:rsidRPr="00BC2BF4">
        <w:rPr>
          <w:rFonts w:asciiTheme="minorHAnsi" w:hAnsiTheme="minorHAnsi" w:cstheme="minorHAnsi"/>
          <w:sz w:val="20"/>
          <w:lang w:val="uk-UA" w:bidi="uk-UA"/>
        </w:rPr>
        <w:t xml:space="preserve"> </w:t>
      </w:r>
      <w:r w:rsidRPr="00BC2BF4">
        <w:rPr>
          <w:rFonts w:asciiTheme="minorHAnsi" w:hAnsiTheme="minorHAnsi" w:cstheme="minorHAnsi"/>
          <w:b/>
          <w:sz w:val="20"/>
          <w:lang w:val="uk-UA" w:bidi="uk-UA"/>
        </w:rPr>
        <w:t>Подання процесуального документа</w:t>
      </w:r>
      <w:r w:rsidRPr="00BC2BF4">
        <w:rPr>
          <w:rFonts w:asciiTheme="minorHAnsi" w:hAnsiTheme="minorHAnsi" w:cstheme="minorHAnsi"/>
          <w:sz w:val="20"/>
          <w:lang w:val="uk-UA" w:bidi="uk-UA"/>
        </w:rPr>
        <w:t xml:space="preserve"> (у тому числі скарги) у польському відділенні оператора, що надає універсальні поштові послуги на території Республіки Польща, або в закордонному поштовому відділенні оператора, що надає універсальні поштові послуги на території іншої держави-члена Європейського Союзу, є </w:t>
      </w:r>
      <w:r w:rsidRPr="00BC2BF4">
        <w:rPr>
          <w:rFonts w:asciiTheme="minorHAnsi" w:hAnsiTheme="minorHAnsi" w:cstheme="minorHAnsi"/>
          <w:b/>
          <w:sz w:val="20"/>
          <w:lang w:val="uk-UA" w:bidi="uk-UA"/>
        </w:rPr>
        <w:t>рівнозначним його поданням до суду</w:t>
      </w:r>
      <w:r w:rsidRPr="00BC2BF4">
        <w:rPr>
          <w:rFonts w:asciiTheme="minorHAnsi" w:hAnsiTheme="minorHAnsi" w:cstheme="minorHAnsi"/>
          <w:sz w:val="20"/>
          <w:lang w:val="uk-UA" w:bidi="uk-UA"/>
        </w:rPr>
        <w:t xml:space="preserve"> (ст. 165 § 2 ЦПК). Те саме стосується подання процесуального документа військовослужбовцем до командування військової частини або особою, позбавленою волі, до адміністрації виправної установи, а також членом екіпажу польського морського судна капітану судна (ст. 165 § 3 ЦПК).</w:t>
      </w:r>
    </w:p>
    <w:p w14:paraId="34E4E638" w14:textId="77777777" w:rsidR="009C6C68" w:rsidRPr="00BC2BF4" w:rsidRDefault="00FD3B4F" w:rsidP="00724EA2">
      <w:pPr>
        <w:widowControl w:val="0"/>
        <w:numPr>
          <w:ilvl w:val="0"/>
          <w:numId w:val="3"/>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ind w:left="425" w:hanging="425"/>
        <w:jc w:val="both"/>
        <w:rPr>
          <w:rFonts w:asciiTheme="minorHAnsi" w:hAnsiTheme="minorHAnsi" w:cstheme="minorHAnsi"/>
          <w:sz w:val="20"/>
          <w:szCs w:val="20"/>
          <w:lang w:val="ru-RU"/>
        </w:rPr>
      </w:pPr>
      <w:r w:rsidRPr="00BC2BF4">
        <w:rPr>
          <w:rFonts w:asciiTheme="minorHAnsi" w:hAnsiTheme="minorHAnsi" w:cstheme="minorHAnsi"/>
          <w:sz w:val="20"/>
          <w:lang w:val="uk-UA" w:bidi="uk-UA"/>
        </w:rPr>
        <w:t xml:space="preserve">На кожному етапі провадження </w:t>
      </w:r>
      <w:r w:rsidRPr="00BC2BF4">
        <w:rPr>
          <w:rFonts w:asciiTheme="minorHAnsi" w:hAnsiTheme="minorHAnsi" w:cstheme="minorHAnsi"/>
          <w:b/>
          <w:sz w:val="20"/>
          <w:lang w:val="uk-UA" w:bidi="uk-UA"/>
        </w:rPr>
        <w:t>сторона може призначити процесуального повноважного представника</w:t>
      </w:r>
      <w:r w:rsidRPr="00BC2BF4">
        <w:rPr>
          <w:rFonts w:asciiTheme="minorHAnsi" w:hAnsiTheme="minorHAnsi" w:cstheme="minorHAnsi"/>
          <w:sz w:val="20"/>
          <w:lang w:val="uk-UA" w:bidi="uk-UA"/>
        </w:rPr>
        <w:t xml:space="preserve">; обов’язкового представництва сторони адвокатом або юрисконсультом немає. Довіреність на судове провадження може бути генеральною, на ведення окремих справ або на здійснення певних процесуальних дій. </w:t>
      </w:r>
    </w:p>
    <w:p w14:paraId="4C60C630" w14:textId="77777777" w:rsidR="009C6C68" w:rsidRPr="00BC2BF4" w:rsidRDefault="00FD3B4F" w:rsidP="00724EA2">
      <w:pPr>
        <w:widowControl w:val="0"/>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ind w:left="425" w:firstLine="1"/>
        <w:jc w:val="both"/>
        <w:rPr>
          <w:rFonts w:asciiTheme="minorHAnsi" w:hAnsiTheme="minorHAnsi" w:cstheme="minorHAnsi"/>
          <w:sz w:val="20"/>
          <w:szCs w:val="20"/>
          <w:lang w:val="ru-RU"/>
        </w:rPr>
      </w:pPr>
      <w:r w:rsidRPr="00BC2BF4">
        <w:rPr>
          <w:rFonts w:asciiTheme="minorHAnsi" w:hAnsiTheme="minorHAnsi" w:cstheme="minorHAnsi"/>
          <w:sz w:val="20"/>
          <w:lang w:val="uk-UA" w:bidi="uk-UA"/>
        </w:rPr>
        <w:t xml:space="preserve">Процесуальним повноважним представником може бути адвокат або юрисконсульт, а у справах про промислову власність також патентний повірений, а також особа, яка здійснює управління майном або </w:t>
      </w:r>
      <w:r w:rsidRPr="00BC2BF4">
        <w:rPr>
          <w:rFonts w:asciiTheme="minorHAnsi" w:hAnsiTheme="minorHAnsi" w:cstheme="minorHAnsi"/>
          <w:sz w:val="20"/>
          <w:lang w:val="uk-UA" w:bidi="uk-UA"/>
        </w:rPr>
        <w:lastRenderedPageBreak/>
        <w:t>інтересами сторони, та особа, яка перебуває зі стороною у постійних довірчих відносинах, якщо предмет справи входить до сфери цих довірчих відносин, співучасник спору, а також батьки, чоловік або дружина, брати та сестри або нащадки сторони, а також особи, які перебувають зі стороною у відносинах усиновлення (ст. 87 § 1 ЦПК).</w:t>
      </w:r>
    </w:p>
    <w:p w14:paraId="37A00318" w14:textId="77777777" w:rsidR="009C6C68" w:rsidRPr="00BC2BF4" w:rsidRDefault="00FD3B4F" w:rsidP="00724EA2">
      <w:pPr>
        <w:widowControl w:val="0"/>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ind w:left="425" w:firstLine="1"/>
        <w:jc w:val="both"/>
        <w:rPr>
          <w:rFonts w:asciiTheme="minorHAnsi" w:hAnsiTheme="minorHAnsi" w:cstheme="minorHAnsi"/>
          <w:sz w:val="20"/>
          <w:szCs w:val="20"/>
          <w:lang w:val="uk-UA"/>
        </w:rPr>
      </w:pPr>
      <w:r w:rsidRPr="00BC2BF4">
        <w:rPr>
          <w:rFonts w:asciiTheme="minorHAnsi" w:hAnsiTheme="minorHAnsi" w:cstheme="minorHAnsi"/>
          <w:sz w:val="20"/>
          <w:lang w:val="uk-UA" w:bidi="uk-UA"/>
        </w:rPr>
        <w:t>Повноважним представником юридичної особи або підприємця, у тому числі без статусу юридичної особи, може бути також працівник цієї організаційної одиниці або її вищого органу. Юридична особа, яка на підставі окремих положень здійснює юридичне обслуговування підприємця, юридичної особи або іншої організаційної одиниці, може надати процесуальну довіреність - від імені суб’єкта, юридичне обслуговування якого вона здійснює, - адвокату або юрисконсульту, якщо вона була до цього уповноважена цим суб’єктом (ст. 87 § 2 ЦПК).</w:t>
      </w:r>
    </w:p>
    <w:p w14:paraId="10A37987" w14:textId="77777777" w:rsidR="009C6C68" w:rsidRPr="00BC2BF4" w:rsidRDefault="00FD3B4F" w:rsidP="00724EA2">
      <w:pPr>
        <w:widowControl w:val="0"/>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ind w:left="425" w:firstLine="1"/>
        <w:jc w:val="both"/>
        <w:rPr>
          <w:rFonts w:asciiTheme="minorHAnsi" w:hAnsiTheme="minorHAnsi" w:cstheme="minorHAnsi"/>
          <w:sz w:val="20"/>
          <w:szCs w:val="20"/>
          <w:lang w:val="ru-RU"/>
        </w:rPr>
      </w:pPr>
      <w:r w:rsidRPr="00BC2BF4">
        <w:rPr>
          <w:rFonts w:asciiTheme="minorHAnsi" w:hAnsiTheme="minorHAnsi" w:cstheme="minorHAnsi"/>
          <w:b/>
          <w:sz w:val="20"/>
          <w:lang w:val="uk-UA" w:bidi="uk-UA"/>
        </w:rPr>
        <w:t>Повноваження на здійснення деяких процесуальних дій</w:t>
      </w:r>
      <w:r w:rsidRPr="00BC2BF4">
        <w:rPr>
          <w:rFonts w:asciiTheme="minorHAnsi" w:hAnsiTheme="minorHAnsi" w:cstheme="minorHAnsi"/>
          <w:sz w:val="20"/>
          <w:lang w:val="uk-UA" w:bidi="uk-UA"/>
        </w:rPr>
        <w:t>, у тому числі таке, що охоплює виключно уповноваження на отримання судових документів (</w:t>
      </w:r>
      <w:r w:rsidRPr="00BC2BF4">
        <w:rPr>
          <w:rFonts w:asciiTheme="minorHAnsi" w:hAnsiTheme="minorHAnsi" w:cstheme="minorHAnsi"/>
          <w:b/>
          <w:sz w:val="20"/>
          <w:lang w:val="uk-UA" w:bidi="uk-UA"/>
        </w:rPr>
        <w:t>повноважний представник для отримання документів</w:t>
      </w:r>
      <w:r w:rsidRPr="00BC2BF4">
        <w:rPr>
          <w:rFonts w:asciiTheme="minorHAnsi" w:hAnsiTheme="minorHAnsi" w:cstheme="minorHAnsi"/>
          <w:sz w:val="20"/>
          <w:lang w:val="uk-UA" w:bidi="uk-UA"/>
        </w:rPr>
        <w:t>), може бути надане будь-якій фізичній особі, яка має повну процесуальну дієздатність.</w:t>
      </w:r>
    </w:p>
    <w:p w14:paraId="6A79E04B" w14:textId="77777777" w:rsidR="00FD3B4F" w:rsidRPr="00BC2BF4" w:rsidRDefault="00FD3B4F" w:rsidP="00724EA2">
      <w:pPr>
        <w:widowControl w:val="0"/>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ind w:left="425" w:firstLine="1"/>
        <w:jc w:val="both"/>
        <w:rPr>
          <w:rFonts w:asciiTheme="minorHAnsi" w:hAnsiTheme="minorHAnsi" w:cstheme="minorHAnsi"/>
          <w:sz w:val="20"/>
          <w:szCs w:val="20"/>
          <w:lang w:val="ru-RU"/>
        </w:rPr>
      </w:pPr>
      <w:r w:rsidRPr="00BC2BF4">
        <w:rPr>
          <w:rFonts w:asciiTheme="minorHAnsi" w:hAnsiTheme="minorHAnsi" w:cstheme="minorHAnsi"/>
          <w:sz w:val="20"/>
          <w:lang w:val="uk-UA" w:bidi="uk-UA"/>
        </w:rPr>
        <w:t xml:space="preserve">Повноважний представник зобов'язаний під час своєї першої процесуальної дії </w:t>
      </w:r>
      <w:r w:rsidRPr="00BC2BF4">
        <w:rPr>
          <w:rFonts w:asciiTheme="minorHAnsi" w:hAnsiTheme="minorHAnsi" w:cstheme="minorHAnsi"/>
          <w:b/>
          <w:sz w:val="20"/>
          <w:lang w:val="uk-UA" w:bidi="uk-UA"/>
        </w:rPr>
        <w:t>подати письмову довіреність</w:t>
      </w:r>
      <w:r w:rsidRPr="00BC2BF4">
        <w:rPr>
          <w:rFonts w:asciiTheme="minorHAnsi" w:hAnsiTheme="minorHAnsi" w:cstheme="minorHAnsi"/>
          <w:sz w:val="20"/>
          <w:lang w:val="uk-UA" w:bidi="uk-UA"/>
        </w:rPr>
        <w:t xml:space="preserve"> з підписом довірителя або завірену копію довіреності, а також інші документи, що підтверджують його повноваження - усі ці документи разом із копією для протилежної сторони (ст. 89 § 1 ЦПК).</w:t>
      </w:r>
    </w:p>
    <w:p w14:paraId="609E9C8C" w14:textId="77777777" w:rsidR="009C6C68" w:rsidRPr="00BC2BF4" w:rsidRDefault="009C6C68" w:rsidP="00724EA2">
      <w:pPr>
        <w:widowControl w:val="0"/>
        <w:numPr>
          <w:ilvl w:val="0"/>
          <w:numId w:val="3"/>
        </w:numPr>
        <w:tabs>
          <w:tab w:val="left" w:pos="426"/>
          <w:tab w:val="left" w:pos="4956"/>
          <w:tab w:val="left" w:pos="5664"/>
          <w:tab w:val="left" w:pos="6372"/>
          <w:tab w:val="left" w:pos="7080"/>
          <w:tab w:val="left" w:pos="7788"/>
          <w:tab w:val="left" w:pos="8496"/>
          <w:tab w:val="left" w:pos="9204"/>
          <w:tab w:val="left" w:pos="9912"/>
        </w:tabs>
        <w:autoSpaceDE w:val="0"/>
        <w:autoSpaceDN w:val="0"/>
        <w:adjustRightInd w:val="0"/>
        <w:spacing w:before="120"/>
        <w:ind w:left="426" w:hanging="426"/>
        <w:jc w:val="both"/>
        <w:rPr>
          <w:rFonts w:asciiTheme="minorHAnsi" w:hAnsiTheme="minorHAnsi" w:cstheme="minorHAnsi"/>
          <w:sz w:val="20"/>
          <w:szCs w:val="20"/>
          <w:lang w:val="uk-UA"/>
        </w:rPr>
      </w:pPr>
      <w:r w:rsidRPr="00BC2BF4">
        <w:rPr>
          <w:rFonts w:asciiTheme="minorHAnsi" w:hAnsiTheme="minorHAnsi" w:cstheme="minorHAnsi"/>
          <w:sz w:val="20"/>
          <w:lang w:val="uk-UA" w:bidi="uk-UA"/>
        </w:rPr>
        <w:t xml:space="preserve">Сторони та їхні представники </w:t>
      </w:r>
      <w:r w:rsidRPr="00BC2BF4">
        <w:rPr>
          <w:rFonts w:asciiTheme="minorHAnsi" w:hAnsiTheme="minorHAnsi" w:cstheme="minorHAnsi"/>
          <w:b/>
          <w:sz w:val="20"/>
          <w:lang w:val="uk-UA" w:bidi="uk-UA"/>
        </w:rPr>
        <w:t>зобов’язані повідомляти суд про кожну зміну свого місця проживання</w:t>
      </w:r>
      <w:r w:rsidRPr="00BC2BF4">
        <w:rPr>
          <w:rFonts w:asciiTheme="minorHAnsi" w:hAnsiTheme="minorHAnsi" w:cstheme="minorHAnsi"/>
          <w:sz w:val="20"/>
          <w:lang w:val="uk-UA" w:bidi="uk-UA"/>
        </w:rPr>
        <w:t xml:space="preserve">, а у випадку сторін, які не є фізичними особами, - </w:t>
      </w:r>
      <w:r w:rsidRPr="00BC2BF4">
        <w:rPr>
          <w:rFonts w:asciiTheme="minorHAnsi" w:hAnsiTheme="minorHAnsi" w:cstheme="minorHAnsi"/>
          <w:b/>
          <w:sz w:val="20"/>
          <w:lang w:val="uk-UA" w:bidi="uk-UA"/>
        </w:rPr>
        <w:t>адреси головного офісу</w:t>
      </w:r>
      <w:r w:rsidRPr="00BC2BF4">
        <w:rPr>
          <w:rFonts w:asciiTheme="minorHAnsi" w:hAnsiTheme="minorHAnsi" w:cstheme="minorHAnsi"/>
          <w:sz w:val="20"/>
          <w:lang w:val="uk-UA" w:bidi="uk-UA"/>
        </w:rPr>
        <w:t xml:space="preserve">. Сторона, яка є </w:t>
      </w:r>
      <w:r w:rsidRPr="00BC2BF4">
        <w:rPr>
          <w:rFonts w:asciiTheme="minorHAnsi" w:hAnsiTheme="minorHAnsi" w:cstheme="minorHAnsi"/>
          <w:b/>
          <w:sz w:val="20"/>
          <w:lang w:val="uk-UA" w:bidi="uk-UA"/>
        </w:rPr>
        <w:t>підприємцем, зареєстрованим у Центральному реєстрі та Інформаційній системі про господарську діяльність</w:t>
      </w:r>
      <w:r w:rsidRPr="00BC2BF4">
        <w:rPr>
          <w:rFonts w:asciiTheme="minorHAnsi" w:hAnsiTheme="minorHAnsi" w:cstheme="minorHAnsi"/>
          <w:sz w:val="20"/>
          <w:lang w:val="uk-UA" w:bidi="uk-UA"/>
        </w:rPr>
        <w:t>, зобов’язана повідомляти суд про кожну зміну адреси для поштових відправлень, зазначеної в цьому реєстрі.</w:t>
      </w:r>
    </w:p>
    <w:p w14:paraId="3FE89800" w14:textId="77777777" w:rsidR="009C6C68" w:rsidRPr="00BC2BF4" w:rsidRDefault="009C6C68" w:rsidP="00724EA2">
      <w:pPr>
        <w:widowControl w:val="0"/>
        <w:tabs>
          <w:tab w:val="left" w:pos="426"/>
          <w:tab w:val="left" w:pos="4956"/>
          <w:tab w:val="left" w:pos="5664"/>
          <w:tab w:val="left" w:pos="6372"/>
          <w:tab w:val="left" w:pos="7080"/>
          <w:tab w:val="left" w:pos="7788"/>
          <w:tab w:val="left" w:pos="8496"/>
          <w:tab w:val="left" w:pos="9204"/>
          <w:tab w:val="left" w:pos="9912"/>
        </w:tabs>
        <w:autoSpaceDE w:val="0"/>
        <w:autoSpaceDN w:val="0"/>
        <w:adjustRightInd w:val="0"/>
        <w:spacing w:before="120"/>
        <w:ind w:left="426"/>
        <w:jc w:val="both"/>
        <w:rPr>
          <w:rFonts w:asciiTheme="minorHAnsi" w:hAnsiTheme="minorHAnsi" w:cstheme="minorHAnsi"/>
          <w:sz w:val="20"/>
          <w:szCs w:val="20"/>
          <w:lang w:val="ru-RU"/>
        </w:rPr>
      </w:pPr>
      <w:r w:rsidRPr="00BC2BF4">
        <w:rPr>
          <w:rFonts w:asciiTheme="minorHAnsi" w:hAnsiTheme="minorHAnsi" w:cstheme="minorHAnsi"/>
          <w:sz w:val="20"/>
          <w:lang w:val="uk-UA" w:bidi="uk-UA"/>
        </w:rPr>
        <w:t xml:space="preserve">Сторона, яка подала клопотання про вручення документів на адресу вказаної </w:t>
      </w:r>
      <w:r w:rsidRPr="00BC2BF4">
        <w:rPr>
          <w:rFonts w:asciiTheme="minorHAnsi" w:hAnsiTheme="minorHAnsi" w:cstheme="minorHAnsi"/>
          <w:b/>
          <w:sz w:val="20"/>
          <w:lang w:val="uk-UA" w:bidi="uk-UA"/>
        </w:rPr>
        <w:t>поштової скриньки</w:t>
      </w:r>
      <w:r w:rsidRPr="00BC2BF4">
        <w:rPr>
          <w:rFonts w:asciiTheme="minorHAnsi" w:hAnsiTheme="minorHAnsi" w:cstheme="minorHAnsi"/>
          <w:sz w:val="20"/>
          <w:lang w:val="uk-UA" w:bidi="uk-UA"/>
        </w:rPr>
        <w:t>, зобов’язана повідомляти суд про кожну зміну цієї адреси.</w:t>
      </w:r>
    </w:p>
    <w:p w14:paraId="591C1C7A" w14:textId="77777777" w:rsidR="009C6C68" w:rsidRPr="00BC2BF4" w:rsidRDefault="009C6C68" w:rsidP="00724EA2">
      <w:pPr>
        <w:widowControl w:val="0"/>
        <w:tabs>
          <w:tab w:val="left" w:pos="426"/>
          <w:tab w:val="left" w:pos="4956"/>
          <w:tab w:val="left" w:pos="5664"/>
          <w:tab w:val="left" w:pos="6372"/>
          <w:tab w:val="left" w:pos="7080"/>
          <w:tab w:val="left" w:pos="7788"/>
          <w:tab w:val="left" w:pos="8496"/>
          <w:tab w:val="left" w:pos="9204"/>
          <w:tab w:val="left" w:pos="9912"/>
        </w:tabs>
        <w:autoSpaceDE w:val="0"/>
        <w:autoSpaceDN w:val="0"/>
        <w:adjustRightInd w:val="0"/>
        <w:spacing w:before="120"/>
        <w:ind w:left="426"/>
        <w:jc w:val="both"/>
        <w:rPr>
          <w:rFonts w:asciiTheme="minorHAnsi" w:hAnsiTheme="minorHAnsi" w:cstheme="minorHAnsi"/>
          <w:sz w:val="20"/>
          <w:szCs w:val="20"/>
          <w:lang w:val="ru-RU"/>
        </w:rPr>
      </w:pPr>
      <w:r w:rsidRPr="00BC2BF4">
        <w:rPr>
          <w:rFonts w:asciiTheme="minorHAnsi" w:hAnsiTheme="minorHAnsi" w:cstheme="minorHAnsi"/>
          <w:sz w:val="20"/>
          <w:lang w:val="uk-UA" w:bidi="uk-UA"/>
        </w:rPr>
        <w:t xml:space="preserve">У разі невиконання вищезазначених зобов'язань судовий документ залишається у справі та вважається врученим, якщо нова адреса не відома суду (ст. 136 § 2 ЦПК). </w:t>
      </w:r>
    </w:p>
    <w:p w14:paraId="267D646A" w14:textId="77777777" w:rsidR="00100934" w:rsidRPr="00BC2BF4" w:rsidRDefault="00E45BA7" w:rsidP="00724EA2">
      <w:pPr>
        <w:widowControl w:val="0"/>
        <w:numPr>
          <w:ilvl w:val="0"/>
          <w:numId w:val="3"/>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ind w:left="360" w:hanging="360"/>
        <w:jc w:val="both"/>
        <w:rPr>
          <w:rFonts w:asciiTheme="minorHAnsi" w:hAnsiTheme="minorHAnsi" w:cstheme="minorHAnsi"/>
          <w:b/>
          <w:bCs/>
          <w:sz w:val="20"/>
          <w:szCs w:val="20"/>
          <w:lang w:val="ru-RU"/>
        </w:rPr>
      </w:pPr>
      <w:r w:rsidRPr="00BC2BF4">
        <w:rPr>
          <w:rFonts w:asciiTheme="minorHAnsi" w:hAnsiTheme="minorHAnsi" w:cstheme="minorHAnsi"/>
          <w:sz w:val="20"/>
          <w:lang w:val="uk-UA" w:bidi="uk-UA"/>
        </w:rPr>
        <w:t xml:space="preserve">Усі судові документи мають бути складені </w:t>
      </w:r>
      <w:r w:rsidRPr="00BC2BF4">
        <w:rPr>
          <w:rFonts w:asciiTheme="minorHAnsi" w:hAnsiTheme="minorHAnsi" w:cstheme="minorHAnsi"/>
          <w:b/>
          <w:sz w:val="20"/>
          <w:lang w:val="uk-UA" w:bidi="uk-UA"/>
        </w:rPr>
        <w:t xml:space="preserve">польською мовою. </w:t>
      </w:r>
    </w:p>
    <w:p w14:paraId="33820628" w14:textId="77777777" w:rsidR="00E45BA7" w:rsidRPr="00BC2BF4" w:rsidRDefault="00E45BA7" w:rsidP="00724EA2">
      <w:pPr>
        <w:widowControl w:val="0"/>
        <w:numPr>
          <w:ilvl w:val="0"/>
          <w:numId w:val="3"/>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ind w:left="360" w:hanging="360"/>
        <w:jc w:val="both"/>
        <w:rPr>
          <w:rFonts w:asciiTheme="minorHAnsi" w:hAnsiTheme="minorHAnsi" w:cstheme="minorHAnsi"/>
          <w:b/>
          <w:bCs/>
          <w:sz w:val="20"/>
          <w:szCs w:val="20"/>
          <w:lang w:val="ru-RU"/>
        </w:rPr>
      </w:pPr>
      <w:r w:rsidRPr="00BC2BF4">
        <w:rPr>
          <w:rFonts w:asciiTheme="minorHAnsi" w:hAnsiTheme="minorHAnsi" w:cstheme="minorHAnsi"/>
          <w:sz w:val="20"/>
          <w:lang w:val="uk-UA" w:bidi="uk-UA"/>
        </w:rPr>
        <w:t xml:space="preserve">Подаючи судовий документ до суду, слід вказати </w:t>
      </w:r>
      <w:r w:rsidRPr="00BC2BF4">
        <w:rPr>
          <w:rFonts w:asciiTheme="minorHAnsi" w:hAnsiTheme="minorHAnsi" w:cstheme="minorHAnsi"/>
          <w:b/>
          <w:sz w:val="20"/>
          <w:lang w:val="uk-UA" w:bidi="uk-UA"/>
        </w:rPr>
        <w:t>номер справи</w:t>
      </w:r>
      <w:r w:rsidRPr="00BC2BF4">
        <w:rPr>
          <w:rFonts w:asciiTheme="minorHAnsi" w:hAnsiTheme="minorHAnsi" w:cstheme="minorHAnsi"/>
          <w:sz w:val="20"/>
          <w:lang w:val="uk-UA" w:bidi="uk-UA"/>
        </w:rPr>
        <w:t>, зазначений у цьому документі.</w:t>
      </w:r>
    </w:p>
    <w:bookmarkEnd w:id="3"/>
    <w:p w14:paraId="1E330998" w14:textId="77777777" w:rsidR="00E45BA7" w:rsidRPr="00BC2BF4" w:rsidRDefault="00E45BA7" w:rsidP="00724EA2">
      <w:pPr>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hanging="426"/>
        <w:jc w:val="center"/>
        <w:rPr>
          <w:rFonts w:asciiTheme="minorHAnsi" w:hAnsiTheme="minorHAnsi" w:cstheme="minorHAnsi"/>
          <w:b/>
          <w:bCs/>
          <w:sz w:val="20"/>
          <w:szCs w:val="20"/>
          <w:lang w:val="ru-RU"/>
        </w:rPr>
      </w:pPr>
    </w:p>
    <w:p w14:paraId="2703D6A0" w14:textId="77777777" w:rsidR="00E45BA7" w:rsidRPr="00BC2BF4" w:rsidRDefault="00E45BA7" w:rsidP="00724EA2">
      <w:pPr>
        <w:tabs>
          <w:tab w:val="left" w:pos="426"/>
        </w:tabs>
        <w:ind w:hanging="426"/>
        <w:rPr>
          <w:rFonts w:asciiTheme="minorHAnsi" w:hAnsiTheme="minorHAnsi" w:cstheme="minorHAnsi"/>
          <w:lang w:val="ru-RU"/>
        </w:rPr>
      </w:pPr>
    </w:p>
    <w:p w14:paraId="594D79C3" w14:textId="77777777" w:rsidR="001707BF" w:rsidRPr="00BC2BF4" w:rsidRDefault="001707BF" w:rsidP="00724EA2">
      <w:pPr>
        <w:tabs>
          <w:tab w:val="left" w:pos="426"/>
          <w:tab w:val="left" w:pos="460"/>
        </w:tabs>
        <w:ind w:hanging="426"/>
        <w:rPr>
          <w:rFonts w:asciiTheme="minorHAnsi" w:hAnsiTheme="minorHAnsi" w:cstheme="minorHAnsi"/>
          <w:lang w:val="ru-RU"/>
        </w:rPr>
      </w:pPr>
    </w:p>
    <w:sectPr w:rsidR="001707BF" w:rsidRPr="00BC2BF4" w:rsidSect="00BD525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4B578" w14:textId="77777777" w:rsidR="00590EFA" w:rsidRDefault="00590EFA" w:rsidP="005041FD">
      <w:r>
        <w:separator/>
      </w:r>
    </w:p>
  </w:endnote>
  <w:endnote w:type="continuationSeparator" w:id="0">
    <w:p w14:paraId="3C1FA976" w14:textId="77777777" w:rsidR="00590EFA" w:rsidRDefault="00590EFA" w:rsidP="00504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0513C" w14:textId="77777777" w:rsidR="005041FD" w:rsidRDefault="005041FD">
    <w:pPr>
      <w:pStyle w:val="Stopka"/>
      <w:jc w:val="center"/>
    </w:pPr>
    <w:r>
      <w:rPr>
        <w:lang w:val="uk-UA" w:bidi="uk-UA"/>
      </w:rPr>
      <w:fldChar w:fldCharType="begin"/>
    </w:r>
    <w:r>
      <w:rPr>
        <w:lang w:val="uk-UA" w:bidi="uk-UA"/>
      </w:rPr>
      <w:instrText>PAGE   \* MERGEFORMAT</w:instrText>
    </w:r>
    <w:r>
      <w:rPr>
        <w:lang w:val="uk-UA" w:bidi="uk-UA"/>
      </w:rPr>
      <w:fldChar w:fldCharType="separate"/>
    </w:r>
    <w:r>
      <w:rPr>
        <w:lang w:val="uk-UA" w:bidi="uk-UA"/>
      </w:rPr>
      <w:t>2</w:t>
    </w:r>
    <w:r>
      <w:rPr>
        <w:lang w:val="uk-UA" w:bidi="uk-UA"/>
      </w:rPr>
      <w:fldChar w:fldCharType="end"/>
    </w:r>
  </w:p>
  <w:p w14:paraId="0C995772" w14:textId="77777777" w:rsidR="005041FD" w:rsidRDefault="005041F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62102" w14:textId="77777777" w:rsidR="00590EFA" w:rsidRDefault="00590EFA" w:rsidP="005041FD">
      <w:r>
        <w:separator/>
      </w:r>
    </w:p>
  </w:footnote>
  <w:footnote w:type="continuationSeparator" w:id="0">
    <w:p w14:paraId="5BB06EEA" w14:textId="77777777" w:rsidR="00590EFA" w:rsidRDefault="00590EFA" w:rsidP="005041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1E6A21"/>
    <w:multiLevelType w:val="hybridMultilevel"/>
    <w:tmpl w:val="011E186E"/>
    <w:lvl w:ilvl="0" w:tplc="8594F7F6">
      <w:start w:val="1"/>
      <w:numFmt w:val="upperRoman"/>
      <w:lvlText w:val="%1."/>
      <w:lvlJc w:val="left"/>
      <w:pPr>
        <w:ind w:left="720" w:hanging="720"/>
      </w:pPr>
      <w:rPr>
        <w:rFonts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41687A44"/>
    <w:multiLevelType w:val="hybridMultilevel"/>
    <w:tmpl w:val="FF4A5C00"/>
    <w:lvl w:ilvl="0" w:tplc="04150013">
      <w:start w:val="1"/>
      <w:numFmt w:val="upperRoman"/>
      <w:lvlText w:val="%1."/>
      <w:lvlJc w:val="righ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540B5F17"/>
    <w:multiLevelType w:val="hybridMultilevel"/>
    <w:tmpl w:val="E8E67356"/>
    <w:lvl w:ilvl="0" w:tplc="4F90BCEA">
      <w:start w:val="1"/>
      <w:numFmt w:val="upperRoman"/>
      <w:lvlText w:val="%1."/>
      <w:lvlJc w:val="right"/>
      <w:pPr>
        <w:ind w:left="360" w:hanging="360"/>
      </w:pPr>
      <w:rPr>
        <w:rFonts w:ascii="Calibri" w:hAnsi="Calibri" w:hint="default"/>
        <w:b w:val="0"/>
        <w:sz w:val="20"/>
        <w:szCs w:val="20"/>
      </w:rPr>
    </w:lvl>
    <w:lvl w:ilvl="1" w:tplc="04150019">
      <w:start w:val="1"/>
      <w:numFmt w:val="lowerLetter"/>
      <w:lvlText w:val="%2."/>
      <w:lvlJc w:val="left"/>
      <w:pPr>
        <w:ind w:left="1800" w:hanging="360"/>
      </w:pPr>
    </w:lvl>
    <w:lvl w:ilvl="2" w:tplc="25D6D398">
      <w:start w:val="1"/>
      <w:numFmt w:val="lowerLetter"/>
      <w:lvlText w:val="%3)"/>
      <w:lvlJc w:val="left"/>
      <w:pPr>
        <w:ind w:left="2700" w:hanging="360"/>
      </w:pPr>
      <w:rPr>
        <w:rFonts w:cs="Times New Roman"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6B113864"/>
    <w:multiLevelType w:val="hybridMultilevel"/>
    <w:tmpl w:val="DE5AA2EE"/>
    <w:lvl w:ilvl="0" w:tplc="0415000F">
      <w:start w:val="1"/>
      <w:numFmt w:val="upperRoman"/>
      <w:lvlText w:val="%1."/>
      <w:lvlJc w:val="left"/>
      <w:pPr>
        <w:ind w:left="720" w:hanging="72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16cid:durableId="884373739">
    <w:abstractNumId w:val="0"/>
  </w:num>
  <w:num w:numId="2" w16cid:durableId="6000680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24468705">
    <w:abstractNumId w:val="3"/>
  </w:num>
  <w:num w:numId="4" w16cid:durableId="927734480">
    <w:abstractNumId w:val="2"/>
  </w:num>
  <w:num w:numId="5" w16cid:durableId="17033621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032A8"/>
    <w:rsid w:val="000547D6"/>
    <w:rsid w:val="00074237"/>
    <w:rsid w:val="00082748"/>
    <w:rsid w:val="000A4DB1"/>
    <w:rsid w:val="000D3179"/>
    <w:rsid w:val="00100934"/>
    <w:rsid w:val="00134ACD"/>
    <w:rsid w:val="00153D8D"/>
    <w:rsid w:val="001707BF"/>
    <w:rsid w:val="001A5A31"/>
    <w:rsid w:val="001E11B2"/>
    <w:rsid w:val="001E2660"/>
    <w:rsid w:val="001E52FB"/>
    <w:rsid w:val="002418A5"/>
    <w:rsid w:val="00263191"/>
    <w:rsid w:val="00292D88"/>
    <w:rsid w:val="002D49CA"/>
    <w:rsid w:val="00325110"/>
    <w:rsid w:val="00364920"/>
    <w:rsid w:val="003A40C9"/>
    <w:rsid w:val="003B07D5"/>
    <w:rsid w:val="003C7724"/>
    <w:rsid w:val="003D1C6B"/>
    <w:rsid w:val="003D78A3"/>
    <w:rsid w:val="003E00B1"/>
    <w:rsid w:val="003F0906"/>
    <w:rsid w:val="00403C4D"/>
    <w:rsid w:val="00434962"/>
    <w:rsid w:val="004C61F2"/>
    <w:rsid w:val="005041FD"/>
    <w:rsid w:val="005315B9"/>
    <w:rsid w:val="00532D7E"/>
    <w:rsid w:val="00542652"/>
    <w:rsid w:val="00580B05"/>
    <w:rsid w:val="0059006F"/>
    <w:rsid w:val="00590EFA"/>
    <w:rsid w:val="005A4AA2"/>
    <w:rsid w:val="005A5272"/>
    <w:rsid w:val="005B591B"/>
    <w:rsid w:val="005B7751"/>
    <w:rsid w:val="005D5B64"/>
    <w:rsid w:val="006639CC"/>
    <w:rsid w:val="006C0CB2"/>
    <w:rsid w:val="00724EA2"/>
    <w:rsid w:val="00733041"/>
    <w:rsid w:val="00771DFF"/>
    <w:rsid w:val="00773141"/>
    <w:rsid w:val="00781068"/>
    <w:rsid w:val="00793B40"/>
    <w:rsid w:val="007A0170"/>
    <w:rsid w:val="007A4B7E"/>
    <w:rsid w:val="007B2D72"/>
    <w:rsid w:val="007C46D2"/>
    <w:rsid w:val="007C7286"/>
    <w:rsid w:val="00832185"/>
    <w:rsid w:val="0083395D"/>
    <w:rsid w:val="00876CF2"/>
    <w:rsid w:val="008940CC"/>
    <w:rsid w:val="008C67C3"/>
    <w:rsid w:val="00952D82"/>
    <w:rsid w:val="00981B73"/>
    <w:rsid w:val="009A3AD4"/>
    <w:rsid w:val="009B7AE7"/>
    <w:rsid w:val="009C6C68"/>
    <w:rsid w:val="00A373CD"/>
    <w:rsid w:val="00A95BD8"/>
    <w:rsid w:val="00AF2EFC"/>
    <w:rsid w:val="00B35548"/>
    <w:rsid w:val="00B425F9"/>
    <w:rsid w:val="00B559BC"/>
    <w:rsid w:val="00B55D86"/>
    <w:rsid w:val="00B87481"/>
    <w:rsid w:val="00B9243C"/>
    <w:rsid w:val="00BB5EED"/>
    <w:rsid w:val="00BB7200"/>
    <w:rsid w:val="00BC2BF4"/>
    <w:rsid w:val="00BD5258"/>
    <w:rsid w:val="00BF2393"/>
    <w:rsid w:val="00BF3D65"/>
    <w:rsid w:val="00C04F76"/>
    <w:rsid w:val="00C24F3B"/>
    <w:rsid w:val="00C41B71"/>
    <w:rsid w:val="00C52E12"/>
    <w:rsid w:val="00C668DF"/>
    <w:rsid w:val="00C72E42"/>
    <w:rsid w:val="00CE1B8D"/>
    <w:rsid w:val="00CE3D17"/>
    <w:rsid w:val="00CE7848"/>
    <w:rsid w:val="00CF7225"/>
    <w:rsid w:val="00D01204"/>
    <w:rsid w:val="00D5790F"/>
    <w:rsid w:val="00DA264B"/>
    <w:rsid w:val="00DD6F13"/>
    <w:rsid w:val="00E154EB"/>
    <w:rsid w:val="00E25BFA"/>
    <w:rsid w:val="00E40853"/>
    <w:rsid w:val="00E45BA7"/>
    <w:rsid w:val="00EA3D33"/>
    <w:rsid w:val="00EB2979"/>
    <w:rsid w:val="00EF3A62"/>
    <w:rsid w:val="00F032A8"/>
    <w:rsid w:val="00F52B5E"/>
    <w:rsid w:val="00F95214"/>
    <w:rsid w:val="00FA3649"/>
    <w:rsid w:val="00FB45B7"/>
    <w:rsid w:val="00FD3B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A616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032A8"/>
    <w:rPr>
      <w:rFonts w:ascii="Times New Roman" w:eastAsia="Times New Roman" w:hAnsi="Times New Roman"/>
      <w:sz w:val="24"/>
      <w:szCs w:val="24"/>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041FD"/>
    <w:pPr>
      <w:tabs>
        <w:tab w:val="center" w:pos="4536"/>
        <w:tab w:val="right" w:pos="9072"/>
      </w:tabs>
    </w:pPr>
  </w:style>
  <w:style w:type="character" w:customStyle="1" w:styleId="NagwekZnak">
    <w:name w:val="Nagłówek Znak"/>
    <w:link w:val="Nagwek"/>
    <w:uiPriority w:val="99"/>
    <w:rsid w:val="005041FD"/>
    <w:rPr>
      <w:rFonts w:ascii="Times New Roman" w:eastAsia="Times New Roman" w:hAnsi="Times New Roman"/>
      <w:sz w:val="24"/>
      <w:szCs w:val="24"/>
    </w:rPr>
  </w:style>
  <w:style w:type="paragraph" w:styleId="Stopka">
    <w:name w:val="footer"/>
    <w:basedOn w:val="Normalny"/>
    <w:link w:val="StopkaZnak"/>
    <w:uiPriority w:val="99"/>
    <w:unhideWhenUsed/>
    <w:rsid w:val="005041FD"/>
    <w:pPr>
      <w:tabs>
        <w:tab w:val="center" w:pos="4536"/>
        <w:tab w:val="right" w:pos="9072"/>
      </w:tabs>
    </w:pPr>
  </w:style>
  <w:style w:type="character" w:customStyle="1" w:styleId="StopkaZnak">
    <w:name w:val="Stopka Znak"/>
    <w:link w:val="Stopka"/>
    <w:uiPriority w:val="99"/>
    <w:rsid w:val="005041FD"/>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64765">
      <w:bodyDiv w:val="1"/>
      <w:marLeft w:val="0"/>
      <w:marRight w:val="0"/>
      <w:marTop w:val="0"/>
      <w:marBottom w:val="0"/>
      <w:divBdr>
        <w:top w:val="none" w:sz="0" w:space="0" w:color="auto"/>
        <w:left w:val="none" w:sz="0" w:space="0" w:color="auto"/>
        <w:bottom w:val="none" w:sz="0" w:space="0" w:color="auto"/>
        <w:right w:val="none" w:sz="0" w:space="0" w:color="auto"/>
      </w:divBdr>
    </w:div>
    <w:div w:id="358701376">
      <w:bodyDiv w:val="1"/>
      <w:marLeft w:val="0"/>
      <w:marRight w:val="0"/>
      <w:marTop w:val="0"/>
      <w:marBottom w:val="0"/>
      <w:divBdr>
        <w:top w:val="none" w:sz="0" w:space="0" w:color="auto"/>
        <w:left w:val="none" w:sz="0" w:space="0" w:color="auto"/>
        <w:bottom w:val="none" w:sz="0" w:space="0" w:color="auto"/>
        <w:right w:val="none" w:sz="0" w:space="0" w:color="auto"/>
      </w:divBdr>
    </w:div>
    <w:div w:id="1345668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853</Words>
  <Characters>5191</Characters>
  <Application>Microsoft Office Word</Application>
  <DocSecurity>0</DocSecurity>
  <Lines>76</Lines>
  <Paragraphs>24</Paragraphs>
  <ScaleCrop>false</ScaleCrop>
  <Company/>
  <LinksUpToDate>false</LinksUpToDate>
  <CharactersWithSpaces>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2026-03-20T11:06:00Z</dcterms:created>
  <dcterms:modified xsi:type="dcterms:W3CDTF">2026-03-20T11:07:00Z</dcterms:modified>
</cp:coreProperties>
</file>