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C4183" w14:textId="77777777" w:rsidR="00094751" w:rsidRPr="008F72E7" w:rsidRDefault="00094751">
      <w:pPr>
        <w:pStyle w:val="Tekstpodstawowy"/>
        <w:spacing w:before="294"/>
        <w:ind w:left="0"/>
        <w:rPr>
          <w:rFonts w:asciiTheme="minorHAnsi" w:hAnsiTheme="minorHAnsi" w:cstheme="minorHAnsi"/>
          <w:sz w:val="28"/>
        </w:rPr>
      </w:pPr>
    </w:p>
    <w:p w14:paraId="52EA2D7C" w14:textId="77777777" w:rsidR="00094751" w:rsidRPr="00980F22" w:rsidRDefault="00254F27">
      <w:pPr>
        <w:pStyle w:val="Nagwek1"/>
        <w:spacing w:before="0" w:line="339" w:lineRule="exact"/>
        <w:ind w:left="0" w:right="4"/>
        <w:jc w:val="right"/>
        <w:rPr>
          <w:rFonts w:asciiTheme="minorHAnsi" w:hAnsiTheme="minorHAnsi" w:cstheme="minorHAnsi"/>
          <w:lang w:val="pl-PL"/>
        </w:rPr>
      </w:pPr>
      <w:r w:rsidRPr="008F72E7">
        <w:rPr>
          <w:rFonts w:asciiTheme="minorHAnsi" w:hAnsiTheme="minorHAnsi" w:cstheme="minorHAnsi"/>
          <w:noProof/>
        </w:rPr>
        <w:drawing>
          <wp:anchor distT="0" distB="0" distL="0" distR="0" simplePos="0" relativeHeight="251660288" behindDoc="0" locked="0" layoutInCell="1" allowOverlap="1" wp14:anchorId="540F07C9" wp14:editId="5FAA904C">
            <wp:simplePos x="0" y="0"/>
            <wp:positionH relativeFrom="page">
              <wp:posOffset>486756</wp:posOffset>
            </wp:positionH>
            <wp:positionV relativeFrom="paragraph">
              <wp:posOffset>-389740</wp:posOffset>
            </wp:positionV>
            <wp:extent cx="2344361" cy="865030"/>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344361" cy="865030"/>
                    </a:xfrm>
                    <a:prstGeom prst="rect">
                      <a:avLst/>
                    </a:prstGeom>
                  </pic:spPr>
                </pic:pic>
              </a:graphicData>
            </a:graphic>
          </wp:anchor>
        </w:drawing>
      </w:r>
      <w:r w:rsidRPr="00980F22">
        <w:rPr>
          <w:rFonts w:asciiTheme="minorHAnsi" w:hAnsiTheme="minorHAnsi" w:cstheme="minorHAnsi"/>
          <w:color w:val="002856"/>
          <w:spacing w:val="-5"/>
          <w:w w:val="115"/>
          <w:sz w:val="26"/>
          <w:lang w:val="pl-PL"/>
        </w:rPr>
        <w:t>ECHR-KS</w:t>
      </w:r>
    </w:p>
    <w:p w14:paraId="7CDFC14A" w14:textId="77777777" w:rsidR="00094751" w:rsidRPr="00980F22" w:rsidRDefault="00254F27">
      <w:pPr>
        <w:spacing w:line="242" w:lineRule="exact"/>
        <w:ind w:right="4"/>
        <w:jc w:val="right"/>
        <w:rPr>
          <w:rFonts w:asciiTheme="minorHAnsi" w:hAnsiTheme="minorHAnsi" w:cstheme="minorHAnsi"/>
          <w:i/>
          <w:sz w:val="20"/>
          <w:lang w:val="pl-PL"/>
        </w:rPr>
      </w:pPr>
      <w:r w:rsidRPr="00980F22">
        <w:rPr>
          <w:rFonts w:asciiTheme="minorHAnsi" w:hAnsiTheme="minorHAnsi" w:cstheme="minorHAnsi"/>
          <w:i/>
          <w:sz w:val="19"/>
          <w:lang w:val="pl-PL"/>
        </w:rPr>
        <w:t xml:space="preserve">Kluczowy temat - Artykuł 10 Wkład w </w:t>
      </w:r>
      <w:r w:rsidRPr="00980F22">
        <w:rPr>
          <w:rFonts w:asciiTheme="minorHAnsi" w:hAnsiTheme="minorHAnsi" w:cstheme="minorHAnsi"/>
          <w:i/>
          <w:spacing w:val="-2"/>
          <w:sz w:val="19"/>
          <w:lang w:val="pl-PL"/>
        </w:rPr>
        <w:t xml:space="preserve">debatę </w:t>
      </w:r>
      <w:r w:rsidRPr="00980F22">
        <w:rPr>
          <w:rFonts w:asciiTheme="minorHAnsi" w:hAnsiTheme="minorHAnsi" w:cstheme="minorHAnsi"/>
          <w:i/>
          <w:sz w:val="19"/>
          <w:lang w:val="pl-PL"/>
        </w:rPr>
        <w:t>publiczną</w:t>
      </w:r>
      <w:r w:rsidRPr="00980F22">
        <w:rPr>
          <w:rFonts w:asciiTheme="minorHAnsi" w:hAnsiTheme="minorHAnsi" w:cstheme="minorHAnsi"/>
          <w:i/>
          <w:spacing w:val="-2"/>
          <w:sz w:val="19"/>
          <w:lang w:val="pl-PL"/>
        </w:rPr>
        <w:t>:</w:t>
      </w:r>
    </w:p>
    <w:p w14:paraId="2F072C85" w14:textId="77777777" w:rsidR="00094751" w:rsidRPr="00980F22" w:rsidRDefault="00254F27">
      <w:pPr>
        <w:ind w:right="4"/>
        <w:jc w:val="right"/>
        <w:rPr>
          <w:rFonts w:asciiTheme="minorHAnsi" w:hAnsiTheme="minorHAnsi" w:cstheme="minorHAnsi"/>
          <w:i/>
          <w:sz w:val="20"/>
          <w:lang w:val="pl-PL"/>
        </w:rPr>
      </w:pPr>
      <w:r w:rsidRPr="008F72E7">
        <w:rPr>
          <w:rFonts w:asciiTheme="minorHAnsi" w:hAnsiTheme="minorHAnsi" w:cstheme="minorHAnsi"/>
          <w:i/>
          <w:noProof/>
          <w:sz w:val="20"/>
        </w:rPr>
        <mc:AlternateContent>
          <mc:Choice Requires="wps">
            <w:drawing>
              <wp:anchor distT="0" distB="0" distL="0" distR="0" simplePos="0" relativeHeight="251658240" behindDoc="0" locked="0" layoutInCell="1" allowOverlap="1" wp14:anchorId="2D6E8B21" wp14:editId="04DC2A76">
                <wp:simplePos x="0" y="0"/>
                <wp:positionH relativeFrom="page">
                  <wp:posOffset>482600</wp:posOffset>
                </wp:positionH>
                <wp:positionV relativeFrom="paragraph">
                  <wp:posOffset>177733</wp:posOffset>
                </wp:positionV>
                <wp:extent cx="6624955" cy="1270"/>
                <wp:effectExtent l="0" t="0" r="0" b="0"/>
                <wp:wrapNone/>
                <wp:docPr id="2" name="Graphic 2"/>
                <wp:cNvGraphicFramePr/>
                <a:graphic xmlns:a="http://schemas.openxmlformats.org/drawingml/2006/main">
                  <a:graphicData uri="http://schemas.microsoft.com/office/word/2010/wordprocessingShape">
                    <wps:wsp>
                      <wps:cNvSpPr/>
                      <wps:spPr>
                        <a:xfrm>
                          <a:off x="0" y="0"/>
                          <a:ext cx="6624955" cy="1270"/>
                        </a:xfrm>
                        <a:custGeom>
                          <a:avLst/>
                          <a:gdLst/>
                          <a:ahLst/>
                          <a:cxnLst/>
                          <a:rect l="l" t="t" r="r" b="b"/>
                          <a:pathLst>
                            <a:path w="6624955">
                              <a:moveTo>
                                <a:pt x="0" y="0"/>
                              </a:moveTo>
                              <a:lnTo>
                                <a:pt x="6624955" y="0"/>
                              </a:lnTo>
                            </a:path>
                          </a:pathLst>
                        </a:custGeom>
                        <a:ln w="9525">
                          <a:solidFill>
                            <a:srgbClr val="949494"/>
                          </a:solidFill>
                          <a:prstDash val="solid"/>
                        </a:ln>
                      </wps:spPr>
                      <wps:bodyPr wrap="square" lIns="0" tIns="0" rIns="0" bIns="0" rtlCol="0">
                        <a:prstTxWarp prst="textNoShape">
                          <a:avLst/>
                        </a:prstTxWarp>
                      </wps:bodyPr>
                    </wps:wsp>
                  </a:graphicData>
                </a:graphic>
              </wp:anchor>
            </w:drawing>
          </mc:Choice>
          <mc:Fallback>
            <w:pict>
              <v:shape w14:anchorId="07960DE3" id="Graphic 2" o:spid="_x0000_s1026" style="position:absolute;margin-left:38pt;margin-top:14pt;width:521.65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6624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" path="m,l6624955,e" filled="f" strokecolor="#949494">
                <v:path arrowok="t"/>
                <w10:wrap anchorx="page"/>
              </v:shape>
            </w:pict>
          </mc:Fallback>
        </mc:AlternateContent>
      </w:r>
      <w:r w:rsidRPr="00980F22">
        <w:rPr>
          <w:rFonts w:asciiTheme="minorHAnsi" w:hAnsiTheme="minorHAnsi" w:cstheme="minorHAnsi"/>
          <w:i/>
          <w:sz w:val="19"/>
          <w:lang w:val="pl-PL"/>
        </w:rPr>
        <w:t xml:space="preserve">Dziennikarze i inne </w:t>
      </w:r>
      <w:r w:rsidRPr="00980F22">
        <w:rPr>
          <w:rFonts w:asciiTheme="minorHAnsi" w:hAnsiTheme="minorHAnsi" w:cstheme="minorHAnsi"/>
          <w:i/>
          <w:spacing w:val="-2"/>
          <w:sz w:val="19"/>
          <w:lang w:val="pl-PL"/>
        </w:rPr>
        <w:t>podmioty</w:t>
      </w:r>
    </w:p>
    <w:p w14:paraId="4143AEE0" w14:textId="77777777" w:rsidR="00094751" w:rsidRPr="00980F22" w:rsidRDefault="00094751">
      <w:pPr>
        <w:pStyle w:val="Tekstpodstawowy"/>
        <w:spacing w:before="39"/>
        <w:ind w:left="0"/>
        <w:rPr>
          <w:rFonts w:asciiTheme="minorHAnsi" w:hAnsiTheme="minorHAnsi" w:cstheme="minorHAnsi"/>
          <w:i/>
          <w:sz w:val="32"/>
          <w:lang w:val="pl-PL"/>
        </w:rPr>
      </w:pPr>
    </w:p>
    <w:p w14:paraId="5C98A8EE" w14:textId="77777777" w:rsidR="00094751" w:rsidRPr="00980F22" w:rsidRDefault="00254F27">
      <w:pPr>
        <w:jc w:val="center"/>
        <w:rPr>
          <w:rFonts w:asciiTheme="minorHAnsi" w:hAnsiTheme="minorHAnsi" w:cstheme="minorHAnsi"/>
          <w:b/>
          <w:sz w:val="32"/>
          <w:lang w:val="pl-PL"/>
        </w:rPr>
      </w:pPr>
      <w:r w:rsidRPr="00980F22">
        <w:rPr>
          <w:rFonts w:asciiTheme="minorHAnsi" w:hAnsiTheme="minorHAnsi" w:cstheme="minorHAnsi"/>
          <w:b/>
          <w:color w:val="2F2F2F"/>
          <w:sz w:val="30"/>
          <w:lang w:val="pl-PL"/>
        </w:rPr>
        <w:t xml:space="preserve">KLUCZOWY </w:t>
      </w:r>
      <w:r w:rsidRPr="00980F22">
        <w:rPr>
          <w:rFonts w:asciiTheme="minorHAnsi" w:hAnsiTheme="minorHAnsi" w:cstheme="minorHAnsi"/>
          <w:b/>
          <w:color w:val="2F2F2F"/>
          <w:spacing w:val="-2"/>
          <w:sz w:val="30"/>
          <w:lang w:val="pl-PL"/>
        </w:rPr>
        <w:t>TEMAT</w:t>
      </w:r>
      <w:r w:rsidRPr="00980F22">
        <w:rPr>
          <w:rFonts w:asciiTheme="minorHAnsi" w:hAnsiTheme="minorHAnsi" w:cstheme="minorHAnsi"/>
          <w:b/>
          <w:color w:val="2F2F2F"/>
          <w:spacing w:val="-2"/>
          <w:sz w:val="30"/>
          <w:vertAlign w:val="superscript"/>
          <w:lang w:val="pl-PL"/>
        </w:rPr>
        <w:t>1</w:t>
      </w:r>
    </w:p>
    <w:p w14:paraId="67959F54" w14:textId="77777777" w:rsidR="00094751" w:rsidRPr="00980F22" w:rsidRDefault="00254F27">
      <w:pPr>
        <w:jc w:val="center"/>
        <w:rPr>
          <w:rFonts w:asciiTheme="minorHAnsi" w:hAnsiTheme="minorHAnsi" w:cstheme="minorHAnsi"/>
          <w:b/>
          <w:sz w:val="32"/>
          <w:lang w:val="pl-PL"/>
        </w:rPr>
      </w:pPr>
      <w:r w:rsidRPr="00980F22">
        <w:rPr>
          <w:rFonts w:asciiTheme="minorHAnsi" w:hAnsiTheme="minorHAnsi" w:cstheme="minorHAnsi"/>
          <w:b/>
          <w:color w:val="2F2F2F"/>
          <w:sz w:val="30"/>
          <w:lang w:val="pl-PL"/>
        </w:rPr>
        <w:t xml:space="preserve">Artykuł </w:t>
      </w:r>
      <w:r w:rsidRPr="00980F22">
        <w:rPr>
          <w:rFonts w:asciiTheme="minorHAnsi" w:hAnsiTheme="minorHAnsi" w:cstheme="minorHAnsi"/>
          <w:b/>
          <w:color w:val="2F2F2F"/>
          <w:spacing w:val="-5"/>
          <w:sz w:val="30"/>
          <w:lang w:val="pl-PL"/>
        </w:rPr>
        <w:t>10</w:t>
      </w:r>
    </w:p>
    <w:p w14:paraId="720E56CB" w14:textId="77777777" w:rsidR="00094751" w:rsidRPr="00980F22" w:rsidRDefault="00254F27">
      <w:pPr>
        <w:jc w:val="center"/>
        <w:rPr>
          <w:rFonts w:asciiTheme="minorHAnsi" w:hAnsiTheme="minorHAnsi" w:cstheme="minorHAnsi"/>
          <w:b/>
          <w:sz w:val="32"/>
          <w:lang w:val="pl-PL"/>
        </w:rPr>
      </w:pPr>
      <w:r w:rsidRPr="00980F22">
        <w:rPr>
          <w:rFonts w:asciiTheme="minorHAnsi" w:hAnsiTheme="minorHAnsi" w:cstheme="minorHAnsi"/>
          <w:b/>
          <w:color w:val="2F2F2F"/>
          <w:sz w:val="30"/>
          <w:lang w:val="pl-PL"/>
        </w:rPr>
        <w:t xml:space="preserve">Wkład w debatę publiczną: Dziennikarze i inne </w:t>
      </w:r>
      <w:r w:rsidRPr="00980F22">
        <w:rPr>
          <w:rFonts w:asciiTheme="minorHAnsi" w:hAnsiTheme="minorHAnsi" w:cstheme="minorHAnsi"/>
          <w:b/>
          <w:color w:val="2F2F2F"/>
          <w:spacing w:val="-2"/>
          <w:sz w:val="30"/>
          <w:lang w:val="pl-PL"/>
        </w:rPr>
        <w:t>podmioty</w:t>
      </w:r>
    </w:p>
    <w:p w14:paraId="2B249E90" w14:textId="77777777" w:rsidR="00094751" w:rsidRPr="00980F22" w:rsidRDefault="00254F27">
      <w:pPr>
        <w:pStyle w:val="Nagwek3"/>
        <w:rPr>
          <w:rFonts w:asciiTheme="minorHAnsi" w:hAnsiTheme="minorHAnsi" w:cstheme="minorHAnsi"/>
          <w:lang w:val="pl-PL"/>
        </w:rPr>
      </w:pPr>
      <w:r w:rsidRPr="00980F22">
        <w:rPr>
          <w:rFonts w:asciiTheme="minorHAnsi" w:hAnsiTheme="minorHAnsi" w:cstheme="minorHAnsi"/>
          <w:color w:val="2F2F2F"/>
          <w:sz w:val="22"/>
          <w:lang w:val="pl-PL"/>
        </w:rPr>
        <w:t xml:space="preserve">(Ostatnia aktualizacja: </w:t>
      </w:r>
      <w:r w:rsidRPr="00980F22">
        <w:rPr>
          <w:rFonts w:asciiTheme="minorHAnsi" w:hAnsiTheme="minorHAnsi" w:cstheme="minorHAnsi"/>
          <w:color w:val="2F2F2F"/>
          <w:spacing w:val="-2"/>
          <w:sz w:val="22"/>
          <w:lang w:val="pl-PL"/>
        </w:rPr>
        <w:t>28/02/2025)</w:t>
      </w:r>
    </w:p>
    <w:p w14:paraId="36E3B4AF" w14:textId="77777777" w:rsidR="00094751" w:rsidRPr="00980F22" w:rsidRDefault="00254F27">
      <w:pPr>
        <w:pStyle w:val="Nagwek1"/>
        <w:rPr>
          <w:rFonts w:asciiTheme="minorHAnsi" w:hAnsiTheme="minorHAnsi" w:cstheme="minorHAnsi"/>
          <w:lang w:val="pl-PL"/>
        </w:rPr>
      </w:pPr>
      <w:r w:rsidRPr="008F72E7">
        <w:rPr>
          <w:rFonts w:asciiTheme="minorHAnsi" w:hAnsiTheme="minorHAnsi" w:cstheme="minorHAnsi"/>
          <w:noProof/>
        </w:rPr>
        <mc:AlternateContent>
          <mc:Choice Requires="wps">
            <w:drawing>
              <wp:anchor distT="0" distB="0" distL="0" distR="0" simplePos="0" relativeHeight="251661312" behindDoc="1" locked="0" layoutInCell="1" allowOverlap="1" wp14:anchorId="0D55B08F" wp14:editId="2B632090">
                <wp:simplePos x="0" y="0"/>
                <wp:positionH relativeFrom="page">
                  <wp:posOffset>895985</wp:posOffset>
                </wp:positionH>
                <wp:positionV relativeFrom="paragraph">
                  <wp:posOffset>315509</wp:posOffset>
                </wp:positionV>
                <wp:extent cx="5768975" cy="1270"/>
                <wp:effectExtent l="0" t="0" r="0" b="0"/>
                <wp:wrapTopAndBottom/>
                <wp:docPr id="3" name="Graphic 3"/>
                <wp:cNvGraphicFramePr/>
                <a:graphic xmlns:a="http://schemas.openxmlformats.org/drawingml/2006/main">
                  <a:graphicData uri="http://schemas.microsoft.com/office/word/2010/wordprocessingShape">
                    <wps:wsp>
                      <wps:cNvSpPr/>
                      <wps:spPr>
                        <a:xfrm>
                          <a:off x="0" y="0"/>
                          <a:ext cx="5768975" cy="1270"/>
                        </a:xfrm>
                        <a:custGeom>
                          <a:avLst/>
                          <a:gdLst/>
                          <a:ahLst/>
                          <a:cxnLst/>
                          <a:rect l="l" t="t" r="r" b="b"/>
                          <a:pathLst>
                            <a:path w="5768975">
                              <a:moveTo>
                                <a:pt x="0" y="0"/>
                              </a:moveTo>
                              <a:lnTo>
                                <a:pt x="5768974" y="0"/>
                              </a:lnTo>
                            </a:path>
                          </a:pathLst>
                        </a:custGeom>
                        <a:ln w="19050">
                          <a:solidFill>
                            <a:srgbClr val="949494"/>
                          </a:solidFill>
                          <a:prstDash val="solid"/>
                        </a:ln>
                      </wps:spPr>
                      <wps:bodyPr wrap="square" lIns="0" tIns="0" rIns="0" bIns="0" rtlCol="0">
                        <a:prstTxWarp prst="textNoShape">
                          <a:avLst/>
                        </a:prstTxWarp>
                      </wps:bodyPr>
                    </wps:wsp>
                  </a:graphicData>
                </a:graphic>
              </wp:anchor>
            </w:drawing>
          </mc:Choice>
          <mc:Fallback>
            <w:pict>
              <v:shape w14:anchorId="54276D3F" id="Graphic 3" o:spid="_x0000_s1026" style="position:absolute;margin-left:70.55pt;margin-top:24.85pt;width:454.2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768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" path="m,l5768974,e" filled="f" strokecolor="#949494" strokeweight="1.5pt">
                <v:path arrowok="t"/>
                <w10:wrap type="topAndBottom" anchorx="page"/>
              </v:shape>
            </w:pict>
          </mc:Fallback>
        </mc:AlternateContent>
      </w:r>
      <w:r w:rsidRPr="00980F22">
        <w:rPr>
          <w:rFonts w:asciiTheme="minorHAnsi" w:hAnsiTheme="minorHAnsi" w:cstheme="minorHAnsi"/>
          <w:color w:val="2F2F2F"/>
          <w:spacing w:val="-2"/>
          <w:sz w:val="26"/>
          <w:lang w:val="pl-PL"/>
        </w:rPr>
        <w:t>Wprowadzenie</w:t>
      </w:r>
    </w:p>
    <w:p w14:paraId="58976428" w14:textId="0C0F0650" w:rsidR="00094751" w:rsidRPr="00980F22" w:rsidRDefault="0024785A">
      <w:pPr>
        <w:pStyle w:val="Tekstpodstawowy"/>
        <w:spacing w:before="120"/>
        <w:ind w:left="732" w:right="729"/>
        <w:jc w:val="both"/>
        <w:rPr>
          <w:rFonts w:asciiTheme="minorHAnsi" w:hAnsiTheme="minorHAnsi" w:cstheme="minorHAnsi"/>
          <w:lang w:val="pl-PL"/>
        </w:rPr>
      </w:pPr>
      <w:r w:rsidRPr="00980F22">
        <w:rPr>
          <w:rFonts w:asciiTheme="minorHAnsi" w:hAnsiTheme="minorHAnsi" w:cstheme="minorHAnsi"/>
          <w:sz w:val="20"/>
          <w:lang w:val="pl-PL"/>
        </w:rPr>
        <w:t>Mimo</w:t>
      </w:r>
      <w:r w:rsidR="001C48ED" w:rsidRPr="00980F22">
        <w:rPr>
          <w:rFonts w:asciiTheme="minorHAnsi" w:hAnsiTheme="minorHAnsi" w:cstheme="minorHAnsi"/>
          <w:sz w:val="20"/>
          <w:lang w:val="pl-PL"/>
        </w:rPr>
        <w:t>, że</w:t>
      </w:r>
      <w:r w:rsidR="00254F27" w:rsidRPr="00980F22">
        <w:rPr>
          <w:rFonts w:asciiTheme="minorHAnsi" w:hAnsiTheme="minorHAnsi" w:cstheme="minorHAnsi"/>
          <w:sz w:val="20"/>
          <w:lang w:val="pl-PL"/>
        </w:rPr>
        <w:t xml:space="preserve"> art. 10 gwarantuje wolność wypowiedzi </w:t>
      </w:r>
      <w:r w:rsidR="00737582" w:rsidRPr="00980F22">
        <w:rPr>
          <w:rFonts w:asciiTheme="minorHAnsi" w:hAnsiTheme="minorHAnsi" w:cstheme="minorHAnsi"/>
          <w:sz w:val="20"/>
          <w:lang w:val="pl-PL"/>
        </w:rPr>
        <w:t>,,</w:t>
      </w:r>
      <w:r w:rsidR="00254F27" w:rsidRPr="00980F22">
        <w:rPr>
          <w:rFonts w:asciiTheme="minorHAnsi" w:hAnsiTheme="minorHAnsi" w:cstheme="minorHAnsi"/>
          <w:sz w:val="20"/>
          <w:lang w:val="pl-PL"/>
        </w:rPr>
        <w:t>każdemu</w:t>
      </w:r>
      <w:r w:rsidR="008F72E7" w:rsidRPr="00980F22">
        <w:rPr>
          <w:rFonts w:asciiTheme="minorHAnsi" w:hAnsiTheme="minorHAnsi" w:cstheme="minorHAnsi"/>
          <w:sz w:val="20"/>
          <w:lang w:val="pl-PL"/>
        </w:rPr>
        <w:t>"</w:t>
      </w:r>
      <w:r w:rsidR="00254F27" w:rsidRPr="00980F22">
        <w:rPr>
          <w:rFonts w:asciiTheme="minorHAnsi" w:hAnsiTheme="minorHAnsi" w:cstheme="minorHAnsi"/>
          <w:sz w:val="20"/>
          <w:lang w:val="pl-PL"/>
        </w:rPr>
        <w:t xml:space="preserve">, praktyką </w:t>
      </w:r>
      <w:r w:rsidRPr="00980F22">
        <w:rPr>
          <w:rFonts w:asciiTheme="minorHAnsi" w:hAnsiTheme="minorHAnsi" w:cstheme="minorHAnsi"/>
          <w:sz w:val="20"/>
          <w:lang w:val="pl-PL"/>
        </w:rPr>
        <w:t>stosowaną przez Trybunał</w:t>
      </w:r>
      <w:r w:rsidR="00254F27" w:rsidRPr="00980F22">
        <w:rPr>
          <w:rFonts w:asciiTheme="minorHAnsi" w:hAnsiTheme="minorHAnsi" w:cstheme="minorHAnsi"/>
          <w:sz w:val="20"/>
          <w:lang w:val="pl-PL"/>
        </w:rPr>
        <w:t xml:space="preserve"> jest uzna</w:t>
      </w:r>
      <w:r w:rsidR="00431991" w:rsidRPr="00980F22">
        <w:rPr>
          <w:rFonts w:asciiTheme="minorHAnsi" w:hAnsiTheme="minorHAnsi" w:cstheme="minorHAnsi"/>
          <w:sz w:val="20"/>
          <w:lang w:val="pl-PL"/>
        </w:rPr>
        <w:t>wa</w:t>
      </w:r>
      <w:r w:rsidR="001C48ED" w:rsidRPr="00980F22">
        <w:rPr>
          <w:rFonts w:asciiTheme="minorHAnsi" w:hAnsiTheme="minorHAnsi" w:cstheme="minorHAnsi"/>
          <w:sz w:val="20"/>
          <w:lang w:val="pl-PL"/>
        </w:rPr>
        <w:t xml:space="preserve">nie </w:t>
      </w:r>
      <w:r w:rsidR="00254F27" w:rsidRPr="00980F22">
        <w:rPr>
          <w:rFonts w:asciiTheme="minorHAnsi" w:hAnsiTheme="minorHAnsi" w:cstheme="minorHAnsi"/>
          <w:sz w:val="20"/>
          <w:lang w:val="pl-PL"/>
        </w:rPr>
        <w:t xml:space="preserve">istotnej roli </w:t>
      </w:r>
      <w:r w:rsidR="00737582" w:rsidRPr="00980F22">
        <w:rPr>
          <w:rFonts w:asciiTheme="minorHAnsi" w:hAnsiTheme="minorHAnsi" w:cstheme="minorHAnsi"/>
          <w:sz w:val="20"/>
          <w:lang w:val="pl-PL"/>
        </w:rPr>
        <w:t>,,publicznego strażnika</w:t>
      </w:r>
      <w:r w:rsidR="00254F27" w:rsidRPr="00980F22">
        <w:rPr>
          <w:rFonts w:asciiTheme="minorHAnsi" w:hAnsiTheme="minorHAnsi" w:cstheme="minorHAnsi"/>
          <w:sz w:val="20"/>
          <w:lang w:val="pl-PL"/>
        </w:rPr>
        <w:t xml:space="preserve">" odgrywanej przez prasę w </w:t>
      </w:r>
      <w:r w:rsidR="00430E03" w:rsidRPr="00980F22">
        <w:rPr>
          <w:rFonts w:asciiTheme="minorHAnsi" w:hAnsiTheme="minorHAnsi" w:cstheme="minorHAnsi"/>
          <w:sz w:val="20"/>
          <w:lang w:val="pl-PL"/>
        </w:rPr>
        <w:t>demokratycznym</w:t>
      </w:r>
      <w:r w:rsidR="00254F27" w:rsidRPr="00980F22">
        <w:rPr>
          <w:rFonts w:asciiTheme="minorHAnsi" w:hAnsiTheme="minorHAnsi" w:cstheme="minorHAnsi"/>
          <w:sz w:val="20"/>
          <w:lang w:val="pl-PL"/>
        </w:rPr>
        <w:t xml:space="preserve"> </w:t>
      </w:r>
      <w:r w:rsidR="009122BB" w:rsidRPr="00980F22">
        <w:rPr>
          <w:rFonts w:asciiTheme="minorHAnsi" w:hAnsiTheme="minorHAnsi" w:cstheme="minorHAnsi"/>
          <w:sz w:val="20"/>
          <w:lang w:val="pl-PL"/>
        </w:rPr>
        <w:t xml:space="preserve">społeczeństwie </w:t>
      </w:r>
      <w:r w:rsidR="00254F27" w:rsidRPr="00980F22">
        <w:rPr>
          <w:rFonts w:asciiTheme="minorHAnsi" w:hAnsiTheme="minorHAnsi" w:cstheme="minorHAnsi"/>
          <w:sz w:val="20"/>
          <w:lang w:val="pl-PL"/>
        </w:rPr>
        <w:t>oraz szczególnej pozycji dziennikarzy w tym kontekście.</w:t>
      </w:r>
    </w:p>
    <w:p w14:paraId="2D504334" w14:textId="71AB16E8" w:rsidR="00094751" w:rsidRPr="00980F22" w:rsidRDefault="00254F27" w:rsidP="00431991">
      <w:pPr>
        <w:pStyle w:val="Tekstpodstawowy"/>
        <w:spacing w:before="120"/>
        <w:ind w:left="732" w:right="728"/>
        <w:jc w:val="both"/>
        <w:rPr>
          <w:rFonts w:asciiTheme="minorHAnsi" w:hAnsiTheme="minorHAnsi" w:cstheme="minorHAnsi"/>
          <w:i/>
          <w:lang w:val="pl-PL"/>
        </w:rPr>
      </w:pPr>
      <w:r w:rsidRPr="00980F22">
        <w:rPr>
          <w:rFonts w:asciiTheme="minorHAnsi" w:hAnsiTheme="minorHAnsi" w:cstheme="minorHAnsi"/>
          <w:sz w:val="20"/>
          <w:lang w:val="pl-PL"/>
        </w:rPr>
        <w:t xml:space="preserve">W związku z tym Trybunał konsekwentnie uznawał zasadniczą rolę odgrywaną przez media w ułatwianiu i wspieraniu prawa społeczeństwa do otrzymywania i przekazywania informacji i idei </w:t>
      </w:r>
      <w:r w:rsidRPr="00980F22">
        <w:rPr>
          <w:rFonts w:asciiTheme="minorHAnsi" w:hAnsiTheme="minorHAnsi" w:cstheme="minorHAnsi"/>
          <w:i/>
          <w:sz w:val="20"/>
          <w:lang w:val="pl-PL"/>
        </w:rPr>
        <w:t>(</w:t>
      </w:r>
      <w:hyperlink r:id="rId8">
        <w:r w:rsidRPr="00980F22">
          <w:rPr>
            <w:rFonts w:asciiTheme="minorHAnsi" w:hAnsiTheme="minorHAnsi" w:cstheme="minorHAnsi"/>
            <w:i/>
            <w:color w:val="0072BC"/>
            <w:sz w:val="20"/>
            <w:lang w:val="pl-PL"/>
          </w:rPr>
          <w:t xml:space="preserve">Magyar Helsinki Bizottság </w:t>
        </w:r>
      </w:hyperlink>
      <w:hyperlink r:id="rId9">
        <w:r w:rsidRPr="00980F22">
          <w:rPr>
            <w:rFonts w:asciiTheme="minorHAnsi" w:hAnsiTheme="minorHAnsi" w:cstheme="minorHAnsi"/>
            <w:i/>
            <w:color w:val="0072BC"/>
            <w:sz w:val="20"/>
            <w:lang w:val="pl-PL"/>
          </w:rPr>
          <w:t>przeciwko Węgrom</w:t>
        </w:r>
      </w:hyperlink>
      <w:r w:rsidRPr="00980F22">
        <w:rPr>
          <w:rFonts w:asciiTheme="minorHAnsi" w:hAnsiTheme="minorHAnsi" w:cstheme="minorHAnsi"/>
          <w:sz w:val="20"/>
          <w:lang w:val="pl-PL"/>
        </w:rPr>
        <w:t xml:space="preserve"> [GC], 2016, § 165). Trybunał </w:t>
      </w:r>
      <w:r w:rsidR="00F03546" w:rsidRPr="00980F22">
        <w:rPr>
          <w:rFonts w:asciiTheme="minorHAnsi" w:hAnsiTheme="minorHAnsi" w:cstheme="minorHAnsi"/>
          <w:sz w:val="20"/>
          <w:lang w:val="pl-PL"/>
        </w:rPr>
        <w:t>jest zdania</w:t>
      </w:r>
      <w:r w:rsidRPr="00980F22">
        <w:rPr>
          <w:rFonts w:asciiTheme="minorHAnsi" w:hAnsiTheme="minorHAnsi" w:cstheme="minorHAnsi"/>
          <w:sz w:val="20"/>
          <w:lang w:val="pl-PL"/>
        </w:rPr>
        <w:t>, że dziennikarze powinni korzystać z szerokiego zakresu ochrony, w tym</w:t>
      </w:r>
      <w:r w:rsidR="00F03546" w:rsidRPr="00980F22">
        <w:rPr>
          <w:rFonts w:asciiTheme="minorHAnsi" w:hAnsiTheme="minorHAnsi" w:cstheme="minorHAnsi"/>
          <w:sz w:val="20"/>
          <w:lang w:val="pl-PL"/>
        </w:rPr>
        <w:t xml:space="preserve"> z</w:t>
      </w:r>
      <w:r w:rsidRPr="00980F22">
        <w:rPr>
          <w:rFonts w:asciiTheme="minorHAnsi" w:hAnsiTheme="minorHAnsi" w:cstheme="minorHAnsi"/>
          <w:sz w:val="20"/>
          <w:lang w:val="pl-PL"/>
        </w:rPr>
        <w:t xml:space="preserve"> szeregu swobód, które mają funkcjonalne znaczenie dla wykonywania ich działalności, takich jak ochrona procesów gromadzenia informacji, ochrona poufnych źródeł</w:t>
      </w:r>
      <w:r w:rsidR="002F199E" w:rsidRPr="00980F22">
        <w:rPr>
          <w:rFonts w:asciiTheme="minorHAnsi" w:hAnsiTheme="minorHAnsi" w:cstheme="minorHAnsi"/>
          <w:sz w:val="20"/>
          <w:lang w:val="pl-PL"/>
        </w:rPr>
        <w:t xml:space="preserve"> informacji</w:t>
      </w:r>
      <w:r w:rsidRPr="00980F22">
        <w:rPr>
          <w:rFonts w:asciiTheme="minorHAnsi" w:hAnsiTheme="minorHAnsi" w:cstheme="minorHAnsi"/>
          <w:sz w:val="20"/>
          <w:lang w:val="pl-PL"/>
        </w:rPr>
        <w:t xml:space="preserve">, ochrona przed przeszukaniem miejsc pracy i prywatnych domów oraz </w:t>
      </w:r>
      <w:r w:rsidR="00121CA3" w:rsidRPr="00980F22">
        <w:rPr>
          <w:rFonts w:asciiTheme="minorHAnsi" w:hAnsiTheme="minorHAnsi" w:cstheme="minorHAnsi"/>
          <w:sz w:val="20"/>
          <w:lang w:val="pl-PL"/>
        </w:rPr>
        <w:t xml:space="preserve">konfiskatą </w:t>
      </w:r>
      <w:r w:rsidRPr="00980F22">
        <w:rPr>
          <w:rFonts w:asciiTheme="minorHAnsi" w:hAnsiTheme="minorHAnsi" w:cstheme="minorHAnsi"/>
          <w:sz w:val="20"/>
          <w:lang w:val="pl-PL"/>
        </w:rPr>
        <w:t>materiałów, a także ochrona autonomii redakcyjnej i prezent</w:t>
      </w:r>
      <w:r w:rsidR="00D31812" w:rsidRPr="00980F22">
        <w:rPr>
          <w:rFonts w:asciiTheme="minorHAnsi" w:hAnsiTheme="minorHAnsi" w:cstheme="minorHAnsi"/>
          <w:sz w:val="20"/>
          <w:lang w:val="pl-PL"/>
        </w:rPr>
        <w:t>a</w:t>
      </w:r>
      <w:r w:rsidR="00431991" w:rsidRPr="00980F22">
        <w:rPr>
          <w:rFonts w:asciiTheme="minorHAnsi" w:hAnsiTheme="minorHAnsi" w:cstheme="minorHAnsi"/>
          <w:sz w:val="20"/>
          <w:lang w:val="pl-PL"/>
        </w:rPr>
        <w:t>cji</w:t>
      </w:r>
      <w:r w:rsidRPr="00980F22">
        <w:rPr>
          <w:rFonts w:asciiTheme="minorHAnsi" w:hAnsiTheme="minorHAnsi" w:cstheme="minorHAnsi"/>
          <w:sz w:val="20"/>
          <w:lang w:val="pl-PL"/>
        </w:rPr>
        <w:t xml:space="preserve"> (</w:t>
      </w:r>
      <w:hyperlink r:id="rId10">
        <w:r w:rsidRPr="00980F22">
          <w:rPr>
            <w:rFonts w:asciiTheme="minorHAnsi" w:hAnsiTheme="minorHAnsi" w:cstheme="minorHAnsi"/>
            <w:i/>
            <w:color w:val="0072BC"/>
            <w:sz w:val="20"/>
            <w:lang w:val="pl-PL"/>
          </w:rPr>
          <w:t>Man i in.</w:t>
        </w:r>
      </w:hyperlink>
      <w:hyperlink r:id="rId11">
        <w:r w:rsidRPr="00980F22">
          <w:rPr>
            <w:rFonts w:asciiTheme="minorHAnsi" w:hAnsiTheme="minorHAnsi" w:cstheme="minorHAnsi"/>
            <w:i/>
            <w:color w:val="0072BC"/>
            <w:sz w:val="20"/>
            <w:lang w:val="pl-PL"/>
          </w:rPr>
          <w:t>v. Rumunia</w:t>
        </w:r>
      </w:hyperlink>
      <w:r w:rsidRPr="00980F22">
        <w:rPr>
          <w:rFonts w:asciiTheme="minorHAnsi" w:hAnsiTheme="minorHAnsi" w:cstheme="minorHAnsi"/>
          <w:sz w:val="20"/>
          <w:lang w:val="pl-PL"/>
        </w:rPr>
        <w:t xml:space="preserve"> (dec.), 2019, § 131)</w:t>
      </w:r>
      <w:r w:rsidR="008F72E7" w:rsidRPr="00980F22">
        <w:rPr>
          <w:rFonts w:asciiTheme="minorHAnsi" w:hAnsiTheme="minorHAnsi" w:cstheme="minorHAnsi"/>
          <w:sz w:val="20"/>
          <w:lang w:val="pl-PL"/>
        </w:rPr>
        <w:t>.</w:t>
      </w:r>
      <w:r w:rsidRPr="00980F22">
        <w:rPr>
          <w:rFonts w:asciiTheme="minorHAnsi" w:hAnsiTheme="minorHAnsi" w:cstheme="minorHAnsi"/>
          <w:sz w:val="20"/>
          <w:vertAlign w:val="superscript"/>
          <w:lang w:val="pl-PL"/>
        </w:rPr>
        <w:t>2</w:t>
      </w:r>
      <w:r w:rsidR="00025F24" w:rsidRPr="00980F22">
        <w:rPr>
          <w:rFonts w:asciiTheme="minorHAnsi" w:hAnsiTheme="minorHAnsi" w:cstheme="minorHAnsi"/>
          <w:sz w:val="20"/>
          <w:vertAlign w:val="superscript"/>
          <w:lang w:val="pl-PL"/>
        </w:rPr>
        <w:t xml:space="preserve"> </w:t>
      </w:r>
      <w:r w:rsidRPr="00980F22">
        <w:rPr>
          <w:rFonts w:asciiTheme="minorHAnsi" w:hAnsiTheme="minorHAnsi" w:cstheme="minorHAnsi"/>
          <w:sz w:val="20"/>
          <w:lang w:val="pl-PL"/>
        </w:rPr>
        <w:t>Podwyższony poziom ochrony jest przyznawany zarówno dziennikarzom zawodowym (</w:t>
      </w:r>
      <w:hyperlink r:id="rId12">
        <w:r w:rsidRPr="00980F22">
          <w:rPr>
            <w:rFonts w:asciiTheme="minorHAnsi" w:hAnsiTheme="minorHAnsi" w:cstheme="minorHAnsi"/>
            <w:i/>
            <w:color w:val="0072BC"/>
            <w:sz w:val="20"/>
            <w:lang w:val="pl-PL"/>
          </w:rPr>
          <w:t>Pedersen i Baadsgaard przeciwko Danii</w:t>
        </w:r>
      </w:hyperlink>
      <w:r w:rsidRPr="00980F22">
        <w:rPr>
          <w:rFonts w:asciiTheme="minorHAnsi" w:hAnsiTheme="minorHAnsi" w:cstheme="minorHAnsi"/>
          <w:sz w:val="20"/>
          <w:lang w:val="pl-PL"/>
        </w:rPr>
        <w:t xml:space="preserve"> [GC], 2004, § 71), jak i nieprofesjonalnym (</w:t>
      </w:r>
      <w:hyperlink r:id="rId13">
        <w:r w:rsidRPr="00980F22">
          <w:rPr>
            <w:rFonts w:asciiTheme="minorHAnsi" w:hAnsiTheme="minorHAnsi" w:cstheme="minorHAnsi"/>
            <w:i/>
            <w:color w:val="0072BC"/>
            <w:sz w:val="20"/>
            <w:lang w:val="pl-PL"/>
          </w:rPr>
          <w:t xml:space="preserve">Falzon </w:t>
        </w:r>
      </w:hyperlink>
      <w:hyperlink r:id="rId14">
        <w:r w:rsidRPr="00980F22">
          <w:rPr>
            <w:rFonts w:asciiTheme="minorHAnsi" w:hAnsiTheme="minorHAnsi" w:cstheme="minorHAnsi"/>
            <w:i/>
            <w:color w:val="0072BC"/>
            <w:sz w:val="20"/>
            <w:lang w:val="pl-PL"/>
          </w:rPr>
          <w:t>przeciwko Malcie</w:t>
        </w:r>
      </w:hyperlink>
      <w:r w:rsidRPr="00980F22">
        <w:rPr>
          <w:rFonts w:asciiTheme="minorHAnsi" w:hAnsiTheme="minorHAnsi" w:cstheme="minorHAnsi"/>
          <w:sz w:val="20"/>
          <w:lang w:val="pl-PL"/>
        </w:rPr>
        <w:t>, 2018, § 5</w:t>
      </w:r>
      <w:r w:rsidR="00573454" w:rsidRPr="00980F22">
        <w:rPr>
          <w:rFonts w:asciiTheme="minorHAnsi" w:hAnsiTheme="minorHAnsi" w:cstheme="minorHAnsi"/>
          <w:sz w:val="20"/>
          <w:lang w:val="pl-PL"/>
        </w:rPr>
        <w:t>7</w:t>
      </w:r>
      <w:r w:rsidRPr="00980F22">
        <w:rPr>
          <w:rFonts w:asciiTheme="minorHAnsi" w:hAnsiTheme="minorHAnsi" w:cstheme="minorHAnsi"/>
          <w:sz w:val="20"/>
          <w:lang w:val="pl-PL"/>
        </w:rPr>
        <w:t xml:space="preserve">, gdzie emerytowany polityk był </w:t>
      </w:r>
      <w:r w:rsidR="006840FF" w:rsidRPr="00980F22">
        <w:rPr>
          <w:rFonts w:asciiTheme="minorHAnsi" w:hAnsiTheme="minorHAnsi" w:cstheme="minorHAnsi"/>
          <w:sz w:val="20"/>
          <w:lang w:val="pl-PL"/>
        </w:rPr>
        <w:t>regularnym</w:t>
      </w:r>
      <w:r w:rsidRPr="00980F22">
        <w:rPr>
          <w:rFonts w:asciiTheme="minorHAnsi" w:hAnsiTheme="minorHAnsi" w:cstheme="minorHAnsi"/>
          <w:sz w:val="20"/>
          <w:lang w:val="pl-PL"/>
        </w:rPr>
        <w:t xml:space="preserve"> </w:t>
      </w:r>
      <w:r w:rsidR="0047553C" w:rsidRPr="00980F22">
        <w:rPr>
          <w:rFonts w:asciiTheme="minorHAnsi" w:hAnsiTheme="minorHAnsi" w:cstheme="minorHAnsi"/>
          <w:sz w:val="20"/>
          <w:lang w:val="pl-PL"/>
        </w:rPr>
        <w:t>felietonistą</w:t>
      </w:r>
      <w:r w:rsidRPr="00980F22">
        <w:rPr>
          <w:rFonts w:asciiTheme="minorHAnsi" w:hAnsiTheme="minorHAnsi" w:cstheme="minorHAnsi"/>
          <w:sz w:val="20"/>
          <w:lang w:val="pl-PL"/>
        </w:rPr>
        <w:t xml:space="preserve"> </w:t>
      </w:r>
      <w:r w:rsidR="0047553C" w:rsidRPr="00980F22">
        <w:rPr>
          <w:rFonts w:asciiTheme="minorHAnsi" w:hAnsiTheme="minorHAnsi" w:cstheme="minorHAnsi"/>
          <w:sz w:val="20"/>
          <w:lang w:val="pl-PL"/>
        </w:rPr>
        <w:t xml:space="preserve">publikującym </w:t>
      </w:r>
      <w:r w:rsidR="00FE54C3" w:rsidRPr="00980F22">
        <w:rPr>
          <w:rFonts w:asciiTheme="minorHAnsi" w:hAnsiTheme="minorHAnsi" w:cstheme="minorHAnsi"/>
          <w:sz w:val="20"/>
          <w:lang w:val="pl-PL"/>
        </w:rPr>
        <w:t xml:space="preserve">swoje </w:t>
      </w:r>
      <w:r w:rsidR="0047553C" w:rsidRPr="00980F22">
        <w:rPr>
          <w:rFonts w:asciiTheme="minorHAnsi" w:hAnsiTheme="minorHAnsi" w:cstheme="minorHAnsi"/>
          <w:sz w:val="20"/>
          <w:lang w:val="pl-PL"/>
        </w:rPr>
        <w:t>opinie</w:t>
      </w:r>
      <w:r w:rsidRPr="00980F22">
        <w:rPr>
          <w:rFonts w:asciiTheme="minorHAnsi" w:hAnsiTheme="minorHAnsi" w:cstheme="minorHAnsi"/>
          <w:sz w:val="20"/>
          <w:lang w:val="pl-PL"/>
        </w:rPr>
        <w:t xml:space="preserve"> w </w:t>
      </w:r>
      <w:r w:rsidRPr="00980F22">
        <w:rPr>
          <w:rFonts w:asciiTheme="minorHAnsi" w:hAnsiTheme="minorHAnsi" w:cstheme="minorHAnsi"/>
          <w:spacing w:val="-4"/>
          <w:sz w:val="20"/>
          <w:lang w:val="pl-PL"/>
        </w:rPr>
        <w:t>tygodnikach</w:t>
      </w:r>
      <w:r w:rsidRPr="00980F22">
        <w:rPr>
          <w:rFonts w:asciiTheme="minorHAnsi" w:hAnsiTheme="minorHAnsi" w:cstheme="minorHAnsi"/>
          <w:sz w:val="20"/>
          <w:lang w:val="pl-PL"/>
        </w:rPr>
        <w:t>).</w:t>
      </w:r>
    </w:p>
    <w:p w14:paraId="7B2EDC8E" w14:textId="6FE16577" w:rsidR="00094751" w:rsidRPr="008F72E7" w:rsidRDefault="00254F27">
      <w:pPr>
        <w:pStyle w:val="Tekstpodstawowy"/>
        <w:spacing w:before="120"/>
        <w:ind w:left="732" w:right="728"/>
        <w:jc w:val="both"/>
        <w:rPr>
          <w:rFonts w:asciiTheme="minorHAnsi" w:hAnsiTheme="minorHAnsi" w:cstheme="minorHAnsi"/>
        </w:rPr>
      </w:pPr>
      <w:r w:rsidRPr="008F72E7">
        <w:rPr>
          <w:rFonts w:asciiTheme="minorHAnsi" w:hAnsiTheme="minorHAnsi" w:cstheme="minorHAnsi"/>
          <w:sz w:val="20"/>
        </w:rPr>
        <w:t xml:space="preserve">Trybunał nie podaje definicji dziennikarstwa, ale odnosi się do szerokiego zakresu </w:t>
      </w:r>
      <w:r w:rsidRPr="008F72E7">
        <w:rPr>
          <w:rFonts w:asciiTheme="minorHAnsi" w:hAnsiTheme="minorHAnsi" w:cstheme="minorHAnsi"/>
          <w:b/>
          <w:sz w:val="20"/>
        </w:rPr>
        <w:t>wkładu w debatę publiczną</w:t>
      </w:r>
      <w:r w:rsidRPr="008F72E7">
        <w:rPr>
          <w:rFonts w:asciiTheme="minorHAnsi" w:hAnsiTheme="minorHAnsi" w:cstheme="minorHAnsi"/>
          <w:sz w:val="20"/>
          <w:vertAlign w:val="superscript"/>
        </w:rPr>
        <w:t>3</w:t>
      </w:r>
      <w:r w:rsidR="008F72E7">
        <w:rPr>
          <w:rFonts w:asciiTheme="minorHAnsi" w:hAnsiTheme="minorHAnsi" w:cstheme="minorHAnsi"/>
          <w:sz w:val="20"/>
          <w:vertAlign w:val="superscript"/>
        </w:rPr>
        <w:t xml:space="preserve"> </w:t>
      </w:r>
      <w:r w:rsidRPr="008F72E7">
        <w:rPr>
          <w:rFonts w:asciiTheme="minorHAnsi" w:hAnsiTheme="minorHAnsi" w:cstheme="minorHAnsi"/>
          <w:sz w:val="20"/>
        </w:rPr>
        <w:t xml:space="preserve">i podkreśla swobody, które są niezbędne do pełnienia roli </w:t>
      </w:r>
      <w:r w:rsidR="00737582">
        <w:rPr>
          <w:rFonts w:asciiTheme="minorHAnsi" w:hAnsiTheme="minorHAnsi" w:cstheme="minorHAnsi"/>
          <w:sz w:val="20"/>
        </w:rPr>
        <w:t>,,publicznego strażnika</w:t>
      </w:r>
      <w:r w:rsidRPr="008F72E7">
        <w:rPr>
          <w:rFonts w:asciiTheme="minorHAnsi" w:hAnsiTheme="minorHAnsi" w:cstheme="minorHAnsi"/>
          <w:sz w:val="20"/>
        </w:rPr>
        <w:t xml:space="preserve">" oraz związane z nią obowiązki i odpowiedzialność. Podczas gdy w przeszłości rola ta była odgrywana głównie przez dziennikarzy i media, obecnie </w:t>
      </w:r>
      <w:r w:rsidR="00113FE9" w:rsidRPr="008F72E7">
        <w:rPr>
          <w:rFonts w:asciiTheme="minorHAnsi" w:hAnsiTheme="minorHAnsi" w:cstheme="minorHAnsi"/>
          <w:sz w:val="20"/>
        </w:rPr>
        <w:t>to zadanie jest</w:t>
      </w:r>
      <w:r w:rsidRPr="008F72E7">
        <w:rPr>
          <w:rFonts w:asciiTheme="minorHAnsi" w:hAnsiTheme="minorHAnsi" w:cstheme="minorHAnsi"/>
          <w:sz w:val="20"/>
        </w:rPr>
        <w:t xml:space="preserve"> coraz częściej </w:t>
      </w:r>
      <w:r w:rsidR="00113FE9" w:rsidRPr="008F72E7">
        <w:rPr>
          <w:rFonts w:asciiTheme="minorHAnsi" w:hAnsiTheme="minorHAnsi" w:cstheme="minorHAnsi"/>
          <w:sz w:val="20"/>
        </w:rPr>
        <w:t>realizowane</w:t>
      </w:r>
      <w:r w:rsidRPr="008F72E7">
        <w:rPr>
          <w:rFonts w:asciiTheme="minorHAnsi" w:hAnsiTheme="minorHAnsi" w:cstheme="minorHAnsi"/>
          <w:sz w:val="20"/>
        </w:rPr>
        <w:t xml:space="preserve"> przez inne podmioty medialne i niemedialne.</w:t>
      </w:r>
    </w:p>
    <w:p w14:paraId="4FD03C68" w14:textId="63E94B2B" w:rsidR="00094751" w:rsidRPr="008F72E7" w:rsidRDefault="00254F27">
      <w:pPr>
        <w:pStyle w:val="Tekstpodstawowy"/>
        <w:spacing w:before="120"/>
        <w:ind w:left="732" w:right="729"/>
        <w:jc w:val="both"/>
        <w:rPr>
          <w:rFonts w:asciiTheme="minorHAnsi" w:hAnsiTheme="minorHAnsi" w:cstheme="minorHAnsi"/>
        </w:rPr>
      </w:pPr>
      <w:r w:rsidRPr="008F72E7">
        <w:rPr>
          <w:rFonts w:asciiTheme="minorHAnsi" w:hAnsiTheme="minorHAnsi" w:cstheme="minorHAnsi"/>
          <w:sz w:val="20"/>
        </w:rPr>
        <w:t xml:space="preserve">Trybunał uważa zatem, że oprócz prasy, funkcja </w:t>
      </w:r>
      <w:r w:rsidR="00737582">
        <w:rPr>
          <w:rFonts w:asciiTheme="minorHAnsi" w:hAnsiTheme="minorHAnsi" w:cstheme="minorHAnsi"/>
          <w:sz w:val="20"/>
        </w:rPr>
        <w:t>,,publicznego strażnika</w:t>
      </w:r>
      <w:r w:rsidRPr="008F72E7">
        <w:rPr>
          <w:rFonts w:asciiTheme="minorHAnsi" w:hAnsiTheme="minorHAnsi" w:cstheme="minorHAnsi"/>
          <w:sz w:val="20"/>
        </w:rPr>
        <w:t xml:space="preserve">" rozciąga się </w:t>
      </w:r>
      <w:r w:rsidR="00390066" w:rsidRPr="008F72E7">
        <w:rPr>
          <w:rFonts w:asciiTheme="minorHAnsi" w:hAnsiTheme="minorHAnsi" w:cstheme="minorHAnsi"/>
          <w:sz w:val="20"/>
        </w:rPr>
        <w:t xml:space="preserve">też </w:t>
      </w:r>
      <w:r w:rsidRPr="008F72E7">
        <w:rPr>
          <w:rFonts w:asciiTheme="minorHAnsi" w:hAnsiTheme="minorHAnsi" w:cstheme="minorHAnsi"/>
          <w:sz w:val="20"/>
        </w:rPr>
        <w:t xml:space="preserve">na organizacje pozarządowe, a także badaczy akademickich i autorów </w:t>
      </w:r>
      <w:r w:rsidR="00113FE9" w:rsidRPr="008F72E7">
        <w:rPr>
          <w:rFonts w:asciiTheme="minorHAnsi" w:hAnsiTheme="minorHAnsi" w:cstheme="minorHAnsi"/>
          <w:sz w:val="20"/>
        </w:rPr>
        <w:t>piszących</w:t>
      </w:r>
      <w:r w:rsidRPr="008F72E7">
        <w:rPr>
          <w:rFonts w:asciiTheme="minorHAnsi" w:hAnsiTheme="minorHAnsi" w:cstheme="minorHAnsi"/>
          <w:sz w:val="20"/>
        </w:rPr>
        <w:t xml:space="preserve"> na temat</w:t>
      </w:r>
      <w:r w:rsidR="00390066" w:rsidRPr="008F72E7">
        <w:rPr>
          <w:rFonts w:asciiTheme="minorHAnsi" w:hAnsiTheme="minorHAnsi" w:cstheme="minorHAnsi"/>
          <w:sz w:val="20"/>
        </w:rPr>
        <w:t>y dotyczące</w:t>
      </w:r>
      <w:r w:rsidRPr="008F72E7">
        <w:rPr>
          <w:rFonts w:asciiTheme="minorHAnsi" w:hAnsiTheme="minorHAnsi" w:cstheme="minorHAnsi"/>
          <w:sz w:val="20"/>
        </w:rPr>
        <w:t xml:space="preserve"> spraw budzących </w:t>
      </w:r>
      <w:r w:rsidR="00113FE9" w:rsidRPr="008F72E7">
        <w:rPr>
          <w:rFonts w:asciiTheme="minorHAnsi" w:hAnsiTheme="minorHAnsi" w:cstheme="minorHAnsi"/>
          <w:sz w:val="20"/>
        </w:rPr>
        <w:t>zainteresowanie opinii publicznej</w:t>
      </w:r>
      <w:r w:rsidRPr="008F72E7">
        <w:rPr>
          <w:rFonts w:asciiTheme="minorHAnsi" w:hAnsiTheme="minorHAnsi" w:cstheme="minorHAnsi"/>
          <w:sz w:val="20"/>
        </w:rPr>
        <w:t xml:space="preserve"> i gwarantuje wysoki poziom ochrony na mocy art. 10 Konwencji. Zauważa również, że funkcja blogerów i popularnych użytkowników mediów społecznościowych może być również utożsamiana z funkcją </w:t>
      </w:r>
      <w:r w:rsidR="00737582">
        <w:rPr>
          <w:rFonts w:asciiTheme="minorHAnsi" w:hAnsiTheme="minorHAnsi" w:cstheme="minorHAnsi"/>
          <w:sz w:val="20"/>
        </w:rPr>
        <w:t>,,publicznego strażnika</w:t>
      </w:r>
      <w:r w:rsidRPr="008F72E7">
        <w:rPr>
          <w:rFonts w:asciiTheme="minorHAnsi" w:hAnsiTheme="minorHAnsi" w:cstheme="minorHAnsi"/>
          <w:sz w:val="20"/>
        </w:rPr>
        <w:t xml:space="preserve">", jeśli chodzi o ochronę zapewnianą przez art. 10, biorąc pod uwagę ważną rolę, jaką odgrywa Internet w zwiększaniu dostępu opinii publicznej do wiadomości i ułatwianiu rozpowszechniania informacji w </w:t>
      </w:r>
      <w:r w:rsidR="00737582">
        <w:rPr>
          <w:rFonts w:asciiTheme="minorHAnsi" w:hAnsiTheme="minorHAnsi" w:cstheme="minorHAnsi"/>
          <w:sz w:val="20"/>
        </w:rPr>
        <w:t>ogólności</w:t>
      </w:r>
      <w:r w:rsidRPr="008F72E7">
        <w:rPr>
          <w:rFonts w:asciiTheme="minorHAnsi" w:hAnsiTheme="minorHAnsi" w:cstheme="minorHAnsi"/>
          <w:sz w:val="20"/>
        </w:rPr>
        <w:t>.</w:t>
      </w:r>
    </w:p>
    <w:p w14:paraId="02AA2F56" w14:textId="77777777" w:rsidR="00094751" w:rsidRPr="008F72E7" w:rsidRDefault="00094751">
      <w:pPr>
        <w:pStyle w:val="Tekstpodstawowy"/>
        <w:spacing w:before="0"/>
        <w:ind w:left="0"/>
        <w:rPr>
          <w:rFonts w:asciiTheme="minorHAnsi" w:hAnsiTheme="minorHAnsi" w:cstheme="minorHAnsi"/>
          <w:sz w:val="20"/>
        </w:rPr>
      </w:pPr>
    </w:p>
    <w:p w14:paraId="55E6A9A4" w14:textId="77777777" w:rsidR="00094751" w:rsidRPr="008F72E7" w:rsidRDefault="00254F27">
      <w:pPr>
        <w:pStyle w:val="Tekstpodstawowy"/>
        <w:spacing w:before="88"/>
        <w:ind w:left="0"/>
        <w:rPr>
          <w:rFonts w:asciiTheme="minorHAnsi" w:hAnsiTheme="minorHAnsi" w:cstheme="minorHAnsi"/>
          <w:sz w:val="20"/>
        </w:rPr>
      </w:pPr>
      <w:r w:rsidRPr="008F72E7">
        <w:rPr>
          <w:rFonts w:asciiTheme="minorHAnsi" w:hAnsiTheme="minorHAnsi" w:cstheme="minorHAnsi"/>
          <w:noProof/>
          <w:sz w:val="20"/>
        </w:rPr>
        <mc:AlternateContent>
          <mc:Choice Requires="wps">
            <w:drawing>
              <wp:anchor distT="0" distB="0" distL="0" distR="0" simplePos="0" relativeHeight="251663360" behindDoc="1" locked="0" layoutInCell="1" allowOverlap="1" wp14:anchorId="14E4FA26" wp14:editId="2F5D425F">
                <wp:simplePos x="0" y="0"/>
                <wp:positionH relativeFrom="page">
                  <wp:posOffset>914400</wp:posOffset>
                </wp:positionH>
                <wp:positionV relativeFrom="paragraph">
                  <wp:posOffset>226204</wp:posOffset>
                </wp:positionV>
                <wp:extent cx="1822450" cy="1270"/>
                <wp:effectExtent l="0" t="0" r="0" b="0"/>
                <wp:wrapTopAndBottom/>
                <wp:docPr id="4" name="Graphic 4"/>
                <wp:cNvGraphicFramePr/>
                <a:graphic xmlns:a="http://schemas.openxmlformats.org/drawingml/2006/main">
                  <a:graphicData uri="http://schemas.microsoft.com/office/word/2010/wordprocessingShape">
                    <wps:wsp>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w14:anchorId="6DB20483" id="Graphic 4" o:spid="_x0000_s1026" style="position:absolute;margin-left:1in;margin-top:17.8pt;width:143.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" path="m,l1822450,e" filled="f" strokeweight=".72pt">
                <v:path arrowok="t"/>
                <w10:wrap type="topAndBottom" anchorx="page"/>
              </v:shape>
            </w:pict>
          </mc:Fallback>
        </mc:AlternateContent>
      </w:r>
    </w:p>
    <w:p w14:paraId="0D06E9A7" w14:textId="58818724" w:rsidR="00094751" w:rsidRPr="00980F22" w:rsidRDefault="00254F27" w:rsidP="00980F22">
      <w:pPr>
        <w:spacing w:before="110"/>
        <w:ind w:left="732"/>
        <w:jc w:val="both"/>
        <w:rPr>
          <w:rFonts w:asciiTheme="minorHAnsi" w:hAnsiTheme="minorHAnsi" w:cstheme="minorHAnsi"/>
          <w:sz w:val="19"/>
        </w:rPr>
      </w:pPr>
      <w:r w:rsidRPr="008F72E7">
        <w:rPr>
          <w:rFonts w:asciiTheme="minorHAnsi" w:hAnsiTheme="minorHAnsi" w:cstheme="minorHAnsi"/>
          <w:position w:val="6"/>
          <w:sz w:val="12"/>
        </w:rPr>
        <w:t xml:space="preserve">1 </w:t>
      </w:r>
      <w:r w:rsidRPr="008F72E7">
        <w:rPr>
          <w:rFonts w:asciiTheme="minorHAnsi" w:hAnsiTheme="minorHAnsi" w:cstheme="minorHAnsi"/>
          <w:sz w:val="19"/>
        </w:rPr>
        <w:t xml:space="preserve">Przygotowane przez Kancelarię. Nie </w:t>
      </w:r>
      <w:r w:rsidR="00737582">
        <w:rPr>
          <w:rFonts w:asciiTheme="minorHAnsi" w:hAnsiTheme="minorHAnsi" w:cstheme="minorHAnsi"/>
          <w:sz w:val="19"/>
        </w:rPr>
        <w:t>jest wiążące</w:t>
      </w:r>
      <w:r w:rsidR="00980F22">
        <w:rPr>
          <w:rFonts w:asciiTheme="minorHAnsi" w:hAnsiTheme="minorHAnsi" w:cstheme="minorHAnsi"/>
          <w:sz w:val="19"/>
        </w:rPr>
        <w:t xml:space="preserve"> dla</w:t>
      </w:r>
      <w:r w:rsidRPr="008F72E7">
        <w:rPr>
          <w:rFonts w:asciiTheme="minorHAnsi" w:hAnsiTheme="minorHAnsi" w:cstheme="minorHAnsi"/>
          <w:sz w:val="19"/>
        </w:rPr>
        <w:t xml:space="preserve"> </w:t>
      </w:r>
      <w:r w:rsidRPr="008F72E7">
        <w:rPr>
          <w:rFonts w:asciiTheme="minorHAnsi" w:hAnsiTheme="minorHAnsi" w:cstheme="minorHAnsi"/>
          <w:spacing w:val="-2"/>
          <w:sz w:val="19"/>
        </w:rPr>
        <w:t>Trybunału.</w:t>
      </w:r>
    </w:p>
    <w:p w14:paraId="5D3E5374" w14:textId="5FF34986" w:rsidR="00094751" w:rsidRPr="008F72E7" w:rsidRDefault="00254F27">
      <w:pPr>
        <w:ind w:left="732" w:right="729"/>
        <w:jc w:val="both"/>
        <w:rPr>
          <w:rFonts w:asciiTheme="minorHAnsi" w:hAnsiTheme="minorHAnsi" w:cstheme="minorHAnsi"/>
          <w:sz w:val="20"/>
        </w:rPr>
      </w:pPr>
      <w:r w:rsidRPr="008F72E7">
        <w:rPr>
          <w:rFonts w:asciiTheme="minorHAnsi" w:hAnsiTheme="minorHAnsi" w:cstheme="minorHAnsi"/>
          <w:position w:val="6"/>
          <w:sz w:val="12"/>
        </w:rPr>
        <w:t xml:space="preserve">2 </w:t>
      </w:r>
      <w:r w:rsidRPr="008F72E7">
        <w:rPr>
          <w:rFonts w:asciiTheme="minorHAnsi" w:hAnsiTheme="minorHAnsi" w:cstheme="minorHAnsi"/>
          <w:sz w:val="19"/>
        </w:rPr>
        <w:t xml:space="preserve">Szczegółowa analiza zwiększonej ochrony dziennikarzy i innych podmiotów medialnych na mocy art. 10 Konwencji ze względu na ich rolę </w:t>
      </w:r>
      <w:r w:rsidR="00737582">
        <w:rPr>
          <w:rFonts w:asciiTheme="minorHAnsi" w:hAnsiTheme="minorHAnsi" w:cstheme="minorHAnsi"/>
          <w:sz w:val="19"/>
        </w:rPr>
        <w:t>,,publicznego strażnika</w:t>
      </w:r>
      <w:r w:rsidRPr="008F72E7">
        <w:rPr>
          <w:rFonts w:asciiTheme="minorHAnsi" w:hAnsiTheme="minorHAnsi" w:cstheme="minorHAnsi"/>
          <w:sz w:val="19"/>
        </w:rPr>
        <w:t xml:space="preserve">" oraz obowiązki i odpowiedzialność na mocy art. 10 § 2 Konwencji, w tym koncepcję </w:t>
      </w:r>
      <w:r w:rsidR="00737582">
        <w:rPr>
          <w:rFonts w:asciiTheme="minorHAnsi" w:hAnsiTheme="minorHAnsi" w:cstheme="minorHAnsi"/>
          <w:sz w:val="19"/>
        </w:rPr>
        <w:t>,,</w:t>
      </w:r>
      <w:r w:rsidRPr="008F72E7">
        <w:rPr>
          <w:rFonts w:asciiTheme="minorHAnsi" w:hAnsiTheme="minorHAnsi" w:cstheme="minorHAnsi"/>
          <w:sz w:val="19"/>
        </w:rPr>
        <w:t xml:space="preserve">odpowiedzialnego dziennikarstwa", znajduje się w rozdziale V </w:t>
      </w:r>
      <w:hyperlink r:id="rId15">
        <w:r w:rsidRPr="008F72E7">
          <w:rPr>
            <w:rFonts w:asciiTheme="minorHAnsi" w:hAnsiTheme="minorHAnsi" w:cstheme="minorHAnsi"/>
            <w:color w:val="0072BC"/>
            <w:sz w:val="19"/>
          </w:rPr>
          <w:t>Przewodnika po art. 10</w:t>
        </w:r>
      </w:hyperlink>
      <w:r w:rsidRPr="008F72E7">
        <w:rPr>
          <w:rFonts w:asciiTheme="minorHAnsi" w:hAnsiTheme="minorHAnsi" w:cstheme="minorHAnsi"/>
          <w:sz w:val="19"/>
        </w:rPr>
        <w:t>.</w:t>
      </w:r>
    </w:p>
    <w:p w14:paraId="3B14744A" w14:textId="4355778A" w:rsidR="00094751" w:rsidRPr="008F72E7" w:rsidRDefault="00254F27">
      <w:pPr>
        <w:ind w:left="732" w:right="728"/>
        <w:jc w:val="both"/>
        <w:rPr>
          <w:rFonts w:asciiTheme="minorHAnsi" w:hAnsiTheme="minorHAnsi" w:cstheme="minorHAnsi"/>
          <w:sz w:val="20"/>
        </w:rPr>
      </w:pPr>
      <w:r w:rsidRPr="008F72E7">
        <w:rPr>
          <w:rFonts w:asciiTheme="minorHAnsi" w:hAnsiTheme="minorHAnsi" w:cstheme="minorHAnsi"/>
          <w:position w:val="6"/>
          <w:sz w:val="12"/>
        </w:rPr>
        <w:t xml:space="preserve">3 </w:t>
      </w:r>
      <w:r w:rsidRPr="008F72E7">
        <w:rPr>
          <w:rFonts w:asciiTheme="minorHAnsi" w:hAnsiTheme="minorHAnsi" w:cstheme="minorHAnsi"/>
          <w:sz w:val="19"/>
        </w:rPr>
        <w:t xml:space="preserve">Aby zapoznać się z zarysem pojęcia </w:t>
      </w:r>
      <w:r w:rsidR="00737582">
        <w:rPr>
          <w:rFonts w:asciiTheme="minorHAnsi" w:hAnsiTheme="minorHAnsi" w:cstheme="minorHAnsi"/>
          <w:sz w:val="19"/>
        </w:rPr>
        <w:t>,,</w:t>
      </w:r>
      <w:r w:rsidRPr="008F72E7">
        <w:rPr>
          <w:rFonts w:asciiTheme="minorHAnsi" w:hAnsiTheme="minorHAnsi" w:cstheme="minorHAnsi"/>
          <w:sz w:val="19"/>
        </w:rPr>
        <w:t xml:space="preserve">debaty w interesie </w:t>
      </w:r>
      <w:r w:rsidR="006514A1">
        <w:rPr>
          <w:rFonts w:asciiTheme="minorHAnsi" w:hAnsiTheme="minorHAnsi" w:cstheme="minorHAnsi"/>
          <w:sz w:val="19"/>
        </w:rPr>
        <w:t>publicznym</w:t>
      </w:r>
      <w:r w:rsidRPr="008F72E7">
        <w:rPr>
          <w:rFonts w:asciiTheme="minorHAnsi" w:hAnsiTheme="minorHAnsi" w:cstheme="minorHAnsi"/>
          <w:sz w:val="19"/>
        </w:rPr>
        <w:t xml:space="preserve">", zob. rozdział IV </w:t>
      </w:r>
      <w:hyperlink r:id="rId16">
        <w:r w:rsidRPr="008F72E7">
          <w:rPr>
            <w:rFonts w:asciiTheme="minorHAnsi" w:hAnsiTheme="minorHAnsi" w:cstheme="minorHAnsi"/>
            <w:color w:val="0072BC"/>
            <w:sz w:val="19"/>
          </w:rPr>
          <w:t>Przewodnika po art. 10</w:t>
        </w:r>
      </w:hyperlink>
      <w:r w:rsidRPr="008F72E7">
        <w:rPr>
          <w:rFonts w:asciiTheme="minorHAnsi" w:hAnsiTheme="minorHAnsi" w:cstheme="minorHAnsi"/>
          <w:sz w:val="19"/>
        </w:rPr>
        <w:t xml:space="preserve">; </w:t>
      </w:r>
      <w:r w:rsidRPr="008F72E7">
        <w:rPr>
          <w:rFonts w:asciiTheme="minorHAnsi" w:hAnsiTheme="minorHAnsi" w:cstheme="minorHAnsi"/>
          <w:i/>
          <w:sz w:val="19"/>
        </w:rPr>
        <w:t xml:space="preserve">między innymi </w:t>
      </w:r>
      <w:hyperlink r:id="rId17">
        <w:r w:rsidRPr="008F72E7">
          <w:rPr>
            <w:rFonts w:asciiTheme="minorHAnsi" w:hAnsiTheme="minorHAnsi" w:cstheme="minorHAnsi"/>
            <w:i/>
            <w:color w:val="0072BC"/>
            <w:sz w:val="19"/>
          </w:rPr>
          <w:t>Couderc i Hachette Filipacchi Associés przeciwko Francji</w:t>
        </w:r>
      </w:hyperlink>
      <w:r w:rsidRPr="008F72E7">
        <w:rPr>
          <w:rFonts w:asciiTheme="minorHAnsi" w:hAnsiTheme="minorHAnsi" w:cstheme="minorHAnsi"/>
          <w:sz w:val="19"/>
        </w:rPr>
        <w:t xml:space="preserve"> [GC], 2015, §§ 101-103; oraz </w:t>
      </w:r>
      <w:hyperlink r:id="rId18">
        <w:r w:rsidRPr="008F72E7">
          <w:rPr>
            <w:rFonts w:asciiTheme="minorHAnsi" w:hAnsiTheme="minorHAnsi" w:cstheme="minorHAnsi"/>
            <w:i/>
            <w:color w:val="0072BC"/>
            <w:sz w:val="19"/>
          </w:rPr>
          <w:t xml:space="preserve">Mosley przeciwko Zjednoczonemu </w:t>
        </w:r>
      </w:hyperlink>
      <w:hyperlink r:id="rId19">
        <w:r w:rsidRPr="008F72E7">
          <w:rPr>
            <w:rFonts w:asciiTheme="minorHAnsi" w:hAnsiTheme="minorHAnsi" w:cstheme="minorHAnsi"/>
            <w:i/>
            <w:color w:val="0072BC"/>
            <w:sz w:val="19"/>
          </w:rPr>
          <w:t>Królestwu</w:t>
        </w:r>
      </w:hyperlink>
      <w:r w:rsidRPr="008F72E7">
        <w:rPr>
          <w:rFonts w:asciiTheme="minorHAnsi" w:hAnsiTheme="minorHAnsi" w:cstheme="minorHAnsi"/>
          <w:sz w:val="19"/>
        </w:rPr>
        <w:t xml:space="preserve">, 2011, § 114, gdzie dokonano rozróżnienia między publikacją w interesie publicznym a publikacją, którą społeczeństwo może być zainteresowane. Należy jednak zauważyć, że art. 10 ma nadal zastosowanie w sytuacjach, w których odpowiednie podmioty nie starają się przekazać żadnego przesłania, opinii lub idei ani wziąć udziału w debacie na temat interesu publicznego </w:t>
      </w:r>
      <w:hyperlink r:id="rId20">
        <w:r w:rsidRPr="008F72E7">
          <w:rPr>
            <w:rFonts w:asciiTheme="minorHAnsi" w:hAnsiTheme="minorHAnsi" w:cstheme="minorHAnsi"/>
            <w:i/>
            <w:color w:val="0072BC"/>
            <w:sz w:val="19"/>
          </w:rPr>
          <w:t>(C8 (Canal 8) przeciwko Francji</w:t>
        </w:r>
      </w:hyperlink>
      <w:r w:rsidRPr="008F72E7">
        <w:rPr>
          <w:rFonts w:asciiTheme="minorHAnsi" w:hAnsiTheme="minorHAnsi" w:cstheme="minorHAnsi"/>
          <w:sz w:val="19"/>
        </w:rPr>
        <w:t>, 2023, §§ 45-47) lub gdy ostatecznie Trybunał uznał, że kwestionowane oświadczenia nie przyczyniły się do takiej debaty (</w:t>
      </w:r>
      <w:hyperlink r:id="rId21">
        <w:r w:rsidRPr="008F72E7">
          <w:rPr>
            <w:rFonts w:asciiTheme="minorHAnsi" w:hAnsiTheme="minorHAnsi" w:cstheme="minorHAnsi"/>
            <w:i/>
            <w:color w:val="0072BC"/>
            <w:sz w:val="19"/>
          </w:rPr>
          <w:t>Karaca przeciwko Türkiye</w:t>
        </w:r>
      </w:hyperlink>
      <w:r w:rsidRPr="008F72E7">
        <w:rPr>
          <w:rFonts w:asciiTheme="minorHAnsi" w:hAnsiTheme="minorHAnsi" w:cstheme="minorHAnsi"/>
          <w:sz w:val="19"/>
        </w:rPr>
        <w:t>, 2023,</w:t>
      </w:r>
    </w:p>
    <w:p w14:paraId="1ABE0AFC" w14:textId="77777777" w:rsidR="00094751" w:rsidRPr="008F72E7" w:rsidRDefault="00254F27">
      <w:pPr>
        <w:ind w:left="732"/>
        <w:jc w:val="both"/>
        <w:rPr>
          <w:rFonts w:asciiTheme="minorHAnsi" w:hAnsiTheme="minorHAnsi" w:cstheme="minorHAnsi"/>
          <w:sz w:val="20"/>
        </w:rPr>
      </w:pPr>
      <w:r w:rsidRPr="008F72E7">
        <w:rPr>
          <w:rFonts w:asciiTheme="minorHAnsi" w:hAnsiTheme="minorHAnsi" w:cstheme="minorHAnsi"/>
          <w:sz w:val="19"/>
        </w:rPr>
        <w:t xml:space="preserve">§§ 155 i </w:t>
      </w:r>
      <w:r w:rsidRPr="008F72E7">
        <w:rPr>
          <w:rFonts w:asciiTheme="minorHAnsi" w:hAnsiTheme="minorHAnsi" w:cstheme="minorHAnsi"/>
          <w:spacing w:val="-2"/>
          <w:sz w:val="19"/>
        </w:rPr>
        <w:t>158).</w:t>
      </w:r>
    </w:p>
    <w:p w14:paraId="07B81FB2" w14:textId="77777777" w:rsidR="00094751" w:rsidRPr="008F72E7" w:rsidRDefault="00254F27">
      <w:pPr>
        <w:pStyle w:val="Tekstpodstawowy"/>
        <w:spacing w:before="2"/>
        <w:ind w:left="0"/>
        <w:rPr>
          <w:rFonts w:asciiTheme="minorHAnsi" w:hAnsiTheme="minorHAnsi" w:cstheme="minorHAnsi"/>
          <w:sz w:val="5"/>
        </w:rPr>
      </w:pPr>
      <w:r w:rsidRPr="008F72E7">
        <w:rPr>
          <w:rFonts w:asciiTheme="minorHAnsi" w:hAnsiTheme="minorHAnsi" w:cstheme="minorHAnsi"/>
          <w:noProof/>
          <w:sz w:val="5"/>
        </w:rPr>
        <w:drawing>
          <wp:anchor distT="0" distB="0" distL="0" distR="0" simplePos="0" relativeHeight="251665408" behindDoc="1" locked="0" layoutInCell="1" allowOverlap="1" wp14:anchorId="27C803B1" wp14:editId="3F425439">
            <wp:simplePos x="0" y="0"/>
            <wp:positionH relativeFrom="page">
              <wp:posOffset>3402458</wp:posOffset>
            </wp:positionH>
            <wp:positionV relativeFrom="paragraph">
              <wp:posOffset>55565</wp:posOffset>
            </wp:positionV>
            <wp:extent cx="730883" cy="585692"/>
            <wp:effectExtent l="0" t="0" r="0" b="0"/>
            <wp:wrapTopAndBottom/>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22" cstate="print"/>
                    <a:stretch>
                      <a:fillRect/>
                    </a:stretch>
                  </pic:blipFill>
                  <pic:spPr>
                    <a:xfrm>
                      <a:off x="0" y="0"/>
                      <a:ext cx="730883" cy="585692"/>
                    </a:xfrm>
                    <a:prstGeom prst="rect">
                      <a:avLst/>
                    </a:prstGeom>
                  </pic:spPr>
                </pic:pic>
              </a:graphicData>
            </a:graphic>
          </wp:anchor>
        </w:drawing>
      </w:r>
    </w:p>
    <w:p w14:paraId="3DA4A158" w14:textId="77777777" w:rsidR="00094751" w:rsidRPr="008F72E7" w:rsidRDefault="00094751">
      <w:pPr>
        <w:pStyle w:val="Tekstpodstawowy"/>
        <w:rPr>
          <w:rFonts w:asciiTheme="minorHAnsi" w:hAnsiTheme="minorHAnsi" w:cstheme="minorHAnsi"/>
          <w:sz w:val="5"/>
        </w:rPr>
        <w:sectPr w:rsidR="00094751" w:rsidRPr="008F72E7">
          <w:type w:val="continuous"/>
          <w:pgSz w:w="11910" w:h="16840"/>
          <w:pgMar w:top="740" w:right="708" w:bottom="280" w:left="708" w:header="708" w:footer="708" w:gutter="0"/>
          <w:cols w:space="708"/>
        </w:sectPr>
      </w:pPr>
    </w:p>
    <w:p w14:paraId="6FCE70DA" w14:textId="77777777" w:rsidR="00094751" w:rsidRPr="008F72E7" w:rsidRDefault="00094751">
      <w:pPr>
        <w:pStyle w:val="Tekstpodstawowy"/>
        <w:spacing w:before="146"/>
        <w:ind w:left="0"/>
        <w:rPr>
          <w:rFonts w:asciiTheme="minorHAnsi" w:hAnsiTheme="minorHAnsi" w:cstheme="minorHAnsi"/>
        </w:rPr>
      </w:pPr>
    </w:p>
    <w:p w14:paraId="5DCC4AC3" w14:textId="77777777" w:rsidR="00094751" w:rsidRPr="008F72E7" w:rsidRDefault="00254F27">
      <w:pPr>
        <w:ind w:left="732" w:right="601"/>
        <w:rPr>
          <w:rFonts w:asciiTheme="minorHAnsi" w:hAnsiTheme="minorHAnsi" w:cstheme="minorHAnsi"/>
        </w:rPr>
      </w:pPr>
      <w:r w:rsidRPr="008F72E7">
        <w:rPr>
          <w:rFonts w:asciiTheme="minorHAnsi" w:hAnsiTheme="minorHAnsi" w:cstheme="minorHAnsi"/>
          <w:sz w:val="20"/>
        </w:rPr>
        <w:t>(</w:t>
      </w:r>
      <w:hyperlink r:id="rId23">
        <w:r w:rsidRPr="008F72E7">
          <w:rPr>
            <w:rFonts w:asciiTheme="minorHAnsi" w:hAnsiTheme="minorHAnsi" w:cstheme="minorHAnsi"/>
            <w:i/>
            <w:color w:val="0072BC"/>
            <w:sz w:val="20"/>
          </w:rPr>
          <w:t>Magyar Helsinki Bizottság przeciwko Węgrom</w:t>
        </w:r>
      </w:hyperlink>
      <w:r w:rsidRPr="008F72E7">
        <w:rPr>
          <w:rFonts w:asciiTheme="minorHAnsi" w:hAnsiTheme="minorHAnsi" w:cstheme="minorHAnsi"/>
          <w:sz w:val="20"/>
        </w:rPr>
        <w:t xml:space="preserve"> [GC], 2016, § 168). Trybunał rozszerzył ponadto tę rolę na obserwatora wyborów (</w:t>
      </w:r>
      <w:hyperlink r:id="rId24">
        <w:r w:rsidRPr="008F72E7">
          <w:rPr>
            <w:rFonts w:asciiTheme="minorHAnsi" w:hAnsiTheme="minorHAnsi" w:cstheme="minorHAnsi"/>
            <w:i/>
            <w:color w:val="0072BC"/>
            <w:sz w:val="20"/>
          </w:rPr>
          <w:t>Timur Sharipov przeciwko Rosji</w:t>
        </w:r>
      </w:hyperlink>
      <w:r w:rsidRPr="008F72E7">
        <w:rPr>
          <w:rFonts w:asciiTheme="minorHAnsi" w:hAnsiTheme="minorHAnsi" w:cstheme="minorHAnsi"/>
          <w:sz w:val="20"/>
        </w:rPr>
        <w:t>, 2022, §§ 26 i 35).</w:t>
      </w:r>
    </w:p>
    <w:p w14:paraId="015D0684" w14:textId="77777777" w:rsidR="00094751" w:rsidRPr="008F72E7" w:rsidRDefault="00254F27">
      <w:pPr>
        <w:spacing w:before="120"/>
        <w:ind w:left="732" w:right="601"/>
        <w:rPr>
          <w:rFonts w:asciiTheme="minorHAnsi" w:hAnsiTheme="minorHAnsi" w:cstheme="minorHAnsi"/>
        </w:rPr>
      </w:pPr>
      <w:r w:rsidRPr="008F72E7">
        <w:rPr>
          <w:rFonts w:asciiTheme="minorHAnsi" w:hAnsiTheme="minorHAnsi" w:cstheme="minorHAnsi"/>
          <w:sz w:val="20"/>
        </w:rPr>
        <w:t>Z drugiej strony prawnicy nie zostali uznani za należących do tej kategorii (</w:t>
      </w:r>
      <w:hyperlink r:id="rId25">
        <w:r w:rsidRPr="008F72E7">
          <w:rPr>
            <w:rFonts w:asciiTheme="minorHAnsi" w:hAnsiTheme="minorHAnsi" w:cstheme="minorHAnsi"/>
            <w:i/>
            <w:color w:val="0072BC"/>
            <w:sz w:val="20"/>
          </w:rPr>
          <w:t xml:space="preserve">Studio Monitori </w:t>
        </w:r>
      </w:hyperlink>
      <w:hyperlink r:id="rId26">
        <w:r w:rsidRPr="008F72E7">
          <w:rPr>
            <w:rFonts w:asciiTheme="minorHAnsi" w:hAnsiTheme="minorHAnsi" w:cstheme="minorHAnsi"/>
            <w:i/>
            <w:color w:val="0072BC"/>
            <w:sz w:val="20"/>
          </w:rPr>
          <w:t>i inni przeciwko Gruzji</w:t>
        </w:r>
      </w:hyperlink>
      <w:r w:rsidRPr="008F72E7">
        <w:rPr>
          <w:rFonts w:asciiTheme="minorHAnsi" w:hAnsiTheme="minorHAnsi" w:cstheme="minorHAnsi"/>
          <w:sz w:val="20"/>
        </w:rPr>
        <w:t>, 2020, § 42).</w:t>
      </w:r>
    </w:p>
    <w:p w14:paraId="68CFAA1A" w14:textId="77777777" w:rsidR="00094751" w:rsidRPr="008F72E7" w:rsidRDefault="00254F27">
      <w:pPr>
        <w:pStyle w:val="Nagwek1"/>
        <w:rPr>
          <w:rFonts w:asciiTheme="minorHAnsi" w:hAnsiTheme="minorHAnsi" w:cstheme="minorHAnsi"/>
        </w:rPr>
      </w:pPr>
      <w:r w:rsidRPr="008F72E7">
        <w:rPr>
          <w:rFonts w:asciiTheme="minorHAnsi" w:hAnsiTheme="minorHAnsi" w:cstheme="minorHAnsi"/>
          <w:noProof/>
        </w:rPr>
        <mc:AlternateContent>
          <mc:Choice Requires="wps">
            <w:drawing>
              <wp:anchor distT="0" distB="0" distL="0" distR="0" simplePos="0" relativeHeight="251666432" behindDoc="1" locked="0" layoutInCell="1" allowOverlap="1" wp14:anchorId="6EA5EE03" wp14:editId="6EA8EB17">
                <wp:simplePos x="0" y="0"/>
                <wp:positionH relativeFrom="page">
                  <wp:posOffset>895985</wp:posOffset>
                </wp:positionH>
                <wp:positionV relativeFrom="paragraph">
                  <wp:posOffset>315776</wp:posOffset>
                </wp:positionV>
                <wp:extent cx="5768975" cy="1270"/>
                <wp:effectExtent l="0" t="0" r="0" b="0"/>
                <wp:wrapTopAndBottom/>
                <wp:docPr id="11" name="Graphic 11"/>
                <wp:cNvGraphicFramePr/>
                <a:graphic xmlns:a="http://schemas.openxmlformats.org/drawingml/2006/main">
                  <a:graphicData uri="http://schemas.microsoft.com/office/word/2010/wordprocessingShape">
                    <wps:wsp>
                      <wps:cNvSpPr/>
                      <wps:spPr>
                        <a:xfrm>
                          <a:off x="0" y="0"/>
                          <a:ext cx="5768975" cy="1270"/>
                        </a:xfrm>
                        <a:custGeom>
                          <a:avLst/>
                          <a:gdLst/>
                          <a:ahLst/>
                          <a:cxnLst/>
                          <a:rect l="l" t="t" r="r" b="b"/>
                          <a:pathLst>
                            <a:path w="5768975">
                              <a:moveTo>
                                <a:pt x="0" y="0"/>
                              </a:moveTo>
                              <a:lnTo>
                                <a:pt x="5768974" y="0"/>
                              </a:lnTo>
                            </a:path>
                          </a:pathLst>
                        </a:custGeom>
                        <a:ln w="19050">
                          <a:solidFill>
                            <a:srgbClr val="949494"/>
                          </a:solidFill>
                          <a:prstDash val="solid"/>
                        </a:ln>
                      </wps:spPr>
                      <wps:bodyPr wrap="square" lIns="0" tIns="0" rIns="0" bIns="0" rtlCol="0">
                        <a:prstTxWarp prst="textNoShape">
                          <a:avLst/>
                        </a:prstTxWarp>
                      </wps:bodyPr>
                    </wps:wsp>
                  </a:graphicData>
                </a:graphic>
              </wp:anchor>
            </w:drawing>
          </mc:Choice>
          <mc:Fallback>
            <w:pict>
              <v:shape w14:anchorId="3335EC5A" id="Graphic 11" o:spid="_x0000_s1026" style="position:absolute;margin-left:70.55pt;margin-top:24.85pt;width:454.25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5768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" path="m,l5768974,e" filled="f" strokecolor="#949494" strokeweight="1.5pt">
                <v:path arrowok="t"/>
                <w10:wrap type="topAndBottom" anchorx="page"/>
              </v:shape>
            </w:pict>
          </mc:Fallback>
        </mc:AlternateContent>
      </w:r>
      <w:r w:rsidRPr="008F72E7">
        <w:rPr>
          <w:rFonts w:asciiTheme="minorHAnsi" w:hAnsiTheme="minorHAnsi" w:cstheme="minorHAnsi"/>
          <w:color w:val="2F2F2F"/>
          <w:sz w:val="26"/>
        </w:rPr>
        <w:t xml:space="preserve">Godne uwagi </w:t>
      </w:r>
      <w:r w:rsidRPr="008F72E7">
        <w:rPr>
          <w:rFonts w:asciiTheme="minorHAnsi" w:hAnsiTheme="minorHAnsi" w:cstheme="minorHAnsi"/>
          <w:color w:val="2F2F2F"/>
          <w:spacing w:val="-2"/>
          <w:sz w:val="26"/>
        </w:rPr>
        <w:t>przykłady</w:t>
      </w:r>
    </w:p>
    <w:p w14:paraId="01BD9179" w14:textId="77777777" w:rsidR="00094751" w:rsidRPr="008F72E7" w:rsidRDefault="00254F27">
      <w:pPr>
        <w:pStyle w:val="Nagwek2"/>
        <w:spacing w:before="284"/>
        <w:rPr>
          <w:rFonts w:asciiTheme="minorHAnsi" w:hAnsiTheme="minorHAnsi" w:cstheme="minorHAnsi"/>
          <w:position w:val="7"/>
          <w:sz w:val="16"/>
        </w:rPr>
      </w:pPr>
      <w:r w:rsidRPr="008F72E7">
        <w:rPr>
          <w:rFonts w:asciiTheme="minorHAnsi" w:hAnsiTheme="minorHAnsi" w:cstheme="minorHAnsi"/>
          <w:color w:val="2F2F2F"/>
          <w:w w:val="85"/>
          <w:sz w:val="26"/>
        </w:rPr>
        <w:t xml:space="preserve">Dziennikarstwo internetowe, strony internetowe, blogi, </w:t>
      </w:r>
      <w:r w:rsidRPr="008F72E7">
        <w:rPr>
          <w:rFonts w:asciiTheme="minorHAnsi" w:hAnsiTheme="minorHAnsi" w:cstheme="minorHAnsi"/>
          <w:color w:val="2F2F2F"/>
          <w:spacing w:val="-2"/>
          <w:w w:val="85"/>
          <w:sz w:val="26"/>
        </w:rPr>
        <w:t>wyszukiwarki:</w:t>
      </w:r>
      <w:r w:rsidRPr="008F72E7">
        <w:rPr>
          <w:rFonts w:asciiTheme="minorHAnsi" w:hAnsiTheme="minorHAnsi" w:cstheme="minorHAnsi"/>
          <w:color w:val="2F2F2F"/>
          <w:spacing w:val="-2"/>
          <w:w w:val="85"/>
          <w:position w:val="7"/>
          <w:sz w:val="15"/>
        </w:rPr>
        <w:t>4</w:t>
      </w:r>
    </w:p>
    <w:p w14:paraId="60828EB8" w14:textId="0A1C305C" w:rsidR="00094751" w:rsidRPr="008F72E7" w:rsidRDefault="00254F27">
      <w:pPr>
        <w:pStyle w:val="Akapitzlist"/>
        <w:numPr>
          <w:ilvl w:val="0"/>
          <w:numId w:val="1"/>
        </w:numPr>
        <w:tabs>
          <w:tab w:val="left" w:pos="1583"/>
        </w:tabs>
        <w:spacing w:before="76"/>
        <w:ind w:hanging="284"/>
        <w:jc w:val="both"/>
        <w:rPr>
          <w:rFonts w:asciiTheme="minorHAnsi" w:hAnsiTheme="minorHAnsi" w:cstheme="minorHAnsi"/>
        </w:rPr>
      </w:pPr>
      <w:r w:rsidRPr="008F72E7">
        <w:rPr>
          <w:rFonts w:asciiTheme="minorHAnsi" w:hAnsiTheme="minorHAnsi" w:cstheme="minorHAnsi"/>
          <w:sz w:val="20"/>
        </w:rPr>
        <w:t xml:space="preserve">W wyroku w sprawie </w:t>
      </w:r>
      <w:hyperlink r:id="rId27">
        <w:r w:rsidRPr="008F72E7">
          <w:rPr>
            <w:rFonts w:asciiTheme="minorHAnsi" w:hAnsiTheme="minorHAnsi" w:cstheme="minorHAnsi"/>
            <w:i/>
            <w:color w:val="0072BC"/>
            <w:sz w:val="20"/>
          </w:rPr>
          <w:t>Magyar Helsinki Bizottság przeciwko Węgrom</w:t>
        </w:r>
      </w:hyperlink>
      <w:r w:rsidRPr="008F72E7">
        <w:rPr>
          <w:rFonts w:asciiTheme="minorHAnsi" w:hAnsiTheme="minorHAnsi" w:cstheme="minorHAnsi"/>
          <w:sz w:val="20"/>
        </w:rPr>
        <w:t xml:space="preserve"> [GC], 2016, § 168, odnosząc się do wyroku w sprawie </w:t>
      </w:r>
      <w:hyperlink r:id="rId28">
        <w:r w:rsidRPr="008F72E7">
          <w:rPr>
            <w:rFonts w:asciiTheme="minorHAnsi" w:hAnsiTheme="minorHAnsi" w:cstheme="minorHAnsi"/>
            <w:i/>
            <w:color w:val="0072BC"/>
            <w:sz w:val="20"/>
          </w:rPr>
          <w:t>Cengiz i inni przeciwko Turcji</w:t>
        </w:r>
      </w:hyperlink>
      <w:r w:rsidRPr="008F72E7">
        <w:rPr>
          <w:rFonts w:asciiTheme="minorHAnsi" w:hAnsiTheme="minorHAnsi" w:cstheme="minorHAnsi"/>
          <w:i/>
          <w:sz w:val="20"/>
        </w:rPr>
        <w:t xml:space="preserve">, </w:t>
      </w:r>
      <w:r w:rsidRPr="008F72E7">
        <w:rPr>
          <w:rFonts w:asciiTheme="minorHAnsi" w:hAnsiTheme="minorHAnsi" w:cstheme="minorHAnsi"/>
          <w:sz w:val="20"/>
        </w:rPr>
        <w:t xml:space="preserve">2015, §§ 52 i 54, Trybunał powtarza, że niektóre treści polityczne ignorowane przez tradycyjne media są często udostępniane za pośrednictwem niektórych stron internetowych, co sprzyja powstawaniu </w:t>
      </w:r>
      <w:r w:rsidRPr="008F72E7">
        <w:rPr>
          <w:rFonts w:asciiTheme="minorHAnsi" w:hAnsiTheme="minorHAnsi" w:cstheme="minorHAnsi"/>
          <w:b/>
          <w:sz w:val="20"/>
        </w:rPr>
        <w:t>dziennikarstwa obywatelskiego</w:t>
      </w:r>
      <w:r w:rsidRPr="008F72E7">
        <w:rPr>
          <w:rFonts w:asciiTheme="minorHAnsi" w:hAnsiTheme="minorHAnsi" w:cstheme="minorHAnsi"/>
          <w:sz w:val="20"/>
        </w:rPr>
        <w:t>.</w:t>
      </w:r>
      <w:r w:rsidRPr="008F72E7">
        <w:rPr>
          <w:rFonts w:asciiTheme="minorHAnsi" w:hAnsiTheme="minorHAnsi" w:cstheme="minorHAnsi"/>
          <w:sz w:val="20"/>
          <w:vertAlign w:val="superscript"/>
        </w:rPr>
        <w:t>5</w:t>
      </w:r>
      <w:r w:rsidR="003B1412">
        <w:rPr>
          <w:rFonts w:asciiTheme="minorHAnsi" w:hAnsiTheme="minorHAnsi" w:cstheme="minorHAnsi"/>
          <w:sz w:val="20"/>
          <w:vertAlign w:val="superscript"/>
        </w:rPr>
        <w:t xml:space="preserve"> </w:t>
      </w:r>
      <w:r w:rsidRPr="008F72E7">
        <w:rPr>
          <w:rFonts w:asciiTheme="minorHAnsi" w:hAnsiTheme="minorHAnsi" w:cstheme="minorHAnsi"/>
          <w:sz w:val="20"/>
        </w:rPr>
        <w:t>Wskazuje, że blokowanie odpowiednich usług pozbawia użytkowników istotnych środków korzystania z ich prawa do wolności otrzymywania i przekazywania informacji i idei.</w:t>
      </w:r>
    </w:p>
    <w:p w14:paraId="1785D61A" w14:textId="6B8D6F34" w:rsidR="00094751" w:rsidRPr="008F72E7" w:rsidRDefault="00254F27" w:rsidP="00195CFB">
      <w:pPr>
        <w:pStyle w:val="Akapitzlist"/>
        <w:numPr>
          <w:ilvl w:val="0"/>
          <w:numId w:val="1"/>
        </w:numPr>
        <w:tabs>
          <w:tab w:val="left" w:pos="1583"/>
        </w:tabs>
        <w:ind w:hanging="284"/>
        <w:jc w:val="both"/>
        <w:rPr>
          <w:rFonts w:asciiTheme="minorHAnsi" w:hAnsiTheme="minorHAnsi" w:cstheme="minorHAnsi"/>
        </w:rPr>
      </w:pPr>
      <w:r w:rsidRPr="008F72E7">
        <w:rPr>
          <w:rFonts w:asciiTheme="minorHAnsi" w:hAnsiTheme="minorHAnsi" w:cstheme="minorHAnsi"/>
          <w:sz w:val="20"/>
        </w:rPr>
        <w:t xml:space="preserve">Trybunał podkreślił, że ze względu na swoją dostępność i zdolność do przechowywania i przekazywania ogromnych ilości informacji, </w:t>
      </w:r>
      <w:r w:rsidRPr="008F72E7">
        <w:rPr>
          <w:rFonts w:asciiTheme="minorHAnsi" w:hAnsiTheme="minorHAnsi" w:cstheme="minorHAnsi"/>
          <w:b/>
          <w:sz w:val="20"/>
        </w:rPr>
        <w:t xml:space="preserve">Internet </w:t>
      </w:r>
      <w:r w:rsidRPr="008F72E7">
        <w:rPr>
          <w:rFonts w:asciiTheme="minorHAnsi" w:hAnsiTheme="minorHAnsi" w:cstheme="minorHAnsi"/>
          <w:sz w:val="20"/>
        </w:rPr>
        <w:t>znacznie zwiększa dostęp społeczeństwa do wiadomości i ułatwia rozpowszechnianie informacji (</w:t>
      </w:r>
      <w:r w:rsidRPr="008F72E7">
        <w:rPr>
          <w:rFonts w:asciiTheme="minorHAnsi" w:hAnsiTheme="minorHAnsi" w:cstheme="minorHAnsi"/>
          <w:i/>
          <w:sz w:val="20"/>
        </w:rPr>
        <w:t>m.in.</w:t>
      </w:r>
      <w:r w:rsidR="0050367E" w:rsidRPr="008F72E7">
        <w:rPr>
          <w:rFonts w:asciiTheme="minorHAnsi" w:hAnsiTheme="minorHAnsi" w:cstheme="minorHAnsi"/>
          <w:i/>
          <w:sz w:val="20"/>
        </w:rPr>
        <w:t xml:space="preserve"> w odniesieniu do</w:t>
      </w:r>
      <w:r w:rsidR="00BA4B4F" w:rsidRPr="008F72E7">
        <w:rPr>
          <w:rFonts w:asciiTheme="minorHAnsi" w:hAnsiTheme="minorHAnsi" w:cstheme="minorHAnsi"/>
          <w:i/>
          <w:sz w:val="20"/>
        </w:rPr>
        <w:t xml:space="preserve"> </w:t>
      </w:r>
      <w:r w:rsidRPr="008F72E7">
        <w:rPr>
          <w:rFonts w:asciiTheme="minorHAnsi" w:hAnsiTheme="minorHAnsi" w:cstheme="minorHAnsi"/>
          <w:b/>
          <w:sz w:val="20"/>
        </w:rPr>
        <w:t>zablokowani</w:t>
      </w:r>
      <w:r w:rsidR="0050367E" w:rsidRPr="008F72E7">
        <w:rPr>
          <w:rFonts w:asciiTheme="minorHAnsi" w:hAnsiTheme="minorHAnsi" w:cstheme="minorHAnsi"/>
          <w:b/>
          <w:sz w:val="20"/>
        </w:rPr>
        <w:t>a</w:t>
      </w:r>
      <w:r w:rsidRPr="008F72E7">
        <w:rPr>
          <w:rFonts w:asciiTheme="minorHAnsi" w:hAnsiTheme="minorHAnsi" w:cstheme="minorHAnsi"/>
          <w:b/>
          <w:sz w:val="20"/>
        </w:rPr>
        <w:t xml:space="preserve"> dostępu do całej strony internetowej </w:t>
      </w:r>
      <w:r w:rsidRPr="008F72E7">
        <w:rPr>
          <w:rFonts w:asciiTheme="minorHAnsi" w:hAnsiTheme="minorHAnsi" w:cstheme="minorHAnsi"/>
          <w:sz w:val="20"/>
        </w:rPr>
        <w:t xml:space="preserve">z powodu publikacji artykułów uznanych za </w:t>
      </w:r>
      <w:r w:rsidRPr="008F72E7">
        <w:rPr>
          <w:rFonts w:asciiTheme="minorHAnsi" w:hAnsiTheme="minorHAnsi" w:cstheme="minorHAnsi"/>
          <w:b/>
          <w:sz w:val="20"/>
        </w:rPr>
        <w:t>wezwania do udziału w niedozwolonych wydarzeniach publicznych</w:t>
      </w:r>
      <w:r w:rsidRPr="008F72E7">
        <w:rPr>
          <w:rFonts w:asciiTheme="minorHAnsi" w:hAnsiTheme="minorHAnsi" w:cstheme="minorHAnsi"/>
          <w:sz w:val="20"/>
        </w:rPr>
        <w:t xml:space="preserve">, </w:t>
      </w:r>
      <w:hyperlink r:id="rId29">
        <w:r w:rsidRPr="008F72E7">
          <w:rPr>
            <w:rFonts w:asciiTheme="minorHAnsi" w:hAnsiTheme="minorHAnsi" w:cstheme="minorHAnsi"/>
            <w:i/>
            <w:color w:val="0072BC"/>
            <w:sz w:val="20"/>
          </w:rPr>
          <w:t>OOO Flavus i in. przeciwko Rosj</w:t>
        </w:r>
        <w:r w:rsidR="00EE3083" w:rsidRPr="008F72E7">
          <w:rPr>
            <w:rFonts w:asciiTheme="minorHAnsi" w:hAnsiTheme="minorHAnsi" w:cstheme="minorHAnsi"/>
            <w:i/>
            <w:color w:val="0072BC"/>
            <w:sz w:val="20"/>
          </w:rPr>
          <w:t xml:space="preserve">i, </w:t>
        </w:r>
      </w:hyperlink>
      <w:r w:rsidRPr="008F72E7">
        <w:rPr>
          <w:rFonts w:asciiTheme="minorHAnsi" w:hAnsiTheme="minorHAnsi" w:cstheme="minorHAnsi"/>
          <w:sz w:val="20"/>
        </w:rPr>
        <w:t xml:space="preserve">w odniesieniu do </w:t>
      </w:r>
      <w:r w:rsidRPr="008F72E7">
        <w:rPr>
          <w:rFonts w:asciiTheme="minorHAnsi" w:hAnsiTheme="minorHAnsi" w:cstheme="minorHAnsi"/>
          <w:b/>
          <w:sz w:val="20"/>
        </w:rPr>
        <w:t xml:space="preserve">usługi Google </w:t>
      </w:r>
      <w:r w:rsidRPr="008F72E7">
        <w:rPr>
          <w:rFonts w:asciiTheme="minorHAnsi" w:hAnsiTheme="minorHAnsi" w:cstheme="minorHAnsi"/>
          <w:sz w:val="20"/>
        </w:rPr>
        <w:t xml:space="preserve">mającej na celu ułatwienie tworzenia i udostępniania stron internetowych, </w:t>
      </w:r>
      <w:hyperlink r:id="rId30">
        <w:r w:rsidRPr="008F72E7">
          <w:rPr>
            <w:rFonts w:asciiTheme="minorHAnsi" w:hAnsiTheme="minorHAnsi" w:cstheme="minorHAnsi"/>
            <w:i/>
            <w:color w:val="0072BC"/>
            <w:sz w:val="20"/>
          </w:rPr>
          <w:t>Ahmet Yıldırım przeciwko Turcji</w:t>
        </w:r>
      </w:hyperlink>
      <w:r w:rsidRPr="008F72E7">
        <w:rPr>
          <w:rFonts w:asciiTheme="minorHAnsi" w:hAnsiTheme="minorHAnsi" w:cstheme="minorHAnsi"/>
          <w:sz w:val="20"/>
        </w:rPr>
        <w:t xml:space="preserve">, 2012, §§ 48-49; w odniesieniu do </w:t>
      </w:r>
      <w:r w:rsidRPr="008F72E7">
        <w:rPr>
          <w:rFonts w:asciiTheme="minorHAnsi" w:hAnsiTheme="minorHAnsi" w:cstheme="minorHAnsi"/>
          <w:b/>
          <w:sz w:val="20"/>
        </w:rPr>
        <w:t xml:space="preserve">strony internetowej </w:t>
      </w:r>
      <w:r w:rsidR="006B7FA0" w:rsidRPr="008F72E7">
        <w:rPr>
          <w:rFonts w:asciiTheme="minorHAnsi" w:hAnsiTheme="minorHAnsi" w:cstheme="minorHAnsi"/>
          <w:b/>
          <w:sz w:val="20"/>
        </w:rPr>
        <w:t>dziennika</w:t>
      </w:r>
      <w:r w:rsidRPr="008F72E7">
        <w:rPr>
          <w:rFonts w:asciiTheme="minorHAnsi" w:hAnsiTheme="minorHAnsi" w:cstheme="minorHAnsi"/>
          <w:sz w:val="20"/>
        </w:rPr>
        <w:t xml:space="preserve">, </w:t>
      </w:r>
      <w:hyperlink r:id="rId31">
        <w:r w:rsidRPr="008F72E7">
          <w:rPr>
            <w:rFonts w:asciiTheme="minorHAnsi" w:hAnsiTheme="minorHAnsi" w:cstheme="minorHAnsi"/>
            <w:i/>
            <w:color w:val="0072BC"/>
            <w:sz w:val="20"/>
          </w:rPr>
          <w:t xml:space="preserve">Times Newspapers Ltd przeciwko Zjednoczonemu </w:t>
        </w:r>
      </w:hyperlink>
      <w:hyperlink r:id="rId32">
        <w:r w:rsidRPr="008F72E7">
          <w:rPr>
            <w:rFonts w:asciiTheme="minorHAnsi" w:hAnsiTheme="minorHAnsi" w:cstheme="minorHAnsi"/>
            <w:i/>
            <w:color w:val="0072BC"/>
            <w:sz w:val="20"/>
          </w:rPr>
          <w:t>Królestwu (nr 1 i 2)</w:t>
        </w:r>
      </w:hyperlink>
      <w:r w:rsidRPr="008F72E7">
        <w:rPr>
          <w:rFonts w:asciiTheme="minorHAnsi" w:hAnsiTheme="minorHAnsi" w:cstheme="minorHAnsi"/>
          <w:sz w:val="20"/>
        </w:rPr>
        <w:t xml:space="preserve">, 2009, § 27; w odniesieniu do </w:t>
      </w:r>
      <w:r w:rsidRPr="008F72E7">
        <w:rPr>
          <w:rFonts w:asciiTheme="minorHAnsi" w:hAnsiTheme="minorHAnsi" w:cstheme="minorHAnsi"/>
          <w:b/>
          <w:sz w:val="20"/>
        </w:rPr>
        <w:t>wyszukiwarki</w:t>
      </w:r>
      <w:r w:rsidRPr="008F72E7">
        <w:rPr>
          <w:rFonts w:asciiTheme="minorHAnsi" w:hAnsiTheme="minorHAnsi" w:cstheme="minorHAnsi"/>
          <w:sz w:val="20"/>
        </w:rPr>
        <w:t xml:space="preserve">, </w:t>
      </w:r>
      <w:hyperlink r:id="rId33">
        <w:r w:rsidRPr="008F72E7">
          <w:rPr>
            <w:rFonts w:asciiTheme="minorHAnsi" w:hAnsiTheme="minorHAnsi" w:cstheme="minorHAnsi"/>
            <w:i/>
            <w:color w:val="0072BC"/>
            <w:sz w:val="20"/>
          </w:rPr>
          <w:t>M.L. i W.W. przeciwko Niemcom</w:t>
        </w:r>
      </w:hyperlink>
      <w:r w:rsidRPr="008F72E7">
        <w:rPr>
          <w:rFonts w:asciiTheme="minorHAnsi" w:hAnsiTheme="minorHAnsi" w:cstheme="minorHAnsi"/>
          <w:i/>
          <w:sz w:val="20"/>
        </w:rPr>
        <w:t xml:space="preserve">, </w:t>
      </w:r>
      <w:r w:rsidRPr="008F72E7">
        <w:rPr>
          <w:rFonts w:asciiTheme="minorHAnsi" w:hAnsiTheme="minorHAnsi" w:cstheme="minorHAnsi"/>
          <w:sz w:val="20"/>
        </w:rPr>
        <w:t>2018,</w:t>
      </w:r>
      <w:r w:rsidR="00195CFB" w:rsidRPr="008F72E7">
        <w:rPr>
          <w:rFonts w:asciiTheme="minorHAnsi" w:hAnsiTheme="minorHAnsi" w:cstheme="minorHAnsi"/>
          <w:sz w:val="20"/>
        </w:rPr>
        <w:t xml:space="preserve"> </w:t>
      </w:r>
      <w:r w:rsidRPr="008F72E7">
        <w:rPr>
          <w:rFonts w:asciiTheme="minorHAnsi" w:hAnsiTheme="minorHAnsi" w:cstheme="minorHAnsi"/>
          <w:sz w:val="20"/>
        </w:rPr>
        <w:t xml:space="preserve">§ </w:t>
      </w:r>
      <w:r w:rsidRPr="008F72E7">
        <w:rPr>
          <w:rFonts w:asciiTheme="minorHAnsi" w:hAnsiTheme="minorHAnsi" w:cstheme="minorHAnsi"/>
          <w:spacing w:val="-4"/>
          <w:sz w:val="20"/>
        </w:rPr>
        <w:t>91).</w:t>
      </w:r>
    </w:p>
    <w:p w14:paraId="04735953" w14:textId="25B673F8" w:rsidR="00094751" w:rsidRPr="008F72E7" w:rsidRDefault="00254F27">
      <w:pPr>
        <w:pStyle w:val="Akapitzlist"/>
        <w:numPr>
          <w:ilvl w:val="0"/>
          <w:numId w:val="1"/>
        </w:numPr>
        <w:tabs>
          <w:tab w:val="left" w:pos="1583"/>
        </w:tabs>
        <w:ind w:hanging="284"/>
        <w:jc w:val="both"/>
        <w:rPr>
          <w:rFonts w:asciiTheme="minorHAnsi" w:hAnsiTheme="minorHAnsi" w:cstheme="minorHAnsi"/>
        </w:rPr>
      </w:pPr>
      <w:r w:rsidRPr="008F72E7">
        <w:rPr>
          <w:rFonts w:asciiTheme="minorHAnsi" w:hAnsiTheme="minorHAnsi" w:cstheme="minorHAnsi"/>
          <w:sz w:val="20"/>
        </w:rPr>
        <w:t xml:space="preserve">W wyroku w </w:t>
      </w:r>
      <w:hyperlink r:id="rId34">
        <w:r w:rsidRPr="008F72E7">
          <w:rPr>
            <w:rFonts w:asciiTheme="minorHAnsi" w:hAnsiTheme="minorHAnsi" w:cstheme="minorHAnsi"/>
            <w:i/>
            <w:color w:val="0072BC"/>
            <w:sz w:val="20"/>
          </w:rPr>
          <w:t>sprawie Delfi AS przeciwko. Estonia</w:t>
        </w:r>
      </w:hyperlink>
      <w:r w:rsidRPr="008F72E7">
        <w:rPr>
          <w:rFonts w:asciiTheme="minorHAnsi" w:hAnsiTheme="minorHAnsi" w:cstheme="minorHAnsi"/>
          <w:sz w:val="20"/>
        </w:rPr>
        <w:t xml:space="preserve"> [GC], 2015, który dotyczy odpowiedzialności redakcyjnej </w:t>
      </w:r>
      <w:r w:rsidRPr="008F72E7">
        <w:rPr>
          <w:rFonts w:asciiTheme="minorHAnsi" w:hAnsiTheme="minorHAnsi" w:cstheme="minorHAnsi"/>
          <w:b/>
          <w:sz w:val="20"/>
        </w:rPr>
        <w:t xml:space="preserve">portalu internetowego, </w:t>
      </w:r>
      <w:r w:rsidRPr="008F72E7">
        <w:rPr>
          <w:rFonts w:asciiTheme="minorHAnsi" w:hAnsiTheme="minorHAnsi" w:cstheme="minorHAnsi"/>
          <w:sz w:val="20"/>
        </w:rPr>
        <w:t xml:space="preserve">po uznaniu, podobnie jak uczynił to sąd krajowy, że publikacja wiadomości i komentarzy na portalu była </w:t>
      </w:r>
      <w:r w:rsidR="006514A1">
        <w:rPr>
          <w:rFonts w:asciiTheme="minorHAnsi" w:hAnsiTheme="minorHAnsi" w:cstheme="minorHAnsi"/>
          <w:sz w:val="20"/>
        </w:rPr>
        <w:t>,,</w:t>
      </w:r>
      <w:r w:rsidRPr="008F72E7">
        <w:rPr>
          <w:rFonts w:asciiTheme="minorHAnsi" w:hAnsiTheme="minorHAnsi" w:cstheme="minorHAnsi"/>
          <w:sz w:val="20"/>
        </w:rPr>
        <w:t xml:space="preserve">działalnością dziennikarską", Trybunał odniósł się do </w:t>
      </w:r>
      <w:hyperlink r:id="rId35">
        <w:r w:rsidRPr="008F72E7">
          <w:rPr>
            <w:rFonts w:asciiTheme="minorHAnsi" w:hAnsiTheme="minorHAnsi" w:cstheme="minorHAnsi"/>
            <w:color w:val="007AC8"/>
            <w:sz w:val="20"/>
          </w:rPr>
          <w:t>Zalecenia CM/Rec(2011)7</w:t>
        </w:r>
      </w:hyperlink>
      <w:r w:rsidRPr="008F72E7">
        <w:rPr>
          <w:rFonts w:asciiTheme="minorHAnsi" w:hAnsiTheme="minorHAnsi" w:cstheme="minorHAnsi"/>
          <w:color w:val="161616"/>
          <w:sz w:val="20"/>
        </w:rPr>
        <w:t xml:space="preserve"> Komitetu Ministrów dla państw członkowskich w sprawie nowego pojęcia mediów, </w:t>
      </w:r>
      <w:r w:rsidRPr="008F72E7">
        <w:rPr>
          <w:rFonts w:asciiTheme="minorHAnsi" w:hAnsiTheme="minorHAnsi" w:cstheme="minorHAnsi"/>
          <w:sz w:val="20"/>
        </w:rPr>
        <w:t xml:space="preserve">oraz do jego </w:t>
      </w:r>
      <w:r w:rsidR="006514A1">
        <w:rPr>
          <w:rFonts w:asciiTheme="minorHAnsi" w:hAnsiTheme="minorHAnsi" w:cstheme="minorHAnsi"/>
          <w:sz w:val="20"/>
        </w:rPr>
        <w:t>,,</w:t>
      </w:r>
      <w:r w:rsidRPr="008F72E7">
        <w:rPr>
          <w:rFonts w:asciiTheme="minorHAnsi" w:hAnsiTheme="minorHAnsi" w:cstheme="minorHAnsi"/>
          <w:sz w:val="20"/>
        </w:rPr>
        <w:t xml:space="preserve">zróżnicowanego i stopniowanego podejścia [które] wymaga, aby każdy podmiot, którego usługi są identyfikowane jako </w:t>
      </w:r>
      <w:r w:rsidRPr="008F72E7">
        <w:rPr>
          <w:rFonts w:asciiTheme="minorHAnsi" w:hAnsiTheme="minorHAnsi" w:cstheme="minorHAnsi"/>
          <w:b/>
          <w:sz w:val="20"/>
        </w:rPr>
        <w:t>media lub jako działalność pośrednia lub pomocnicza</w:t>
      </w:r>
      <w:r w:rsidRPr="008F72E7">
        <w:rPr>
          <w:rFonts w:asciiTheme="minorHAnsi" w:hAnsiTheme="minorHAnsi" w:cstheme="minorHAnsi"/>
          <w:sz w:val="20"/>
        </w:rPr>
        <w:t>, korzystał zarówno z odpowiedniej formy (zróżnicowanej), jak i odpowiedniego poziomu (stopniowanej) ochrony oraz aby odpowiedzialność była również ograniczona zgodnie z art. 10 Europejskiej Konwencji Praw Człowieka ... " (§§ 112-113)." (§§ 112-113).</w:t>
      </w:r>
    </w:p>
    <w:p w14:paraId="58366944" w14:textId="77777777" w:rsidR="00094751" w:rsidRPr="008F72E7" w:rsidRDefault="00094751">
      <w:pPr>
        <w:pStyle w:val="Tekstpodstawowy"/>
        <w:spacing w:before="15"/>
        <w:ind w:left="0"/>
        <w:rPr>
          <w:rFonts w:asciiTheme="minorHAnsi" w:hAnsiTheme="minorHAnsi" w:cstheme="minorHAnsi"/>
        </w:rPr>
      </w:pPr>
    </w:p>
    <w:p w14:paraId="3A7144AC" w14:textId="77777777" w:rsidR="00094751" w:rsidRPr="008F72E7" w:rsidRDefault="00254F27">
      <w:pPr>
        <w:pStyle w:val="Nagwek2"/>
        <w:rPr>
          <w:rFonts w:asciiTheme="minorHAnsi" w:hAnsiTheme="minorHAnsi" w:cstheme="minorHAnsi"/>
        </w:rPr>
      </w:pPr>
      <w:r w:rsidRPr="008F72E7">
        <w:rPr>
          <w:rFonts w:asciiTheme="minorHAnsi" w:hAnsiTheme="minorHAnsi" w:cstheme="minorHAnsi"/>
          <w:color w:val="2F2F2F"/>
          <w:w w:val="85"/>
          <w:sz w:val="26"/>
        </w:rPr>
        <w:t xml:space="preserve">Archiwa cyfrowe, </w:t>
      </w:r>
      <w:r w:rsidRPr="008F72E7">
        <w:rPr>
          <w:rFonts w:asciiTheme="minorHAnsi" w:hAnsiTheme="minorHAnsi" w:cstheme="minorHAnsi"/>
          <w:color w:val="2F2F2F"/>
          <w:spacing w:val="-2"/>
          <w:w w:val="85"/>
          <w:sz w:val="26"/>
        </w:rPr>
        <w:t xml:space="preserve">dziennikarstwo </w:t>
      </w:r>
      <w:r w:rsidRPr="008F72E7">
        <w:rPr>
          <w:rFonts w:asciiTheme="minorHAnsi" w:hAnsiTheme="minorHAnsi" w:cstheme="minorHAnsi"/>
          <w:color w:val="2F2F2F"/>
          <w:w w:val="85"/>
          <w:sz w:val="26"/>
        </w:rPr>
        <w:t>danych</w:t>
      </w:r>
      <w:r w:rsidRPr="008F72E7">
        <w:rPr>
          <w:rFonts w:asciiTheme="minorHAnsi" w:hAnsiTheme="minorHAnsi" w:cstheme="minorHAnsi"/>
          <w:color w:val="2F2F2F"/>
          <w:spacing w:val="-2"/>
          <w:w w:val="85"/>
          <w:sz w:val="26"/>
        </w:rPr>
        <w:t>:</w:t>
      </w:r>
    </w:p>
    <w:p w14:paraId="266454B3" w14:textId="65D33596" w:rsidR="00094751" w:rsidRPr="008F72E7" w:rsidRDefault="00254F27">
      <w:pPr>
        <w:pStyle w:val="Akapitzlist"/>
        <w:numPr>
          <w:ilvl w:val="0"/>
          <w:numId w:val="1"/>
        </w:numPr>
        <w:tabs>
          <w:tab w:val="left" w:pos="1583"/>
        </w:tabs>
        <w:spacing w:before="76"/>
        <w:ind w:hanging="284"/>
        <w:jc w:val="both"/>
        <w:rPr>
          <w:rFonts w:asciiTheme="minorHAnsi" w:hAnsiTheme="minorHAnsi" w:cstheme="minorHAnsi"/>
        </w:rPr>
      </w:pPr>
      <w:r w:rsidRPr="008F72E7">
        <w:rPr>
          <w:rFonts w:asciiTheme="minorHAnsi" w:hAnsiTheme="minorHAnsi" w:cstheme="minorHAnsi"/>
          <w:sz w:val="20"/>
        </w:rPr>
        <w:t xml:space="preserve">Oprócz swojej pierwszej roli </w:t>
      </w:r>
      <w:r w:rsidR="006514A1">
        <w:rPr>
          <w:rFonts w:asciiTheme="minorHAnsi" w:hAnsiTheme="minorHAnsi" w:cstheme="minorHAnsi"/>
          <w:sz w:val="20"/>
        </w:rPr>
        <w:t>,,strażnika publicznego</w:t>
      </w:r>
      <w:r w:rsidRPr="008F72E7">
        <w:rPr>
          <w:rFonts w:asciiTheme="minorHAnsi" w:hAnsiTheme="minorHAnsi" w:cstheme="minorHAnsi"/>
          <w:sz w:val="20"/>
        </w:rPr>
        <w:t>", prasa odgrywa również drugorzędną, ale nie</w:t>
      </w:r>
      <w:r w:rsidR="00755269">
        <w:rPr>
          <w:rFonts w:asciiTheme="minorHAnsi" w:hAnsiTheme="minorHAnsi" w:cstheme="minorHAnsi"/>
          <w:sz w:val="20"/>
        </w:rPr>
        <w:t xml:space="preserve"> </w:t>
      </w:r>
      <w:r w:rsidRPr="008F72E7">
        <w:rPr>
          <w:rFonts w:asciiTheme="minorHAnsi" w:hAnsiTheme="minorHAnsi" w:cstheme="minorHAnsi"/>
          <w:sz w:val="20"/>
        </w:rPr>
        <w:t xml:space="preserve">mniej </w:t>
      </w:r>
      <w:r w:rsidR="005D6010" w:rsidRPr="008F72E7">
        <w:rPr>
          <w:rFonts w:asciiTheme="minorHAnsi" w:hAnsiTheme="minorHAnsi" w:cstheme="minorHAnsi"/>
          <w:sz w:val="20"/>
        </w:rPr>
        <w:t>wartościową</w:t>
      </w:r>
      <w:r w:rsidRPr="008F72E7">
        <w:rPr>
          <w:rFonts w:asciiTheme="minorHAnsi" w:hAnsiTheme="minorHAnsi" w:cstheme="minorHAnsi"/>
          <w:sz w:val="20"/>
        </w:rPr>
        <w:t xml:space="preserve"> rolę w </w:t>
      </w:r>
      <w:r w:rsidRPr="008F72E7">
        <w:rPr>
          <w:rFonts w:asciiTheme="minorHAnsi" w:hAnsiTheme="minorHAnsi" w:cstheme="minorHAnsi"/>
          <w:b/>
          <w:sz w:val="20"/>
        </w:rPr>
        <w:t xml:space="preserve">utrzymywaniu archiwów zawierających </w:t>
      </w:r>
      <w:r w:rsidR="00027845">
        <w:rPr>
          <w:rFonts w:asciiTheme="minorHAnsi" w:hAnsiTheme="minorHAnsi" w:cstheme="minorHAnsi"/>
          <w:b/>
          <w:sz w:val="20"/>
        </w:rPr>
        <w:t xml:space="preserve">wcześniej zgłoszone </w:t>
      </w:r>
      <w:r w:rsidRPr="008F72E7">
        <w:rPr>
          <w:rFonts w:asciiTheme="minorHAnsi" w:hAnsiTheme="minorHAnsi" w:cstheme="minorHAnsi"/>
          <w:b/>
          <w:sz w:val="20"/>
        </w:rPr>
        <w:t>wiadomości i udostępnianiu ich opinii publicznej</w:t>
      </w:r>
      <w:r w:rsidRPr="008F72E7">
        <w:rPr>
          <w:rFonts w:asciiTheme="minorHAnsi" w:hAnsiTheme="minorHAnsi" w:cstheme="minorHAnsi"/>
          <w:sz w:val="20"/>
        </w:rPr>
        <w:t xml:space="preserve">. W tym kontekście Trybunał podkreślił znaczący wkład archiwów internetowych w zachowanie i udostępnianie wiadomości i informacji. Archiwa cyfrowe stanowią ważne źródło dla edukacji i badań historycznych, zwłaszcza że są one łatwo dostępne dla ogółu społeczeństwa i zasadniczo są bezpłatne </w:t>
      </w:r>
      <w:r w:rsidRPr="008F72E7">
        <w:rPr>
          <w:rFonts w:asciiTheme="minorHAnsi" w:hAnsiTheme="minorHAnsi" w:cstheme="minorHAnsi"/>
          <w:i/>
          <w:sz w:val="20"/>
        </w:rPr>
        <w:t>(</w:t>
      </w:r>
      <w:hyperlink r:id="rId36">
        <w:r w:rsidRPr="008F72E7">
          <w:rPr>
            <w:rFonts w:asciiTheme="minorHAnsi" w:hAnsiTheme="minorHAnsi" w:cstheme="minorHAnsi"/>
            <w:i/>
            <w:color w:val="0072BC"/>
            <w:sz w:val="20"/>
          </w:rPr>
          <w:t xml:space="preserve">M.L. </w:t>
        </w:r>
      </w:hyperlink>
      <w:hyperlink r:id="rId37">
        <w:r w:rsidRPr="008F72E7">
          <w:rPr>
            <w:rFonts w:asciiTheme="minorHAnsi" w:hAnsiTheme="minorHAnsi" w:cstheme="minorHAnsi"/>
            <w:i/>
            <w:color w:val="0072BC"/>
            <w:sz w:val="20"/>
          </w:rPr>
          <w:t>i W.W. przeciwko Niemcom,</w:t>
        </w:r>
      </w:hyperlink>
      <w:r w:rsidRPr="008F72E7">
        <w:rPr>
          <w:rFonts w:asciiTheme="minorHAnsi" w:hAnsiTheme="minorHAnsi" w:cstheme="minorHAnsi"/>
          <w:sz w:val="20"/>
        </w:rPr>
        <w:t xml:space="preserve"> 2018, §§ 90-91 i orzecznictwo tam przywołane). Jednakże w przypadku, gdy zachowanie danych osobowych w publicznie dostępnych archiwach </w:t>
      </w:r>
      <w:r w:rsidR="005D6010" w:rsidRPr="008F72E7">
        <w:rPr>
          <w:rFonts w:asciiTheme="minorHAnsi" w:hAnsiTheme="minorHAnsi" w:cstheme="minorHAnsi"/>
          <w:sz w:val="20"/>
        </w:rPr>
        <w:t xml:space="preserve">wiadomości </w:t>
      </w:r>
      <w:r w:rsidRPr="008F72E7">
        <w:rPr>
          <w:rFonts w:asciiTheme="minorHAnsi" w:hAnsiTheme="minorHAnsi" w:cstheme="minorHAnsi"/>
          <w:sz w:val="20"/>
        </w:rPr>
        <w:t xml:space="preserve">nie ma znaczenia aktualnego, historycznego lub naukowego, a osoba nie jest dobrze znana, wydawcom można nakazać anonimizację takich zapisów na rzecz </w:t>
      </w:r>
      <w:r w:rsidR="006514A1">
        <w:rPr>
          <w:rFonts w:asciiTheme="minorHAnsi" w:hAnsiTheme="minorHAnsi" w:cstheme="minorHAnsi"/>
          <w:sz w:val="20"/>
        </w:rPr>
        <w:t>,,</w:t>
      </w:r>
      <w:r w:rsidRPr="008F72E7">
        <w:rPr>
          <w:rFonts w:asciiTheme="minorHAnsi" w:hAnsiTheme="minorHAnsi" w:cstheme="minorHAnsi"/>
          <w:sz w:val="20"/>
        </w:rPr>
        <w:t>prawa do bycia zapomnianym" (</w:t>
      </w:r>
      <w:hyperlink r:id="rId38">
        <w:r w:rsidRPr="008F72E7">
          <w:rPr>
            <w:rFonts w:asciiTheme="minorHAnsi" w:hAnsiTheme="minorHAnsi" w:cstheme="minorHAnsi"/>
            <w:i/>
            <w:color w:val="0072BC"/>
            <w:sz w:val="20"/>
          </w:rPr>
          <w:t>Hurbain przeciwko Belgii</w:t>
        </w:r>
      </w:hyperlink>
      <w:r w:rsidRPr="008F72E7">
        <w:rPr>
          <w:rFonts w:asciiTheme="minorHAnsi" w:hAnsiTheme="minorHAnsi" w:cstheme="minorHAnsi"/>
          <w:sz w:val="20"/>
        </w:rPr>
        <w:t xml:space="preserve"> [GC], 2023, § 255). Jeżeli zachowanie danych osobowych dotyczy</w:t>
      </w:r>
      <w:r w:rsidR="00916F8E">
        <w:rPr>
          <w:rFonts w:asciiTheme="minorHAnsi" w:hAnsiTheme="minorHAnsi" w:cstheme="minorHAnsi"/>
          <w:sz w:val="20"/>
        </w:rPr>
        <w:t xml:space="preserve"> </w:t>
      </w:r>
      <w:r w:rsidR="00916F8E" w:rsidRPr="00916F8E">
        <w:rPr>
          <w:rFonts w:asciiTheme="minorHAnsi" w:hAnsiTheme="minorHAnsi" w:cstheme="minorHAnsi"/>
          <w:sz w:val="20"/>
        </w:rPr>
        <w:t>osób, które przypuszczalnie nie żyją, takich jak prokuratorzy</w:t>
      </w:r>
      <w:r w:rsidR="00916F8E">
        <w:rPr>
          <w:rFonts w:asciiTheme="minorHAnsi" w:hAnsiTheme="minorHAnsi" w:cstheme="minorHAnsi"/>
          <w:sz w:val="20"/>
        </w:rPr>
        <w:t xml:space="preserve"> </w:t>
      </w:r>
    </w:p>
    <w:p w14:paraId="7212252D" w14:textId="77777777" w:rsidR="00094751" w:rsidRPr="008F72E7" w:rsidRDefault="00254F27">
      <w:pPr>
        <w:pStyle w:val="Tekstpodstawowy"/>
        <w:spacing w:before="9"/>
        <w:ind w:left="0"/>
        <w:rPr>
          <w:rFonts w:asciiTheme="minorHAnsi" w:hAnsiTheme="minorHAnsi" w:cstheme="minorHAnsi"/>
          <w:sz w:val="13"/>
        </w:rPr>
      </w:pPr>
      <w:r w:rsidRPr="008F72E7">
        <w:rPr>
          <w:rFonts w:asciiTheme="minorHAnsi" w:hAnsiTheme="minorHAnsi" w:cstheme="minorHAnsi"/>
          <w:noProof/>
          <w:sz w:val="13"/>
        </w:rPr>
        <mc:AlternateContent>
          <mc:Choice Requires="wps">
            <w:drawing>
              <wp:anchor distT="0" distB="0" distL="0" distR="0" simplePos="0" relativeHeight="251668480" behindDoc="1" locked="0" layoutInCell="1" allowOverlap="1" wp14:anchorId="614FB0E3" wp14:editId="4941E515">
                <wp:simplePos x="0" y="0"/>
                <wp:positionH relativeFrom="page">
                  <wp:posOffset>914400</wp:posOffset>
                </wp:positionH>
                <wp:positionV relativeFrom="paragraph">
                  <wp:posOffset>122114</wp:posOffset>
                </wp:positionV>
                <wp:extent cx="1822450" cy="1270"/>
                <wp:effectExtent l="0" t="0" r="0" b="0"/>
                <wp:wrapTopAndBottom/>
                <wp:docPr id="12" name="Graphic 12"/>
                <wp:cNvGraphicFramePr/>
                <a:graphic xmlns:a="http://schemas.openxmlformats.org/drawingml/2006/main">
                  <a:graphicData uri="http://schemas.microsoft.com/office/word/2010/wordprocessingShape">
                    <wps:wsp>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w14:anchorId="7FC35727" id="Graphic 12" o:spid="_x0000_s1026" style="position:absolute;margin-left:1in;margin-top:9.6pt;width:143.5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" path="m,l1822450,e" filled="f" strokeweight=".72pt">
                <v:path arrowok="t"/>
                <w10:wrap type="topAndBottom" anchorx="page"/>
              </v:shape>
            </w:pict>
          </mc:Fallback>
        </mc:AlternateContent>
      </w:r>
    </w:p>
    <w:p w14:paraId="3D291A7F" w14:textId="77777777" w:rsidR="00094751" w:rsidRPr="008F72E7" w:rsidRDefault="00254F27">
      <w:pPr>
        <w:spacing w:before="110"/>
        <w:ind w:left="732"/>
        <w:jc w:val="both"/>
        <w:rPr>
          <w:rFonts w:asciiTheme="minorHAnsi" w:hAnsiTheme="minorHAnsi" w:cstheme="minorHAnsi"/>
          <w:sz w:val="20"/>
        </w:rPr>
      </w:pPr>
      <w:r w:rsidRPr="008F72E7">
        <w:rPr>
          <w:rFonts w:asciiTheme="minorHAnsi" w:hAnsiTheme="minorHAnsi" w:cstheme="minorHAnsi"/>
          <w:position w:val="6"/>
          <w:sz w:val="12"/>
        </w:rPr>
        <w:t xml:space="preserve">4 </w:t>
      </w:r>
      <w:r w:rsidRPr="008F72E7">
        <w:rPr>
          <w:rFonts w:asciiTheme="minorHAnsi" w:hAnsiTheme="minorHAnsi" w:cstheme="minorHAnsi"/>
          <w:sz w:val="19"/>
        </w:rPr>
        <w:t xml:space="preserve">Zob. również </w:t>
      </w:r>
      <w:hyperlink r:id="rId39">
        <w:r w:rsidRPr="008F72E7">
          <w:rPr>
            <w:rFonts w:asciiTheme="minorHAnsi" w:hAnsiTheme="minorHAnsi" w:cstheme="minorHAnsi"/>
            <w:color w:val="0072BC"/>
            <w:sz w:val="19"/>
          </w:rPr>
          <w:t>Przewodnik po art. 10</w:t>
        </w:r>
      </w:hyperlink>
      <w:r w:rsidRPr="008F72E7">
        <w:rPr>
          <w:rFonts w:asciiTheme="minorHAnsi" w:hAnsiTheme="minorHAnsi" w:cstheme="minorHAnsi"/>
          <w:sz w:val="19"/>
        </w:rPr>
        <w:t xml:space="preserve">, rozdział XIII: "Wolność wypowiedzi i </w:t>
      </w:r>
      <w:r w:rsidRPr="008F72E7">
        <w:rPr>
          <w:rFonts w:asciiTheme="minorHAnsi" w:hAnsiTheme="minorHAnsi" w:cstheme="minorHAnsi"/>
          <w:spacing w:val="-2"/>
          <w:sz w:val="19"/>
        </w:rPr>
        <w:t>Internet".</w:t>
      </w:r>
    </w:p>
    <w:p w14:paraId="6CEA4A62" w14:textId="77777777" w:rsidR="00094751" w:rsidRPr="008F72E7" w:rsidRDefault="00254F27">
      <w:pPr>
        <w:ind w:left="732" w:right="731"/>
        <w:jc w:val="both"/>
        <w:rPr>
          <w:rFonts w:asciiTheme="minorHAnsi" w:hAnsiTheme="minorHAnsi" w:cstheme="minorHAnsi"/>
          <w:sz w:val="20"/>
        </w:rPr>
      </w:pPr>
      <w:r w:rsidRPr="008F72E7">
        <w:rPr>
          <w:rFonts w:asciiTheme="minorHAnsi" w:hAnsiTheme="minorHAnsi" w:cstheme="minorHAnsi"/>
          <w:position w:val="6"/>
          <w:sz w:val="12"/>
        </w:rPr>
        <w:t xml:space="preserve">5 </w:t>
      </w:r>
      <w:r w:rsidRPr="008F72E7">
        <w:rPr>
          <w:rFonts w:asciiTheme="minorHAnsi" w:hAnsiTheme="minorHAnsi" w:cstheme="minorHAnsi"/>
          <w:sz w:val="19"/>
        </w:rPr>
        <w:t xml:space="preserve">Jeśli chodzi o kwestię, czy tak zwani dziennikarze obywatelscy, tacy jak blogerzy, mogą również powoływać się na odstępstwo do celów dziennikarskich, Trybunał Sprawiedliwości Unii Europejskiej (TSUE) orzekł, że mogą w wyroku z dnia 14 lutego 2019 r. w sprawie </w:t>
      </w:r>
      <w:hyperlink r:id="rId40">
        <w:r w:rsidRPr="008F72E7">
          <w:rPr>
            <w:rFonts w:asciiTheme="minorHAnsi" w:hAnsiTheme="minorHAnsi" w:cstheme="minorHAnsi"/>
            <w:i/>
            <w:color w:val="0072BC"/>
            <w:sz w:val="19"/>
          </w:rPr>
          <w:t>Sergejs Buivids przeciwko Datu valsts inspekcija</w:t>
        </w:r>
      </w:hyperlink>
      <w:r w:rsidRPr="008F72E7">
        <w:rPr>
          <w:rFonts w:asciiTheme="minorHAnsi" w:hAnsiTheme="minorHAnsi" w:cstheme="minorHAnsi"/>
          <w:sz w:val="19"/>
        </w:rPr>
        <w:t>.</w:t>
      </w:r>
    </w:p>
    <w:p w14:paraId="7334800B" w14:textId="77777777" w:rsidR="00094751" w:rsidRPr="008F72E7" w:rsidRDefault="00094751">
      <w:pPr>
        <w:jc w:val="both"/>
        <w:rPr>
          <w:rFonts w:asciiTheme="minorHAnsi" w:hAnsiTheme="minorHAnsi" w:cstheme="minorHAnsi"/>
          <w:sz w:val="20"/>
        </w:rPr>
        <w:sectPr w:rsidR="00094751" w:rsidRPr="008F72E7">
          <w:headerReference w:type="default" r:id="rId41"/>
          <w:footerReference w:type="default" r:id="rId42"/>
          <w:pgSz w:w="11910" w:h="16840"/>
          <w:pgMar w:top="1100" w:right="708" w:bottom="920" w:left="708" w:header="723" w:footer="726" w:gutter="0"/>
          <w:pgNumType w:start="2"/>
          <w:cols w:space="708"/>
        </w:sectPr>
      </w:pPr>
    </w:p>
    <w:p w14:paraId="40211C4F" w14:textId="77777777" w:rsidR="00094751" w:rsidRPr="008F72E7" w:rsidRDefault="00094751">
      <w:pPr>
        <w:pStyle w:val="Tekstpodstawowy"/>
        <w:spacing w:before="146"/>
        <w:ind w:left="0"/>
        <w:rPr>
          <w:rFonts w:asciiTheme="minorHAnsi" w:hAnsiTheme="minorHAnsi" w:cstheme="minorHAnsi"/>
        </w:rPr>
      </w:pPr>
    </w:p>
    <w:p w14:paraId="5147D558" w14:textId="5A83DEA7" w:rsidR="00094751" w:rsidRPr="008F72E7" w:rsidRDefault="00254F27">
      <w:pPr>
        <w:pStyle w:val="Tekstpodstawowy"/>
        <w:spacing w:before="0"/>
        <w:ind w:left="1582" w:right="728"/>
        <w:jc w:val="both"/>
        <w:rPr>
          <w:rFonts w:asciiTheme="minorHAnsi" w:hAnsiTheme="minorHAnsi" w:cstheme="minorHAnsi"/>
        </w:rPr>
      </w:pPr>
      <w:bookmarkStart w:id="0" w:name="_Hlk205462940"/>
      <w:r w:rsidRPr="008F72E7">
        <w:rPr>
          <w:rFonts w:asciiTheme="minorHAnsi" w:hAnsiTheme="minorHAnsi" w:cstheme="minorHAnsi"/>
          <w:sz w:val="20"/>
        </w:rPr>
        <w:t>z czasó</w:t>
      </w:r>
      <w:bookmarkEnd w:id="0"/>
      <w:r w:rsidRPr="008F72E7">
        <w:rPr>
          <w:rFonts w:asciiTheme="minorHAnsi" w:hAnsiTheme="minorHAnsi" w:cstheme="minorHAnsi"/>
          <w:sz w:val="20"/>
        </w:rPr>
        <w:t xml:space="preserve">w stalinowskich, dostęp do takich danych przez odpowiednie organy nie </w:t>
      </w:r>
      <w:r w:rsidR="006F6162" w:rsidRPr="008F72E7">
        <w:rPr>
          <w:rFonts w:asciiTheme="minorHAnsi" w:hAnsiTheme="minorHAnsi" w:cstheme="minorHAnsi"/>
          <w:sz w:val="20"/>
        </w:rPr>
        <w:t xml:space="preserve">stanowi </w:t>
      </w:r>
      <w:r w:rsidRPr="008F72E7">
        <w:rPr>
          <w:rFonts w:asciiTheme="minorHAnsi" w:hAnsiTheme="minorHAnsi" w:cstheme="minorHAnsi"/>
          <w:sz w:val="20"/>
        </w:rPr>
        <w:t xml:space="preserve">naruszenia prywatności, ponieważ </w:t>
      </w:r>
      <w:r w:rsidR="006514A1">
        <w:rPr>
          <w:rFonts w:asciiTheme="minorHAnsi" w:hAnsiTheme="minorHAnsi" w:cstheme="minorHAnsi"/>
          <w:sz w:val="20"/>
        </w:rPr>
        <w:t>,,</w:t>
      </w:r>
      <w:r w:rsidRPr="008F72E7">
        <w:rPr>
          <w:rFonts w:asciiTheme="minorHAnsi" w:hAnsiTheme="minorHAnsi" w:cstheme="minorHAnsi"/>
          <w:sz w:val="20"/>
        </w:rPr>
        <w:t xml:space="preserve">życie prywatne osoby zmarłej </w:t>
      </w:r>
      <w:r w:rsidR="006514A1">
        <w:rPr>
          <w:rFonts w:asciiTheme="minorHAnsi" w:hAnsiTheme="minorHAnsi" w:cstheme="minorHAnsi"/>
          <w:sz w:val="20"/>
        </w:rPr>
        <w:t>nie ma kontynuacji</w:t>
      </w:r>
      <w:r w:rsidRPr="008F72E7">
        <w:rPr>
          <w:rFonts w:asciiTheme="minorHAnsi" w:hAnsiTheme="minorHAnsi" w:cstheme="minorHAnsi"/>
          <w:sz w:val="20"/>
        </w:rPr>
        <w:t xml:space="preserve"> po śmierci". Zazwyczaj można powołać się na art. 8 w celu ograniczenia dostępu do danych osobowych, jeśli może to spowodować dyskomfort lub szkodę dla potomków zmarłego, ale jeśli nie są wysuwane </w:t>
      </w:r>
      <w:r w:rsidR="006514A1">
        <w:rPr>
          <w:rFonts w:asciiTheme="minorHAnsi" w:hAnsiTheme="minorHAnsi" w:cstheme="minorHAnsi"/>
          <w:sz w:val="20"/>
        </w:rPr>
        <w:t>,,</w:t>
      </w:r>
      <w:r w:rsidRPr="008F72E7">
        <w:rPr>
          <w:rFonts w:asciiTheme="minorHAnsi" w:hAnsiTheme="minorHAnsi" w:cstheme="minorHAnsi"/>
          <w:sz w:val="20"/>
        </w:rPr>
        <w:t xml:space="preserve">niezależne" lub </w:t>
      </w:r>
      <w:r w:rsidR="006514A1">
        <w:rPr>
          <w:rFonts w:asciiTheme="minorHAnsi" w:hAnsiTheme="minorHAnsi" w:cstheme="minorHAnsi"/>
          <w:sz w:val="20"/>
        </w:rPr>
        <w:t>,,</w:t>
      </w:r>
      <w:r w:rsidR="00237C4F">
        <w:rPr>
          <w:rFonts w:asciiTheme="minorHAnsi" w:hAnsiTheme="minorHAnsi" w:cstheme="minorHAnsi"/>
          <w:sz w:val="20"/>
        </w:rPr>
        <w:t>osobiste</w:t>
      </w:r>
      <w:r w:rsidRPr="008F72E7">
        <w:rPr>
          <w:rFonts w:asciiTheme="minorHAnsi" w:hAnsiTheme="minorHAnsi" w:cstheme="minorHAnsi"/>
          <w:sz w:val="20"/>
        </w:rPr>
        <w:t>" roszczenia dotyczące danych osób, wówczas taki dostęp powinien być dopuszczalny (</w:t>
      </w:r>
      <w:hyperlink r:id="rId43">
        <w:r w:rsidRPr="008F72E7">
          <w:rPr>
            <w:rFonts w:asciiTheme="minorHAnsi" w:hAnsiTheme="minorHAnsi" w:cstheme="minorHAnsi"/>
            <w:i/>
            <w:color w:val="0072BC"/>
            <w:sz w:val="20"/>
          </w:rPr>
          <w:t>Suprun i inni przeciwko Rosji</w:t>
        </w:r>
      </w:hyperlink>
      <w:r w:rsidRPr="008F72E7">
        <w:rPr>
          <w:rFonts w:asciiTheme="minorHAnsi" w:hAnsiTheme="minorHAnsi" w:cstheme="minorHAnsi"/>
          <w:sz w:val="20"/>
        </w:rPr>
        <w:t>, 2024,</w:t>
      </w:r>
    </w:p>
    <w:p w14:paraId="4BD07838" w14:textId="77777777" w:rsidR="00094751" w:rsidRPr="008F72E7" w:rsidRDefault="00254F27">
      <w:pPr>
        <w:pStyle w:val="Tekstpodstawowy"/>
        <w:spacing w:before="0"/>
        <w:ind w:left="1582"/>
        <w:jc w:val="both"/>
        <w:rPr>
          <w:rFonts w:asciiTheme="minorHAnsi" w:hAnsiTheme="minorHAnsi" w:cstheme="minorHAnsi"/>
        </w:rPr>
      </w:pPr>
      <w:r w:rsidRPr="008F72E7">
        <w:rPr>
          <w:rFonts w:asciiTheme="minorHAnsi" w:hAnsiTheme="minorHAnsi" w:cstheme="minorHAnsi"/>
          <w:sz w:val="20"/>
        </w:rPr>
        <w:t>§§ 96-97</w:t>
      </w:r>
      <w:r w:rsidRPr="008F72E7">
        <w:rPr>
          <w:rFonts w:asciiTheme="minorHAnsi" w:hAnsiTheme="minorHAnsi" w:cstheme="minorHAnsi"/>
          <w:spacing w:val="-4"/>
          <w:sz w:val="20"/>
        </w:rPr>
        <w:t>).</w:t>
      </w:r>
    </w:p>
    <w:p w14:paraId="17A0E1B9" w14:textId="52626B0B" w:rsidR="00094751" w:rsidRPr="008F72E7" w:rsidRDefault="00254F27">
      <w:pPr>
        <w:pStyle w:val="Akapitzlist"/>
        <w:numPr>
          <w:ilvl w:val="0"/>
          <w:numId w:val="1"/>
        </w:numPr>
        <w:tabs>
          <w:tab w:val="left" w:pos="1583"/>
        </w:tabs>
        <w:ind w:hanging="284"/>
        <w:jc w:val="both"/>
        <w:rPr>
          <w:rFonts w:asciiTheme="minorHAnsi" w:hAnsiTheme="minorHAnsi" w:cstheme="minorHAnsi"/>
        </w:rPr>
      </w:pPr>
      <w:r w:rsidRPr="008F72E7">
        <w:rPr>
          <w:rFonts w:asciiTheme="minorHAnsi" w:hAnsiTheme="minorHAnsi" w:cstheme="minorHAnsi"/>
          <w:sz w:val="20"/>
        </w:rPr>
        <w:t xml:space="preserve">W wyroku dotyczącym zakazu, na mocy decyzji sądowej, publikacji na dużą skalę </w:t>
      </w:r>
      <w:r w:rsidR="00D825F6" w:rsidRPr="008F72E7">
        <w:rPr>
          <w:rFonts w:asciiTheme="minorHAnsi" w:hAnsiTheme="minorHAnsi" w:cstheme="minorHAnsi"/>
          <w:sz w:val="20"/>
        </w:rPr>
        <w:t>osobistych danych</w:t>
      </w:r>
      <w:r w:rsidRPr="008F72E7">
        <w:rPr>
          <w:rFonts w:asciiTheme="minorHAnsi" w:hAnsiTheme="minorHAnsi" w:cstheme="minorHAnsi"/>
          <w:sz w:val="20"/>
        </w:rPr>
        <w:t xml:space="preserve"> </w:t>
      </w:r>
      <w:r w:rsidR="00D825F6" w:rsidRPr="008F72E7">
        <w:rPr>
          <w:rFonts w:asciiTheme="minorHAnsi" w:hAnsiTheme="minorHAnsi" w:cstheme="minorHAnsi"/>
          <w:sz w:val="20"/>
        </w:rPr>
        <w:t>podatkowych</w:t>
      </w:r>
      <w:r w:rsidRPr="008F72E7">
        <w:rPr>
          <w:rFonts w:asciiTheme="minorHAnsi" w:hAnsiTheme="minorHAnsi" w:cstheme="minorHAnsi"/>
          <w:sz w:val="20"/>
        </w:rPr>
        <w:t xml:space="preserve">, które były publicznie dostępne na mocy prawa krajowego, Trybunał orzekł, że jako przedsiębiorstwa medialne, skarżące spółki powinny były zdawać sobie sprawę, że masowe gromadzenie danych i ich hurtowe rozpowszechnianie może nie być uważane za </w:t>
      </w:r>
      <w:r w:rsidRPr="008F72E7">
        <w:rPr>
          <w:rFonts w:asciiTheme="minorHAnsi" w:hAnsiTheme="minorHAnsi" w:cstheme="minorHAnsi"/>
          <w:b/>
          <w:sz w:val="20"/>
        </w:rPr>
        <w:t xml:space="preserve">przetwarzanie danych </w:t>
      </w:r>
      <w:r w:rsidR="006514A1">
        <w:rPr>
          <w:rFonts w:asciiTheme="minorHAnsi" w:hAnsiTheme="minorHAnsi" w:cstheme="minorHAnsi"/>
          <w:b/>
          <w:sz w:val="20"/>
        </w:rPr>
        <w:t>,,</w:t>
      </w:r>
      <w:r w:rsidRPr="008F72E7">
        <w:rPr>
          <w:rFonts w:asciiTheme="minorHAnsi" w:hAnsiTheme="minorHAnsi" w:cstheme="minorHAnsi"/>
          <w:b/>
          <w:sz w:val="20"/>
        </w:rPr>
        <w:t xml:space="preserve">wyłącznie" do celów dziennikarskich </w:t>
      </w:r>
      <w:r w:rsidRPr="008F72E7">
        <w:rPr>
          <w:rFonts w:asciiTheme="minorHAnsi" w:hAnsiTheme="minorHAnsi" w:cstheme="minorHAnsi"/>
          <w:sz w:val="20"/>
        </w:rPr>
        <w:t>na mocy odpowiednich przepisów prawa krajowego i unijnego (</w:t>
      </w:r>
      <w:hyperlink r:id="rId44">
        <w:r w:rsidRPr="008F72E7">
          <w:rPr>
            <w:rFonts w:asciiTheme="minorHAnsi" w:hAnsiTheme="minorHAnsi" w:cstheme="minorHAnsi"/>
            <w:i/>
            <w:color w:val="0072BC"/>
            <w:sz w:val="20"/>
          </w:rPr>
          <w:t>Satakunnan Markkinapörssi Oy i Satamedia Oy przeciwko Finlandii [GC] 2017, §§ 96-97 i . Finlandia</w:t>
        </w:r>
      </w:hyperlink>
      <w:r w:rsidRPr="008F72E7">
        <w:rPr>
          <w:rFonts w:asciiTheme="minorHAnsi" w:hAnsiTheme="minorHAnsi" w:cstheme="minorHAnsi"/>
          <w:sz w:val="20"/>
        </w:rPr>
        <w:t xml:space="preserve"> 96-</w:t>
      </w:r>
      <w:r w:rsidR="00B60241" w:rsidRPr="008F72E7">
        <w:rPr>
          <w:rFonts w:asciiTheme="minorHAnsi" w:hAnsiTheme="minorHAnsi" w:cstheme="minorHAnsi"/>
          <w:sz w:val="20"/>
        </w:rPr>
        <w:t>97) [</w:t>
      </w:r>
      <w:r w:rsidRPr="008F72E7">
        <w:rPr>
          <w:rFonts w:asciiTheme="minorHAnsi" w:hAnsiTheme="minorHAnsi" w:cstheme="minorHAnsi"/>
          <w:sz w:val="20"/>
        </w:rPr>
        <w:t>GC], 2017, § 151).</w:t>
      </w:r>
      <w:r w:rsidRPr="008F72E7">
        <w:rPr>
          <w:rFonts w:asciiTheme="minorHAnsi" w:hAnsiTheme="minorHAnsi" w:cstheme="minorHAnsi"/>
          <w:sz w:val="20"/>
          <w:vertAlign w:val="superscript"/>
        </w:rPr>
        <w:t>6</w:t>
      </w:r>
      <w:r w:rsidR="0023442B" w:rsidRPr="008F72E7">
        <w:rPr>
          <w:rFonts w:asciiTheme="minorHAnsi" w:hAnsiTheme="minorHAnsi" w:cstheme="minorHAnsi"/>
          <w:sz w:val="20"/>
          <w:vertAlign w:val="superscript"/>
        </w:rPr>
        <w:t xml:space="preserve"> </w:t>
      </w:r>
      <w:r w:rsidRPr="008F72E7">
        <w:rPr>
          <w:rFonts w:asciiTheme="minorHAnsi" w:hAnsiTheme="minorHAnsi" w:cstheme="minorHAnsi"/>
          <w:sz w:val="20"/>
        </w:rPr>
        <w:t xml:space="preserve">Trybunał wskazał również, że informacje te zostały uzyskane </w:t>
      </w:r>
      <w:r w:rsidRPr="008F72E7">
        <w:rPr>
          <w:rFonts w:asciiTheme="minorHAnsi" w:hAnsiTheme="minorHAnsi" w:cstheme="minorHAnsi"/>
          <w:b/>
          <w:sz w:val="20"/>
        </w:rPr>
        <w:t xml:space="preserve">poprzez obejście kanałów zwykle wykorzystywanych przez dziennikarzy </w:t>
      </w:r>
      <w:r w:rsidRPr="008F72E7">
        <w:rPr>
          <w:rFonts w:asciiTheme="minorHAnsi" w:hAnsiTheme="minorHAnsi" w:cstheme="minorHAnsi"/>
          <w:sz w:val="20"/>
        </w:rPr>
        <w:t>(§ 185).</w:t>
      </w:r>
    </w:p>
    <w:p w14:paraId="120046D5" w14:textId="39E659E9" w:rsidR="00094751" w:rsidRPr="008F72E7" w:rsidRDefault="00254F27">
      <w:pPr>
        <w:pStyle w:val="Akapitzlist"/>
        <w:numPr>
          <w:ilvl w:val="0"/>
          <w:numId w:val="1"/>
        </w:numPr>
        <w:tabs>
          <w:tab w:val="left" w:pos="1583"/>
        </w:tabs>
        <w:ind w:hanging="284"/>
        <w:jc w:val="both"/>
        <w:rPr>
          <w:rFonts w:asciiTheme="minorHAnsi" w:hAnsiTheme="minorHAnsi" w:cstheme="minorHAnsi"/>
        </w:rPr>
      </w:pPr>
      <w:r w:rsidRPr="004C27DC">
        <w:rPr>
          <w:rFonts w:asciiTheme="minorHAnsi" w:hAnsiTheme="minorHAnsi" w:cstheme="minorHAnsi"/>
          <w:sz w:val="20"/>
        </w:rPr>
        <w:t xml:space="preserve">W wyroku </w:t>
      </w:r>
      <w:r w:rsidRPr="008F72E7">
        <w:rPr>
          <w:rFonts w:asciiTheme="minorHAnsi" w:hAnsiTheme="minorHAnsi" w:cstheme="minorHAnsi"/>
          <w:sz w:val="20"/>
        </w:rPr>
        <w:t xml:space="preserve">w </w:t>
      </w:r>
      <w:hyperlink r:id="rId45">
        <w:r w:rsidRPr="008F72E7">
          <w:rPr>
            <w:rFonts w:asciiTheme="minorHAnsi" w:hAnsiTheme="minorHAnsi" w:cstheme="minorHAnsi"/>
            <w:i/>
            <w:color w:val="0072BC"/>
            <w:sz w:val="20"/>
          </w:rPr>
          <w:t>sprawie Gafiuc przeciwko Rumunii</w:t>
        </w:r>
      </w:hyperlink>
      <w:r w:rsidRPr="008F72E7">
        <w:rPr>
          <w:rFonts w:asciiTheme="minorHAnsi" w:hAnsiTheme="minorHAnsi" w:cstheme="minorHAnsi"/>
          <w:sz w:val="20"/>
        </w:rPr>
        <w:t xml:space="preserve">, 2020, § 86, Trybunał orzekł, że sprawy, które niewątpliwie leżały w interesie publicznym, mogą mieć delikatny charakter wymagający ostrożnego i krytycznego podejścia. W związku z tym Trybunał zauważył, że skarżący, który był autorem artykułów sportowych, ujawnił w swoich artykułach informacje </w:t>
      </w:r>
      <w:r w:rsidR="00426058" w:rsidRPr="00426058">
        <w:rPr>
          <w:rFonts w:asciiTheme="minorHAnsi" w:hAnsiTheme="minorHAnsi" w:cstheme="minorHAnsi"/>
          <w:sz w:val="20"/>
        </w:rPr>
        <w:t xml:space="preserve">w surowej formie </w:t>
      </w:r>
      <w:r w:rsidRPr="008F72E7">
        <w:rPr>
          <w:rFonts w:asciiTheme="minorHAnsi" w:hAnsiTheme="minorHAnsi" w:cstheme="minorHAnsi"/>
          <w:sz w:val="20"/>
        </w:rPr>
        <w:t xml:space="preserve">z archiwów </w:t>
      </w:r>
      <w:r w:rsidRPr="008F72E7">
        <w:rPr>
          <w:rFonts w:asciiTheme="minorHAnsi" w:hAnsiTheme="minorHAnsi" w:cstheme="minorHAnsi"/>
          <w:i/>
          <w:sz w:val="20"/>
        </w:rPr>
        <w:t>Securitate</w:t>
      </w:r>
      <w:r w:rsidRPr="008F72E7">
        <w:rPr>
          <w:rFonts w:asciiTheme="minorHAnsi" w:hAnsiTheme="minorHAnsi" w:cstheme="minorHAnsi"/>
          <w:sz w:val="20"/>
        </w:rPr>
        <w:t xml:space="preserve">. </w:t>
      </w:r>
      <w:r w:rsidRPr="008F72E7">
        <w:rPr>
          <w:rFonts w:asciiTheme="minorHAnsi" w:hAnsiTheme="minorHAnsi" w:cstheme="minorHAnsi"/>
          <w:spacing w:val="-3"/>
          <w:sz w:val="20"/>
        </w:rPr>
        <w:t xml:space="preserve">Zamiast </w:t>
      </w:r>
      <w:r w:rsidR="00426058">
        <w:rPr>
          <w:rFonts w:asciiTheme="minorHAnsi" w:hAnsiTheme="minorHAnsi" w:cstheme="minorHAnsi"/>
          <w:sz w:val="20"/>
        </w:rPr>
        <w:t>dokonać filtracji</w:t>
      </w:r>
      <w:r w:rsidRPr="008F72E7">
        <w:rPr>
          <w:rFonts w:asciiTheme="minorHAnsi" w:hAnsiTheme="minorHAnsi" w:cstheme="minorHAnsi"/>
          <w:sz w:val="20"/>
        </w:rPr>
        <w:t xml:space="preserve"> informacj</w:t>
      </w:r>
      <w:r w:rsidR="00426058">
        <w:rPr>
          <w:rFonts w:asciiTheme="minorHAnsi" w:hAnsiTheme="minorHAnsi" w:cstheme="minorHAnsi"/>
          <w:sz w:val="20"/>
        </w:rPr>
        <w:t>i</w:t>
      </w:r>
      <w:r w:rsidRPr="008F72E7">
        <w:rPr>
          <w:rFonts w:asciiTheme="minorHAnsi" w:hAnsiTheme="minorHAnsi" w:cstheme="minorHAnsi"/>
          <w:sz w:val="20"/>
        </w:rPr>
        <w:t xml:space="preserve"> zgodnie z obowiązującymi przepisami dotyczącymi wykorzystywania danych osobowych, ujawnił opinii publicznej aspekty życia prywatnego </w:t>
      </w:r>
      <w:r w:rsidR="004B174F" w:rsidRPr="008F72E7">
        <w:rPr>
          <w:rFonts w:asciiTheme="minorHAnsi" w:hAnsiTheme="minorHAnsi" w:cstheme="minorHAnsi"/>
          <w:sz w:val="20"/>
        </w:rPr>
        <w:t>sportowców,</w:t>
      </w:r>
      <w:r w:rsidR="004B174F">
        <w:rPr>
          <w:rFonts w:asciiTheme="minorHAnsi" w:hAnsiTheme="minorHAnsi" w:cstheme="minorHAnsi"/>
          <w:sz w:val="20"/>
        </w:rPr>
        <w:t xml:space="preserve"> nic </w:t>
      </w:r>
      <w:r w:rsidR="00426058">
        <w:rPr>
          <w:rFonts w:asciiTheme="minorHAnsi" w:hAnsiTheme="minorHAnsi" w:cstheme="minorHAnsi"/>
          <w:sz w:val="20"/>
        </w:rPr>
        <w:t xml:space="preserve">nie wnoszące </w:t>
      </w:r>
      <w:r w:rsidRPr="008F72E7">
        <w:rPr>
          <w:rFonts w:asciiTheme="minorHAnsi" w:hAnsiTheme="minorHAnsi" w:cstheme="minorHAnsi"/>
          <w:sz w:val="20"/>
        </w:rPr>
        <w:t xml:space="preserve">do debaty </w:t>
      </w:r>
      <w:r w:rsidR="0023442B" w:rsidRPr="008F72E7">
        <w:rPr>
          <w:rFonts w:asciiTheme="minorHAnsi" w:hAnsiTheme="minorHAnsi" w:cstheme="minorHAnsi"/>
          <w:sz w:val="20"/>
        </w:rPr>
        <w:t>publicznej</w:t>
      </w:r>
      <w:r w:rsidRPr="008F72E7">
        <w:rPr>
          <w:rFonts w:asciiTheme="minorHAnsi" w:hAnsiTheme="minorHAnsi" w:cstheme="minorHAnsi"/>
          <w:sz w:val="20"/>
        </w:rPr>
        <w:t>. Cofnięcie mu akredytacji do przeszukiwania archiwów nie było zatem nieproporcjonalną karą w rozumieniu art. 10.</w:t>
      </w:r>
    </w:p>
    <w:p w14:paraId="2FAA1DF1" w14:textId="1BD9D0F8" w:rsidR="00094751" w:rsidRPr="008F72E7" w:rsidRDefault="00254F27">
      <w:pPr>
        <w:pStyle w:val="Akapitzlist"/>
        <w:numPr>
          <w:ilvl w:val="0"/>
          <w:numId w:val="1"/>
        </w:numPr>
        <w:tabs>
          <w:tab w:val="left" w:pos="1583"/>
        </w:tabs>
        <w:ind w:hanging="284"/>
        <w:jc w:val="both"/>
        <w:rPr>
          <w:rFonts w:asciiTheme="minorHAnsi" w:hAnsiTheme="minorHAnsi" w:cstheme="minorHAnsi"/>
        </w:rPr>
      </w:pPr>
      <w:r w:rsidRPr="008F72E7">
        <w:rPr>
          <w:rFonts w:asciiTheme="minorHAnsi" w:hAnsiTheme="minorHAnsi" w:cstheme="minorHAnsi"/>
          <w:sz w:val="20"/>
        </w:rPr>
        <w:t xml:space="preserve">W innej sprawie Trybunał uznał, że odmowa przez niemiecką Służbę Wywiadu Zagranicznego udostępnienia dziennikarzowi danych na temat tego, ilu jej pracowników i nieformalnych współpracowników należało do organizacji nazistowskich, nie uniemożliwiła mu pełnienia roli </w:t>
      </w:r>
      <w:r w:rsidR="004C27DC">
        <w:rPr>
          <w:rFonts w:asciiTheme="minorHAnsi" w:hAnsiTheme="minorHAnsi" w:cstheme="minorHAnsi"/>
          <w:sz w:val="20"/>
        </w:rPr>
        <w:t>,,strażnika publicznego</w:t>
      </w:r>
      <w:r w:rsidRPr="008F72E7">
        <w:rPr>
          <w:rFonts w:asciiTheme="minorHAnsi" w:hAnsiTheme="minorHAnsi" w:cstheme="minorHAnsi"/>
          <w:sz w:val="20"/>
        </w:rPr>
        <w:t>". Akta osobowe zostały przeanalizowane, a uzyskane informacje udostępnione publicznie w archiwach, dzięki czemu skarżący miał dostęp do części informacji, których poszukiwał (</w:t>
      </w:r>
      <w:hyperlink r:id="rId46">
        <w:r w:rsidRPr="008F72E7">
          <w:rPr>
            <w:rFonts w:asciiTheme="minorHAnsi" w:hAnsiTheme="minorHAnsi" w:cstheme="minorHAnsi"/>
            <w:i/>
            <w:color w:val="0072BC"/>
            <w:sz w:val="20"/>
          </w:rPr>
          <w:t>Saure przeciwko Niemcom</w:t>
        </w:r>
      </w:hyperlink>
      <w:r w:rsidRPr="008F72E7">
        <w:rPr>
          <w:rFonts w:asciiTheme="minorHAnsi" w:hAnsiTheme="minorHAnsi" w:cstheme="minorHAnsi"/>
          <w:sz w:val="20"/>
        </w:rPr>
        <w:t xml:space="preserve"> (dec.), § 38, 2021).</w:t>
      </w:r>
    </w:p>
    <w:p w14:paraId="2C4B61BF" w14:textId="13BF8477" w:rsidR="00094751" w:rsidRPr="008F72E7" w:rsidRDefault="00254F27">
      <w:pPr>
        <w:pStyle w:val="Akapitzlist"/>
        <w:numPr>
          <w:ilvl w:val="0"/>
          <w:numId w:val="1"/>
        </w:numPr>
        <w:tabs>
          <w:tab w:val="left" w:pos="1583"/>
        </w:tabs>
        <w:ind w:hanging="284"/>
        <w:jc w:val="both"/>
        <w:rPr>
          <w:rFonts w:asciiTheme="minorHAnsi" w:hAnsiTheme="minorHAnsi" w:cstheme="minorHAnsi"/>
        </w:rPr>
      </w:pPr>
      <w:r w:rsidRPr="008F72E7">
        <w:rPr>
          <w:rFonts w:asciiTheme="minorHAnsi" w:hAnsiTheme="minorHAnsi" w:cstheme="minorHAnsi"/>
          <w:sz w:val="20"/>
        </w:rPr>
        <w:t>W sprawie, w której wydano nakaz usunięcia artykułu na temat domniemanej korupcji w sądownictwie ze strony internetowej gazety w oczekiwaniu na postępowanie o zniesławienie przeciwko skarżącemu</w:t>
      </w:r>
      <w:r w:rsidR="0056707C" w:rsidRPr="008F72E7">
        <w:rPr>
          <w:rFonts w:asciiTheme="minorHAnsi" w:hAnsiTheme="minorHAnsi" w:cstheme="minorHAnsi"/>
          <w:sz w:val="20"/>
        </w:rPr>
        <w:t xml:space="preserve">, </w:t>
      </w:r>
      <w:r w:rsidRPr="008F72E7">
        <w:rPr>
          <w:rFonts w:asciiTheme="minorHAnsi" w:hAnsiTheme="minorHAnsi" w:cstheme="minorHAnsi"/>
          <w:sz w:val="20"/>
        </w:rPr>
        <w:t xml:space="preserve">dziennikarzowi, </w:t>
      </w:r>
      <w:r w:rsidR="0056707C" w:rsidRPr="008F72E7">
        <w:rPr>
          <w:rFonts w:asciiTheme="minorHAnsi" w:hAnsiTheme="minorHAnsi" w:cstheme="minorHAnsi"/>
          <w:sz w:val="20"/>
        </w:rPr>
        <w:t>który był autorem</w:t>
      </w:r>
      <w:r w:rsidRPr="008F72E7">
        <w:rPr>
          <w:rFonts w:asciiTheme="minorHAnsi" w:hAnsiTheme="minorHAnsi" w:cstheme="minorHAnsi"/>
          <w:sz w:val="20"/>
        </w:rPr>
        <w:t xml:space="preserve"> tego artykułu, Trybunał uznał, że nakaz nie naruszył art. 10.</w:t>
      </w:r>
      <w:r w:rsidR="00B1097A">
        <w:rPr>
          <w:rFonts w:asciiTheme="minorHAnsi" w:hAnsiTheme="minorHAnsi" w:cstheme="minorHAnsi"/>
          <w:sz w:val="20"/>
        </w:rPr>
        <w:t xml:space="preserve"> </w:t>
      </w:r>
      <w:r w:rsidRPr="008F72E7">
        <w:rPr>
          <w:rFonts w:asciiTheme="minorHAnsi" w:hAnsiTheme="minorHAnsi" w:cstheme="minorHAnsi"/>
          <w:sz w:val="20"/>
        </w:rPr>
        <w:t xml:space="preserve">Trybunał wskazał w </w:t>
      </w:r>
      <w:r w:rsidRPr="008F72E7">
        <w:rPr>
          <w:rFonts w:asciiTheme="minorHAnsi" w:hAnsiTheme="minorHAnsi" w:cstheme="minorHAnsi"/>
          <w:spacing w:val="-1"/>
          <w:sz w:val="20"/>
        </w:rPr>
        <w:t>szczególności</w:t>
      </w:r>
      <w:r w:rsidRPr="008F72E7">
        <w:rPr>
          <w:rFonts w:asciiTheme="minorHAnsi" w:hAnsiTheme="minorHAnsi" w:cstheme="minorHAnsi"/>
          <w:sz w:val="20"/>
        </w:rPr>
        <w:t xml:space="preserve">, że nakaz został wydany około miesiąc po opublikowaniu artykułu, w którym to okresie był on swobodnie dostępny dla opinii publicznej; oraz że usunięcie zostało </w:t>
      </w:r>
      <w:r w:rsidR="004B174F">
        <w:rPr>
          <w:rFonts w:asciiTheme="minorHAnsi" w:hAnsiTheme="minorHAnsi" w:cstheme="minorHAnsi"/>
          <w:sz w:val="20"/>
        </w:rPr>
        <w:t>dokonane</w:t>
      </w:r>
      <w:r w:rsidRPr="008F72E7">
        <w:rPr>
          <w:rFonts w:asciiTheme="minorHAnsi" w:hAnsiTheme="minorHAnsi" w:cstheme="minorHAnsi"/>
          <w:sz w:val="20"/>
        </w:rPr>
        <w:t xml:space="preserve"> tylko w odniesieniu do publikacji online, podczas gdy drukowane egzemplarze gazety pozostały w obiegu. Trybunał uznał, że ingerencja w wolność wypowiedzi skarżącego nie była zatem znacząca, ponieważ takie usunięcie</w:t>
      </w:r>
    </w:p>
    <w:p w14:paraId="62F1A2E4" w14:textId="77777777" w:rsidR="00094751" w:rsidRPr="008F72E7" w:rsidRDefault="00094751">
      <w:pPr>
        <w:pStyle w:val="Tekstpodstawowy"/>
        <w:spacing w:before="0"/>
        <w:ind w:left="0"/>
        <w:rPr>
          <w:rFonts w:asciiTheme="minorHAnsi" w:hAnsiTheme="minorHAnsi" w:cstheme="minorHAnsi"/>
          <w:sz w:val="20"/>
        </w:rPr>
      </w:pPr>
    </w:p>
    <w:p w14:paraId="6B03021B" w14:textId="77777777" w:rsidR="00094751" w:rsidRPr="008F72E7" w:rsidRDefault="00254F27">
      <w:pPr>
        <w:pStyle w:val="Tekstpodstawowy"/>
        <w:spacing w:before="90"/>
        <w:ind w:left="0"/>
        <w:rPr>
          <w:rFonts w:asciiTheme="minorHAnsi" w:hAnsiTheme="minorHAnsi" w:cstheme="minorHAnsi"/>
          <w:sz w:val="20"/>
        </w:rPr>
      </w:pPr>
      <w:r w:rsidRPr="008F72E7">
        <w:rPr>
          <w:rFonts w:asciiTheme="minorHAnsi" w:hAnsiTheme="minorHAnsi" w:cstheme="minorHAnsi"/>
          <w:noProof/>
          <w:sz w:val="20"/>
        </w:rPr>
        <mc:AlternateContent>
          <mc:Choice Requires="wps">
            <w:drawing>
              <wp:anchor distT="0" distB="0" distL="0" distR="0" simplePos="0" relativeHeight="251670528" behindDoc="1" locked="0" layoutInCell="1" allowOverlap="1" wp14:anchorId="7FFE30B0" wp14:editId="559EDCE0">
                <wp:simplePos x="0" y="0"/>
                <wp:positionH relativeFrom="page">
                  <wp:posOffset>914400</wp:posOffset>
                </wp:positionH>
                <wp:positionV relativeFrom="paragraph">
                  <wp:posOffset>228036</wp:posOffset>
                </wp:positionV>
                <wp:extent cx="182245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w14:anchorId="4D80383E" id="Graphic 13" o:spid="_x0000_s1026" style="position:absolute;margin-left:1in;margin-top:17.95pt;width:143.5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" path="m,l1822450,e" filled="f" strokeweight=".72pt">
                <v:path arrowok="t"/>
                <w10:wrap type="topAndBottom" anchorx="page"/>
              </v:shape>
            </w:pict>
          </mc:Fallback>
        </mc:AlternateContent>
      </w:r>
    </w:p>
    <w:p w14:paraId="6D74BA9F" w14:textId="6CA22E7A" w:rsidR="00094751" w:rsidRPr="008F72E7" w:rsidRDefault="00254F27">
      <w:pPr>
        <w:spacing w:before="110"/>
        <w:ind w:left="732" w:right="728"/>
        <w:jc w:val="both"/>
        <w:rPr>
          <w:rFonts w:asciiTheme="minorHAnsi" w:hAnsiTheme="minorHAnsi" w:cstheme="minorHAnsi"/>
          <w:sz w:val="20"/>
        </w:rPr>
      </w:pPr>
      <w:r w:rsidRPr="008F72E7">
        <w:rPr>
          <w:rFonts w:asciiTheme="minorHAnsi" w:hAnsiTheme="minorHAnsi" w:cstheme="minorHAnsi"/>
          <w:position w:val="6"/>
          <w:sz w:val="12"/>
        </w:rPr>
        <w:t xml:space="preserve">6 </w:t>
      </w:r>
      <w:r w:rsidRPr="008F72E7">
        <w:rPr>
          <w:rFonts w:asciiTheme="minorHAnsi" w:hAnsiTheme="minorHAnsi" w:cstheme="minorHAnsi"/>
          <w:sz w:val="19"/>
        </w:rPr>
        <w:t xml:space="preserve">Trybunał miał na względzie </w:t>
      </w:r>
      <w:hyperlink r:id="rId47">
        <w:r w:rsidRPr="008F72E7">
          <w:rPr>
            <w:rFonts w:asciiTheme="minorHAnsi" w:hAnsiTheme="minorHAnsi" w:cstheme="minorHAnsi"/>
            <w:color w:val="0072BC"/>
            <w:sz w:val="19"/>
          </w:rPr>
          <w:t>orzeczenie TSUE w trybie prejudycjalnym</w:t>
        </w:r>
      </w:hyperlink>
      <w:r w:rsidRPr="008F72E7">
        <w:rPr>
          <w:rFonts w:asciiTheme="minorHAnsi" w:hAnsiTheme="minorHAnsi" w:cstheme="minorHAnsi"/>
          <w:sz w:val="19"/>
        </w:rPr>
        <w:t>, w którym TSUE wyjaśnił, że celem odstępstwa przewidzianego w art. 9 dyrektywy w odniesieniu do czynności przetwarzania danych osobowych dokonywanych wyłącznie w celach dziennikarskich jest pogodzenie ochrony prywatności z prawem do wolności wypowiedzi oraz</w:t>
      </w:r>
      <w:r w:rsidR="00B1097A">
        <w:rPr>
          <w:rFonts w:asciiTheme="minorHAnsi" w:hAnsiTheme="minorHAnsi" w:cstheme="minorHAnsi"/>
          <w:sz w:val="19"/>
        </w:rPr>
        <w:t>,</w:t>
      </w:r>
      <w:r w:rsidRPr="008F72E7">
        <w:rPr>
          <w:rFonts w:asciiTheme="minorHAnsi" w:hAnsiTheme="minorHAnsi" w:cstheme="minorHAnsi"/>
          <w:sz w:val="19"/>
        </w:rPr>
        <w:t xml:space="preserve"> że w celu uwzględnienia znaczenia tego prawa w każdym demokratycznym społeczeństwie konieczna jest szeroka wykładnia pojęć związanych z tą wolnością, takich jak dziennikarstwo. Uznał, że działania takie jak te prowadzone przez Markkinapörssi i Satamedia w odniesieniu do danych z dokumentów znajdujących się w domenie </w:t>
      </w:r>
      <w:r w:rsidR="00F03F6D">
        <w:rPr>
          <w:rFonts w:asciiTheme="minorHAnsi" w:hAnsiTheme="minorHAnsi" w:cstheme="minorHAnsi"/>
          <w:sz w:val="19"/>
        </w:rPr>
        <w:t>,,</w:t>
      </w:r>
      <w:r w:rsidRPr="008F72E7">
        <w:rPr>
          <w:rFonts w:asciiTheme="minorHAnsi" w:hAnsiTheme="minorHAnsi" w:cstheme="minorHAnsi"/>
          <w:sz w:val="19"/>
        </w:rPr>
        <w:t xml:space="preserve">publicznej" na mocy ustawodawstwa </w:t>
      </w:r>
      <w:r w:rsidRPr="008F72E7">
        <w:rPr>
          <w:rFonts w:asciiTheme="minorHAnsi" w:hAnsiTheme="minorHAnsi" w:cstheme="minorHAnsi"/>
          <w:spacing w:val="-6"/>
          <w:sz w:val="19"/>
        </w:rPr>
        <w:t xml:space="preserve">krajowego </w:t>
      </w:r>
      <w:r w:rsidRPr="008F72E7">
        <w:rPr>
          <w:rFonts w:asciiTheme="minorHAnsi" w:hAnsiTheme="minorHAnsi" w:cstheme="minorHAnsi"/>
          <w:sz w:val="19"/>
        </w:rPr>
        <w:t xml:space="preserve">można zakwalifikować jako </w:t>
      </w:r>
      <w:r w:rsidR="00F03F6D">
        <w:rPr>
          <w:rFonts w:asciiTheme="minorHAnsi" w:hAnsiTheme="minorHAnsi" w:cstheme="minorHAnsi"/>
          <w:sz w:val="19"/>
        </w:rPr>
        <w:t>,,</w:t>
      </w:r>
      <w:r w:rsidRPr="008F72E7">
        <w:rPr>
          <w:rFonts w:asciiTheme="minorHAnsi" w:hAnsiTheme="minorHAnsi" w:cstheme="minorHAnsi"/>
          <w:sz w:val="19"/>
        </w:rPr>
        <w:t>działalność dziennikarską", jeżeli ich celem jest publiczne ujawnienie informacji, opinii lub idei, niezależnie od medium użytego do ich przekazania. TSUE stwierdził również, że działalność dziennikarska nie ogranicza się do przedsiębiorstw medialnych i może być podejmowana w celach zarobkowych. Pozostawił jednak sądowi krajowemu ustalenie, czy tak było w przedmiotowej sprawie.</w:t>
      </w:r>
    </w:p>
    <w:p w14:paraId="3228467F" w14:textId="77777777" w:rsidR="00094751" w:rsidRPr="008F72E7" w:rsidRDefault="00094751">
      <w:pPr>
        <w:jc w:val="both"/>
        <w:rPr>
          <w:rFonts w:asciiTheme="minorHAnsi" w:hAnsiTheme="minorHAnsi" w:cstheme="minorHAnsi"/>
          <w:sz w:val="20"/>
        </w:rPr>
        <w:sectPr w:rsidR="00094751" w:rsidRPr="008F72E7">
          <w:pgSz w:w="11910" w:h="16840"/>
          <w:pgMar w:top="1100" w:right="708" w:bottom="920" w:left="708" w:header="723" w:footer="726" w:gutter="0"/>
          <w:cols w:space="708"/>
        </w:sectPr>
      </w:pPr>
    </w:p>
    <w:p w14:paraId="4E253CCB" w14:textId="77777777" w:rsidR="00094751" w:rsidRPr="008F72E7" w:rsidRDefault="00094751">
      <w:pPr>
        <w:pStyle w:val="Tekstpodstawowy"/>
        <w:spacing w:before="146"/>
        <w:ind w:left="0"/>
        <w:rPr>
          <w:rFonts w:asciiTheme="minorHAnsi" w:hAnsiTheme="minorHAnsi" w:cstheme="minorHAnsi"/>
        </w:rPr>
      </w:pPr>
    </w:p>
    <w:p w14:paraId="059A1C9A" w14:textId="77777777" w:rsidR="00094751" w:rsidRPr="008F72E7" w:rsidRDefault="00254F27">
      <w:pPr>
        <w:ind w:left="1582" w:right="601"/>
        <w:rPr>
          <w:rFonts w:asciiTheme="minorHAnsi" w:hAnsiTheme="minorHAnsi" w:cstheme="minorHAnsi"/>
        </w:rPr>
      </w:pPr>
      <w:r w:rsidRPr="008F72E7">
        <w:rPr>
          <w:rFonts w:asciiTheme="minorHAnsi" w:hAnsiTheme="minorHAnsi" w:cstheme="minorHAnsi"/>
          <w:sz w:val="20"/>
        </w:rPr>
        <w:t>nie podważyło istoty debaty publicznej (</w:t>
      </w:r>
      <w:hyperlink r:id="rId48">
        <w:r w:rsidRPr="008F72E7">
          <w:rPr>
            <w:rFonts w:asciiTheme="minorHAnsi" w:hAnsiTheme="minorHAnsi" w:cstheme="minorHAnsi"/>
            <w:i/>
            <w:color w:val="0072BC"/>
            <w:sz w:val="20"/>
          </w:rPr>
          <w:t>Anatolij Jeremienko przeciwko Ukrainie</w:t>
        </w:r>
      </w:hyperlink>
      <w:r w:rsidRPr="008F72E7">
        <w:rPr>
          <w:rFonts w:asciiTheme="minorHAnsi" w:hAnsiTheme="minorHAnsi" w:cstheme="minorHAnsi"/>
          <w:sz w:val="20"/>
        </w:rPr>
        <w:t>, 2022, §§ 57-58).</w:t>
      </w:r>
    </w:p>
    <w:p w14:paraId="04480628" w14:textId="77777777" w:rsidR="00094751" w:rsidRPr="008F72E7" w:rsidRDefault="00094751">
      <w:pPr>
        <w:pStyle w:val="Tekstpodstawowy"/>
        <w:spacing w:before="15"/>
        <w:ind w:left="0"/>
        <w:rPr>
          <w:rFonts w:asciiTheme="minorHAnsi" w:hAnsiTheme="minorHAnsi" w:cstheme="minorHAnsi"/>
        </w:rPr>
      </w:pPr>
    </w:p>
    <w:p w14:paraId="5A20E793" w14:textId="77777777" w:rsidR="00094751" w:rsidRPr="008F72E7" w:rsidRDefault="00254F27">
      <w:pPr>
        <w:pStyle w:val="Nagwek2"/>
        <w:spacing w:before="1"/>
        <w:rPr>
          <w:rFonts w:asciiTheme="minorHAnsi" w:hAnsiTheme="minorHAnsi" w:cstheme="minorHAnsi"/>
        </w:rPr>
      </w:pPr>
      <w:r w:rsidRPr="00D43C95">
        <w:rPr>
          <w:rFonts w:asciiTheme="minorHAnsi" w:hAnsiTheme="minorHAnsi" w:cstheme="minorHAnsi"/>
          <w:spacing w:val="-2"/>
          <w:w w:val="85"/>
          <w:sz w:val="26"/>
        </w:rPr>
        <w:t>Grupy kampanii</w:t>
      </w:r>
      <w:r w:rsidRPr="008F72E7">
        <w:rPr>
          <w:rFonts w:asciiTheme="minorHAnsi" w:hAnsiTheme="minorHAnsi" w:cstheme="minorHAnsi"/>
          <w:color w:val="2F2F2F"/>
          <w:spacing w:val="-2"/>
          <w:w w:val="85"/>
          <w:sz w:val="26"/>
        </w:rPr>
        <w:t xml:space="preserve">, społeczeństwo obywatelskie, </w:t>
      </w:r>
      <w:r w:rsidRPr="008F72E7">
        <w:rPr>
          <w:rFonts w:asciiTheme="minorHAnsi" w:hAnsiTheme="minorHAnsi" w:cstheme="minorHAnsi"/>
          <w:color w:val="2F2F2F"/>
          <w:spacing w:val="-4"/>
          <w:w w:val="85"/>
          <w:sz w:val="26"/>
        </w:rPr>
        <w:t>organizacje pozarządowe:</w:t>
      </w:r>
    </w:p>
    <w:p w14:paraId="3B60D156" w14:textId="6CDD3DA2" w:rsidR="00094751" w:rsidRPr="008F72E7" w:rsidRDefault="00254F27">
      <w:pPr>
        <w:pStyle w:val="Akapitzlist"/>
        <w:numPr>
          <w:ilvl w:val="0"/>
          <w:numId w:val="1"/>
        </w:numPr>
        <w:tabs>
          <w:tab w:val="left" w:pos="1583"/>
        </w:tabs>
        <w:spacing w:before="75"/>
        <w:ind w:hanging="284"/>
        <w:jc w:val="both"/>
        <w:rPr>
          <w:rFonts w:asciiTheme="minorHAnsi" w:hAnsiTheme="minorHAnsi" w:cstheme="minorHAnsi"/>
        </w:rPr>
      </w:pPr>
      <w:r w:rsidRPr="008F72E7">
        <w:rPr>
          <w:rFonts w:asciiTheme="minorHAnsi" w:hAnsiTheme="minorHAnsi" w:cstheme="minorHAnsi"/>
          <w:sz w:val="20"/>
        </w:rPr>
        <w:t xml:space="preserve">W wyroku </w:t>
      </w:r>
      <w:hyperlink r:id="rId49">
        <w:r w:rsidRPr="008F72E7">
          <w:rPr>
            <w:rFonts w:asciiTheme="minorHAnsi" w:hAnsiTheme="minorHAnsi" w:cstheme="minorHAnsi"/>
            <w:i/>
            <w:color w:val="0072BC"/>
            <w:sz w:val="20"/>
          </w:rPr>
          <w:t>Steel i Morris przeciwko Zjednoczonemu Królestwu</w:t>
        </w:r>
      </w:hyperlink>
      <w:r w:rsidR="00CC2091" w:rsidRPr="008F72E7">
        <w:rPr>
          <w:rFonts w:asciiTheme="minorHAnsi" w:hAnsiTheme="minorHAnsi" w:cstheme="minorHAnsi"/>
          <w:sz w:val="20"/>
        </w:rPr>
        <w:t xml:space="preserve">, </w:t>
      </w:r>
      <w:r w:rsidRPr="008F72E7">
        <w:rPr>
          <w:rFonts w:asciiTheme="minorHAnsi" w:hAnsiTheme="minorHAnsi" w:cstheme="minorHAnsi"/>
          <w:sz w:val="20"/>
        </w:rPr>
        <w:t>2005 r. Trybunał orzekł,</w:t>
      </w:r>
      <w:r w:rsidR="0072461F">
        <w:rPr>
          <w:rFonts w:asciiTheme="minorHAnsi" w:hAnsiTheme="minorHAnsi" w:cstheme="minorHAnsi"/>
          <w:sz w:val="20"/>
        </w:rPr>
        <w:t xml:space="preserve"> </w:t>
      </w:r>
      <w:r w:rsidRPr="008F72E7">
        <w:rPr>
          <w:rFonts w:asciiTheme="minorHAnsi" w:hAnsiTheme="minorHAnsi" w:cstheme="minorHAnsi"/>
          <w:sz w:val="20"/>
        </w:rPr>
        <w:t xml:space="preserve">że </w:t>
      </w:r>
      <w:r w:rsidR="00D43C95">
        <w:rPr>
          <w:rFonts w:asciiTheme="minorHAnsi" w:hAnsiTheme="minorHAnsi" w:cstheme="minorHAnsi"/>
          <w:sz w:val="20"/>
        </w:rPr>
        <w:t>,,</w:t>
      </w:r>
      <w:r w:rsidRPr="008F72E7">
        <w:rPr>
          <w:rFonts w:asciiTheme="minorHAnsi" w:hAnsiTheme="minorHAnsi" w:cstheme="minorHAnsi"/>
          <w:sz w:val="20"/>
        </w:rPr>
        <w:t xml:space="preserve">w demokratycznym społeczeństwie nawet </w:t>
      </w:r>
      <w:r w:rsidRPr="008F72E7">
        <w:rPr>
          <w:rFonts w:asciiTheme="minorHAnsi" w:hAnsiTheme="minorHAnsi" w:cstheme="minorHAnsi"/>
          <w:b/>
          <w:sz w:val="20"/>
        </w:rPr>
        <w:t xml:space="preserve">małe </w:t>
      </w:r>
      <w:r w:rsidRPr="008F72E7">
        <w:rPr>
          <w:rFonts w:asciiTheme="minorHAnsi" w:hAnsiTheme="minorHAnsi" w:cstheme="minorHAnsi"/>
          <w:sz w:val="20"/>
        </w:rPr>
        <w:t xml:space="preserve">i nieformalne </w:t>
      </w:r>
      <w:r w:rsidRPr="008F72E7">
        <w:rPr>
          <w:rFonts w:asciiTheme="minorHAnsi" w:hAnsiTheme="minorHAnsi" w:cstheme="minorHAnsi"/>
          <w:b/>
          <w:sz w:val="20"/>
        </w:rPr>
        <w:t xml:space="preserve">grupy </w:t>
      </w:r>
      <w:r w:rsidRPr="008F72E7">
        <w:rPr>
          <w:rFonts w:asciiTheme="minorHAnsi" w:hAnsiTheme="minorHAnsi" w:cstheme="minorHAnsi"/>
          <w:sz w:val="20"/>
        </w:rPr>
        <w:t xml:space="preserve">prowadzące </w:t>
      </w:r>
      <w:r w:rsidRPr="008F72E7">
        <w:rPr>
          <w:rFonts w:asciiTheme="minorHAnsi" w:hAnsiTheme="minorHAnsi" w:cstheme="minorHAnsi"/>
          <w:b/>
          <w:sz w:val="20"/>
        </w:rPr>
        <w:t xml:space="preserve">kampanie </w:t>
      </w:r>
      <w:r w:rsidRPr="008F72E7">
        <w:rPr>
          <w:rFonts w:asciiTheme="minorHAnsi" w:hAnsiTheme="minorHAnsi" w:cstheme="minorHAnsi"/>
          <w:sz w:val="20"/>
        </w:rPr>
        <w:t xml:space="preserve">[...] muszą być w stanie skutecznie </w:t>
      </w:r>
      <w:r w:rsidRPr="008F72E7">
        <w:rPr>
          <w:rFonts w:asciiTheme="minorHAnsi" w:hAnsiTheme="minorHAnsi" w:cstheme="minorHAnsi"/>
          <w:spacing w:val="-3"/>
          <w:sz w:val="20"/>
        </w:rPr>
        <w:t xml:space="preserve">prowadzić </w:t>
      </w:r>
      <w:r w:rsidRPr="008F72E7">
        <w:rPr>
          <w:rFonts w:asciiTheme="minorHAnsi" w:hAnsiTheme="minorHAnsi" w:cstheme="minorHAnsi"/>
          <w:sz w:val="20"/>
        </w:rPr>
        <w:t>swoją działalność i że istnieje silny interes publiczny w umożliwieniu takim grupom i osobom spoza głównego nurtu wnoszenia wkładu w debatę publiczną poprzez rozpowszechnianie informacji i pomysłów w sprawach leżących w ogólnym interesie publicznym, takich jak zdrowie i środowisko" (§ 89).</w:t>
      </w:r>
    </w:p>
    <w:p w14:paraId="0C4BAF68" w14:textId="799959E8" w:rsidR="00094751" w:rsidRPr="008F72E7" w:rsidRDefault="00254F27">
      <w:pPr>
        <w:pStyle w:val="Akapitzlist"/>
        <w:numPr>
          <w:ilvl w:val="0"/>
          <w:numId w:val="1"/>
        </w:numPr>
        <w:tabs>
          <w:tab w:val="left" w:pos="1583"/>
        </w:tabs>
        <w:ind w:right="730" w:hanging="284"/>
        <w:jc w:val="both"/>
        <w:rPr>
          <w:rFonts w:asciiTheme="minorHAnsi" w:hAnsiTheme="minorHAnsi" w:cstheme="minorHAnsi"/>
        </w:rPr>
      </w:pPr>
      <w:r w:rsidRPr="008F72E7">
        <w:rPr>
          <w:rFonts w:asciiTheme="minorHAnsi" w:hAnsiTheme="minorHAnsi" w:cstheme="minorHAnsi"/>
          <w:sz w:val="20"/>
        </w:rPr>
        <w:t xml:space="preserve">W sprawie </w:t>
      </w:r>
      <w:hyperlink r:id="rId50">
        <w:r w:rsidRPr="008F72E7">
          <w:rPr>
            <w:rFonts w:asciiTheme="minorHAnsi" w:hAnsiTheme="minorHAnsi" w:cstheme="minorHAnsi"/>
            <w:i/>
            <w:color w:val="0072BC"/>
            <w:sz w:val="20"/>
          </w:rPr>
          <w:t>Medžlis Islamske zajednice Brčko i inni przeciwko Bośni i Hercegowinie</w:t>
        </w:r>
      </w:hyperlink>
      <w:r w:rsidRPr="008F72E7">
        <w:rPr>
          <w:rFonts w:asciiTheme="minorHAnsi" w:hAnsiTheme="minorHAnsi" w:cstheme="minorHAnsi"/>
          <w:sz w:val="20"/>
        </w:rPr>
        <w:t xml:space="preserve"> [GC], 2017, § 86, Trybunał odniósł się, </w:t>
      </w:r>
      <w:r w:rsidRPr="008F72E7">
        <w:rPr>
          <w:rFonts w:asciiTheme="minorHAnsi" w:hAnsiTheme="minorHAnsi" w:cstheme="minorHAnsi"/>
          <w:i/>
          <w:sz w:val="20"/>
        </w:rPr>
        <w:t>między innymi,</w:t>
      </w:r>
      <w:r w:rsidRPr="008F72E7">
        <w:rPr>
          <w:rFonts w:asciiTheme="minorHAnsi" w:hAnsiTheme="minorHAnsi" w:cstheme="minorHAnsi"/>
          <w:sz w:val="20"/>
        </w:rPr>
        <w:t xml:space="preserve"> do </w:t>
      </w:r>
      <w:hyperlink r:id="rId51">
        <w:r w:rsidRPr="008F72E7">
          <w:rPr>
            <w:rFonts w:asciiTheme="minorHAnsi" w:hAnsiTheme="minorHAnsi" w:cstheme="minorHAnsi"/>
            <w:color w:val="0072BC"/>
            <w:sz w:val="20"/>
          </w:rPr>
          <w:t xml:space="preserve">Podstawowych zasad dotyczących </w:t>
        </w:r>
      </w:hyperlink>
      <w:hyperlink r:id="rId52">
        <w:r w:rsidRPr="008F72E7">
          <w:rPr>
            <w:rFonts w:asciiTheme="minorHAnsi" w:hAnsiTheme="minorHAnsi" w:cstheme="minorHAnsi"/>
            <w:color w:val="0072BC"/>
            <w:sz w:val="20"/>
          </w:rPr>
          <w:t>statusu organizacji pozarządowych w Europie</w:t>
        </w:r>
      </w:hyperlink>
      <w:r w:rsidRPr="008F72E7">
        <w:rPr>
          <w:rFonts w:asciiTheme="minorHAnsi" w:hAnsiTheme="minorHAnsi" w:cstheme="minorHAnsi"/>
          <w:sz w:val="20"/>
        </w:rPr>
        <w:t xml:space="preserve">, które podkreślają </w:t>
      </w:r>
      <w:r w:rsidRPr="008F72E7">
        <w:rPr>
          <w:rFonts w:asciiTheme="minorHAnsi" w:hAnsiTheme="minorHAnsi" w:cstheme="minorHAnsi"/>
          <w:b/>
          <w:sz w:val="20"/>
        </w:rPr>
        <w:t xml:space="preserve">istotny wkład organizacji pozarządowych </w:t>
      </w:r>
      <w:r w:rsidR="00D43C95">
        <w:rPr>
          <w:rFonts w:asciiTheme="minorHAnsi" w:hAnsiTheme="minorHAnsi" w:cstheme="minorHAnsi"/>
          <w:sz w:val="20"/>
        </w:rPr>
        <w:t>,,</w:t>
      </w:r>
      <w:r w:rsidRPr="008F72E7">
        <w:rPr>
          <w:rFonts w:asciiTheme="minorHAnsi" w:hAnsiTheme="minorHAnsi" w:cstheme="minorHAnsi"/>
          <w:sz w:val="20"/>
        </w:rPr>
        <w:t xml:space="preserve">w rozwój, realizację i dalsze przetrwanie społeczeństw demokratycznych" oraz potrzebę </w:t>
      </w:r>
      <w:r w:rsidR="00D43C95">
        <w:rPr>
          <w:rFonts w:asciiTheme="minorHAnsi" w:hAnsiTheme="minorHAnsi" w:cstheme="minorHAnsi"/>
          <w:sz w:val="20"/>
        </w:rPr>
        <w:t>,,</w:t>
      </w:r>
      <w:r w:rsidRPr="008F72E7">
        <w:rPr>
          <w:rFonts w:asciiTheme="minorHAnsi" w:hAnsiTheme="minorHAnsi" w:cstheme="minorHAnsi"/>
          <w:sz w:val="20"/>
        </w:rPr>
        <w:t>zachęcania organizacji pozarządowych do udziału w mechanizmach dialogu, konsultacji i wymiany" przez takie społeczeństwa.</w:t>
      </w:r>
    </w:p>
    <w:p w14:paraId="4E94D01E" w14:textId="6493FA25" w:rsidR="00094751" w:rsidRPr="008F72E7" w:rsidRDefault="00254F27">
      <w:pPr>
        <w:pStyle w:val="Akapitzlist"/>
        <w:numPr>
          <w:ilvl w:val="0"/>
          <w:numId w:val="1"/>
        </w:numPr>
        <w:tabs>
          <w:tab w:val="left" w:pos="1583"/>
        </w:tabs>
        <w:spacing w:before="61"/>
        <w:ind w:hanging="284"/>
        <w:jc w:val="both"/>
        <w:rPr>
          <w:rFonts w:asciiTheme="minorHAnsi" w:hAnsiTheme="minorHAnsi" w:cstheme="minorHAnsi"/>
        </w:rPr>
      </w:pPr>
      <w:r w:rsidRPr="008F72E7">
        <w:rPr>
          <w:rFonts w:asciiTheme="minorHAnsi" w:hAnsiTheme="minorHAnsi" w:cstheme="minorHAnsi"/>
          <w:sz w:val="20"/>
        </w:rPr>
        <w:t xml:space="preserve">W sprawie, w której organizacje pozarządowe rozpowszechniały informacje związane z wyborami i zostały ukarane na podstawie ustawowego zakazu publikowania jakichkolwiek informacji </w:t>
      </w:r>
      <w:r w:rsidR="003D7AF6">
        <w:rPr>
          <w:rFonts w:asciiTheme="minorHAnsi" w:hAnsiTheme="minorHAnsi" w:cstheme="minorHAnsi"/>
          <w:sz w:val="20"/>
        </w:rPr>
        <w:t xml:space="preserve">tego typu </w:t>
      </w:r>
      <w:r w:rsidRPr="008F72E7">
        <w:rPr>
          <w:rFonts w:asciiTheme="minorHAnsi" w:hAnsiTheme="minorHAnsi" w:cstheme="minorHAnsi"/>
          <w:sz w:val="20"/>
        </w:rPr>
        <w:t xml:space="preserve">w okresie </w:t>
      </w:r>
      <w:r w:rsidR="0048175E" w:rsidRPr="008F72E7">
        <w:rPr>
          <w:rFonts w:asciiTheme="minorHAnsi" w:hAnsiTheme="minorHAnsi" w:cstheme="minorHAnsi"/>
          <w:sz w:val="20"/>
        </w:rPr>
        <w:t>ciszy wyborczej</w:t>
      </w:r>
      <w:r w:rsidRPr="008F72E7">
        <w:rPr>
          <w:rFonts w:asciiTheme="minorHAnsi" w:hAnsiTheme="minorHAnsi" w:cstheme="minorHAnsi"/>
          <w:sz w:val="20"/>
        </w:rPr>
        <w:t>, Trybunał orzekł, że fakt, iż sprawozdanie z wykroczenia administracyjnego (uznawane za formalny dokument oskarżenia zgodnie z prawem rosyjskim) pozostawiło</w:t>
      </w:r>
      <w:r w:rsidR="00D43C95">
        <w:rPr>
          <w:rFonts w:asciiTheme="minorHAnsi" w:hAnsiTheme="minorHAnsi" w:cstheme="minorHAnsi"/>
          <w:sz w:val="20"/>
        </w:rPr>
        <w:t xml:space="preserve"> całkowicie niesprecyzowany</w:t>
      </w:r>
      <w:r w:rsidRPr="008F72E7">
        <w:rPr>
          <w:rFonts w:asciiTheme="minorHAnsi" w:hAnsiTheme="minorHAnsi" w:cstheme="minorHAnsi"/>
          <w:sz w:val="20"/>
        </w:rPr>
        <w:t xml:space="preserve"> charakter zarzutu przeciwko stowarzyszeniu, w połączeniu z raczej powierzchownym podejściem sądów krajowych do oceny zarzutu, </w:t>
      </w:r>
      <w:r w:rsidR="00402715" w:rsidRPr="008F72E7">
        <w:rPr>
          <w:rFonts w:asciiTheme="minorHAnsi" w:hAnsiTheme="minorHAnsi" w:cstheme="minorHAnsi"/>
          <w:sz w:val="20"/>
        </w:rPr>
        <w:t>wywarł</w:t>
      </w:r>
      <w:r w:rsidRPr="008F72E7">
        <w:rPr>
          <w:rFonts w:asciiTheme="minorHAnsi" w:hAnsiTheme="minorHAnsi" w:cstheme="minorHAnsi"/>
          <w:sz w:val="20"/>
        </w:rPr>
        <w:t xml:space="preserve"> nieuzasadniony </w:t>
      </w:r>
      <w:r w:rsidR="00D43C95">
        <w:rPr>
          <w:rFonts w:asciiTheme="minorHAnsi" w:hAnsiTheme="minorHAnsi" w:cstheme="minorHAnsi"/>
          <w:sz w:val="20"/>
        </w:rPr>
        <w:t>,,</w:t>
      </w:r>
      <w:r w:rsidRPr="008F72E7">
        <w:rPr>
          <w:rFonts w:asciiTheme="minorHAnsi" w:hAnsiTheme="minorHAnsi" w:cstheme="minorHAnsi"/>
          <w:sz w:val="20"/>
        </w:rPr>
        <w:t xml:space="preserve">efekt mrożący" </w:t>
      </w:r>
      <w:r w:rsidR="00CB73A9" w:rsidRPr="008F72E7">
        <w:rPr>
          <w:rFonts w:asciiTheme="minorHAnsi" w:hAnsiTheme="minorHAnsi" w:cstheme="minorHAnsi"/>
          <w:sz w:val="20"/>
        </w:rPr>
        <w:t>dotyczący wykonywania</w:t>
      </w:r>
      <w:r w:rsidRPr="008F72E7">
        <w:rPr>
          <w:rFonts w:asciiTheme="minorHAnsi" w:hAnsiTheme="minorHAnsi" w:cstheme="minorHAnsi"/>
          <w:sz w:val="20"/>
        </w:rPr>
        <w:t xml:space="preserve"> przez skarżącą jej funkcji </w:t>
      </w:r>
      <w:r w:rsidR="00D43C95">
        <w:rPr>
          <w:rFonts w:asciiTheme="minorHAnsi" w:hAnsiTheme="minorHAnsi" w:cstheme="minorHAnsi"/>
          <w:sz w:val="20"/>
        </w:rPr>
        <w:t>,,</w:t>
      </w:r>
      <w:r w:rsidR="0010149E">
        <w:rPr>
          <w:rFonts w:asciiTheme="minorHAnsi" w:hAnsiTheme="minorHAnsi" w:cstheme="minorHAnsi"/>
          <w:sz w:val="20"/>
        </w:rPr>
        <w:t xml:space="preserve">organizacji </w:t>
      </w:r>
      <w:r w:rsidR="00D43C95">
        <w:rPr>
          <w:rFonts w:asciiTheme="minorHAnsi" w:hAnsiTheme="minorHAnsi" w:cstheme="minorHAnsi"/>
          <w:sz w:val="20"/>
        </w:rPr>
        <w:t>strażnika publicznego</w:t>
      </w:r>
      <w:r w:rsidRPr="008F72E7">
        <w:rPr>
          <w:rFonts w:asciiTheme="minorHAnsi" w:hAnsiTheme="minorHAnsi" w:cstheme="minorHAnsi"/>
          <w:sz w:val="20"/>
        </w:rPr>
        <w:t>" (</w:t>
      </w:r>
      <w:hyperlink r:id="rId53">
        <w:r w:rsidRPr="008F72E7">
          <w:rPr>
            <w:rFonts w:asciiTheme="minorHAnsi" w:hAnsiTheme="minorHAnsi" w:cstheme="minorHAnsi"/>
            <w:i/>
            <w:color w:val="0072BC"/>
            <w:sz w:val="20"/>
          </w:rPr>
          <w:t>Assotsiatsiya NGO Golos i inni przeciwko Rosji, 2021, § 86)Rosja</w:t>
        </w:r>
      </w:hyperlink>
      <w:r w:rsidRPr="008F72E7">
        <w:rPr>
          <w:rFonts w:asciiTheme="minorHAnsi" w:hAnsiTheme="minorHAnsi" w:cstheme="minorHAnsi"/>
          <w:sz w:val="20"/>
        </w:rPr>
        <w:t>,</w:t>
      </w:r>
      <w:r w:rsidR="0072461F">
        <w:rPr>
          <w:rFonts w:asciiTheme="minorHAnsi" w:hAnsiTheme="minorHAnsi" w:cstheme="minorHAnsi"/>
          <w:sz w:val="20"/>
        </w:rPr>
        <w:t xml:space="preserve"> </w:t>
      </w:r>
      <w:r w:rsidRPr="008F72E7">
        <w:rPr>
          <w:rFonts w:asciiTheme="minorHAnsi" w:hAnsiTheme="minorHAnsi" w:cstheme="minorHAnsi"/>
          <w:sz w:val="20"/>
        </w:rPr>
        <w:t xml:space="preserve">2021, § 86). Trybunał potwierdził zastosowanie tej zasady do spraw dotyczących obrońców praw człowieka, uznając, że </w:t>
      </w:r>
      <w:r w:rsidR="00D43C95">
        <w:rPr>
          <w:rFonts w:asciiTheme="minorHAnsi" w:hAnsiTheme="minorHAnsi" w:cstheme="minorHAnsi"/>
          <w:sz w:val="20"/>
        </w:rPr>
        <w:t>,,</w:t>
      </w:r>
      <w:r w:rsidRPr="008F72E7">
        <w:rPr>
          <w:rFonts w:asciiTheme="minorHAnsi" w:hAnsiTheme="minorHAnsi" w:cstheme="minorHAnsi"/>
          <w:sz w:val="20"/>
        </w:rPr>
        <w:t xml:space="preserve">zasady dotyczące zatrzymania dziennikarzy i pracowników mediów mogą mieć zastosowanie </w:t>
      </w:r>
      <w:r w:rsidRPr="008F72E7">
        <w:rPr>
          <w:rFonts w:asciiTheme="minorHAnsi" w:hAnsiTheme="minorHAnsi" w:cstheme="minorHAnsi"/>
          <w:i/>
          <w:sz w:val="20"/>
        </w:rPr>
        <w:t xml:space="preserve">mutatis mutandis </w:t>
      </w:r>
      <w:r w:rsidRPr="008F72E7">
        <w:rPr>
          <w:rFonts w:asciiTheme="minorHAnsi" w:hAnsiTheme="minorHAnsi" w:cstheme="minorHAnsi"/>
          <w:sz w:val="20"/>
        </w:rPr>
        <w:t xml:space="preserve">do początkowego i dalszego tymczasowego aresztowania obrońców praw człowieka", gdy pełnili oni rolę </w:t>
      </w:r>
      <w:r w:rsidR="00D43C95">
        <w:rPr>
          <w:rFonts w:asciiTheme="minorHAnsi" w:hAnsiTheme="minorHAnsi" w:cstheme="minorHAnsi"/>
          <w:sz w:val="20"/>
        </w:rPr>
        <w:t>,,</w:t>
      </w:r>
      <w:r w:rsidR="0010149E">
        <w:rPr>
          <w:rFonts w:asciiTheme="minorHAnsi" w:hAnsiTheme="minorHAnsi" w:cstheme="minorHAnsi"/>
          <w:sz w:val="20"/>
        </w:rPr>
        <w:t xml:space="preserve">organizacji </w:t>
      </w:r>
      <w:r w:rsidR="00D43C95">
        <w:rPr>
          <w:rFonts w:asciiTheme="minorHAnsi" w:hAnsiTheme="minorHAnsi" w:cstheme="minorHAnsi"/>
          <w:sz w:val="20"/>
        </w:rPr>
        <w:t>strażnika publicznego</w:t>
      </w:r>
      <w:r w:rsidRPr="008F72E7">
        <w:rPr>
          <w:rFonts w:asciiTheme="minorHAnsi" w:hAnsiTheme="minorHAnsi" w:cstheme="minorHAnsi"/>
          <w:sz w:val="20"/>
        </w:rPr>
        <w:t>" (</w:t>
      </w:r>
      <w:hyperlink r:id="rId54">
        <w:r w:rsidRPr="008F72E7">
          <w:rPr>
            <w:rFonts w:asciiTheme="minorHAnsi" w:hAnsiTheme="minorHAnsi" w:cstheme="minorHAnsi"/>
            <w:i/>
            <w:color w:val="0072BC"/>
            <w:sz w:val="20"/>
          </w:rPr>
          <w:t>Taner Kılıç p. Turcji (nr 2)</w:t>
        </w:r>
      </w:hyperlink>
      <w:r w:rsidRPr="008F72E7">
        <w:rPr>
          <w:rFonts w:asciiTheme="minorHAnsi" w:hAnsiTheme="minorHAnsi" w:cstheme="minorHAnsi"/>
          <w:sz w:val="20"/>
        </w:rPr>
        <w:t xml:space="preserve">, 2022, § 147). Trybunał rozszerzył ponadto te zasady na obserwatora wyborów, którego zadaniem było uzyskanie bezpośredniej wiedzy z pierwszej ręki na temat procesu wyborczego i przekazanie wyników swoich obserwacji; fakt, że został on siłą usunięty z lokalu wyborczego podczas obserwowania i filmowania procesu wyborczego, został uznany za nieproporcjonalną ingerencję w jego wolność wypowiedzi, biorąc pod uwagę podwyższony poziom ochrony, z której korzystał, oraz brak </w:t>
      </w:r>
      <w:r w:rsidR="00D43C95">
        <w:rPr>
          <w:rFonts w:asciiTheme="minorHAnsi" w:hAnsiTheme="minorHAnsi" w:cstheme="minorHAnsi"/>
          <w:sz w:val="20"/>
        </w:rPr>
        <w:t>,,</w:t>
      </w:r>
      <w:r w:rsidRPr="008F72E7">
        <w:rPr>
          <w:rFonts w:asciiTheme="minorHAnsi" w:hAnsiTheme="minorHAnsi" w:cstheme="minorHAnsi"/>
          <w:sz w:val="20"/>
        </w:rPr>
        <w:t>istotnych i wystarczających" powodów uzasadniających jego usunięcie (</w:t>
      </w:r>
      <w:hyperlink r:id="rId55">
        <w:r w:rsidRPr="008F72E7">
          <w:rPr>
            <w:rFonts w:asciiTheme="minorHAnsi" w:hAnsiTheme="minorHAnsi" w:cstheme="minorHAnsi"/>
            <w:i/>
            <w:color w:val="0072BC"/>
            <w:sz w:val="20"/>
          </w:rPr>
          <w:t xml:space="preserve">Timur </w:t>
        </w:r>
      </w:hyperlink>
      <w:hyperlink r:id="rId56">
        <w:r w:rsidRPr="008F72E7">
          <w:rPr>
            <w:rFonts w:asciiTheme="minorHAnsi" w:hAnsiTheme="minorHAnsi" w:cstheme="minorHAnsi"/>
            <w:i/>
            <w:color w:val="0072BC"/>
            <w:sz w:val="20"/>
          </w:rPr>
          <w:t>Sharipov przeciwko Rosji</w:t>
        </w:r>
      </w:hyperlink>
      <w:r w:rsidRPr="008F72E7">
        <w:rPr>
          <w:rFonts w:asciiTheme="minorHAnsi" w:hAnsiTheme="minorHAnsi" w:cstheme="minorHAnsi"/>
          <w:sz w:val="20"/>
        </w:rPr>
        <w:t>, 2022, §§ 26 i 35-39).</w:t>
      </w:r>
    </w:p>
    <w:p w14:paraId="3E00F69A" w14:textId="645F4648" w:rsidR="00094751" w:rsidRPr="008F72E7" w:rsidRDefault="00254F27">
      <w:pPr>
        <w:pStyle w:val="Akapitzlist"/>
        <w:numPr>
          <w:ilvl w:val="0"/>
          <w:numId w:val="1"/>
        </w:numPr>
        <w:tabs>
          <w:tab w:val="left" w:pos="1583"/>
        </w:tabs>
        <w:ind w:right="727" w:hanging="284"/>
        <w:jc w:val="both"/>
        <w:rPr>
          <w:rFonts w:asciiTheme="minorHAnsi" w:hAnsiTheme="minorHAnsi" w:cstheme="minorHAnsi"/>
        </w:rPr>
      </w:pPr>
      <w:r w:rsidRPr="008F72E7">
        <w:rPr>
          <w:rFonts w:asciiTheme="minorHAnsi" w:hAnsiTheme="minorHAnsi" w:cstheme="minorHAnsi"/>
          <w:sz w:val="20"/>
        </w:rPr>
        <w:t xml:space="preserve">Członek sądownictwa wypowiadający się w charakterze </w:t>
      </w:r>
      <w:r w:rsidR="00C532FB" w:rsidRPr="008F72E7">
        <w:rPr>
          <w:rFonts w:asciiTheme="minorHAnsi" w:hAnsiTheme="minorHAnsi" w:cstheme="minorHAnsi"/>
          <w:sz w:val="20"/>
        </w:rPr>
        <w:t>prezesa</w:t>
      </w:r>
      <w:r w:rsidRPr="008F72E7">
        <w:rPr>
          <w:rFonts w:asciiTheme="minorHAnsi" w:hAnsiTheme="minorHAnsi" w:cstheme="minorHAnsi"/>
          <w:sz w:val="20"/>
        </w:rPr>
        <w:t xml:space="preserve"> stowarzyszenia lub organizacji pozarządowej, która </w:t>
      </w:r>
      <w:r w:rsidR="00D43C95">
        <w:rPr>
          <w:rFonts w:asciiTheme="minorHAnsi" w:hAnsiTheme="minorHAnsi" w:cstheme="minorHAnsi"/>
          <w:sz w:val="20"/>
        </w:rPr>
        <w:t>,,</w:t>
      </w:r>
      <w:r w:rsidRPr="008F72E7">
        <w:rPr>
          <w:rFonts w:asciiTheme="minorHAnsi" w:hAnsiTheme="minorHAnsi" w:cstheme="minorHAnsi"/>
          <w:sz w:val="20"/>
        </w:rPr>
        <w:t>zwraca uwagę na sprawy leżące w interesie publicznym", może również zostać objęty ochroną art. 10 Konwencji, chociaż członkowie sądownictwa muszą zasadniczo powstrzymywać się od wygłaszania oświadczeń politycznych o takim charakterze, który zagrażałby ich niezawisłości i podważał ich wizerunek bezstronności (</w:t>
      </w:r>
      <w:hyperlink r:id="rId57">
        <w:r w:rsidRPr="008F72E7">
          <w:rPr>
            <w:rFonts w:asciiTheme="minorHAnsi" w:hAnsiTheme="minorHAnsi" w:cstheme="minorHAnsi"/>
            <w:i/>
            <w:color w:val="0072BC"/>
            <w:sz w:val="20"/>
          </w:rPr>
          <w:t>Eminağaoğlu przeciwko Turcji</w:t>
        </w:r>
      </w:hyperlink>
      <w:r w:rsidRPr="008F72E7">
        <w:rPr>
          <w:rFonts w:asciiTheme="minorHAnsi" w:hAnsiTheme="minorHAnsi" w:cstheme="minorHAnsi"/>
          <w:sz w:val="20"/>
        </w:rPr>
        <w:t>, 2021, §§ 134 i 148).</w:t>
      </w:r>
    </w:p>
    <w:p w14:paraId="46013468" w14:textId="22769AD8" w:rsidR="00094751" w:rsidRPr="008F72E7" w:rsidRDefault="00254F27">
      <w:pPr>
        <w:pStyle w:val="Akapitzlist"/>
        <w:numPr>
          <w:ilvl w:val="0"/>
          <w:numId w:val="1"/>
        </w:numPr>
        <w:tabs>
          <w:tab w:val="left" w:pos="1583"/>
        </w:tabs>
        <w:ind w:right="730" w:hanging="284"/>
        <w:jc w:val="both"/>
        <w:rPr>
          <w:rFonts w:asciiTheme="minorHAnsi" w:hAnsiTheme="minorHAnsi" w:cstheme="minorHAnsi"/>
        </w:rPr>
      </w:pPr>
      <w:r w:rsidRPr="008F72E7">
        <w:rPr>
          <w:rFonts w:asciiTheme="minorHAnsi" w:hAnsiTheme="minorHAnsi" w:cstheme="minorHAnsi"/>
          <w:sz w:val="20"/>
        </w:rPr>
        <w:t xml:space="preserve">W kontekście dostępu do informacji będących w posiadaniu państwa, w wyroku w sprawie </w:t>
      </w:r>
      <w:hyperlink r:id="rId58">
        <w:r w:rsidRPr="008F72E7">
          <w:rPr>
            <w:rFonts w:asciiTheme="minorHAnsi" w:hAnsiTheme="minorHAnsi" w:cstheme="minorHAnsi"/>
            <w:i/>
            <w:color w:val="0072BC"/>
            <w:sz w:val="20"/>
          </w:rPr>
          <w:t xml:space="preserve">Társaság a </w:t>
        </w:r>
      </w:hyperlink>
      <w:hyperlink r:id="rId59">
        <w:r w:rsidRPr="008F72E7">
          <w:rPr>
            <w:rFonts w:asciiTheme="minorHAnsi" w:hAnsiTheme="minorHAnsi" w:cstheme="minorHAnsi"/>
            <w:i/>
            <w:color w:val="0072BC"/>
            <w:sz w:val="20"/>
          </w:rPr>
          <w:t>Szabadságjogokért przeciwko Węgrom z  r.</w:t>
        </w:r>
      </w:hyperlink>
      <w:r w:rsidRPr="008F72E7">
        <w:rPr>
          <w:rFonts w:asciiTheme="minorHAnsi" w:hAnsiTheme="minorHAnsi" w:cstheme="minorHAnsi"/>
          <w:i/>
          <w:color w:val="0072BC"/>
          <w:sz w:val="20"/>
        </w:rPr>
        <w:t xml:space="preserve"> 2009</w:t>
      </w:r>
      <w:r w:rsidR="00E276B1" w:rsidRPr="008F72E7">
        <w:rPr>
          <w:rFonts w:asciiTheme="minorHAnsi" w:hAnsiTheme="minorHAnsi" w:cstheme="minorHAnsi"/>
          <w:i/>
          <w:color w:val="0072BC"/>
          <w:sz w:val="20"/>
        </w:rPr>
        <w:t xml:space="preserve"> </w:t>
      </w:r>
      <w:r w:rsidRPr="008F72E7">
        <w:rPr>
          <w:rFonts w:asciiTheme="minorHAnsi" w:hAnsiTheme="minorHAnsi" w:cstheme="minorHAnsi"/>
          <w:sz w:val="20"/>
        </w:rPr>
        <w:t xml:space="preserve">Trybunał podkreślił, że realizacja </w:t>
      </w:r>
      <w:r w:rsidRPr="008F72E7">
        <w:rPr>
          <w:rFonts w:asciiTheme="minorHAnsi" w:hAnsiTheme="minorHAnsi" w:cstheme="minorHAnsi"/>
          <w:b/>
          <w:sz w:val="20"/>
        </w:rPr>
        <w:t>funkcji tworzenia forów</w:t>
      </w:r>
      <w:r w:rsidR="00E276B1" w:rsidRPr="008F72E7">
        <w:rPr>
          <w:rFonts w:asciiTheme="minorHAnsi" w:hAnsiTheme="minorHAnsi" w:cstheme="minorHAnsi"/>
          <w:b/>
          <w:sz w:val="20"/>
        </w:rPr>
        <w:t xml:space="preserve"> do </w:t>
      </w:r>
      <w:r w:rsidRPr="008F72E7">
        <w:rPr>
          <w:rFonts w:asciiTheme="minorHAnsi" w:hAnsiTheme="minorHAnsi" w:cstheme="minorHAnsi"/>
          <w:b/>
          <w:sz w:val="20"/>
        </w:rPr>
        <w:t xml:space="preserve"> debaty </w:t>
      </w:r>
      <w:r w:rsidRPr="008F72E7">
        <w:rPr>
          <w:rFonts w:asciiTheme="minorHAnsi" w:hAnsiTheme="minorHAnsi" w:cstheme="minorHAnsi"/>
          <w:b/>
          <w:bCs/>
          <w:sz w:val="20"/>
        </w:rPr>
        <w:t>publicznej</w:t>
      </w:r>
      <w:r w:rsidRPr="008F72E7">
        <w:rPr>
          <w:rFonts w:asciiTheme="minorHAnsi" w:hAnsiTheme="minorHAnsi" w:cstheme="minorHAnsi"/>
          <w:sz w:val="20"/>
        </w:rPr>
        <w:t xml:space="preserve"> nie jest ograniczona do mediów lub zawodowych dziennikarzy oraz że takie forum może być przygotowane przez organizację pozarządową (§ 27; zob. również </w:t>
      </w:r>
      <w:hyperlink r:id="rId60">
        <w:r w:rsidRPr="008F72E7">
          <w:rPr>
            <w:rFonts w:asciiTheme="minorHAnsi" w:hAnsiTheme="minorHAnsi" w:cstheme="minorHAnsi"/>
            <w:i/>
            <w:color w:val="0072BC"/>
            <w:sz w:val="20"/>
          </w:rPr>
          <w:t>Magyar Helsinki Bizottság przeciwko Węgrom</w:t>
        </w:r>
      </w:hyperlink>
      <w:r w:rsidRPr="008F72E7">
        <w:rPr>
          <w:rFonts w:asciiTheme="minorHAnsi" w:hAnsiTheme="minorHAnsi" w:cstheme="minorHAnsi"/>
          <w:sz w:val="20"/>
        </w:rPr>
        <w:t xml:space="preserve"> [GC], 2016, § 159).</w:t>
      </w:r>
    </w:p>
    <w:p w14:paraId="3744580B" w14:textId="1EAFD7CC" w:rsidR="00094751" w:rsidRPr="008F72E7" w:rsidRDefault="00254F27">
      <w:pPr>
        <w:pStyle w:val="Akapitzlist"/>
        <w:numPr>
          <w:ilvl w:val="0"/>
          <w:numId w:val="1"/>
        </w:numPr>
        <w:tabs>
          <w:tab w:val="left" w:pos="1583"/>
        </w:tabs>
        <w:ind w:right="730" w:hanging="284"/>
        <w:jc w:val="both"/>
        <w:rPr>
          <w:rFonts w:asciiTheme="minorHAnsi" w:hAnsiTheme="minorHAnsi" w:cstheme="minorHAnsi"/>
        </w:rPr>
      </w:pPr>
      <w:r w:rsidRPr="008F72E7">
        <w:rPr>
          <w:rFonts w:asciiTheme="minorHAnsi" w:hAnsiTheme="minorHAnsi" w:cstheme="minorHAnsi"/>
          <w:sz w:val="20"/>
        </w:rPr>
        <w:t xml:space="preserve">W kontekście publikacji rezolucji przez organizację pozarządową zajmującą się ochroną środowiska, Trybunał podkreślił, </w:t>
      </w:r>
      <w:r w:rsidR="0011615D" w:rsidRPr="008F72E7">
        <w:rPr>
          <w:rFonts w:asciiTheme="minorHAnsi" w:hAnsiTheme="minorHAnsi" w:cstheme="minorHAnsi"/>
          <w:sz w:val="20"/>
        </w:rPr>
        <w:t>że organizacja</w:t>
      </w:r>
      <w:r w:rsidRPr="008F72E7">
        <w:rPr>
          <w:rFonts w:asciiTheme="minorHAnsi" w:hAnsiTheme="minorHAnsi" w:cstheme="minorHAnsi"/>
          <w:sz w:val="20"/>
        </w:rPr>
        <w:t xml:space="preserve"> pozarządowa specjalizująca się w tej dziedzinie, działała jako "</w:t>
      </w:r>
      <w:r w:rsidR="0010149E">
        <w:rPr>
          <w:rFonts w:asciiTheme="minorHAnsi" w:hAnsiTheme="minorHAnsi" w:cstheme="minorHAnsi"/>
          <w:sz w:val="20"/>
        </w:rPr>
        <w:t xml:space="preserve">organizacja </w:t>
      </w:r>
      <w:r w:rsidR="00BC3A43">
        <w:rPr>
          <w:rFonts w:asciiTheme="minorHAnsi" w:hAnsiTheme="minorHAnsi" w:cstheme="minorHAnsi"/>
          <w:sz w:val="20"/>
        </w:rPr>
        <w:t>strażnika publicznego</w:t>
      </w:r>
      <w:r w:rsidRPr="008F72E7">
        <w:rPr>
          <w:rFonts w:asciiTheme="minorHAnsi" w:hAnsiTheme="minorHAnsi" w:cstheme="minorHAnsi"/>
          <w:sz w:val="20"/>
        </w:rPr>
        <w:t xml:space="preserve">" na mocy ustawy o ochronie środowiska. Ponieważ takie zaangażowanie organizacji pozarządowej ma zasadnicze znaczenie dla demokratycznego społeczeństwa, Trybunał uważa, że jest ono podobne do roli </w:t>
      </w:r>
      <w:r w:rsidR="00A06993" w:rsidRPr="008F72E7">
        <w:rPr>
          <w:rFonts w:asciiTheme="minorHAnsi" w:hAnsiTheme="minorHAnsi" w:cstheme="minorHAnsi"/>
          <w:sz w:val="20"/>
        </w:rPr>
        <w:t>spełnianej przez prasę, która jest</w:t>
      </w:r>
      <w:r w:rsidRPr="008F72E7">
        <w:rPr>
          <w:rFonts w:asciiTheme="minorHAnsi" w:hAnsiTheme="minorHAnsi" w:cstheme="minorHAnsi"/>
          <w:sz w:val="20"/>
        </w:rPr>
        <w:t xml:space="preserve"> określon</w:t>
      </w:r>
      <w:r w:rsidR="00A06993" w:rsidRPr="008F72E7">
        <w:rPr>
          <w:rFonts w:asciiTheme="minorHAnsi" w:hAnsiTheme="minorHAnsi" w:cstheme="minorHAnsi"/>
          <w:sz w:val="20"/>
        </w:rPr>
        <w:t>a</w:t>
      </w:r>
      <w:r w:rsidRPr="008F72E7">
        <w:rPr>
          <w:rFonts w:asciiTheme="minorHAnsi" w:hAnsiTheme="minorHAnsi" w:cstheme="minorHAnsi"/>
          <w:sz w:val="20"/>
        </w:rPr>
        <w:t xml:space="preserve"> w jego utrwalonym orzecznictwie. Dlatego też, aby </w:t>
      </w:r>
      <w:r w:rsidR="00A06993" w:rsidRPr="008F72E7">
        <w:rPr>
          <w:rFonts w:asciiTheme="minorHAnsi" w:hAnsiTheme="minorHAnsi" w:cstheme="minorHAnsi"/>
          <w:sz w:val="20"/>
        </w:rPr>
        <w:t>skutecznie realizować swoje zadania</w:t>
      </w:r>
      <w:r w:rsidRPr="008F72E7">
        <w:rPr>
          <w:rFonts w:asciiTheme="minorHAnsi" w:hAnsiTheme="minorHAnsi" w:cstheme="minorHAnsi"/>
          <w:sz w:val="20"/>
        </w:rPr>
        <w:t>, organizacja pozarządowa musi być w stanie ujawni</w:t>
      </w:r>
      <w:r w:rsidR="00E276B1" w:rsidRPr="008F72E7">
        <w:rPr>
          <w:rFonts w:asciiTheme="minorHAnsi" w:hAnsiTheme="minorHAnsi" w:cstheme="minorHAnsi"/>
          <w:sz w:val="20"/>
        </w:rPr>
        <w:t>a</w:t>
      </w:r>
      <w:r w:rsidRPr="008F72E7">
        <w:rPr>
          <w:rFonts w:asciiTheme="minorHAnsi" w:hAnsiTheme="minorHAnsi" w:cstheme="minorHAnsi"/>
          <w:sz w:val="20"/>
        </w:rPr>
        <w:t>ć fakty</w:t>
      </w:r>
    </w:p>
    <w:p w14:paraId="53F264CD" w14:textId="77777777" w:rsidR="00094751" w:rsidRPr="008F72E7" w:rsidRDefault="00094751">
      <w:pPr>
        <w:pStyle w:val="Akapitzlist"/>
        <w:jc w:val="both"/>
        <w:rPr>
          <w:rFonts w:asciiTheme="minorHAnsi" w:hAnsiTheme="minorHAnsi" w:cstheme="minorHAnsi"/>
        </w:rPr>
        <w:sectPr w:rsidR="00094751" w:rsidRPr="008F72E7">
          <w:pgSz w:w="11910" w:h="16840"/>
          <w:pgMar w:top="1100" w:right="708" w:bottom="920" w:left="708" w:header="723" w:footer="726" w:gutter="0"/>
          <w:cols w:space="708"/>
        </w:sectPr>
      </w:pPr>
    </w:p>
    <w:p w14:paraId="1511FF44" w14:textId="77777777" w:rsidR="00094751" w:rsidRPr="008F72E7" w:rsidRDefault="00094751">
      <w:pPr>
        <w:pStyle w:val="Tekstpodstawowy"/>
        <w:spacing w:before="146"/>
        <w:ind w:left="0"/>
        <w:rPr>
          <w:rFonts w:asciiTheme="minorHAnsi" w:hAnsiTheme="minorHAnsi" w:cstheme="minorHAnsi"/>
        </w:rPr>
      </w:pPr>
    </w:p>
    <w:p w14:paraId="6E7A91AB" w14:textId="77777777" w:rsidR="00094751" w:rsidRPr="008F72E7" w:rsidRDefault="00254F27">
      <w:pPr>
        <w:ind w:left="1582" w:right="729"/>
        <w:jc w:val="both"/>
        <w:rPr>
          <w:rFonts w:asciiTheme="minorHAnsi" w:hAnsiTheme="minorHAnsi" w:cstheme="minorHAnsi"/>
        </w:rPr>
      </w:pPr>
      <w:r w:rsidRPr="008F72E7">
        <w:rPr>
          <w:rFonts w:asciiTheme="minorHAnsi" w:hAnsiTheme="minorHAnsi" w:cstheme="minorHAnsi"/>
          <w:sz w:val="20"/>
        </w:rPr>
        <w:t>które mogą zainteresować opinię publiczną, ocenić je, a tym samym przyczynić się do przejrzystości działań władz publicznych (</w:t>
      </w:r>
      <w:hyperlink r:id="rId61">
        <w:r w:rsidRPr="008F72E7">
          <w:rPr>
            <w:rFonts w:asciiTheme="minorHAnsi" w:hAnsiTheme="minorHAnsi" w:cstheme="minorHAnsi"/>
            <w:i/>
            <w:color w:val="0072BC"/>
            <w:sz w:val="20"/>
          </w:rPr>
          <w:t>Vides Aizsardzības Klubs przeciwko Łotwie</w:t>
        </w:r>
      </w:hyperlink>
      <w:r w:rsidRPr="008F72E7">
        <w:rPr>
          <w:rFonts w:asciiTheme="minorHAnsi" w:hAnsiTheme="minorHAnsi" w:cstheme="minorHAnsi"/>
          <w:sz w:val="20"/>
        </w:rPr>
        <w:t xml:space="preserve">, 2004, § 42; </w:t>
      </w:r>
      <w:hyperlink r:id="rId62">
        <w:r w:rsidRPr="008F72E7">
          <w:rPr>
            <w:rFonts w:asciiTheme="minorHAnsi" w:hAnsiTheme="minorHAnsi" w:cstheme="minorHAnsi"/>
            <w:i/>
            <w:color w:val="0072BC"/>
            <w:sz w:val="20"/>
          </w:rPr>
          <w:t xml:space="preserve">Association </w:t>
        </w:r>
      </w:hyperlink>
      <w:hyperlink r:id="rId63">
        <w:r w:rsidRPr="008F72E7">
          <w:rPr>
            <w:rFonts w:asciiTheme="minorHAnsi" w:hAnsiTheme="minorHAnsi" w:cstheme="minorHAnsi"/>
            <w:i/>
            <w:color w:val="0072BC"/>
            <w:sz w:val="20"/>
          </w:rPr>
          <w:t>Burestop 55 i inni przeciwko Francji</w:t>
        </w:r>
      </w:hyperlink>
      <w:r w:rsidRPr="008F72E7">
        <w:rPr>
          <w:rFonts w:asciiTheme="minorHAnsi" w:hAnsiTheme="minorHAnsi" w:cstheme="minorHAnsi"/>
          <w:sz w:val="20"/>
        </w:rPr>
        <w:t xml:space="preserve">, 2021, § 88; w przypadku organizacji pozarządowej zajmującej się prawami zwierząt, zob. także </w:t>
      </w:r>
      <w:hyperlink r:id="rId64">
        <w:r w:rsidRPr="008F72E7">
          <w:rPr>
            <w:rFonts w:asciiTheme="minorHAnsi" w:hAnsiTheme="minorHAnsi" w:cstheme="minorHAnsi"/>
            <w:i/>
            <w:color w:val="0072BC"/>
            <w:sz w:val="20"/>
          </w:rPr>
          <w:t xml:space="preserve">Animal </w:t>
        </w:r>
      </w:hyperlink>
      <w:hyperlink r:id="rId65">
        <w:r w:rsidRPr="008F72E7">
          <w:rPr>
            <w:rFonts w:asciiTheme="minorHAnsi" w:hAnsiTheme="minorHAnsi" w:cstheme="minorHAnsi"/>
            <w:i/>
            <w:color w:val="0072BC"/>
            <w:sz w:val="20"/>
          </w:rPr>
          <w:t>Defenders International przeciwko Zjednoczonemu Królestwu</w:t>
        </w:r>
      </w:hyperlink>
      <w:r w:rsidRPr="008F72E7">
        <w:rPr>
          <w:rFonts w:asciiTheme="minorHAnsi" w:hAnsiTheme="minorHAnsi" w:cstheme="minorHAnsi"/>
          <w:sz w:val="20"/>
        </w:rPr>
        <w:t xml:space="preserve"> [GC], 2013, § 103).</w:t>
      </w:r>
    </w:p>
    <w:p w14:paraId="6F332F46" w14:textId="1D8500B3" w:rsidR="00094751" w:rsidRPr="008F72E7" w:rsidRDefault="00254F27">
      <w:pPr>
        <w:pStyle w:val="Akapitzlist"/>
        <w:numPr>
          <w:ilvl w:val="0"/>
          <w:numId w:val="1"/>
        </w:numPr>
        <w:tabs>
          <w:tab w:val="left" w:pos="1583"/>
        </w:tabs>
        <w:ind w:right="728" w:hanging="284"/>
        <w:jc w:val="both"/>
        <w:rPr>
          <w:rFonts w:asciiTheme="minorHAnsi" w:hAnsiTheme="minorHAnsi" w:cstheme="minorHAnsi"/>
        </w:rPr>
      </w:pPr>
      <w:r w:rsidRPr="008F72E7">
        <w:rPr>
          <w:rFonts w:asciiTheme="minorHAnsi" w:hAnsiTheme="minorHAnsi" w:cstheme="minorHAnsi"/>
          <w:sz w:val="20"/>
        </w:rPr>
        <w:t xml:space="preserve">W kontekście oskarżenia o zniesławienie ekonomisty Trybunał zbadał, czy rzekomo zniesławiające wypowiedzi ekonomisty w programie </w:t>
      </w:r>
      <w:r w:rsidRPr="008F72E7">
        <w:rPr>
          <w:rFonts w:asciiTheme="minorHAnsi" w:hAnsiTheme="minorHAnsi" w:cstheme="minorHAnsi"/>
          <w:spacing w:val="-1"/>
          <w:sz w:val="20"/>
        </w:rPr>
        <w:t xml:space="preserve">informacyjnym </w:t>
      </w:r>
      <w:r w:rsidRPr="008F72E7">
        <w:rPr>
          <w:rFonts w:asciiTheme="minorHAnsi" w:hAnsiTheme="minorHAnsi" w:cstheme="minorHAnsi"/>
          <w:sz w:val="20"/>
        </w:rPr>
        <w:t xml:space="preserve">przyczyniły się do </w:t>
      </w:r>
      <w:r w:rsidR="00BC3A43">
        <w:rPr>
          <w:rFonts w:asciiTheme="minorHAnsi" w:hAnsiTheme="minorHAnsi" w:cstheme="minorHAnsi"/>
          <w:sz w:val="20"/>
        </w:rPr>
        <w:t>,,</w:t>
      </w:r>
      <w:r w:rsidRPr="008F72E7">
        <w:rPr>
          <w:rFonts w:asciiTheme="minorHAnsi" w:hAnsiTheme="minorHAnsi" w:cstheme="minorHAnsi"/>
          <w:sz w:val="20"/>
        </w:rPr>
        <w:t xml:space="preserve">debaty w interesie publicznym". Wypowiedzi dotyczyły wstrzymanego projektu budowy skrzydła pediatrycznego szpitala publicznego. Trybunał stwierdził, że dyskusje związane ze szpitalem publicznym i warunkami opieki zdrowotnej nad </w:t>
      </w:r>
      <w:r w:rsidRPr="008F72E7">
        <w:rPr>
          <w:rFonts w:asciiTheme="minorHAnsi" w:hAnsiTheme="minorHAnsi" w:cstheme="minorHAnsi"/>
          <w:spacing w:val="-2"/>
          <w:sz w:val="20"/>
        </w:rPr>
        <w:t xml:space="preserve">dziećmi </w:t>
      </w:r>
      <w:r w:rsidRPr="008F72E7">
        <w:rPr>
          <w:rFonts w:asciiTheme="minorHAnsi" w:hAnsiTheme="minorHAnsi" w:cstheme="minorHAnsi"/>
          <w:sz w:val="20"/>
        </w:rPr>
        <w:t xml:space="preserve">są </w:t>
      </w:r>
      <w:r w:rsidR="00BC3A43">
        <w:rPr>
          <w:rFonts w:asciiTheme="minorHAnsi" w:hAnsiTheme="minorHAnsi" w:cstheme="minorHAnsi"/>
          <w:sz w:val="20"/>
        </w:rPr>
        <w:t>,,</w:t>
      </w:r>
      <w:r w:rsidRPr="008F72E7">
        <w:rPr>
          <w:rFonts w:asciiTheme="minorHAnsi" w:hAnsiTheme="minorHAnsi" w:cstheme="minorHAnsi"/>
          <w:sz w:val="20"/>
        </w:rPr>
        <w:t xml:space="preserve">przedmiotem ogólnego zainteresowania", a społeczeństwo ma </w:t>
      </w:r>
      <w:r w:rsidR="00BC3A43">
        <w:rPr>
          <w:rFonts w:asciiTheme="minorHAnsi" w:hAnsiTheme="minorHAnsi" w:cstheme="minorHAnsi"/>
          <w:sz w:val="20"/>
        </w:rPr>
        <w:t>,,</w:t>
      </w:r>
      <w:r w:rsidRPr="008F72E7">
        <w:rPr>
          <w:rFonts w:asciiTheme="minorHAnsi" w:hAnsiTheme="minorHAnsi" w:cstheme="minorHAnsi"/>
          <w:sz w:val="20"/>
        </w:rPr>
        <w:t xml:space="preserve">interes w byciu informowanym" na ten temat </w:t>
      </w:r>
      <w:hyperlink r:id="rId66">
        <w:r w:rsidRPr="008F72E7">
          <w:rPr>
            <w:rFonts w:asciiTheme="minorHAnsi" w:hAnsiTheme="minorHAnsi" w:cstheme="minorHAnsi"/>
            <w:i/>
            <w:color w:val="0072BC"/>
            <w:sz w:val="20"/>
          </w:rPr>
          <w:t xml:space="preserve">(Almeida </w:t>
        </w:r>
      </w:hyperlink>
      <w:hyperlink r:id="rId67">
        <w:r w:rsidRPr="008F72E7">
          <w:rPr>
            <w:rFonts w:asciiTheme="minorHAnsi" w:hAnsiTheme="minorHAnsi" w:cstheme="minorHAnsi"/>
            <w:i/>
            <w:color w:val="0072BC"/>
            <w:sz w:val="20"/>
          </w:rPr>
          <w:t>Arroja przeciwko Portugalii</w:t>
        </w:r>
      </w:hyperlink>
      <w:r w:rsidRPr="008F72E7">
        <w:rPr>
          <w:rFonts w:asciiTheme="minorHAnsi" w:hAnsiTheme="minorHAnsi" w:cstheme="minorHAnsi"/>
          <w:sz w:val="20"/>
        </w:rPr>
        <w:t>, 2024, § 73).</w:t>
      </w:r>
    </w:p>
    <w:p w14:paraId="19A98ED6" w14:textId="77777777" w:rsidR="00094751" w:rsidRPr="008F72E7" w:rsidRDefault="00094751">
      <w:pPr>
        <w:pStyle w:val="Tekstpodstawowy"/>
        <w:spacing w:before="15"/>
        <w:ind w:left="0"/>
        <w:rPr>
          <w:rFonts w:asciiTheme="minorHAnsi" w:hAnsiTheme="minorHAnsi" w:cstheme="minorHAnsi"/>
        </w:rPr>
      </w:pPr>
    </w:p>
    <w:p w14:paraId="18D96BB4" w14:textId="17B3708B" w:rsidR="00094751" w:rsidRPr="008F72E7" w:rsidRDefault="00254F27">
      <w:pPr>
        <w:pStyle w:val="Nagwek2"/>
        <w:spacing w:before="1"/>
        <w:rPr>
          <w:rFonts w:asciiTheme="minorHAnsi" w:hAnsiTheme="minorHAnsi" w:cstheme="minorHAnsi"/>
          <w:position w:val="7"/>
          <w:sz w:val="16"/>
        </w:rPr>
      </w:pPr>
      <w:r w:rsidRPr="008F72E7">
        <w:rPr>
          <w:rFonts w:asciiTheme="minorHAnsi" w:hAnsiTheme="minorHAnsi" w:cstheme="minorHAnsi"/>
          <w:color w:val="2F2F2F"/>
          <w:w w:val="85"/>
          <w:sz w:val="26"/>
        </w:rPr>
        <w:t xml:space="preserve">Naukowcy akademiccy, autorzy </w:t>
      </w:r>
      <w:r w:rsidR="001449FD" w:rsidRPr="008F72E7">
        <w:rPr>
          <w:rFonts w:asciiTheme="minorHAnsi" w:hAnsiTheme="minorHAnsi" w:cstheme="minorHAnsi"/>
          <w:color w:val="2F2F2F"/>
          <w:w w:val="85"/>
          <w:sz w:val="26"/>
        </w:rPr>
        <w:t>piszący na tematy dotyczące spraw budzących zainteresowanie opinii publicznej</w:t>
      </w:r>
      <w:r w:rsidRPr="008F72E7">
        <w:rPr>
          <w:rFonts w:asciiTheme="minorHAnsi" w:hAnsiTheme="minorHAnsi" w:cstheme="minorHAnsi"/>
          <w:color w:val="2F2F2F"/>
          <w:spacing w:val="-2"/>
          <w:w w:val="85"/>
          <w:sz w:val="26"/>
        </w:rPr>
        <w:t>:</w:t>
      </w:r>
      <w:r w:rsidRPr="008F72E7">
        <w:rPr>
          <w:rFonts w:asciiTheme="minorHAnsi" w:hAnsiTheme="minorHAnsi" w:cstheme="minorHAnsi"/>
          <w:color w:val="2F2F2F"/>
          <w:spacing w:val="-2"/>
          <w:w w:val="85"/>
          <w:position w:val="7"/>
          <w:sz w:val="15"/>
        </w:rPr>
        <w:t>7</w:t>
      </w:r>
    </w:p>
    <w:p w14:paraId="6805A890" w14:textId="2C3C0B1D" w:rsidR="00094751" w:rsidRPr="008F72E7" w:rsidRDefault="00254F27">
      <w:pPr>
        <w:pStyle w:val="Akapitzlist"/>
        <w:numPr>
          <w:ilvl w:val="0"/>
          <w:numId w:val="1"/>
        </w:numPr>
        <w:tabs>
          <w:tab w:val="left" w:pos="1583"/>
        </w:tabs>
        <w:spacing w:before="76"/>
        <w:ind w:right="728" w:hanging="284"/>
        <w:jc w:val="both"/>
        <w:rPr>
          <w:rFonts w:asciiTheme="minorHAnsi" w:hAnsiTheme="minorHAnsi" w:cstheme="minorHAnsi"/>
        </w:rPr>
      </w:pPr>
      <w:r w:rsidRPr="008F72E7">
        <w:rPr>
          <w:rFonts w:asciiTheme="minorHAnsi" w:hAnsiTheme="minorHAnsi" w:cstheme="minorHAnsi"/>
          <w:sz w:val="20"/>
        </w:rPr>
        <w:t>Trybunał wskazuje na znaczenie przywiązywane w jego orzecznictwie oraz, bardziej ogólnie, w pracach Zgromadzenia Parlamentarnego Rady Europy do wolności akademickiej, która powinna gwarantować wolność wypowiedzi i działania, wolność rozpowszechniania informacji oraz wolność</w:t>
      </w:r>
      <w:r w:rsidR="00A405C9">
        <w:rPr>
          <w:rFonts w:asciiTheme="minorHAnsi" w:hAnsiTheme="minorHAnsi" w:cstheme="minorHAnsi"/>
          <w:sz w:val="20"/>
        </w:rPr>
        <w:t xml:space="preserve"> ,,</w:t>
      </w:r>
      <w:r w:rsidRPr="008F72E7">
        <w:rPr>
          <w:rFonts w:asciiTheme="minorHAnsi" w:hAnsiTheme="minorHAnsi" w:cstheme="minorHAnsi"/>
          <w:sz w:val="20"/>
        </w:rPr>
        <w:t xml:space="preserve">prowadzenia badań i rozpowszechniania wiedzy i prawdy bez ograniczeń" </w:t>
      </w:r>
      <w:r w:rsidRPr="008F72E7">
        <w:rPr>
          <w:rFonts w:asciiTheme="minorHAnsi" w:hAnsiTheme="minorHAnsi" w:cstheme="minorHAnsi"/>
          <w:color w:val="2F2F2F"/>
          <w:sz w:val="20"/>
        </w:rPr>
        <w:t>(</w:t>
      </w:r>
      <w:hyperlink r:id="rId68">
        <w:r w:rsidRPr="008F72E7">
          <w:rPr>
            <w:rFonts w:asciiTheme="minorHAnsi" w:hAnsiTheme="minorHAnsi" w:cstheme="minorHAnsi"/>
            <w:i/>
            <w:color w:val="0072BC"/>
            <w:sz w:val="20"/>
          </w:rPr>
          <w:t>Lombardi Vallauri przeciwko Włochom</w:t>
        </w:r>
      </w:hyperlink>
      <w:r w:rsidRPr="008F72E7">
        <w:rPr>
          <w:rFonts w:asciiTheme="minorHAnsi" w:hAnsiTheme="minorHAnsi" w:cstheme="minorHAnsi"/>
          <w:sz w:val="20"/>
        </w:rPr>
        <w:t>, 2009</w:t>
      </w:r>
      <w:r w:rsidRPr="008F72E7">
        <w:rPr>
          <w:rFonts w:asciiTheme="minorHAnsi" w:hAnsiTheme="minorHAnsi" w:cstheme="minorHAnsi"/>
          <w:color w:val="2F2F2F"/>
          <w:sz w:val="20"/>
        </w:rPr>
        <w:t>,</w:t>
      </w:r>
      <w:r w:rsidRPr="008F72E7">
        <w:rPr>
          <w:rFonts w:asciiTheme="minorHAnsi" w:hAnsiTheme="minorHAnsi" w:cstheme="minorHAnsi"/>
          <w:sz w:val="20"/>
        </w:rPr>
        <w:t xml:space="preserve"> § 43</w:t>
      </w:r>
      <w:r w:rsidRPr="008F72E7">
        <w:rPr>
          <w:rFonts w:asciiTheme="minorHAnsi" w:hAnsiTheme="minorHAnsi" w:cstheme="minorHAnsi"/>
          <w:color w:val="2F2F2F"/>
          <w:sz w:val="20"/>
        </w:rPr>
        <w:t xml:space="preserve">; </w:t>
      </w:r>
      <w:hyperlink r:id="rId69">
        <w:r w:rsidRPr="008F72E7">
          <w:rPr>
            <w:rFonts w:asciiTheme="minorHAnsi" w:hAnsiTheme="minorHAnsi" w:cstheme="minorHAnsi"/>
            <w:i/>
            <w:color w:val="0072BC"/>
            <w:sz w:val="20"/>
          </w:rPr>
          <w:t>Sorguç przeciwko Turcji</w:t>
        </w:r>
      </w:hyperlink>
      <w:r w:rsidRPr="008F72E7">
        <w:rPr>
          <w:rFonts w:asciiTheme="minorHAnsi" w:hAnsiTheme="minorHAnsi" w:cstheme="minorHAnsi"/>
          <w:sz w:val="20"/>
        </w:rPr>
        <w:t xml:space="preserve">, 2009, § 35, zob. również </w:t>
      </w:r>
      <w:hyperlink r:id="rId70">
        <w:r w:rsidRPr="008F72E7">
          <w:rPr>
            <w:rFonts w:asciiTheme="minorHAnsi" w:hAnsiTheme="minorHAnsi" w:cstheme="minorHAnsi"/>
            <w:color w:val="0072BC"/>
            <w:sz w:val="20"/>
          </w:rPr>
          <w:t>Rekomendacja 1762 (2006) w sprawie wolności akademickiej i autonomii uniwersytetów</w:t>
        </w:r>
      </w:hyperlink>
      <w:r w:rsidR="001449FD" w:rsidRPr="008F72E7">
        <w:rPr>
          <w:rFonts w:asciiTheme="minorHAnsi" w:hAnsiTheme="minorHAnsi" w:cstheme="minorHAnsi"/>
        </w:rPr>
        <w:t xml:space="preserve"> </w:t>
      </w:r>
      <w:hyperlink r:id="rId71">
        <w:r w:rsidRPr="008F72E7">
          <w:rPr>
            <w:rFonts w:asciiTheme="minorHAnsi" w:hAnsiTheme="minorHAnsi" w:cstheme="minorHAnsi"/>
            <w:color w:val="0072BC"/>
            <w:sz w:val="20"/>
          </w:rPr>
          <w:t>PACE</w:t>
        </w:r>
      </w:hyperlink>
      <w:r w:rsidRPr="008F72E7">
        <w:rPr>
          <w:rFonts w:asciiTheme="minorHAnsi" w:hAnsiTheme="minorHAnsi" w:cstheme="minorHAnsi"/>
          <w:sz w:val="20"/>
        </w:rPr>
        <w:t xml:space="preserve"> ).</w:t>
      </w:r>
    </w:p>
    <w:p w14:paraId="3C2083CA" w14:textId="5B7F4205" w:rsidR="00094751" w:rsidRPr="008F72E7" w:rsidRDefault="00254F27">
      <w:pPr>
        <w:pStyle w:val="Akapitzlist"/>
        <w:numPr>
          <w:ilvl w:val="0"/>
          <w:numId w:val="1"/>
        </w:numPr>
        <w:tabs>
          <w:tab w:val="left" w:pos="1583"/>
        </w:tabs>
        <w:ind w:right="728" w:hanging="284"/>
        <w:jc w:val="both"/>
        <w:rPr>
          <w:rFonts w:asciiTheme="minorHAnsi" w:hAnsiTheme="minorHAnsi" w:cstheme="minorHAnsi"/>
        </w:rPr>
      </w:pPr>
      <w:r w:rsidRPr="008F72E7">
        <w:rPr>
          <w:rFonts w:asciiTheme="minorHAnsi" w:hAnsiTheme="minorHAnsi" w:cstheme="minorHAnsi"/>
          <w:sz w:val="20"/>
        </w:rPr>
        <w:t xml:space="preserve">Wolność akademicka nie ogranicza się do badań akademickich lub naukowych, ale rozciąga się również na wolność </w:t>
      </w:r>
      <w:r w:rsidR="001449FD" w:rsidRPr="008F72E7">
        <w:rPr>
          <w:rFonts w:asciiTheme="minorHAnsi" w:hAnsiTheme="minorHAnsi" w:cstheme="minorHAnsi"/>
          <w:sz w:val="20"/>
        </w:rPr>
        <w:t>pracowników akademickich</w:t>
      </w:r>
      <w:r w:rsidRPr="008F72E7">
        <w:rPr>
          <w:rFonts w:asciiTheme="minorHAnsi" w:hAnsiTheme="minorHAnsi" w:cstheme="minorHAnsi"/>
          <w:sz w:val="20"/>
        </w:rPr>
        <w:t xml:space="preserve"> do swobodnego wyrażania swoich poglądów i opinii, nawet jeśli są one kontrowersyjne lub niepopularne, w obszarach ich badań, wiedzy zawodowej </w:t>
      </w:r>
      <w:r w:rsidR="00A405C9">
        <w:rPr>
          <w:rFonts w:asciiTheme="minorHAnsi" w:hAnsiTheme="minorHAnsi" w:cstheme="minorHAnsi"/>
          <w:sz w:val="20"/>
        </w:rPr>
        <w:br/>
      </w:r>
      <w:r w:rsidRPr="008F72E7">
        <w:rPr>
          <w:rFonts w:asciiTheme="minorHAnsi" w:hAnsiTheme="minorHAnsi" w:cstheme="minorHAnsi"/>
          <w:sz w:val="20"/>
        </w:rPr>
        <w:t>i kompetencji. Może to obejmować badanie funkcjonowania instytucji publicznych w danym systemie politycznym i ich krytykę (</w:t>
      </w:r>
      <w:hyperlink r:id="rId72">
        <w:r w:rsidRPr="008F72E7">
          <w:rPr>
            <w:rFonts w:asciiTheme="minorHAnsi" w:hAnsiTheme="minorHAnsi" w:cstheme="minorHAnsi"/>
            <w:i/>
            <w:color w:val="0072BC"/>
            <w:sz w:val="20"/>
          </w:rPr>
          <w:t>Mustafa Erdoğan i Inni przeciwko Turcji</w:t>
        </w:r>
      </w:hyperlink>
      <w:r w:rsidRPr="008F72E7">
        <w:rPr>
          <w:rFonts w:asciiTheme="minorHAnsi" w:hAnsiTheme="minorHAnsi" w:cstheme="minorHAnsi"/>
          <w:i/>
          <w:sz w:val="20"/>
        </w:rPr>
        <w:t xml:space="preserve">, </w:t>
      </w:r>
      <w:r w:rsidRPr="008F72E7">
        <w:rPr>
          <w:rFonts w:asciiTheme="minorHAnsi" w:hAnsiTheme="minorHAnsi" w:cstheme="minorHAnsi"/>
          <w:sz w:val="20"/>
        </w:rPr>
        <w:t xml:space="preserve">2014, </w:t>
      </w:r>
      <w:r w:rsidRPr="008F72E7">
        <w:rPr>
          <w:rFonts w:asciiTheme="minorHAnsi" w:hAnsiTheme="minorHAnsi" w:cstheme="minorHAnsi"/>
          <w:color w:val="2F2F2F"/>
          <w:sz w:val="20"/>
        </w:rPr>
        <w:t xml:space="preserve">§ </w:t>
      </w:r>
      <w:r w:rsidRPr="008F72E7">
        <w:rPr>
          <w:rFonts w:asciiTheme="minorHAnsi" w:hAnsiTheme="minorHAnsi" w:cstheme="minorHAnsi"/>
          <w:sz w:val="20"/>
        </w:rPr>
        <w:t xml:space="preserve">40; zob. także </w:t>
      </w:r>
      <w:hyperlink r:id="rId73">
        <w:r w:rsidRPr="008F72E7">
          <w:rPr>
            <w:rFonts w:asciiTheme="minorHAnsi" w:hAnsiTheme="minorHAnsi" w:cstheme="minorHAnsi"/>
            <w:i/>
            <w:color w:val="0072BC"/>
            <w:sz w:val="20"/>
          </w:rPr>
          <w:t xml:space="preserve">Aksu </w:t>
        </w:r>
      </w:hyperlink>
      <w:hyperlink r:id="rId74">
        <w:r w:rsidRPr="008F72E7">
          <w:rPr>
            <w:rFonts w:asciiTheme="minorHAnsi" w:hAnsiTheme="minorHAnsi" w:cstheme="minorHAnsi"/>
            <w:i/>
            <w:color w:val="0072BC"/>
            <w:sz w:val="20"/>
          </w:rPr>
          <w:t>przeciwko Turcji</w:t>
        </w:r>
      </w:hyperlink>
      <w:r w:rsidRPr="008F72E7">
        <w:rPr>
          <w:rFonts w:asciiTheme="minorHAnsi" w:hAnsiTheme="minorHAnsi" w:cstheme="minorHAnsi"/>
          <w:color w:val="2F2F2F"/>
          <w:sz w:val="20"/>
        </w:rPr>
        <w:t xml:space="preserve"> [GC], 2012, § 71). Niemniej jednak Trybunał podkreślił, że aby ubiegać się o status ofiary, skarżący muszą, jako pracownicy akademiccy lub popularni użytkownicy mediów społecznościowych, wykazać konkretny interes wystarczający do </w:t>
      </w:r>
      <w:r w:rsidR="003A4D05">
        <w:rPr>
          <w:rFonts w:asciiTheme="minorHAnsi" w:hAnsiTheme="minorHAnsi" w:cstheme="minorHAnsi"/>
          <w:color w:val="2F2F2F"/>
          <w:sz w:val="20"/>
        </w:rPr>
        <w:t>skorzystania z</w:t>
      </w:r>
      <w:r w:rsidRPr="008F72E7">
        <w:rPr>
          <w:rFonts w:asciiTheme="minorHAnsi" w:hAnsiTheme="minorHAnsi" w:cstheme="minorHAnsi"/>
          <w:color w:val="2F2F2F"/>
          <w:sz w:val="20"/>
        </w:rPr>
        <w:t xml:space="preserve"> ich prawa do wolności wypowiedzi poprzez wykazanie, w jaki sposób dany środek wpływa na nich bezpośrednio; na przykład mogą oni twierdzić, że faktycznie </w:t>
      </w:r>
      <w:r w:rsidR="005217E9">
        <w:rPr>
          <w:rFonts w:asciiTheme="minorHAnsi" w:hAnsiTheme="minorHAnsi" w:cstheme="minorHAnsi"/>
          <w:color w:val="2F2F2F"/>
          <w:sz w:val="20"/>
        </w:rPr>
        <w:t>,,</w:t>
      </w:r>
      <w:r w:rsidRPr="008F72E7">
        <w:rPr>
          <w:rFonts w:asciiTheme="minorHAnsi" w:hAnsiTheme="minorHAnsi" w:cstheme="minorHAnsi"/>
          <w:color w:val="2F2F2F"/>
          <w:sz w:val="20"/>
        </w:rPr>
        <w:t>uniemożliwiono im publikowanie ich komentarzy lub badań akademickich" (</w:t>
      </w:r>
      <w:hyperlink r:id="rId75">
        <w:r w:rsidRPr="008F72E7">
          <w:rPr>
            <w:rFonts w:asciiTheme="minorHAnsi" w:hAnsiTheme="minorHAnsi" w:cstheme="minorHAnsi"/>
            <w:i/>
            <w:color w:val="0072BC"/>
            <w:sz w:val="20"/>
          </w:rPr>
          <w:t>Akdeniz i inni przeciwko Turcji</w:t>
        </w:r>
      </w:hyperlink>
      <w:r w:rsidRPr="008F72E7">
        <w:rPr>
          <w:rFonts w:asciiTheme="minorHAnsi" w:hAnsiTheme="minorHAnsi" w:cstheme="minorHAnsi"/>
          <w:color w:val="2F2F2F"/>
          <w:sz w:val="20"/>
        </w:rPr>
        <w:t xml:space="preserve">, 2021, </w:t>
      </w:r>
      <w:r w:rsidRPr="008F72E7">
        <w:rPr>
          <w:rFonts w:asciiTheme="minorHAnsi" w:hAnsiTheme="minorHAnsi" w:cstheme="minorHAnsi"/>
          <w:sz w:val="20"/>
        </w:rPr>
        <w:t>§§ 73-75).</w:t>
      </w:r>
    </w:p>
    <w:p w14:paraId="466CB04D" w14:textId="3C14AEDB" w:rsidR="00094751" w:rsidRPr="008F72E7" w:rsidRDefault="00254F27">
      <w:pPr>
        <w:pStyle w:val="Akapitzlist"/>
        <w:numPr>
          <w:ilvl w:val="0"/>
          <w:numId w:val="1"/>
        </w:numPr>
        <w:tabs>
          <w:tab w:val="left" w:pos="1583"/>
        </w:tabs>
        <w:ind w:hanging="284"/>
        <w:jc w:val="both"/>
        <w:rPr>
          <w:rFonts w:asciiTheme="minorHAnsi" w:hAnsiTheme="minorHAnsi" w:cstheme="minorHAnsi"/>
        </w:rPr>
      </w:pPr>
      <w:r w:rsidRPr="008F72E7">
        <w:rPr>
          <w:rFonts w:asciiTheme="minorHAnsi" w:hAnsiTheme="minorHAnsi" w:cstheme="minorHAnsi"/>
          <w:sz w:val="20"/>
        </w:rPr>
        <w:t>Wolność ta obejmuje wolność pracowników akademickich do swobodnego wyrażania opinii na temat instytucji lub systemu, w którym pracują, oraz do rozpowszechniania wiedzy i prawdy bez ograniczeń (</w:t>
      </w:r>
      <w:hyperlink r:id="rId76">
        <w:r w:rsidRPr="008F72E7">
          <w:rPr>
            <w:rFonts w:asciiTheme="minorHAnsi" w:hAnsiTheme="minorHAnsi" w:cstheme="minorHAnsi"/>
            <w:i/>
            <w:color w:val="0072BC"/>
            <w:sz w:val="20"/>
          </w:rPr>
          <w:t>Sorguç pTurcji</w:t>
        </w:r>
      </w:hyperlink>
      <w:hyperlink r:id="rId77">
        <w:r w:rsidRPr="008F72E7">
          <w:rPr>
            <w:rFonts w:asciiTheme="minorHAnsi" w:hAnsiTheme="minorHAnsi" w:cstheme="minorHAnsi"/>
            <w:i/>
            <w:color w:val="0072BC"/>
            <w:sz w:val="20"/>
          </w:rPr>
          <w:t>. Riolo p. Włochom</w:t>
        </w:r>
      </w:hyperlink>
      <w:r w:rsidRPr="008F72E7">
        <w:rPr>
          <w:rFonts w:asciiTheme="minorHAnsi" w:hAnsiTheme="minorHAnsi" w:cstheme="minorHAnsi"/>
          <w:sz w:val="20"/>
        </w:rPr>
        <w:t xml:space="preserve">, 2009, § 35; </w:t>
      </w:r>
      <w:hyperlink r:id="rId78">
        <w:r w:rsidRPr="008F72E7">
          <w:rPr>
            <w:rFonts w:asciiTheme="minorHAnsi" w:hAnsiTheme="minorHAnsi" w:cstheme="minorHAnsi"/>
            <w:i/>
            <w:color w:val="0072BC"/>
            <w:sz w:val="20"/>
          </w:rPr>
          <w:t>Kula p. Turcji,</w:t>
        </w:r>
      </w:hyperlink>
      <w:r w:rsidRPr="008F72E7">
        <w:rPr>
          <w:rFonts w:asciiTheme="minorHAnsi" w:hAnsiTheme="minorHAnsi" w:cstheme="minorHAnsi"/>
          <w:sz w:val="20"/>
        </w:rPr>
        <w:t xml:space="preserve"> 2018, § 38; zob. także</w:t>
      </w:r>
      <w:r w:rsidRPr="008F72E7">
        <w:rPr>
          <w:rFonts w:asciiTheme="minorHAnsi" w:hAnsiTheme="minorHAnsi" w:cstheme="minorHAnsi"/>
          <w:i/>
          <w:sz w:val="20"/>
        </w:rPr>
        <w:t xml:space="preserve">, </w:t>
      </w:r>
      <w:r w:rsidRPr="008F72E7">
        <w:rPr>
          <w:rFonts w:asciiTheme="minorHAnsi" w:hAnsiTheme="minorHAnsi" w:cstheme="minorHAnsi"/>
          <w:sz w:val="20"/>
        </w:rPr>
        <w:t xml:space="preserve">2008, § 63, gdzie Trybunał stwierdził, że pracownik akademicki, którego artykuł został ponownie opublikowany w </w:t>
      </w:r>
      <w:r w:rsidR="001449FD" w:rsidRPr="008F72E7">
        <w:rPr>
          <w:rFonts w:asciiTheme="minorHAnsi" w:hAnsiTheme="minorHAnsi" w:cstheme="minorHAnsi"/>
          <w:sz w:val="20"/>
        </w:rPr>
        <w:t>dzienniku</w:t>
      </w:r>
      <w:r w:rsidRPr="008F72E7">
        <w:rPr>
          <w:rFonts w:asciiTheme="minorHAnsi" w:hAnsiTheme="minorHAnsi" w:cstheme="minorHAnsi"/>
          <w:sz w:val="20"/>
        </w:rPr>
        <w:t>, powinn</w:t>
      </w:r>
      <w:r w:rsidR="001449FD" w:rsidRPr="008F72E7">
        <w:rPr>
          <w:rFonts w:asciiTheme="minorHAnsi" w:hAnsiTheme="minorHAnsi" w:cstheme="minorHAnsi"/>
          <w:sz w:val="20"/>
        </w:rPr>
        <w:t>ien</w:t>
      </w:r>
      <w:r w:rsidRPr="008F72E7">
        <w:rPr>
          <w:rFonts w:asciiTheme="minorHAnsi" w:hAnsiTheme="minorHAnsi" w:cstheme="minorHAnsi"/>
          <w:sz w:val="20"/>
        </w:rPr>
        <w:t xml:space="preserve"> korzystać z takiej samej ochrony jak dziennikarz na mocy art. 10 Konwencji).</w:t>
      </w:r>
    </w:p>
    <w:p w14:paraId="52B46498" w14:textId="77777777" w:rsidR="00094751" w:rsidRPr="008F72E7" w:rsidRDefault="00254F27">
      <w:pPr>
        <w:pStyle w:val="Akapitzlist"/>
        <w:numPr>
          <w:ilvl w:val="0"/>
          <w:numId w:val="1"/>
        </w:numPr>
        <w:tabs>
          <w:tab w:val="left" w:pos="1583"/>
        </w:tabs>
        <w:ind w:hanging="284"/>
        <w:jc w:val="both"/>
        <w:rPr>
          <w:rFonts w:asciiTheme="minorHAnsi" w:hAnsiTheme="minorHAnsi" w:cstheme="minorHAnsi"/>
        </w:rPr>
      </w:pPr>
      <w:r w:rsidRPr="008F72E7">
        <w:rPr>
          <w:rFonts w:asciiTheme="minorHAnsi" w:hAnsiTheme="minorHAnsi" w:cstheme="minorHAnsi"/>
          <w:sz w:val="20"/>
        </w:rPr>
        <w:t xml:space="preserve">W wyroku w sprawie </w:t>
      </w:r>
      <w:hyperlink r:id="rId79">
        <w:r w:rsidRPr="008F72E7">
          <w:rPr>
            <w:rFonts w:asciiTheme="minorHAnsi" w:hAnsiTheme="minorHAnsi" w:cstheme="minorHAnsi"/>
            <w:i/>
            <w:color w:val="0072BC"/>
            <w:sz w:val="20"/>
          </w:rPr>
          <w:t>Hertel przeciwko Szwajcarii</w:t>
        </w:r>
      </w:hyperlink>
      <w:r w:rsidRPr="008F72E7">
        <w:rPr>
          <w:rFonts w:asciiTheme="minorHAnsi" w:hAnsiTheme="minorHAnsi" w:cstheme="minorHAnsi"/>
          <w:color w:val="2F2F2F"/>
          <w:sz w:val="20"/>
        </w:rPr>
        <w:t xml:space="preserve">, 1998, </w:t>
      </w:r>
      <w:r w:rsidRPr="008F72E7">
        <w:rPr>
          <w:rFonts w:asciiTheme="minorHAnsi" w:hAnsiTheme="minorHAnsi" w:cstheme="minorHAnsi"/>
          <w:sz w:val="20"/>
        </w:rPr>
        <w:t>§ 50, Trybunał podkreślił w szczególności, że w sferze, w której jest mało prawdopodobne, aby istniała jakakolwiek pewność, byłoby szczególnie nierozsądne ograniczanie wolności wypowiedzi tylko do ogólnie przyjętych idei.</w:t>
      </w:r>
    </w:p>
    <w:p w14:paraId="6D840743" w14:textId="7A49E192" w:rsidR="00094751" w:rsidRPr="008F72E7" w:rsidRDefault="00254F27">
      <w:pPr>
        <w:pStyle w:val="Akapitzlist"/>
        <w:numPr>
          <w:ilvl w:val="0"/>
          <w:numId w:val="1"/>
        </w:numPr>
        <w:tabs>
          <w:tab w:val="left" w:pos="1583"/>
        </w:tabs>
        <w:ind w:right="727" w:hanging="284"/>
        <w:jc w:val="both"/>
        <w:rPr>
          <w:rFonts w:asciiTheme="minorHAnsi" w:hAnsiTheme="minorHAnsi" w:cstheme="minorHAnsi"/>
        </w:rPr>
      </w:pPr>
      <w:r w:rsidRPr="008F72E7">
        <w:rPr>
          <w:rFonts w:asciiTheme="minorHAnsi" w:hAnsiTheme="minorHAnsi" w:cstheme="minorHAnsi"/>
          <w:sz w:val="20"/>
        </w:rPr>
        <w:t xml:space="preserve">W wyroku w </w:t>
      </w:r>
      <w:hyperlink r:id="rId80">
        <w:r w:rsidRPr="008F72E7">
          <w:rPr>
            <w:rFonts w:asciiTheme="minorHAnsi" w:hAnsiTheme="minorHAnsi" w:cstheme="minorHAnsi"/>
            <w:i/>
            <w:color w:val="0072BC"/>
            <w:sz w:val="20"/>
          </w:rPr>
          <w:t>sprawie Bielau przeciwko Austrii</w:t>
        </w:r>
      </w:hyperlink>
      <w:r w:rsidRPr="008F72E7">
        <w:rPr>
          <w:rFonts w:asciiTheme="minorHAnsi" w:hAnsiTheme="minorHAnsi" w:cstheme="minorHAnsi"/>
          <w:sz w:val="20"/>
        </w:rPr>
        <w:t xml:space="preserve">, 2024, § 44, w kontekście wpisu na blogu opublikowanego przez praktykującego lekarza, Trybunał zauważył, że chociaż praktykujący lekarze korzystają z wolności wypowiedzi zagwarantowanej w art. 10, korzystanie z niej powinno być zrównoważone z ich obowiązkami zawodowymi. Ograniczenie ich wolności wypowiedzi może być uzasadnione w przypadkach </w:t>
      </w:r>
      <w:r w:rsidR="005217E9">
        <w:rPr>
          <w:rFonts w:asciiTheme="minorHAnsi" w:hAnsiTheme="minorHAnsi" w:cstheme="minorHAnsi"/>
          <w:sz w:val="20"/>
        </w:rPr>
        <w:t>,,</w:t>
      </w:r>
      <w:r w:rsidRPr="008F72E7">
        <w:rPr>
          <w:rFonts w:asciiTheme="minorHAnsi" w:hAnsiTheme="minorHAnsi" w:cstheme="minorHAnsi"/>
          <w:sz w:val="20"/>
        </w:rPr>
        <w:t xml:space="preserve">kategorycznych i nieprawdziwych informacji publicznych dotyczących kwestii medycznych" oraz jeśli są one </w:t>
      </w:r>
      <w:r w:rsidR="005217E9">
        <w:rPr>
          <w:rFonts w:asciiTheme="minorHAnsi" w:hAnsiTheme="minorHAnsi" w:cstheme="minorHAnsi"/>
          <w:sz w:val="20"/>
        </w:rPr>
        <w:t>,,</w:t>
      </w:r>
      <w:r w:rsidRPr="008F72E7">
        <w:rPr>
          <w:rFonts w:asciiTheme="minorHAnsi" w:hAnsiTheme="minorHAnsi" w:cstheme="minorHAnsi"/>
          <w:sz w:val="20"/>
        </w:rPr>
        <w:t>naukowo nie do obrony".</w:t>
      </w:r>
    </w:p>
    <w:p w14:paraId="7D1792B1" w14:textId="77777777" w:rsidR="00094751" w:rsidRPr="008F72E7" w:rsidRDefault="00094751">
      <w:pPr>
        <w:pStyle w:val="Tekstpodstawowy"/>
        <w:spacing w:before="0"/>
        <w:ind w:left="0"/>
        <w:rPr>
          <w:rFonts w:asciiTheme="minorHAnsi" w:hAnsiTheme="minorHAnsi" w:cstheme="minorHAnsi"/>
          <w:sz w:val="20"/>
        </w:rPr>
      </w:pPr>
    </w:p>
    <w:p w14:paraId="0C638C29" w14:textId="77777777" w:rsidR="00094751" w:rsidRPr="008F72E7" w:rsidRDefault="00254F27">
      <w:pPr>
        <w:pStyle w:val="Tekstpodstawowy"/>
        <w:spacing w:before="227"/>
        <w:ind w:left="0"/>
        <w:rPr>
          <w:rFonts w:asciiTheme="minorHAnsi" w:hAnsiTheme="minorHAnsi" w:cstheme="minorHAnsi"/>
          <w:sz w:val="20"/>
        </w:rPr>
      </w:pPr>
      <w:r w:rsidRPr="008F72E7">
        <w:rPr>
          <w:rFonts w:asciiTheme="minorHAnsi" w:hAnsiTheme="minorHAnsi" w:cstheme="minorHAnsi"/>
          <w:noProof/>
          <w:sz w:val="20"/>
        </w:rPr>
        <mc:AlternateContent>
          <mc:Choice Requires="wps">
            <w:drawing>
              <wp:anchor distT="0" distB="0" distL="0" distR="0" simplePos="0" relativeHeight="251672576" behindDoc="1" locked="0" layoutInCell="1" allowOverlap="1" wp14:anchorId="4A8C70D7" wp14:editId="08D1BE6D">
                <wp:simplePos x="0" y="0"/>
                <wp:positionH relativeFrom="page">
                  <wp:posOffset>914400</wp:posOffset>
                </wp:positionH>
                <wp:positionV relativeFrom="paragraph">
                  <wp:posOffset>314633</wp:posOffset>
                </wp:positionV>
                <wp:extent cx="1822450" cy="1270"/>
                <wp:effectExtent l="0" t="0" r="0" b="0"/>
                <wp:wrapTopAndBottom/>
                <wp:docPr id="14" name="Graphic 14"/>
                <wp:cNvGraphicFramePr/>
                <a:graphic xmlns:a="http://schemas.openxmlformats.org/drawingml/2006/main">
                  <a:graphicData uri="http://schemas.microsoft.com/office/word/2010/wordprocessingShape">
                    <wps:wsp>
                      <wps:cNvSpPr/>
                      <wps:spPr>
                        <a:xfrm>
                          <a:off x="0" y="0"/>
                          <a:ext cx="1822450" cy="1270"/>
                        </a:xfrm>
                        <a:custGeom>
                          <a:avLst/>
                          <a:gdLst/>
                          <a:ahLst/>
                          <a:cxnLst/>
                          <a:rect l="l" t="t" r="r" b="b"/>
                          <a:pathLst>
                            <a:path w="1822450">
                              <a:moveTo>
                                <a:pt x="0" y="0"/>
                              </a:moveTo>
                              <a:lnTo>
                                <a:pt x="1822450" y="0"/>
                              </a:lnTo>
                            </a:path>
                          </a:pathLst>
                        </a:custGeom>
                        <a:ln w="9144">
                          <a:solidFill>
                            <a:srgbClr val="000000"/>
                          </a:solidFill>
                          <a:prstDash val="solid"/>
                        </a:ln>
                      </wps:spPr>
                      <wps:bodyPr wrap="square" lIns="0" tIns="0" rIns="0" bIns="0" rtlCol="0">
                        <a:prstTxWarp prst="textNoShape">
                          <a:avLst/>
                        </a:prstTxWarp>
                      </wps:bodyPr>
                    </wps:wsp>
                  </a:graphicData>
                </a:graphic>
              </wp:anchor>
            </w:drawing>
          </mc:Choice>
          <mc:Fallback>
            <w:pict>
              <v:shape w14:anchorId="57821C45" id="Graphic 14" o:spid="_x0000_s1026" style="position:absolute;margin-left:1in;margin-top:24.75pt;width:143.5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18224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" path="m,l1822450,e" filled="f" strokeweight=".72pt">
                <v:path arrowok="t"/>
                <w10:wrap type="topAndBottom" anchorx="page"/>
              </v:shape>
            </w:pict>
          </mc:Fallback>
        </mc:AlternateContent>
      </w:r>
    </w:p>
    <w:p w14:paraId="6204BE1C" w14:textId="2193D3F5" w:rsidR="00094751" w:rsidRPr="008F72E7" w:rsidRDefault="00254F27">
      <w:pPr>
        <w:spacing w:before="110"/>
        <w:ind w:left="732" w:right="601"/>
        <w:rPr>
          <w:rFonts w:asciiTheme="minorHAnsi" w:hAnsiTheme="minorHAnsi" w:cstheme="minorHAnsi"/>
          <w:sz w:val="20"/>
        </w:rPr>
      </w:pPr>
      <w:r w:rsidRPr="008F72E7">
        <w:rPr>
          <w:rFonts w:asciiTheme="minorHAnsi" w:hAnsiTheme="minorHAnsi" w:cstheme="minorHAnsi"/>
          <w:position w:val="6"/>
          <w:sz w:val="12"/>
        </w:rPr>
        <w:t xml:space="preserve">7 </w:t>
      </w:r>
      <w:r w:rsidRPr="008F72E7">
        <w:rPr>
          <w:rFonts w:asciiTheme="minorHAnsi" w:hAnsiTheme="minorHAnsi" w:cstheme="minorHAnsi"/>
          <w:sz w:val="19"/>
        </w:rPr>
        <w:t xml:space="preserve">W odniesieniu do autorów literatury dotyczącej spraw budzących </w:t>
      </w:r>
      <w:r w:rsidR="00CF7D6E">
        <w:rPr>
          <w:rFonts w:asciiTheme="minorHAnsi" w:hAnsiTheme="minorHAnsi" w:cstheme="minorHAnsi"/>
          <w:sz w:val="19"/>
        </w:rPr>
        <w:t>zainteresowanie</w:t>
      </w:r>
      <w:r w:rsidRPr="008F72E7">
        <w:rPr>
          <w:rFonts w:asciiTheme="minorHAnsi" w:hAnsiTheme="minorHAnsi" w:cstheme="minorHAnsi"/>
          <w:sz w:val="19"/>
        </w:rPr>
        <w:t xml:space="preserve"> opinii publicznej, zob. ogólnie </w:t>
      </w:r>
      <w:hyperlink r:id="rId81">
        <w:r w:rsidRPr="008F72E7">
          <w:rPr>
            <w:rFonts w:asciiTheme="minorHAnsi" w:hAnsiTheme="minorHAnsi" w:cstheme="minorHAnsi"/>
            <w:color w:val="0072BC"/>
            <w:sz w:val="19"/>
          </w:rPr>
          <w:t>Przewodnik po Artykule 10</w:t>
        </w:r>
      </w:hyperlink>
      <w:r w:rsidRPr="008F72E7">
        <w:rPr>
          <w:rFonts w:asciiTheme="minorHAnsi" w:hAnsiTheme="minorHAnsi" w:cstheme="minorHAnsi"/>
          <w:sz w:val="19"/>
        </w:rPr>
        <w:t xml:space="preserve"> oraz, wśród wielu innych odniesień do orzecznictwa, </w:t>
      </w:r>
      <w:hyperlink r:id="rId82">
        <w:r w:rsidRPr="008F72E7">
          <w:rPr>
            <w:rFonts w:asciiTheme="minorHAnsi" w:hAnsiTheme="minorHAnsi" w:cstheme="minorHAnsi"/>
            <w:i/>
            <w:color w:val="0072BC"/>
            <w:sz w:val="19"/>
          </w:rPr>
          <w:t>Chauvy i Inni przeciwko Francji</w:t>
        </w:r>
      </w:hyperlink>
      <w:r w:rsidRPr="008F72E7">
        <w:rPr>
          <w:rFonts w:asciiTheme="minorHAnsi" w:hAnsiTheme="minorHAnsi" w:cstheme="minorHAnsi"/>
          <w:sz w:val="19"/>
        </w:rPr>
        <w:t>, 2004, §§ 67-68.</w:t>
      </w:r>
    </w:p>
    <w:p w14:paraId="6AFE215E" w14:textId="77777777" w:rsidR="00094751" w:rsidRPr="008F72E7" w:rsidRDefault="00094751">
      <w:pPr>
        <w:rPr>
          <w:rFonts w:asciiTheme="minorHAnsi" w:hAnsiTheme="minorHAnsi" w:cstheme="minorHAnsi"/>
          <w:sz w:val="20"/>
        </w:rPr>
        <w:sectPr w:rsidR="00094751" w:rsidRPr="008F72E7">
          <w:pgSz w:w="11910" w:h="16840"/>
          <w:pgMar w:top="1100" w:right="708" w:bottom="920" w:left="708" w:header="723" w:footer="726" w:gutter="0"/>
          <w:cols w:space="708"/>
        </w:sectPr>
      </w:pPr>
    </w:p>
    <w:p w14:paraId="32531440" w14:textId="77777777" w:rsidR="00094751" w:rsidRPr="008F72E7" w:rsidRDefault="00094751">
      <w:pPr>
        <w:pStyle w:val="Tekstpodstawowy"/>
        <w:spacing w:before="146"/>
        <w:ind w:left="0"/>
        <w:rPr>
          <w:rFonts w:asciiTheme="minorHAnsi" w:hAnsiTheme="minorHAnsi" w:cstheme="minorHAnsi"/>
        </w:rPr>
      </w:pPr>
    </w:p>
    <w:p w14:paraId="383CB3E4" w14:textId="0C7861E7" w:rsidR="00094751" w:rsidRPr="008F72E7" w:rsidRDefault="00254F27">
      <w:pPr>
        <w:pStyle w:val="Akapitzlist"/>
        <w:numPr>
          <w:ilvl w:val="0"/>
          <w:numId w:val="1"/>
        </w:numPr>
        <w:tabs>
          <w:tab w:val="left" w:pos="1583"/>
        </w:tabs>
        <w:spacing w:before="0"/>
        <w:ind w:right="730" w:hanging="284"/>
        <w:jc w:val="both"/>
        <w:rPr>
          <w:rFonts w:asciiTheme="minorHAnsi" w:hAnsiTheme="minorHAnsi" w:cstheme="minorHAnsi"/>
        </w:rPr>
      </w:pPr>
      <w:hyperlink r:id="rId83">
        <w:r w:rsidRPr="008F72E7">
          <w:rPr>
            <w:rFonts w:asciiTheme="minorHAnsi" w:hAnsiTheme="minorHAnsi" w:cstheme="minorHAnsi"/>
            <w:i/>
            <w:color w:val="0072BC"/>
            <w:sz w:val="20"/>
          </w:rPr>
          <w:t>W sprawie Suprun i inni przeciwko Rosji</w:t>
        </w:r>
      </w:hyperlink>
      <w:r w:rsidRPr="008F72E7">
        <w:rPr>
          <w:rFonts w:asciiTheme="minorHAnsi" w:hAnsiTheme="minorHAnsi" w:cstheme="minorHAnsi"/>
          <w:sz w:val="20"/>
        </w:rPr>
        <w:t xml:space="preserve">, 2024, § 90, Trybunał stwierdził, że odmowa udostępnienia dokumentów archiwalnych dotyczących </w:t>
      </w:r>
      <w:r w:rsidR="00C866F2" w:rsidRPr="008F72E7">
        <w:rPr>
          <w:rFonts w:asciiTheme="minorHAnsi" w:hAnsiTheme="minorHAnsi" w:cstheme="minorHAnsi"/>
          <w:sz w:val="20"/>
        </w:rPr>
        <w:t>prześladowań</w:t>
      </w:r>
      <w:r w:rsidRPr="008F72E7">
        <w:rPr>
          <w:rFonts w:asciiTheme="minorHAnsi" w:hAnsiTheme="minorHAnsi" w:cstheme="minorHAnsi"/>
          <w:sz w:val="20"/>
        </w:rPr>
        <w:t xml:space="preserve"> w czasach sowieckich stanowiła ingerencję w prawo skarżących do otrzymywania informacji. Ponadto dostęp do takich informacji został uznany za przydatny w celu zwiększenia </w:t>
      </w:r>
      <w:r w:rsidR="005217E9">
        <w:rPr>
          <w:rFonts w:asciiTheme="minorHAnsi" w:hAnsiTheme="minorHAnsi" w:cstheme="minorHAnsi"/>
          <w:sz w:val="20"/>
        </w:rPr>
        <w:t>,,</w:t>
      </w:r>
      <w:r w:rsidRPr="008F72E7">
        <w:rPr>
          <w:rFonts w:asciiTheme="minorHAnsi" w:hAnsiTheme="minorHAnsi" w:cstheme="minorHAnsi"/>
          <w:sz w:val="20"/>
        </w:rPr>
        <w:t>publicznej świadomości historycznej".</w:t>
      </w:r>
    </w:p>
    <w:p w14:paraId="0BCE071A" w14:textId="77777777" w:rsidR="00094751" w:rsidRPr="008F72E7" w:rsidRDefault="00254F27">
      <w:pPr>
        <w:pStyle w:val="Nagwek1"/>
        <w:rPr>
          <w:rFonts w:asciiTheme="minorHAnsi" w:hAnsiTheme="minorHAnsi" w:cstheme="minorHAnsi"/>
        </w:rPr>
      </w:pPr>
      <w:r w:rsidRPr="008F72E7">
        <w:rPr>
          <w:rFonts w:asciiTheme="minorHAnsi" w:hAnsiTheme="minorHAnsi" w:cstheme="minorHAnsi"/>
          <w:noProof/>
        </w:rPr>
        <mc:AlternateContent>
          <mc:Choice Requires="wps">
            <w:drawing>
              <wp:anchor distT="0" distB="0" distL="0" distR="0" simplePos="0" relativeHeight="251674624" behindDoc="1" locked="0" layoutInCell="1" allowOverlap="1" wp14:anchorId="718318A9" wp14:editId="4D560D05">
                <wp:simplePos x="0" y="0"/>
                <wp:positionH relativeFrom="page">
                  <wp:posOffset>895985</wp:posOffset>
                </wp:positionH>
                <wp:positionV relativeFrom="paragraph">
                  <wp:posOffset>315776</wp:posOffset>
                </wp:positionV>
                <wp:extent cx="5768975" cy="1270"/>
                <wp:effectExtent l="0" t="0" r="0" b="0"/>
                <wp:wrapTopAndBottom/>
                <wp:docPr id="15" name="Graphic 15"/>
                <wp:cNvGraphicFramePr/>
                <a:graphic xmlns:a="http://schemas.openxmlformats.org/drawingml/2006/main">
                  <a:graphicData uri="http://schemas.microsoft.com/office/word/2010/wordprocessingShape">
                    <wps:wsp>
                      <wps:cNvSpPr/>
                      <wps:spPr>
                        <a:xfrm>
                          <a:off x="0" y="0"/>
                          <a:ext cx="5768975" cy="1270"/>
                        </a:xfrm>
                        <a:custGeom>
                          <a:avLst/>
                          <a:gdLst/>
                          <a:ahLst/>
                          <a:cxnLst/>
                          <a:rect l="l" t="t" r="r" b="b"/>
                          <a:pathLst>
                            <a:path w="5768975">
                              <a:moveTo>
                                <a:pt x="0" y="0"/>
                              </a:moveTo>
                              <a:lnTo>
                                <a:pt x="5768974" y="0"/>
                              </a:lnTo>
                            </a:path>
                          </a:pathLst>
                        </a:custGeom>
                        <a:ln w="19050">
                          <a:solidFill>
                            <a:srgbClr val="949494"/>
                          </a:solidFill>
                          <a:prstDash val="solid"/>
                        </a:ln>
                      </wps:spPr>
                      <wps:bodyPr wrap="square" lIns="0" tIns="0" rIns="0" bIns="0" rtlCol="0">
                        <a:prstTxWarp prst="textNoShape">
                          <a:avLst/>
                        </a:prstTxWarp>
                      </wps:bodyPr>
                    </wps:wsp>
                  </a:graphicData>
                </a:graphic>
              </wp:anchor>
            </w:drawing>
          </mc:Choice>
          <mc:Fallback>
            <w:pict>
              <v:shape w14:anchorId="4F148CF7" id="Graphic 15" o:spid="_x0000_s1026" style="position:absolute;margin-left:70.55pt;margin-top:24.85pt;width:454.25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57689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" path="m,l5768974,e" filled="f" strokecolor="#949494" strokeweight="1.5pt">
                <v:path arrowok="t"/>
                <w10:wrap type="topAndBottom" anchorx="page"/>
              </v:shape>
            </w:pict>
          </mc:Fallback>
        </mc:AlternateContent>
      </w:r>
      <w:r w:rsidRPr="008F72E7">
        <w:rPr>
          <w:rFonts w:asciiTheme="minorHAnsi" w:hAnsiTheme="minorHAnsi" w:cstheme="minorHAnsi"/>
          <w:color w:val="2F2F2F"/>
          <w:sz w:val="26"/>
        </w:rPr>
        <w:t xml:space="preserve">Dalsze </w:t>
      </w:r>
      <w:r w:rsidRPr="008F72E7">
        <w:rPr>
          <w:rFonts w:asciiTheme="minorHAnsi" w:hAnsiTheme="minorHAnsi" w:cstheme="minorHAnsi"/>
          <w:color w:val="2F2F2F"/>
          <w:spacing w:val="-2"/>
          <w:sz w:val="26"/>
        </w:rPr>
        <w:t>odniesienia</w:t>
      </w:r>
    </w:p>
    <w:p w14:paraId="79F318AE" w14:textId="77777777" w:rsidR="00094751" w:rsidRPr="008F72E7" w:rsidRDefault="00254F27">
      <w:pPr>
        <w:pStyle w:val="Nagwek2"/>
        <w:spacing w:before="284"/>
        <w:rPr>
          <w:rFonts w:asciiTheme="minorHAnsi" w:hAnsiTheme="minorHAnsi" w:cstheme="minorHAnsi"/>
        </w:rPr>
      </w:pPr>
      <w:r w:rsidRPr="008F72E7">
        <w:rPr>
          <w:rFonts w:asciiTheme="minorHAnsi" w:hAnsiTheme="minorHAnsi" w:cstheme="minorHAnsi"/>
          <w:color w:val="2F2F2F"/>
          <w:w w:val="85"/>
          <w:sz w:val="26"/>
        </w:rPr>
        <w:t xml:space="preserve">Odpowiednie </w:t>
      </w:r>
      <w:r w:rsidRPr="008F72E7">
        <w:rPr>
          <w:rFonts w:asciiTheme="minorHAnsi" w:hAnsiTheme="minorHAnsi" w:cstheme="minorHAnsi"/>
          <w:color w:val="2F2F2F"/>
          <w:spacing w:val="-4"/>
          <w:w w:val="85"/>
          <w:sz w:val="26"/>
        </w:rPr>
        <w:t xml:space="preserve">prawo </w:t>
      </w:r>
      <w:r w:rsidRPr="008F72E7">
        <w:rPr>
          <w:rFonts w:asciiTheme="minorHAnsi" w:hAnsiTheme="minorHAnsi" w:cstheme="minorHAnsi"/>
          <w:color w:val="2F2F2F"/>
          <w:w w:val="85"/>
          <w:sz w:val="26"/>
        </w:rPr>
        <w:t>europejskie i międzynarodowe</w:t>
      </w:r>
      <w:r w:rsidRPr="008F72E7">
        <w:rPr>
          <w:rFonts w:asciiTheme="minorHAnsi" w:hAnsiTheme="minorHAnsi" w:cstheme="minorHAnsi"/>
          <w:color w:val="2F2F2F"/>
          <w:spacing w:val="-4"/>
          <w:w w:val="85"/>
          <w:sz w:val="26"/>
        </w:rPr>
        <w:t>:</w:t>
      </w:r>
    </w:p>
    <w:p w14:paraId="7E06B9CD" w14:textId="77777777" w:rsidR="00094751" w:rsidRPr="008F72E7" w:rsidRDefault="00254F27">
      <w:pPr>
        <w:pStyle w:val="Akapitzlist"/>
        <w:numPr>
          <w:ilvl w:val="0"/>
          <w:numId w:val="1"/>
        </w:numPr>
        <w:tabs>
          <w:tab w:val="left" w:pos="1582"/>
        </w:tabs>
        <w:spacing w:before="76"/>
        <w:ind w:left="1582" w:right="0" w:hanging="283"/>
        <w:rPr>
          <w:rFonts w:asciiTheme="minorHAnsi" w:hAnsiTheme="minorHAnsi" w:cstheme="minorHAnsi"/>
        </w:rPr>
      </w:pPr>
      <w:hyperlink r:id="rId84">
        <w:r w:rsidRPr="008F72E7">
          <w:rPr>
            <w:rFonts w:asciiTheme="minorHAnsi" w:hAnsiTheme="minorHAnsi" w:cstheme="minorHAnsi"/>
            <w:color w:val="0072BC"/>
            <w:sz w:val="20"/>
          </w:rPr>
          <w:t xml:space="preserve">Konwencja Rady Europy o dostępie do dokumentów urzędowych (CETS nr </w:t>
        </w:r>
        <w:r w:rsidRPr="008F72E7">
          <w:rPr>
            <w:rFonts w:asciiTheme="minorHAnsi" w:hAnsiTheme="minorHAnsi" w:cstheme="minorHAnsi"/>
            <w:color w:val="0072BC"/>
            <w:spacing w:val="-4"/>
            <w:sz w:val="20"/>
          </w:rPr>
          <w:t>205)</w:t>
        </w:r>
      </w:hyperlink>
    </w:p>
    <w:p w14:paraId="6312F192" w14:textId="77777777" w:rsidR="00094751" w:rsidRPr="008F72E7" w:rsidRDefault="00254F27">
      <w:pPr>
        <w:pStyle w:val="Akapitzlist"/>
        <w:numPr>
          <w:ilvl w:val="0"/>
          <w:numId w:val="1"/>
        </w:numPr>
        <w:tabs>
          <w:tab w:val="left" w:pos="1583"/>
        </w:tabs>
        <w:ind w:right="728" w:hanging="284"/>
        <w:rPr>
          <w:rFonts w:asciiTheme="minorHAnsi" w:hAnsiTheme="minorHAnsi" w:cstheme="minorHAnsi"/>
        </w:rPr>
      </w:pPr>
      <w:hyperlink r:id="rId85">
        <w:r w:rsidRPr="008F72E7">
          <w:rPr>
            <w:rFonts w:asciiTheme="minorHAnsi" w:hAnsiTheme="minorHAnsi" w:cstheme="minorHAnsi"/>
            <w:color w:val="0072BC"/>
            <w:sz w:val="20"/>
          </w:rPr>
          <w:t xml:space="preserve">Zalecenie CM/Rec(2022)4 Komitetu Ministrów dla państw członkowskich w sprawie </w:t>
        </w:r>
      </w:hyperlink>
      <w:hyperlink r:id="rId86">
        <w:r w:rsidRPr="008F72E7">
          <w:rPr>
            <w:rFonts w:asciiTheme="minorHAnsi" w:hAnsiTheme="minorHAnsi" w:cstheme="minorHAnsi"/>
            <w:color w:val="0072BC"/>
            <w:sz w:val="20"/>
          </w:rPr>
          <w:t>promowania środowiska sprzyjającego wysokiej jakości dziennikarstwu w erze cyfrowej</w:t>
        </w:r>
      </w:hyperlink>
      <w:r w:rsidRPr="008F72E7">
        <w:rPr>
          <w:rFonts w:asciiTheme="minorHAnsi" w:hAnsiTheme="minorHAnsi" w:cstheme="minorHAnsi"/>
          <w:sz w:val="20"/>
        </w:rPr>
        <w:t xml:space="preserve"> (2022)</w:t>
      </w:r>
    </w:p>
    <w:p w14:paraId="68CA50DE" w14:textId="77777777" w:rsidR="00094751" w:rsidRPr="008F72E7" w:rsidRDefault="00254F27">
      <w:pPr>
        <w:pStyle w:val="Akapitzlist"/>
        <w:numPr>
          <w:ilvl w:val="0"/>
          <w:numId w:val="1"/>
        </w:numPr>
        <w:tabs>
          <w:tab w:val="left" w:pos="1583"/>
        </w:tabs>
        <w:ind w:hanging="284"/>
        <w:rPr>
          <w:rFonts w:asciiTheme="minorHAnsi" w:hAnsiTheme="minorHAnsi" w:cstheme="minorHAnsi"/>
        </w:rPr>
      </w:pPr>
      <w:hyperlink r:id="rId87">
        <w:r w:rsidRPr="008F72E7">
          <w:rPr>
            <w:rFonts w:asciiTheme="minorHAnsi" w:hAnsiTheme="minorHAnsi" w:cstheme="minorHAnsi"/>
            <w:color w:val="0072BC"/>
            <w:sz w:val="20"/>
          </w:rPr>
          <w:t xml:space="preserve">Zalecenie CM/Rec(2018)2 Komitetu Ministrów dla państw członkowskich w sprawie </w:t>
        </w:r>
      </w:hyperlink>
      <w:hyperlink r:id="rId88">
        <w:r w:rsidRPr="008F72E7">
          <w:rPr>
            <w:rFonts w:asciiTheme="minorHAnsi" w:hAnsiTheme="minorHAnsi" w:cstheme="minorHAnsi"/>
            <w:color w:val="0072BC"/>
            <w:sz w:val="20"/>
          </w:rPr>
          <w:t>ról i obowiązków pośredników internetowych</w:t>
        </w:r>
      </w:hyperlink>
      <w:r w:rsidRPr="008F72E7">
        <w:rPr>
          <w:rFonts w:asciiTheme="minorHAnsi" w:hAnsiTheme="minorHAnsi" w:cstheme="minorHAnsi"/>
          <w:sz w:val="20"/>
        </w:rPr>
        <w:t xml:space="preserve"> (2018)</w:t>
      </w:r>
    </w:p>
    <w:p w14:paraId="348D44E4" w14:textId="77777777" w:rsidR="00094751" w:rsidRPr="008F72E7" w:rsidRDefault="00254F27">
      <w:pPr>
        <w:pStyle w:val="Akapitzlist"/>
        <w:numPr>
          <w:ilvl w:val="0"/>
          <w:numId w:val="1"/>
        </w:numPr>
        <w:tabs>
          <w:tab w:val="left" w:pos="1583"/>
        </w:tabs>
        <w:ind w:hanging="284"/>
        <w:rPr>
          <w:rFonts w:asciiTheme="minorHAnsi" w:hAnsiTheme="minorHAnsi" w:cstheme="minorHAnsi"/>
        </w:rPr>
      </w:pPr>
      <w:hyperlink r:id="rId89">
        <w:r w:rsidRPr="008F72E7">
          <w:rPr>
            <w:rFonts w:asciiTheme="minorHAnsi" w:hAnsiTheme="minorHAnsi" w:cstheme="minorHAnsi"/>
            <w:color w:val="0072BC"/>
            <w:sz w:val="20"/>
          </w:rPr>
          <w:t xml:space="preserve">Rekomendacja CM/Rec(2016)4 Komitetu Ministrów dla państw członkowskich w sprawie </w:t>
        </w:r>
      </w:hyperlink>
      <w:hyperlink r:id="rId90">
        <w:r w:rsidRPr="008F72E7">
          <w:rPr>
            <w:rFonts w:asciiTheme="minorHAnsi" w:hAnsiTheme="minorHAnsi" w:cstheme="minorHAnsi"/>
            <w:color w:val="0072BC"/>
            <w:sz w:val="20"/>
          </w:rPr>
          <w:t>ochrony dziennikarstwa i bezpieczeństwa dziennikarzy i innych podmiotów medialnych</w:t>
        </w:r>
      </w:hyperlink>
      <w:r w:rsidRPr="008F72E7">
        <w:rPr>
          <w:rFonts w:asciiTheme="minorHAnsi" w:hAnsiTheme="minorHAnsi" w:cstheme="minorHAnsi"/>
          <w:sz w:val="20"/>
        </w:rPr>
        <w:t xml:space="preserve"> (2016)</w:t>
      </w:r>
    </w:p>
    <w:p w14:paraId="2A98BC6A" w14:textId="77777777" w:rsidR="00094751" w:rsidRPr="008F72E7" w:rsidRDefault="00254F27">
      <w:pPr>
        <w:pStyle w:val="Akapitzlist"/>
        <w:numPr>
          <w:ilvl w:val="0"/>
          <w:numId w:val="1"/>
        </w:numPr>
        <w:tabs>
          <w:tab w:val="left" w:pos="1583"/>
        </w:tabs>
        <w:ind w:hanging="284"/>
        <w:rPr>
          <w:rFonts w:asciiTheme="minorHAnsi" w:hAnsiTheme="minorHAnsi" w:cstheme="minorHAnsi"/>
        </w:rPr>
      </w:pPr>
      <w:hyperlink r:id="rId91">
        <w:r w:rsidRPr="008F72E7">
          <w:rPr>
            <w:rFonts w:asciiTheme="minorHAnsi" w:hAnsiTheme="minorHAnsi" w:cstheme="minorHAnsi"/>
            <w:color w:val="0072BC"/>
            <w:sz w:val="20"/>
          </w:rPr>
          <w:t xml:space="preserve">Rekomendacja CM/Rec(2012)3 Komitetu Ministrów dla państw członkowskich w sprawie </w:t>
        </w:r>
      </w:hyperlink>
      <w:hyperlink r:id="rId92">
        <w:r w:rsidRPr="008F72E7">
          <w:rPr>
            <w:rFonts w:asciiTheme="minorHAnsi" w:hAnsiTheme="minorHAnsi" w:cstheme="minorHAnsi"/>
            <w:color w:val="0072BC"/>
            <w:sz w:val="20"/>
          </w:rPr>
          <w:t>ochrony praw człowieka w odniesieniu do wyszukiwarek internetowych</w:t>
        </w:r>
      </w:hyperlink>
      <w:r w:rsidRPr="008F72E7">
        <w:rPr>
          <w:rFonts w:asciiTheme="minorHAnsi" w:hAnsiTheme="minorHAnsi" w:cstheme="minorHAnsi"/>
          <w:sz w:val="20"/>
        </w:rPr>
        <w:t xml:space="preserve"> (2012)</w:t>
      </w:r>
    </w:p>
    <w:p w14:paraId="40810354" w14:textId="77777777" w:rsidR="00094751" w:rsidRPr="008F72E7" w:rsidRDefault="00254F27">
      <w:pPr>
        <w:pStyle w:val="Akapitzlist"/>
        <w:numPr>
          <w:ilvl w:val="0"/>
          <w:numId w:val="1"/>
        </w:numPr>
        <w:tabs>
          <w:tab w:val="left" w:pos="1583"/>
        </w:tabs>
        <w:ind w:hanging="284"/>
        <w:rPr>
          <w:rFonts w:asciiTheme="minorHAnsi" w:hAnsiTheme="minorHAnsi" w:cstheme="minorHAnsi"/>
        </w:rPr>
      </w:pPr>
      <w:hyperlink r:id="rId93">
        <w:r w:rsidRPr="008F72E7">
          <w:rPr>
            <w:rFonts w:asciiTheme="minorHAnsi" w:hAnsiTheme="minorHAnsi" w:cstheme="minorHAnsi"/>
            <w:color w:val="0072BC"/>
            <w:sz w:val="20"/>
          </w:rPr>
          <w:t xml:space="preserve">Zalecenie CM/Rec(2011)7 Komitetu Ministrów dla państw członkowskich w sprawie nowego </w:t>
        </w:r>
      </w:hyperlink>
      <w:hyperlink r:id="rId94">
        <w:r w:rsidRPr="008F72E7">
          <w:rPr>
            <w:rFonts w:asciiTheme="minorHAnsi" w:hAnsiTheme="minorHAnsi" w:cstheme="minorHAnsi"/>
            <w:color w:val="0072BC"/>
            <w:sz w:val="20"/>
          </w:rPr>
          <w:t>pojęcia mediów</w:t>
        </w:r>
      </w:hyperlink>
      <w:r w:rsidRPr="008F72E7">
        <w:rPr>
          <w:rFonts w:asciiTheme="minorHAnsi" w:hAnsiTheme="minorHAnsi" w:cstheme="minorHAnsi"/>
          <w:sz w:val="20"/>
        </w:rPr>
        <w:t xml:space="preserve"> (2011)</w:t>
      </w:r>
    </w:p>
    <w:p w14:paraId="306978AC" w14:textId="77777777" w:rsidR="00094751" w:rsidRPr="008F72E7" w:rsidRDefault="00254F27">
      <w:pPr>
        <w:pStyle w:val="Akapitzlist"/>
        <w:numPr>
          <w:ilvl w:val="0"/>
          <w:numId w:val="1"/>
        </w:numPr>
        <w:tabs>
          <w:tab w:val="left" w:pos="1583"/>
        </w:tabs>
        <w:ind w:right="728" w:hanging="284"/>
        <w:rPr>
          <w:rFonts w:asciiTheme="minorHAnsi" w:hAnsiTheme="minorHAnsi" w:cstheme="minorHAnsi"/>
        </w:rPr>
      </w:pPr>
      <w:hyperlink r:id="rId95">
        <w:r w:rsidRPr="008F72E7">
          <w:rPr>
            <w:rFonts w:asciiTheme="minorHAnsi" w:hAnsiTheme="minorHAnsi" w:cstheme="minorHAnsi"/>
            <w:color w:val="0072BC"/>
            <w:sz w:val="20"/>
          </w:rPr>
          <w:t xml:space="preserve">Zalecenie CM/Rec(2007)16 Komitetu Ministrów dla państw członkowskich w sprawie </w:t>
        </w:r>
      </w:hyperlink>
      <w:hyperlink r:id="rId96">
        <w:r w:rsidRPr="008F72E7">
          <w:rPr>
            <w:rFonts w:asciiTheme="minorHAnsi" w:hAnsiTheme="minorHAnsi" w:cstheme="minorHAnsi"/>
            <w:color w:val="0072BC"/>
            <w:sz w:val="20"/>
          </w:rPr>
          <w:t>środków promujących wartość Internetu jako usługi publicznej</w:t>
        </w:r>
      </w:hyperlink>
      <w:r w:rsidRPr="008F72E7">
        <w:rPr>
          <w:rFonts w:asciiTheme="minorHAnsi" w:hAnsiTheme="minorHAnsi" w:cstheme="minorHAnsi"/>
          <w:sz w:val="20"/>
        </w:rPr>
        <w:t xml:space="preserve"> (2007)</w:t>
      </w:r>
    </w:p>
    <w:p w14:paraId="59471914" w14:textId="77777777" w:rsidR="00094751" w:rsidRPr="008F72E7" w:rsidRDefault="00254F27">
      <w:pPr>
        <w:pStyle w:val="Akapitzlist"/>
        <w:numPr>
          <w:ilvl w:val="0"/>
          <w:numId w:val="1"/>
        </w:numPr>
        <w:tabs>
          <w:tab w:val="left" w:pos="1583"/>
        </w:tabs>
        <w:ind w:hanging="284"/>
        <w:rPr>
          <w:rFonts w:asciiTheme="minorHAnsi" w:hAnsiTheme="minorHAnsi" w:cstheme="minorHAnsi"/>
        </w:rPr>
      </w:pPr>
      <w:hyperlink r:id="rId97">
        <w:r w:rsidRPr="008F72E7">
          <w:rPr>
            <w:rFonts w:asciiTheme="minorHAnsi" w:hAnsiTheme="minorHAnsi" w:cstheme="minorHAnsi"/>
            <w:color w:val="0072BC"/>
            <w:sz w:val="20"/>
          </w:rPr>
          <w:t xml:space="preserve">Zalecenie nr R (2000) 13 Komitetu Ministrów dla państw członkowskich w sprawie </w:t>
        </w:r>
      </w:hyperlink>
      <w:hyperlink r:id="rId98">
        <w:r w:rsidRPr="008F72E7">
          <w:rPr>
            <w:rFonts w:asciiTheme="minorHAnsi" w:hAnsiTheme="minorHAnsi" w:cstheme="minorHAnsi"/>
            <w:color w:val="0072BC"/>
            <w:sz w:val="20"/>
          </w:rPr>
          <w:t>europejskiej polityki dostępu do archiwów</w:t>
        </w:r>
      </w:hyperlink>
      <w:r w:rsidRPr="008F72E7">
        <w:rPr>
          <w:rFonts w:asciiTheme="minorHAnsi" w:hAnsiTheme="minorHAnsi" w:cstheme="minorHAnsi"/>
          <w:sz w:val="20"/>
        </w:rPr>
        <w:t xml:space="preserve"> (2000)</w:t>
      </w:r>
    </w:p>
    <w:p w14:paraId="1799EFC2" w14:textId="77777777" w:rsidR="00094751" w:rsidRPr="008F72E7" w:rsidRDefault="00254F27">
      <w:pPr>
        <w:pStyle w:val="Akapitzlist"/>
        <w:numPr>
          <w:ilvl w:val="0"/>
          <w:numId w:val="1"/>
        </w:numPr>
        <w:tabs>
          <w:tab w:val="left" w:pos="1583"/>
        </w:tabs>
        <w:ind w:hanging="284"/>
        <w:rPr>
          <w:rFonts w:asciiTheme="minorHAnsi" w:hAnsiTheme="minorHAnsi" w:cstheme="minorHAnsi"/>
        </w:rPr>
      </w:pPr>
      <w:hyperlink r:id="rId99">
        <w:r w:rsidRPr="008F72E7">
          <w:rPr>
            <w:rFonts w:asciiTheme="minorHAnsi" w:hAnsiTheme="minorHAnsi" w:cstheme="minorHAnsi"/>
            <w:color w:val="0072BC"/>
            <w:sz w:val="20"/>
          </w:rPr>
          <w:t xml:space="preserve">Rekomendacja 1762 (2006) Zgromadzenia Parlamentarnego Rady Europy </w:t>
        </w:r>
      </w:hyperlink>
      <w:hyperlink r:id="rId100">
        <w:r w:rsidRPr="008F72E7">
          <w:rPr>
            <w:rFonts w:asciiTheme="minorHAnsi" w:hAnsiTheme="minorHAnsi" w:cstheme="minorHAnsi"/>
            <w:color w:val="0072BC"/>
            <w:sz w:val="20"/>
          </w:rPr>
          <w:t>(PACE) w sprawie wolności akademickiej i autonomii uniwersytetów</w:t>
        </w:r>
      </w:hyperlink>
      <w:r w:rsidRPr="008F72E7">
        <w:rPr>
          <w:rFonts w:asciiTheme="minorHAnsi" w:hAnsiTheme="minorHAnsi" w:cstheme="minorHAnsi"/>
          <w:sz w:val="20"/>
        </w:rPr>
        <w:t xml:space="preserve"> (2006)</w:t>
      </w:r>
    </w:p>
    <w:p w14:paraId="078F90A4" w14:textId="77777777" w:rsidR="00094751" w:rsidRPr="008F72E7" w:rsidRDefault="00094751">
      <w:pPr>
        <w:pStyle w:val="Tekstpodstawowy"/>
        <w:spacing w:before="15"/>
        <w:ind w:left="0"/>
        <w:rPr>
          <w:rFonts w:asciiTheme="minorHAnsi" w:hAnsiTheme="minorHAnsi" w:cstheme="minorHAnsi"/>
        </w:rPr>
      </w:pPr>
    </w:p>
    <w:p w14:paraId="29AC88AB" w14:textId="77777777" w:rsidR="00094751" w:rsidRPr="008F72E7" w:rsidRDefault="00254F27">
      <w:pPr>
        <w:pStyle w:val="Nagwek2"/>
        <w:rPr>
          <w:rFonts w:asciiTheme="minorHAnsi" w:hAnsiTheme="minorHAnsi" w:cstheme="minorHAnsi"/>
        </w:rPr>
      </w:pPr>
      <w:r w:rsidRPr="008F72E7">
        <w:rPr>
          <w:rFonts w:asciiTheme="minorHAnsi" w:hAnsiTheme="minorHAnsi" w:cstheme="minorHAnsi"/>
          <w:color w:val="2F2F2F"/>
          <w:w w:val="85"/>
          <w:sz w:val="26"/>
        </w:rPr>
        <w:t xml:space="preserve">Inne istotne </w:t>
      </w:r>
      <w:r w:rsidRPr="008F72E7">
        <w:rPr>
          <w:rFonts w:asciiTheme="minorHAnsi" w:hAnsiTheme="minorHAnsi" w:cstheme="minorHAnsi"/>
          <w:color w:val="2F2F2F"/>
          <w:spacing w:val="-2"/>
          <w:w w:val="85"/>
          <w:sz w:val="26"/>
        </w:rPr>
        <w:t>źródła:</w:t>
      </w:r>
    </w:p>
    <w:p w14:paraId="5B03DE96" w14:textId="77777777" w:rsidR="00094751" w:rsidRPr="008F72E7" w:rsidRDefault="00254F27">
      <w:pPr>
        <w:pStyle w:val="Akapitzlist"/>
        <w:numPr>
          <w:ilvl w:val="0"/>
          <w:numId w:val="1"/>
        </w:numPr>
        <w:tabs>
          <w:tab w:val="left" w:pos="1583"/>
        </w:tabs>
        <w:spacing w:before="76"/>
        <w:ind w:right="731" w:hanging="284"/>
        <w:jc w:val="both"/>
        <w:rPr>
          <w:rFonts w:asciiTheme="minorHAnsi" w:hAnsiTheme="minorHAnsi" w:cstheme="minorHAnsi"/>
        </w:rPr>
      </w:pPr>
      <w:hyperlink r:id="rId101">
        <w:r w:rsidRPr="008F72E7">
          <w:rPr>
            <w:rFonts w:asciiTheme="minorHAnsi" w:hAnsiTheme="minorHAnsi" w:cstheme="minorHAnsi"/>
            <w:color w:val="0072BC"/>
            <w:sz w:val="20"/>
          </w:rPr>
          <w:t>Dziennikarstwo i przywileje mediów</w:t>
        </w:r>
      </w:hyperlink>
      <w:r w:rsidRPr="008F72E7">
        <w:rPr>
          <w:rFonts w:asciiTheme="minorHAnsi" w:hAnsiTheme="minorHAnsi" w:cstheme="minorHAnsi"/>
          <w:color w:val="2F2F2F"/>
          <w:sz w:val="20"/>
        </w:rPr>
        <w:t xml:space="preserve"> (IRIS Special, Europejskie Obserwatorium Audiowizualne, Strasburg, </w:t>
      </w:r>
      <w:r w:rsidRPr="008F72E7">
        <w:rPr>
          <w:rFonts w:asciiTheme="minorHAnsi" w:hAnsiTheme="minorHAnsi" w:cstheme="minorHAnsi"/>
          <w:color w:val="2F2F2F"/>
          <w:spacing w:val="-2"/>
          <w:sz w:val="20"/>
        </w:rPr>
        <w:t>2017)</w:t>
      </w:r>
    </w:p>
    <w:p w14:paraId="3E7F11DC" w14:textId="77777777" w:rsidR="00094751" w:rsidRPr="008F72E7" w:rsidRDefault="00254F27">
      <w:pPr>
        <w:pStyle w:val="Akapitzlist"/>
        <w:numPr>
          <w:ilvl w:val="0"/>
          <w:numId w:val="1"/>
        </w:numPr>
        <w:tabs>
          <w:tab w:val="left" w:pos="1582"/>
        </w:tabs>
        <w:ind w:left="1582" w:right="0" w:hanging="283"/>
        <w:jc w:val="both"/>
        <w:rPr>
          <w:rFonts w:asciiTheme="minorHAnsi" w:hAnsiTheme="minorHAnsi" w:cstheme="minorHAnsi"/>
        </w:rPr>
      </w:pPr>
      <w:hyperlink r:id="rId102">
        <w:r w:rsidRPr="008F72E7">
          <w:rPr>
            <w:rFonts w:asciiTheme="minorHAnsi" w:hAnsiTheme="minorHAnsi" w:cstheme="minorHAnsi"/>
            <w:color w:val="0072BC"/>
            <w:sz w:val="20"/>
          </w:rPr>
          <w:t>Zestawienie informacji na temat sygnalistów i ich wolności do przekazywania informacji</w:t>
        </w:r>
      </w:hyperlink>
      <w:r w:rsidRPr="008F72E7">
        <w:rPr>
          <w:rFonts w:asciiTheme="minorHAnsi" w:hAnsiTheme="minorHAnsi" w:cstheme="minorHAnsi"/>
          <w:color w:val="2F2F2F"/>
          <w:sz w:val="20"/>
        </w:rPr>
        <w:t xml:space="preserve"> (aktualizacja: czerwiec </w:t>
      </w:r>
      <w:r w:rsidRPr="008F72E7">
        <w:rPr>
          <w:rFonts w:asciiTheme="minorHAnsi" w:hAnsiTheme="minorHAnsi" w:cstheme="minorHAnsi"/>
          <w:color w:val="2F2F2F"/>
          <w:spacing w:val="-2"/>
          <w:sz w:val="20"/>
        </w:rPr>
        <w:t>2018 r.)</w:t>
      </w:r>
    </w:p>
    <w:p w14:paraId="2BDCF7F2" w14:textId="77777777" w:rsidR="00094751" w:rsidRPr="008F72E7" w:rsidRDefault="00254F27">
      <w:pPr>
        <w:pStyle w:val="Akapitzlist"/>
        <w:numPr>
          <w:ilvl w:val="0"/>
          <w:numId w:val="1"/>
        </w:numPr>
        <w:tabs>
          <w:tab w:val="left" w:pos="1583"/>
        </w:tabs>
        <w:ind w:hanging="284"/>
        <w:jc w:val="both"/>
        <w:rPr>
          <w:rFonts w:asciiTheme="minorHAnsi" w:hAnsiTheme="minorHAnsi" w:cstheme="minorHAnsi"/>
        </w:rPr>
      </w:pPr>
      <w:hyperlink r:id="rId103">
        <w:r w:rsidRPr="008F72E7">
          <w:rPr>
            <w:rFonts w:asciiTheme="minorHAnsi" w:hAnsiTheme="minorHAnsi" w:cstheme="minorHAnsi"/>
            <w:color w:val="0072BC"/>
            <w:sz w:val="20"/>
          </w:rPr>
          <w:t xml:space="preserve">Przewodnik wdrażania zalecenia CM/Rec(2016)4 w sprawie ochrony dziennikarstwa </w:t>
        </w:r>
      </w:hyperlink>
      <w:hyperlink r:id="rId104">
        <w:r w:rsidRPr="008F72E7">
          <w:rPr>
            <w:rFonts w:asciiTheme="minorHAnsi" w:hAnsiTheme="minorHAnsi" w:cstheme="minorHAnsi"/>
            <w:color w:val="0072BC"/>
            <w:sz w:val="20"/>
          </w:rPr>
          <w:t>i bezpieczeństwa dziennikarzy i innych podmiotów medialnych</w:t>
        </w:r>
      </w:hyperlink>
      <w:r w:rsidRPr="008F72E7">
        <w:rPr>
          <w:rFonts w:asciiTheme="minorHAnsi" w:hAnsiTheme="minorHAnsi" w:cstheme="minorHAnsi"/>
          <w:color w:val="2F2F2F"/>
          <w:sz w:val="20"/>
        </w:rPr>
        <w:t xml:space="preserve"> (Rada Europy DGI(2020)11, wrzesień 2020 r.)</w:t>
      </w:r>
    </w:p>
    <w:p w14:paraId="5720BC47" w14:textId="77777777" w:rsidR="00094751" w:rsidRPr="008F72E7" w:rsidRDefault="00094751">
      <w:pPr>
        <w:pStyle w:val="Akapitzlist"/>
        <w:jc w:val="both"/>
        <w:rPr>
          <w:rFonts w:asciiTheme="minorHAnsi" w:hAnsiTheme="minorHAnsi" w:cstheme="minorHAnsi"/>
        </w:rPr>
        <w:sectPr w:rsidR="00094751" w:rsidRPr="008F72E7">
          <w:pgSz w:w="11910" w:h="16840"/>
          <w:pgMar w:top="1100" w:right="708" w:bottom="920" w:left="708" w:header="723" w:footer="726" w:gutter="0"/>
          <w:cols w:space="708"/>
        </w:sectPr>
      </w:pPr>
    </w:p>
    <w:p w14:paraId="1DE3E6EE" w14:textId="77777777" w:rsidR="00094751" w:rsidRPr="008F72E7" w:rsidRDefault="00094751">
      <w:pPr>
        <w:pStyle w:val="Tekstpodstawowy"/>
        <w:spacing w:before="24"/>
        <w:ind w:left="0"/>
        <w:rPr>
          <w:rFonts w:asciiTheme="minorHAnsi" w:hAnsiTheme="minorHAnsi" w:cstheme="minorHAnsi"/>
          <w:sz w:val="32"/>
        </w:rPr>
      </w:pPr>
    </w:p>
    <w:p w14:paraId="4B1F0AF5" w14:textId="77777777" w:rsidR="00094751" w:rsidRPr="008F72E7" w:rsidRDefault="00254F27">
      <w:pPr>
        <w:ind w:left="732"/>
        <w:rPr>
          <w:rFonts w:asciiTheme="minorHAnsi" w:hAnsiTheme="minorHAnsi" w:cstheme="minorHAnsi"/>
          <w:b/>
          <w:sz w:val="32"/>
        </w:rPr>
      </w:pPr>
      <w:r w:rsidRPr="008F72E7">
        <w:rPr>
          <w:rFonts w:asciiTheme="minorHAnsi" w:hAnsiTheme="minorHAnsi" w:cstheme="minorHAnsi"/>
          <w:b/>
          <w:color w:val="333333"/>
          <w:sz w:val="30"/>
        </w:rPr>
        <w:t xml:space="preserve">KLUCZOWE </w:t>
      </w:r>
      <w:r w:rsidRPr="008F72E7">
        <w:rPr>
          <w:rFonts w:asciiTheme="minorHAnsi" w:hAnsiTheme="minorHAnsi" w:cstheme="minorHAnsi"/>
          <w:b/>
          <w:color w:val="333333"/>
          <w:spacing w:val="-2"/>
          <w:sz w:val="30"/>
        </w:rPr>
        <w:t xml:space="preserve">ODNIESIENIA DO </w:t>
      </w:r>
      <w:r w:rsidRPr="008F72E7">
        <w:rPr>
          <w:rFonts w:asciiTheme="minorHAnsi" w:hAnsiTheme="minorHAnsi" w:cstheme="minorHAnsi"/>
          <w:b/>
          <w:color w:val="333333"/>
          <w:sz w:val="30"/>
        </w:rPr>
        <w:t>ORZECZNICTWA</w:t>
      </w:r>
    </w:p>
    <w:p w14:paraId="00F43253" w14:textId="77777777" w:rsidR="00094751" w:rsidRPr="008F72E7" w:rsidRDefault="00254F27">
      <w:pPr>
        <w:pStyle w:val="Akapitzlist"/>
        <w:numPr>
          <w:ilvl w:val="0"/>
          <w:numId w:val="1"/>
        </w:numPr>
        <w:tabs>
          <w:tab w:val="left" w:pos="1583"/>
        </w:tabs>
        <w:spacing w:before="329"/>
        <w:ind w:right="731" w:hanging="284"/>
        <w:rPr>
          <w:rFonts w:asciiTheme="minorHAnsi" w:hAnsiTheme="minorHAnsi" w:cstheme="minorHAnsi"/>
        </w:rPr>
      </w:pPr>
      <w:hyperlink r:id="rId105">
        <w:r w:rsidRPr="008F72E7">
          <w:rPr>
            <w:rFonts w:asciiTheme="minorHAnsi" w:hAnsiTheme="minorHAnsi" w:cstheme="minorHAnsi"/>
            <w:i/>
            <w:color w:val="0072BC"/>
            <w:sz w:val="20"/>
          </w:rPr>
          <w:t>Hertel przeciwko Szwajcarii</w:t>
        </w:r>
      </w:hyperlink>
      <w:r w:rsidRPr="008F72E7">
        <w:rPr>
          <w:rFonts w:asciiTheme="minorHAnsi" w:hAnsiTheme="minorHAnsi" w:cstheme="minorHAnsi"/>
          <w:sz w:val="20"/>
        </w:rPr>
        <w:t>, 25 sierpnia 1998 r., Reports of Judgments and Decisions 1998-VI (naruszenie art. 10);</w:t>
      </w:r>
    </w:p>
    <w:p w14:paraId="333B3B0C" w14:textId="77777777" w:rsidR="00094751" w:rsidRPr="008F72E7" w:rsidRDefault="00254F27">
      <w:pPr>
        <w:pStyle w:val="Akapitzlist"/>
        <w:numPr>
          <w:ilvl w:val="0"/>
          <w:numId w:val="1"/>
        </w:numPr>
        <w:tabs>
          <w:tab w:val="left" w:pos="1582"/>
        </w:tabs>
        <w:ind w:left="1582" w:right="0" w:hanging="283"/>
        <w:rPr>
          <w:rFonts w:asciiTheme="minorHAnsi" w:hAnsiTheme="minorHAnsi" w:cstheme="minorHAnsi"/>
        </w:rPr>
      </w:pPr>
      <w:hyperlink r:id="rId106">
        <w:r w:rsidRPr="008F72E7">
          <w:rPr>
            <w:rFonts w:asciiTheme="minorHAnsi" w:hAnsiTheme="minorHAnsi" w:cstheme="minorHAnsi"/>
            <w:i/>
            <w:color w:val="0072BC"/>
            <w:sz w:val="20"/>
          </w:rPr>
          <w:t>Vides Aizsardzības Klubs przeciwko Łotwie</w:t>
        </w:r>
      </w:hyperlink>
      <w:r w:rsidRPr="008F72E7">
        <w:rPr>
          <w:rFonts w:asciiTheme="minorHAnsi" w:hAnsiTheme="minorHAnsi" w:cstheme="minorHAnsi"/>
          <w:i/>
          <w:sz w:val="20"/>
        </w:rPr>
        <w:t xml:space="preserve">, </w:t>
      </w:r>
      <w:r w:rsidRPr="008F72E7">
        <w:rPr>
          <w:rFonts w:asciiTheme="minorHAnsi" w:hAnsiTheme="minorHAnsi" w:cstheme="minorHAnsi"/>
          <w:sz w:val="20"/>
        </w:rPr>
        <w:t xml:space="preserve">nr. 57829/00, 27 maja 2004 r. (naruszenie art. </w:t>
      </w:r>
      <w:r w:rsidRPr="008F72E7">
        <w:rPr>
          <w:rFonts w:asciiTheme="minorHAnsi" w:hAnsiTheme="minorHAnsi" w:cstheme="minorHAnsi"/>
          <w:spacing w:val="-4"/>
          <w:sz w:val="20"/>
        </w:rPr>
        <w:t>10);</w:t>
      </w:r>
    </w:p>
    <w:p w14:paraId="02550B3D" w14:textId="77777777" w:rsidR="00094751" w:rsidRPr="008F72E7" w:rsidRDefault="00254F27">
      <w:pPr>
        <w:pStyle w:val="Akapitzlist"/>
        <w:numPr>
          <w:ilvl w:val="0"/>
          <w:numId w:val="1"/>
        </w:numPr>
        <w:tabs>
          <w:tab w:val="left" w:pos="1583"/>
        </w:tabs>
        <w:ind w:hanging="284"/>
        <w:rPr>
          <w:rFonts w:asciiTheme="minorHAnsi" w:hAnsiTheme="minorHAnsi" w:cstheme="minorHAnsi"/>
        </w:rPr>
      </w:pPr>
      <w:hyperlink r:id="rId107">
        <w:r w:rsidRPr="008F72E7">
          <w:rPr>
            <w:rFonts w:asciiTheme="minorHAnsi" w:hAnsiTheme="minorHAnsi" w:cstheme="minorHAnsi"/>
            <w:i/>
            <w:color w:val="0072BC"/>
            <w:sz w:val="20"/>
          </w:rPr>
          <w:t>Pedersen i Baadsgaard przeciwko Danii</w:t>
        </w:r>
      </w:hyperlink>
      <w:r w:rsidRPr="008F72E7">
        <w:rPr>
          <w:rFonts w:asciiTheme="minorHAnsi" w:hAnsiTheme="minorHAnsi" w:cstheme="minorHAnsi"/>
          <w:sz w:val="20"/>
        </w:rPr>
        <w:t xml:space="preserve"> [GC], nr. 49017/99, 17 grudnia 2004 r. (brak naruszenia Artykułu 10);</w:t>
      </w:r>
    </w:p>
    <w:p w14:paraId="139CD3E7" w14:textId="77777777" w:rsidR="00094751" w:rsidRPr="008F72E7" w:rsidRDefault="00254F27">
      <w:pPr>
        <w:pStyle w:val="Akapitzlist"/>
        <w:numPr>
          <w:ilvl w:val="0"/>
          <w:numId w:val="1"/>
        </w:numPr>
        <w:tabs>
          <w:tab w:val="left" w:pos="1582"/>
        </w:tabs>
        <w:ind w:left="1582" w:right="0" w:hanging="283"/>
        <w:rPr>
          <w:rFonts w:asciiTheme="minorHAnsi" w:hAnsiTheme="minorHAnsi" w:cstheme="minorHAnsi"/>
        </w:rPr>
      </w:pPr>
      <w:hyperlink r:id="rId108">
        <w:r w:rsidRPr="008F72E7">
          <w:rPr>
            <w:rFonts w:asciiTheme="minorHAnsi" w:hAnsiTheme="minorHAnsi" w:cstheme="minorHAnsi"/>
            <w:i/>
            <w:color w:val="0072BC"/>
            <w:sz w:val="20"/>
          </w:rPr>
          <w:t>Steel i Morris przeciwko Zjednoczonemu Królestwu</w:t>
        </w:r>
        <w:r w:rsidRPr="008F72E7">
          <w:rPr>
            <w:rFonts w:asciiTheme="minorHAnsi" w:hAnsiTheme="minorHAnsi" w:cstheme="minorHAnsi"/>
            <w:i/>
            <w:sz w:val="20"/>
          </w:rPr>
          <w:t>,</w:t>
        </w:r>
      </w:hyperlink>
      <w:r w:rsidRPr="008F72E7">
        <w:rPr>
          <w:rFonts w:asciiTheme="minorHAnsi" w:hAnsiTheme="minorHAnsi" w:cstheme="minorHAnsi"/>
          <w:sz w:val="20"/>
        </w:rPr>
        <w:t xml:space="preserve"> nr 68416/01, ECHR 2005-II (naruszenie art. </w:t>
      </w:r>
      <w:r w:rsidRPr="008F72E7">
        <w:rPr>
          <w:rFonts w:asciiTheme="minorHAnsi" w:hAnsiTheme="minorHAnsi" w:cstheme="minorHAnsi"/>
          <w:spacing w:val="-4"/>
          <w:sz w:val="20"/>
        </w:rPr>
        <w:t>10);</w:t>
      </w:r>
    </w:p>
    <w:p w14:paraId="027A119D" w14:textId="77777777" w:rsidR="00094751" w:rsidRPr="008F72E7" w:rsidRDefault="00254F27">
      <w:pPr>
        <w:pStyle w:val="Akapitzlist"/>
        <w:numPr>
          <w:ilvl w:val="0"/>
          <w:numId w:val="1"/>
        </w:numPr>
        <w:tabs>
          <w:tab w:val="left" w:pos="1582"/>
        </w:tabs>
        <w:ind w:left="1582" w:right="0" w:hanging="283"/>
        <w:rPr>
          <w:rFonts w:asciiTheme="minorHAnsi" w:hAnsiTheme="minorHAnsi" w:cstheme="minorHAnsi"/>
        </w:rPr>
      </w:pPr>
      <w:hyperlink r:id="rId109">
        <w:r w:rsidRPr="008F72E7">
          <w:rPr>
            <w:rFonts w:asciiTheme="minorHAnsi" w:hAnsiTheme="minorHAnsi" w:cstheme="minorHAnsi"/>
            <w:i/>
            <w:color w:val="0072BC"/>
            <w:sz w:val="20"/>
          </w:rPr>
          <w:t>Riolo przeciwko Włochom</w:t>
        </w:r>
      </w:hyperlink>
      <w:r w:rsidRPr="008F72E7">
        <w:rPr>
          <w:rFonts w:asciiTheme="minorHAnsi" w:hAnsiTheme="minorHAnsi" w:cstheme="minorHAnsi"/>
          <w:i/>
          <w:sz w:val="20"/>
        </w:rPr>
        <w:t xml:space="preserve">, </w:t>
      </w:r>
      <w:r w:rsidRPr="008F72E7">
        <w:rPr>
          <w:rFonts w:asciiTheme="minorHAnsi" w:hAnsiTheme="minorHAnsi" w:cstheme="minorHAnsi"/>
          <w:sz w:val="20"/>
        </w:rPr>
        <w:t xml:space="preserve">nr. 42211/07, 17 lipca 2008 r. (naruszenie art. </w:t>
      </w:r>
      <w:r w:rsidRPr="008F72E7">
        <w:rPr>
          <w:rFonts w:asciiTheme="minorHAnsi" w:hAnsiTheme="minorHAnsi" w:cstheme="minorHAnsi"/>
          <w:spacing w:val="-4"/>
          <w:sz w:val="20"/>
        </w:rPr>
        <w:t>10);</w:t>
      </w:r>
    </w:p>
    <w:p w14:paraId="200267DA" w14:textId="77777777" w:rsidR="00094751" w:rsidRPr="008F72E7" w:rsidRDefault="00254F27">
      <w:pPr>
        <w:pStyle w:val="Akapitzlist"/>
        <w:numPr>
          <w:ilvl w:val="0"/>
          <w:numId w:val="1"/>
        </w:numPr>
        <w:tabs>
          <w:tab w:val="left" w:pos="1583"/>
        </w:tabs>
        <w:ind w:right="730" w:hanging="284"/>
        <w:rPr>
          <w:rFonts w:asciiTheme="minorHAnsi" w:hAnsiTheme="minorHAnsi" w:cstheme="minorHAnsi"/>
        </w:rPr>
      </w:pPr>
      <w:hyperlink r:id="rId110">
        <w:r w:rsidRPr="008F72E7">
          <w:rPr>
            <w:rFonts w:asciiTheme="minorHAnsi" w:hAnsiTheme="minorHAnsi" w:cstheme="minorHAnsi"/>
            <w:i/>
            <w:color w:val="0072BC"/>
            <w:sz w:val="20"/>
          </w:rPr>
          <w:t>Times Newspapers Ltd przeciwko Zjednoczonemu Królestwu (nr 1 i 2)</w:t>
        </w:r>
      </w:hyperlink>
      <w:r w:rsidRPr="008F72E7">
        <w:rPr>
          <w:rFonts w:asciiTheme="minorHAnsi" w:hAnsiTheme="minorHAnsi" w:cstheme="minorHAnsi"/>
          <w:sz w:val="20"/>
        </w:rPr>
        <w:t>, nr 3002/03 i 23676/03, ECHR 2009 (brak naruszenia art. 10);</w:t>
      </w:r>
    </w:p>
    <w:p w14:paraId="1756CDAF" w14:textId="24110BDA" w:rsidR="00094751" w:rsidRPr="008F72E7" w:rsidRDefault="00254F27">
      <w:pPr>
        <w:pStyle w:val="Akapitzlist"/>
        <w:numPr>
          <w:ilvl w:val="0"/>
          <w:numId w:val="1"/>
        </w:numPr>
        <w:tabs>
          <w:tab w:val="left" w:pos="1583"/>
        </w:tabs>
        <w:ind w:hanging="284"/>
        <w:rPr>
          <w:rFonts w:asciiTheme="minorHAnsi" w:hAnsiTheme="minorHAnsi" w:cstheme="minorHAnsi"/>
        </w:rPr>
      </w:pPr>
      <w:hyperlink r:id="rId111">
        <w:r w:rsidRPr="008F72E7">
          <w:rPr>
            <w:rFonts w:asciiTheme="minorHAnsi" w:hAnsiTheme="minorHAnsi" w:cstheme="minorHAnsi"/>
            <w:i/>
            <w:color w:val="0072BC"/>
            <w:sz w:val="20"/>
          </w:rPr>
          <w:t>Társaság a Szabadságjogokért przeciwko Węgrom,</w:t>
        </w:r>
      </w:hyperlink>
      <w:r w:rsidRPr="008F72E7">
        <w:rPr>
          <w:rFonts w:asciiTheme="minorHAnsi" w:hAnsiTheme="minorHAnsi" w:cstheme="minorHAnsi"/>
          <w:sz w:val="20"/>
        </w:rPr>
        <w:t xml:space="preserve"> nr. 37374/05, 14 kwietnia 2009 r. </w:t>
      </w:r>
      <w:r w:rsidR="002448DC">
        <w:rPr>
          <w:rFonts w:asciiTheme="minorHAnsi" w:hAnsiTheme="minorHAnsi" w:cstheme="minorHAnsi"/>
          <w:sz w:val="20"/>
        </w:rPr>
        <w:t>(naruszenie</w:t>
      </w:r>
      <w:r w:rsidRPr="008F72E7">
        <w:rPr>
          <w:rFonts w:asciiTheme="minorHAnsi" w:hAnsiTheme="minorHAnsi" w:cstheme="minorHAnsi"/>
          <w:spacing w:val="76"/>
          <w:sz w:val="20"/>
        </w:rPr>
        <w:t xml:space="preserve"> </w:t>
      </w:r>
      <w:r w:rsidRPr="008F72E7">
        <w:rPr>
          <w:rFonts w:asciiTheme="minorHAnsi" w:hAnsiTheme="minorHAnsi" w:cstheme="minorHAnsi"/>
          <w:sz w:val="20"/>
        </w:rPr>
        <w:t>art. 10);</w:t>
      </w:r>
    </w:p>
    <w:p w14:paraId="781D7D3D" w14:textId="77777777" w:rsidR="00094751" w:rsidRPr="008F72E7" w:rsidRDefault="00254F27">
      <w:pPr>
        <w:pStyle w:val="Akapitzlist"/>
        <w:numPr>
          <w:ilvl w:val="0"/>
          <w:numId w:val="1"/>
        </w:numPr>
        <w:tabs>
          <w:tab w:val="left" w:pos="1582"/>
        </w:tabs>
        <w:ind w:left="1582" w:right="0" w:hanging="283"/>
        <w:rPr>
          <w:rFonts w:asciiTheme="minorHAnsi" w:hAnsiTheme="minorHAnsi" w:cstheme="minorHAnsi"/>
        </w:rPr>
      </w:pPr>
      <w:hyperlink r:id="rId112">
        <w:r w:rsidRPr="008F72E7">
          <w:rPr>
            <w:rFonts w:asciiTheme="minorHAnsi" w:hAnsiTheme="minorHAnsi" w:cstheme="minorHAnsi"/>
            <w:i/>
            <w:color w:val="0072BC"/>
            <w:sz w:val="20"/>
          </w:rPr>
          <w:t>Sorguç przeciwko Turcji</w:t>
        </w:r>
      </w:hyperlink>
      <w:r w:rsidRPr="008F72E7">
        <w:rPr>
          <w:rFonts w:asciiTheme="minorHAnsi" w:hAnsiTheme="minorHAnsi" w:cstheme="minorHAnsi"/>
          <w:sz w:val="20"/>
        </w:rPr>
        <w:t xml:space="preserve">, nr 17089/03, 23 czerwca 2009 r. (naruszenie art. </w:t>
      </w:r>
      <w:r w:rsidRPr="008F72E7">
        <w:rPr>
          <w:rFonts w:asciiTheme="minorHAnsi" w:hAnsiTheme="minorHAnsi" w:cstheme="minorHAnsi"/>
          <w:spacing w:val="-4"/>
          <w:sz w:val="20"/>
        </w:rPr>
        <w:t>10);</w:t>
      </w:r>
    </w:p>
    <w:p w14:paraId="1E5A7A5F" w14:textId="77777777" w:rsidR="00094751" w:rsidRPr="008F72E7" w:rsidRDefault="00254F27">
      <w:pPr>
        <w:pStyle w:val="Akapitzlist"/>
        <w:numPr>
          <w:ilvl w:val="0"/>
          <w:numId w:val="1"/>
        </w:numPr>
        <w:tabs>
          <w:tab w:val="left" w:pos="1582"/>
        </w:tabs>
        <w:ind w:left="1582" w:right="0" w:hanging="283"/>
        <w:rPr>
          <w:rFonts w:asciiTheme="minorHAnsi" w:hAnsiTheme="minorHAnsi" w:cstheme="minorHAnsi"/>
        </w:rPr>
      </w:pPr>
      <w:hyperlink r:id="rId113">
        <w:r w:rsidRPr="008F72E7">
          <w:rPr>
            <w:rFonts w:asciiTheme="minorHAnsi" w:hAnsiTheme="minorHAnsi" w:cstheme="minorHAnsi"/>
            <w:i/>
            <w:color w:val="0072BC"/>
            <w:sz w:val="20"/>
          </w:rPr>
          <w:t>Lombardi Vallauri przeciwko Włochom</w:t>
        </w:r>
      </w:hyperlink>
      <w:r w:rsidRPr="008F72E7">
        <w:rPr>
          <w:rFonts w:asciiTheme="minorHAnsi" w:hAnsiTheme="minorHAnsi" w:cstheme="minorHAnsi"/>
          <w:i/>
          <w:color w:val="2F2F2F"/>
          <w:sz w:val="20"/>
        </w:rPr>
        <w:t xml:space="preserve">, </w:t>
      </w:r>
      <w:r w:rsidRPr="008F72E7">
        <w:rPr>
          <w:rFonts w:asciiTheme="minorHAnsi" w:hAnsiTheme="minorHAnsi" w:cstheme="minorHAnsi"/>
          <w:sz w:val="20"/>
        </w:rPr>
        <w:t xml:space="preserve">nr. 39128/05, 20 października 2009 r. (naruszenie art. </w:t>
      </w:r>
      <w:r w:rsidRPr="008F72E7">
        <w:rPr>
          <w:rFonts w:asciiTheme="minorHAnsi" w:hAnsiTheme="minorHAnsi" w:cstheme="minorHAnsi"/>
          <w:spacing w:val="-4"/>
          <w:sz w:val="20"/>
        </w:rPr>
        <w:t>10);</w:t>
      </w:r>
    </w:p>
    <w:p w14:paraId="10154B48" w14:textId="77777777" w:rsidR="00094751" w:rsidRPr="008F72E7" w:rsidRDefault="00254F27">
      <w:pPr>
        <w:pStyle w:val="Akapitzlist"/>
        <w:numPr>
          <w:ilvl w:val="0"/>
          <w:numId w:val="1"/>
        </w:numPr>
        <w:tabs>
          <w:tab w:val="left" w:pos="1582"/>
        </w:tabs>
        <w:ind w:left="1582" w:right="0" w:hanging="283"/>
        <w:rPr>
          <w:rFonts w:asciiTheme="minorHAnsi" w:hAnsiTheme="minorHAnsi" w:cstheme="minorHAnsi"/>
        </w:rPr>
      </w:pPr>
      <w:hyperlink r:id="rId114">
        <w:r w:rsidRPr="008F72E7">
          <w:rPr>
            <w:rFonts w:asciiTheme="minorHAnsi" w:hAnsiTheme="minorHAnsi" w:cstheme="minorHAnsi"/>
            <w:i/>
            <w:color w:val="0072BC"/>
            <w:sz w:val="20"/>
          </w:rPr>
          <w:t>Aksu przeciwko Turcji</w:t>
        </w:r>
      </w:hyperlink>
      <w:r w:rsidRPr="008F72E7">
        <w:rPr>
          <w:rFonts w:asciiTheme="minorHAnsi" w:hAnsiTheme="minorHAnsi" w:cstheme="minorHAnsi"/>
          <w:color w:val="2F2F2F"/>
          <w:sz w:val="20"/>
        </w:rPr>
        <w:t xml:space="preserve"> [GC], </w:t>
      </w:r>
      <w:r w:rsidRPr="008F72E7">
        <w:rPr>
          <w:rFonts w:asciiTheme="minorHAnsi" w:hAnsiTheme="minorHAnsi" w:cstheme="minorHAnsi"/>
          <w:sz w:val="20"/>
        </w:rPr>
        <w:t xml:space="preserve">nr 4149/04 i 41029/04, ETPC 2012 (brak naruszenia art. </w:t>
      </w:r>
      <w:r w:rsidRPr="008F72E7">
        <w:rPr>
          <w:rFonts w:asciiTheme="minorHAnsi" w:hAnsiTheme="minorHAnsi" w:cstheme="minorHAnsi"/>
          <w:spacing w:val="-5"/>
          <w:sz w:val="20"/>
        </w:rPr>
        <w:t>8);</w:t>
      </w:r>
    </w:p>
    <w:p w14:paraId="1BF5C88C" w14:textId="77777777" w:rsidR="00094751" w:rsidRPr="008F72E7" w:rsidRDefault="00254F27">
      <w:pPr>
        <w:pStyle w:val="Akapitzlist"/>
        <w:numPr>
          <w:ilvl w:val="0"/>
          <w:numId w:val="1"/>
        </w:numPr>
        <w:tabs>
          <w:tab w:val="left" w:pos="1582"/>
        </w:tabs>
        <w:ind w:left="1582" w:right="0" w:hanging="283"/>
        <w:rPr>
          <w:rFonts w:asciiTheme="minorHAnsi" w:hAnsiTheme="minorHAnsi" w:cstheme="minorHAnsi"/>
        </w:rPr>
      </w:pPr>
      <w:hyperlink r:id="rId115">
        <w:r w:rsidRPr="008F72E7">
          <w:rPr>
            <w:rFonts w:asciiTheme="minorHAnsi" w:hAnsiTheme="minorHAnsi" w:cstheme="minorHAnsi"/>
            <w:i/>
            <w:color w:val="0072BC"/>
            <w:sz w:val="20"/>
          </w:rPr>
          <w:t>Ahmet Yıldırım przeciwko Turcji</w:t>
        </w:r>
      </w:hyperlink>
      <w:r w:rsidRPr="008F72E7">
        <w:rPr>
          <w:rFonts w:asciiTheme="minorHAnsi" w:hAnsiTheme="minorHAnsi" w:cstheme="minorHAnsi"/>
          <w:sz w:val="20"/>
        </w:rPr>
        <w:t xml:space="preserve">, nr. 3111/10, ECHR 2012 (naruszenie art. </w:t>
      </w:r>
      <w:r w:rsidRPr="008F72E7">
        <w:rPr>
          <w:rFonts w:asciiTheme="minorHAnsi" w:hAnsiTheme="minorHAnsi" w:cstheme="minorHAnsi"/>
          <w:spacing w:val="-4"/>
          <w:sz w:val="20"/>
        </w:rPr>
        <w:t>10);</w:t>
      </w:r>
    </w:p>
    <w:p w14:paraId="3F1B6FF6" w14:textId="77777777" w:rsidR="00094751" w:rsidRPr="008F72E7" w:rsidRDefault="00254F27">
      <w:pPr>
        <w:pStyle w:val="Akapitzlist"/>
        <w:numPr>
          <w:ilvl w:val="0"/>
          <w:numId w:val="1"/>
        </w:numPr>
        <w:tabs>
          <w:tab w:val="left" w:pos="1583"/>
        </w:tabs>
        <w:ind w:hanging="284"/>
        <w:rPr>
          <w:rFonts w:asciiTheme="minorHAnsi" w:hAnsiTheme="minorHAnsi" w:cstheme="minorHAnsi"/>
        </w:rPr>
      </w:pPr>
      <w:hyperlink r:id="rId116">
        <w:r w:rsidRPr="008F72E7">
          <w:rPr>
            <w:rFonts w:asciiTheme="minorHAnsi" w:hAnsiTheme="minorHAnsi" w:cstheme="minorHAnsi"/>
            <w:i/>
            <w:color w:val="0072BC"/>
            <w:sz w:val="20"/>
          </w:rPr>
          <w:t>Animal Defenders International przeciwko Zjednoczonemu Królestwu</w:t>
        </w:r>
      </w:hyperlink>
      <w:r w:rsidRPr="008F72E7">
        <w:rPr>
          <w:rFonts w:asciiTheme="minorHAnsi" w:hAnsiTheme="minorHAnsi" w:cstheme="minorHAnsi"/>
          <w:sz w:val="20"/>
        </w:rPr>
        <w:t xml:space="preserve"> [GC], nr. 48876/08, ECHR 2013 (brak naruszenia art. 10);</w:t>
      </w:r>
    </w:p>
    <w:p w14:paraId="1AA306B0" w14:textId="77777777" w:rsidR="00094751" w:rsidRPr="008F72E7" w:rsidRDefault="00254F27">
      <w:pPr>
        <w:pStyle w:val="Akapitzlist"/>
        <w:numPr>
          <w:ilvl w:val="0"/>
          <w:numId w:val="1"/>
        </w:numPr>
        <w:tabs>
          <w:tab w:val="left" w:pos="1583"/>
        </w:tabs>
        <w:ind w:right="730" w:hanging="284"/>
        <w:rPr>
          <w:rFonts w:asciiTheme="minorHAnsi" w:hAnsiTheme="minorHAnsi" w:cstheme="minorHAnsi"/>
        </w:rPr>
      </w:pPr>
      <w:hyperlink r:id="rId117">
        <w:r w:rsidRPr="008F72E7">
          <w:rPr>
            <w:rFonts w:asciiTheme="minorHAnsi" w:hAnsiTheme="minorHAnsi" w:cstheme="minorHAnsi"/>
            <w:i/>
            <w:color w:val="0072BC"/>
            <w:sz w:val="20"/>
          </w:rPr>
          <w:t>Mustafa Erdoğan i inni przeciwko Turcji</w:t>
        </w:r>
      </w:hyperlink>
      <w:r w:rsidRPr="008F72E7">
        <w:rPr>
          <w:rFonts w:asciiTheme="minorHAnsi" w:hAnsiTheme="minorHAnsi" w:cstheme="minorHAnsi"/>
          <w:i/>
          <w:sz w:val="20"/>
        </w:rPr>
        <w:t xml:space="preserve">, </w:t>
      </w:r>
      <w:r w:rsidRPr="008F72E7">
        <w:rPr>
          <w:rFonts w:asciiTheme="minorHAnsi" w:hAnsiTheme="minorHAnsi" w:cstheme="minorHAnsi"/>
          <w:sz w:val="20"/>
        </w:rPr>
        <w:t>nr 346/04 i 39779/04, 27 maja 2014 r. (naruszenie art. 10);</w:t>
      </w:r>
    </w:p>
    <w:p w14:paraId="7B444B00" w14:textId="77777777" w:rsidR="00094751" w:rsidRPr="008F72E7" w:rsidRDefault="00254F27">
      <w:pPr>
        <w:pStyle w:val="Akapitzlist"/>
        <w:numPr>
          <w:ilvl w:val="0"/>
          <w:numId w:val="1"/>
        </w:numPr>
        <w:tabs>
          <w:tab w:val="left" w:pos="1582"/>
        </w:tabs>
        <w:ind w:left="1582" w:right="0" w:hanging="283"/>
        <w:rPr>
          <w:rFonts w:asciiTheme="minorHAnsi" w:hAnsiTheme="minorHAnsi" w:cstheme="minorHAnsi"/>
        </w:rPr>
      </w:pPr>
      <w:hyperlink r:id="rId118">
        <w:r w:rsidRPr="008F72E7">
          <w:rPr>
            <w:rFonts w:asciiTheme="minorHAnsi" w:hAnsiTheme="minorHAnsi" w:cstheme="minorHAnsi"/>
            <w:i/>
            <w:color w:val="0072BC"/>
            <w:sz w:val="20"/>
          </w:rPr>
          <w:t>Delfi AS przeciwko Estonii</w:t>
        </w:r>
      </w:hyperlink>
      <w:r w:rsidRPr="008F72E7">
        <w:rPr>
          <w:rFonts w:asciiTheme="minorHAnsi" w:hAnsiTheme="minorHAnsi" w:cstheme="minorHAnsi"/>
          <w:sz w:val="20"/>
        </w:rPr>
        <w:t xml:space="preserve"> [GC], nr 64569/09, ECHR 2015 (brak naruszenia art. </w:t>
      </w:r>
      <w:r w:rsidRPr="008F72E7">
        <w:rPr>
          <w:rFonts w:asciiTheme="minorHAnsi" w:hAnsiTheme="minorHAnsi" w:cstheme="minorHAnsi"/>
          <w:spacing w:val="-4"/>
          <w:sz w:val="20"/>
        </w:rPr>
        <w:t>10);</w:t>
      </w:r>
    </w:p>
    <w:p w14:paraId="05FE40A1" w14:textId="6EEEA9E7" w:rsidR="00094751" w:rsidRPr="008F72E7" w:rsidRDefault="00254F27">
      <w:pPr>
        <w:pStyle w:val="Akapitzlist"/>
        <w:numPr>
          <w:ilvl w:val="0"/>
          <w:numId w:val="1"/>
        </w:numPr>
        <w:tabs>
          <w:tab w:val="left" w:pos="1583"/>
        </w:tabs>
        <w:ind w:right="730" w:hanging="284"/>
        <w:rPr>
          <w:rFonts w:asciiTheme="minorHAnsi" w:hAnsiTheme="minorHAnsi" w:cstheme="minorHAnsi"/>
        </w:rPr>
      </w:pPr>
      <w:hyperlink r:id="rId119">
        <w:r w:rsidRPr="008F72E7">
          <w:rPr>
            <w:rFonts w:asciiTheme="minorHAnsi" w:hAnsiTheme="minorHAnsi" w:cstheme="minorHAnsi"/>
            <w:i/>
            <w:color w:val="0072BC"/>
            <w:sz w:val="20"/>
          </w:rPr>
          <w:t>Cengiz i inni przeciwko Turcji</w:t>
        </w:r>
      </w:hyperlink>
      <w:r w:rsidRPr="008F72E7">
        <w:rPr>
          <w:rFonts w:asciiTheme="minorHAnsi" w:hAnsiTheme="minorHAnsi" w:cstheme="minorHAnsi"/>
          <w:i/>
          <w:sz w:val="20"/>
        </w:rPr>
        <w:t xml:space="preserve">, </w:t>
      </w:r>
      <w:r w:rsidRPr="008F72E7">
        <w:rPr>
          <w:rFonts w:asciiTheme="minorHAnsi" w:hAnsiTheme="minorHAnsi" w:cstheme="minorHAnsi"/>
          <w:sz w:val="20"/>
        </w:rPr>
        <w:t xml:space="preserve">nr 48226/10 i 14027/11, ETPC 2015 </w:t>
      </w:r>
      <w:r w:rsidR="002448DC">
        <w:rPr>
          <w:rFonts w:asciiTheme="minorHAnsi" w:hAnsiTheme="minorHAnsi" w:cstheme="minorHAnsi"/>
          <w:sz w:val="20"/>
        </w:rPr>
        <w:t>(naruszenie</w:t>
      </w:r>
      <w:r w:rsidRPr="008F72E7">
        <w:rPr>
          <w:rFonts w:asciiTheme="minorHAnsi" w:hAnsiTheme="minorHAnsi" w:cstheme="minorHAnsi"/>
          <w:spacing w:val="76"/>
          <w:sz w:val="20"/>
        </w:rPr>
        <w:t xml:space="preserve"> </w:t>
      </w:r>
      <w:r w:rsidRPr="008F72E7">
        <w:rPr>
          <w:rFonts w:asciiTheme="minorHAnsi" w:hAnsiTheme="minorHAnsi" w:cstheme="minorHAnsi"/>
          <w:sz w:val="20"/>
        </w:rPr>
        <w:t>art. 10);</w:t>
      </w:r>
    </w:p>
    <w:p w14:paraId="06021D42" w14:textId="56D6CA34" w:rsidR="00094751" w:rsidRPr="008F72E7" w:rsidRDefault="00254F27">
      <w:pPr>
        <w:pStyle w:val="Akapitzlist"/>
        <w:numPr>
          <w:ilvl w:val="0"/>
          <w:numId w:val="1"/>
        </w:numPr>
        <w:tabs>
          <w:tab w:val="left" w:pos="1583"/>
        </w:tabs>
        <w:ind w:right="730" w:hanging="284"/>
        <w:rPr>
          <w:rFonts w:asciiTheme="minorHAnsi" w:hAnsiTheme="minorHAnsi" w:cstheme="minorHAnsi"/>
        </w:rPr>
      </w:pPr>
      <w:hyperlink r:id="rId120">
        <w:r w:rsidRPr="008F72E7">
          <w:rPr>
            <w:rFonts w:asciiTheme="minorHAnsi" w:hAnsiTheme="minorHAnsi" w:cstheme="minorHAnsi"/>
            <w:i/>
            <w:color w:val="0072BC"/>
            <w:sz w:val="20"/>
          </w:rPr>
          <w:t>Magyar Helsinki Bizottság przeciwko Węgrom</w:t>
        </w:r>
      </w:hyperlink>
      <w:r w:rsidRPr="008F72E7">
        <w:rPr>
          <w:rFonts w:asciiTheme="minorHAnsi" w:hAnsiTheme="minorHAnsi" w:cstheme="minorHAnsi"/>
          <w:sz w:val="20"/>
        </w:rPr>
        <w:t xml:space="preserve"> [GC], nr 18030/11, 8 listopada 2016 r. </w:t>
      </w:r>
      <w:r w:rsidR="002448DC">
        <w:rPr>
          <w:rFonts w:asciiTheme="minorHAnsi" w:hAnsiTheme="minorHAnsi" w:cstheme="minorHAnsi"/>
          <w:sz w:val="20"/>
        </w:rPr>
        <w:t xml:space="preserve">(naruszenie </w:t>
      </w:r>
      <w:r w:rsidRPr="008F72E7">
        <w:rPr>
          <w:rFonts w:asciiTheme="minorHAnsi" w:hAnsiTheme="minorHAnsi" w:cstheme="minorHAnsi"/>
          <w:sz w:val="20"/>
        </w:rPr>
        <w:t>art.10);</w:t>
      </w:r>
    </w:p>
    <w:p w14:paraId="1A292C5E" w14:textId="77777777" w:rsidR="00094751" w:rsidRPr="008F72E7" w:rsidRDefault="00254F27">
      <w:pPr>
        <w:pStyle w:val="Akapitzlist"/>
        <w:numPr>
          <w:ilvl w:val="0"/>
          <w:numId w:val="1"/>
        </w:numPr>
        <w:tabs>
          <w:tab w:val="left" w:pos="1583"/>
        </w:tabs>
        <w:ind w:right="730" w:hanging="284"/>
        <w:rPr>
          <w:rFonts w:asciiTheme="minorHAnsi" w:hAnsiTheme="minorHAnsi" w:cstheme="minorHAnsi"/>
        </w:rPr>
      </w:pPr>
      <w:hyperlink r:id="rId121">
        <w:r w:rsidRPr="008F72E7">
          <w:rPr>
            <w:rFonts w:asciiTheme="minorHAnsi" w:hAnsiTheme="minorHAnsi" w:cstheme="minorHAnsi"/>
            <w:i/>
            <w:color w:val="0072BC"/>
            <w:sz w:val="20"/>
          </w:rPr>
          <w:t>Medžlis Islamske zajednice Brčko i inni przeciwko Bośni i Hercegowinie</w:t>
        </w:r>
      </w:hyperlink>
      <w:r w:rsidRPr="008F72E7">
        <w:rPr>
          <w:rFonts w:asciiTheme="minorHAnsi" w:hAnsiTheme="minorHAnsi" w:cstheme="minorHAnsi"/>
          <w:sz w:val="20"/>
        </w:rPr>
        <w:t xml:space="preserve"> [GC], nr 17224/11, 27 czerwca 2017 r. (brak naruszenia art. 10);</w:t>
      </w:r>
    </w:p>
    <w:p w14:paraId="3897DF40" w14:textId="77777777" w:rsidR="00094751" w:rsidRPr="008F72E7" w:rsidRDefault="00254F27">
      <w:pPr>
        <w:pStyle w:val="Akapitzlist"/>
        <w:numPr>
          <w:ilvl w:val="0"/>
          <w:numId w:val="1"/>
        </w:numPr>
        <w:tabs>
          <w:tab w:val="left" w:pos="1583"/>
        </w:tabs>
        <w:ind w:hanging="284"/>
        <w:rPr>
          <w:rFonts w:asciiTheme="minorHAnsi" w:hAnsiTheme="minorHAnsi" w:cstheme="minorHAnsi"/>
        </w:rPr>
      </w:pPr>
      <w:hyperlink r:id="rId122">
        <w:r w:rsidRPr="008F72E7">
          <w:rPr>
            <w:rFonts w:asciiTheme="minorHAnsi" w:hAnsiTheme="minorHAnsi" w:cstheme="minorHAnsi"/>
            <w:i/>
            <w:color w:val="0072BC"/>
            <w:sz w:val="20"/>
          </w:rPr>
          <w:t>Satakunnan Markkinapörssi Oy i Satamedia Oy przeciwko Finlandii</w:t>
        </w:r>
      </w:hyperlink>
      <w:r w:rsidRPr="008F72E7">
        <w:rPr>
          <w:rFonts w:asciiTheme="minorHAnsi" w:hAnsiTheme="minorHAnsi" w:cstheme="minorHAnsi"/>
          <w:sz w:val="20"/>
        </w:rPr>
        <w:t xml:space="preserve"> [GC], nr 931/13, 27 czerwca 2017 r. (brak naruszenia art. 10);</w:t>
      </w:r>
    </w:p>
    <w:p w14:paraId="355C7092" w14:textId="77777777" w:rsidR="00094751" w:rsidRPr="008F72E7" w:rsidRDefault="00254F27">
      <w:pPr>
        <w:pStyle w:val="Akapitzlist"/>
        <w:numPr>
          <w:ilvl w:val="0"/>
          <w:numId w:val="1"/>
        </w:numPr>
        <w:tabs>
          <w:tab w:val="left" w:pos="1582"/>
        </w:tabs>
        <w:ind w:left="1582" w:right="0" w:hanging="283"/>
        <w:rPr>
          <w:rFonts w:asciiTheme="minorHAnsi" w:hAnsiTheme="minorHAnsi" w:cstheme="minorHAnsi"/>
        </w:rPr>
      </w:pPr>
      <w:hyperlink r:id="rId123">
        <w:r w:rsidRPr="008F72E7">
          <w:rPr>
            <w:rFonts w:asciiTheme="minorHAnsi" w:hAnsiTheme="minorHAnsi" w:cstheme="minorHAnsi"/>
            <w:i/>
            <w:color w:val="0072BC"/>
            <w:sz w:val="20"/>
          </w:rPr>
          <w:t>Falzon przeciwko Malcie</w:t>
        </w:r>
      </w:hyperlink>
      <w:r w:rsidRPr="008F72E7">
        <w:rPr>
          <w:rFonts w:asciiTheme="minorHAnsi" w:hAnsiTheme="minorHAnsi" w:cstheme="minorHAnsi"/>
          <w:sz w:val="20"/>
        </w:rPr>
        <w:t xml:space="preserve">, nr. 45791/13, 20 marca 2018 r. (naruszenie art. </w:t>
      </w:r>
      <w:r w:rsidRPr="008F72E7">
        <w:rPr>
          <w:rFonts w:asciiTheme="minorHAnsi" w:hAnsiTheme="minorHAnsi" w:cstheme="minorHAnsi"/>
          <w:spacing w:val="-4"/>
          <w:sz w:val="20"/>
        </w:rPr>
        <w:t>10);</w:t>
      </w:r>
    </w:p>
    <w:p w14:paraId="36574E1B" w14:textId="77777777" w:rsidR="00094751" w:rsidRPr="008F72E7" w:rsidRDefault="00254F27">
      <w:pPr>
        <w:pStyle w:val="Akapitzlist"/>
        <w:numPr>
          <w:ilvl w:val="0"/>
          <w:numId w:val="1"/>
        </w:numPr>
        <w:tabs>
          <w:tab w:val="left" w:pos="1582"/>
        </w:tabs>
        <w:ind w:left="1582" w:right="0" w:hanging="283"/>
        <w:rPr>
          <w:rFonts w:asciiTheme="minorHAnsi" w:hAnsiTheme="minorHAnsi" w:cstheme="minorHAnsi"/>
        </w:rPr>
      </w:pPr>
      <w:hyperlink r:id="rId124">
        <w:r w:rsidRPr="008F72E7">
          <w:rPr>
            <w:rFonts w:asciiTheme="minorHAnsi" w:hAnsiTheme="minorHAnsi" w:cstheme="minorHAnsi"/>
            <w:i/>
            <w:color w:val="0072BC"/>
            <w:sz w:val="20"/>
          </w:rPr>
          <w:t>Kula przeciwko Turcji,</w:t>
        </w:r>
      </w:hyperlink>
      <w:r w:rsidRPr="008F72E7">
        <w:rPr>
          <w:rFonts w:asciiTheme="minorHAnsi" w:hAnsiTheme="minorHAnsi" w:cstheme="minorHAnsi"/>
          <w:sz w:val="20"/>
        </w:rPr>
        <w:t xml:space="preserve"> nr 20233/06, 19 czerwca 2018 r. (naruszenie art. </w:t>
      </w:r>
      <w:r w:rsidRPr="008F72E7">
        <w:rPr>
          <w:rFonts w:asciiTheme="minorHAnsi" w:hAnsiTheme="minorHAnsi" w:cstheme="minorHAnsi"/>
          <w:spacing w:val="-4"/>
          <w:sz w:val="20"/>
        </w:rPr>
        <w:t>10);</w:t>
      </w:r>
    </w:p>
    <w:p w14:paraId="4E5C3D12" w14:textId="05FC6469" w:rsidR="00094751" w:rsidRPr="008F72E7" w:rsidRDefault="00254F27">
      <w:pPr>
        <w:pStyle w:val="Akapitzlist"/>
        <w:numPr>
          <w:ilvl w:val="0"/>
          <w:numId w:val="1"/>
        </w:numPr>
        <w:tabs>
          <w:tab w:val="left" w:pos="1583"/>
        </w:tabs>
        <w:ind w:right="730" w:hanging="284"/>
        <w:rPr>
          <w:rFonts w:asciiTheme="minorHAnsi" w:hAnsiTheme="minorHAnsi" w:cstheme="minorHAnsi"/>
        </w:rPr>
      </w:pPr>
      <w:hyperlink r:id="rId125">
        <w:r w:rsidRPr="008F72E7">
          <w:rPr>
            <w:rFonts w:asciiTheme="minorHAnsi" w:hAnsiTheme="minorHAnsi" w:cstheme="minorHAnsi"/>
            <w:i/>
            <w:color w:val="0072BC"/>
            <w:sz w:val="20"/>
          </w:rPr>
          <w:t>M.L. i W.W. przeciwko Niemcom</w:t>
        </w:r>
      </w:hyperlink>
      <w:r w:rsidRPr="008F72E7">
        <w:rPr>
          <w:rFonts w:asciiTheme="minorHAnsi" w:hAnsiTheme="minorHAnsi" w:cstheme="minorHAnsi"/>
          <w:i/>
          <w:sz w:val="20"/>
        </w:rPr>
        <w:t xml:space="preserve">, </w:t>
      </w:r>
      <w:r w:rsidRPr="008F72E7">
        <w:rPr>
          <w:rFonts w:asciiTheme="minorHAnsi" w:hAnsiTheme="minorHAnsi" w:cstheme="minorHAnsi"/>
          <w:sz w:val="20"/>
        </w:rPr>
        <w:t>nr 60798/10 i 65599/10, 28 czerwca 2018 r. (</w:t>
      </w:r>
      <w:r w:rsidR="002448DC">
        <w:rPr>
          <w:rFonts w:asciiTheme="minorHAnsi" w:hAnsiTheme="minorHAnsi" w:cstheme="minorHAnsi"/>
          <w:sz w:val="20"/>
        </w:rPr>
        <w:t>brak naruszenia</w:t>
      </w:r>
      <w:r w:rsidRPr="008F72E7">
        <w:rPr>
          <w:rFonts w:asciiTheme="minorHAnsi" w:hAnsiTheme="minorHAnsi" w:cstheme="minorHAnsi"/>
          <w:spacing w:val="29"/>
          <w:sz w:val="20"/>
        </w:rPr>
        <w:t xml:space="preserve"> </w:t>
      </w:r>
      <w:r w:rsidRPr="008F72E7">
        <w:rPr>
          <w:rFonts w:asciiTheme="minorHAnsi" w:hAnsiTheme="minorHAnsi" w:cstheme="minorHAnsi"/>
          <w:sz w:val="20"/>
        </w:rPr>
        <w:t>art. 8);</w:t>
      </w:r>
    </w:p>
    <w:p w14:paraId="439FBE85" w14:textId="3BC98CEB" w:rsidR="00094751" w:rsidRPr="008F72E7" w:rsidRDefault="002448DC">
      <w:pPr>
        <w:pStyle w:val="Akapitzlist"/>
        <w:numPr>
          <w:ilvl w:val="0"/>
          <w:numId w:val="1"/>
        </w:numPr>
        <w:tabs>
          <w:tab w:val="left" w:pos="1583"/>
          <w:tab w:val="left" w:pos="2331"/>
          <w:tab w:val="left" w:pos="3006"/>
          <w:tab w:val="left" w:pos="3937"/>
          <w:tab w:val="left" w:pos="5884"/>
          <w:tab w:val="left" w:pos="7476"/>
          <w:tab w:val="left" w:pos="8034"/>
          <w:tab w:val="left" w:pos="9314"/>
        </w:tabs>
        <w:ind w:right="728" w:hanging="284"/>
        <w:rPr>
          <w:rFonts w:asciiTheme="minorHAnsi" w:hAnsiTheme="minorHAnsi" w:cstheme="minorHAnsi"/>
        </w:rPr>
      </w:pPr>
      <w:hyperlink r:id="rId126">
        <w:r>
          <w:rPr>
            <w:rFonts w:asciiTheme="minorHAnsi" w:hAnsiTheme="minorHAnsi" w:cstheme="minorHAnsi"/>
            <w:i/>
            <w:color w:val="0072BC"/>
            <w:spacing w:val="-4"/>
            <w:sz w:val="20"/>
          </w:rPr>
          <w:t>M</w:t>
        </w:r>
        <w:r w:rsidRPr="008F72E7">
          <w:rPr>
            <w:rFonts w:asciiTheme="minorHAnsi" w:hAnsiTheme="minorHAnsi" w:cstheme="minorHAnsi"/>
            <w:i/>
            <w:color w:val="0072BC"/>
            <w:spacing w:val="-4"/>
            <w:sz w:val="20"/>
          </w:rPr>
          <w:t>a</w:t>
        </w:r>
        <w:r>
          <w:rPr>
            <w:rFonts w:asciiTheme="minorHAnsi" w:hAnsiTheme="minorHAnsi" w:cstheme="minorHAnsi"/>
            <w:i/>
            <w:color w:val="0072BC"/>
            <w:spacing w:val="-4"/>
            <w:sz w:val="20"/>
          </w:rPr>
          <w:t>n,</w:t>
        </w:r>
        <w:r w:rsidR="00CF7D6E">
          <w:rPr>
            <w:rFonts w:asciiTheme="minorHAnsi" w:hAnsiTheme="minorHAnsi" w:cstheme="minorHAnsi"/>
            <w:i/>
            <w:color w:val="0072BC"/>
            <w:sz w:val="20"/>
          </w:rPr>
          <w:t xml:space="preserve"> </w:t>
        </w:r>
        <w:r w:rsidR="00254F27" w:rsidRPr="008F72E7">
          <w:rPr>
            <w:rFonts w:asciiTheme="minorHAnsi" w:hAnsiTheme="minorHAnsi" w:cstheme="minorHAnsi"/>
            <w:i/>
            <w:color w:val="0072BC"/>
            <w:spacing w:val="-4"/>
            <w:sz w:val="20"/>
          </w:rPr>
          <w:t>i</w:t>
        </w:r>
        <w:r w:rsidR="00CF7D6E">
          <w:rPr>
            <w:rFonts w:asciiTheme="minorHAnsi" w:hAnsiTheme="minorHAnsi" w:cstheme="minorHAnsi"/>
            <w:i/>
            <w:color w:val="0072BC"/>
            <w:sz w:val="20"/>
          </w:rPr>
          <w:t xml:space="preserve"> </w:t>
        </w:r>
        <w:r w:rsidR="00254F27" w:rsidRPr="008F72E7">
          <w:rPr>
            <w:rFonts w:asciiTheme="minorHAnsi" w:hAnsiTheme="minorHAnsi" w:cstheme="minorHAnsi"/>
            <w:i/>
            <w:color w:val="0072BC"/>
            <w:spacing w:val="-2"/>
            <w:sz w:val="20"/>
          </w:rPr>
          <w:t>Inni</w:t>
        </w:r>
        <w:r w:rsidR="00CF7D6E">
          <w:rPr>
            <w:rFonts w:asciiTheme="minorHAnsi" w:hAnsiTheme="minorHAnsi" w:cstheme="minorHAnsi"/>
            <w:i/>
            <w:color w:val="0072BC"/>
            <w:sz w:val="20"/>
          </w:rPr>
          <w:t xml:space="preserve"> </w:t>
        </w:r>
        <w:r w:rsidR="00254F27" w:rsidRPr="008F72E7">
          <w:rPr>
            <w:rFonts w:asciiTheme="minorHAnsi" w:hAnsiTheme="minorHAnsi" w:cstheme="minorHAnsi"/>
            <w:i/>
            <w:color w:val="0072BC"/>
            <w:sz w:val="20"/>
          </w:rPr>
          <w:t>v. Romania</w:t>
        </w:r>
      </w:hyperlink>
      <w:r w:rsidR="00254F27" w:rsidRPr="008F72E7">
        <w:rPr>
          <w:rFonts w:asciiTheme="minorHAnsi" w:hAnsiTheme="minorHAnsi" w:cstheme="minorHAnsi"/>
          <w:sz w:val="20"/>
        </w:rPr>
        <w:t xml:space="preserve"> (dec.),</w:t>
      </w:r>
      <w:r w:rsidR="00CF7D6E">
        <w:rPr>
          <w:rFonts w:asciiTheme="minorHAnsi" w:hAnsiTheme="minorHAnsi" w:cstheme="minorHAnsi"/>
          <w:sz w:val="20"/>
        </w:rPr>
        <w:t xml:space="preserve"> </w:t>
      </w:r>
      <w:r w:rsidR="00254F27" w:rsidRPr="008F72E7">
        <w:rPr>
          <w:rFonts w:asciiTheme="minorHAnsi" w:hAnsiTheme="minorHAnsi" w:cstheme="minorHAnsi"/>
          <w:sz w:val="20"/>
        </w:rPr>
        <w:t>no. 39273/07,</w:t>
      </w:r>
      <w:r w:rsidR="00CF7D6E">
        <w:rPr>
          <w:rFonts w:asciiTheme="minorHAnsi" w:hAnsiTheme="minorHAnsi" w:cstheme="minorHAnsi"/>
          <w:sz w:val="20"/>
        </w:rPr>
        <w:t xml:space="preserve"> </w:t>
      </w:r>
      <w:r w:rsidR="00254F27" w:rsidRPr="008F72E7">
        <w:rPr>
          <w:rFonts w:asciiTheme="minorHAnsi" w:hAnsiTheme="minorHAnsi" w:cstheme="minorHAnsi"/>
          <w:spacing w:val="-6"/>
          <w:sz w:val="20"/>
        </w:rPr>
        <w:t>19</w:t>
      </w:r>
      <w:r>
        <w:rPr>
          <w:rFonts w:asciiTheme="minorHAnsi" w:hAnsiTheme="minorHAnsi" w:cstheme="minorHAnsi"/>
          <w:spacing w:val="-6"/>
          <w:sz w:val="20"/>
        </w:rPr>
        <w:t xml:space="preserve"> </w:t>
      </w:r>
      <w:r w:rsidR="00254F27" w:rsidRPr="008F72E7">
        <w:rPr>
          <w:rFonts w:asciiTheme="minorHAnsi" w:hAnsiTheme="minorHAnsi" w:cstheme="minorHAnsi"/>
          <w:spacing w:val="-2"/>
          <w:sz w:val="20"/>
        </w:rPr>
        <w:t>listopada</w:t>
      </w:r>
      <w:r w:rsidR="00CF7D6E">
        <w:rPr>
          <w:rFonts w:asciiTheme="minorHAnsi" w:hAnsiTheme="minorHAnsi" w:cstheme="minorHAnsi"/>
          <w:sz w:val="20"/>
        </w:rPr>
        <w:t xml:space="preserve"> </w:t>
      </w:r>
      <w:r w:rsidR="00254F27" w:rsidRPr="008F72E7">
        <w:rPr>
          <w:rFonts w:asciiTheme="minorHAnsi" w:hAnsiTheme="minorHAnsi" w:cstheme="minorHAnsi"/>
          <w:spacing w:val="-4"/>
          <w:sz w:val="20"/>
        </w:rPr>
        <w:t xml:space="preserve">2019 </w:t>
      </w:r>
      <w:r w:rsidR="00254F27" w:rsidRPr="008F72E7">
        <w:rPr>
          <w:rFonts w:asciiTheme="minorHAnsi" w:hAnsiTheme="minorHAnsi" w:cstheme="minorHAnsi"/>
          <w:sz w:val="20"/>
        </w:rPr>
        <w:t>(niedopuszczaln</w:t>
      </w:r>
      <w:r w:rsidR="005217E9">
        <w:rPr>
          <w:rFonts w:asciiTheme="minorHAnsi" w:hAnsiTheme="minorHAnsi" w:cstheme="minorHAnsi"/>
          <w:sz w:val="20"/>
        </w:rPr>
        <w:t>a</w:t>
      </w:r>
      <w:r w:rsidR="00254F27" w:rsidRPr="008F72E7">
        <w:rPr>
          <w:rFonts w:asciiTheme="minorHAnsi" w:hAnsiTheme="minorHAnsi" w:cstheme="minorHAnsi"/>
          <w:sz w:val="20"/>
        </w:rPr>
        <w:t xml:space="preserve"> </w:t>
      </w:r>
      <w:r w:rsidR="00AC4E68">
        <w:rPr>
          <w:rFonts w:asciiTheme="minorHAnsi" w:hAnsiTheme="minorHAnsi" w:cstheme="minorHAnsi"/>
          <w:sz w:val="20"/>
        </w:rPr>
        <w:t>–</w:t>
      </w:r>
      <w:r w:rsidR="00AC4E68" w:rsidRPr="00AC4E68">
        <w:rPr>
          <w:rFonts w:asciiTheme="minorHAnsi" w:hAnsiTheme="minorHAnsi" w:cstheme="minorHAnsi"/>
          <w:sz w:val="20"/>
        </w:rPr>
        <w:t xml:space="preserve"> </w:t>
      </w:r>
      <w:r w:rsidR="00AC4E68">
        <w:rPr>
          <w:rFonts w:asciiTheme="minorHAnsi" w:hAnsiTheme="minorHAnsi" w:cstheme="minorHAnsi"/>
          <w:sz w:val="20"/>
        </w:rPr>
        <w:t xml:space="preserve">ewidentnie </w:t>
      </w:r>
      <w:r>
        <w:rPr>
          <w:rFonts w:asciiTheme="minorHAnsi" w:hAnsiTheme="minorHAnsi" w:cstheme="minorHAnsi"/>
          <w:sz w:val="20"/>
        </w:rPr>
        <w:t>bezpodstawn</w:t>
      </w:r>
      <w:r w:rsidR="005217E9">
        <w:rPr>
          <w:rFonts w:asciiTheme="minorHAnsi" w:hAnsiTheme="minorHAnsi" w:cstheme="minorHAnsi"/>
          <w:sz w:val="20"/>
        </w:rPr>
        <w:t>a</w:t>
      </w:r>
      <w:r w:rsidR="00254F27" w:rsidRPr="008F72E7">
        <w:rPr>
          <w:rFonts w:asciiTheme="minorHAnsi" w:hAnsiTheme="minorHAnsi" w:cstheme="minorHAnsi"/>
          <w:sz w:val="20"/>
        </w:rPr>
        <w:t>);</w:t>
      </w:r>
    </w:p>
    <w:p w14:paraId="625CCC21" w14:textId="77777777" w:rsidR="00094751" w:rsidRPr="008F72E7" w:rsidRDefault="00254F27">
      <w:pPr>
        <w:pStyle w:val="Akapitzlist"/>
        <w:numPr>
          <w:ilvl w:val="0"/>
          <w:numId w:val="1"/>
        </w:numPr>
        <w:tabs>
          <w:tab w:val="left" w:pos="1583"/>
        </w:tabs>
        <w:ind w:right="730" w:hanging="284"/>
        <w:rPr>
          <w:rFonts w:asciiTheme="minorHAnsi" w:hAnsiTheme="minorHAnsi" w:cstheme="minorHAnsi"/>
        </w:rPr>
      </w:pPr>
      <w:hyperlink r:id="rId127">
        <w:r w:rsidRPr="008F72E7">
          <w:rPr>
            <w:rFonts w:asciiTheme="minorHAnsi" w:hAnsiTheme="minorHAnsi" w:cstheme="minorHAnsi"/>
            <w:i/>
            <w:color w:val="0072BC"/>
            <w:sz w:val="20"/>
          </w:rPr>
          <w:t>Studio Monitori i inni przeciwko Gruzji</w:t>
        </w:r>
      </w:hyperlink>
      <w:r w:rsidRPr="008F72E7">
        <w:rPr>
          <w:rFonts w:asciiTheme="minorHAnsi" w:hAnsiTheme="minorHAnsi" w:cstheme="minorHAnsi"/>
          <w:sz w:val="20"/>
        </w:rPr>
        <w:t>, nr 44920/09 i 8942/10, 30 stycznia 2020 r. (brak naruszenia art. 10);</w:t>
      </w:r>
    </w:p>
    <w:p w14:paraId="1D1009B3" w14:textId="77777777" w:rsidR="00094751" w:rsidRPr="008F72E7" w:rsidRDefault="00254F27">
      <w:pPr>
        <w:pStyle w:val="Akapitzlist"/>
        <w:numPr>
          <w:ilvl w:val="0"/>
          <w:numId w:val="1"/>
        </w:numPr>
        <w:tabs>
          <w:tab w:val="left" w:pos="1583"/>
        </w:tabs>
        <w:ind w:right="730" w:hanging="284"/>
        <w:rPr>
          <w:rFonts w:asciiTheme="minorHAnsi" w:hAnsiTheme="minorHAnsi" w:cstheme="minorHAnsi"/>
        </w:rPr>
      </w:pPr>
      <w:hyperlink r:id="rId128">
        <w:r w:rsidRPr="008F72E7">
          <w:rPr>
            <w:rFonts w:asciiTheme="minorHAnsi" w:hAnsiTheme="minorHAnsi" w:cstheme="minorHAnsi"/>
            <w:i/>
            <w:color w:val="0072BC"/>
            <w:sz w:val="20"/>
          </w:rPr>
          <w:t>OOO Flavus i inni przeciwko Rosji</w:t>
        </w:r>
      </w:hyperlink>
      <w:r w:rsidRPr="008F72E7">
        <w:rPr>
          <w:rFonts w:asciiTheme="minorHAnsi" w:hAnsiTheme="minorHAnsi" w:cstheme="minorHAnsi"/>
          <w:i/>
          <w:color w:val="2F2F2F"/>
          <w:sz w:val="20"/>
        </w:rPr>
        <w:t xml:space="preserve">, </w:t>
      </w:r>
      <w:r w:rsidRPr="008F72E7">
        <w:rPr>
          <w:rFonts w:asciiTheme="minorHAnsi" w:hAnsiTheme="minorHAnsi" w:cstheme="minorHAnsi"/>
          <w:sz w:val="20"/>
        </w:rPr>
        <w:t>nr 12468/15 i 2 inne, 23 czerwca 2020 r. (naruszenie art. 10; naruszenie art. 13 w związku z art. 10);</w:t>
      </w:r>
    </w:p>
    <w:p w14:paraId="0B50C73C" w14:textId="77777777" w:rsidR="00094751" w:rsidRPr="008F72E7" w:rsidRDefault="00254F27">
      <w:pPr>
        <w:pStyle w:val="Akapitzlist"/>
        <w:numPr>
          <w:ilvl w:val="0"/>
          <w:numId w:val="1"/>
        </w:numPr>
        <w:tabs>
          <w:tab w:val="left" w:pos="1582"/>
        </w:tabs>
        <w:ind w:left="1582" w:right="0" w:hanging="283"/>
        <w:rPr>
          <w:rFonts w:asciiTheme="minorHAnsi" w:hAnsiTheme="minorHAnsi" w:cstheme="minorHAnsi"/>
        </w:rPr>
      </w:pPr>
      <w:hyperlink r:id="rId129">
        <w:r w:rsidRPr="008F72E7">
          <w:rPr>
            <w:rFonts w:asciiTheme="minorHAnsi" w:hAnsiTheme="minorHAnsi" w:cstheme="minorHAnsi"/>
            <w:i/>
            <w:color w:val="0072BC"/>
            <w:sz w:val="20"/>
          </w:rPr>
          <w:t>Gafiuc przeciwko Rumunii</w:t>
        </w:r>
      </w:hyperlink>
      <w:r w:rsidRPr="008F72E7">
        <w:rPr>
          <w:rFonts w:asciiTheme="minorHAnsi" w:hAnsiTheme="minorHAnsi" w:cstheme="minorHAnsi"/>
          <w:sz w:val="20"/>
        </w:rPr>
        <w:t xml:space="preserve">, nr. 59174/13, 13 października 2020 r. (brak naruszenia art. </w:t>
      </w:r>
      <w:r w:rsidRPr="008F72E7">
        <w:rPr>
          <w:rFonts w:asciiTheme="minorHAnsi" w:hAnsiTheme="minorHAnsi" w:cstheme="minorHAnsi"/>
          <w:spacing w:val="-4"/>
          <w:sz w:val="20"/>
        </w:rPr>
        <w:t>10);</w:t>
      </w:r>
    </w:p>
    <w:p w14:paraId="34F80CE8" w14:textId="77777777" w:rsidR="00094751" w:rsidRPr="00CF7D6E" w:rsidRDefault="00254F27">
      <w:pPr>
        <w:pStyle w:val="Akapitzlist"/>
        <w:numPr>
          <w:ilvl w:val="0"/>
          <w:numId w:val="1"/>
        </w:numPr>
        <w:tabs>
          <w:tab w:val="left" w:pos="1582"/>
        </w:tabs>
        <w:ind w:left="1582" w:right="0" w:hanging="283"/>
        <w:rPr>
          <w:rFonts w:asciiTheme="minorHAnsi" w:hAnsiTheme="minorHAnsi" w:cstheme="minorHAnsi"/>
          <w:sz w:val="20"/>
          <w:szCs w:val="20"/>
        </w:rPr>
      </w:pPr>
      <w:hyperlink r:id="rId130">
        <w:r w:rsidRPr="00CF7D6E">
          <w:rPr>
            <w:rFonts w:asciiTheme="minorHAnsi" w:hAnsiTheme="minorHAnsi" w:cstheme="minorHAnsi"/>
            <w:i/>
            <w:color w:val="0072BC"/>
            <w:sz w:val="20"/>
            <w:szCs w:val="20"/>
          </w:rPr>
          <w:t>Eminağaoğlu przeciwko Turcji</w:t>
        </w:r>
      </w:hyperlink>
      <w:r w:rsidRPr="00CF7D6E">
        <w:rPr>
          <w:rFonts w:asciiTheme="minorHAnsi" w:hAnsiTheme="minorHAnsi" w:cstheme="minorHAnsi"/>
          <w:sz w:val="20"/>
          <w:szCs w:val="20"/>
        </w:rPr>
        <w:t xml:space="preserve">, nr 76521/12, 9 marca 2021 r. (naruszenie art. 8 i </w:t>
      </w:r>
      <w:r w:rsidRPr="00CF7D6E">
        <w:rPr>
          <w:rFonts w:asciiTheme="minorHAnsi" w:hAnsiTheme="minorHAnsi" w:cstheme="minorHAnsi"/>
          <w:spacing w:val="-4"/>
          <w:sz w:val="20"/>
          <w:szCs w:val="20"/>
        </w:rPr>
        <w:t>10);</w:t>
      </w:r>
    </w:p>
    <w:p w14:paraId="2B13FE65" w14:textId="5394152C" w:rsidR="00094751" w:rsidRPr="00CF7D6E" w:rsidRDefault="00254F27">
      <w:pPr>
        <w:pStyle w:val="Akapitzlist"/>
        <w:numPr>
          <w:ilvl w:val="0"/>
          <w:numId w:val="1"/>
        </w:numPr>
        <w:tabs>
          <w:tab w:val="left" w:pos="1583"/>
        </w:tabs>
        <w:ind w:right="730" w:hanging="284"/>
        <w:rPr>
          <w:rFonts w:asciiTheme="minorHAnsi" w:hAnsiTheme="minorHAnsi" w:cstheme="minorHAnsi"/>
          <w:sz w:val="20"/>
          <w:szCs w:val="20"/>
        </w:rPr>
      </w:pPr>
      <w:hyperlink r:id="rId131">
        <w:r w:rsidRPr="00CF7D6E">
          <w:rPr>
            <w:rFonts w:asciiTheme="minorHAnsi" w:hAnsiTheme="minorHAnsi" w:cstheme="minorHAnsi"/>
            <w:i/>
            <w:color w:val="0072BC"/>
            <w:sz w:val="20"/>
            <w:szCs w:val="20"/>
          </w:rPr>
          <w:t>Akdeniz i inni przeciwko Turcji</w:t>
        </w:r>
      </w:hyperlink>
      <w:r w:rsidRPr="00CF7D6E">
        <w:rPr>
          <w:rFonts w:asciiTheme="minorHAnsi" w:hAnsiTheme="minorHAnsi" w:cstheme="minorHAnsi"/>
          <w:sz w:val="20"/>
          <w:szCs w:val="20"/>
        </w:rPr>
        <w:t xml:space="preserve">, nr 41139/15 i 41146/15, 4 maja 2021 r. </w:t>
      </w:r>
      <w:r w:rsidR="00CF7D6E">
        <w:rPr>
          <w:rFonts w:asciiTheme="minorHAnsi" w:hAnsiTheme="minorHAnsi" w:cstheme="minorHAnsi"/>
          <w:sz w:val="20"/>
          <w:szCs w:val="20"/>
        </w:rPr>
        <w:t>(naruszenie art. 10);</w:t>
      </w:r>
    </w:p>
    <w:p w14:paraId="39132190" w14:textId="77777777" w:rsidR="00094751" w:rsidRPr="008F72E7" w:rsidRDefault="00094751">
      <w:pPr>
        <w:pStyle w:val="Akapitzlist"/>
        <w:rPr>
          <w:rFonts w:asciiTheme="minorHAnsi" w:hAnsiTheme="minorHAnsi" w:cstheme="minorHAnsi"/>
        </w:rPr>
        <w:sectPr w:rsidR="00094751" w:rsidRPr="008F72E7">
          <w:pgSz w:w="11910" w:h="16840"/>
          <w:pgMar w:top="1100" w:right="708" w:bottom="920" w:left="708" w:header="723" w:footer="726" w:gutter="0"/>
          <w:cols w:space="708"/>
        </w:sectPr>
      </w:pPr>
    </w:p>
    <w:p w14:paraId="2DFB65FC" w14:textId="77777777" w:rsidR="00094751" w:rsidRPr="008F72E7" w:rsidRDefault="00094751">
      <w:pPr>
        <w:pStyle w:val="Tekstpodstawowy"/>
        <w:spacing w:before="146"/>
        <w:ind w:left="0"/>
        <w:rPr>
          <w:rFonts w:asciiTheme="minorHAnsi" w:hAnsiTheme="minorHAnsi" w:cstheme="minorHAnsi"/>
        </w:rPr>
      </w:pPr>
    </w:p>
    <w:p w14:paraId="208431C4" w14:textId="77777777" w:rsidR="00094751" w:rsidRPr="008F72E7" w:rsidRDefault="00254F27">
      <w:pPr>
        <w:pStyle w:val="Akapitzlist"/>
        <w:numPr>
          <w:ilvl w:val="0"/>
          <w:numId w:val="1"/>
        </w:numPr>
        <w:tabs>
          <w:tab w:val="left" w:pos="1583"/>
        </w:tabs>
        <w:spacing w:before="0"/>
        <w:ind w:right="730" w:hanging="284"/>
        <w:rPr>
          <w:rFonts w:asciiTheme="minorHAnsi" w:hAnsiTheme="minorHAnsi" w:cstheme="minorHAnsi"/>
        </w:rPr>
      </w:pPr>
      <w:hyperlink r:id="rId132">
        <w:r w:rsidRPr="008F72E7">
          <w:rPr>
            <w:rFonts w:asciiTheme="minorHAnsi" w:hAnsiTheme="minorHAnsi" w:cstheme="minorHAnsi"/>
            <w:i/>
            <w:color w:val="0072BC"/>
            <w:sz w:val="20"/>
          </w:rPr>
          <w:t>Stowarzyszenie Burestop 55 i inni przeciwko Francji</w:t>
        </w:r>
      </w:hyperlink>
      <w:r w:rsidRPr="008F72E7">
        <w:rPr>
          <w:rFonts w:asciiTheme="minorHAnsi" w:hAnsiTheme="minorHAnsi" w:cstheme="minorHAnsi"/>
          <w:sz w:val="20"/>
        </w:rPr>
        <w:t>, nr 56176/18 i 5 innych, 1 lipca 2021 r. (brak naruszenia art. 10);</w:t>
      </w:r>
    </w:p>
    <w:p w14:paraId="0A75EF0B" w14:textId="77777777" w:rsidR="00094751" w:rsidRPr="008F72E7" w:rsidRDefault="00254F27">
      <w:pPr>
        <w:pStyle w:val="Akapitzlist"/>
        <w:numPr>
          <w:ilvl w:val="0"/>
          <w:numId w:val="1"/>
        </w:numPr>
        <w:tabs>
          <w:tab w:val="left" w:pos="1582"/>
        </w:tabs>
        <w:ind w:left="1582" w:right="0" w:hanging="283"/>
        <w:rPr>
          <w:rFonts w:asciiTheme="minorHAnsi" w:hAnsiTheme="minorHAnsi" w:cstheme="minorHAnsi"/>
        </w:rPr>
      </w:pPr>
      <w:hyperlink r:id="rId133">
        <w:r w:rsidRPr="008F72E7">
          <w:rPr>
            <w:rFonts w:asciiTheme="minorHAnsi" w:hAnsiTheme="minorHAnsi" w:cstheme="minorHAnsi"/>
            <w:i/>
            <w:color w:val="0072BC"/>
            <w:sz w:val="20"/>
          </w:rPr>
          <w:t>Hájovský przeciwko Słowacji</w:t>
        </w:r>
      </w:hyperlink>
      <w:r w:rsidRPr="008F72E7">
        <w:rPr>
          <w:rFonts w:asciiTheme="minorHAnsi" w:hAnsiTheme="minorHAnsi" w:cstheme="minorHAnsi"/>
          <w:sz w:val="20"/>
        </w:rPr>
        <w:t xml:space="preserve">, nr 7796/16, 1 lipca 2021 r. (naruszenie art. </w:t>
      </w:r>
      <w:r w:rsidRPr="008F72E7">
        <w:rPr>
          <w:rFonts w:asciiTheme="minorHAnsi" w:hAnsiTheme="minorHAnsi" w:cstheme="minorHAnsi"/>
          <w:spacing w:val="-5"/>
          <w:sz w:val="20"/>
        </w:rPr>
        <w:t>8);</w:t>
      </w:r>
    </w:p>
    <w:p w14:paraId="69602D5E" w14:textId="77777777" w:rsidR="00094751" w:rsidRPr="008F72E7" w:rsidRDefault="00254F27">
      <w:pPr>
        <w:pStyle w:val="Akapitzlist"/>
        <w:numPr>
          <w:ilvl w:val="0"/>
          <w:numId w:val="1"/>
        </w:numPr>
        <w:tabs>
          <w:tab w:val="left" w:pos="1582"/>
        </w:tabs>
        <w:ind w:left="1582" w:right="0" w:hanging="283"/>
        <w:rPr>
          <w:rFonts w:asciiTheme="minorHAnsi" w:hAnsiTheme="minorHAnsi" w:cstheme="minorHAnsi"/>
        </w:rPr>
      </w:pPr>
      <w:hyperlink r:id="rId134">
        <w:r w:rsidRPr="008F72E7">
          <w:rPr>
            <w:rFonts w:asciiTheme="minorHAnsi" w:hAnsiTheme="minorHAnsi" w:cstheme="minorHAnsi"/>
            <w:i/>
            <w:color w:val="0072BC"/>
            <w:sz w:val="20"/>
          </w:rPr>
          <w:t>M.L. przeciwko Słowacji</w:t>
        </w:r>
      </w:hyperlink>
      <w:r w:rsidRPr="008F72E7">
        <w:rPr>
          <w:rFonts w:asciiTheme="minorHAnsi" w:hAnsiTheme="minorHAnsi" w:cstheme="minorHAnsi"/>
          <w:sz w:val="20"/>
        </w:rPr>
        <w:t xml:space="preserve">, nr. 34159/17, 14 października 2021 r. (naruszenie art. </w:t>
      </w:r>
      <w:r w:rsidRPr="008F72E7">
        <w:rPr>
          <w:rFonts w:asciiTheme="minorHAnsi" w:hAnsiTheme="minorHAnsi" w:cstheme="minorHAnsi"/>
          <w:spacing w:val="-5"/>
          <w:sz w:val="20"/>
        </w:rPr>
        <w:t>8);</w:t>
      </w:r>
    </w:p>
    <w:p w14:paraId="29B96E14" w14:textId="0BE78BB3" w:rsidR="00094751" w:rsidRPr="008F72E7" w:rsidRDefault="00254F27">
      <w:pPr>
        <w:pStyle w:val="Akapitzlist"/>
        <w:numPr>
          <w:ilvl w:val="0"/>
          <w:numId w:val="1"/>
        </w:numPr>
        <w:tabs>
          <w:tab w:val="left" w:pos="1583"/>
        </w:tabs>
        <w:ind w:right="730" w:hanging="284"/>
        <w:rPr>
          <w:rFonts w:asciiTheme="minorHAnsi" w:hAnsiTheme="minorHAnsi" w:cstheme="minorHAnsi"/>
        </w:rPr>
      </w:pPr>
      <w:hyperlink r:id="rId135">
        <w:r w:rsidRPr="008F72E7">
          <w:rPr>
            <w:rFonts w:asciiTheme="minorHAnsi" w:hAnsiTheme="minorHAnsi" w:cstheme="minorHAnsi"/>
            <w:i/>
            <w:color w:val="0072BC"/>
            <w:sz w:val="20"/>
          </w:rPr>
          <w:t>Saure przeciwko Niemcom</w:t>
        </w:r>
      </w:hyperlink>
      <w:r w:rsidRPr="008F72E7">
        <w:rPr>
          <w:rFonts w:asciiTheme="minorHAnsi" w:hAnsiTheme="minorHAnsi" w:cstheme="minorHAnsi"/>
          <w:sz w:val="20"/>
        </w:rPr>
        <w:t xml:space="preserve"> (dec.), nr 6106/16, 19 października 2021 r. (niedopuszczaln</w:t>
      </w:r>
      <w:r w:rsidR="002448DC">
        <w:rPr>
          <w:rFonts w:asciiTheme="minorHAnsi" w:hAnsiTheme="minorHAnsi" w:cstheme="minorHAnsi"/>
          <w:sz w:val="20"/>
        </w:rPr>
        <w:t>y</w:t>
      </w:r>
      <w:r w:rsidRPr="008F72E7">
        <w:rPr>
          <w:rFonts w:asciiTheme="minorHAnsi" w:hAnsiTheme="minorHAnsi" w:cstheme="minorHAnsi"/>
          <w:sz w:val="20"/>
        </w:rPr>
        <w:t xml:space="preserve"> - niewyczerpanie krajowych środków odwoławczych);</w:t>
      </w:r>
    </w:p>
    <w:p w14:paraId="49C0C391" w14:textId="77777777" w:rsidR="00094751" w:rsidRPr="008F72E7" w:rsidRDefault="00254F27">
      <w:pPr>
        <w:pStyle w:val="Akapitzlist"/>
        <w:numPr>
          <w:ilvl w:val="0"/>
          <w:numId w:val="1"/>
        </w:numPr>
        <w:tabs>
          <w:tab w:val="left" w:pos="1583"/>
        </w:tabs>
        <w:ind w:right="731" w:hanging="284"/>
        <w:rPr>
          <w:rFonts w:asciiTheme="minorHAnsi" w:hAnsiTheme="minorHAnsi" w:cstheme="minorHAnsi"/>
        </w:rPr>
      </w:pPr>
      <w:hyperlink r:id="rId136">
        <w:r w:rsidRPr="008F72E7">
          <w:rPr>
            <w:rFonts w:asciiTheme="minorHAnsi" w:hAnsiTheme="minorHAnsi" w:cstheme="minorHAnsi"/>
            <w:i/>
            <w:color w:val="0072BC"/>
            <w:sz w:val="20"/>
          </w:rPr>
          <w:t>Assotsiatsiya NGO Golos i inni przeciwko Rosji</w:t>
        </w:r>
      </w:hyperlink>
      <w:r w:rsidRPr="008F72E7">
        <w:rPr>
          <w:rFonts w:asciiTheme="minorHAnsi" w:hAnsiTheme="minorHAnsi" w:cstheme="minorHAnsi"/>
          <w:sz w:val="20"/>
        </w:rPr>
        <w:t>, nr. 41055/12, 16 listopada 2021 r. (naruszenie art. 10);</w:t>
      </w:r>
    </w:p>
    <w:p w14:paraId="031B6467" w14:textId="77777777" w:rsidR="00094751" w:rsidRPr="008F72E7" w:rsidRDefault="00254F27">
      <w:pPr>
        <w:pStyle w:val="Akapitzlist"/>
        <w:numPr>
          <w:ilvl w:val="0"/>
          <w:numId w:val="1"/>
        </w:numPr>
        <w:tabs>
          <w:tab w:val="left" w:pos="1582"/>
        </w:tabs>
        <w:ind w:left="1582" w:right="0" w:hanging="283"/>
        <w:rPr>
          <w:rFonts w:asciiTheme="minorHAnsi" w:hAnsiTheme="minorHAnsi" w:cstheme="minorHAnsi"/>
        </w:rPr>
      </w:pPr>
      <w:hyperlink r:id="rId137">
        <w:r w:rsidRPr="008F72E7">
          <w:rPr>
            <w:rFonts w:asciiTheme="minorHAnsi" w:hAnsiTheme="minorHAnsi" w:cstheme="minorHAnsi"/>
            <w:i/>
            <w:color w:val="0072BC"/>
            <w:sz w:val="20"/>
          </w:rPr>
          <w:t>I.V.Ț. przeciwko Rumunii</w:t>
        </w:r>
      </w:hyperlink>
      <w:r w:rsidRPr="008F72E7">
        <w:rPr>
          <w:rFonts w:asciiTheme="minorHAnsi" w:hAnsiTheme="minorHAnsi" w:cstheme="minorHAnsi"/>
          <w:sz w:val="20"/>
        </w:rPr>
        <w:t xml:space="preserve">, nr. 35582/15, 1 marca 2022 r. (naruszenie art. </w:t>
      </w:r>
      <w:r w:rsidRPr="008F72E7">
        <w:rPr>
          <w:rFonts w:asciiTheme="minorHAnsi" w:hAnsiTheme="minorHAnsi" w:cstheme="minorHAnsi"/>
          <w:spacing w:val="-5"/>
          <w:sz w:val="20"/>
        </w:rPr>
        <w:t>8);</w:t>
      </w:r>
    </w:p>
    <w:p w14:paraId="4CE764E9" w14:textId="1C7A7F0F" w:rsidR="00094751" w:rsidRPr="008F72E7" w:rsidRDefault="00254F27">
      <w:pPr>
        <w:pStyle w:val="Akapitzlist"/>
        <w:numPr>
          <w:ilvl w:val="0"/>
          <w:numId w:val="1"/>
        </w:numPr>
        <w:tabs>
          <w:tab w:val="left" w:pos="1583"/>
        </w:tabs>
        <w:ind w:hanging="284"/>
        <w:jc w:val="both"/>
        <w:rPr>
          <w:rFonts w:asciiTheme="minorHAnsi" w:hAnsiTheme="minorHAnsi" w:cstheme="minorHAnsi"/>
        </w:rPr>
      </w:pPr>
      <w:hyperlink r:id="rId138">
        <w:r w:rsidRPr="008F72E7">
          <w:rPr>
            <w:rFonts w:asciiTheme="minorHAnsi" w:hAnsiTheme="minorHAnsi" w:cstheme="minorHAnsi"/>
            <w:i/>
            <w:color w:val="0072BC"/>
            <w:sz w:val="20"/>
          </w:rPr>
          <w:t>Taner Kılıç przeciwko Turcji (nr 2)</w:t>
        </w:r>
      </w:hyperlink>
      <w:r w:rsidRPr="008F72E7">
        <w:rPr>
          <w:rFonts w:asciiTheme="minorHAnsi" w:hAnsiTheme="minorHAnsi" w:cstheme="minorHAnsi"/>
          <w:sz w:val="20"/>
        </w:rPr>
        <w:t>, nr 208/18, 31 maja 2022 r. (naruszenie art. 5 § 1, art. 5 § 3, art. 5 § 5 i art. 10; brak potrzeby badania art. 18; art. 5 § 4 niedopuszczaln</w:t>
      </w:r>
      <w:r w:rsidR="005217E9">
        <w:rPr>
          <w:rFonts w:asciiTheme="minorHAnsi" w:hAnsiTheme="minorHAnsi" w:cstheme="minorHAnsi"/>
          <w:sz w:val="20"/>
        </w:rPr>
        <w:t>a</w:t>
      </w:r>
      <w:r w:rsidR="00AC4E68">
        <w:rPr>
          <w:rFonts w:asciiTheme="minorHAnsi" w:hAnsiTheme="minorHAnsi" w:cstheme="minorHAnsi"/>
          <w:sz w:val="20"/>
        </w:rPr>
        <w:t>–</w:t>
      </w:r>
      <w:r w:rsidRPr="008F72E7">
        <w:rPr>
          <w:rFonts w:asciiTheme="minorHAnsi" w:hAnsiTheme="minorHAnsi" w:cstheme="minorHAnsi"/>
          <w:sz w:val="20"/>
        </w:rPr>
        <w:t xml:space="preserve"> </w:t>
      </w:r>
      <w:r w:rsidR="00AC4E68">
        <w:rPr>
          <w:rFonts w:asciiTheme="minorHAnsi" w:hAnsiTheme="minorHAnsi" w:cstheme="minorHAnsi"/>
          <w:sz w:val="20"/>
        </w:rPr>
        <w:t xml:space="preserve">ewidentnie </w:t>
      </w:r>
      <w:r w:rsidR="002448DC">
        <w:rPr>
          <w:rFonts w:asciiTheme="minorHAnsi" w:hAnsiTheme="minorHAnsi" w:cstheme="minorHAnsi"/>
          <w:spacing w:val="-2"/>
          <w:sz w:val="20"/>
        </w:rPr>
        <w:t>bezpodstawn</w:t>
      </w:r>
      <w:r w:rsidR="005217E9">
        <w:rPr>
          <w:rFonts w:asciiTheme="minorHAnsi" w:hAnsiTheme="minorHAnsi" w:cstheme="minorHAnsi"/>
          <w:spacing w:val="-2"/>
          <w:sz w:val="20"/>
        </w:rPr>
        <w:t>a</w:t>
      </w:r>
      <w:r w:rsidRPr="008F72E7">
        <w:rPr>
          <w:rFonts w:asciiTheme="minorHAnsi" w:hAnsiTheme="minorHAnsi" w:cstheme="minorHAnsi"/>
          <w:spacing w:val="-2"/>
          <w:sz w:val="20"/>
        </w:rPr>
        <w:t>);</w:t>
      </w:r>
    </w:p>
    <w:p w14:paraId="64171FE7" w14:textId="77777777" w:rsidR="00094751" w:rsidRPr="008F72E7" w:rsidRDefault="00254F27">
      <w:pPr>
        <w:pStyle w:val="Akapitzlist"/>
        <w:numPr>
          <w:ilvl w:val="0"/>
          <w:numId w:val="1"/>
        </w:numPr>
        <w:tabs>
          <w:tab w:val="left" w:pos="1582"/>
        </w:tabs>
        <w:ind w:left="1582" w:right="0" w:hanging="283"/>
        <w:jc w:val="both"/>
        <w:rPr>
          <w:rFonts w:asciiTheme="minorHAnsi" w:hAnsiTheme="minorHAnsi" w:cstheme="minorHAnsi"/>
        </w:rPr>
      </w:pPr>
      <w:hyperlink r:id="rId139">
        <w:r w:rsidRPr="008F72E7">
          <w:rPr>
            <w:rFonts w:asciiTheme="minorHAnsi" w:hAnsiTheme="minorHAnsi" w:cstheme="minorHAnsi"/>
            <w:i/>
            <w:color w:val="0072BC"/>
            <w:sz w:val="20"/>
          </w:rPr>
          <w:t>Timur Sharipov przeciwko Rosji</w:t>
        </w:r>
      </w:hyperlink>
      <w:r w:rsidRPr="008F72E7">
        <w:rPr>
          <w:rFonts w:asciiTheme="minorHAnsi" w:hAnsiTheme="minorHAnsi" w:cstheme="minorHAnsi"/>
          <w:sz w:val="20"/>
        </w:rPr>
        <w:t xml:space="preserve">, nr 15758/13, 13 września 2022 r. (naruszenie art. </w:t>
      </w:r>
      <w:r w:rsidRPr="008F72E7">
        <w:rPr>
          <w:rFonts w:asciiTheme="minorHAnsi" w:hAnsiTheme="minorHAnsi" w:cstheme="minorHAnsi"/>
          <w:spacing w:val="-4"/>
          <w:sz w:val="20"/>
        </w:rPr>
        <w:t>10);</w:t>
      </w:r>
    </w:p>
    <w:p w14:paraId="662FC8EB" w14:textId="77777777" w:rsidR="00094751" w:rsidRPr="008F72E7" w:rsidRDefault="00254F27">
      <w:pPr>
        <w:pStyle w:val="Akapitzlist"/>
        <w:numPr>
          <w:ilvl w:val="0"/>
          <w:numId w:val="1"/>
        </w:numPr>
        <w:tabs>
          <w:tab w:val="left" w:pos="1583"/>
        </w:tabs>
        <w:ind w:right="730" w:hanging="284"/>
        <w:rPr>
          <w:rFonts w:asciiTheme="minorHAnsi" w:hAnsiTheme="minorHAnsi" w:cstheme="minorHAnsi"/>
        </w:rPr>
      </w:pPr>
      <w:hyperlink r:id="rId140">
        <w:r w:rsidRPr="008F72E7">
          <w:rPr>
            <w:rFonts w:asciiTheme="minorHAnsi" w:hAnsiTheme="minorHAnsi" w:cstheme="minorHAnsi"/>
            <w:i/>
            <w:color w:val="0072BC"/>
            <w:sz w:val="20"/>
          </w:rPr>
          <w:t>Anatoliy Yeremenko przeciwko Ukrainie</w:t>
        </w:r>
      </w:hyperlink>
      <w:r w:rsidRPr="008F72E7">
        <w:rPr>
          <w:rFonts w:asciiTheme="minorHAnsi" w:hAnsiTheme="minorHAnsi" w:cstheme="minorHAnsi"/>
          <w:sz w:val="20"/>
        </w:rPr>
        <w:t>, nr 22287/08, 15 września 2022 r. (brak naruszenia art. 10 w postępowaniu nakazowym, naruszenie art. 10 w postępowaniu o zniesławienie);</w:t>
      </w:r>
    </w:p>
    <w:p w14:paraId="523BBDB4" w14:textId="049985C7" w:rsidR="00094751" w:rsidRPr="008F72E7" w:rsidRDefault="00254F27">
      <w:pPr>
        <w:pStyle w:val="Akapitzlist"/>
        <w:numPr>
          <w:ilvl w:val="0"/>
          <w:numId w:val="1"/>
        </w:numPr>
        <w:tabs>
          <w:tab w:val="left" w:pos="1583"/>
        </w:tabs>
        <w:ind w:hanging="284"/>
        <w:rPr>
          <w:rFonts w:asciiTheme="minorHAnsi" w:hAnsiTheme="minorHAnsi" w:cstheme="minorHAnsi"/>
        </w:rPr>
      </w:pPr>
      <w:hyperlink r:id="rId141">
        <w:r w:rsidRPr="008F72E7">
          <w:rPr>
            <w:rFonts w:asciiTheme="minorHAnsi" w:hAnsiTheme="minorHAnsi" w:cstheme="minorHAnsi"/>
            <w:i/>
            <w:color w:val="0072BC"/>
            <w:sz w:val="20"/>
          </w:rPr>
          <w:t>C8 (Canal 8) przeciwko Francji</w:t>
        </w:r>
      </w:hyperlink>
      <w:r w:rsidRPr="008F72E7">
        <w:rPr>
          <w:rFonts w:asciiTheme="minorHAnsi" w:hAnsiTheme="minorHAnsi" w:cstheme="minorHAnsi"/>
          <w:sz w:val="20"/>
        </w:rPr>
        <w:t>, nr 58951/18 i 1308/19, 9 lutego 2023 r. (bra</w:t>
      </w:r>
      <w:r w:rsidR="00646E7D">
        <w:rPr>
          <w:rFonts w:asciiTheme="minorHAnsi" w:hAnsiTheme="minorHAnsi" w:cstheme="minorHAnsi"/>
          <w:sz w:val="20"/>
        </w:rPr>
        <w:t>k naruszenia</w:t>
      </w:r>
      <w:r w:rsidRPr="008F72E7">
        <w:rPr>
          <w:rFonts w:asciiTheme="minorHAnsi" w:hAnsiTheme="minorHAnsi" w:cstheme="minorHAnsi"/>
          <w:spacing w:val="40"/>
          <w:sz w:val="20"/>
        </w:rPr>
        <w:t xml:space="preserve"> </w:t>
      </w:r>
      <w:r w:rsidRPr="008F72E7">
        <w:rPr>
          <w:rFonts w:asciiTheme="minorHAnsi" w:hAnsiTheme="minorHAnsi" w:cstheme="minorHAnsi"/>
          <w:sz w:val="20"/>
        </w:rPr>
        <w:t>art. 10);</w:t>
      </w:r>
    </w:p>
    <w:p w14:paraId="58E99687" w14:textId="77777777" w:rsidR="00094751" w:rsidRPr="008F72E7" w:rsidRDefault="00254F27">
      <w:pPr>
        <w:pStyle w:val="Akapitzlist"/>
        <w:numPr>
          <w:ilvl w:val="0"/>
          <w:numId w:val="1"/>
        </w:numPr>
        <w:tabs>
          <w:tab w:val="left" w:pos="1582"/>
        </w:tabs>
        <w:ind w:left="1582" w:right="0" w:hanging="283"/>
        <w:rPr>
          <w:rFonts w:asciiTheme="minorHAnsi" w:hAnsiTheme="minorHAnsi" w:cstheme="minorHAnsi"/>
        </w:rPr>
      </w:pPr>
      <w:hyperlink r:id="rId142">
        <w:r w:rsidRPr="008F72E7">
          <w:rPr>
            <w:rFonts w:asciiTheme="minorHAnsi" w:hAnsiTheme="minorHAnsi" w:cstheme="minorHAnsi"/>
            <w:i/>
            <w:color w:val="0072BC"/>
            <w:sz w:val="20"/>
          </w:rPr>
          <w:t>Karaca przeciwko Turcji</w:t>
        </w:r>
      </w:hyperlink>
      <w:r w:rsidRPr="008F72E7">
        <w:rPr>
          <w:rFonts w:asciiTheme="minorHAnsi" w:hAnsiTheme="minorHAnsi" w:cstheme="minorHAnsi"/>
          <w:sz w:val="20"/>
        </w:rPr>
        <w:t xml:space="preserve">, nr 25285/15, 20 czerwca 2023 r. (brak naruszenia art. </w:t>
      </w:r>
      <w:r w:rsidRPr="008F72E7">
        <w:rPr>
          <w:rFonts w:asciiTheme="minorHAnsi" w:hAnsiTheme="minorHAnsi" w:cstheme="minorHAnsi"/>
          <w:spacing w:val="-4"/>
          <w:sz w:val="20"/>
        </w:rPr>
        <w:t>10);</w:t>
      </w:r>
    </w:p>
    <w:p w14:paraId="1440A7B7" w14:textId="77777777" w:rsidR="00094751" w:rsidRPr="008F72E7" w:rsidRDefault="00254F27">
      <w:pPr>
        <w:pStyle w:val="Akapitzlist"/>
        <w:numPr>
          <w:ilvl w:val="0"/>
          <w:numId w:val="1"/>
        </w:numPr>
        <w:tabs>
          <w:tab w:val="left" w:pos="1582"/>
        </w:tabs>
        <w:ind w:left="1582" w:right="0" w:hanging="283"/>
        <w:rPr>
          <w:rFonts w:asciiTheme="minorHAnsi" w:hAnsiTheme="minorHAnsi" w:cstheme="minorHAnsi"/>
        </w:rPr>
      </w:pPr>
      <w:hyperlink r:id="rId143">
        <w:r w:rsidRPr="008F72E7">
          <w:rPr>
            <w:rFonts w:asciiTheme="minorHAnsi" w:hAnsiTheme="minorHAnsi" w:cstheme="minorHAnsi"/>
            <w:i/>
            <w:color w:val="0072BC"/>
            <w:sz w:val="20"/>
          </w:rPr>
          <w:t>Hurbain przeciwko Belgii</w:t>
        </w:r>
      </w:hyperlink>
      <w:r w:rsidRPr="008F72E7">
        <w:rPr>
          <w:rFonts w:asciiTheme="minorHAnsi" w:hAnsiTheme="minorHAnsi" w:cstheme="minorHAnsi"/>
          <w:sz w:val="20"/>
        </w:rPr>
        <w:t xml:space="preserve"> [GC], nr. 57292/16, 4 lipca 2023 r. (brak naruszenia art. </w:t>
      </w:r>
      <w:r w:rsidRPr="008F72E7">
        <w:rPr>
          <w:rFonts w:asciiTheme="minorHAnsi" w:hAnsiTheme="minorHAnsi" w:cstheme="minorHAnsi"/>
          <w:spacing w:val="-4"/>
          <w:sz w:val="20"/>
        </w:rPr>
        <w:t>10);</w:t>
      </w:r>
    </w:p>
    <w:p w14:paraId="0F6ED5D3" w14:textId="77777777" w:rsidR="00094751" w:rsidRPr="008F72E7" w:rsidRDefault="00254F27">
      <w:pPr>
        <w:pStyle w:val="Akapitzlist"/>
        <w:numPr>
          <w:ilvl w:val="0"/>
          <w:numId w:val="1"/>
        </w:numPr>
        <w:tabs>
          <w:tab w:val="left" w:pos="1582"/>
        </w:tabs>
        <w:ind w:left="1582" w:right="0" w:hanging="283"/>
        <w:rPr>
          <w:rFonts w:asciiTheme="minorHAnsi" w:hAnsiTheme="minorHAnsi" w:cstheme="minorHAnsi"/>
        </w:rPr>
      </w:pPr>
      <w:hyperlink r:id="rId144">
        <w:r w:rsidRPr="008F72E7">
          <w:rPr>
            <w:rFonts w:asciiTheme="minorHAnsi" w:hAnsiTheme="minorHAnsi" w:cstheme="minorHAnsi"/>
            <w:i/>
            <w:color w:val="0072BC"/>
            <w:sz w:val="20"/>
          </w:rPr>
          <w:t>Almeida Arroja przeciwko Portugalii</w:t>
        </w:r>
      </w:hyperlink>
      <w:r w:rsidRPr="008F72E7">
        <w:rPr>
          <w:rFonts w:asciiTheme="minorHAnsi" w:hAnsiTheme="minorHAnsi" w:cstheme="minorHAnsi"/>
          <w:sz w:val="20"/>
        </w:rPr>
        <w:t xml:space="preserve">, nr. 47238/19, 19 marca 2024 r. (naruszenie art. </w:t>
      </w:r>
      <w:r w:rsidRPr="008F72E7">
        <w:rPr>
          <w:rFonts w:asciiTheme="minorHAnsi" w:hAnsiTheme="minorHAnsi" w:cstheme="minorHAnsi"/>
          <w:spacing w:val="-4"/>
          <w:sz w:val="20"/>
        </w:rPr>
        <w:t>10);</w:t>
      </w:r>
    </w:p>
    <w:p w14:paraId="2A0DB7ED" w14:textId="77777777" w:rsidR="00094751" w:rsidRPr="008F72E7" w:rsidRDefault="00254F27">
      <w:pPr>
        <w:pStyle w:val="Akapitzlist"/>
        <w:numPr>
          <w:ilvl w:val="0"/>
          <w:numId w:val="1"/>
        </w:numPr>
        <w:tabs>
          <w:tab w:val="left" w:pos="1582"/>
        </w:tabs>
        <w:ind w:left="1582" w:right="0" w:hanging="283"/>
        <w:rPr>
          <w:rFonts w:asciiTheme="minorHAnsi" w:hAnsiTheme="minorHAnsi" w:cstheme="minorHAnsi"/>
        </w:rPr>
      </w:pPr>
      <w:hyperlink r:id="rId145">
        <w:r w:rsidRPr="008F72E7">
          <w:rPr>
            <w:rFonts w:asciiTheme="minorHAnsi" w:hAnsiTheme="minorHAnsi" w:cstheme="minorHAnsi"/>
            <w:i/>
            <w:color w:val="0072BC"/>
            <w:sz w:val="20"/>
          </w:rPr>
          <w:t>Suprun przeciwko Rosji</w:t>
        </w:r>
      </w:hyperlink>
      <w:r w:rsidRPr="008F72E7">
        <w:rPr>
          <w:rFonts w:asciiTheme="minorHAnsi" w:hAnsiTheme="minorHAnsi" w:cstheme="minorHAnsi"/>
          <w:sz w:val="20"/>
        </w:rPr>
        <w:t xml:space="preserve">, nr 58029/12 i 4 inne, 18 czerwca 2024 r. (naruszenie art. </w:t>
      </w:r>
      <w:r w:rsidRPr="008F72E7">
        <w:rPr>
          <w:rFonts w:asciiTheme="minorHAnsi" w:hAnsiTheme="minorHAnsi" w:cstheme="minorHAnsi"/>
          <w:spacing w:val="-4"/>
          <w:sz w:val="20"/>
        </w:rPr>
        <w:t>10);</w:t>
      </w:r>
    </w:p>
    <w:p w14:paraId="6B55C262" w14:textId="77777777" w:rsidR="00094751" w:rsidRPr="008F72E7" w:rsidRDefault="00254F27">
      <w:pPr>
        <w:pStyle w:val="Akapitzlist"/>
        <w:numPr>
          <w:ilvl w:val="0"/>
          <w:numId w:val="1"/>
        </w:numPr>
        <w:tabs>
          <w:tab w:val="left" w:pos="1582"/>
        </w:tabs>
        <w:ind w:left="1582" w:right="0" w:hanging="283"/>
        <w:rPr>
          <w:rFonts w:asciiTheme="minorHAnsi" w:hAnsiTheme="minorHAnsi" w:cstheme="minorHAnsi"/>
        </w:rPr>
      </w:pPr>
      <w:hyperlink r:id="rId146">
        <w:r w:rsidRPr="008F72E7">
          <w:rPr>
            <w:rFonts w:asciiTheme="minorHAnsi" w:hAnsiTheme="minorHAnsi" w:cstheme="minorHAnsi"/>
            <w:i/>
            <w:color w:val="0072BC"/>
            <w:sz w:val="20"/>
          </w:rPr>
          <w:t>Bielau przeciwko Austrii</w:t>
        </w:r>
      </w:hyperlink>
      <w:r w:rsidRPr="008F72E7">
        <w:rPr>
          <w:rFonts w:asciiTheme="minorHAnsi" w:hAnsiTheme="minorHAnsi" w:cstheme="minorHAnsi"/>
          <w:sz w:val="20"/>
        </w:rPr>
        <w:t xml:space="preserve">, nr 20007/22, 27 sierpnia 2024 r. (brak naruszenia art. </w:t>
      </w:r>
      <w:r w:rsidRPr="008F72E7">
        <w:rPr>
          <w:rFonts w:asciiTheme="minorHAnsi" w:hAnsiTheme="minorHAnsi" w:cstheme="minorHAnsi"/>
          <w:spacing w:val="-4"/>
          <w:sz w:val="20"/>
        </w:rPr>
        <w:t>10).</w:t>
      </w:r>
    </w:p>
    <w:sectPr w:rsidR="00094751" w:rsidRPr="008F72E7">
      <w:pgSz w:w="11910" w:h="16840"/>
      <w:pgMar w:top="1100" w:right="708" w:bottom="920" w:left="708" w:header="723" w:footer="72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30867" w14:textId="77777777" w:rsidR="00740B5B" w:rsidRDefault="00740B5B">
      <w:r>
        <w:separator/>
      </w:r>
    </w:p>
  </w:endnote>
  <w:endnote w:type="continuationSeparator" w:id="0">
    <w:p w14:paraId="206EE1E4" w14:textId="77777777" w:rsidR="00740B5B" w:rsidRDefault="00740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37A14" w14:textId="77777777" w:rsidR="00094751" w:rsidRDefault="00254F27">
    <w:pPr>
      <w:pStyle w:val="Tekstpodstawowy"/>
      <w:spacing w:before="0" w:line="14" w:lineRule="auto"/>
      <w:ind w:left="0"/>
      <w:rPr>
        <w:sz w:val="20"/>
      </w:rPr>
    </w:pPr>
    <w:r>
      <w:rPr>
        <w:noProof/>
        <w:sz w:val="20"/>
      </w:rPr>
      <mc:AlternateContent>
        <mc:Choice Requires="wps">
          <w:drawing>
            <wp:anchor distT="0" distB="0" distL="0" distR="0" simplePos="0" relativeHeight="251656704" behindDoc="1" locked="0" layoutInCell="1" allowOverlap="1" wp14:anchorId="181FDBF7" wp14:editId="19466049">
              <wp:simplePos x="0" y="0"/>
              <wp:positionH relativeFrom="page">
                <wp:posOffset>482600</wp:posOffset>
              </wp:positionH>
              <wp:positionV relativeFrom="page">
                <wp:posOffset>10054628</wp:posOffset>
              </wp:positionV>
              <wp:extent cx="6595745" cy="19050"/>
              <wp:effectExtent l="0" t="0" r="0" b="0"/>
              <wp:wrapNone/>
              <wp:docPr id="9" name="Graphic 9"/>
              <wp:cNvGraphicFramePr/>
              <a:graphic xmlns:a="http://schemas.openxmlformats.org/drawingml/2006/main">
                <a:graphicData uri="http://schemas.microsoft.com/office/word/2010/wordprocessingShape">
                  <wps:wsp>
                    <wps:cNvSpPr/>
                    <wps:spPr>
                      <a:xfrm>
                        <a:off x="0" y="0"/>
                        <a:ext cx="6595745" cy="19050"/>
                      </a:xfrm>
                      <a:custGeom>
                        <a:avLst/>
                        <a:gdLst/>
                        <a:ahLst/>
                        <a:cxnLst/>
                        <a:rect l="l" t="t" r="r" b="b"/>
                        <a:pathLst>
                          <a:path w="6595745" h="19050">
                            <a:moveTo>
                              <a:pt x="6595744" y="19050"/>
                            </a:moveTo>
                            <a:lnTo>
                              <a:pt x="0" y="19050"/>
                            </a:lnTo>
                            <a:lnTo>
                              <a:pt x="0" y="0"/>
                            </a:lnTo>
                            <a:lnTo>
                              <a:pt x="6595744" y="0"/>
                            </a:lnTo>
                            <a:lnTo>
                              <a:pt x="6595744" y="19050"/>
                            </a:lnTo>
                            <a:close/>
                          </a:path>
                        </a:pathLst>
                      </a:custGeom>
                      <a:solidFill>
                        <a:srgbClr val="A0A0A0"/>
                      </a:solidFill>
                    </wps:spPr>
                    <wps:bodyPr wrap="square" lIns="0" tIns="0" rIns="0" bIns="0" rtlCol="0">
                      <a:prstTxWarp prst="textNoShape">
                        <a:avLst/>
                      </a:prstTxWarp>
                    </wps:bodyPr>
                  </wps:wsp>
                </a:graphicData>
              </a:graphic>
            </wp:anchor>
          </w:drawing>
        </mc:Choice>
        <mc:Fallback>
          <w:pict>
            <v:shape w14:anchorId="0B726159" id="Graphic 9" o:spid="_x0000_s1026" style="position:absolute;margin-left:38pt;margin-top:791.7pt;width:519.35pt;height:1.5pt;z-index:-251659776;visibility:visible;mso-wrap-style:square;mso-wrap-distance-left:0;mso-wrap-distance-top:0;mso-wrap-distance-right:0;mso-wrap-distance-bottom:0;mso-position-horizontal:absolute;mso-position-horizontal-relative:page;mso-position-vertical:absolute;mso-position-vertical-relative:page;v-text-anchor:top" coordsize="6595745,19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" path="m6595744,19050l,19050,,,6595744,r,19050xe" fillcolor="#a0a0a0" stroked="f">
              <v:path arrowok="t"/>
              <w10:wrap anchorx="page" anchory="page"/>
            </v:shape>
          </w:pict>
        </mc:Fallback>
      </mc:AlternateContent>
    </w:r>
    <w:r>
      <w:rPr>
        <w:noProof/>
        <w:sz w:val="20"/>
      </w:rPr>
      <mc:AlternateContent>
        <mc:Choice Requires="wps">
          <w:drawing>
            <wp:anchor distT="0" distB="0" distL="0" distR="0" simplePos="0" relativeHeight="251658752" behindDoc="1" locked="0" layoutInCell="1" allowOverlap="1" wp14:anchorId="3BE883EC" wp14:editId="6219BF70">
              <wp:simplePos x="0" y="0"/>
              <wp:positionH relativeFrom="page">
                <wp:posOffset>3658882</wp:posOffset>
              </wp:positionH>
              <wp:positionV relativeFrom="page">
                <wp:posOffset>10120972</wp:posOffset>
              </wp:positionV>
              <wp:extent cx="247015" cy="165100"/>
              <wp:effectExtent l="0" t="0" r="0" b="0"/>
              <wp:wrapNone/>
              <wp:docPr id="10" name="Textbox 10"/>
              <wp:cNvGraphicFramePr/>
              <a:graphic xmlns:a="http://schemas.openxmlformats.org/drawingml/2006/main">
                <a:graphicData uri="http://schemas.microsoft.com/office/word/2010/wordprocessingShape">
                  <wps:wsp>
                    <wps:cNvSpPr txBox="1"/>
                    <wps:spPr>
                      <a:xfrm>
                        <a:off x="0" y="0"/>
                        <a:ext cx="247015" cy="165100"/>
                      </a:xfrm>
                      <a:prstGeom prst="rect">
                        <a:avLst/>
                      </a:prstGeom>
                    </wps:spPr>
                    <wps:txbx>
                      <w:txbxContent>
                        <w:p w14:paraId="3D2D5C12" w14:textId="77777777" w:rsidR="00094751" w:rsidRDefault="00254F27">
                          <w:pPr>
                            <w:pStyle w:val="Tekstpodstawowy"/>
                            <w:spacing w:before="0" w:line="244" w:lineRule="exact"/>
                            <w:ind w:left="60"/>
                          </w:pPr>
                          <w:r>
                            <w:rPr>
                              <w:spacing w:val="-5"/>
                            </w:rPr>
                            <w:fldChar w:fldCharType="begin"/>
                          </w:r>
                          <w:r>
                            <w:rPr>
                              <w:spacing w:val="-5"/>
                              <w:sz w:val="20"/>
                            </w:rPr>
                            <w:instrText xml:space="preserve"> PAGE </w:instrText>
                          </w:r>
                          <w:r>
                            <w:rPr>
                              <w:spacing w:val="-5"/>
                            </w:rPr>
                            <w:fldChar w:fldCharType="separate"/>
                          </w:r>
                          <w:r>
                            <w:rPr>
                              <w:spacing w:val="-5"/>
                              <w:sz w:val="20"/>
                            </w:rPr>
                            <w:t>8</w:t>
                          </w:r>
                          <w:r>
                            <w:rPr>
                              <w:spacing w:val="-5"/>
                            </w:rPr>
                            <w:fldChar w:fldCharType="end"/>
                          </w:r>
                          <w:r>
                            <w:rPr>
                              <w:spacing w:val="-5"/>
                              <w:sz w:val="20"/>
                            </w:rPr>
                            <w:t>/8</w:t>
                          </w:r>
                        </w:p>
                      </w:txbxContent>
                    </wps:txbx>
                    <wps:bodyPr wrap="square" lIns="0" tIns="0" rIns="0" bIns="0" rtlCol="0"/>
                  </wps:wsp>
                </a:graphicData>
              </a:graphic>
            </wp:anchor>
          </w:drawing>
        </mc:Choice>
        <mc:Fallback>
          <w:pict>
            <v:shapetype w14:anchorId="3BE883EC" id="_x0000_t202" coordsize="21600,21600" o:spt="202" path="m,l,21600r21600,l21600,xe">
              <v:stroke joinstyle="miter"/>
              <v:path gradientshapeok="t" o:connecttype="rect"/>
            </v:shapetype>
            <v:shape id="Textbox 10" o:spid="_x0000_s1028" type="#_x0000_t202" style="position:absolute;margin-left:288.1pt;margin-top:796.95pt;width:19.45pt;height:1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" filled="f" stroked="f">
              <v:textbox inset="0,0,0,0">
                <w:txbxContent>
                  <w:p w14:paraId="3D2D5C12" w14:textId="77777777" w:rsidR="00094751" w:rsidRDefault="00254F27">
                    <w:pPr>
                      <w:pStyle w:val="Tekstpodstawowy"/>
                      <w:spacing w:before="0" w:line="244" w:lineRule="exact"/>
                      <w:ind w:left="60"/>
                    </w:pPr>
                    <w:r>
                      <w:rPr>
                        <w:spacing w:val="-5"/>
                      </w:rPr>
                      <w:fldChar w:fldCharType="begin"/>
                    </w:r>
                    <w:r>
                      <w:rPr>
                        <w:spacing w:val="-5"/>
                        <w:sz w:val="20"/>
                      </w:rPr>
                      <w:instrText xml:space="preserve"> PAGE </w:instrText>
                    </w:r>
                    <w:r>
                      <w:rPr>
                        <w:spacing w:val="-5"/>
                      </w:rPr>
                      <w:fldChar w:fldCharType="separate"/>
                    </w:r>
                    <w:r>
                      <w:rPr>
                        <w:spacing w:val="-5"/>
                        <w:sz w:val="20"/>
                      </w:rPr>
                      <w:t>8</w:t>
                    </w:r>
                    <w:r>
                      <w:rPr>
                        <w:spacing w:val="-5"/>
                      </w:rPr>
                      <w:fldChar w:fldCharType="end"/>
                    </w:r>
                    <w:r>
                      <w:rPr>
                        <w:spacing w:val="-5"/>
                        <w:sz w:val="20"/>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5873E" w14:textId="77777777" w:rsidR="00740B5B" w:rsidRDefault="00740B5B">
      <w:r>
        <w:separator/>
      </w:r>
    </w:p>
  </w:footnote>
  <w:footnote w:type="continuationSeparator" w:id="0">
    <w:p w14:paraId="111C468D" w14:textId="77777777" w:rsidR="00740B5B" w:rsidRDefault="00740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FACDF" w14:textId="77777777" w:rsidR="00094751" w:rsidRDefault="00254F27">
    <w:pPr>
      <w:pStyle w:val="Tekstpodstawowy"/>
      <w:spacing w:before="0" w:line="14" w:lineRule="auto"/>
      <w:ind w:left="0"/>
      <w:rPr>
        <w:sz w:val="20"/>
      </w:rPr>
    </w:pPr>
    <w:r>
      <w:rPr>
        <w:noProof/>
        <w:sz w:val="20"/>
      </w:rPr>
      <mc:AlternateContent>
        <mc:Choice Requires="wps">
          <w:drawing>
            <wp:anchor distT="0" distB="0" distL="0" distR="0" simplePos="0" relativeHeight="251655680" behindDoc="1" locked="0" layoutInCell="1" allowOverlap="1" wp14:anchorId="53E2C502" wp14:editId="3DACC49B">
              <wp:simplePos x="0" y="0"/>
              <wp:positionH relativeFrom="page">
                <wp:posOffset>482600</wp:posOffset>
              </wp:positionH>
              <wp:positionV relativeFrom="page">
                <wp:posOffset>700074</wp:posOffset>
              </wp:positionV>
              <wp:extent cx="6624955" cy="1270"/>
              <wp:effectExtent l="0" t="0" r="0" b="0"/>
              <wp:wrapNone/>
              <wp:docPr id="6" name="Graphic 6"/>
              <wp:cNvGraphicFramePr/>
              <a:graphic xmlns:a="http://schemas.openxmlformats.org/drawingml/2006/main">
                <a:graphicData uri="http://schemas.microsoft.com/office/word/2010/wordprocessingShape">
                  <wps:wsp>
                    <wps:cNvSpPr/>
                    <wps:spPr>
                      <a:xfrm>
                        <a:off x="0" y="0"/>
                        <a:ext cx="6624955" cy="1270"/>
                      </a:xfrm>
                      <a:custGeom>
                        <a:avLst/>
                        <a:gdLst/>
                        <a:ahLst/>
                        <a:cxnLst/>
                        <a:rect l="l" t="t" r="r" b="b"/>
                        <a:pathLst>
                          <a:path w="6624955">
                            <a:moveTo>
                              <a:pt x="0" y="0"/>
                            </a:moveTo>
                            <a:lnTo>
                              <a:pt x="6624955" y="0"/>
                            </a:lnTo>
                          </a:path>
                        </a:pathLst>
                      </a:custGeom>
                      <a:ln w="9525">
                        <a:solidFill>
                          <a:srgbClr val="949494"/>
                        </a:solidFill>
                        <a:prstDash val="solid"/>
                      </a:ln>
                    </wps:spPr>
                    <wps:bodyPr wrap="square" lIns="0" tIns="0" rIns="0" bIns="0" rtlCol="0">
                      <a:prstTxWarp prst="textNoShape">
                        <a:avLst/>
                      </a:prstTxWarp>
                    </wps:bodyPr>
                  </wps:wsp>
                </a:graphicData>
              </a:graphic>
            </wp:anchor>
          </w:drawing>
        </mc:Choice>
        <mc:Fallback>
          <w:pict>
            <v:shape w14:anchorId="1EBEA149" id="Graphic 6" o:spid="_x0000_s1026" style="position:absolute;margin-left:38pt;margin-top:55.1pt;width:521.65pt;height:.1pt;z-index:-251660800;visibility:visible;mso-wrap-style:square;mso-wrap-distance-left:0;mso-wrap-distance-top:0;mso-wrap-distance-right:0;mso-wrap-distance-bottom:0;mso-position-horizontal:absolute;mso-position-horizontal-relative:page;mso-position-vertical:absolute;mso-position-vertical-relative:page;v-text-anchor:top" coordsize="6624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" path="m,l6624955,e" filled="f" strokecolor="#949494">
              <v:path arrowok="t"/>
              <w10:wrap anchorx="page" anchory="page"/>
            </v:shape>
          </w:pict>
        </mc:Fallback>
      </mc:AlternateContent>
    </w:r>
    <w:r>
      <w:rPr>
        <w:noProof/>
        <w:sz w:val="20"/>
      </w:rPr>
      <mc:AlternateContent>
        <mc:Choice Requires="wps">
          <w:drawing>
            <wp:anchor distT="0" distB="0" distL="0" distR="0" simplePos="0" relativeHeight="251657728" behindDoc="1" locked="0" layoutInCell="1" allowOverlap="1" wp14:anchorId="27FF30D9" wp14:editId="0401B3B3">
              <wp:simplePos x="0" y="0"/>
              <wp:positionH relativeFrom="page">
                <wp:posOffset>6374104</wp:posOffset>
              </wp:positionH>
              <wp:positionV relativeFrom="page">
                <wp:posOffset>446120</wp:posOffset>
              </wp:positionV>
              <wp:extent cx="746125" cy="262255"/>
              <wp:effectExtent l="0" t="0" r="0" b="0"/>
              <wp:wrapNone/>
              <wp:docPr id="7" name="Textbox 7"/>
              <wp:cNvGraphicFramePr/>
              <a:graphic xmlns:a="http://schemas.openxmlformats.org/drawingml/2006/main">
                <a:graphicData uri="http://schemas.microsoft.com/office/word/2010/wordprocessingShape">
                  <wps:wsp>
                    <wps:cNvSpPr txBox="1"/>
                    <wps:spPr>
                      <a:xfrm>
                        <a:off x="0" y="0"/>
                        <a:ext cx="746125" cy="262255"/>
                      </a:xfrm>
                      <a:prstGeom prst="rect">
                        <a:avLst/>
                      </a:prstGeom>
                    </wps:spPr>
                    <wps:txbx>
                      <w:txbxContent>
                        <w:p w14:paraId="10D20934" w14:textId="77777777" w:rsidR="00094751" w:rsidRDefault="00254F27">
                          <w:pPr>
                            <w:spacing w:before="55"/>
                            <w:ind w:left="20"/>
                            <w:rPr>
                              <w:b/>
                              <w:sz w:val="28"/>
                            </w:rPr>
                          </w:pPr>
                          <w:r>
                            <w:rPr>
                              <w:b/>
                              <w:color w:val="002856"/>
                              <w:spacing w:val="-5"/>
                              <w:w w:val="115"/>
                              <w:sz w:val="26"/>
                            </w:rPr>
                            <w:t>ECHR-KS</w:t>
                          </w:r>
                        </w:p>
                      </w:txbxContent>
                    </wps:txbx>
                    <wps:bodyPr wrap="square" lIns="0" tIns="0" rIns="0" bIns="0" rtlCol="0"/>
                  </wps:wsp>
                </a:graphicData>
              </a:graphic>
            </wp:anchor>
          </w:drawing>
        </mc:Choice>
        <mc:Fallback>
          <w:pict>
            <v:shapetype w14:anchorId="27FF30D9" id="_x0000_t202" coordsize="21600,21600" o:spt="202" path="m,l,21600r21600,l21600,xe">
              <v:stroke joinstyle="miter"/>
              <v:path gradientshapeok="t" o:connecttype="rect"/>
            </v:shapetype>
            <v:shape id="Textbox 7" o:spid="_x0000_s1026" type="#_x0000_t202" style="position:absolute;margin-left:501.9pt;margin-top:35.15pt;width:58.75pt;height:20.6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" filled="f" stroked="f">
              <v:textbox inset="0,0,0,0">
                <w:txbxContent>
                  <w:p w14:paraId="10D20934" w14:textId="77777777" w:rsidR="00094751" w:rsidRDefault="00254F27">
                    <w:pPr>
                      <w:spacing w:before="55"/>
                      <w:ind w:left="20"/>
                      <w:rPr>
                        <w:b/>
                        <w:sz w:val="28"/>
                      </w:rPr>
                    </w:pPr>
                    <w:r>
                      <w:rPr>
                        <w:b/>
                        <w:color w:val="002856"/>
                        <w:spacing w:val="-5"/>
                        <w:w w:val="115"/>
                        <w:sz w:val="26"/>
                      </w:rPr>
                      <w:t>ECHR-KS</w:t>
                    </w:r>
                  </w:p>
                </w:txbxContent>
              </v:textbox>
              <w10:wrap anchorx="page" anchory="page"/>
            </v:shape>
          </w:pict>
        </mc:Fallback>
      </mc:AlternateContent>
    </w:r>
    <w:r>
      <w:rPr>
        <w:noProof/>
        <w:sz w:val="20"/>
      </w:rPr>
      <mc:AlternateContent>
        <mc:Choice Requires="wps">
          <w:drawing>
            <wp:anchor distT="0" distB="0" distL="0" distR="0" simplePos="0" relativeHeight="251659776" behindDoc="1" locked="0" layoutInCell="1" allowOverlap="1" wp14:anchorId="50579CB6" wp14:editId="4C23E548">
              <wp:simplePos x="0" y="0"/>
              <wp:positionH relativeFrom="page">
                <wp:posOffset>469900</wp:posOffset>
              </wp:positionH>
              <wp:positionV relativeFrom="page">
                <wp:posOffset>566191</wp:posOffset>
              </wp:positionV>
              <wp:extent cx="3879215" cy="139700"/>
              <wp:effectExtent l="0" t="0" r="0" b="0"/>
              <wp:wrapNone/>
              <wp:docPr id="8" name="Textbox 8"/>
              <wp:cNvGraphicFramePr/>
              <a:graphic xmlns:a="http://schemas.openxmlformats.org/drawingml/2006/main">
                <a:graphicData uri="http://schemas.microsoft.com/office/word/2010/wordprocessingShape">
                  <wps:wsp>
                    <wps:cNvSpPr txBox="1"/>
                    <wps:spPr>
                      <a:xfrm>
                        <a:off x="0" y="0"/>
                        <a:ext cx="3879215" cy="139700"/>
                      </a:xfrm>
                      <a:prstGeom prst="rect">
                        <a:avLst/>
                      </a:prstGeom>
                    </wps:spPr>
                    <wps:txbx>
                      <w:txbxContent>
                        <w:p w14:paraId="7702D382" w14:textId="77777777" w:rsidR="00094751" w:rsidRDefault="00254F27">
                          <w:pPr>
                            <w:spacing w:line="203" w:lineRule="exact"/>
                            <w:ind w:left="20"/>
                            <w:rPr>
                              <w:sz w:val="18"/>
                            </w:rPr>
                          </w:pPr>
                          <w:r>
                            <w:rPr>
                              <w:sz w:val="17"/>
                            </w:rPr>
                            <w:t xml:space="preserve">Kluczowy temat - Artykuł 10 Wkład w debatę publiczną: Dziennikarze i inne </w:t>
                          </w:r>
                          <w:r>
                            <w:rPr>
                              <w:spacing w:val="-2"/>
                              <w:sz w:val="17"/>
                            </w:rPr>
                            <w:t>podmioty</w:t>
                          </w:r>
                        </w:p>
                      </w:txbxContent>
                    </wps:txbx>
                    <wps:bodyPr wrap="square" lIns="0" tIns="0" rIns="0" bIns="0" rtlCol="0"/>
                  </wps:wsp>
                </a:graphicData>
              </a:graphic>
            </wp:anchor>
          </w:drawing>
        </mc:Choice>
        <mc:Fallback>
          <w:pict>
            <v:shape w14:anchorId="50579CB6" id="Textbox 8" o:spid="_x0000_s1027" type="#_x0000_t202" style="position:absolute;margin-left:37pt;margin-top:44.6pt;width:305.45pt;height:11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" filled="f" stroked="f">
              <v:textbox inset="0,0,0,0">
                <w:txbxContent>
                  <w:p w14:paraId="7702D382" w14:textId="77777777" w:rsidR="00094751" w:rsidRDefault="00254F27">
                    <w:pPr>
                      <w:spacing w:line="203" w:lineRule="exact"/>
                      <w:ind w:left="20"/>
                      <w:rPr>
                        <w:sz w:val="18"/>
                      </w:rPr>
                    </w:pPr>
                    <w:proofErr w:type="spellStart"/>
                    <w:r>
                      <w:rPr>
                        <w:sz w:val="17"/>
                      </w:rPr>
                      <w:t>Kluczowy</w:t>
                    </w:r>
                    <w:proofErr w:type="spellEnd"/>
                    <w:r>
                      <w:rPr>
                        <w:sz w:val="17"/>
                      </w:rPr>
                      <w:t xml:space="preserve"> </w:t>
                    </w:r>
                    <w:proofErr w:type="spellStart"/>
                    <w:r>
                      <w:rPr>
                        <w:sz w:val="17"/>
                      </w:rPr>
                      <w:t>temat</w:t>
                    </w:r>
                    <w:proofErr w:type="spellEnd"/>
                    <w:r>
                      <w:rPr>
                        <w:sz w:val="17"/>
                      </w:rPr>
                      <w:t xml:space="preserve"> - </w:t>
                    </w:r>
                    <w:proofErr w:type="spellStart"/>
                    <w:r>
                      <w:rPr>
                        <w:sz w:val="17"/>
                      </w:rPr>
                      <w:t>Artykuł</w:t>
                    </w:r>
                    <w:proofErr w:type="spellEnd"/>
                    <w:r>
                      <w:rPr>
                        <w:sz w:val="17"/>
                      </w:rPr>
                      <w:t xml:space="preserve"> 10 </w:t>
                    </w:r>
                    <w:proofErr w:type="spellStart"/>
                    <w:r>
                      <w:rPr>
                        <w:sz w:val="17"/>
                      </w:rPr>
                      <w:t>Wkład</w:t>
                    </w:r>
                    <w:proofErr w:type="spellEnd"/>
                    <w:r>
                      <w:rPr>
                        <w:sz w:val="17"/>
                      </w:rPr>
                      <w:t xml:space="preserve"> w </w:t>
                    </w:r>
                    <w:proofErr w:type="spellStart"/>
                    <w:r>
                      <w:rPr>
                        <w:sz w:val="17"/>
                      </w:rPr>
                      <w:t>debatę</w:t>
                    </w:r>
                    <w:proofErr w:type="spellEnd"/>
                    <w:r>
                      <w:rPr>
                        <w:sz w:val="17"/>
                      </w:rPr>
                      <w:t xml:space="preserve"> </w:t>
                    </w:r>
                    <w:proofErr w:type="spellStart"/>
                    <w:r>
                      <w:rPr>
                        <w:sz w:val="17"/>
                      </w:rPr>
                      <w:t>publiczną</w:t>
                    </w:r>
                    <w:proofErr w:type="spellEnd"/>
                    <w:r>
                      <w:rPr>
                        <w:sz w:val="17"/>
                      </w:rPr>
                      <w:t xml:space="preserve">: </w:t>
                    </w:r>
                    <w:proofErr w:type="spellStart"/>
                    <w:r>
                      <w:rPr>
                        <w:sz w:val="17"/>
                      </w:rPr>
                      <w:t>Dziennikarze</w:t>
                    </w:r>
                    <w:proofErr w:type="spellEnd"/>
                    <w:r>
                      <w:rPr>
                        <w:sz w:val="17"/>
                      </w:rPr>
                      <w:t xml:space="preserve"> </w:t>
                    </w:r>
                    <w:proofErr w:type="spellStart"/>
                    <w:r>
                      <w:rPr>
                        <w:sz w:val="17"/>
                      </w:rPr>
                      <w:t>i</w:t>
                    </w:r>
                    <w:proofErr w:type="spellEnd"/>
                    <w:r>
                      <w:rPr>
                        <w:sz w:val="17"/>
                      </w:rPr>
                      <w:t xml:space="preserve"> </w:t>
                    </w:r>
                    <w:proofErr w:type="spellStart"/>
                    <w:r>
                      <w:rPr>
                        <w:sz w:val="17"/>
                      </w:rPr>
                      <w:t>inne</w:t>
                    </w:r>
                    <w:proofErr w:type="spellEnd"/>
                    <w:r>
                      <w:rPr>
                        <w:sz w:val="17"/>
                      </w:rPr>
                      <w:t xml:space="preserve"> </w:t>
                    </w:r>
                    <w:proofErr w:type="spellStart"/>
                    <w:r>
                      <w:rPr>
                        <w:spacing w:val="-2"/>
                        <w:sz w:val="17"/>
                      </w:rPr>
                      <w:t>podmioty</w:t>
                    </w:r>
                    <w:proofErr w:type="spellEnd"/>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31982"/>
    <w:multiLevelType w:val="hybridMultilevel"/>
    <w:tmpl w:val="00000000"/>
    <w:lvl w:ilvl="0" w:tplc="F20686E8">
      <w:numFmt w:val="bullet"/>
      <w:lvlText w:val="▪"/>
      <w:lvlJc w:val="left"/>
      <w:pPr>
        <w:ind w:left="1583" w:hanging="285"/>
      </w:pPr>
      <w:rPr>
        <w:rFonts w:ascii="Arial" w:eastAsia="Arial" w:hAnsi="Arial" w:cs="Arial" w:hint="default"/>
        <w:b w:val="0"/>
        <w:bCs w:val="0"/>
        <w:i w:val="0"/>
        <w:iCs w:val="0"/>
        <w:color w:val="0072BC"/>
        <w:spacing w:val="0"/>
        <w:w w:val="129"/>
        <w:sz w:val="22"/>
        <w:szCs w:val="22"/>
        <w:lang w:val="en-US" w:eastAsia="en-US" w:bidi="ar-SA"/>
      </w:rPr>
    </w:lvl>
    <w:lvl w:ilvl="1" w:tplc="DBE0E008">
      <w:numFmt w:val="bullet"/>
      <w:lvlText w:val="•"/>
      <w:lvlJc w:val="left"/>
      <w:pPr>
        <w:ind w:left="2471" w:hanging="285"/>
      </w:pPr>
      <w:rPr>
        <w:rFonts w:hint="default"/>
        <w:lang w:val="en-US" w:eastAsia="en-US" w:bidi="ar-SA"/>
      </w:rPr>
    </w:lvl>
    <w:lvl w:ilvl="2" w:tplc="3ACC2CFE">
      <w:numFmt w:val="bullet"/>
      <w:lvlText w:val="•"/>
      <w:lvlJc w:val="left"/>
      <w:pPr>
        <w:ind w:left="3362" w:hanging="285"/>
      </w:pPr>
      <w:rPr>
        <w:rFonts w:hint="default"/>
        <w:lang w:val="en-US" w:eastAsia="en-US" w:bidi="ar-SA"/>
      </w:rPr>
    </w:lvl>
    <w:lvl w:ilvl="3" w:tplc="98FECC76">
      <w:numFmt w:val="bullet"/>
      <w:lvlText w:val="•"/>
      <w:lvlJc w:val="left"/>
      <w:pPr>
        <w:ind w:left="4253" w:hanging="285"/>
      </w:pPr>
      <w:rPr>
        <w:rFonts w:hint="default"/>
        <w:lang w:val="en-US" w:eastAsia="en-US" w:bidi="ar-SA"/>
      </w:rPr>
    </w:lvl>
    <w:lvl w:ilvl="4" w:tplc="6A28EA4A">
      <w:numFmt w:val="bullet"/>
      <w:lvlText w:val="•"/>
      <w:lvlJc w:val="left"/>
      <w:pPr>
        <w:ind w:left="5144" w:hanging="285"/>
      </w:pPr>
      <w:rPr>
        <w:rFonts w:hint="default"/>
        <w:lang w:val="en-US" w:eastAsia="en-US" w:bidi="ar-SA"/>
      </w:rPr>
    </w:lvl>
    <w:lvl w:ilvl="5" w:tplc="9D9AA49C">
      <w:numFmt w:val="bullet"/>
      <w:lvlText w:val="•"/>
      <w:lvlJc w:val="left"/>
      <w:pPr>
        <w:ind w:left="6035" w:hanging="285"/>
      </w:pPr>
      <w:rPr>
        <w:rFonts w:hint="default"/>
        <w:lang w:val="en-US" w:eastAsia="en-US" w:bidi="ar-SA"/>
      </w:rPr>
    </w:lvl>
    <w:lvl w:ilvl="6" w:tplc="87CE768A">
      <w:numFmt w:val="bullet"/>
      <w:lvlText w:val="•"/>
      <w:lvlJc w:val="left"/>
      <w:pPr>
        <w:ind w:left="6926" w:hanging="285"/>
      </w:pPr>
      <w:rPr>
        <w:rFonts w:hint="default"/>
        <w:lang w:val="en-US" w:eastAsia="en-US" w:bidi="ar-SA"/>
      </w:rPr>
    </w:lvl>
    <w:lvl w:ilvl="7" w:tplc="197E65C8">
      <w:numFmt w:val="bullet"/>
      <w:lvlText w:val="•"/>
      <w:lvlJc w:val="left"/>
      <w:pPr>
        <w:ind w:left="7817" w:hanging="285"/>
      </w:pPr>
      <w:rPr>
        <w:rFonts w:hint="default"/>
        <w:lang w:val="en-US" w:eastAsia="en-US" w:bidi="ar-SA"/>
      </w:rPr>
    </w:lvl>
    <w:lvl w:ilvl="8" w:tplc="3188BAB0">
      <w:numFmt w:val="bullet"/>
      <w:lvlText w:val="•"/>
      <w:lvlJc w:val="left"/>
      <w:pPr>
        <w:ind w:left="8708" w:hanging="285"/>
      </w:pPr>
      <w:rPr>
        <w:rFonts w:hint="default"/>
        <w:lang w:val="en-US" w:eastAsia="en-US" w:bidi="ar-SA"/>
      </w:rPr>
    </w:lvl>
  </w:abstractNum>
  <w:num w:numId="1" w16cid:durableId="1354071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751"/>
    <w:rsid w:val="000166DA"/>
    <w:rsid w:val="00025F24"/>
    <w:rsid w:val="00027845"/>
    <w:rsid w:val="000462BA"/>
    <w:rsid w:val="00093C50"/>
    <w:rsid w:val="00094751"/>
    <w:rsid w:val="0010149E"/>
    <w:rsid w:val="00113FE9"/>
    <w:rsid w:val="0011615D"/>
    <w:rsid w:val="00121CA3"/>
    <w:rsid w:val="001449FD"/>
    <w:rsid w:val="0014616A"/>
    <w:rsid w:val="00195CFB"/>
    <w:rsid w:val="001C48ED"/>
    <w:rsid w:val="00203112"/>
    <w:rsid w:val="002253C4"/>
    <w:rsid w:val="0023442B"/>
    <w:rsid w:val="00237C4F"/>
    <w:rsid w:val="002448DC"/>
    <w:rsid w:val="0024785A"/>
    <w:rsid w:val="00254F27"/>
    <w:rsid w:val="002F199E"/>
    <w:rsid w:val="00390066"/>
    <w:rsid w:val="003A4D05"/>
    <w:rsid w:val="003B1412"/>
    <w:rsid w:val="003D7AF6"/>
    <w:rsid w:val="00402715"/>
    <w:rsid w:val="00426058"/>
    <w:rsid w:val="00430E03"/>
    <w:rsid w:val="00431991"/>
    <w:rsid w:val="0047553C"/>
    <w:rsid w:val="0048175E"/>
    <w:rsid w:val="004B174F"/>
    <w:rsid w:val="004C27DC"/>
    <w:rsid w:val="0050367E"/>
    <w:rsid w:val="005104D9"/>
    <w:rsid w:val="005217E9"/>
    <w:rsid w:val="0056707C"/>
    <w:rsid w:val="00573454"/>
    <w:rsid w:val="005B0374"/>
    <w:rsid w:val="005B3EA3"/>
    <w:rsid w:val="005C5378"/>
    <w:rsid w:val="005D6010"/>
    <w:rsid w:val="005E3ED8"/>
    <w:rsid w:val="0060155D"/>
    <w:rsid w:val="0063652D"/>
    <w:rsid w:val="00646E7D"/>
    <w:rsid w:val="006514A1"/>
    <w:rsid w:val="006713F3"/>
    <w:rsid w:val="006840FF"/>
    <w:rsid w:val="006B7FA0"/>
    <w:rsid w:val="006F6162"/>
    <w:rsid w:val="0072461F"/>
    <w:rsid w:val="00737582"/>
    <w:rsid w:val="00740B5B"/>
    <w:rsid w:val="00755269"/>
    <w:rsid w:val="007704C6"/>
    <w:rsid w:val="008F72E7"/>
    <w:rsid w:val="009122BB"/>
    <w:rsid w:val="00916F8E"/>
    <w:rsid w:val="00930E85"/>
    <w:rsid w:val="00980F22"/>
    <w:rsid w:val="00A06993"/>
    <w:rsid w:val="00A13620"/>
    <w:rsid w:val="00A405C9"/>
    <w:rsid w:val="00A512DC"/>
    <w:rsid w:val="00AC4E68"/>
    <w:rsid w:val="00AF0A9F"/>
    <w:rsid w:val="00AF4E8D"/>
    <w:rsid w:val="00B1097A"/>
    <w:rsid w:val="00B11FDE"/>
    <w:rsid w:val="00B60241"/>
    <w:rsid w:val="00BA4B4F"/>
    <w:rsid w:val="00BC3A43"/>
    <w:rsid w:val="00BF7C45"/>
    <w:rsid w:val="00C532FB"/>
    <w:rsid w:val="00C67E09"/>
    <w:rsid w:val="00C866F2"/>
    <w:rsid w:val="00CB73A9"/>
    <w:rsid w:val="00CC2091"/>
    <w:rsid w:val="00CF60B5"/>
    <w:rsid w:val="00CF7D6E"/>
    <w:rsid w:val="00D31812"/>
    <w:rsid w:val="00D43C95"/>
    <w:rsid w:val="00D825F6"/>
    <w:rsid w:val="00DD57E2"/>
    <w:rsid w:val="00DE6F4E"/>
    <w:rsid w:val="00E276B1"/>
    <w:rsid w:val="00EE3083"/>
    <w:rsid w:val="00F03546"/>
    <w:rsid w:val="00F03F6D"/>
    <w:rsid w:val="00F45504"/>
    <w:rsid w:val="00F754D0"/>
    <w:rsid w:val="00FE54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1F9CA"/>
  <w15:docId w15:val="{99F77E85-1EB6-4F5C-870F-FDD377195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Calibri" w:eastAsia="Calibri" w:hAnsi="Calibri" w:cs="Calibri"/>
    </w:rPr>
  </w:style>
  <w:style w:type="paragraph" w:styleId="Nagwek1">
    <w:name w:val="heading 1"/>
    <w:basedOn w:val="Normalny"/>
    <w:uiPriority w:val="1"/>
    <w:qFormat/>
    <w:pPr>
      <w:spacing w:before="120"/>
      <w:ind w:left="732"/>
      <w:outlineLvl w:val="0"/>
    </w:pPr>
    <w:rPr>
      <w:b/>
      <w:bCs/>
      <w:sz w:val="28"/>
      <w:szCs w:val="28"/>
    </w:rPr>
  </w:style>
  <w:style w:type="paragraph" w:styleId="Nagwek2">
    <w:name w:val="heading 2"/>
    <w:basedOn w:val="Normalny"/>
    <w:uiPriority w:val="1"/>
    <w:qFormat/>
    <w:pPr>
      <w:ind w:left="732"/>
      <w:outlineLvl w:val="1"/>
    </w:pPr>
    <w:rPr>
      <w:rFonts w:ascii="Arial" w:eastAsia="Arial" w:hAnsi="Arial" w:cs="Arial"/>
      <w:b/>
      <w:bCs/>
      <w:i/>
      <w:iCs/>
      <w:sz w:val="28"/>
      <w:szCs w:val="28"/>
    </w:rPr>
  </w:style>
  <w:style w:type="paragraph" w:styleId="Nagwek3">
    <w:name w:val="heading 3"/>
    <w:basedOn w:val="Normalny"/>
    <w:uiPriority w:val="1"/>
    <w:qFormat/>
    <w:pPr>
      <w:spacing w:before="240"/>
      <w:ind w:left="3875"/>
      <w:outlineLvl w:val="2"/>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spacing w:before="60"/>
      <w:ind w:left="1583"/>
    </w:pPr>
  </w:style>
  <w:style w:type="paragraph" w:styleId="Akapitzlist">
    <w:name w:val="List Paragraph"/>
    <w:basedOn w:val="Normalny"/>
    <w:uiPriority w:val="1"/>
    <w:qFormat/>
    <w:pPr>
      <w:spacing w:before="60"/>
      <w:ind w:left="1583" w:right="729" w:hanging="284"/>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hudoc.echr.coe.int/eng?i=001-144129" TargetMode="External"/><Relationship Id="rId21" Type="http://schemas.openxmlformats.org/officeDocument/2006/relationships/hyperlink" Target="https://hudoc.echr.coe.int/eng?i=001-225597" TargetMode="External"/><Relationship Id="rId42" Type="http://schemas.openxmlformats.org/officeDocument/2006/relationships/footer" Target="footer1.xml"/><Relationship Id="rId63" Type="http://schemas.openxmlformats.org/officeDocument/2006/relationships/hyperlink" Target="http://hudoc.echr.coe.int/eng?i=001-211057" TargetMode="External"/><Relationship Id="rId84" Type="http://schemas.openxmlformats.org/officeDocument/2006/relationships/hyperlink" Target="https://www.coe.int/en/web/conventions/full-list?module=treaty-detail&amp;treatynum=205" TargetMode="External"/><Relationship Id="rId138" Type="http://schemas.openxmlformats.org/officeDocument/2006/relationships/hyperlink" Target="http://hudoc.echr.coe.int/eng?i=001-217722" TargetMode="External"/><Relationship Id="rId107" Type="http://schemas.openxmlformats.org/officeDocument/2006/relationships/hyperlink" Target="https://hudoc.echr.coe.int/eng?i=001-67818" TargetMode="External"/><Relationship Id="rId11" Type="http://schemas.openxmlformats.org/officeDocument/2006/relationships/hyperlink" Target="http://hudoc.echr.coe.int/eng?i=001-199494" TargetMode="External"/><Relationship Id="rId32" Type="http://schemas.openxmlformats.org/officeDocument/2006/relationships/hyperlink" Target="https://hudoc.echr.coe.int/eng?i=001-91706" TargetMode="External"/><Relationship Id="rId53" Type="http://schemas.openxmlformats.org/officeDocument/2006/relationships/hyperlink" Target="http://hudoc.echr.coe.int/eng?i=001-213231" TargetMode="External"/><Relationship Id="rId74" Type="http://schemas.openxmlformats.org/officeDocument/2006/relationships/hyperlink" Target="http://hudoc.echr.coe.int/eng?i=001-109577" TargetMode="External"/><Relationship Id="rId128" Type="http://schemas.openxmlformats.org/officeDocument/2006/relationships/hyperlink" Target="http://hudoc.echr.coe.int/eng?i=001-203178" TargetMode="External"/><Relationship Id="rId5" Type="http://schemas.openxmlformats.org/officeDocument/2006/relationships/footnotes" Target="footnotes.xml"/><Relationship Id="rId90" Type="http://schemas.openxmlformats.org/officeDocument/2006/relationships/hyperlink" Target="https://search.coe.int/cm/Pages/result_details.aspx?ObjectId=09000016806415d9" TargetMode="External"/><Relationship Id="rId95" Type="http://schemas.openxmlformats.org/officeDocument/2006/relationships/hyperlink" Target="https://search.coe.int/cm/Pages/result_details.aspx?ObjectId=09000016805d4a39" TargetMode="External"/><Relationship Id="rId22" Type="http://schemas.openxmlformats.org/officeDocument/2006/relationships/image" Target="media/image2.jpeg"/><Relationship Id="rId27" Type="http://schemas.openxmlformats.org/officeDocument/2006/relationships/hyperlink" Target="http://hudoc.echr.coe.int/eng?i=001-167828" TargetMode="External"/><Relationship Id="rId43" Type="http://schemas.openxmlformats.org/officeDocument/2006/relationships/hyperlink" Target="https://hudoc.echr.coe.int/eng?i=001-234258" TargetMode="External"/><Relationship Id="rId48" Type="http://schemas.openxmlformats.org/officeDocument/2006/relationships/hyperlink" Target="https://hudoc.echr.coe.int/eng?i=001-219194" TargetMode="External"/><Relationship Id="rId64" Type="http://schemas.openxmlformats.org/officeDocument/2006/relationships/hyperlink" Target="http://hudoc.echr.coe.int/eng?i=001-119244" TargetMode="External"/><Relationship Id="rId69" Type="http://schemas.openxmlformats.org/officeDocument/2006/relationships/hyperlink" Target="http://hudoc.echr.coe.int/eng?i=001-93161" TargetMode="External"/><Relationship Id="rId113" Type="http://schemas.openxmlformats.org/officeDocument/2006/relationships/hyperlink" Target="https://hudoc.echr.coe.int/eng?i=001-95247" TargetMode="External"/><Relationship Id="rId118" Type="http://schemas.openxmlformats.org/officeDocument/2006/relationships/hyperlink" Target="http://hudoc.echr.coe.int/eng?i=001-155105" TargetMode="External"/><Relationship Id="rId134" Type="http://schemas.openxmlformats.org/officeDocument/2006/relationships/hyperlink" Target="http://hudoc.echr.coe.int/eng?i=001-212150" TargetMode="External"/><Relationship Id="rId139" Type="http://schemas.openxmlformats.org/officeDocument/2006/relationships/hyperlink" Target="https://hudoc.echr.coe.int/eng?i=001-219096" TargetMode="External"/><Relationship Id="rId80" Type="http://schemas.openxmlformats.org/officeDocument/2006/relationships/hyperlink" Target="https://hudoc.echr.coe.int/eng?i=001-235470" TargetMode="External"/><Relationship Id="rId85" Type="http://schemas.openxmlformats.org/officeDocument/2006/relationships/hyperlink" Target="https://search.coe.int/cm/pages/result_details.aspx?ObjectId=0900001680a5ddd0" TargetMode="External"/><Relationship Id="rId12" Type="http://schemas.openxmlformats.org/officeDocument/2006/relationships/hyperlink" Target="https://hudoc.echr.coe.int/eng?i=001-67818" TargetMode="External"/><Relationship Id="rId17" Type="http://schemas.openxmlformats.org/officeDocument/2006/relationships/hyperlink" Target="http://hudoc.echr.coe.int/eng?i=001-158861" TargetMode="External"/><Relationship Id="rId33" Type="http://schemas.openxmlformats.org/officeDocument/2006/relationships/hyperlink" Target="http://hudoc.echr.coe.int/eng?i=001-183947" TargetMode="External"/><Relationship Id="rId38" Type="http://schemas.openxmlformats.org/officeDocument/2006/relationships/hyperlink" Target="http://hudoc.echr.coe.int/eng?i=001-225814" TargetMode="External"/><Relationship Id="rId59" Type="http://schemas.openxmlformats.org/officeDocument/2006/relationships/hyperlink" Target="http://hudoc.echr.coe.int/eng?i=001-92171" TargetMode="External"/><Relationship Id="rId103" Type="http://schemas.openxmlformats.org/officeDocument/2006/relationships/hyperlink" Target="https://rm.coe.int/safety-implementation-guide-en-16-june-2020/16809ebc7c" TargetMode="External"/><Relationship Id="rId108" Type="http://schemas.openxmlformats.org/officeDocument/2006/relationships/hyperlink" Target="http://hudoc.echr.coe.int/eng?i=001-68224" TargetMode="External"/><Relationship Id="rId124" Type="http://schemas.openxmlformats.org/officeDocument/2006/relationships/hyperlink" Target="http://hudoc.echr.coe.int/eng?i=001-184289" TargetMode="External"/><Relationship Id="rId129" Type="http://schemas.openxmlformats.org/officeDocument/2006/relationships/hyperlink" Target="http://hudoc.echr.coe.int/eng?i=001-205439" TargetMode="External"/><Relationship Id="rId54" Type="http://schemas.openxmlformats.org/officeDocument/2006/relationships/hyperlink" Target="http://hudoc.echr.coe.int/eng?i=001-217722" TargetMode="External"/><Relationship Id="rId70" Type="http://schemas.openxmlformats.org/officeDocument/2006/relationships/hyperlink" Target="https://assembly.coe.int/nw/xml/XRef/Xref-XML2HTML-EN.asp?fileid=17469&amp;lang=en" TargetMode="External"/><Relationship Id="rId75" Type="http://schemas.openxmlformats.org/officeDocument/2006/relationships/hyperlink" Target="http://hudoc.echr.coe.int/eng?i=001-210055" TargetMode="External"/><Relationship Id="rId91" Type="http://schemas.openxmlformats.org/officeDocument/2006/relationships/hyperlink" Target="https://search.coe.int/cm/Pages/result_details.aspx?ObjectId=09000016805caa87" TargetMode="External"/><Relationship Id="rId96" Type="http://schemas.openxmlformats.org/officeDocument/2006/relationships/hyperlink" Target="https://search.coe.int/cm/Pages/result_details.aspx?ObjectId=09000016805d4a39" TargetMode="External"/><Relationship Id="rId140" Type="http://schemas.openxmlformats.org/officeDocument/2006/relationships/hyperlink" Target="https://hudoc.echr.coe.int/eng?i=001-219194" TargetMode="External"/><Relationship Id="rId145" Type="http://schemas.openxmlformats.org/officeDocument/2006/relationships/hyperlink" Target="https://hudoc.echr.coe.int/eng?i=001-234258"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hudoc.echr.coe.int/eng?i=001-167828" TargetMode="External"/><Relationship Id="rId28" Type="http://schemas.openxmlformats.org/officeDocument/2006/relationships/hyperlink" Target="http://hudoc.echr.coe.int/eng?i=001-159188" TargetMode="External"/><Relationship Id="rId49" Type="http://schemas.openxmlformats.org/officeDocument/2006/relationships/hyperlink" Target="http://hudoc.echr.coe.int/eng?i=001-68224" TargetMode="External"/><Relationship Id="rId114" Type="http://schemas.openxmlformats.org/officeDocument/2006/relationships/hyperlink" Target="http://hudoc.echr.coe.int/eng?i=001-109577" TargetMode="External"/><Relationship Id="rId119" Type="http://schemas.openxmlformats.org/officeDocument/2006/relationships/hyperlink" Target="http://hudoc.echr.coe.int/eng?i=001-159188" TargetMode="External"/><Relationship Id="rId44" Type="http://schemas.openxmlformats.org/officeDocument/2006/relationships/hyperlink" Target="http://hudoc.echr.coe.int/eng?i=001-175121" TargetMode="External"/><Relationship Id="rId60" Type="http://schemas.openxmlformats.org/officeDocument/2006/relationships/hyperlink" Target="http://hudoc.echr.coe.int/eng?i=001-167828" TargetMode="External"/><Relationship Id="rId65" Type="http://schemas.openxmlformats.org/officeDocument/2006/relationships/hyperlink" Target="http://hudoc.echr.coe.int/eng?i=001-119244" TargetMode="External"/><Relationship Id="rId81" Type="http://schemas.openxmlformats.org/officeDocument/2006/relationships/hyperlink" Target="https://ks.echr.coe.int/documents/d/echr-ks/guide_art_10_eng" TargetMode="External"/><Relationship Id="rId86" Type="http://schemas.openxmlformats.org/officeDocument/2006/relationships/hyperlink" Target="https://search.coe.int/cm/pages/result_details.aspx?ObjectId=0900001680a5ddd0" TargetMode="External"/><Relationship Id="rId130" Type="http://schemas.openxmlformats.org/officeDocument/2006/relationships/hyperlink" Target="http://hudoc.echr.coe.int/eng?i=001-208800" TargetMode="External"/><Relationship Id="rId135" Type="http://schemas.openxmlformats.org/officeDocument/2006/relationships/hyperlink" Target="https://hudoc.echr.coe.int/eng?i=001-215470" TargetMode="External"/><Relationship Id="rId13" Type="http://schemas.openxmlformats.org/officeDocument/2006/relationships/hyperlink" Target="https://hudoc.echr.coe.int/eng?i=001-181595" TargetMode="External"/><Relationship Id="rId18" Type="http://schemas.openxmlformats.org/officeDocument/2006/relationships/hyperlink" Target="http://hudoc.echr.coe.int/eng?i=001-104712" TargetMode="External"/><Relationship Id="rId39" Type="http://schemas.openxmlformats.org/officeDocument/2006/relationships/hyperlink" Target="https://ks.echr.coe.int/documents/d/echr-ks/guide_art_10_eng" TargetMode="External"/><Relationship Id="rId109" Type="http://schemas.openxmlformats.org/officeDocument/2006/relationships/hyperlink" Target="https://hudoc.echr.coe.int/eng?i=001-87662" TargetMode="External"/><Relationship Id="rId34" Type="http://schemas.openxmlformats.org/officeDocument/2006/relationships/hyperlink" Target="http://hudoc.echr.coe.int/eng?i=001-155105" TargetMode="External"/><Relationship Id="rId50" Type="http://schemas.openxmlformats.org/officeDocument/2006/relationships/hyperlink" Target="http://hudoc.echr.coe.int/eng?i=001-175180" TargetMode="External"/><Relationship Id="rId55" Type="http://schemas.openxmlformats.org/officeDocument/2006/relationships/hyperlink" Target="https://hudoc.echr.coe.int/eng?i=001-219096" TargetMode="External"/><Relationship Id="rId76" Type="http://schemas.openxmlformats.org/officeDocument/2006/relationships/hyperlink" Target="http://hudoc.echr.coe.int/eng?i=001-93161" TargetMode="External"/><Relationship Id="rId97" Type="http://schemas.openxmlformats.org/officeDocument/2006/relationships/hyperlink" Target="https://rm.coe.int/16804cea4f" TargetMode="External"/><Relationship Id="rId104" Type="http://schemas.openxmlformats.org/officeDocument/2006/relationships/hyperlink" Target="https://rm.coe.int/safety-implementation-guide-en-16-june-2020/16809ebc7c" TargetMode="External"/><Relationship Id="rId120" Type="http://schemas.openxmlformats.org/officeDocument/2006/relationships/hyperlink" Target="http://hudoc.echr.coe.int/eng?i=001-167828" TargetMode="External"/><Relationship Id="rId125" Type="http://schemas.openxmlformats.org/officeDocument/2006/relationships/hyperlink" Target="http://hudoc.echr.coe.int/eng?i=001-183947" TargetMode="External"/><Relationship Id="rId141" Type="http://schemas.openxmlformats.org/officeDocument/2006/relationships/hyperlink" Target="https://hudoc.echr.coe.int/eng?i=001-223162" TargetMode="External"/><Relationship Id="rId146" Type="http://schemas.openxmlformats.org/officeDocument/2006/relationships/hyperlink" Target="https://hudoc.echr.coe.int/eng?i=001-235470" TargetMode="External"/><Relationship Id="rId7" Type="http://schemas.openxmlformats.org/officeDocument/2006/relationships/image" Target="media/image1.jpeg"/><Relationship Id="rId71" Type="http://schemas.openxmlformats.org/officeDocument/2006/relationships/hyperlink" Target="https://assembly.coe.int/nw/xml/XRef/Xref-XML2HTML-EN.asp?fileid=17469&amp;lang=en" TargetMode="External"/><Relationship Id="rId92" Type="http://schemas.openxmlformats.org/officeDocument/2006/relationships/hyperlink" Target="https://search.coe.int/cm/Pages/result_details.aspx?ObjectId=09000016805caa87" TargetMode="External"/><Relationship Id="rId2" Type="http://schemas.openxmlformats.org/officeDocument/2006/relationships/styles" Target="styles.xml"/><Relationship Id="rId29" Type="http://schemas.openxmlformats.org/officeDocument/2006/relationships/hyperlink" Target="http://hudoc.echr.coe.int/eng?i=001-203178" TargetMode="External"/><Relationship Id="rId24" Type="http://schemas.openxmlformats.org/officeDocument/2006/relationships/hyperlink" Target="https://hudoc.echr.coe.int/eng?i=001-219096" TargetMode="External"/><Relationship Id="rId40" Type="http://schemas.openxmlformats.org/officeDocument/2006/relationships/hyperlink" Target="https://curia.europa.eu/juris/document/document.jsf?text&amp;docid=210766&amp;pageIndex=0&amp;doclang=EN&amp;mode=lst&amp;dir&amp;occ=first&amp;part=1&amp;cid=13581074" TargetMode="External"/><Relationship Id="rId45" Type="http://schemas.openxmlformats.org/officeDocument/2006/relationships/hyperlink" Target="http://hudoc.echr.coe.int/eng?i=001-205439" TargetMode="External"/><Relationship Id="rId66" Type="http://schemas.openxmlformats.org/officeDocument/2006/relationships/hyperlink" Target="https://hudoc.echr.coe.int/eng?i=001-231606" TargetMode="External"/><Relationship Id="rId87" Type="http://schemas.openxmlformats.org/officeDocument/2006/relationships/hyperlink" Target="https://search.coe.int/cm/Pages/result_details.aspx?ObjectId=0900001680790e14" TargetMode="External"/><Relationship Id="rId110" Type="http://schemas.openxmlformats.org/officeDocument/2006/relationships/hyperlink" Target="https://hudoc.echr.coe.int/eng?i=001-91706" TargetMode="External"/><Relationship Id="rId115" Type="http://schemas.openxmlformats.org/officeDocument/2006/relationships/hyperlink" Target="http://hudoc.echr.coe.int/eng?i=001-115705" TargetMode="External"/><Relationship Id="rId131" Type="http://schemas.openxmlformats.org/officeDocument/2006/relationships/hyperlink" Target="http://hudoc.echr.coe.int/eng?i=001-210055" TargetMode="External"/><Relationship Id="rId136" Type="http://schemas.openxmlformats.org/officeDocument/2006/relationships/hyperlink" Target="http://hudoc.echr.coe.int/eng?i=001-213231" TargetMode="External"/><Relationship Id="rId61" Type="http://schemas.openxmlformats.org/officeDocument/2006/relationships/hyperlink" Target="https://hudoc.echr.coe.int/eng?i=001-61791" TargetMode="External"/><Relationship Id="rId82" Type="http://schemas.openxmlformats.org/officeDocument/2006/relationships/hyperlink" Target="http://hudoc.echr.coe.int/eng?i=001-61861" TargetMode="External"/><Relationship Id="rId19" Type="http://schemas.openxmlformats.org/officeDocument/2006/relationships/hyperlink" Target="http://hudoc.echr.coe.int/eng?i=001-104712" TargetMode="External"/><Relationship Id="rId14" Type="http://schemas.openxmlformats.org/officeDocument/2006/relationships/hyperlink" Target="https://hudoc.echr.coe.int/eng?i=001-181595" TargetMode="External"/><Relationship Id="rId30" Type="http://schemas.openxmlformats.org/officeDocument/2006/relationships/hyperlink" Target="http://hudoc.echr.coe.int/eng?i=001-115705" TargetMode="External"/><Relationship Id="rId35" Type="http://schemas.openxmlformats.org/officeDocument/2006/relationships/hyperlink" Target="https://search.coe.int/cm/Pages/result_details.aspx?ObjectId=09000016805cc2c0" TargetMode="External"/><Relationship Id="rId56" Type="http://schemas.openxmlformats.org/officeDocument/2006/relationships/hyperlink" Target="https://hudoc.echr.coe.int/eng?i=001-219096" TargetMode="External"/><Relationship Id="rId77" Type="http://schemas.openxmlformats.org/officeDocument/2006/relationships/hyperlink" Target="https://hudoc.echr.coe.int/eng?i=001-87662" TargetMode="External"/><Relationship Id="rId100" Type="http://schemas.openxmlformats.org/officeDocument/2006/relationships/hyperlink" Target="https://pace.coe.int/en/files/17469/html" TargetMode="External"/><Relationship Id="rId105" Type="http://schemas.openxmlformats.org/officeDocument/2006/relationships/hyperlink" Target="http://hudoc.echr.coe.int/eng?i=001-59366" TargetMode="External"/><Relationship Id="rId126" Type="http://schemas.openxmlformats.org/officeDocument/2006/relationships/hyperlink" Target="http://hudoc.echr.coe.int/eng?i=001-199494" TargetMode="External"/><Relationship Id="rId147" Type="http://schemas.openxmlformats.org/officeDocument/2006/relationships/fontTable" Target="fontTable.xml"/><Relationship Id="rId8" Type="http://schemas.openxmlformats.org/officeDocument/2006/relationships/hyperlink" Target="http://hudoc.echr.coe.int/eng?i=001-167828" TargetMode="External"/><Relationship Id="rId51" Type="http://schemas.openxmlformats.org/officeDocument/2006/relationships/hyperlink" Target="https://rm.coe.int/0900001680927c25" TargetMode="External"/><Relationship Id="rId72" Type="http://schemas.openxmlformats.org/officeDocument/2006/relationships/hyperlink" Target="http://hudoc.echr.coe.int/eng?i=001-144129" TargetMode="External"/><Relationship Id="rId93" Type="http://schemas.openxmlformats.org/officeDocument/2006/relationships/hyperlink" Target="https://edoc.coe.int/fr/medias/8019-recommendation-cmrec20117-on-a-new-notion-of-media.html" TargetMode="External"/><Relationship Id="rId98" Type="http://schemas.openxmlformats.org/officeDocument/2006/relationships/hyperlink" Target="https://rm.coe.int/16804cea4f" TargetMode="External"/><Relationship Id="rId121" Type="http://schemas.openxmlformats.org/officeDocument/2006/relationships/hyperlink" Target="http://hudoc.echr.coe.int/eng?i=001-175180" TargetMode="External"/><Relationship Id="rId142" Type="http://schemas.openxmlformats.org/officeDocument/2006/relationships/hyperlink" Target="http://hudoc.echr.coe.int/eng?i=001-225597" TargetMode="External"/><Relationship Id="rId3" Type="http://schemas.openxmlformats.org/officeDocument/2006/relationships/settings" Target="settings.xml"/><Relationship Id="rId25" Type="http://schemas.openxmlformats.org/officeDocument/2006/relationships/hyperlink" Target="http://hudoc.echr.coe.int/eng?i=001-200435" TargetMode="External"/><Relationship Id="rId46" Type="http://schemas.openxmlformats.org/officeDocument/2006/relationships/hyperlink" Target="https://hudoc.echr.coe.int/eng?i=001-215470" TargetMode="External"/><Relationship Id="rId67" Type="http://schemas.openxmlformats.org/officeDocument/2006/relationships/hyperlink" Target="https://hudoc.echr.coe.int/eng?i=001-231606" TargetMode="External"/><Relationship Id="rId116" Type="http://schemas.openxmlformats.org/officeDocument/2006/relationships/hyperlink" Target="http://hudoc.echr.coe.int/eng?i=001-119244" TargetMode="External"/><Relationship Id="rId137" Type="http://schemas.openxmlformats.org/officeDocument/2006/relationships/hyperlink" Target="http://hudoc.echr.coe.int/eng?i=001-215919" TargetMode="External"/><Relationship Id="rId20" Type="http://schemas.openxmlformats.org/officeDocument/2006/relationships/hyperlink" Target="https://hudoc.echr.coe.int/eng?i=001-223162" TargetMode="External"/><Relationship Id="rId41" Type="http://schemas.openxmlformats.org/officeDocument/2006/relationships/header" Target="header1.xml"/><Relationship Id="rId62" Type="http://schemas.openxmlformats.org/officeDocument/2006/relationships/hyperlink" Target="http://hudoc.echr.coe.int/eng?i=001-211057" TargetMode="External"/><Relationship Id="rId83" Type="http://schemas.openxmlformats.org/officeDocument/2006/relationships/hyperlink" Target="https://hudoc.echr.coe.int/eng?i=001-234258" TargetMode="External"/><Relationship Id="rId88" Type="http://schemas.openxmlformats.org/officeDocument/2006/relationships/hyperlink" Target="https://search.coe.int/cm/Pages/result_details.aspx?ObjectId=0900001680790e14" TargetMode="External"/><Relationship Id="rId111" Type="http://schemas.openxmlformats.org/officeDocument/2006/relationships/hyperlink" Target="https://hudoc.echr.coe.int/eng?i=001-92171" TargetMode="External"/><Relationship Id="rId132" Type="http://schemas.openxmlformats.org/officeDocument/2006/relationships/hyperlink" Target="http://hudoc.echr.coe.int/eng?i=001-211057" TargetMode="External"/><Relationship Id="rId15" Type="http://schemas.openxmlformats.org/officeDocument/2006/relationships/hyperlink" Target="https://ks.echr.coe.int/documents/d/echr-ks/guide_art_10_eng" TargetMode="External"/><Relationship Id="rId36" Type="http://schemas.openxmlformats.org/officeDocument/2006/relationships/hyperlink" Target="http://hudoc.echr.coe.int/eng?i=001-183947" TargetMode="External"/><Relationship Id="rId57" Type="http://schemas.openxmlformats.org/officeDocument/2006/relationships/hyperlink" Target="http://hudoc.echr.coe.int/eng?i=001-208800" TargetMode="External"/><Relationship Id="rId106" Type="http://schemas.openxmlformats.org/officeDocument/2006/relationships/hyperlink" Target="https://hudoc.echr.coe.int/eng?i=001-61791" TargetMode="External"/><Relationship Id="rId127" Type="http://schemas.openxmlformats.org/officeDocument/2006/relationships/hyperlink" Target="http://hudoc.echr.coe.int/eng?i=001-200435" TargetMode="External"/><Relationship Id="rId10" Type="http://schemas.openxmlformats.org/officeDocument/2006/relationships/hyperlink" Target="http://hudoc.echr.coe.int/eng?i=001-199494" TargetMode="External"/><Relationship Id="rId31" Type="http://schemas.openxmlformats.org/officeDocument/2006/relationships/hyperlink" Target="https://hudoc.echr.coe.int/eng?i=001-91706" TargetMode="External"/><Relationship Id="rId52" Type="http://schemas.openxmlformats.org/officeDocument/2006/relationships/hyperlink" Target="https://rm.coe.int/0900001680927c25" TargetMode="External"/><Relationship Id="rId73" Type="http://schemas.openxmlformats.org/officeDocument/2006/relationships/hyperlink" Target="http://hudoc.echr.coe.int/eng?i=001-109577" TargetMode="External"/><Relationship Id="rId78" Type="http://schemas.openxmlformats.org/officeDocument/2006/relationships/hyperlink" Target="http://hudoc.echr.coe.int/eng?i=001-184289" TargetMode="External"/><Relationship Id="rId94" Type="http://schemas.openxmlformats.org/officeDocument/2006/relationships/hyperlink" Target="https://edoc.coe.int/fr/medias/8019-recommendation-cmrec20117-on-a-new-notion-of-media.html" TargetMode="External"/><Relationship Id="rId99" Type="http://schemas.openxmlformats.org/officeDocument/2006/relationships/hyperlink" Target="https://pace.coe.int/en/files/17469/html" TargetMode="External"/><Relationship Id="rId101" Type="http://schemas.openxmlformats.org/officeDocument/2006/relationships/hyperlink" Target="https://rm.coe.int/journalism-and-media-privilege-pdf/1680787381" TargetMode="External"/><Relationship Id="rId122" Type="http://schemas.openxmlformats.org/officeDocument/2006/relationships/hyperlink" Target="http://hudoc.echr.coe.int/eng?i=001-175121" TargetMode="External"/><Relationship Id="rId143" Type="http://schemas.openxmlformats.org/officeDocument/2006/relationships/hyperlink" Target="http://hudoc.echr.coe.int/eng?i=001-225814" TargetMode="External"/><Relationship Id="rId14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hudoc.echr.coe.int/eng?i=001-167828" TargetMode="External"/><Relationship Id="rId26" Type="http://schemas.openxmlformats.org/officeDocument/2006/relationships/hyperlink" Target="http://hudoc.echr.coe.int/eng?i=001-200435" TargetMode="External"/><Relationship Id="rId47" Type="http://schemas.openxmlformats.org/officeDocument/2006/relationships/hyperlink" Target="http://curia.europa.eu/juris/liste.jsf?language=en&amp;num=C-73/07" TargetMode="External"/><Relationship Id="rId68" Type="http://schemas.openxmlformats.org/officeDocument/2006/relationships/hyperlink" Target="https://hudoc.echr.coe.int/eng?i=001-95247" TargetMode="External"/><Relationship Id="rId89" Type="http://schemas.openxmlformats.org/officeDocument/2006/relationships/hyperlink" Target="https://search.coe.int/cm/Pages/result_details.aspx?ObjectId=09000016806415d9" TargetMode="External"/><Relationship Id="rId112" Type="http://schemas.openxmlformats.org/officeDocument/2006/relationships/hyperlink" Target="http://hudoc.echr.coe.int/eng?i=001-93161" TargetMode="External"/><Relationship Id="rId133" Type="http://schemas.openxmlformats.org/officeDocument/2006/relationships/hyperlink" Target="http://hudoc.echr.coe.int/eng?i=001-210766" TargetMode="External"/><Relationship Id="rId16" Type="http://schemas.openxmlformats.org/officeDocument/2006/relationships/hyperlink" Target="https://ks.echr.coe.int/documents/d/echr-ks/guide_art_10_eng" TargetMode="External"/><Relationship Id="rId37" Type="http://schemas.openxmlformats.org/officeDocument/2006/relationships/hyperlink" Target="http://hudoc.echr.coe.int/eng?i=001-183947" TargetMode="External"/><Relationship Id="rId58" Type="http://schemas.openxmlformats.org/officeDocument/2006/relationships/hyperlink" Target="http://hudoc.echr.coe.int/eng?i=001-92171" TargetMode="External"/><Relationship Id="rId79" Type="http://schemas.openxmlformats.org/officeDocument/2006/relationships/hyperlink" Target="http://hudoc.echr.coe.int/eng?i=001-59366" TargetMode="External"/><Relationship Id="rId102" Type="http://schemas.openxmlformats.org/officeDocument/2006/relationships/hyperlink" Target="https://rm.coe.int/factsheet-on-whistleblowers-14june2018/16808b3531" TargetMode="External"/><Relationship Id="rId123" Type="http://schemas.openxmlformats.org/officeDocument/2006/relationships/hyperlink" Target="https://hudoc.echr.coe.int/eng?i=001-181595" TargetMode="External"/><Relationship Id="rId144" Type="http://schemas.openxmlformats.org/officeDocument/2006/relationships/hyperlink" Target="https://hudoc.echr.coe.int/eng?i=001-2316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440</TotalTime>
  <Pages>1</Pages>
  <Words>5173</Words>
  <Characters>31039</Characters>
  <Application>Microsoft Office Word</Application>
  <DocSecurity>0</DocSecurity>
  <Lines>258</Lines>
  <Paragraphs>72</Paragraphs>
  <ScaleCrop>false</ScaleCrop>
  <HeadingPairs>
    <vt:vector size="2" baseType="variant">
      <vt:variant>
        <vt:lpstr>Tytuł</vt:lpstr>
      </vt:variant>
      <vt:variant>
        <vt:i4>1</vt:i4>
      </vt:variant>
    </vt:vector>
  </HeadingPairs>
  <TitlesOfParts>
    <vt:vector size="1" baseType="lpstr">
      <vt:lpstr>Contributions to public debate: Journalists and other actors</vt:lpstr>
    </vt:vector>
  </TitlesOfParts>
  <Company/>
  <LinksUpToDate>false</LinksUpToDate>
  <CharactersWithSpaces>36140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Contributions to public debate: Journalists and other actors</dc:title>
  <dc:subject>Contributions to public debate: Journalists and other actors</dc:subject>
  <dc:creator>ECHR-CEDH</dc:creator>
  <cp:keywords>Contributions to public debate: Journalists and other actors, docId:9A9EE7BF695958286A67C15671E1B5FA</cp:keywords>
  <cp:lastModifiedBy>Szponar Paweł  (DWMPC)</cp:lastModifiedBy>
  <cp:revision>82</cp:revision>
  <dcterms:created xsi:type="dcterms:W3CDTF">2025-08-06T09:08:00Z</dcterms:created>
  <dcterms:modified xsi:type="dcterms:W3CDTF">2025-08-20T09:41:00Z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Office Word</vt:lpwstr>
  </property>
  <property fmtid="{D5CDD505-2E9C-101B-9397-08002B2CF9AE}" pid="4" name="LastSaved">
    <vt:filetime>2025-08-06T00:00:00Z</vt:filetime>
  </property>
  <property fmtid="{D5CDD505-2E9C-101B-9397-08002B2CF9AE}" pid="5" name="Producer">
    <vt:lpwstr>Aspose.Words for .NET 24.4.0</vt:lpwstr>
  </property>
</Properties>
</file>