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3049" w14:textId="34C249D2" w:rsidR="00BA3501" w:rsidRDefault="00BA3501" w:rsidP="00BA3501">
      <w:pPr>
        <w:rPr>
          <w:rFonts w:ascii="OpenSans,Bold" w:hAnsi="OpenSans,Bold" w:cs="OpenSans,Bold"/>
          <w:b/>
          <w:bCs/>
          <w:color w:val="000000"/>
          <w:sz w:val="20"/>
          <w:szCs w:val="20"/>
        </w:rPr>
      </w:pP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 xml:space="preserve">Załącznik nr 1 do </w:t>
      </w:r>
      <w:r w:rsidR="00F4758D">
        <w:rPr>
          <w:rFonts w:ascii="OpenSans,Bold" w:hAnsi="OpenSans,Bold" w:cs="OpenSans,Bold"/>
          <w:b/>
          <w:bCs/>
          <w:color w:val="000000"/>
          <w:sz w:val="20"/>
          <w:szCs w:val="20"/>
        </w:rPr>
        <w:t>u</w:t>
      </w: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>mowy nr …………………………… – Opis przedmiotu zamówienia</w:t>
      </w:r>
    </w:p>
    <w:p w14:paraId="0D072C5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I. Przedmiotem zamówienia jest:</w:t>
      </w:r>
    </w:p>
    <w:p w14:paraId="673D254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1.Świadczenie usług telefonii stacjonarnej dla Ministerstwa Sprawiedliwości zgodnie z opisem przedmiotu zamówienia w oparciu o Wykaz zasobów telekomunikacyjnych Zamawiającego (załącznik nr 2 do umowy).</w:t>
      </w:r>
    </w:p>
    <w:p w14:paraId="2FCBF18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2. Zapewnienie łączności głosowej, faksowej oraz wszystkich przyłączy telekomunikacyjnych, niezbędnych do realizacji całości usług określonych w Wykazie zasobów telekomunikacyjnych Zamawiającego (załącznik nr 2 </w:t>
      </w:r>
      <w:r>
        <w:rPr>
          <w:rFonts w:ascii="OpenSans" w:hAnsi="OpenSans" w:cs="OpenSans"/>
          <w:color w:val="000000"/>
          <w:sz w:val="20"/>
          <w:szCs w:val="20"/>
        </w:rPr>
        <w:br/>
        <w:t>do umowy).</w:t>
      </w:r>
    </w:p>
    <w:p w14:paraId="3DFEA97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Podłączanie nowych lub likwidacja istniejących łączy POTS i traktów ISDN we wskazywanych na bieżąco przez Zamawiającego lokalizacjach, zgodnie z Wykazem zasobów telekomunikacyjnych Zamawiającego (załącznik nr 2 do umowy).</w:t>
      </w:r>
    </w:p>
    <w:p w14:paraId="6DB8A5C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Comiesięczne sporządzanie pełnych bilingów (lista wszystkich połączeń wychodzących)</w:t>
      </w:r>
    </w:p>
    <w:p w14:paraId="5FBDACA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w rozbiciu na poszczególne numery DDI i MSN traktów ISDN oraz numery końcowe POTS/PSTN, w pliku </w:t>
      </w:r>
      <w:r>
        <w:rPr>
          <w:rFonts w:ascii="OpenSans" w:hAnsi="OpenSans" w:cs="OpenSans"/>
          <w:color w:val="000000"/>
          <w:sz w:val="20"/>
          <w:szCs w:val="20"/>
        </w:rPr>
        <w:br/>
        <w:t xml:space="preserve">w formacie zgodnym z programem Microsoft Excel oraz dostarczanie go przez Wykonawcę w terminie 3 dni od dnia wystawienia faktury za miesięczne usługi telekomunikacyjne na adres poczty elektronicznej osoby pełniącej nadzór nad realizacją umowy ze strony Zamawiającego. Zestawienie bilingowe powinno zawierać następujące informacje: </w:t>
      </w:r>
    </w:p>
    <w:p w14:paraId="0A961E6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liczba kolejna (numer rekordu),</w:t>
      </w:r>
    </w:p>
    <w:p w14:paraId="3C19EA3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data rozpoczęcia rozmowy w formacie: rrrr-mm-dd,</w:t>
      </w:r>
    </w:p>
    <w:p w14:paraId="493AA5F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czas rozpoczęcia rozmowy w formacie: gg:mm:ss,</w:t>
      </w:r>
    </w:p>
    <w:p w14:paraId="69FE66E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4) czas trwania połączenia w formacie: gg:mm:ss,</w:t>
      </w:r>
    </w:p>
    <w:p w14:paraId="5FBE61C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5) numer DDI, MSN lub POTS abonenta inicjującego połączenie,</w:t>
      </w:r>
    </w:p>
    <w:p w14:paraId="25BA733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6) wybrany numer,</w:t>
      </w:r>
    </w:p>
    <w:p w14:paraId="7CE340A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7) nazwa wybranego kierunku,</w:t>
      </w:r>
    </w:p>
    <w:p w14:paraId="3535071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8) koszt połączenia,</w:t>
      </w:r>
    </w:p>
    <w:p w14:paraId="4E5CBEF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9) koszt wykonanych połączeń dla danej lokalizacji w okresie rozliczeniowym,</w:t>
      </w:r>
    </w:p>
    <w:p w14:paraId="5716CE8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10) inne informacje, związane z połączeniem.</w:t>
      </w:r>
    </w:p>
    <w:p w14:paraId="20FD6E0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5. Zapewnienie raportów na życzenie Zamawiającego, które zostaną dostarczone w terminie 14 dni od dnia otrzymania zamówienia, zawierających statystykę ruchu przychodzącego, obejmujących:</w:t>
      </w:r>
    </w:p>
    <w:p w14:paraId="3573C93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Ilość połączeń z poszczególnych kierunków</w:t>
      </w:r>
    </w:p>
    <w:p w14:paraId="35FBB47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Czas połączeń z poszczególnych kierunków.</w:t>
      </w:r>
    </w:p>
    <w:p w14:paraId="1447703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Statystyki będą wykonywane za dowolnie wybrany przez Zamawiającego okres trwania umowy, </w:t>
      </w:r>
      <w:r>
        <w:rPr>
          <w:rFonts w:ascii="OpenSans" w:hAnsi="OpenSans" w:cs="OpenSans"/>
          <w:color w:val="000000"/>
          <w:sz w:val="20"/>
          <w:szCs w:val="20"/>
        </w:rPr>
        <w:br/>
        <w:t>z zastrzeżeniem, że nie muszą one dotyczyć niezakończonego okresu rozliczeniowego oraz okresów już przekazanych Zamawiającemu wcześniej. Dostarczane będą na wskazany adres e-mail w pliku w formacie zgodnym z programem Microsoft Excel.</w:t>
      </w:r>
    </w:p>
    <w:p w14:paraId="13A86A7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Zapewnienie systemu zapowiedzi informacyjnej o zmianie dotychczasowego numeru końcowego lub grupy numerów zgodnie z aktualnymi potrzebami Zamawiającego - w razie likwidacji lub zmiany numerów, przez okres co najmniej 2 miesięcy od dnia likwidacji lub zmiany numeru, jednak nie dłużej niż do końca trwania umowy. Zamawiający oczekuje standardowej zapowiedzi słownej, w treści której będzie informacja o zmianie numeru z podaniem nowego numeru Zamawiającego (jeśli taka zmiana nastąpiła) lub informacja o likwidacji numeru </w:t>
      </w:r>
      <w:r>
        <w:rPr>
          <w:rFonts w:ascii="OpenSans" w:hAnsi="OpenSans" w:cs="OpenSans"/>
          <w:color w:val="000000"/>
          <w:sz w:val="20"/>
          <w:szCs w:val="20"/>
        </w:rPr>
        <w:br/>
        <w:t>(w przypadku likwidacji Zamawiającego lub jego części lub rezygnacji z numeru przez Zamawiającego bez uruchomienia innego numeru).</w:t>
      </w:r>
    </w:p>
    <w:p w14:paraId="3F08F61A" w14:textId="77777777" w:rsidR="00BA3501" w:rsidRPr="001D53C9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sz w:val="20"/>
          <w:szCs w:val="20"/>
        </w:rPr>
      </w:pPr>
      <w:r w:rsidRPr="001D53C9">
        <w:rPr>
          <w:rFonts w:ascii="OpenSans" w:hAnsi="OpenSans" w:cs="OpenSans"/>
          <w:sz w:val="20"/>
          <w:szCs w:val="20"/>
        </w:rPr>
        <w:t xml:space="preserve">II. Usługi telekomunikacyjne będące przedmiotem niniejszego zamówienia będą świadczone zgodnie z ustawą </w:t>
      </w:r>
      <w:r w:rsidRPr="001D53C9">
        <w:rPr>
          <w:rFonts w:ascii="OpenSans" w:hAnsi="OpenSans" w:cs="OpenSans"/>
          <w:sz w:val="20"/>
          <w:szCs w:val="20"/>
        </w:rPr>
        <w:br/>
        <w:t xml:space="preserve">z dnia 16 lipca 2004 r. Prawo </w:t>
      </w:r>
      <w:r w:rsidRPr="00B14179">
        <w:rPr>
          <w:rFonts w:ascii="OpenSans" w:hAnsi="OpenSans" w:cs="OpenSans"/>
          <w:sz w:val="20"/>
          <w:szCs w:val="20"/>
        </w:rPr>
        <w:t xml:space="preserve">telekomunikacyjne oraz </w:t>
      </w:r>
      <w:r w:rsidRPr="001D53C9">
        <w:rPr>
          <w:rFonts w:ascii="OpenSans" w:hAnsi="OpenSans" w:cs="OpenSans"/>
          <w:sz w:val="20"/>
          <w:szCs w:val="20"/>
        </w:rPr>
        <w:t>innymi obowiązującymi w tym zakresie przepisami prawa.</w:t>
      </w:r>
    </w:p>
    <w:p w14:paraId="55D616F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III. Przedmiot niniejszego zamówienia nie obejmuje usług dotyczących:</w:t>
      </w:r>
    </w:p>
    <w:p w14:paraId="113CD60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łączy alarmowych (na których funkcjonuje numeracja alarmowa typu 112, 987, 999 etc.),</w:t>
      </w:r>
    </w:p>
    <w:p w14:paraId="65ECB15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2. dzierżawy lub zakupu abonenckich centrali telefonicznych (PABX), modułów wyniesionych, kart wyposażenia centrali itp.,</w:t>
      </w:r>
    </w:p>
    <w:p w14:paraId="52C3EB4D" w14:textId="24696E3E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dzierżawy lub zakupu modemów, bramek, urządzeń końcowych itp.,</w:t>
      </w:r>
    </w:p>
    <w:p w14:paraId="4126B972" w14:textId="3567EDEA" w:rsidR="00BA3501" w:rsidRDefault="006430C3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</w:t>
      </w:r>
      <w:r w:rsidR="00BA3501">
        <w:rPr>
          <w:rFonts w:ascii="OpenSans" w:hAnsi="OpenSans" w:cs="OpenSans"/>
          <w:color w:val="000000"/>
          <w:sz w:val="20"/>
          <w:szCs w:val="20"/>
        </w:rPr>
        <w:t>. dostępu do Internetu,</w:t>
      </w:r>
    </w:p>
    <w:p w14:paraId="05A52767" w14:textId="11488B83" w:rsidR="00BA3501" w:rsidRDefault="006430C3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</w:t>
      </w:r>
      <w:r w:rsidR="00BA3501">
        <w:rPr>
          <w:rFonts w:ascii="OpenSans" w:hAnsi="OpenSans" w:cs="OpenSans"/>
          <w:color w:val="000000"/>
          <w:sz w:val="20"/>
          <w:szCs w:val="20"/>
        </w:rPr>
        <w:t>. łączy na których świadczone są inne usługi tj. dostęp do internetu/DSL, usługi pakietowe.</w:t>
      </w:r>
    </w:p>
    <w:p w14:paraId="2BE55DD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Powyższe usługi zostaną zrealizowane samodzielnie przez Zamawiającego zgodnie z jej potrzebami oraz w celu zapewnienia wdrożenia usługi będącej przedmiotem niniejszego zamówienia.</w:t>
      </w:r>
    </w:p>
    <w:p w14:paraId="194E605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IV. Szczegółowe wymagania dotyczące wykonania przedmiotu zamówienia:</w:t>
      </w:r>
    </w:p>
    <w:p w14:paraId="6ED1E16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Zamawiający zachowa dotychczasową numerację telefoniczną:</w:t>
      </w:r>
    </w:p>
    <w:p w14:paraId="04C0644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– Wykonawca przeniesie wszystkie istniejące numery telefoniczne (POTS, MSN i DDI) na swoje zasoby.</w:t>
      </w:r>
    </w:p>
    <w:p w14:paraId="63D33B5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>2. Wykonawca, w porozumieniu z Zamawiającym, zamieści informację o numeracji telefonicznej Zamawiającego w ogólnopolskiej bazie numerów.</w:t>
      </w:r>
    </w:p>
    <w:p w14:paraId="3997C8F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Wykonawca zapewni dla określonych numerów Zamawiającego możliwość dyskryminacji kierunków telefonicznych komercyjnych (takich jak 0300, 0700 itd.) na poziomie centrali miejskiej (OCB).</w:t>
      </w:r>
    </w:p>
    <w:p w14:paraId="0F04FE6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Wykonawca uruchomi i udostępni w zależności od potrzeb Zamawiającego usługi:</w:t>
      </w:r>
    </w:p>
    <w:p w14:paraId="4DA06D0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CLIP – Calling Line Identification Presentation (prezentacja numeru dzwoniącego, z wyłączeniem numerów zastrzeżonych zgodnie z art. 171 ustawy Prawo telekomunikacyjne)</w:t>
      </w:r>
    </w:p>
    <w:p w14:paraId="1E8303C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CLIR – Calling Line Identification Restriction (blokada prezentacji numeru dzwoniącego)</w:t>
      </w:r>
    </w:p>
    <w:p w14:paraId="2333B9A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COLP – Connected Line identification Presentation (prezentacja numeru z którym nawiązane jest połączenie) wymagane jedynie w obrębie sieci telekomunikacyjnej Wykonawcy</w:t>
      </w:r>
    </w:p>
    <w:p w14:paraId="12666B3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4) COLR - Connected Line identification Restriction (blokada prezentacji numeru z którym nawiązane jest połączenie)</w:t>
      </w:r>
    </w:p>
    <w:p w14:paraId="7E2C59F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5. Wykonawca zapewni, aby przesyłanie informacji o numerze abonenta wywołującego w połączeniach przychodzących do Zamawiającego na łączach analogowych było realizowane za pomącą sygnalizacji DTMF (Dual Tone Multi Frequency) i FSK (Frequency-Shift Keying).</w:t>
      </w:r>
    </w:p>
    <w:p w14:paraId="06839CD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6. Wykonawca zapewni możliwość przekierowywania na dowolne numery telekomunikacyjnej sieci publicznej wywołań kierowanych na wszystkie numery analogowe Zamawiającego w trybie:</w:t>
      </w:r>
    </w:p>
    <w:p w14:paraId="02259F2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bezzwłocznym (CFU),</w:t>
      </w:r>
    </w:p>
    <w:p w14:paraId="785879D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w przypadku zajętości (CFB),</w:t>
      </w:r>
    </w:p>
    <w:p w14:paraId="7546BD3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przy braku odpowiedzi (CFNR).</w:t>
      </w:r>
    </w:p>
    <w:p w14:paraId="35D5D9D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7. Wykonawca zapewni dla wszystkich numerów możliwość identyfikacji wywołań złośliwych (MCID) oraz blokadę połączeń anonimowych (ACR).</w:t>
      </w:r>
    </w:p>
    <w:p w14:paraId="68131ED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8. Zamawiający wymaga, aby podczas prowadzonych rozmów na wszystkich łączach telefonicznych była zachowana możliwość wysyłania i odbierania sygnałów DTMF (Dual Tone Multi Frequency) pomiędzy urządzeniami końcowymi.</w:t>
      </w:r>
    </w:p>
    <w:p w14:paraId="4093031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9. Wykonawca zapewni, w ramach abonamentu, bezpłatne połączenia telefoniczne na krajowe numery komórkowe i stacjonarne z wyjątkiem połączeń na numery specjalne.</w:t>
      </w:r>
    </w:p>
    <w:p w14:paraId="62EB1D5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10. Wykonawca zapewni, w ramach abonamentu, bezpłatne połączenia telefoniczne na numery międzynarodowe stacjonarne i komórkowe do krajów UE.</w:t>
      </w:r>
    </w:p>
    <w:p w14:paraId="70D0859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11. Taryfikowanie czasu rozmów będzie realizowane z dokładnością do jednej sekundy.</w:t>
      </w:r>
    </w:p>
    <w:p w14:paraId="0AA1D18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12. W celu doprowadzenia usługi do urządzeń telekomunikacyjnych Zamawiającego, wymagane jest, aby zostały wykorzystane instalacje telekomunikacyjne istniejące na terenie obiektów określonych w Wykazie zasobów telekomunikacyjnych Zamawiającego (załącznik nr 2 do umowy). Zamawiający wymaga również, aby Wykonawca doprowadził do budynku usługi w technologii wyszczególnionej w przedmiotowym wykazie.</w:t>
      </w:r>
    </w:p>
    <w:p w14:paraId="7CF0735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13. W przypadku braku możliwości wykorzystania istniejących zasobów fizycznych instalacji telekomunikacyjnych w poszczególnych obiektach lub braku możliwości zastosowania technologii zgodnej z Wykazem zasobów telekomunikacyjnych Zamawiającego (załącznik nr 2 do umowy), Zamawiający dopuszcza inną, uzgodnioną bezpośrednio z Zamawiającym, technikę transmisyjną wykonywania usług telekomunikacyjnych będących przedmiotem niniejszego zamówienia tj. kabel światłowodowy, radiolinia lub kabel miedziany.</w:t>
      </w:r>
    </w:p>
    <w:p w14:paraId="2F8508F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14. Poniżej przedstawiono sposób współpracy dostarczonych przez Wykonawcę łączy telekomunikacyjnych </w:t>
      </w:r>
      <w:r>
        <w:rPr>
          <w:rFonts w:ascii="OpenSans" w:hAnsi="OpenSans" w:cs="OpenSans"/>
          <w:color w:val="000000"/>
          <w:sz w:val="20"/>
          <w:szCs w:val="20"/>
        </w:rPr>
        <w:br/>
        <w:t>z urządzeniami telekomunikacyjnymi Zamawiającego:</w:t>
      </w:r>
    </w:p>
    <w:p w14:paraId="1DB61FC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ISDN PRA:</w:t>
      </w:r>
    </w:p>
    <w:p w14:paraId="6EEE280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łącza ISDN z dostępem PRA w konfiguracji kanałów 30B+D, </w:t>
      </w:r>
      <w:r>
        <w:rPr>
          <w:rFonts w:ascii="OpenSans" w:hAnsi="OpenSans" w:cs="OpenSans"/>
          <w:color w:val="000000"/>
          <w:sz w:val="20"/>
          <w:szCs w:val="20"/>
        </w:rPr>
        <w:br/>
        <w:t>z interfejsem G.703 oraz sygnalizacją DSS1;</w:t>
      </w:r>
    </w:p>
    <w:p w14:paraId="41817AD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– centrala telefoniczna PABX Zamawiającego:</w:t>
      </w:r>
    </w:p>
    <w:p w14:paraId="1F535BA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5BF0210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 xml:space="preserve">pogłos, trzaski i inne sygnały zakłócające podczas prowadzonej rozmowy telefonicznej, </w:t>
      </w:r>
    </w:p>
    <w:p w14:paraId="26302A6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20D7FDA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192B8F2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37203CB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6AC6E98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numerację DDI wskazaną przez Zamawiającego;</w:t>
      </w:r>
    </w:p>
    <w:p w14:paraId="6BF9320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>e) Wykonawca zapewni prawidłową transmisję głosu, sygnalizacji DSS1, telefaksów w standardzie co najmniej G3, transmisję danych za pomocą modemów i terminali płatniczych dostosowanych do linii analogowych i ISDN oraz połączeń wideo za pomocą wideoterminali ISDN;</w:t>
      </w:r>
    </w:p>
    <w:p w14:paraId="52016F6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f) W razie konieczności na życzenie Zamawiającego Wykonawca w miejsce sygnalizacji DSS1 uruchomi sygnalizację R2.</w:t>
      </w:r>
    </w:p>
    <w:p w14:paraId="1C1B2D5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ISDN BRA:</w:t>
      </w:r>
    </w:p>
    <w:p w14:paraId="59A8210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a) Wykonawca udostępni jednostce łącza ISDN z dostępem BRA w konfiguracji kanałów 2B+D, z sygnalizacją DSS1 zakończone urządzeniem NT.</w:t>
      </w:r>
    </w:p>
    <w:p w14:paraId="2208C88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centrala telefoniczna PABX Zamawiającego.</w:t>
      </w:r>
    </w:p>
    <w:p w14:paraId="46012CC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3620547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pogłos, trzaski i inne sygnały zakłócające podczas prowadzonej rozmowy telefonicznej,</w:t>
      </w:r>
    </w:p>
    <w:p w14:paraId="1155489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0FCE061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6DCCA6A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5F21352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1800B15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zakończy łącze zakończeniem NT lub w zależności od potrzeb Zamawiającego wyprowadzi odpowiedni styk S, T, R do podłączenia urządzeń końcowych w tym minimum dwóch linii analogowych;</w:t>
      </w:r>
    </w:p>
    <w:p w14:paraId="6DA156A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numerację DDI lub MSN przekazaną przez Zamawiającego;</w:t>
      </w:r>
    </w:p>
    <w:p w14:paraId="61877B3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f) Wykonawca zapewni prawidłową transmisję głosu, sygnalizacji DSS1, telefaksów w standardzie co najmniej G3 i G4, transmisję danych za pomocą modemów i terminali płatniczych dostosowanych do linii analogowych i ISDN oraz połączeń wideo za pomocą wideoterminali ISDN.</w:t>
      </w:r>
    </w:p>
    <w:p w14:paraId="258F191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Linie analogowe POTS:</w:t>
      </w:r>
    </w:p>
    <w:p w14:paraId="7DC269F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linię analogową POTS zakończoną we wskazanym miejscu </w:t>
      </w:r>
      <w:r w:rsidR="007819E0">
        <w:rPr>
          <w:rFonts w:ascii="OpenSans" w:hAnsi="OpenSans" w:cs="OpenSans"/>
          <w:color w:val="000000"/>
          <w:sz w:val="20"/>
          <w:szCs w:val="20"/>
        </w:rPr>
        <w:br/>
      </w:r>
      <w:r>
        <w:rPr>
          <w:rFonts w:ascii="OpenSans" w:hAnsi="OpenSans" w:cs="OpenSans"/>
          <w:color w:val="000000"/>
          <w:sz w:val="20"/>
          <w:szCs w:val="20"/>
        </w:rPr>
        <w:t>w budynku lub na przełącznicy głównej Zamawiającego.</w:t>
      </w:r>
    </w:p>
    <w:p w14:paraId="2667DDB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Zamawiający w technologii zapewniającą jakość połączenia takiego jak dla standardowej analogowej linii telefonicznej po kablu miedzianym. Nie dopuszcza się stosowania technologii bezprzewodowych GSM, UMTS lub LTE.</w:t>
      </w:r>
    </w:p>
    <w:p w14:paraId="79B12C6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Wykonawca zapewni numerację dla linii analogowych przekazaną przez Zamawiającego;</w:t>
      </w:r>
    </w:p>
    <w:p w14:paraId="1D01B92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na życzenie Zamawiającego wiązki PBX dla wskazanej grupy linii analogowych;</w:t>
      </w:r>
    </w:p>
    <w:p w14:paraId="66299EB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prawidłową transmisję głosu, telefaksów w standardzie co najmniej G3, transmisję danych za pomocą modemów i terminali płatniczych dostosowanych do linii analogowych.</w:t>
      </w:r>
    </w:p>
    <w:p w14:paraId="65BB4C4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15. Wykonawca zapewni możliwość takiego skonfigurowania łączy ISDN PRA, aby była możliwość przekierowania ruchu na inne wskazane łącza ISDN PRA (np. w innej lokalizacji), w zależności od potrzeb Zamawiającego.</w:t>
      </w:r>
    </w:p>
    <w:p w14:paraId="5D6AA35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16. Wykonawca zapewni nieprzerwane świadczenie usług telekomunikacyjnych będących przedmiotem niniejszego zamówienia we wszystkich obiektach Zamawiającego (wyszczególnionych w Wykazie zasobów telekomunikacyjnych Zamawiającego – załącznik nr 2 do umowy), w momencie zmiany usługodawcy. Zakończenie dotychczasowej umowy nastąpi w dniu poprzedzającym rozpoczęcie świadczenia usług będących przedmiotem niniejszego zamówienia, o uzgodnionej z przedstawicielem Zamawiającego godzinie. Rozpoczęcie świadczenia usługi będącej przedmiotem niniejszego zamówienia nastąpi nie później niż o godz. 6:00 rano dnia następnego po terminie określonym w Wykazie zasobów telekomunikacyjnych Zamawiającego (załącznik nr 2 do umowy), tj. po wygaśnięciu aktualnie zaciągniętych zobowiązań przez Zamawiającego, jako dzień rozpoczęcia świadczenia usługi będącej przedmiotem niniejszego zamówienia. W warunku tym zawierają się wszelkie prace niezbędne do podjęcia przed, w trakcie i po wyznaczonym terminie przełączenia, jak również współdziałania z dotychczasowym Wykonawcą oraz innymi osobami, wdrażającymi usługi powiązane (np. wymiana systemu PABX w danym obiekcie).</w:t>
      </w:r>
    </w:p>
    <w:p w14:paraId="5F097FD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17. Po zakończeniu usługi będącej przedmiotem niniejszego zamówienia Wykonawca przekaże wszystkie numery POTS, MSN i DDI na rzecz nowego Wykonawcy, z możliwością ich skutecznego uruchomienia przez nowego Wykonawcę od godz. 6:00 rano dnia następnego po dniu zakończeniu świadczenia usługi będącej przedmiotem niniejszego zamówienia.</w:t>
      </w:r>
    </w:p>
    <w:p w14:paraId="0A798A1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18. Po zakończeniu usługi będącej przedmiotem niniejszego zamówienia, Wykonawca zdemontuje wszystkie urządzenia, których jest właścicielem a które dostarczył w celu realizacji przedmiotu umowy, w terminie uzgodnionym z jednostką.</w:t>
      </w:r>
    </w:p>
    <w:p w14:paraId="73B4207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19. Wykonawca w okresie świadczenia usługi, będącej przedmiotem niniejszego zamówienia, zapewni usługi głosowe (w tym na potrzeby telefaksów i terminali płatniczych) w ruchu dwukierunkowym do wszystkich </w:t>
      </w:r>
      <w:r>
        <w:rPr>
          <w:rFonts w:ascii="OpenSans" w:hAnsi="OpenSans" w:cs="OpenSans"/>
          <w:color w:val="000000"/>
          <w:sz w:val="20"/>
          <w:szCs w:val="20"/>
        </w:rPr>
        <w:lastRenderedPageBreak/>
        <w:t>kierunków dostępnych w publicznej sieci telekomunikacyjnej z zachowaniem wysokiej jakości parametrów transmisyjnych.</w:t>
      </w:r>
    </w:p>
    <w:p w14:paraId="604DB22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20. Wykonawca zapewni infolinię dedykowaną do przyjmowania od przedstawicieli Zamawiającego wszelkich zgłoszeń w formie telefonicznej i e-mailowej w systemie 24 godziny na dobę/ 7 dni w tygodniu przez cały okres trwania umowy.</w:t>
      </w:r>
    </w:p>
    <w:p w14:paraId="1FB9061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21. Czas podłączania nowych łączy lub traktów lub numerów telefonicznych, rozumiany jako czas od momentu przyjęcia zgłoszenia do uruchomienia pełnej funkcjonalności, wynosi nie dłużej niż 4 miesiące.</w:t>
      </w:r>
    </w:p>
    <w:p w14:paraId="182BA4D5" w14:textId="77777777" w:rsidR="00B321B4" w:rsidRPr="005E7472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22. Czas odłączenia istniejących łączy lubi traktów lub numerów telefonicznych, rozumiany jako czas od momentu przyjęcia zgłoszenia do wykonania odłączenia, będzie każdorazowo uzgadniany z przedstawicielem Zamawiającego, ale nie będzie dłuższy niż 30 dni kalendarzow</w:t>
      </w:r>
      <w:r w:rsidR="0009152D">
        <w:rPr>
          <w:rFonts w:ascii="OpenSans" w:hAnsi="OpenSans" w:cs="OpenSans"/>
          <w:color w:val="000000"/>
          <w:sz w:val="20"/>
          <w:szCs w:val="20"/>
        </w:rPr>
        <w:t>ych</w:t>
      </w:r>
      <w:r>
        <w:rPr>
          <w:rFonts w:ascii="OpenSans" w:hAnsi="OpenSans" w:cs="OpenSans"/>
          <w:color w:val="000000"/>
          <w:sz w:val="20"/>
          <w:szCs w:val="20"/>
        </w:rPr>
        <w:t>.</w:t>
      </w:r>
    </w:p>
    <w:sectPr w:rsidR="00B321B4" w:rsidRPr="005E7472" w:rsidSect="006E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01"/>
    <w:rsid w:val="0000467D"/>
    <w:rsid w:val="0009152D"/>
    <w:rsid w:val="00166669"/>
    <w:rsid w:val="0028477E"/>
    <w:rsid w:val="0032596F"/>
    <w:rsid w:val="003532D4"/>
    <w:rsid w:val="003579E0"/>
    <w:rsid w:val="003F0336"/>
    <w:rsid w:val="004C0BEA"/>
    <w:rsid w:val="00514F7B"/>
    <w:rsid w:val="005B6A67"/>
    <w:rsid w:val="005E7472"/>
    <w:rsid w:val="005E74B0"/>
    <w:rsid w:val="00631994"/>
    <w:rsid w:val="006427D7"/>
    <w:rsid w:val="006430C3"/>
    <w:rsid w:val="00692500"/>
    <w:rsid w:val="006E1E88"/>
    <w:rsid w:val="00732FA9"/>
    <w:rsid w:val="007819E0"/>
    <w:rsid w:val="00785F54"/>
    <w:rsid w:val="0081303A"/>
    <w:rsid w:val="008610AB"/>
    <w:rsid w:val="009951A5"/>
    <w:rsid w:val="009C1B4F"/>
    <w:rsid w:val="00B321B4"/>
    <w:rsid w:val="00B87CA6"/>
    <w:rsid w:val="00BA3501"/>
    <w:rsid w:val="00CD7E92"/>
    <w:rsid w:val="00D57C71"/>
    <w:rsid w:val="00DB3C34"/>
    <w:rsid w:val="00E83738"/>
    <w:rsid w:val="00E87B78"/>
    <w:rsid w:val="00EB09A6"/>
    <w:rsid w:val="00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1E7B"/>
  <w15:docId w15:val="{2BE58B52-ABC3-4CF8-8124-A303B900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D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8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1969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Bekasiak Mikołaj  (BA)</dc:creator>
  <cp:lastModifiedBy>Bekasiak Mikołaj  (BA)</cp:lastModifiedBy>
  <cp:revision>5</cp:revision>
  <dcterms:created xsi:type="dcterms:W3CDTF">2025-02-11T14:52:00Z</dcterms:created>
  <dcterms:modified xsi:type="dcterms:W3CDTF">2025-03-04T12:27:00Z</dcterms:modified>
</cp:coreProperties>
</file>