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67E7" w14:textId="5693EFBE" w:rsidR="00007556" w:rsidRPr="0094009A" w:rsidRDefault="00D87715" w:rsidP="006C0869">
      <w:pPr>
        <w:jc w:val="center"/>
        <w:rPr>
          <w:rFonts w:ascii="Aptos Serif" w:hAnsi="Aptos Serif" w:cs="Aptos Serif"/>
          <w:b/>
          <w:bCs/>
          <w:color w:val="990033"/>
          <w:sz w:val="28"/>
          <w:szCs w:val="28"/>
          <w:u w:val="single"/>
        </w:rPr>
      </w:pPr>
      <w:r w:rsidRPr="0094009A">
        <w:rPr>
          <w:rFonts w:ascii="Aptos Serif" w:hAnsi="Aptos Serif" w:cs="Aptos Serif"/>
          <w:b/>
          <w:bCs/>
          <w:color w:val="990033"/>
          <w:sz w:val="28"/>
          <w:szCs w:val="28"/>
          <w:u w:val="single"/>
        </w:rPr>
        <w:t>Orzecznictwo Europejskiego Trybunału Praw Człowieka w sprawach aborcji, surogacji, in vitro i porodu domowego</w:t>
      </w:r>
    </w:p>
    <w:p w14:paraId="10136AD6" w14:textId="77777777" w:rsidR="0094009A" w:rsidRPr="0094009A" w:rsidRDefault="0094009A" w:rsidP="006C0869">
      <w:pPr>
        <w:jc w:val="center"/>
        <w:rPr>
          <w:rFonts w:ascii="Aptos Serif" w:hAnsi="Aptos Serif" w:cs="Aptos Serif"/>
          <w:color w:val="990033"/>
          <w:sz w:val="28"/>
          <w:szCs w:val="28"/>
        </w:rPr>
      </w:pPr>
    </w:p>
    <w:p w14:paraId="0353D728" w14:textId="7A231679" w:rsidR="00007556" w:rsidRPr="00007556" w:rsidRDefault="00007556" w:rsidP="006C0869">
      <w:pPr>
        <w:jc w:val="both"/>
      </w:pPr>
      <w:r w:rsidRPr="00007556">
        <w:t>Europejski Trybunał Praw Człowieka (</w:t>
      </w:r>
      <w:r w:rsidR="00047807">
        <w:t xml:space="preserve">dalej: </w:t>
      </w:r>
      <w:r w:rsidRPr="00007556">
        <w:t>ETPC</w:t>
      </w:r>
      <w:r w:rsidR="00B1485D">
        <w:t xml:space="preserve"> lub</w:t>
      </w:r>
      <w:r w:rsidR="00047807">
        <w:t xml:space="preserve"> Trybunał</w:t>
      </w:r>
      <w:r w:rsidRPr="00007556">
        <w:t xml:space="preserve">) stanowi kluczowy organ orzeczniczy w zakresie ochrony praw jednostek na obszarze Rady Europy. Jego rola </w:t>
      </w:r>
      <w:r w:rsidR="00CC25F9">
        <w:br/>
      </w:r>
      <w:r w:rsidRPr="00007556">
        <w:t xml:space="preserve">w kształtowaniu standardów ochrony praw reprodukcyjnych oraz praw związanych </w:t>
      </w:r>
      <w:r w:rsidR="00CC25F9">
        <w:br/>
      </w:r>
      <w:r w:rsidRPr="00007556">
        <w:t>z prokreacją i macierzyństwem jest nieoceniona, zwłaszcza wobec dynamicznie zmieniających się regulacji prawnych w państwach członkowskich. Zagadnienia takie jak aborcja, surogacja, zapłodnienie in vitro oraz poród domowy nie tylko budzą szerokie kontrowersje społeczne i etyczne, ale także stanowią pole napięć między prawami jednostek a kompetencjami państw w kształtowaniu polityki zdrowotnej i rodzinnej.</w:t>
      </w:r>
    </w:p>
    <w:p w14:paraId="4271BACD" w14:textId="53909777" w:rsidR="00007556" w:rsidRPr="00007556" w:rsidRDefault="00007556" w:rsidP="006C0869">
      <w:pPr>
        <w:jc w:val="both"/>
      </w:pPr>
      <w:r w:rsidRPr="00007556">
        <w:t>Europejska Konwencja Praw Człowieka (</w:t>
      </w:r>
      <w:r w:rsidR="00047807">
        <w:t xml:space="preserve">dalej: </w:t>
      </w:r>
      <w:r w:rsidRPr="00007556">
        <w:t>EKPC</w:t>
      </w:r>
      <w:r w:rsidR="00B1485D">
        <w:t xml:space="preserve"> lub</w:t>
      </w:r>
      <w:r w:rsidR="00047807">
        <w:t xml:space="preserve"> Konwencja</w:t>
      </w:r>
      <w:r w:rsidRPr="00007556">
        <w:t>) nie reguluje bezpośrednio kwestii związanych z prawami reprodukcyjnymi, jednak orzecznictwo ETPC wskazuje na kluczowe normy, które państwa zobowiązane są przestrzegać w tych obszarach. Szczególnie istotne znaczenie mają:</w:t>
      </w:r>
    </w:p>
    <w:p w14:paraId="201816D4" w14:textId="2F222794" w:rsidR="00007556" w:rsidRPr="00007556" w:rsidRDefault="00007556" w:rsidP="006C0869">
      <w:pPr>
        <w:numPr>
          <w:ilvl w:val="0"/>
          <w:numId w:val="1"/>
        </w:numPr>
        <w:jc w:val="both"/>
      </w:pPr>
      <w:r w:rsidRPr="00007556">
        <w:rPr>
          <w:b/>
          <w:bCs/>
        </w:rPr>
        <w:t>Artykuł 3 EKPC</w:t>
      </w:r>
      <w:r w:rsidRPr="00007556">
        <w:t xml:space="preserve"> – zakaz nieludzkiego i poniżającego traktowania, stosowany </w:t>
      </w:r>
      <w:r w:rsidR="00CC25F9">
        <w:br/>
      </w:r>
      <w:r w:rsidRPr="00007556">
        <w:t>w przypadkach, gdy brak dostępu do określonych procedur medycznych prowadzi do cierpień fizycznych lub psychicznych;</w:t>
      </w:r>
    </w:p>
    <w:p w14:paraId="57309104" w14:textId="77777777" w:rsidR="00007556" w:rsidRPr="00007556" w:rsidRDefault="00007556" w:rsidP="006C0869">
      <w:pPr>
        <w:numPr>
          <w:ilvl w:val="0"/>
          <w:numId w:val="1"/>
        </w:numPr>
        <w:jc w:val="both"/>
      </w:pPr>
      <w:r w:rsidRPr="00007556">
        <w:rPr>
          <w:b/>
          <w:bCs/>
        </w:rPr>
        <w:t>Artykuł 8 EKPC</w:t>
      </w:r>
      <w:r w:rsidRPr="00007556">
        <w:t xml:space="preserve"> – prawo do poszanowania życia prywatnego i rodzinnego, interpretowane jako podstawa do ochrony autonomii jednostki w zakresie decyzji o macierzyństwie i rodzicielstwie;</w:t>
      </w:r>
    </w:p>
    <w:p w14:paraId="7D3823A9" w14:textId="77777777" w:rsidR="00007556" w:rsidRPr="00007556" w:rsidRDefault="00007556" w:rsidP="006C0869">
      <w:pPr>
        <w:numPr>
          <w:ilvl w:val="0"/>
          <w:numId w:val="1"/>
        </w:numPr>
        <w:jc w:val="both"/>
      </w:pPr>
      <w:r w:rsidRPr="00007556">
        <w:rPr>
          <w:b/>
          <w:bCs/>
        </w:rPr>
        <w:t>Artykuł 14 EKPC</w:t>
      </w:r>
      <w:r w:rsidRPr="00007556">
        <w:t xml:space="preserve"> – zakaz dyskryminacji, mający zastosowanie w przypadkach ograniczania dostępu do procedur medycznych na podstawie płci, stanu cywilnego czy sytuacji ekonomicznej.</w:t>
      </w:r>
    </w:p>
    <w:p w14:paraId="6DBD0919" w14:textId="4C5529EA" w:rsidR="00007556" w:rsidRDefault="00007556" w:rsidP="006C0869">
      <w:pPr>
        <w:pBdr>
          <w:bottom w:val="single" w:sz="6" w:space="1" w:color="auto"/>
        </w:pBdr>
        <w:jc w:val="both"/>
      </w:pPr>
      <w:r w:rsidRPr="00007556">
        <w:t xml:space="preserve">W swojej praktyce orzeczniczej Trybunał wielokrotnie podkreślał, że państwa posiadają szeroki margines uznania w kształtowaniu polityki zdrowotnej i rodzinnej, zwłaszcza </w:t>
      </w:r>
      <w:r w:rsidR="00CC25F9">
        <w:br/>
      </w:r>
      <w:r w:rsidRPr="00007556">
        <w:t>w sprawach budzących istotne kontrowersje moralne i religijne. Niemniej jednak, ETPC wymaga, aby regulacje prawne były przejrzyste, spójne oraz zapewniały jednostkom realną możliwość skorzystania z przysługujących im praw. Brak dostępnych środków prawnych, proceduralnych czy medycznych w zakresie zdrowia reprodukcyjnego może prowadzić do naruszeń Konwencji.</w:t>
      </w:r>
    </w:p>
    <w:p w14:paraId="4D846A3D" w14:textId="77777777" w:rsidR="00E65555" w:rsidRDefault="00E65555" w:rsidP="0094009A">
      <w:pPr>
        <w:jc w:val="center"/>
        <w:rPr>
          <w:b/>
          <w:bCs/>
          <w:color w:val="990033"/>
          <w:sz w:val="28"/>
          <w:szCs w:val="28"/>
          <w:u w:val="single"/>
        </w:rPr>
      </w:pPr>
    </w:p>
    <w:p w14:paraId="6B19D01E" w14:textId="77777777" w:rsidR="00E65555" w:rsidRDefault="00E65555" w:rsidP="0094009A">
      <w:pPr>
        <w:jc w:val="center"/>
        <w:rPr>
          <w:b/>
          <w:bCs/>
          <w:color w:val="990033"/>
          <w:sz w:val="28"/>
          <w:szCs w:val="28"/>
          <w:u w:val="single"/>
        </w:rPr>
      </w:pPr>
    </w:p>
    <w:p w14:paraId="5D653DD9" w14:textId="77777777" w:rsidR="00E65555" w:rsidRDefault="00E65555" w:rsidP="0094009A">
      <w:pPr>
        <w:jc w:val="center"/>
        <w:rPr>
          <w:b/>
          <w:bCs/>
          <w:color w:val="990033"/>
          <w:sz w:val="28"/>
          <w:szCs w:val="28"/>
          <w:u w:val="single"/>
        </w:rPr>
      </w:pPr>
    </w:p>
    <w:p w14:paraId="2BC01B75" w14:textId="585203B6" w:rsidR="00A33E69" w:rsidRPr="00E65555" w:rsidRDefault="00A33E69" w:rsidP="0094009A">
      <w:pPr>
        <w:jc w:val="center"/>
        <w:rPr>
          <w:b/>
          <w:bCs/>
          <w:color w:val="990033"/>
          <w:sz w:val="28"/>
          <w:szCs w:val="28"/>
          <w:u w:val="single"/>
        </w:rPr>
      </w:pPr>
      <w:r w:rsidRPr="00E65555">
        <w:rPr>
          <w:b/>
          <w:bCs/>
          <w:color w:val="990033"/>
          <w:sz w:val="28"/>
          <w:szCs w:val="28"/>
          <w:u w:val="single"/>
        </w:rPr>
        <w:lastRenderedPageBreak/>
        <w:t>Ewolucja stanowiska ETPC w sprawach aborcji, surogacji, in vitro i porodu domowego</w:t>
      </w:r>
    </w:p>
    <w:p w14:paraId="4EF8A22D" w14:textId="77777777" w:rsidR="00E65555" w:rsidRDefault="00E65555" w:rsidP="006C0869">
      <w:pPr>
        <w:jc w:val="both"/>
        <w:rPr>
          <w:b/>
          <w:bCs/>
          <w:u w:val="single"/>
        </w:rPr>
      </w:pPr>
    </w:p>
    <w:p w14:paraId="56885E17" w14:textId="10029AC8" w:rsidR="00FD5FF6" w:rsidRPr="00E65555" w:rsidRDefault="00FD5FF6" w:rsidP="00E65555">
      <w:pPr>
        <w:jc w:val="center"/>
        <w:rPr>
          <w:b/>
          <w:bCs/>
          <w:u w:val="single"/>
        </w:rPr>
      </w:pPr>
      <w:r w:rsidRPr="00E65555">
        <w:rPr>
          <w:b/>
          <w:bCs/>
          <w:u w:val="single"/>
        </w:rPr>
        <w:t>Ewolucja stanowiska ETPC w sprawach aborcji</w:t>
      </w:r>
    </w:p>
    <w:p w14:paraId="488E7A49" w14:textId="77777777" w:rsidR="00FD5FF6" w:rsidRPr="00FD5FF6" w:rsidRDefault="00FD5FF6" w:rsidP="006C0869">
      <w:pPr>
        <w:jc w:val="both"/>
      </w:pPr>
      <w:r w:rsidRPr="00FD5FF6">
        <w:t xml:space="preserve">Europejski Trybunał Praw Człowieka w swoich orzeczeniach wielokrotnie odnosił się do kwestii aborcji, analizując jej dopuszczalność oraz dostępność w kontekście praw człowieka. W sprawie </w:t>
      </w:r>
      <w:r w:rsidRPr="00FD5FF6">
        <w:rPr>
          <w:b/>
          <w:bCs/>
        </w:rPr>
        <w:t>A, B i C przeciwko Irlandii (2010)</w:t>
      </w:r>
      <w:r w:rsidRPr="00FD5FF6">
        <w:t xml:space="preserve"> Trybunał uznał, że choć państwa członkowskie posiadają szeroki margines uznania w regulowaniu dostępu do aborcji, to muszą zapewnić jasne i skuteczne procedury umożliwiające kobietom skorzystanie z tego prawa.</w:t>
      </w:r>
    </w:p>
    <w:p w14:paraId="1CF62BDF" w14:textId="54334A77" w:rsidR="00FD5FF6" w:rsidRPr="00FD5FF6" w:rsidRDefault="00FD5FF6" w:rsidP="006C0869">
      <w:pPr>
        <w:jc w:val="both"/>
      </w:pPr>
      <w:r w:rsidRPr="00FD5FF6">
        <w:t xml:space="preserve">W kontekście Polski istotnym orzeczeniem była sprawa </w:t>
      </w:r>
      <w:r w:rsidRPr="00FD5FF6">
        <w:rPr>
          <w:b/>
          <w:bCs/>
        </w:rPr>
        <w:t>P. i S. przeciwko Polsce (2012)</w:t>
      </w:r>
      <w:r w:rsidRPr="00FD5FF6">
        <w:t xml:space="preserve">, w której Trybunał uznał, że odmowa dostępu do legalnej aborcji, zwłaszcza w przypadkach gwałtu, może prowadzić do naruszenia zakazu nieludzkiego i poniżającego traktowania oraz prawa do poszanowania życia prywatnego. Podobne stanowisko przyjęto w sprawie </w:t>
      </w:r>
      <w:r w:rsidRPr="00FD5FF6">
        <w:rPr>
          <w:b/>
          <w:bCs/>
        </w:rPr>
        <w:t>Tysi</w:t>
      </w:r>
      <w:r w:rsidR="008D2D87">
        <w:rPr>
          <w:b/>
          <w:bCs/>
        </w:rPr>
        <w:t>ą</w:t>
      </w:r>
      <w:r w:rsidRPr="00FD5FF6">
        <w:rPr>
          <w:b/>
          <w:bCs/>
        </w:rPr>
        <w:t>c przeciwko Polsce (2007)</w:t>
      </w:r>
      <w:r w:rsidRPr="00FD5FF6">
        <w:t>, gdzie wskazano na brak efektywnych mechanizmów umożliwiających kobietom realizację prawa do aborcji w sytuacji zagrożenia zdrowia, co skutkowało naruszeniem artykułu 8 EKPC.</w:t>
      </w:r>
    </w:p>
    <w:p w14:paraId="2AFDCC53" w14:textId="60DAA934" w:rsidR="00FD5FF6" w:rsidRPr="00FD5FF6" w:rsidRDefault="00FD5FF6" w:rsidP="006C0869">
      <w:pPr>
        <w:jc w:val="both"/>
      </w:pPr>
      <w:r w:rsidRPr="00FD5FF6">
        <w:t xml:space="preserve">Kwestia badań prenatalnych i ich wpływu na decyzje reprodukcyjne pojawiła się w sprawie </w:t>
      </w:r>
      <w:r w:rsidRPr="00FD5FF6">
        <w:rPr>
          <w:b/>
          <w:bCs/>
        </w:rPr>
        <w:t>R.R. przeciwko Polsce (2011)</w:t>
      </w:r>
      <w:r w:rsidRPr="00FD5FF6">
        <w:t xml:space="preserve">, w której Trybunał uznał, że brak dostępu do badań mogących wpłynąć na decyzję o legalnej aborcji stanowi naruszenie praw </w:t>
      </w:r>
      <w:r w:rsidR="00CC25F9">
        <w:t>człowieka</w:t>
      </w:r>
      <w:r w:rsidRPr="00FD5FF6">
        <w:t xml:space="preserve">. Z kolei w sprawie </w:t>
      </w:r>
      <w:r w:rsidRPr="00FD5FF6">
        <w:rPr>
          <w:b/>
          <w:bCs/>
        </w:rPr>
        <w:t>D. przeciwko Irlandii (2006)</w:t>
      </w:r>
      <w:r w:rsidRPr="00FD5FF6">
        <w:t xml:space="preserve"> podkreślono konieczność zapewnienia kobietom informacji o stanie zdrowia płodu, ponieważ może to być kluczowe w podejmowaniu decyzji o kontynuacji lub przerwaniu ciąży.</w:t>
      </w:r>
    </w:p>
    <w:p w14:paraId="65945C79" w14:textId="7050887D" w:rsidR="00FD5FF6" w:rsidRPr="00FD5FF6" w:rsidRDefault="00FD5FF6" w:rsidP="006C0869">
      <w:pPr>
        <w:jc w:val="both"/>
      </w:pPr>
      <w:r w:rsidRPr="00FD5FF6">
        <w:t xml:space="preserve">Kolejnym istotnym przypadkiem była sprawa </w:t>
      </w:r>
      <w:r w:rsidRPr="00FD5FF6">
        <w:rPr>
          <w:b/>
          <w:bCs/>
        </w:rPr>
        <w:t xml:space="preserve">Z </w:t>
      </w:r>
      <w:r w:rsidR="00CC25F9">
        <w:rPr>
          <w:b/>
          <w:bCs/>
        </w:rPr>
        <w:t>przeciwko Polsce</w:t>
      </w:r>
      <w:r w:rsidRPr="00FD5FF6">
        <w:rPr>
          <w:b/>
          <w:bCs/>
        </w:rPr>
        <w:t xml:space="preserve"> (2008)</w:t>
      </w:r>
      <w:r w:rsidRPr="00FD5FF6">
        <w:t xml:space="preserve">, w której ETPC wskazał, że brak dostępu do aborcji w sytuacji zagrożenia zdrowia może naruszać prawa </w:t>
      </w:r>
      <w:r w:rsidR="00CC25F9">
        <w:t>człowieka</w:t>
      </w:r>
      <w:r w:rsidRPr="00FD5FF6">
        <w:t xml:space="preserve"> wynikające z Konwencji. Natomiast orzeczenie Komitetu Praw Człowieka ONZ w sprawie </w:t>
      </w:r>
      <w:hyperlink r:id="rId6" w:history="1">
        <w:r w:rsidRPr="001340B1">
          <w:rPr>
            <w:rStyle w:val="Hipercze"/>
            <w:b/>
            <w:bCs/>
          </w:rPr>
          <w:t>K.L. przeciwko Peru (2005)</w:t>
        </w:r>
      </w:hyperlink>
      <w:r w:rsidRPr="00FD5FF6">
        <w:t xml:space="preserve"> wpłynęło na linię orzeczniczą ETPC, wskazując, że odmowa aborcji w przypadku wad letalnych płodu może być traktowana jako naruszenie praw człowieka.</w:t>
      </w:r>
    </w:p>
    <w:p w14:paraId="07AC8360" w14:textId="77777777" w:rsidR="00FD5FF6" w:rsidRPr="00FD5FF6" w:rsidRDefault="00FD5FF6" w:rsidP="006C0869">
      <w:pPr>
        <w:pBdr>
          <w:bottom w:val="single" w:sz="6" w:space="1" w:color="auto"/>
        </w:pBdr>
        <w:jc w:val="both"/>
      </w:pPr>
      <w:r w:rsidRPr="00FD5FF6">
        <w:t>Orzecznictwo ETPC ukazuje stopniowe rozszerzanie ochrony prawnej kobiet w zakresie dostępu do aborcji. Trybunał konsekwentnie wskazuje, że ograniczenia w tym obszarze nie mogą prowadzić do naruszenia podstawowych praw człowieka, takich jak godność, autonomia decyzyjna i dostęp do opieki zdrowotnej. Jego orzeczenia podkreślają konieczność istnienia spójnych i efektywnych mechanizmów prawnych, które umożliwią kobietom realizację ich praw reprodukcyjnych.</w:t>
      </w:r>
    </w:p>
    <w:p w14:paraId="6194A516" w14:textId="77777777" w:rsidR="00E65555" w:rsidRDefault="00E65555" w:rsidP="006C0869">
      <w:pPr>
        <w:jc w:val="both"/>
        <w:rPr>
          <w:b/>
          <w:bCs/>
          <w:u w:val="single"/>
        </w:rPr>
      </w:pPr>
    </w:p>
    <w:p w14:paraId="34CB89EB" w14:textId="700D53BA" w:rsidR="006A2F98" w:rsidRPr="00E65555" w:rsidRDefault="006A2F98" w:rsidP="00E65555">
      <w:pPr>
        <w:jc w:val="center"/>
        <w:rPr>
          <w:b/>
          <w:bCs/>
          <w:u w:val="single"/>
        </w:rPr>
      </w:pPr>
      <w:r w:rsidRPr="00E65555">
        <w:rPr>
          <w:b/>
          <w:bCs/>
          <w:u w:val="single"/>
        </w:rPr>
        <w:lastRenderedPageBreak/>
        <w:t>Ewolucja stanowiska ETPC w sprawach in vitro</w:t>
      </w:r>
      <w:r w:rsidR="00CC25F9">
        <w:rPr>
          <w:b/>
          <w:bCs/>
          <w:u w:val="single"/>
        </w:rPr>
        <w:t xml:space="preserve"> (IV F)</w:t>
      </w:r>
    </w:p>
    <w:p w14:paraId="7F76CAD1" w14:textId="5C912868" w:rsidR="006A2F98" w:rsidRPr="006A2F98" w:rsidRDefault="006A2F98" w:rsidP="006C0869">
      <w:pPr>
        <w:jc w:val="both"/>
      </w:pPr>
      <w:r w:rsidRPr="006A2F98">
        <w:t xml:space="preserve">Kwestia dostępu do zapłodnienia in vitro stała się przedmiotem rozważań Europejskiego Trybunału Praw Człowieka w kontekście prawa do poszanowania życia prywatnego i rodzinnego (art. 8 EKPC). Pierwszym ważnym wyrokiem w tej dziedzinie była sprawa </w:t>
      </w:r>
      <w:r w:rsidRPr="006A2F98">
        <w:rPr>
          <w:b/>
          <w:bCs/>
        </w:rPr>
        <w:t>Evans przeciwko Zjednoczonemu Królestwu (2007)</w:t>
      </w:r>
      <w:r w:rsidRPr="006A2F98">
        <w:t>, w której kobieta ubiegała się o prawo do wykorzystania zamrożonych zarodków po tym, jak jej partner, z którym je stworzyła, wycofał zgodę na ich implantację. Trybunał orzekł, że prawo jednostki do decydowania o macierzyństwie nie może naruszać prawa drugiej osoby do wycofania zgody, podkreślając konieczność równowagi pomiędzy autonomią obojga partnerów.</w:t>
      </w:r>
    </w:p>
    <w:p w14:paraId="0B4FBAF3" w14:textId="77777777" w:rsidR="006A2F98" w:rsidRPr="006A2F98" w:rsidRDefault="006A2F98" w:rsidP="006C0869">
      <w:pPr>
        <w:jc w:val="both"/>
      </w:pPr>
      <w:r w:rsidRPr="006A2F98">
        <w:t xml:space="preserve">W sprawie </w:t>
      </w:r>
      <w:r w:rsidRPr="006A2F98">
        <w:rPr>
          <w:b/>
          <w:bCs/>
        </w:rPr>
        <w:t>S.H. i inni przeciwko Austrii (2011)</w:t>
      </w:r>
      <w:r w:rsidRPr="006A2F98">
        <w:t xml:space="preserve"> Trybunał analizował zgodność zakazu stosowania gamet dawców w procedurze in vitro z art. 8 EKPC. Ostatecznie stwierdzono, że państwa posiadają szeroki margines uznania w tej kwestii, jednak z biegiem lat dostrzega się trend zmierzający do rozszerzenia dostępności technik wspomaganego rozrodu.</w:t>
      </w:r>
    </w:p>
    <w:p w14:paraId="0CC3BC0B" w14:textId="77777777" w:rsidR="006A2F98" w:rsidRPr="006A2F98" w:rsidRDefault="006A2F98" w:rsidP="006C0869">
      <w:pPr>
        <w:jc w:val="both"/>
      </w:pPr>
      <w:r w:rsidRPr="006A2F98">
        <w:t xml:space="preserve">Podobnie w sprawie </w:t>
      </w:r>
      <w:r w:rsidRPr="006A2F98">
        <w:rPr>
          <w:b/>
          <w:bCs/>
        </w:rPr>
        <w:t>Parrillo przeciwko Włochom (2015)</w:t>
      </w:r>
      <w:r w:rsidRPr="006A2F98">
        <w:t xml:space="preserve"> Trybunał zajął się prawem kobiety do decydowania o losie zarodków, które zostały stworzone w ramach procedury IVF, lecz nie zostały wykorzystane. W tym przypadku Trybunał uznał, że prawo włoskie ograniczające możliwość ich przekazania do badań naukowych nie narusza Konwencji, wskazując na szeroki margines uznania państw w tej materii.</w:t>
      </w:r>
    </w:p>
    <w:p w14:paraId="4C11BB93" w14:textId="77777777" w:rsidR="006A2F98" w:rsidRPr="006A2F98" w:rsidRDefault="006A2F98" w:rsidP="006C0869">
      <w:pPr>
        <w:jc w:val="both"/>
      </w:pPr>
      <w:r w:rsidRPr="006A2F98">
        <w:t xml:space="preserve">W sprawie </w:t>
      </w:r>
      <w:r w:rsidRPr="006A2F98">
        <w:rPr>
          <w:b/>
          <w:bCs/>
        </w:rPr>
        <w:t>Knecht przeciwko Czechom (2011)</w:t>
      </w:r>
      <w:r w:rsidRPr="006A2F98">
        <w:t xml:space="preserve"> rozważano przypadek ograniczeń administracyjnych dotyczących przechowywania zarodków, co skutkowało brakiem możliwości ich wykorzystania. Trybunał uznał, że biurokratyczne bariery nie mogą prowadzić do faktycznej niemożności skorzystania z procedury IVF, co może stanowić naruszenie art. 8 EKPC.</w:t>
      </w:r>
    </w:p>
    <w:p w14:paraId="5F55DE7A" w14:textId="77777777" w:rsidR="006A2F98" w:rsidRPr="006A2F98" w:rsidRDefault="006A2F98" w:rsidP="006C0869">
      <w:pPr>
        <w:pBdr>
          <w:bottom w:val="single" w:sz="6" w:space="1" w:color="auto"/>
        </w:pBdr>
        <w:jc w:val="both"/>
      </w:pPr>
      <w:r w:rsidRPr="006A2F98">
        <w:t>Orzecznictwo ETPC pokazuje, że chociaż państwa posiadają pewien margines uznania w regulowaniu dostępu do in vitro, to ograniczenia nie mogą być arbitralne i powinny uwzględniać prawo jednostek do decydowania o swoim rodzicielstwie. Stopniowo widoczny jest rozwój w kierunku zapewnienia równego dostępu do tych procedur, zwłaszcza w kontekście ochrony praw kobiet i par pragnących skorzystać z technik wspomaganego rozrodu.</w:t>
      </w:r>
    </w:p>
    <w:p w14:paraId="220A28B1" w14:textId="77777777" w:rsidR="00E65555" w:rsidRDefault="00E65555" w:rsidP="00E65555">
      <w:pPr>
        <w:jc w:val="center"/>
        <w:rPr>
          <w:b/>
          <w:bCs/>
          <w:u w:val="single"/>
        </w:rPr>
      </w:pPr>
    </w:p>
    <w:p w14:paraId="29298448" w14:textId="16ED20A5" w:rsidR="006A2F98" w:rsidRPr="00E65555" w:rsidRDefault="006A2F98" w:rsidP="00E65555">
      <w:pPr>
        <w:jc w:val="center"/>
        <w:rPr>
          <w:b/>
          <w:bCs/>
          <w:u w:val="single"/>
        </w:rPr>
      </w:pPr>
      <w:r w:rsidRPr="00E65555">
        <w:rPr>
          <w:b/>
          <w:bCs/>
          <w:u w:val="single"/>
        </w:rPr>
        <w:t>Ewolucja stanowiska ETPC w sprawach surogacji</w:t>
      </w:r>
    </w:p>
    <w:p w14:paraId="38C484F7" w14:textId="5D2A095C" w:rsidR="006A2F98" w:rsidRPr="006A2F98" w:rsidRDefault="006A2F98" w:rsidP="006C0869">
      <w:pPr>
        <w:jc w:val="both"/>
      </w:pPr>
      <w:r w:rsidRPr="006A2F98">
        <w:t xml:space="preserve">Surogacja jest zagadnieniem budzącym znaczne kontrowersje na poziomie międzynarodowym, a jej status prawny różni się w zależności od kraju. </w:t>
      </w:r>
      <w:r w:rsidR="00BE7604">
        <w:t>ETPC</w:t>
      </w:r>
      <w:r w:rsidRPr="006A2F98">
        <w:t xml:space="preserve"> wielokrotnie podejmował sprawy dotyczące konsekwencji prawnych wynikających z surogacji, zwłaszcza w kontekście praw dzieci urodzonych w ten sposób.</w:t>
      </w:r>
    </w:p>
    <w:p w14:paraId="662DC428" w14:textId="77777777" w:rsidR="006A2F98" w:rsidRPr="006A2F98" w:rsidRDefault="006A2F98" w:rsidP="006C0869">
      <w:pPr>
        <w:jc w:val="both"/>
      </w:pPr>
      <w:r w:rsidRPr="006A2F98">
        <w:lastRenderedPageBreak/>
        <w:t xml:space="preserve">Jednym z pierwszych ważnych orzeczeń były sprawy </w:t>
      </w:r>
      <w:r w:rsidRPr="006A2F98">
        <w:rPr>
          <w:b/>
          <w:bCs/>
        </w:rPr>
        <w:t>Mennesson przeciwko Francji (2014)</w:t>
      </w:r>
      <w:r w:rsidRPr="006A2F98">
        <w:t xml:space="preserve"> oraz </w:t>
      </w:r>
      <w:r w:rsidRPr="006A2F98">
        <w:rPr>
          <w:b/>
          <w:bCs/>
        </w:rPr>
        <w:t>Labassee przeciwko Francji (2014)</w:t>
      </w:r>
      <w:r w:rsidRPr="006A2F98">
        <w:t>, które dotyczyły francuskich par korzystających z surogacji w USA. Francja odmówiła uznania dzieci jako ich obywateli, co skutkowało problemami prawnymi związanymi z ich statusem. ETPC uznał, że taka odmowa narusza prawo dziecka do tożsamości i życia rodzinnego (art. 8 EKPC).</w:t>
      </w:r>
    </w:p>
    <w:p w14:paraId="04CB16DD" w14:textId="77777777" w:rsidR="006A2F98" w:rsidRPr="006A2F98" w:rsidRDefault="006A2F98" w:rsidP="006C0869">
      <w:pPr>
        <w:jc w:val="both"/>
      </w:pPr>
      <w:r w:rsidRPr="006A2F98">
        <w:t xml:space="preserve">W sprawie </w:t>
      </w:r>
      <w:r w:rsidRPr="006A2F98">
        <w:rPr>
          <w:b/>
          <w:bCs/>
        </w:rPr>
        <w:t>Paradiso i Campanelli przeciwko Włochom (2017)</w:t>
      </w:r>
      <w:r w:rsidRPr="006A2F98">
        <w:t xml:space="preserve"> Trybunał odnosił się do sytuacji, w której para włoska skorzystała z surogacji w Rosji, jednak włoskie władze odmówiły uznania dziecka jako ich potomka, a następnie odebrały je rodzicom, umieszczając w pieczy zastępczej. Trybunał orzekł, że decyzja włoskich sądów mieściła się w ramach marginesu uznania państwa, ale podkreślił potrzebę ochrony dobra dziecka.</w:t>
      </w:r>
    </w:p>
    <w:p w14:paraId="7E38D813" w14:textId="77777777" w:rsidR="006A2F98" w:rsidRPr="006A2F98" w:rsidRDefault="006A2F98" w:rsidP="006C0869">
      <w:pPr>
        <w:jc w:val="both"/>
      </w:pPr>
      <w:r w:rsidRPr="006A2F98">
        <w:t xml:space="preserve">W sprawie </w:t>
      </w:r>
      <w:r w:rsidRPr="006A2F98">
        <w:rPr>
          <w:b/>
          <w:bCs/>
        </w:rPr>
        <w:t>Foulon i Bouvet przeciwko Francji (2016)</w:t>
      </w:r>
      <w:r w:rsidRPr="006A2F98">
        <w:t xml:space="preserve"> ETPC podkreślił, że dziecko urodzone w wyniku surogacji nie może być pozbawione swojej tożsamości prawnej, nawet jeśli państwo sprzeciwia się samej procedurze surogacyjnej. Konsekwentnie Trybunał stopniowo rozszerzał ochronę praw dzieci, zmuszając kraje do akceptowania skutków prawnych surogacji.</w:t>
      </w:r>
    </w:p>
    <w:p w14:paraId="65C64F28" w14:textId="77777777" w:rsidR="006A2F98" w:rsidRPr="006A2F98" w:rsidRDefault="006A2F98" w:rsidP="006C0869">
      <w:pPr>
        <w:jc w:val="both"/>
      </w:pPr>
      <w:r w:rsidRPr="006A2F98">
        <w:t xml:space="preserve">Najnowsze orzeczenia, takie jak </w:t>
      </w:r>
      <w:r w:rsidRPr="006A2F98">
        <w:rPr>
          <w:b/>
          <w:bCs/>
        </w:rPr>
        <w:t>C. przeciwko Francji (2020)</w:t>
      </w:r>
      <w:r w:rsidRPr="006A2F98">
        <w:t>, pokazują dalszą ewolucję stanowiska ETPC, gdzie podkreślono, że w sytuacjach, gdy dziecko urodzone w wyniku surogacji funkcjonuje już w rodzinie, państwo powinno zapewnić mu stabilność prawną i obywatelską. Działania uniemożliwiające formalne uznanie relacji dziecka z rodzicami mogą być uznane za naruszenie art. 8 EKPC.</w:t>
      </w:r>
    </w:p>
    <w:p w14:paraId="03D78DEC" w14:textId="77777777" w:rsidR="006A2F98" w:rsidRDefault="006A2F98" w:rsidP="006C0869">
      <w:pPr>
        <w:pBdr>
          <w:bottom w:val="single" w:sz="6" w:space="1" w:color="auto"/>
        </w:pBdr>
        <w:jc w:val="both"/>
      </w:pPr>
      <w:r w:rsidRPr="006A2F98">
        <w:t>Orzecznictwo ETPC zmierza w kierunku ochrony dobra dziecka, nawet w państwach, które sprzeciwiają się legalizacji surogacji. Podkreślane jest prawo do tożsamości i stabilności prawnej, niezależnie od metody poczęcia. W związku z tym można spodziewać się dalszego rozwoju praktyki orzeczniczej, stopniowo ograniczającego restrykcje wobec dzieci urodzonych w wyniku surogacji.</w:t>
      </w:r>
    </w:p>
    <w:p w14:paraId="546DE4BE" w14:textId="77777777" w:rsidR="00E65555" w:rsidRDefault="00E65555" w:rsidP="00E65555">
      <w:pPr>
        <w:jc w:val="center"/>
        <w:rPr>
          <w:b/>
          <w:bCs/>
          <w:u w:val="single"/>
        </w:rPr>
      </w:pPr>
    </w:p>
    <w:p w14:paraId="15923002" w14:textId="3C925259" w:rsidR="000D4945" w:rsidRPr="00E65555" w:rsidRDefault="000D4945" w:rsidP="00E65555">
      <w:pPr>
        <w:jc w:val="center"/>
        <w:rPr>
          <w:b/>
          <w:bCs/>
          <w:u w:val="single"/>
        </w:rPr>
      </w:pPr>
      <w:r w:rsidRPr="00E65555">
        <w:rPr>
          <w:b/>
          <w:bCs/>
          <w:u w:val="single"/>
        </w:rPr>
        <w:t>Ewolucja stanowiska ETPC w sprawach porodu domowego</w:t>
      </w:r>
    </w:p>
    <w:p w14:paraId="24487872" w14:textId="77777777" w:rsidR="000D4945" w:rsidRPr="000D4945" w:rsidRDefault="000D4945" w:rsidP="006C0869">
      <w:pPr>
        <w:jc w:val="both"/>
      </w:pPr>
      <w:r w:rsidRPr="000D4945">
        <w:t>Kwestia porodu domowego stanowi istotny element debaty nad prawami reprodukcyjnymi, łącząc aspekty autonomii kobiet, prawa do prywatności i dostępu do bezpiecznej opieki medycznej. Europejski Trybunał Praw Człowieka wielokrotnie rozważał sprawy dotyczące regulacji i ograniczeń w zakresie porodów poza szpitalem, zwłaszcza w kontekście ingerencji państwa w decyzje kobiet.</w:t>
      </w:r>
    </w:p>
    <w:p w14:paraId="0B417E57" w14:textId="77777777" w:rsidR="000D4945" w:rsidRPr="000D4945" w:rsidRDefault="000D4945" w:rsidP="006C0869">
      <w:pPr>
        <w:jc w:val="both"/>
      </w:pPr>
      <w:r w:rsidRPr="000D4945">
        <w:t xml:space="preserve">Jednym z kluczowych orzeczeń była sprawa </w:t>
      </w:r>
      <w:r w:rsidRPr="000D4945">
        <w:rPr>
          <w:b/>
          <w:bCs/>
        </w:rPr>
        <w:t>Ternovszky przeciwko Węgrom (2010)</w:t>
      </w:r>
      <w:r w:rsidRPr="000D4945">
        <w:t xml:space="preserve">, w której ETPC stwierdził, że prawo do porodu domowego mieści się w zakresie ochrony gwarantowanej przez artykuł 8 EKPC (prawo do poszanowania życia prywatnego i rodzinnego). Trybunał uznał, że brak przejrzystych regulacji prawnych dotyczących </w:t>
      </w:r>
      <w:r w:rsidRPr="000D4945">
        <w:lastRenderedPageBreak/>
        <w:t>wsparcia dla porodów domowych może prowadzić do naruszenia praw kobiet do autonomii decyzyjnej w zakresie opieki medycznej.</w:t>
      </w:r>
    </w:p>
    <w:p w14:paraId="6A9889AC" w14:textId="77777777" w:rsidR="000D4945" w:rsidRPr="000D4945" w:rsidRDefault="000D4945" w:rsidP="006C0869">
      <w:pPr>
        <w:jc w:val="both"/>
      </w:pPr>
      <w:r w:rsidRPr="000D4945">
        <w:t xml:space="preserve">W sprawie </w:t>
      </w:r>
      <w:bookmarkStart w:id="0" w:name="_Hlk194669793"/>
      <w:r w:rsidRPr="000D4945">
        <w:rPr>
          <w:b/>
          <w:bCs/>
        </w:rPr>
        <w:t>Dubská i Krejzová przeciwko Czechom (2016)</w:t>
      </w:r>
      <w:r w:rsidRPr="000D4945">
        <w:t xml:space="preserve"> </w:t>
      </w:r>
      <w:bookmarkEnd w:id="0"/>
      <w:r w:rsidRPr="000D4945">
        <w:t>Trybunał analizował restrykcyjne przepisy zakazujące asystowania przy porodach domowych przez wykwalifikowany personel medyczny. Choć ETPC początkowo stwierdził, że Czechy mieściły się w granicach swojego marginesu uznania, to jednak podkreślił, że zbyt surowe ograniczenia mogą prowadzić do sytuacji, w której kobiety pozostają bez bezpiecznej alternatywy dla porodu szpitalnego.</w:t>
      </w:r>
    </w:p>
    <w:p w14:paraId="78E682EB" w14:textId="77777777" w:rsidR="000D4945" w:rsidRPr="000D4945" w:rsidRDefault="000D4945" w:rsidP="006C0869">
      <w:pPr>
        <w:jc w:val="both"/>
      </w:pPr>
      <w:r w:rsidRPr="000D4945">
        <w:t xml:space="preserve">W sprawie </w:t>
      </w:r>
      <w:bookmarkStart w:id="1" w:name="_Hlk195086066"/>
      <w:r w:rsidRPr="000D4945">
        <w:rPr>
          <w:b/>
          <w:bCs/>
        </w:rPr>
        <w:t>Pojatina przeciwko Chorwacji (2020</w:t>
      </w:r>
      <w:bookmarkEnd w:id="1"/>
      <w:r w:rsidRPr="000D4945">
        <w:rPr>
          <w:b/>
          <w:bCs/>
        </w:rPr>
        <w:t>)</w:t>
      </w:r>
      <w:r w:rsidRPr="000D4945">
        <w:t xml:space="preserve"> Trybunał zajął się kwestią dostępności położnych do opieki nad kobietami rodzącymi w domu. Orzekł, że ograniczanie dostępu do wykwalifikowanych położnych może być uznane za naruszenie prawa do ochrony życia rodzinnego oraz prawa do zdrowia reprodukcyjnego.</w:t>
      </w:r>
    </w:p>
    <w:p w14:paraId="3E395FBE" w14:textId="77777777" w:rsidR="000D4945" w:rsidRPr="000D4945" w:rsidRDefault="000D4945" w:rsidP="006C0869">
      <w:pPr>
        <w:jc w:val="both"/>
      </w:pPr>
      <w:r w:rsidRPr="000D4945">
        <w:t>Trybunał wielokrotnie podkreślał, że kobiety mają prawo do podejmowania decyzji dotyczących sposobu i miejsca porodu, ale jednocześnie państwa mogą wprowadzać regulacje zapewniające bezpieczeństwo matki i dziecka. Tendencja orzecznicza wskazuje jednak na wzrastające uznanie dla prawa do wyboru porodu domowego przy zapewnieniu odpowiedniej opieki medycznej.</w:t>
      </w:r>
    </w:p>
    <w:p w14:paraId="3A1AC4EE" w14:textId="77777777" w:rsidR="000D4945" w:rsidRPr="000D4945" w:rsidRDefault="000D4945" w:rsidP="006C0869">
      <w:pPr>
        <w:pBdr>
          <w:bottom w:val="single" w:sz="6" w:space="1" w:color="auto"/>
        </w:pBdr>
        <w:jc w:val="both"/>
      </w:pPr>
      <w:r w:rsidRPr="000D4945">
        <w:t>Podsumowując, ewolucja orzecznictwa ETPC w sprawach porodów domowych zmierza w kierunku lepszego wyważenia autonomii kobiet oraz interesu państwa w zakresie ochrony zdrowia publicznego. Kolejne orzeczenia mogą prowadzić do wzrostu akceptacji i uregulowania porodu domowego w wielu państwach Europy.</w:t>
      </w:r>
    </w:p>
    <w:p w14:paraId="58EC4FF7" w14:textId="77777777" w:rsidR="00E65555" w:rsidRDefault="00E65555" w:rsidP="0094009A">
      <w:pPr>
        <w:jc w:val="center"/>
        <w:rPr>
          <w:b/>
          <w:bCs/>
          <w:color w:val="990033"/>
          <w:sz w:val="28"/>
          <w:szCs w:val="28"/>
          <w:u w:val="single"/>
        </w:rPr>
      </w:pPr>
    </w:p>
    <w:p w14:paraId="0D994794" w14:textId="01B0063F" w:rsidR="0008486C" w:rsidRPr="00E65555" w:rsidRDefault="0008486C" w:rsidP="0094009A">
      <w:pPr>
        <w:jc w:val="center"/>
        <w:rPr>
          <w:b/>
          <w:bCs/>
          <w:color w:val="990033"/>
          <w:sz w:val="28"/>
          <w:szCs w:val="28"/>
          <w:u w:val="single"/>
        </w:rPr>
      </w:pPr>
      <w:r w:rsidRPr="00E65555">
        <w:rPr>
          <w:b/>
          <w:bCs/>
          <w:color w:val="990033"/>
          <w:sz w:val="28"/>
          <w:szCs w:val="28"/>
          <w:u w:val="single"/>
        </w:rPr>
        <w:t>Wpływ wyroków ETPC na prawo krajowe</w:t>
      </w:r>
    </w:p>
    <w:p w14:paraId="4C5BB947" w14:textId="77777777" w:rsidR="0008486C" w:rsidRPr="0008486C" w:rsidRDefault="0008486C" w:rsidP="006C0869">
      <w:pPr>
        <w:jc w:val="both"/>
      </w:pPr>
      <w:r w:rsidRPr="0008486C">
        <w:t>Orzecznictwo Europejskiego Trybunału Praw Człowieka ma istotny wpływ na kształtowanie polityki prawnej państw członkowskich Rady Europy. Choć ETPC nie ma kompetencji do narzucania państwom konkretnych rozwiązań legislacyjnych, jego wyroki stanowią istotne wytyczne, które państwa są zobowiązane wdrażać, aby uniknąć naruszenia Europejskiej Konwencji Praw Człowieka.</w:t>
      </w:r>
    </w:p>
    <w:p w14:paraId="1BC5BB66" w14:textId="77777777" w:rsidR="00E65555" w:rsidRDefault="00E65555" w:rsidP="006C0869">
      <w:pPr>
        <w:jc w:val="both"/>
        <w:rPr>
          <w:b/>
          <w:bCs/>
          <w:u w:val="single"/>
        </w:rPr>
      </w:pPr>
    </w:p>
    <w:p w14:paraId="75DFC1B1" w14:textId="7CC48F98" w:rsidR="0008486C" w:rsidRPr="0094009A" w:rsidRDefault="0008486C" w:rsidP="00E65555">
      <w:pPr>
        <w:jc w:val="center"/>
        <w:rPr>
          <w:b/>
          <w:bCs/>
          <w:u w:val="single"/>
        </w:rPr>
      </w:pPr>
      <w:r w:rsidRPr="0094009A">
        <w:rPr>
          <w:b/>
          <w:bCs/>
          <w:u w:val="single"/>
        </w:rPr>
        <w:t>Wpływ na prawo dotyczące aborcji</w:t>
      </w:r>
    </w:p>
    <w:p w14:paraId="24168888" w14:textId="77777777" w:rsidR="0008486C" w:rsidRPr="0008486C" w:rsidRDefault="0008486C" w:rsidP="006C0869">
      <w:pPr>
        <w:jc w:val="both"/>
      </w:pPr>
      <w:r w:rsidRPr="0008486C">
        <w:t xml:space="preserve">Orzeczenia ETPC skłoniły wiele państw do liberalizacji przepisów dotyczących dostępu do aborcji, zwłaszcza w przypadkach, gdy kobiety były narażone na nieludzkie i poniżające traktowanie (np. sprawa R.R. przeciwko Polsce). W niektórych jurysdykcjach Trybunał wymusił dostosowanie systemu prawnego, zapewniając skuteczne procedury odwoławcze oraz lepszy dostęp do informacji o prawach reprodukcyjnych. Dodatkowo, wyroki Trybunału podkreślały znaczenie zagwarantowania dostępu do legalnej aborcji </w:t>
      </w:r>
      <w:r w:rsidRPr="0008486C">
        <w:lastRenderedPageBreak/>
        <w:t>oraz konieczność uwzględnienia zdrowia psychicznego i fizycznego kobiet w procesie decyzyjnym.</w:t>
      </w:r>
    </w:p>
    <w:p w14:paraId="6ADD083F" w14:textId="77777777" w:rsidR="00E65555" w:rsidRDefault="00E65555" w:rsidP="006C0869">
      <w:pPr>
        <w:jc w:val="both"/>
        <w:rPr>
          <w:b/>
          <w:bCs/>
          <w:u w:val="single"/>
        </w:rPr>
      </w:pPr>
    </w:p>
    <w:p w14:paraId="0F808C2C" w14:textId="0BB2F13A" w:rsidR="0008486C" w:rsidRPr="0094009A" w:rsidRDefault="0008486C" w:rsidP="00E65555">
      <w:pPr>
        <w:jc w:val="center"/>
        <w:rPr>
          <w:b/>
          <w:bCs/>
          <w:u w:val="single"/>
        </w:rPr>
      </w:pPr>
      <w:r w:rsidRPr="0094009A">
        <w:rPr>
          <w:b/>
          <w:bCs/>
          <w:u w:val="single"/>
        </w:rPr>
        <w:t>Wpływ na regulacje dotyczące in vitro</w:t>
      </w:r>
    </w:p>
    <w:p w14:paraId="518E2164" w14:textId="77777777" w:rsidR="0008486C" w:rsidRPr="0008486C" w:rsidRDefault="0008486C" w:rsidP="006C0869">
      <w:pPr>
        <w:jc w:val="both"/>
      </w:pPr>
      <w:r w:rsidRPr="0008486C">
        <w:t>Wyroki ETPC miały szczególne znaczenie w krajach, w których procedury zapłodnienia in vitro były ograniczone lub zabronione. W takich sprawach jak S.H. i inni przeciwko Austrii podkreślono konieczność unikania nadmiernych restrykcji oraz zapewnienia dostępu do nowoczesnych metod leczenia niepłodności. Wpływ orzecznictwa przejawiał się także w konieczności usunięcia barier prawnych uniemożliwiających parom korzystanie z in vitro, a także wprowadzenia bardziej przejrzystych procedur regulujących wykorzystanie zarodków.</w:t>
      </w:r>
    </w:p>
    <w:p w14:paraId="54A3D603" w14:textId="77777777" w:rsidR="0008486C" w:rsidRPr="0094009A" w:rsidRDefault="0008486C" w:rsidP="00E65555">
      <w:pPr>
        <w:jc w:val="center"/>
        <w:rPr>
          <w:b/>
          <w:bCs/>
          <w:u w:val="single"/>
        </w:rPr>
      </w:pPr>
      <w:r w:rsidRPr="0094009A">
        <w:rPr>
          <w:b/>
          <w:bCs/>
          <w:u w:val="single"/>
        </w:rPr>
        <w:t>Wpływ na prawo dotyczące surogacji</w:t>
      </w:r>
    </w:p>
    <w:p w14:paraId="2C562561" w14:textId="77777777" w:rsidR="0008486C" w:rsidRPr="0008486C" w:rsidRDefault="0008486C" w:rsidP="006C0869">
      <w:pPr>
        <w:jc w:val="both"/>
      </w:pPr>
      <w:r w:rsidRPr="0008486C">
        <w:t>Surogacja pozostaje kwestią wysoce kontrowersyjną, jednak ETPC w swoich orzeczeniach, np. Mennesson przeciwko Francji, zmusił niektóre kraje do uznawania praw dzieci urodzonych za granicą w wyniku surogacji. Nie oznacza to jednak konieczności legalizacji tej praktyki w całości, lecz zapewnienia praw dziecka do tożsamości i obywatelstwa. Wpływ orzecznictwa objawia się także w konieczności dostosowania procedur rejestracyjnych oraz regulacji prawnych dotyczących rodzicielstwa prawnego, by uniknąć sytuacji prawnego zawieszenia dzieci urodzonych poprzez surogację.</w:t>
      </w:r>
    </w:p>
    <w:p w14:paraId="1FB6FBF4" w14:textId="77777777" w:rsidR="00442C90" w:rsidRDefault="00442C90" w:rsidP="00E65555">
      <w:pPr>
        <w:jc w:val="center"/>
        <w:rPr>
          <w:b/>
          <w:bCs/>
          <w:u w:val="single"/>
        </w:rPr>
      </w:pPr>
    </w:p>
    <w:p w14:paraId="7FE4D07A" w14:textId="61875439" w:rsidR="0008486C" w:rsidRPr="0094009A" w:rsidRDefault="0008486C" w:rsidP="00E65555">
      <w:pPr>
        <w:jc w:val="center"/>
        <w:rPr>
          <w:b/>
          <w:bCs/>
          <w:u w:val="single"/>
        </w:rPr>
      </w:pPr>
      <w:r w:rsidRPr="0094009A">
        <w:rPr>
          <w:b/>
          <w:bCs/>
          <w:u w:val="single"/>
        </w:rPr>
        <w:t>Wpływ na regulacje dotyczące porodu domowego</w:t>
      </w:r>
    </w:p>
    <w:p w14:paraId="081EDB26" w14:textId="2087F55C" w:rsidR="0008486C" w:rsidRPr="0008486C" w:rsidRDefault="0008486C" w:rsidP="006C0869">
      <w:pPr>
        <w:pBdr>
          <w:bottom w:val="single" w:sz="6" w:space="1" w:color="auto"/>
        </w:pBdr>
        <w:jc w:val="both"/>
      </w:pPr>
      <w:r w:rsidRPr="0008486C">
        <w:t xml:space="preserve">Orzeczenia w sprawach takich jak Ternovszky przeciwko Węgrom doprowadziły do </w:t>
      </w:r>
      <w:r w:rsidR="00BE7604">
        <w:t>przeglądu</w:t>
      </w:r>
      <w:r w:rsidRPr="0008486C">
        <w:t xml:space="preserve"> regulacji w niektórych krajach i zwiększenia dostępności personelu medycznego do asysty przy porodach domowych. W wielu przypadkach wprowadzenie jasnych regulacji pozwoliło na lepsze zabezpieczenie praw kobiet w tym zakresie oraz zapewnienie możliwości wyboru bez obawy o sankcje prawne dla położnych i lekarzy wspierających porody domowe.</w:t>
      </w:r>
    </w:p>
    <w:p w14:paraId="16A2E175" w14:textId="77777777" w:rsidR="00E65555" w:rsidRDefault="00E65555" w:rsidP="0094009A">
      <w:pPr>
        <w:jc w:val="center"/>
        <w:rPr>
          <w:b/>
          <w:bCs/>
          <w:color w:val="990033"/>
          <w:sz w:val="28"/>
          <w:szCs w:val="28"/>
          <w:u w:val="single"/>
        </w:rPr>
      </w:pPr>
    </w:p>
    <w:p w14:paraId="5FD52E99" w14:textId="2BFFFD3D" w:rsidR="00D52142" w:rsidRPr="00E65555" w:rsidRDefault="00D52142" w:rsidP="0094009A">
      <w:pPr>
        <w:jc w:val="center"/>
        <w:rPr>
          <w:b/>
          <w:bCs/>
          <w:color w:val="990033"/>
          <w:sz w:val="28"/>
          <w:szCs w:val="28"/>
          <w:u w:val="single"/>
        </w:rPr>
      </w:pPr>
      <w:r w:rsidRPr="00E65555">
        <w:rPr>
          <w:b/>
          <w:bCs/>
          <w:color w:val="990033"/>
          <w:sz w:val="28"/>
          <w:szCs w:val="28"/>
          <w:u w:val="single"/>
        </w:rPr>
        <w:t>Margines uznania</w:t>
      </w:r>
    </w:p>
    <w:p w14:paraId="106981FF" w14:textId="77777777" w:rsidR="00D52142" w:rsidRPr="00D52142" w:rsidRDefault="00D52142" w:rsidP="006C0869">
      <w:pPr>
        <w:jc w:val="both"/>
      </w:pPr>
      <w:r w:rsidRPr="00D52142">
        <w:t xml:space="preserve">Jednym z kluczowych elementów orzecznictwa ETPC w sprawach reprodukcyjnych i prokreacyjnych jest koncepcja </w:t>
      </w:r>
      <w:r w:rsidRPr="00D52142">
        <w:rPr>
          <w:b/>
          <w:bCs/>
        </w:rPr>
        <w:t>marginesu uznania</w:t>
      </w:r>
      <w:r w:rsidRPr="00D52142">
        <w:t xml:space="preserve">. Oznacza ona, że państwa członkowskie Rady Europy mają pewną swobodę w kształtowaniu polityki prawnej w tych obszarach, zwłaszcza w kwestiach etycznie i kulturowo kontrowersyjnych. Trybunał uznaje, że państwa lepiej rozumieją kontekst społeczny i mogą dostosować regulacje do </w:t>
      </w:r>
      <w:r w:rsidRPr="00D52142">
        <w:lastRenderedPageBreak/>
        <w:t>lokalnych wartości i tradycji, pod warunkiem że nie naruszają one podstawowych praw jednostek.</w:t>
      </w:r>
    </w:p>
    <w:p w14:paraId="3AACD905" w14:textId="77777777" w:rsidR="00D52142" w:rsidRDefault="00D52142" w:rsidP="006C0869">
      <w:pPr>
        <w:pBdr>
          <w:bottom w:val="single" w:sz="6" w:space="1" w:color="auto"/>
        </w:pBdr>
        <w:jc w:val="both"/>
      </w:pPr>
      <w:r w:rsidRPr="00D52142">
        <w:t>Jednak margines uznania nie jest nieograniczony – ETPC bada, czy ograniczenia nakładane przez państwa są proporcjonalne i zgodne z Konwencją. W wielu przypadkach Trybunał stara się znaleźć równowagę między ochroną praw jednostek a prawem państw do regulowania kwestii społecznych i medycznych, co odgrywa kluczową rolę w kształtowaniu standardów ochrony praw reprodukcyjnych w Europie.</w:t>
      </w:r>
    </w:p>
    <w:p w14:paraId="7877EE5A" w14:textId="77777777" w:rsidR="00E65555" w:rsidRDefault="00E65555" w:rsidP="00E65555">
      <w:pPr>
        <w:jc w:val="center"/>
        <w:rPr>
          <w:b/>
          <w:bCs/>
          <w:color w:val="990033"/>
          <w:u w:val="single"/>
        </w:rPr>
      </w:pPr>
    </w:p>
    <w:p w14:paraId="3EC489EB" w14:textId="19AC0CE8" w:rsidR="00E65555" w:rsidRDefault="00E65555" w:rsidP="00E65555">
      <w:pPr>
        <w:jc w:val="center"/>
        <w:rPr>
          <w:b/>
          <w:bCs/>
          <w:color w:val="990033"/>
          <w:u w:val="single"/>
        </w:rPr>
      </w:pPr>
      <w:r w:rsidRPr="00E65555">
        <w:rPr>
          <w:b/>
          <w:bCs/>
          <w:color w:val="990033"/>
          <w:u w:val="single"/>
        </w:rPr>
        <w:t>Orzecznictwo ETPC w sprawach aborcji</w:t>
      </w:r>
    </w:p>
    <w:p w14:paraId="3D114E6E" w14:textId="77777777" w:rsidR="002C3965" w:rsidRPr="00FB4672" w:rsidRDefault="002C3965" w:rsidP="002C3965">
      <w:pPr>
        <w:jc w:val="both"/>
      </w:pPr>
      <w:r w:rsidRPr="00FB4672">
        <w:rPr>
          <w:b/>
          <w:bCs/>
        </w:rPr>
        <w:t>Sprawa D. przeciwko Irlandii (skarga nr 26499/02)</w:t>
      </w:r>
      <w:r w:rsidRPr="00FB4672">
        <w:t xml:space="preserve"> dotyczyła kobiety, która była w ciąży z dzieckiem dotkniętym śmiertelną wadą rozwojową – bezmózgowiem (anencefalią), co oznaczało, że płód nie miał szans na przeżycie po urodzeniu. W Irlandii, na mocy obowiązującego wówczas prawa, aborcja była niedopuszczalna nawet w takich przypadkach. Kobieta, znana jako „D.”, musiała udać się do Wielkiej Brytanii, by przerwać ciążę, ponieważ irlandzkie prawo nie przewidywało żadnych wyjątków dla sytuacji nieodwracalnej i śmiertelnej wady płodu.</w:t>
      </w:r>
    </w:p>
    <w:p w14:paraId="5BFA9C70" w14:textId="77777777" w:rsidR="002C3965" w:rsidRPr="00FB4672" w:rsidRDefault="002C3965" w:rsidP="002C3965">
      <w:pPr>
        <w:jc w:val="both"/>
      </w:pPr>
      <w:r w:rsidRPr="00FB4672">
        <w:t xml:space="preserve">W skardze złożonej do Europejskiego Trybunału Praw Człowieka kobieta zarzuciła, że </w:t>
      </w:r>
      <w:r w:rsidRPr="00FB4672">
        <w:rPr>
          <w:b/>
          <w:bCs/>
        </w:rPr>
        <w:t>niemożność przeprowadzenia aborcji w Irlandii, nawet w przypadku letalnej wady płodu</w:t>
      </w:r>
      <w:r w:rsidRPr="00FB4672">
        <w:t xml:space="preserve">, naruszyła jej prawa zagwarantowane w Konwencji, w szczególności </w:t>
      </w:r>
      <w:r w:rsidRPr="00FB4672">
        <w:rPr>
          <w:b/>
          <w:bCs/>
        </w:rPr>
        <w:t>art. 3 (zakaz nieludzkiego i poniżającego traktowania)</w:t>
      </w:r>
      <w:r w:rsidRPr="00FB4672">
        <w:t xml:space="preserve"> oraz </w:t>
      </w:r>
      <w:r w:rsidRPr="00FB4672">
        <w:rPr>
          <w:b/>
          <w:bCs/>
        </w:rPr>
        <w:t>art. 8 (prawo do poszanowania życia prywatnego i rodzinnego)</w:t>
      </w:r>
      <w:r w:rsidRPr="00FB4672">
        <w:t>.</w:t>
      </w:r>
    </w:p>
    <w:p w14:paraId="385063A8" w14:textId="5BA6A8F9" w:rsidR="002C3965" w:rsidRPr="00FB4672" w:rsidRDefault="002C3965" w:rsidP="002C3965">
      <w:pPr>
        <w:jc w:val="both"/>
      </w:pPr>
      <w:r w:rsidRPr="00FB4672">
        <w:t xml:space="preserve">W </w:t>
      </w:r>
      <w:r w:rsidRPr="00FB4672">
        <w:rPr>
          <w:b/>
          <w:bCs/>
        </w:rPr>
        <w:t>decyzji z 5 lipca 2006 roku</w:t>
      </w:r>
      <w:r w:rsidRPr="00FB4672">
        <w:t xml:space="preserve"> Trybunał </w:t>
      </w:r>
      <w:r w:rsidRPr="00FB4672">
        <w:rPr>
          <w:b/>
          <w:bCs/>
        </w:rPr>
        <w:t>uznał skargę za niedopuszczalną</w:t>
      </w:r>
      <w:r w:rsidRPr="00FB4672">
        <w:t xml:space="preserve"> i </w:t>
      </w:r>
      <w:r w:rsidRPr="00FB4672">
        <w:rPr>
          <w:b/>
          <w:bCs/>
        </w:rPr>
        <w:t>nie rozpatrywał jej merytorycznie</w:t>
      </w:r>
      <w:r w:rsidRPr="00FB4672">
        <w:t>, ponieważ kobieta nie wykorzystała wszystkich dostępnych w Irlandii środków odwoławczych. W szczególności nie wniosła sprawy do sądu krajowego, który mógłby ocenić konstytucyjność zakazu aborcji w jej przypadku. Trybunał uznał, że skarżąca nie wyczerpała krajowych środków prawnych, co stanowiło warunek konieczny do rozpatrzenia skargi w Strasburgu.</w:t>
      </w:r>
    </w:p>
    <w:p w14:paraId="7F0BFE3E" w14:textId="77777777" w:rsidR="002C3965" w:rsidRPr="00FB4672" w:rsidRDefault="002C3965" w:rsidP="002C3965">
      <w:pPr>
        <w:jc w:val="both"/>
      </w:pPr>
      <w:r w:rsidRPr="00FB4672">
        <w:t xml:space="preserve">Chociaż sprawa D. nie zakończyła się wyrokiem stwierdzającym naruszenie Konwencji, to miała </w:t>
      </w:r>
      <w:r w:rsidRPr="00FB4672">
        <w:rPr>
          <w:b/>
          <w:bCs/>
        </w:rPr>
        <w:t>duże znaczenie symboliczne i polityczne</w:t>
      </w:r>
      <w:r w:rsidRPr="00FB4672">
        <w:t xml:space="preserve"> – zwróciła uwagę społeczności międzynarodowej na ekstremalnie restrykcyjne przepisy aborcyjne w Irlandii. D. musiała przejść przez trudną podróż w ciąży, w traumatycznych okolicznościach, bez wsparcia ze strony państwa, co wzbudziło szeroką debatę społeczną w kraju.</w:t>
      </w:r>
    </w:p>
    <w:p w14:paraId="0A25850A" w14:textId="77777777" w:rsidR="002C3965" w:rsidRDefault="002C3965" w:rsidP="002C3965">
      <w:pPr>
        <w:pBdr>
          <w:bottom w:val="single" w:sz="6" w:space="1" w:color="auto"/>
        </w:pBdr>
        <w:jc w:val="both"/>
      </w:pPr>
      <w:r w:rsidRPr="00FB4672">
        <w:t xml:space="preserve">Sprawa ta, razem z późniejszymi orzeczeniami (jak </w:t>
      </w:r>
      <w:r w:rsidRPr="00FB4672">
        <w:rPr>
          <w:b/>
          <w:bCs/>
        </w:rPr>
        <w:t>A, B i C przeciwko Irlandii</w:t>
      </w:r>
      <w:r w:rsidRPr="00FB4672">
        <w:t xml:space="preserve">) i rosnącą presją społeczną, przyczyniła się do </w:t>
      </w:r>
      <w:r w:rsidRPr="00FB4672">
        <w:rPr>
          <w:b/>
          <w:bCs/>
        </w:rPr>
        <w:t>referendum i liberalizacji prawa aborcyjnego w Irlandii w 2018 roku</w:t>
      </w:r>
      <w:r w:rsidRPr="00FB4672">
        <w:t>, które pozwoliło na zniesienie ósmej poprawki do konstytucji zakazującej aborcji.</w:t>
      </w:r>
    </w:p>
    <w:p w14:paraId="6A3A5116" w14:textId="77777777" w:rsidR="002C3965" w:rsidRDefault="002C3965" w:rsidP="002C3965">
      <w:pPr>
        <w:jc w:val="both"/>
        <w:rPr>
          <w:color w:val="990033"/>
        </w:rPr>
      </w:pPr>
    </w:p>
    <w:p w14:paraId="1BEBAE18" w14:textId="77777777" w:rsidR="002C3965" w:rsidRDefault="002C3965" w:rsidP="002C3965">
      <w:pPr>
        <w:jc w:val="both"/>
        <w:rPr>
          <w:b/>
          <w:bCs/>
        </w:rPr>
      </w:pPr>
    </w:p>
    <w:p w14:paraId="3B82851E" w14:textId="77777777" w:rsidR="002C3965" w:rsidRPr="00D10049" w:rsidRDefault="002C3965" w:rsidP="002C3965">
      <w:pPr>
        <w:jc w:val="both"/>
      </w:pPr>
      <w:r w:rsidRPr="00D10049">
        <w:rPr>
          <w:b/>
          <w:bCs/>
        </w:rPr>
        <w:t>Sprawa Tysiąc przeciwko Polsce (skarga nr 5410/03)</w:t>
      </w:r>
      <w:r w:rsidRPr="00D10049">
        <w:t xml:space="preserve"> dotyczyła kobiety, która nie mogła legalnie przerwać ciąży mimo zagrożenia dla jej zdrowia, co doprowadziło do poważnego pogorszenia jej stanu zdrowia – w szczególności znacznego pogorszenia wzroku. Skarżąca, Alicja Tysiąc, cierpiała na ciężką wadę wzroku, a lekarze potwierdzili, że ciąża i poród mogą spowodować jego trwałe pogorszenie. Pomimo tego odmówiono jej legalnej aborcji, a po urodzeniu dziecka rzeczywiście doszło do dalszego uszkodzenia jej wzroku, w wyniku czego uznano ją za osobę niepełnosprawną.</w:t>
      </w:r>
    </w:p>
    <w:p w14:paraId="1939A4CB" w14:textId="77777777" w:rsidR="002C3965" w:rsidRPr="00D10049" w:rsidRDefault="002C3965" w:rsidP="002C3965">
      <w:pPr>
        <w:jc w:val="both"/>
      </w:pPr>
      <w:r w:rsidRPr="00D10049">
        <w:t>W skardze do Europejskiego Trybunału Praw Człowieka zarzuciła, że państwo polskie naruszyło jej prawo do poszanowania życia prywatnego i rodzinnego (art. 8 Konwencji), ponieważ nie zapewniło skutecznego mechanizmu umożliwiającego ocenę, czy spełnia ona warunki do legalnej aborcji – mimo istnienia przesłanki zagrożenia zdrowia.</w:t>
      </w:r>
    </w:p>
    <w:p w14:paraId="5373D1DE" w14:textId="77777777" w:rsidR="002C3965" w:rsidRPr="00D10049" w:rsidRDefault="002C3965" w:rsidP="002C3965">
      <w:pPr>
        <w:jc w:val="both"/>
      </w:pPr>
      <w:r w:rsidRPr="00D10049">
        <w:t xml:space="preserve">W wyroku z </w:t>
      </w:r>
      <w:r w:rsidRPr="00D10049">
        <w:rPr>
          <w:b/>
          <w:bCs/>
        </w:rPr>
        <w:t>20 marca 2007 roku</w:t>
      </w:r>
      <w:r w:rsidRPr="00D10049">
        <w:t xml:space="preserve"> Trybunał orzekł, że doszło do </w:t>
      </w:r>
      <w:r w:rsidRPr="00D10049">
        <w:rPr>
          <w:b/>
          <w:bCs/>
        </w:rPr>
        <w:t>naruszenia art. 8 EKPC</w:t>
      </w:r>
      <w:r w:rsidRPr="00D10049">
        <w:t xml:space="preserve">. Sędziowie nie oceniali bezpośrednio, czy aborcja powinna zostać przeprowadzona, ale skupili się na tym, że </w:t>
      </w:r>
      <w:r w:rsidRPr="00D10049">
        <w:rPr>
          <w:b/>
          <w:bCs/>
        </w:rPr>
        <w:t>w Polsce brakowało jasnej, dostępnej i skutecznej procedury odwoławczej</w:t>
      </w:r>
      <w:r w:rsidRPr="00D10049">
        <w:t>, która umożliwiłaby niezależną ocenę medyczną ryzyka dla zdrowia kobiety.</w:t>
      </w:r>
    </w:p>
    <w:p w14:paraId="1D470E7D" w14:textId="77777777" w:rsidR="002C3965" w:rsidRPr="00D10049" w:rsidRDefault="002C3965" w:rsidP="002C3965">
      <w:pPr>
        <w:jc w:val="both"/>
      </w:pPr>
      <w:r w:rsidRPr="00D10049">
        <w:t xml:space="preserve">Trybunał podkreślił, że prawo formalne do legalnej aborcji (w przypadku zagrożenia zdrowia) nie wystarcza, jeśli kobieta nie ma </w:t>
      </w:r>
      <w:r w:rsidRPr="00D10049">
        <w:rPr>
          <w:b/>
          <w:bCs/>
        </w:rPr>
        <w:t>realnej możliwości skorzystania z tego prawa</w:t>
      </w:r>
      <w:r w:rsidRPr="00D10049">
        <w:t>. W sprawie Tysiąc lekarze nie wystawili wymaganej zgody, a kobieta nie miała żadnych dostępnych środków prawnych, aby to zakwestionować w odpowiednim czasie.</w:t>
      </w:r>
    </w:p>
    <w:p w14:paraId="4A0386E9" w14:textId="77777777" w:rsidR="002C3965" w:rsidRPr="00D10049" w:rsidRDefault="002C3965" w:rsidP="002C3965">
      <w:pPr>
        <w:jc w:val="both"/>
      </w:pPr>
      <w:r w:rsidRPr="00D10049">
        <w:t xml:space="preserve">W rezultacie ciąża doprowadziła do poważnej i nieodwracalnej szkody dla jej zdrowia, co – według Trybunału – </w:t>
      </w:r>
      <w:r w:rsidRPr="00D10049">
        <w:rPr>
          <w:b/>
          <w:bCs/>
        </w:rPr>
        <w:t>stanowiło zawiniony brak ochrony ze strony państwa</w:t>
      </w:r>
      <w:r w:rsidRPr="00D10049">
        <w:t>. Sąd przyznał Alicji Tysiąc 25 tysięcy euro zadośćuczynienia za naruszenie jej praw.</w:t>
      </w:r>
    </w:p>
    <w:p w14:paraId="045B66A6" w14:textId="77777777" w:rsidR="002C3965" w:rsidRPr="00D10049" w:rsidRDefault="002C3965" w:rsidP="002C3965">
      <w:pPr>
        <w:pBdr>
          <w:bottom w:val="single" w:sz="6" w:space="1" w:color="auto"/>
        </w:pBdr>
        <w:jc w:val="both"/>
      </w:pPr>
      <w:r w:rsidRPr="00D10049">
        <w:t xml:space="preserve">Wyrok ten miał istotne znaczenie dla rozwoju standardów ochrony praw reprodukcyjnych i obowiązku państwa do tworzenia skutecznych mechanizmów ochrony kobiet w sytuacjach, w których aborcja jest legalna. Trybunał wskazał, że państwo ma </w:t>
      </w:r>
      <w:r w:rsidRPr="00D10049">
        <w:rPr>
          <w:b/>
          <w:bCs/>
        </w:rPr>
        <w:t>obowiązek zapewnienia nie tylko przepisów prawa</w:t>
      </w:r>
      <w:r w:rsidRPr="00D10049">
        <w:t xml:space="preserve">, ale także </w:t>
      </w:r>
      <w:r w:rsidRPr="00D10049">
        <w:rPr>
          <w:b/>
          <w:bCs/>
        </w:rPr>
        <w:t>praktycznych narzędzi ich egzekwowania</w:t>
      </w:r>
      <w:r w:rsidRPr="00D10049">
        <w:t>.</w:t>
      </w:r>
    </w:p>
    <w:p w14:paraId="49FAFEF4" w14:textId="77777777" w:rsidR="002C3965" w:rsidRPr="002C3965" w:rsidRDefault="002C3965" w:rsidP="002C3965">
      <w:pPr>
        <w:jc w:val="both"/>
        <w:rPr>
          <w:color w:val="990033"/>
        </w:rPr>
      </w:pPr>
    </w:p>
    <w:p w14:paraId="0552ED5A" w14:textId="10022EA8" w:rsidR="00621E77" w:rsidRPr="00621E77" w:rsidRDefault="00621E77" w:rsidP="006C0869">
      <w:pPr>
        <w:jc w:val="both"/>
      </w:pPr>
      <w:r w:rsidRPr="00621E77">
        <w:rPr>
          <w:b/>
          <w:bCs/>
        </w:rPr>
        <w:t>Sprawa A, B i C przeciwko Irlandii (skarga nr 25579/05)</w:t>
      </w:r>
      <w:r w:rsidRPr="00621E77">
        <w:t xml:space="preserve"> dotyczyła skargi trzech kobiet, które udały się do Wielkiej Brytanii w celu dokonania aborcji, ponieważ w Irlandii obowiązywały wówczas bardzo restrykcyjne przepisy w tym zakresie. Skarżące zarzucały, że zakaz aborcji w Irlandii oraz brak odpowiednich procedur w przypadku zagrożenia zdrowia lub życia kobiety naruszył ich prawa zagwarantowane w Europejskiej Konwencji Praw Człowieka, w szczególności prawo do poszanowania życia prywatnego i rodzinnego (art. 8 EKPC).</w:t>
      </w:r>
    </w:p>
    <w:p w14:paraId="59683923" w14:textId="77777777" w:rsidR="00621E77" w:rsidRPr="00621E77" w:rsidRDefault="00621E77" w:rsidP="006C0869">
      <w:pPr>
        <w:jc w:val="both"/>
      </w:pPr>
      <w:r w:rsidRPr="00621E77">
        <w:lastRenderedPageBreak/>
        <w:t xml:space="preserve">W wyroku z </w:t>
      </w:r>
      <w:r w:rsidRPr="00621E77">
        <w:rPr>
          <w:b/>
          <w:bCs/>
        </w:rPr>
        <w:t>16 grudnia 2010 roku</w:t>
      </w:r>
      <w:r w:rsidRPr="00621E77">
        <w:t xml:space="preserve"> Europejski Trybunał Praw Człowieka częściowo uznał skargę za zasadną, stwierdzając, że w przypadku jednej z kobiet – </w:t>
      </w:r>
      <w:r w:rsidRPr="00621E77">
        <w:rPr>
          <w:b/>
          <w:bCs/>
        </w:rPr>
        <w:t>skarżącej C</w:t>
      </w:r>
      <w:r w:rsidRPr="00621E77">
        <w:t xml:space="preserve">, która cierpiała na chorobę nowotworową i obawiała się, że ciąża może zagrażać jej życiu – doszło do </w:t>
      </w:r>
      <w:r w:rsidRPr="00621E77">
        <w:rPr>
          <w:b/>
          <w:bCs/>
        </w:rPr>
        <w:t>naruszenia art. 8 Konwencji</w:t>
      </w:r>
      <w:r w:rsidRPr="00621E77">
        <w:t>. Trybunał orzekł, że w Irlandii brakowało jasnych, skutecznych i dostępnych procedur prawnych, które pozwalałyby kobiecie ustalić, czy w jej sytuacji aborcja byłaby dopuszczalna w świetle obowiązującego prawa.</w:t>
      </w:r>
    </w:p>
    <w:p w14:paraId="0E64CA56" w14:textId="77777777" w:rsidR="00621E77" w:rsidRPr="00621E77" w:rsidRDefault="00621E77" w:rsidP="006C0869">
      <w:pPr>
        <w:jc w:val="both"/>
      </w:pPr>
      <w:r w:rsidRPr="00621E77">
        <w:t>Trybunał wskazał, że choć państwa członkowskie mają pewien zakres swobody w zakresie regulacji dotyczących aborcji, to jednak muszą zapewnić skuteczny mechanizm umożliwiający kobietom dochodzenie swoich praw, zwłaszcza gdy w grę wchodzi zagrożenie życia lub zdrowia. W przypadku C takiego mechanizmu zabrakło, co doprowadziło do poważnej niepewności i cierpienia skarżącej.</w:t>
      </w:r>
    </w:p>
    <w:p w14:paraId="4BB2F7D2" w14:textId="77777777" w:rsidR="00621E77" w:rsidRPr="00621E77" w:rsidRDefault="00621E77" w:rsidP="006C0869">
      <w:pPr>
        <w:jc w:val="both"/>
      </w:pPr>
      <w:r w:rsidRPr="00621E77">
        <w:t xml:space="preserve">W odniesieniu do pozostałych dwóch kobiet – </w:t>
      </w:r>
      <w:r w:rsidRPr="00621E77">
        <w:rPr>
          <w:b/>
          <w:bCs/>
        </w:rPr>
        <w:t>skarżącej A</w:t>
      </w:r>
      <w:r w:rsidRPr="00621E77">
        <w:t xml:space="preserve">, która zaszła w ciążę po przypadkowej relacji seksualnej, oraz </w:t>
      </w:r>
      <w:r w:rsidRPr="00621E77">
        <w:rPr>
          <w:b/>
          <w:bCs/>
        </w:rPr>
        <w:t>skarżącej B</w:t>
      </w:r>
      <w:r w:rsidRPr="00621E77">
        <w:t>, która nie chciała zostać samotną matką – Trybunał uznał, że nie doszło do naruszenia Konwencji. Wskazano, że ich sytuacja mieściła się w zakresie uznania państwa w sprawach moralnie i społecznie kontrowersyjnych, takich jak ochrona życia nienarodzonego. W obu przypadkach skarżące mogły legalnie podróżować za granicę, aby dokonać aborcji.</w:t>
      </w:r>
    </w:p>
    <w:p w14:paraId="2BD9FE12" w14:textId="4D61F57E" w:rsidR="00621E77" w:rsidRPr="00621E77" w:rsidRDefault="00621E77" w:rsidP="006C0869">
      <w:pPr>
        <w:pBdr>
          <w:bottom w:val="single" w:sz="6" w:space="1" w:color="auto"/>
        </w:pBdr>
        <w:jc w:val="both"/>
      </w:pPr>
      <w:r w:rsidRPr="00621E77">
        <w:t xml:space="preserve">Podsumowując, Trybunał orzekł, że w sprawie </w:t>
      </w:r>
      <w:r w:rsidRPr="00621E77">
        <w:rPr>
          <w:b/>
          <w:bCs/>
        </w:rPr>
        <w:t>C</w:t>
      </w:r>
      <w:r w:rsidRPr="00621E77">
        <w:t xml:space="preserve"> brak odpowiedniego dostępu do rzetelnej informacji i skutecznego mechanizmu oceny prawa do legalnej aborcji w sytuacji zagrożenia zdrowia i życia stanowił </w:t>
      </w:r>
      <w:r w:rsidRPr="00621E77">
        <w:rPr>
          <w:b/>
          <w:bCs/>
        </w:rPr>
        <w:t>naruszenie pozytywnych obowiązków państwa wynikających z art. 8 EKPC</w:t>
      </w:r>
      <w:r w:rsidRPr="00621E77">
        <w:t>. W tym kontekście wyrok stanowił ważny punkt zwrotny w debacie na temat praw reprodukcyjnych i ostatecznie przyczynił się do zmian legislacyjnych w Irlandii.</w:t>
      </w:r>
    </w:p>
    <w:p w14:paraId="4861A5AA" w14:textId="77777777" w:rsidR="00442C90" w:rsidRDefault="00442C90" w:rsidP="006C0869">
      <w:pPr>
        <w:jc w:val="both"/>
        <w:rPr>
          <w:b/>
          <w:bCs/>
        </w:rPr>
      </w:pPr>
    </w:p>
    <w:p w14:paraId="58D2F405" w14:textId="77777777" w:rsidR="002C3965" w:rsidRPr="00FB4672" w:rsidRDefault="002C3965" w:rsidP="002C3965">
      <w:pPr>
        <w:jc w:val="both"/>
      </w:pPr>
      <w:r w:rsidRPr="00FB4672">
        <w:rPr>
          <w:b/>
          <w:bCs/>
        </w:rPr>
        <w:t>Sprawa Z przeciwko Polsce (skarga nr 46132/08)</w:t>
      </w:r>
      <w:r w:rsidRPr="00FB4672">
        <w:t xml:space="preserve"> dotyczyła kobiety, której </w:t>
      </w:r>
      <w:r w:rsidRPr="00FB4672">
        <w:rPr>
          <w:b/>
          <w:bCs/>
        </w:rPr>
        <w:t>ciężko chorej córce odmówiono dostępu do legalnej aborcji</w:t>
      </w:r>
      <w:r w:rsidRPr="00FB4672">
        <w:t xml:space="preserve">, mimo że zgodnie z polskim prawem ciąża zagrażająca zdrowiu lub życiu kobiety może być przerwana. Córka skarżącej, będąca w wieku 14 lat, cierpiała na chorobę nerek, a ciąża groziła jej poważnym pogorszeniem stanu zdrowia. Pomimo to, zarówno lekarze, jak i szpital, w którym była leczona, </w:t>
      </w:r>
      <w:r w:rsidRPr="00FB4672">
        <w:rPr>
          <w:b/>
          <w:bCs/>
        </w:rPr>
        <w:t>odmawiali przeprowadzenia zabiegu</w:t>
      </w:r>
      <w:r w:rsidRPr="00FB4672">
        <w:t>, a także wydania odpowiedniego zaświadczenia, które umożliwiłoby jego wykonanie gdzie indziej.</w:t>
      </w:r>
    </w:p>
    <w:p w14:paraId="2FE83CAF" w14:textId="77777777" w:rsidR="002C3965" w:rsidRPr="00FB4672" w:rsidRDefault="002C3965" w:rsidP="002C3965">
      <w:pPr>
        <w:jc w:val="both"/>
      </w:pPr>
      <w:r w:rsidRPr="00FB4672">
        <w:t xml:space="preserve">Skarżąca, czyli matka dziewczynki, twierdziła, że w wyniku opieszałości i braku przejrzystych procedur ze strony służby zdrowia i władz państwowych, doszło do poważnego pogwałcenia praw jej córki, w tym </w:t>
      </w:r>
      <w:r w:rsidRPr="00FB4672">
        <w:rPr>
          <w:b/>
          <w:bCs/>
        </w:rPr>
        <w:t>prawa do prywatności, zdrowia i wolności od nieludzkiego traktowania</w:t>
      </w:r>
      <w:r w:rsidRPr="00FB4672">
        <w:t xml:space="preserve">. Dziewczynka została również </w:t>
      </w:r>
      <w:r w:rsidRPr="00FB4672">
        <w:rPr>
          <w:b/>
          <w:bCs/>
        </w:rPr>
        <w:t>skierowana do placówki prowadzonej przez zakonnice</w:t>
      </w:r>
      <w:r w:rsidRPr="00FB4672">
        <w:t xml:space="preserve">, gdzie znalazła się pod presją ideologiczną i została faktycznie </w:t>
      </w:r>
      <w:r w:rsidRPr="00FB4672">
        <w:rPr>
          <w:b/>
          <w:bCs/>
        </w:rPr>
        <w:t>pozbawiona swobody</w:t>
      </w:r>
      <w:r w:rsidRPr="00FB4672">
        <w:t>, co miało na celu zniechęcenie jej do przerwania ciąży.</w:t>
      </w:r>
    </w:p>
    <w:p w14:paraId="7B6CC962" w14:textId="77777777" w:rsidR="002C3965" w:rsidRPr="00FB4672" w:rsidRDefault="002C3965" w:rsidP="002C3965">
      <w:pPr>
        <w:jc w:val="both"/>
      </w:pPr>
      <w:r w:rsidRPr="00FB4672">
        <w:lastRenderedPageBreak/>
        <w:t xml:space="preserve">W skardze do Europejskiego Trybunału Praw Człowieka zarzucono naruszenie m.in. </w:t>
      </w:r>
      <w:r w:rsidRPr="00FB4672">
        <w:rPr>
          <w:b/>
          <w:bCs/>
        </w:rPr>
        <w:t>art. 3 (zakaz nieludzkiego lub poniżającego traktowania)</w:t>
      </w:r>
      <w:r w:rsidRPr="00FB4672">
        <w:t xml:space="preserve"> oraz </w:t>
      </w:r>
      <w:r w:rsidRPr="00FB4672">
        <w:rPr>
          <w:b/>
          <w:bCs/>
        </w:rPr>
        <w:t>art. 8 (prawo do poszanowania życia prywatnego i rodzinnego)</w:t>
      </w:r>
      <w:r w:rsidRPr="00FB4672">
        <w:t xml:space="preserve"> Europejskiej Konwencji Praw Człowieka. Sprawa miała charakter bardzo podobny do wcześniej rozpatrzonych przez Trybunał spraw </w:t>
      </w:r>
      <w:r w:rsidRPr="00FB4672">
        <w:rPr>
          <w:b/>
          <w:bCs/>
        </w:rPr>
        <w:t>Tysiąc przeciwko Polsce</w:t>
      </w:r>
      <w:r w:rsidRPr="00FB4672">
        <w:t xml:space="preserve"> i </w:t>
      </w:r>
      <w:r w:rsidRPr="00FB4672">
        <w:rPr>
          <w:b/>
          <w:bCs/>
        </w:rPr>
        <w:t>P. i S. przeciwko Polsce</w:t>
      </w:r>
      <w:r w:rsidRPr="00FB4672">
        <w:t xml:space="preserve"> – wszystkie ukazywały brak realnego dostępu do legalnej aborcji nawet w przypadkach, gdy była ona formalnie dopuszczalna.</w:t>
      </w:r>
    </w:p>
    <w:p w14:paraId="17769D34" w14:textId="77777777" w:rsidR="002C3965" w:rsidRPr="00FB4672" w:rsidRDefault="002C3965" w:rsidP="002C3965">
      <w:pPr>
        <w:jc w:val="both"/>
      </w:pPr>
      <w:r w:rsidRPr="00FB4672">
        <w:t xml:space="preserve">W </w:t>
      </w:r>
      <w:r w:rsidRPr="00FB4672">
        <w:rPr>
          <w:b/>
          <w:bCs/>
        </w:rPr>
        <w:t>2011 roku</w:t>
      </w:r>
      <w:r w:rsidRPr="00FB4672">
        <w:t xml:space="preserve">, zanim Trybunał wydał wyrok, </w:t>
      </w:r>
      <w:r w:rsidRPr="00FB4672">
        <w:rPr>
          <w:b/>
          <w:bCs/>
        </w:rPr>
        <w:t>rząd polski zdecydował się na jednostronną deklarację</w:t>
      </w:r>
      <w:r w:rsidRPr="00FB4672">
        <w:t xml:space="preserve">, w której uznał naruszenie praw skarżących i zaoferował ugodowe zakończenie sprawy. Trybunał, opierając się na art. 37 Konwencji, </w:t>
      </w:r>
      <w:r w:rsidRPr="00FB4672">
        <w:rPr>
          <w:b/>
          <w:bCs/>
        </w:rPr>
        <w:t>skreślił sprawę z listy</w:t>
      </w:r>
      <w:r w:rsidRPr="00FB4672">
        <w:t xml:space="preserve">, ale jednocześnie zaznaczył, że </w:t>
      </w:r>
      <w:r w:rsidRPr="00FB4672">
        <w:rPr>
          <w:b/>
          <w:bCs/>
        </w:rPr>
        <w:t>przyznanie naruszenia i odszkodowania przez rząd potwierdza, iż doszło do złamania praw skarżącej</w:t>
      </w:r>
      <w:r w:rsidRPr="00FB4672">
        <w:t>.</w:t>
      </w:r>
    </w:p>
    <w:p w14:paraId="3C799D3F" w14:textId="77777777" w:rsidR="002C3965" w:rsidRDefault="002C3965" w:rsidP="002C3965">
      <w:pPr>
        <w:pBdr>
          <w:bottom w:val="single" w:sz="6" w:space="1" w:color="auto"/>
        </w:pBdr>
        <w:jc w:val="both"/>
      </w:pPr>
      <w:r w:rsidRPr="00FB4672">
        <w:t xml:space="preserve">Sprawa </w:t>
      </w:r>
      <w:r w:rsidRPr="00FB4672">
        <w:rPr>
          <w:b/>
          <w:bCs/>
        </w:rPr>
        <w:t>Z przeciwko Polsce</w:t>
      </w:r>
      <w:r w:rsidRPr="00FB4672">
        <w:t xml:space="preserve"> podkreśliła systemowy problem w Polsce: brak jasnych procedur umożliwiających kobietom – i w tym przypadku nieletnim – skuteczny dostęp do legalnej aborcji oraz </w:t>
      </w:r>
      <w:r w:rsidRPr="00FB4672">
        <w:rPr>
          <w:b/>
          <w:bCs/>
        </w:rPr>
        <w:t>poważne uchybienia w zakresie poszanowania autonomii i zdrowia pacjentek</w:t>
      </w:r>
      <w:r w:rsidRPr="00FB4672">
        <w:t>. Wskazała także na potrzebę ochrony kobiet przed ideologicznym naciskiem w placówkach medycznych oraz na obowiązek państwa do zapewnienia realnego, nie tylko formalnego, dostępu do świadczeń zdrowotnych.</w:t>
      </w:r>
    </w:p>
    <w:p w14:paraId="5425A608" w14:textId="77777777" w:rsidR="002C3965" w:rsidRDefault="002C3965" w:rsidP="006C0869">
      <w:pPr>
        <w:jc w:val="both"/>
        <w:rPr>
          <w:b/>
          <w:bCs/>
        </w:rPr>
      </w:pPr>
    </w:p>
    <w:p w14:paraId="6F2AEC28" w14:textId="6715BF88" w:rsidR="00FB4672" w:rsidRPr="00FB4672" w:rsidRDefault="00FB4672" w:rsidP="006C0869">
      <w:pPr>
        <w:jc w:val="both"/>
      </w:pPr>
      <w:r w:rsidRPr="00FB4672">
        <w:rPr>
          <w:b/>
          <w:bCs/>
        </w:rPr>
        <w:t>Sprawa R.R. przeciwko Polsce (skarga nr 27617/04)</w:t>
      </w:r>
      <w:r w:rsidRPr="00FB4672">
        <w:t xml:space="preserve"> dotyczyła kobiety, która w trakcie ciąży dowiedziała się o poważnym ryzyku wystąpienia choroby genetycznej u płodu (achondroplazji – ciężkiej formy karłowatości). Chciała poddać się badaniom prenatalnym, by uzyskać pewność i – w razie potwierdzenia wady – móc legalnie przerwać ciążę, co w świetle prawa polskiego byłoby dopuszczalne. Pomimo tego lekarze </w:t>
      </w:r>
      <w:r w:rsidRPr="00FB4672">
        <w:rPr>
          <w:b/>
          <w:bCs/>
        </w:rPr>
        <w:t>odwlekali wykonanie badań</w:t>
      </w:r>
      <w:r w:rsidRPr="00FB4672">
        <w:t xml:space="preserve"> i celowo opóźniali dostęp do informacji aż do momentu, gdy przerwanie ciąży było już niemożliwe.</w:t>
      </w:r>
    </w:p>
    <w:p w14:paraId="5CB2B4BD" w14:textId="77777777" w:rsidR="00FB4672" w:rsidRPr="00FB4672" w:rsidRDefault="00FB4672" w:rsidP="006C0869">
      <w:pPr>
        <w:jc w:val="both"/>
      </w:pPr>
      <w:r w:rsidRPr="00FB4672">
        <w:t>Skarżąca zarzuciła, że pozbawiono ją prawa do informacji medycznej i uniemożliwiono legalny dostęp do aborcji, mimo że miała do niej prawo na podstawie polskiego prawa (w przypadku ciężkiego i nieodwracalnego uszkodzenia płodu). Zamiast uzyskać obiektywną ocenę stanu zdrowia dziecka, kobieta spotkała się z oporem ideologicznym i bierną obstrukcją ze strony lekarzy.</w:t>
      </w:r>
    </w:p>
    <w:p w14:paraId="4ECC9A64" w14:textId="77777777" w:rsidR="00FB4672" w:rsidRPr="00FB4672" w:rsidRDefault="00FB4672" w:rsidP="006C0869">
      <w:pPr>
        <w:jc w:val="both"/>
      </w:pPr>
      <w:r w:rsidRPr="00FB4672">
        <w:t xml:space="preserve">W wyroku z </w:t>
      </w:r>
      <w:r w:rsidRPr="00FB4672">
        <w:rPr>
          <w:b/>
          <w:bCs/>
        </w:rPr>
        <w:t>26 maja 2011 roku</w:t>
      </w:r>
      <w:r w:rsidRPr="00FB4672">
        <w:t xml:space="preserve"> Europejski Trybunał Praw Człowieka uznał, że doszło do </w:t>
      </w:r>
      <w:r w:rsidRPr="00FB4672">
        <w:rPr>
          <w:b/>
          <w:bCs/>
        </w:rPr>
        <w:t>naruszenia art. 3 (zakaz nieludzkiego lub poniżającego traktowania)</w:t>
      </w:r>
      <w:r w:rsidRPr="00FB4672">
        <w:t xml:space="preserve"> oraz </w:t>
      </w:r>
      <w:r w:rsidRPr="00FB4672">
        <w:rPr>
          <w:b/>
          <w:bCs/>
        </w:rPr>
        <w:t>art. 8 (prawo do poszanowania życia prywatnego i rodzinnego)</w:t>
      </w:r>
      <w:r w:rsidRPr="00FB4672">
        <w:t xml:space="preserve"> Europejskiej Konwencji Praw Człowieka.</w:t>
      </w:r>
    </w:p>
    <w:p w14:paraId="1A4BBF1A" w14:textId="77777777" w:rsidR="00FB4672" w:rsidRPr="00FB4672" w:rsidRDefault="00FB4672" w:rsidP="006C0869">
      <w:pPr>
        <w:jc w:val="both"/>
      </w:pPr>
      <w:r w:rsidRPr="00FB4672">
        <w:t xml:space="preserve">Trybunał uznał, że zachowanie lekarzy – którzy świadomie opóźniali badania i nie udzielali skarżącej dostępu do informacji – naraziło ją na </w:t>
      </w:r>
      <w:r w:rsidRPr="00FB4672">
        <w:rPr>
          <w:b/>
          <w:bCs/>
        </w:rPr>
        <w:t xml:space="preserve">poważne cierpienie psychiczne i </w:t>
      </w:r>
      <w:r w:rsidRPr="00FB4672">
        <w:rPr>
          <w:b/>
          <w:bCs/>
        </w:rPr>
        <w:lastRenderedPageBreak/>
        <w:t>fizyczne</w:t>
      </w:r>
      <w:r w:rsidRPr="00FB4672">
        <w:t xml:space="preserve">, a także </w:t>
      </w:r>
      <w:r w:rsidRPr="00FB4672">
        <w:rPr>
          <w:b/>
          <w:bCs/>
        </w:rPr>
        <w:t>pozbawiło jej realnej możliwości wykonania legalnej aborcji</w:t>
      </w:r>
      <w:r w:rsidRPr="00FB4672">
        <w:t>. Sędziowie zwrócili uwagę, że takie traktowanie nie było zgodne z obowiązkiem państwa do zapewnienia poszanowania autonomii pacjenta oraz dostępu do rzetelnej informacji medycznej.</w:t>
      </w:r>
    </w:p>
    <w:p w14:paraId="66EF1AF0" w14:textId="0C24286C" w:rsidR="00FB4672" w:rsidRPr="00FB4672" w:rsidRDefault="00FB4672" w:rsidP="006C0869">
      <w:pPr>
        <w:jc w:val="both"/>
      </w:pPr>
      <w:r w:rsidRPr="00FB4672">
        <w:t xml:space="preserve">W szczególności Trybunał podkreślił, że R.R. została </w:t>
      </w:r>
      <w:r w:rsidRPr="00FB4672">
        <w:rPr>
          <w:b/>
          <w:bCs/>
        </w:rPr>
        <w:t>postawiona w dramatycznej sytuacji niepewności</w:t>
      </w:r>
      <w:r w:rsidRPr="00FB4672">
        <w:t>, zmuszana do podejmowania decyzji bez rzetelnych danych o stanie zdrowia płodu. Dopiero po porodzie, już w szpitalu, potwierdzono ciężką wadę genetyczną dziecka.</w:t>
      </w:r>
    </w:p>
    <w:p w14:paraId="7DE968DD" w14:textId="77777777" w:rsidR="00FB4672" w:rsidRPr="00FB4672" w:rsidRDefault="00FB4672" w:rsidP="006C0869">
      <w:pPr>
        <w:jc w:val="both"/>
      </w:pPr>
      <w:r w:rsidRPr="00FB4672">
        <w:t xml:space="preserve">Wyrok ten był przełomowy w zakresie ochrony praw pacjenta w kontekście reprodukcyjnym. Trybunał uznał, że </w:t>
      </w:r>
      <w:r w:rsidRPr="00FB4672">
        <w:rPr>
          <w:b/>
          <w:bCs/>
        </w:rPr>
        <w:t>prawo do informacji medycznej i decyzji o własnym ciele stanowi integralny element prawa do poszanowania życia prywatnego</w:t>
      </w:r>
      <w:r w:rsidRPr="00FB4672">
        <w:t>, a jego naruszenie – zwłaszcza w sytuacjach tak wrażliwych jak ciąża – może prowadzić do nieludzkiego i poniżającego traktowania.</w:t>
      </w:r>
    </w:p>
    <w:p w14:paraId="5BBAD24D" w14:textId="0064C261" w:rsidR="00D10049" w:rsidRDefault="00FB4672" w:rsidP="006C0869">
      <w:pPr>
        <w:pBdr>
          <w:bottom w:val="single" w:sz="6" w:space="1" w:color="auto"/>
        </w:pBdr>
        <w:jc w:val="both"/>
      </w:pPr>
      <w:r w:rsidRPr="00FB4672">
        <w:t xml:space="preserve">Trybunał przyznał skarżącej </w:t>
      </w:r>
      <w:r w:rsidRPr="00FB4672">
        <w:rPr>
          <w:b/>
          <w:bCs/>
        </w:rPr>
        <w:t>zadośćuczynienie w wysokości 45 tysięcy euro</w:t>
      </w:r>
      <w:r w:rsidRPr="00FB4672">
        <w:t xml:space="preserve">, zwracając uwagę, że </w:t>
      </w:r>
      <w:r w:rsidRPr="00FB4672">
        <w:rPr>
          <w:b/>
          <w:bCs/>
        </w:rPr>
        <w:t>państwo musi nie tylko dopuszczać legalną aborcję w wyjątkowych przypadkach, ale także zapewniać praktyczne możliwości jej przeprowadzenia</w:t>
      </w:r>
      <w:r w:rsidRPr="00FB4672">
        <w:t>, w tym swobodny dostęp do badań diagnostycznych.</w:t>
      </w:r>
    </w:p>
    <w:p w14:paraId="11AFFBB1" w14:textId="77777777" w:rsidR="00442C90" w:rsidRDefault="00442C90" w:rsidP="002C3965">
      <w:pPr>
        <w:rPr>
          <w:b/>
          <w:bCs/>
          <w:color w:val="990033"/>
          <w:sz w:val="28"/>
          <w:szCs w:val="28"/>
          <w:u w:val="single"/>
        </w:rPr>
      </w:pPr>
    </w:p>
    <w:p w14:paraId="16A79DAD" w14:textId="77777777" w:rsidR="002C3965" w:rsidRPr="00621E77" w:rsidRDefault="002C3965" w:rsidP="002C3965">
      <w:pPr>
        <w:jc w:val="both"/>
      </w:pPr>
      <w:r w:rsidRPr="00621E77">
        <w:rPr>
          <w:b/>
          <w:bCs/>
        </w:rPr>
        <w:t>Sprawa P. i S. przeciwko Polsce (skarga nr 57375/08)</w:t>
      </w:r>
      <w:r w:rsidRPr="00621E77">
        <w:t xml:space="preserve"> dotyczyła skargi złożonej przez nastoletnią dziewczynę – ofiarę gwałtu – oraz jej matkę. Skarżące zarzuciły, że zostały poddane upokarzającemu i niehumanitarnemu traktowaniu w związku z próbą uzyskania legalnej aborcji w Polsce, mimo że ciąża była wynikiem przestępstwa i spełniała warunki do legalnego przerwania zgodnie z obowiązującym wówczas prawem.</w:t>
      </w:r>
    </w:p>
    <w:p w14:paraId="3758C57F" w14:textId="77777777" w:rsidR="002C3965" w:rsidRPr="00621E77" w:rsidRDefault="002C3965" w:rsidP="002C3965">
      <w:pPr>
        <w:jc w:val="both"/>
      </w:pPr>
      <w:r w:rsidRPr="00621E77">
        <w:t>W czerwcu 2008 roku, gdy P. miała 14 lat, została zgwałcona. Jej matka próbowała uzyskać zgodę na aborcję zgodnie z polskim prawem, które dopuszcza ją w przypadku przestępstwa, jednak w praktyce spotkały się z oporem lekarzy, szpitali i władz lokalnych. W szczególności:</w:t>
      </w:r>
    </w:p>
    <w:p w14:paraId="639D7632" w14:textId="77777777" w:rsidR="002C3965" w:rsidRPr="00621E77" w:rsidRDefault="002C3965" w:rsidP="002C3965">
      <w:pPr>
        <w:numPr>
          <w:ilvl w:val="0"/>
          <w:numId w:val="2"/>
        </w:numPr>
        <w:jc w:val="both"/>
      </w:pPr>
      <w:r w:rsidRPr="00621E77">
        <w:t>odmówiono im zabiegu w publicznych placówkach,</w:t>
      </w:r>
    </w:p>
    <w:p w14:paraId="2ACC4CEF" w14:textId="77777777" w:rsidR="002C3965" w:rsidRPr="00621E77" w:rsidRDefault="002C3965" w:rsidP="002C3965">
      <w:pPr>
        <w:numPr>
          <w:ilvl w:val="0"/>
          <w:numId w:val="2"/>
        </w:numPr>
        <w:jc w:val="both"/>
      </w:pPr>
      <w:r w:rsidRPr="00621E77">
        <w:t>przeniesiono je do ośrodka prowadzonego przez zakonnice, gdzie P. była izolowana,</w:t>
      </w:r>
    </w:p>
    <w:p w14:paraId="7AB02E75" w14:textId="77777777" w:rsidR="002C3965" w:rsidRPr="00621E77" w:rsidRDefault="002C3965" w:rsidP="002C3965">
      <w:pPr>
        <w:numPr>
          <w:ilvl w:val="0"/>
          <w:numId w:val="2"/>
        </w:numPr>
        <w:jc w:val="both"/>
      </w:pPr>
      <w:r w:rsidRPr="00621E77">
        <w:t>próbowano wymusić na niej zmianę decyzji,</w:t>
      </w:r>
    </w:p>
    <w:p w14:paraId="53F34333" w14:textId="77777777" w:rsidR="002C3965" w:rsidRPr="00621E77" w:rsidRDefault="002C3965" w:rsidP="002C3965">
      <w:pPr>
        <w:numPr>
          <w:ilvl w:val="0"/>
          <w:numId w:val="2"/>
        </w:numPr>
        <w:jc w:val="both"/>
      </w:pPr>
      <w:r w:rsidRPr="00621E77">
        <w:t>doszło do publicznego ujawnienia jej danych i stanu zdrowia,</w:t>
      </w:r>
    </w:p>
    <w:p w14:paraId="3665EFBE" w14:textId="77777777" w:rsidR="002C3965" w:rsidRPr="00621E77" w:rsidRDefault="002C3965" w:rsidP="002C3965">
      <w:pPr>
        <w:numPr>
          <w:ilvl w:val="0"/>
          <w:numId w:val="2"/>
        </w:numPr>
        <w:jc w:val="both"/>
      </w:pPr>
      <w:r w:rsidRPr="00621E77">
        <w:t>została zabrana przez policję i przesłuchiwana bez obecności matki.</w:t>
      </w:r>
    </w:p>
    <w:p w14:paraId="7FAB1B4B" w14:textId="6756121C" w:rsidR="002C3965" w:rsidRPr="00621E77" w:rsidRDefault="002C3965" w:rsidP="002C3965">
      <w:pPr>
        <w:jc w:val="both"/>
      </w:pPr>
      <w:r w:rsidRPr="00621E77">
        <w:t xml:space="preserve">W wyroku z </w:t>
      </w:r>
      <w:r w:rsidRPr="00621E77">
        <w:rPr>
          <w:b/>
          <w:bCs/>
        </w:rPr>
        <w:t>30 października 2012 roku</w:t>
      </w:r>
      <w:r w:rsidRPr="00621E77">
        <w:t xml:space="preserve"> Europejski Trybunał Praw Człowieka orzekł, że doszło do naruszenia </w:t>
      </w:r>
      <w:r w:rsidRPr="00621E77">
        <w:rPr>
          <w:b/>
          <w:bCs/>
        </w:rPr>
        <w:t>art. 3 (zakaz nieludzkiego lub poniżającego traktowania)</w:t>
      </w:r>
      <w:r w:rsidRPr="00621E77">
        <w:t xml:space="preserve">, </w:t>
      </w:r>
      <w:r w:rsidRPr="00621E77">
        <w:rPr>
          <w:b/>
          <w:bCs/>
        </w:rPr>
        <w:t xml:space="preserve">art. 8 </w:t>
      </w:r>
      <w:r w:rsidRPr="00621E77">
        <w:rPr>
          <w:b/>
          <w:bCs/>
        </w:rPr>
        <w:lastRenderedPageBreak/>
        <w:t>(prawo do poszanowania życia prywatnego i rodzinnego)</w:t>
      </w:r>
      <w:r w:rsidRPr="00621E77">
        <w:t xml:space="preserve"> oraz </w:t>
      </w:r>
      <w:r w:rsidRPr="00621E77">
        <w:rPr>
          <w:b/>
          <w:bCs/>
        </w:rPr>
        <w:t xml:space="preserve">art. 5 </w:t>
      </w:r>
      <w:r w:rsidR="00770491">
        <w:rPr>
          <w:b/>
          <w:bCs/>
        </w:rPr>
        <w:t>ust.</w:t>
      </w:r>
      <w:r w:rsidRPr="00621E77">
        <w:rPr>
          <w:b/>
          <w:bCs/>
        </w:rPr>
        <w:t>1 (prawo do wolności i bezpieczeństwa osobistego)</w:t>
      </w:r>
      <w:r w:rsidRPr="00621E77">
        <w:t xml:space="preserve"> Europejskiej Konwencji Praw Człowieka.</w:t>
      </w:r>
    </w:p>
    <w:p w14:paraId="62431331" w14:textId="77777777" w:rsidR="002C3965" w:rsidRPr="00621E77" w:rsidRDefault="002C3965" w:rsidP="002C3965">
      <w:pPr>
        <w:jc w:val="both"/>
      </w:pPr>
      <w:r w:rsidRPr="00621E77">
        <w:t>Trybunał stwierdził, że skarżące zostały postawione w sytuacji psychicznie i fizycznie upokarzającej. Władze nie zapewniły im skutecznego dostępu do legalnej aborcji, a instytucje publiczne zamiast wspierać ofiarę przestępstwa, prowadziły wobec niej działania o charakterze represyjnym i stygmatyzującym.</w:t>
      </w:r>
    </w:p>
    <w:p w14:paraId="42441DE3" w14:textId="77777777" w:rsidR="002C3965" w:rsidRPr="00621E77" w:rsidRDefault="002C3965" w:rsidP="002C3965">
      <w:pPr>
        <w:jc w:val="both"/>
      </w:pPr>
      <w:r w:rsidRPr="00621E77">
        <w:t xml:space="preserve">W szczególności podkreślono, że dziewczyna została </w:t>
      </w:r>
      <w:r w:rsidRPr="00621E77">
        <w:rPr>
          <w:b/>
          <w:bCs/>
        </w:rPr>
        <w:t>niesłusznie zatrzymana i izolowana</w:t>
      </w:r>
      <w:r w:rsidRPr="00621E77">
        <w:t xml:space="preserve">, a jej prywatność została pogwałcona. Brak jasnych procedur i odmowy lekarzy skutkowały </w:t>
      </w:r>
      <w:r w:rsidRPr="00621E77">
        <w:rPr>
          <w:b/>
          <w:bCs/>
        </w:rPr>
        <w:t>realnym ograniczeniem dostępu do prawa</w:t>
      </w:r>
      <w:r w:rsidRPr="00621E77">
        <w:t>, które formalnie jej przysługiwało.</w:t>
      </w:r>
    </w:p>
    <w:p w14:paraId="4A3B5432" w14:textId="77777777" w:rsidR="002C3965" w:rsidRPr="00621E77" w:rsidRDefault="002C3965" w:rsidP="002C3965">
      <w:pPr>
        <w:jc w:val="both"/>
      </w:pPr>
      <w:r w:rsidRPr="00621E77">
        <w:t xml:space="preserve">Trybunał uznał, że działania władz naruszyły pozytywne zobowiązania Polski w zakresie ochrony praw człowieka, wskazując, że państwo powinno nie tylko formalnie zagwarantować prawo do legalnej aborcji, ale również </w:t>
      </w:r>
      <w:r w:rsidRPr="00621E77">
        <w:rPr>
          <w:b/>
          <w:bCs/>
        </w:rPr>
        <w:t>stworzyć realne warunki do jego wykonania</w:t>
      </w:r>
      <w:r w:rsidRPr="00621E77">
        <w:t>.</w:t>
      </w:r>
    </w:p>
    <w:p w14:paraId="6119EDFC" w14:textId="77777777" w:rsidR="002C3965" w:rsidRPr="00621E77" w:rsidRDefault="002C3965" w:rsidP="002C3965">
      <w:pPr>
        <w:pBdr>
          <w:bottom w:val="single" w:sz="6" w:space="1" w:color="auto"/>
        </w:pBdr>
        <w:jc w:val="both"/>
      </w:pPr>
      <w:r w:rsidRPr="00621E77">
        <w:t>To orzeczenie było przełomowe w kontekście praw reprodukcyjnych w Polsce i zwróciło uwagę na potrzebę jasnych, skutecznych i nieupokarzających procedur umożliwiających kobietom korzystanie z przysługujących im praw w sytuacjach szczególnych, takich jak ciąża po gwałcie.</w:t>
      </w:r>
    </w:p>
    <w:p w14:paraId="5DF379E2" w14:textId="77777777" w:rsidR="002C3965" w:rsidRPr="002C3965" w:rsidRDefault="002C3965" w:rsidP="002C3965">
      <w:pPr>
        <w:rPr>
          <w:color w:val="990033"/>
          <w:sz w:val="28"/>
          <w:szCs w:val="28"/>
        </w:rPr>
      </w:pPr>
    </w:p>
    <w:p w14:paraId="09DF29AB" w14:textId="1D4F9912" w:rsidR="00E65555" w:rsidRPr="00E65555" w:rsidRDefault="00E65555" w:rsidP="00E65555">
      <w:pPr>
        <w:jc w:val="center"/>
        <w:rPr>
          <w:b/>
          <w:bCs/>
          <w:color w:val="990033"/>
          <w:sz w:val="28"/>
          <w:szCs w:val="28"/>
        </w:rPr>
      </w:pPr>
      <w:bookmarkStart w:id="2" w:name="_Hlk194668568"/>
      <w:r w:rsidRPr="00E65555">
        <w:rPr>
          <w:b/>
          <w:bCs/>
          <w:color w:val="990033"/>
          <w:sz w:val="28"/>
          <w:szCs w:val="28"/>
          <w:u w:val="single"/>
        </w:rPr>
        <w:t xml:space="preserve">Orzecznictwo ETPC w sprawach </w:t>
      </w:r>
      <w:bookmarkEnd w:id="2"/>
      <w:r w:rsidRPr="00E65555">
        <w:rPr>
          <w:b/>
          <w:bCs/>
          <w:color w:val="990033"/>
          <w:sz w:val="28"/>
          <w:szCs w:val="28"/>
          <w:u w:val="single"/>
        </w:rPr>
        <w:t>in vitro</w:t>
      </w:r>
    </w:p>
    <w:p w14:paraId="61C85007" w14:textId="77777777" w:rsidR="00442C90" w:rsidRDefault="00442C90" w:rsidP="001340B1">
      <w:pPr>
        <w:jc w:val="both"/>
        <w:rPr>
          <w:b/>
          <w:bCs/>
        </w:rPr>
      </w:pPr>
    </w:p>
    <w:p w14:paraId="65DEBCEF" w14:textId="275778F6" w:rsidR="001340B1" w:rsidRPr="001340B1" w:rsidRDefault="001340B1" w:rsidP="001340B1">
      <w:pPr>
        <w:jc w:val="both"/>
      </w:pPr>
      <w:r w:rsidRPr="001340B1">
        <w:rPr>
          <w:b/>
          <w:bCs/>
        </w:rPr>
        <w:t>Sprawa Evans przeciwko Zjednoczonemu Królestwu (skarga nr 6339/05)</w:t>
      </w:r>
      <w:r w:rsidRPr="001340B1">
        <w:t xml:space="preserve"> dotyczyła niezwykle złożonego i precedensowego problemu z zakresu praw reprodukcyjnych i bioetyki – mianowicie prawa kobiety do wykorzystania zamrożonych zarodków po rozstaniu z partnerem, który współtworzył te zarodki metodą zapłodnienia in vitro.</w:t>
      </w:r>
    </w:p>
    <w:p w14:paraId="2D02FC5C" w14:textId="5CBB824F" w:rsidR="001340B1" w:rsidRPr="001340B1" w:rsidRDefault="001340B1" w:rsidP="001340B1">
      <w:pPr>
        <w:jc w:val="both"/>
      </w:pPr>
      <w:r w:rsidRPr="001340B1">
        <w:rPr>
          <w:b/>
          <w:bCs/>
        </w:rPr>
        <w:t>Natallie Evans</w:t>
      </w:r>
      <w:r w:rsidRPr="001340B1">
        <w:t xml:space="preserve"> w 2001 roku poddała się procedurze in vitro przed planowaną operacją usunięcia jajników z powodu nowotworu. Wraz ze swoim partnerem, </w:t>
      </w:r>
      <w:r w:rsidRPr="001340B1">
        <w:rPr>
          <w:b/>
          <w:bCs/>
        </w:rPr>
        <w:t>Howardem Johnstonem</w:t>
      </w:r>
      <w:r w:rsidRPr="001340B1">
        <w:t xml:space="preserve">, zgodziła się na zapłodnienie jej komórek jajowych jego nasieniem – powstałe zarodki zostały zamrożone. Para jednak </w:t>
      </w:r>
      <w:r w:rsidRPr="001340B1">
        <w:rPr>
          <w:b/>
          <w:bCs/>
        </w:rPr>
        <w:t>rozstała się przed implantacją</w:t>
      </w:r>
      <w:r w:rsidRPr="001340B1">
        <w:t xml:space="preserve">, a były partner </w:t>
      </w:r>
      <w:r w:rsidRPr="001340B1">
        <w:rPr>
          <w:b/>
          <w:bCs/>
        </w:rPr>
        <w:t>cofnął swoją zgodę na wykorzystanie zarodków</w:t>
      </w:r>
      <w:r w:rsidRPr="001340B1">
        <w:t>. Zgodnie z prawem brytyjskim (</w:t>
      </w:r>
      <w:hyperlink r:id="rId7" w:history="1">
        <w:r w:rsidRPr="00571F72">
          <w:rPr>
            <w:rStyle w:val="Hipercze"/>
          </w:rPr>
          <w:t>Human Fertilisation and Embryology Act 1990</w:t>
        </w:r>
      </w:hyperlink>
      <w:r w:rsidRPr="001340B1">
        <w:t xml:space="preserve">), </w:t>
      </w:r>
      <w:r w:rsidRPr="001340B1">
        <w:rPr>
          <w:b/>
          <w:bCs/>
        </w:rPr>
        <w:t>zarodki nie mogą być użyte bez zgody obu dawców gamet</w:t>
      </w:r>
      <w:r w:rsidRPr="001340B1">
        <w:t xml:space="preserve"> – co oznaczało, że Evans </w:t>
      </w:r>
      <w:r w:rsidRPr="001340B1">
        <w:rPr>
          <w:b/>
          <w:bCs/>
        </w:rPr>
        <w:t>straciła ostatnią szansę na biologiczne macierzyństwo</w:t>
      </w:r>
      <w:r w:rsidRPr="001340B1">
        <w:t>.</w:t>
      </w:r>
    </w:p>
    <w:p w14:paraId="66981F99" w14:textId="77777777" w:rsidR="001340B1" w:rsidRPr="001340B1" w:rsidRDefault="001340B1" w:rsidP="001340B1">
      <w:pPr>
        <w:jc w:val="both"/>
      </w:pPr>
      <w:r w:rsidRPr="001340B1">
        <w:t xml:space="preserve">W skardze do Europejskiego Trybunału Praw Człowieka Evans zarzuciła, że </w:t>
      </w:r>
      <w:r w:rsidRPr="001340B1">
        <w:rPr>
          <w:b/>
          <w:bCs/>
        </w:rPr>
        <w:t>odmowa pozwolenia na wykorzystanie zarodków narusza jej prawo do poszanowania życia prywatnego i rodzinnego</w:t>
      </w:r>
      <w:r w:rsidRPr="001340B1">
        <w:t xml:space="preserve"> (art. 8 EKPC) oraz że stanowiło to </w:t>
      </w:r>
      <w:r w:rsidRPr="001340B1">
        <w:rPr>
          <w:b/>
          <w:bCs/>
        </w:rPr>
        <w:t xml:space="preserve">dyskryminację ze względu </w:t>
      </w:r>
      <w:r w:rsidRPr="001340B1">
        <w:rPr>
          <w:b/>
          <w:bCs/>
        </w:rPr>
        <w:lastRenderedPageBreak/>
        <w:t>na jej sytuację zdrowotną</w:t>
      </w:r>
      <w:r w:rsidRPr="001340B1">
        <w:t xml:space="preserve"> (art. 14 w związku z art. 8). Twierdziła także, że chodzi tu o prawo do życia (art. 2), jednak Trybunał nie uznał tego zarzutu za mający zastosowanie w tej sprawie.</w:t>
      </w:r>
    </w:p>
    <w:p w14:paraId="75012A0A" w14:textId="77777777" w:rsidR="001340B1" w:rsidRPr="001340B1" w:rsidRDefault="001340B1" w:rsidP="001340B1">
      <w:pPr>
        <w:jc w:val="both"/>
      </w:pPr>
      <w:r w:rsidRPr="001340B1">
        <w:t xml:space="preserve">W wyroku z dnia </w:t>
      </w:r>
      <w:r w:rsidRPr="001340B1">
        <w:rPr>
          <w:b/>
          <w:bCs/>
        </w:rPr>
        <w:t>10 kwietnia 2007 roku</w:t>
      </w:r>
      <w:r w:rsidRPr="001340B1">
        <w:t xml:space="preserve"> Wielka Izba Trybunału </w:t>
      </w:r>
      <w:r w:rsidRPr="001340B1">
        <w:rPr>
          <w:b/>
          <w:bCs/>
        </w:rPr>
        <w:t>nie stwierdziła naruszenia Konwencji</w:t>
      </w:r>
      <w:r w:rsidRPr="001340B1">
        <w:t xml:space="preserve">. Uznała, że chociaż sprawa dotyczyła bardzo poważnego dylematu moralnego i osobistego dramatu, to </w:t>
      </w:r>
      <w:r w:rsidRPr="001340B1">
        <w:rPr>
          <w:b/>
          <w:bCs/>
        </w:rPr>
        <w:t>państwo miało prawo ustanowić przepisy, które równoważą prawa obu zaangażowanych stron</w:t>
      </w:r>
      <w:r w:rsidRPr="001340B1">
        <w:t>, a szczególnie prawo ojca do nieuczestniczenia w rodzicielstwie, na które już się nie zgadzał.</w:t>
      </w:r>
    </w:p>
    <w:p w14:paraId="48B6AC55" w14:textId="77777777" w:rsidR="001340B1" w:rsidRPr="001340B1" w:rsidRDefault="001340B1" w:rsidP="001340B1">
      <w:pPr>
        <w:jc w:val="both"/>
      </w:pPr>
      <w:r w:rsidRPr="001340B1">
        <w:t xml:space="preserve">Trybunał orzekł, że chociaż pani Evans miała </w:t>
      </w:r>
      <w:r w:rsidRPr="001340B1">
        <w:rPr>
          <w:b/>
          <w:bCs/>
        </w:rPr>
        <w:t>fundamentalny interes w zostaniu matką</w:t>
      </w:r>
      <w:r w:rsidRPr="001340B1">
        <w:t xml:space="preserve">, to </w:t>
      </w:r>
      <w:r w:rsidRPr="001340B1">
        <w:rPr>
          <w:b/>
          <w:bCs/>
        </w:rPr>
        <w:t>jej były partner miał równie fundamentalne prawo do decydowania, czy chce zostać ojcem</w:t>
      </w:r>
      <w:r w:rsidRPr="001340B1">
        <w:t>. W związku z tym ustawowe wymogi dotyczące zgody obojga partnerów nie zostały uznane za naruszenie art. 8, ponieważ mieściły się w granicach „uzasadnionej ingerencji państwa” i służyły ochronie praw innych osób.</w:t>
      </w:r>
    </w:p>
    <w:p w14:paraId="001A6B24" w14:textId="11933CB2" w:rsidR="00FB4672" w:rsidRDefault="001340B1" w:rsidP="006C0869">
      <w:pPr>
        <w:pBdr>
          <w:bottom w:val="single" w:sz="6" w:space="1" w:color="auto"/>
        </w:pBdr>
        <w:jc w:val="both"/>
      </w:pPr>
      <w:r w:rsidRPr="001340B1">
        <w:t xml:space="preserve">Sprawa </w:t>
      </w:r>
      <w:r w:rsidRPr="001340B1">
        <w:rPr>
          <w:b/>
          <w:bCs/>
        </w:rPr>
        <w:t>Evans przeciwko Zjednoczonemu Królestwu</w:t>
      </w:r>
      <w:r w:rsidRPr="001340B1">
        <w:t xml:space="preserve"> była </w:t>
      </w:r>
      <w:r w:rsidRPr="001340B1">
        <w:rPr>
          <w:b/>
          <w:bCs/>
        </w:rPr>
        <w:t>pierwszym tego rodzaju przypadkiem</w:t>
      </w:r>
      <w:r w:rsidRPr="001340B1">
        <w:t xml:space="preserve"> w Trybunale i odgrywa ważną rolę w debacie o granicach autonomii reprodukcyjnej, etyce medycznej i równowadze pomiędzy prawami obu rodziców. Choć wyrok był dla Natallie Evans tragiczny w skutkach osobistych, ukształtował ramy prawne dla przyszłych spraw związanych z zapłodnieniem in vitro i bioetyką w Europie.</w:t>
      </w:r>
    </w:p>
    <w:p w14:paraId="213E8F36" w14:textId="77777777" w:rsidR="009D56B9" w:rsidRPr="00D52142" w:rsidRDefault="009D56B9" w:rsidP="006C0869">
      <w:pPr>
        <w:jc w:val="both"/>
      </w:pPr>
    </w:p>
    <w:p w14:paraId="76CDCCD4" w14:textId="77777777" w:rsidR="006D34A7" w:rsidRPr="006D34A7" w:rsidRDefault="006D34A7" w:rsidP="006D34A7">
      <w:pPr>
        <w:jc w:val="both"/>
      </w:pPr>
      <w:r w:rsidRPr="006D34A7">
        <w:rPr>
          <w:b/>
          <w:bCs/>
        </w:rPr>
        <w:t>Sprawa S.H. i inni przeciwko Austrii (skarga nr 57813/00)</w:t>
      </w:r>
      <w:r w:rsidRPr="006D34A7">
        <w:t xml:space="preserve"> dotyczyła czterech osób – dwóch małżeństw – które </w:t>
      </w:r>
      <w:r w:rsidRPr="006D34A7">
        <w:rPr>
          <w:b/>
          <w:bCs/>
        </w:rPr>
        <w:t>zakwestionowały zakaz stosowania dawstwa komórek rozrodczych (nasienia i komórek jajowych) w procedurze zapłodnienia in vitro</w:t>
      </w:r>
      <w:r w:rsidRPr="006D34A7">
        <w:t>, obowiązujący w austriackim prawie.</w:t>
      </w:r>
    </w:p>
    <w:p w14:paraId="5037E364" w14:textId="77777777" w:rsidR="006D34A7" w:rsidRPr="006D34A7" w:rsidRDefault="006D34A7" w:rsidP="006D34A7">
      <w:pPr>
        <w:jc w:val="both"/>
      </w:pPr>
      <w:r w:rsidRPr="006D34A7">
        <w:t xml:space="preserve">Zgodnie z ustawą o medycynie rozrodu (Fortpflanzungsmedizingesetz) z 1992 roku, </w:t>
      </w:r>
      <w:r w:rsidRPr="006D34A7">
        <w:rPr>
          <w:b/>
          <w:bCs/>
        </w:rPr>
        <w:t>w Austrii dozwolone było wyłącznie zapłodnienie in vitro z wykorzystaniem gamet pochodzących od małżonków lub partnerów</w:t>
      </w:r>
      <w:r w:rsidRPr="006D34A7">
        <w:t>. Oznaczało to, że osoby, które nie mogły samodzielnie wyprodukować nasienia lub komórki jajowej, nie miały dostępu do pełnej procedury wspomaganego rozrodu na terenie kraju.</w:t>
      </w:r>
    </w:p>
    <w:p w14:paraId="0B1B4F45" w14:textId="77777777" w:rsidR="006D34A7" w:rsidRPr="006D34A7" w:rsidRDefault="006D34A7" w:rsidP="006D34A7">
      <w:pPr>
        <w:jc w:val="both"/>
      </w:pPr>
      <w:r w:rsidRPr="006D34A7">
        <w:t xml:space="preserve">Skarżący – pary, w których jedna ze stron cierpiała na niepłodność – twierdzili, że </w:t>
      </w:r>
      <w:r w:rsidRPr="006D34A7">
        <w:rPr>
          <w:b/>
          <w:bCs/>
        </w:rPr>
        <w:t>zakaz ten narusza ich prawa wynikające z art. 8 (prawo do poszanowania życia prywatnego i rodzinnego)</w:t>
      </w:r>
      <w:r w:rsidRPr="006D34A7">
        <w:t xml:space="preserve"> oraz </w:t>
      </w:r>
      <w:r w:rsidRPr="006D34A7">
        <w:rPr>
          <w:b/>
          <w:bCs/>
        </w:rPr>
        <w:t>art. 14 (zakaz dyskryminacji)</w:t>
      </w:r>
      <w:r w:rsidRPr="006D34A7">
        <w:t xml:space="preserve"> Europejskiej Konwencji Praw Człowieka, ponieważ dyskryminował ich ze względu na stan zdrowia (niepłodność) i ograniczał możliwość realizacji prawa do rodzicielstwa.</w:t>
      </w:r>
    </w:p>
    <w:p w14:paraId="31BCB8AC" w14:textId="77777777" w:rsidR="006D34A7" w:rsidRPr="006D34A7" w:rsidRDefault="006D34A7" w:rsidP="006D34A7">
      <w:pPr>
        <w:jc w:val="both"/>
      </w:pPr>
      <w:r w:rsidRPr="006D34A7">
        <w:t xml:space="preserve">Początkowo, w </w:t>
      </w:r>
      <w:r w:rsidRPr="006D34A7">
        <w:rPr>
          <w:b/>
          <w:bCs/>
        </w:rPr>
        <w:t>wyroku Izby z 1 kwietnia 2010 roku</w:t>
      </w:r>
      <w:r w:rsidRPr="006D34A7">
        <w:t xml:space="preserve">, Trybunał przyznał rację skarżącym, uznając, że </w:t>
      </w:r>
      <w:r w:rsidRPr="006D34A7">
        <w:rPr>
          <w:b/>
          <w:bCs/>
        </w:rPr>
        <w:t>zakaz dawstwa gamet do zapłodnienia in vitro był nieproporcjonalny</w:t>
      </w:r>
      <w:r w:rsidRPr="006D34A7">
        <w:t xml:space="preserve"> i ingerował w ich prawo do poszanowania życia prywatnego. Jednak </w:t>
      </w:r>
      <w:r w:rsidRPr="006D34A7">
        <w:rPr>
          <w:b/>
          <w:bCs/>
        </w:rPr>
        <w:t>rząd Austrii złożył odwołanie do Wielkiej Izby</w:t>
      </w:r>
      <w:r w:rsidRPr="006D34A7">
        <w:t>.</w:t>
      </w:r>
    </w:p>
    <w:p w14:paraId="30057793" w14:textId="77777777" w:rsidR="006D34A7" w:rsidRPr="006D34A7" w:rsidRDefault="006D34A7" w:rsidP="006D34A7">
      <w:pPr>
        <w:jc w:val="both"/>
      </w:pPr>
      <w:r w:rsidRPr="006D34A7">
        <w:lastRenderedPageBreak/>
        <w:t xml:space="preserve">W ostatecznym </w:t>
      </w:r>
      <w:r w:rsidRPr="006D34A7">
        <w:rPr>
          <w:b/>
          <w:bCs/>
        </w:rPr>
        <w:t>wyroku Wielkiej Izby z dnia 3 listopada 2011 roku</w:t>
      </w:r>
      <w:r w:rsidRPr="006D34A7">
        <w:t xml:space="preserve">, Trybunał </w:t>
      </w:r>
      <w:r w:rsidRPr="006D34A7">
        <w:rPr>
          <w:b/>
          <w:bCs/>
        </w:rPr>
        <w:t>zmienił wcześniejsze orzeczenie</w:t>
      </w:r>
      <w:r w:rsidRPr="006D34A7">
        <w:t xml:space="preserve"> i </w:t>
      </w:r>
      <w:r w:rsidRPr="006D34A7">
        <w:rPr>
          <w:b/>
          <w:bCs/>
        </w:rPr>
        <w:t>nie stwierdził naruszenia Konwencji</w:t>
      </w:r>
      <w:r w:rsidRPr="006D34A7">
        <w:t>.</w:t>
      </w:r>
    </w:p>
    <w:p w14:paraId="5CC91B1E" w14:textId="77777777" w:rsidR="006D34A7" w:rsidRPr="006D34A7" w:rsidRDefault="006D34A7" w:rsidP="006D34A7">
      <w:pPr>
        <w:jc w:val="both"/>
      </w:pPr>
      <w:r w:rsidRPr="006D34A7">
        <w:t xml:space="preserve">Trybunał uznał, że chociaż </w:t>
      </w:r>
      <w:r w:rsidRPr="006D34A7">
        <w:rPr>
          <w:b/>
          <w:bCs/>
        </w:rPr>
        <w:t>zakaz dawstwa komórek rozrodczych ograniczał możliwość korzystania z technik wspomaganego rozrodu</w:t>
      </w:r>
      <w:r w:rsidRPr="006D34A7">
        <w:t xml:space="preserve">, to </w:t>
      </w:r>
      <w:r w:rsidRPr="006D34A7">
        <w:rPr>
          <w:b/>
          <w:bCs/>
        </w:rPr>
        <w:t>państwo miało prawo do szerokiego marginesu uznania w kwestiach moralnych i bioetycznych</w:t>
      </w:r>
      <w:r w:rsidRPr="006D34A7">
        <w:t>, które budzą kontrowersje w społeczeństwie. Austriacki zakaz był – zdaniem Trybunału – spójny z zamierzeniem ustawodawcy, by chronić godność człowieka, unikać handlu komórkami rozrodczymi oraz ograniczać komercjalizację rozrodu.</w:t>
      </w:r>
    </w:p>
    <w:p w14:paraId="2A222A23" w14:textId="77777777" w:rsidR="006D34A7" w:rsidRPr="006D34A7" w:rsidRDefault="006D34A7" w:rsidP="006D34A7">
      <w:pPr>
        <w:jc w:val="both"/>
      </w:pPr>
      <w:r w:rsidRPr="006D34A7">
        <w:t xml:space="preserve">Trybunał przyznał, że prawo do posiadania dziecka z pomocą technik medycznych wchodzi w zakres </w:t>
      </w:r>
      <w:r w:rsidRPr="006D34A7">
        <w:rPr>
          <w:b/>
          <w:bCs/>
        </w:rPr>
        <w:t>art. 8</w:t>
      </w:r>
      <w:r w:rsidRPr="006D34A7">
        <w:t xml:space="preserve">, ale stwierdził, że </w:t>
      </w:r>
      <w:r w:rsidRPr="006D34A7">
        <w:rPr>
          <w:b/>
          <w:bCs/>
        </w:rPr>
        <w:t>nie istnieje absolutne prawo do konkretnej metody zapłodnienia</w:t>
      </w:r>
      <w:r w:rsidRPr="006D34A7">
        <w:t>. Państwa członkowskie mają zatem prawo ograniczać niektóre procedury z uwagi na interes społeczny, nawet jeśli skutkuje to różnicami w dostępności metod leczenia niepłodności pomiędzy krajami.</w:t>
      </w:r>
    </w:p>
    <w:p w14:paraId="75E895FE" w14:textId="23768164" w:rsidR="002C3965" w:rsidRDefault="006D34A7" w:rsidP="00C26190">
      <w:pPr>
        <w:pBdr>
          <w:bottom w:val="single" w:sz="6" w:space="1" w:color="auto"/>
        </w:pBdr>
        <w:jc w:val="both"/>
      </w:pPr>
      <w:r w:rsidRPr="006D34A7">
        <w:rPr>
          <w:b/>
          <w:bCs/>
        </w:rPr>
        <w:t>Sprawa S.H. przeciwko Austrii</w:t>
      </w:r>
      <w:r w:rsidRPr="006D34A7">
        <w:t xml:space="preserve"> była jednym z najważniejszych orzeczeń ETPC dotyczących </w:t>
      </w:r>
      <w:r w:rsidRPr="006D34A7">
        <w:rPr>
          <w:b/>
          <w:bCs/>
        </w:rPr>
        <w:t>bioetyki i praw reprodukcyjnych</w:t>
      </w:r>
      <w:r w:rsidRPr="006D34A7">
        <w:t xml:space="preserve">, w którym Trybunał położył duży nacisk na </w:t>
      </w:r>
      <w:r w:rsidRPr="006D34A7">
        <w:rPr>
          <w:b/>
          <w:bCs/>
        </w:rPr>
        <w:t>subsydiarność i różnorodność rozwiązań krajowych</w:t>
      </w:r>
      <w:r w:rsidRPr="006D34A7">
        <w:t>. Pokazała też, że Trybunał nie zawsze orzeka na korzyść rozszerzania praw reprodukcyjnych, jeżeli państwo potrafi przekonująco uzasadnić swoje ograniczenia.</w:t>
      </w:r>
    </w:p>
    <w:p w14:paraId="72BD042C" w14:textId="77777777" w:rsidR="00444911" w:rsidRPr="00444911" w:rsidRDefault="00444911" w:rsidP="00444911">
      <w:pPr>
        <w:jc w:val="both"/>
      </w:pPr>
      <w:r w:rsidRPr="00444911">
        <w:rPr>
          <w:b/>
          <w:bCs/>
        </w:rPr>
        <w:t>Sprawa Parrillo przeciwko Włochom (skarga nr 46470/11)</w:t>
      </w:r>
      <w:r w:rsidRPr="00444911">
        <w:t xml:space="preserve"> dotyczyła </w:t>
      </w:r>
      <w:r w:rsidRPr="00444911">
        <w:rPr>
          <w:b/>
          <w:bCs/>
        </w:rPr>
        <w:t>zakazu wykorzystania zamrożonych zarodków do celów naukowych</w:t>
      </w:r>
      <w:r w:rsidRPr="00444911">
        <w:t xml:space="preserve">, który wynikał z włoskiej ustawy nr 40/2004 o sztucznym zapłodnieniu. Skarżąca, </w:t>
      </w:r>
      <w:r w:rsidRPr="00444911">
        <w:rPr>
          <w:b/>
          <w:bCs/>
        </w:rPr>
        <w:t>Adelina Parrillo</w:t>
      </w:r>
      <w:r w:rsidRPr="00444911">
        <w:t xml:space="preserve">, poddała się procedurze zapłodnienia in vitro ze swoim partnerem, ale przed wszczepieniem zarodków mężczyzna zmarł. Kobieta zdecydowała, że nie chce już zostać matką, ale chciała, aby pięć przechowywanych zarodków </w:t>
      </w:r>
      <w:r w:rsidRPr="00444911">
        <w:rPr>
          <w:b/>
          <w:bCs/>
        </w:rPr>
        <w:t>zostało przekazanych na potrzeby badań medycznych</w:t>
      </w:r>
      <w:r w:rsidRPr="00444911">
        <w:t xml:space="preserve"> – jednak włoskie prawo na to nie zezwalało.</w:t>
      </w:r>
    </w:p>
    <w:p w14:paraId="5855F170" w14:textId="77777777" w:rsidR="00444911" w:rsidRPr="00444911" w:rsidRDefault="00444911" w:rsidP="00444911">
      <w:pPr>
        <w:jc w:val="both"/>
      </w:pPr>
      <w:r w:rsidRPr="00444911">
        <w:t xml:space="preserve">W skardze do Europejskiego Trybunału Praw Człowieka Parrillo argumentowała, że </w:t>
      </w:r>
      <w:r w:rsidRPr="00444911">
        <w:rPr>
          <w:b/>
          <w:bCs/>
        </w:rPr>
        <w:t>zakaz dysponowania własnymi zarodkami stanowi naruszenie art. 8 Konwencji</w:t>
      </w:r>
      <w:r w:rsidRPr="00444911">
        <w:t xml:space="preserve"> (prawo do poszanowania życia prywatnego), ponieważ zarodki powstały z jej komórek jajowych i jej partnera, a więc miała do nich szczególne prawo osobistego związku. Ponadto wskazywała na </w:t>
      </w:r>
      <w:r w:rsidRPr="00444911">
        <w:rPr>
          <w:b/>
          <w:bCs/>
        </w:rPr>
        <w:t>naruszenie wolności sumienia i przekonań (art. 9)</w:t>
      </w:r>
      <w:r w:rsidRPr="00444911">
        <w:t>, twierdząc, że uniemożliwienie jej niesienia pomocy nauce i ratowania ludzkiego życia było sprzeczne z jej etyką osobistą.</w:t>
      </w:r>
    </w:p>
    <w:p w14:paraId="741C2D6D" w14:textId="77777777" w:rsidR="00444911" w:rsidRPr="00444911" w:rsidRDefault="00444911" w:rsidP="00444911">
      <w:pPr>
        <w:jc w:val="both"/>
      </w:pPr>
      <w:r w:rsidRPr="00444911">
        <w:t xml:space="preserve">W wyroku z dnia </w:t>
      </w:r>
      <w:r w:rsidRPr="00444911">
        <w:rPr>
          <w:b/>
          <w:bCs/>
        </w:rPr>
        <w:t>27 sierpnia 2015 roku</w:t>
      </w:r>
      <w:r w:rsidRPr="00444911">
        <w:t xml:space="preserve"> Wielka Izba Trybunału </w:t>
      </w:r>
      <w:r w:rsidRPr="00444911">
        <w:rPr>
          <w:b/>
          <w:bCs/>
        </w:rPr>
        <w:t>nie stwierdziła naruszenia Konwencji</w:t>
      </w:r>
      <w:r w:rsidRPr="00444911">
        <w:t xml:space="preserve">. Trybunał przyznał, że art. 8 znajduje zastosowanie – uznał, że relacja osoby do zarodków, które powstały z jej materiału genetycznego, </w:t>
      </w:r>
      <w:r w:rsidRPr="00444911">
        <w:rPr>
          <w:b/>
          <w:bCs/>
        </w:rPr>
        <w:t>może być objęta zakresem życia prywatnego</w:t>
      </w:r>
      <w:r w:rsidRPr="00444911">
        <w:t xml:space="preserve">. Jednak uznał również, że </w:t>
      </w:r>
      <w:r w:rsidRPr="00444911">
        <w:rPr>
          <w:b/>
          <w:bCs/>
        </w:rPr>
        <w:t>Włochy miały prawo do ograniczenia tego prawa</w:t>
      </w:r>
      <w:r w:rsidRPr="00444911">
        <w:t>, ponieważ:</w:t>
      </w:r>
    </w:p>
    <w:p w14:paraId="7807A355" w14:textId="77777777" w:rsidR="00444911" w:rsidRPr="00444911" w:rsidRDefault="00444911" w:rsidP="00444911">
      <w:pPr>
        <w:numPr>
          <w:ilvl w:val="0"/>
          <w:numId w:val="3"/>
        </w:numPr>
        <w:jc w:val="both"/>
      </w:pPr>
      <w:r w:rsidRPr="00444911">
        <w:lastRenderedPageBreak/>
        <w:t xml:space="preserve">zagadnienie </w:t>
      </w:r>
      <w:r w:rsidRPr="00444911">
        <w:rPr>
          <w:b/>
          <w:bCs/>
        </w:rPr>
        <w:t>statusu prawnego zarodków</w:t>
      </w:r>
      <w:r w:rsidRPr="00444911">
        <w:t xml:space="preserve"> wciąż budzi poważne kontrowersje moralne, religijne i etyczne w Europie,</w:t>
      </w:r>
    </w:p>
    <w:p w14:paraId="5811F414" w14:textId="77777777" w:rsidR="00444911" w:rsidRPr="00444911" w:rsidRDefault="00444911" w:rsidP="00444911">
      <w:pPr>
        <w:numPr>
          <w:ilvl w:val="0"/>
          <w:numId w:val="3"/>
        </w:numPr>
        <w:jc w:val="both"/>
      </w:pPr>
      <w:r w:rsidRPr="00444911">
        <w:rPr>
          <w:b/>
          <w:bCs/>
        </w:rPr>
        <w:t>nie ma konsensusu wśród państw członkowskich Rady Europy</w:t>
      </w:r>
      <w:r w:rsidRPr="00444911">
        <w:t xml:space="preserve"> co do dopuszczalności wykorzystania zarodków do celów badawczych,</w:t>
      </w:r>
    </w:p>
    <w:p w14:paraId="43CD9B60" w14:textId="77777777" w:rsidR="00444911" w:rsidRPr="00444911" w:rsidRDefault="00444911" w:rsidP="00444911">
      <w:pPr>
        <w:numPr>
          <w:ilvl w:val="0"/>
          <w:numId w:val="3"/>
        </w:numPr>
        <w:jc w:val="both"/>
      </w:pPr>
      <w:r w:rsidRPr="00444911">
        <w:t xml:space="preserve">państwa mają </w:t>
      </w:r>
      <w:r w:rsidRPr="00444911">
        <w:rPr>
          <w:b/>
          <w:bCs/>
        </w:rPr>
        <w:t>szeroki margines uznania</w:t>
      </w:r>
      <w:r w:rsidRPr="00444911">
        <w:t xml:space="preserve"> w regulowaniu kwestii bioetycznych, zwłaszcza gdy w grę wchodzą kwestie godności i ochrony życia.</w:t>
      </w:r>
    </w:p>
    <w:p w14:paraId="41CE923C" w14:textId="77777777" w:rsidR="00444911" w:rsidRPr="00444911" w:rsidRDefault="00444911" w:rsidP="00444911">
      <w:pPr>
        <w:jc w:val="both"/>
      </w:pPr>
      <w:r w:rsidRPr="00444911">
        <w:t xml:space="preserve">Trybunał zaznaczył, że </w:t>
      </w:r>
      <w:r w:rsidRPr="00444911">
        <w:rPr>
          <w:b/>
          <w:bCs/>
        </w:rPr>
        <w:t>zarodki nie są "osobami" w rozumieniu art. 2 Konwencji</w:t>
      </w:r>
      <w:r w:rsidRPr="00444911">
        <w:t xml:space="preserve">, ale ich szczególny charakter może uzasadniać prawne ograniczenia w ich traktowaniu. W konsekwencji, Włochy </w:t>
      </w:r>
      <w:r w:rsidRPr="00444911">
        <w:rPr>
          <w:b/>
          <w:bCs/>
        </w:rPr>
        <w:t>nie naruszyły praw Parrillo</w:t>
      </w:r>
      <w:r w:rsidRPr="00444911">
        <w:t>, ponieważ ustawowy zakaz wykorzystywania zarodków do badań był wyrazem demokratycznego kompromisu w kraju.</w:t>
      </w:r>
    </w:p>
    <w:p w14:paraId="2CCCD1E7" w14:textId="77777777" w:rsidR="00444911" w:rsidRDefault="00444911" w:rsidP="00444911">
      <w:pPr>
        <w:pBdr>
          <w:bottom w:val="single" w:sz="6" w:space="1" w:color="auto"/>
        </w:pBdr>
        <w:jc w:val="both"/>
      </w:pPr>
      <w:r w:rsidRPr="00444911">
        <w:rPr>
          <w:b/>
          <w:bCs/>
        </w:rPr>
        <w:t>Sprawa Parrillo przeciwko Włochom</w:t>
      </w:r>
      <w:r w:rsidRPr="00444911">
        <w:t xml:space="preserve"> miała istotne znaczenie dla orzecznictwa Trybunału w obszarze </w:t>
      </w:r>
      <w:r w:rsidRPr="00444911">
        <w:rPr>
          <w:b/>
          <w:bCs/>
        </w:rPr>
        <w:t>bioetyki, praw reprodukcyjnych oraz granic autonomii jednostki wobec zarodków in vitro</w:t>
      </w:r>
      <w:r w:rsidRPr="00444911">
        <w:t xml:space="preserve">. Podobnie jak w sprawach </w:t>
      </w:r>
      <w:r w:rsidRPr="00444911">
        <w:rPr>
          <w:b/>
          <w:bCs/>
        </w:rPr>
        <w:t>Evans przeciwko Zjednoczonemu Królestwu</w:t>
      </w:r>
      <w:r w:rsidRPr="00444911">
        <w:t xml:space="preserve"> i </w:t>
      </w:r>
      <w:r w:rsidRPr="00444911">
        <w:rPr>
          <w:b/>
          <w:bCs/>
        </w:rPr>
        <w:t>S.H. przeciwko Austrii</w:t>
      </w:r>
      <w:r w:rsidRPr="00444911">
        <w:t>, Trybunał podkreślił rolę państw w kształtowaniu delikatnej równowagi między nauką, etyką a ochroną życia w jego najwcześniejszych formach.</w:t>
      </w:r>
    </w:p>
    <w:p w14:paraId="4DEA951F" w14:textId="77777777" w:rsidR="00120517" w:rsidRDefault="00120517" w:rsidP="00120517">
      <w:pPr>
        <w:jc w:val="both"/>
      </w:pPr>
      <w:r>
        <w:t xml:space="preserve">Sprawa </w:t>
      </w:r>
      <w:r w:rsidRPr="00120517">
        <w:rPr>
          <w:b/>
          <w:bCs/>
        </w:rPr>
        <w:t>Pojatina przeciwko Chorwacji</w:t>
      </w:r>
      <w:r>
        <w:t xml:space="preserve"> (nr skargi 18568/12) dotyczyła skargi kobiety, która zakwestionowała zgodność z Konwencją krajowego zakazu dawstwa anonimowych komórek jajowych. Skarżąca twierdziła, że niemożność skorzystania z anonimowego dawstwa uniemożliwiła jej posiadanie biologicznego potomstwa, co naruszyło jej prawo do poszanowania życia prywatnego i rodzinnego, chronione art. 8 Europejskiej Konwencji Praw Człowieka.</w:t>
      </w:r>
    </w:p>
    <w:p w14:paraId="3B67995C" w14:textId="77777777" w:rsidR="00120517" w:rsidRDefault="00120517" w:rsidP="00120517">
      <w:pPr>
        <w:jc w:val="both"/>
      </w:pPr>
      <w:r>
        <w:t>W 2009 roku Chorwacja wprowadziła nową ustawę o leczeniu niepłodności, która zakazała anonimowego dawstwa gamet, wymagając, aby dawca był znany i zarejestrowany. Przed tą zmianą istniała możliwość skorzystania z anonimowego dawcy, co było jedyną realną opcją dla wielu par i samotnych kobiet cierpiących na niepłodność. Nowa regulacja spowodowała, że kliniki przestały oferować tego typu zabiegi, ograniczając dostęp do leczenia metodą in vitro z użyciem komórek jajowych dawczyni.</w:t>
      </w:r>
    </w:p>
    <w:p w14:paraId="107322C2" w14:textId="77777777" w:rsidR="00120517" w:rsidRDefault="00120517" w:rsidP="00120517">
      <w:pPr>
        <w:jc w:val="both"/>
      </w:pPr>
      <w:r>
        <w:t>Skarżąca, która nie mogła mieć dzieci z powodu medycznych przeciwwskazań, próbowała skorzystać z leczenia, jednak brak anonimowych dawczyń w Chorwacji uniemożliwił jej to w praktyce, mimo że formalnie leczenie pozostawało dostępne. Nie miała również możliwości uzyskania takiego świadczenia za granicą na koszt chorwackiego systemu opieki zdrowotnej. Twierdziła więc, że państwo de facto pozbawiło ją możliwości zostania matką i ingerowało w jej życie prywatne i rodzinne.</w:t>
      </w:r>
    </w:p>
    <w:p w14:paraId="2C093921" w14:textId="77777777" w:rsidR="00120517" w:rsidRDefault="00120517" w:rsidP="00120517">
      <w:pPr>
        <w:jc w:val="both"/>
      </w:pPr>
      <w:r w:rsidRPr="00120517">
        <w:rPr>
          <w:b/>
          <w:bCs/>
        </w:rPr>
        <w:t>W wyroku z dnia 4 października 2020 roku</w:t>
      </w:r>
      <w:r>
        <w:t xml:space="preserve">, Europejski Trybunał Praw Człowieka uznał, że </w:t>
      </w:r>
      <w:r w:rsidRPr="00120517">
        <w:rPr>
          <w:b/>
          <w:bCs/>
        </w:rPr>
        <w:t>nie doszło do naruszenia art. 8 Konwencji</w:t>
      </w:r>
      <w:r>
        <w:t xml:space="preserve">. Trybunał stwierdził, że choć sprawa </w:t>
      </w:r>
      <w:r>
        <w:lastRenderedPageBreak/>
        <w:t>dotyczyła bardzo osobistych i delikatnych kwestii z zakresu życia prywatnego, to państwa członkowskie dysponują szerokim marginesem uznania w kwestiach bioetycznych i regulacji procedur medycznych, zwłaszcza w tak dynamicznie rozwijającej się dziedzinie jak medycyna reprodukcyjna.</w:t>
      </w:r>
    </w:p>
    <w:p w14:paraId="78E179DB" w14:textId="77777777" w:rsidR="00120517" w:rsidRDefault="00120517" w:rsidP="00120517">
      <w:pPr>
        <w:jc w:val="both"/>
      </w:pPr>
      <w:r>
        <w:t>Trybunał zaakceptował argumenty władz chorwackich, że celem nowej ustawy była ochrona tożsamości dziecka, zapewnienie przejrzystości systemu dawstwa gamet oraz zgodność z zasadami etyki. Podkreślił, że nie istniał europejski konsensus co do modelu dawstwa gamet – część państw dopuszcza dawstwo anonimowe, inne je ograniczają lub zakazują. W tym kontekście chorwackie rozwiązanie nie zostało uznane za nieproporcjonalne.</w:t>
      </w:r>
    </w:p>
    <w:p w14:paraId="7D0CC2B6" w14:textId="77777777" w:rsidR="00120517" w:rsidRDefault="00120517" w:rsidP="00120517">
      <w:pPr>
        <w:jc w:val="both"/>
      </w:pPr>
      <w:r>
        <w:t>Trybunał zaznaczył również, że skutki ograniczenia dla skarżącej były poważne, jednak państwo nie ponosi odpowiedzialności za to, że konkretne techniczne rozwiązania (brak dawczyń) uniemożliwiły jej zabieg, skoro samo prawo przewidywało możliwość leczenia w zgodzie z zasadami ustawy.</w:t>
      </w:r>
    </w:p>
    <w:p w14:paraId="41100EEF" w14:textId="13A9DAFF" w:rsidR="00837CC8" w:rsidRDefault="00120517" w:rsidP="00120517">
      <w:pPr>
        <w:jc w:val="both"/>
      </w:pPr>
      <w:r>
        <w:t xml:space="preserve">Wyrok ten ukazuje </w:t>
      </w:r>
      <w:r>
        <w:t xml:space="preserve">konflikt </w:t>
      </w:r>
      <w:r>
        <w:t>pomiędzy prawami jednostki do decydowania o swoim życiu reprodukcyjnym a interesem publicznym i etycznymi dylematami państw w zakresie leczenia niepłodności i dostępu do usług medycznych opartych na dawstwie komórek rozrodczych</w:t>
      </w:r>
    </w:p>
    <w:p w14:paraId="759ED44B" w14:textId="77777777" w:rsidR="00120517" w:rsidRPr="00444911" w:rsidRDefault="00120517" w:rsidP="00120517">
      <w:pPr>
        <w:jc w:val="both"/>
      </w:pPr>
    </w:p>
    <w:p w14:paraId="733FA185" w14:textId="4AC9F8B5" w:rsidR="00444911" w:rsidRDefault="00837CC8" w:rsidP="00837CC8">
      <w:pPr>
        <w:jc w:val="center"/>
        <w:rPr>
          <w:b/>
          <w:bCs/>
          <w:color w:val="990033"/>
          <w:sz w:val="28"/>
          <w:szCs w:val="28"/>
          <w:u w:val="single"/>
        </w:rPr>
      </w:pPr>
      <w:bookmarkStart w:id="3" w:name="_Hlk194669652"/>
      <w:r w:rsidRPr="00E65555">
        <w:rPr>
          <w:b/>
          <w:bCs/>
          <w:color w:val="990033"/>
          <w:sz w:val="28"/>
          <w:szCs w:val="28"/>
          <w:u w:val="single"/>
        </w:rPr>
        <w:t>Orzecznictwo ETPC w sprawach</w:t>
      </w:r>
      <w:r>
        <w:rPr>
          <w:b/>
          <w:bCs/>
          <w:color w:val="990033"/>
          <w:sz w:val="28"/>
          <w:szCs w:val="28"/>
          <w:u w:val="single"/>
        </w:rPr>
        <w:t xml:space="preserve"> </w:t>
      </w:r>
      <w:bookmarkEnd w:id="3"/>
      <w:r>
        <w:rPr>
          <w:b/>
          <w:bCs/>
          <w:color w:val="990033"/>
          <w:sz w:val="28"/>
          <w:szCs w:val="28"/>
          <w:u w:val="single"/>
        </w:rPr>
        <w:t>surogacji</w:t>
      </w:r>
    </w:p>
    <w:p w14:paraId="141AB8D3" w14:textId="77777777" w:rsidR="00837CC8" w:rsidRDefault="00837CC8" w:rsidP="00837CC8">
      <w:pPr>
        <w:jc w:val="center"/>
        <w:rPr>
          <w:b/>
          <w:bCs/>
          <w:color w:val="990033"/>
          <w:sz w:val="28"/>
          <w:szCs w:val="28"/>
          <w:u w:val="single"/>
        </w:rPr>
      </w:pPr>
    </w:p>
    <w:p w14:paraId="0B95DF4D" w14:textId="77777777" w:rsidR="00837CC8" w:rsidRPr="00837CC8" w:rsidRDefault="00837CC8" w:rsidP="00837CC8">
      <w:pPr>
        <w:jc w:val="both"/>
      </w:pPr>
      <w:r w:rsidRPr="00837CC8">
        <w:rPr>
          <w:b/>
          <w:bCs/>
        </w:rPr>
        <w:t>Sprawa Mennesson przeciwko Francji (skarga nr 65192/11)</w:t>
      </w:r>
      <w:r w:rsidRPr="00837CC8">
        <w:t xml:space="preserve"> dotyczyła odmowy uznania w prawie francuskim </w:t>
      </w:r>
      <w:r w:rsidRPr="00837CC8">
        <w:rPr>
          <w:b/>
          <w:bCs/>
        </w:rPr>
        <w:t>relacji rodzic-dziecko wynikającej z surogacji</w:t>
      </w:r>
      <w:r w:rsidRPr="00837CC8">
        <w:t xml:space="preserve"> przeprowadzonej za granicą – w tym przypadku w Stanach Zjednoczonych – przez obywateli Francji.</w:t>
      </w:r>
    </w:p>
    <w:p w14:paraId="0FA43EE1" w14:textId="77777777" w:rsidR="00837CC8" w:rsidRPr="00837CC8" w:rsidRDefault="00837CC8" w:rsidP="00837CC8">
      <w:pPr>
        <w:jc w:val="both"/>
      </w:pPr>
      <w:r w:rsidRPr="00837CC8">
        <w:t xml:space="preserve">Skarżący – </w:t>
      </w:r>
      <w:r w:rsidRPr="00837CC8">
        <w:rPr>
          <w:b/>
          <w:bCs/>
        </w:rPr>
        <w:t>Dominique i Sylvie Mennesson</w:t>
      </w:r>
      <w:r w:rsidRPr="00837CC8">
        <w:t xml:space="preserve">, francuscy obywatele – skorzystali z procedury </w:t>
      </w:r>
      <w:r w:rsidRPr="00837CC8">
        <w:rPr>
          <w:b/>
          <w:bCs/>
        </w:rPr>
        <w:t>macierzyństwa zastępczego (surogacji)</w:t>
      </w:r>
      <w:r w:rsidRPr="00837CC8">
        <w:t xml:space="preserve"> w Kalifornii, gdzie urodziły się bliźnięta. Zgodnie z amerykańskim aktem urodzenia Dominique Mennesson został uznany za biologicznego ojca, a jego żona Sylvie – mimo że nie była biologiczną matką – za matkę prawną dzieci. Po powrocie do Francji para próbowała uzyskać </w:t>
      </w:r>
      <w:r w:rsidRPr="00837CC8">
        <w:rPr>
          <w:b/>
          <w:bCs/>
        </w:rPr>
        <w:t>transkrypcję amerykańskich aktów urodzenia do francuskich ksiąg stanu cywilnego</w:t>
      </w:r>
      <w:r w:rsidRPr="00837CC8">
        <w:t>, aby zapewnić dzieciom pełnię praw rodzinnych i obywatelskich.</w:t>
      </w:r>
    </w:p>
    <w:p w14:paraId="2B0CF02B" w14:textId="77777777" w:rsidR="00837CC8" w:rsidRPr="00837CC8" w:rsidRDefault="00837CC8" w:rsidP="00837CC8">
      <w:pPr>
        <w:jc w:val="both"/>
      </w:pPr>
      <w:r w:rsidRPr="00837CC8">
        <w:t xml:space="preserve">Jednak </w:t>
      </w:r>
      <w:r w:rsidRPr="00837CC8">
        <w:rPr>
          <w:b/>
          <w:bCs/>
        </w:rPr>
        <w:t>władze francuskie odmówiły uznania tego rodzicielstwa</w:t>
      </w:r>
      <w:r w:rsidRPr="00837CC8">
        <w:t xml:space="preserve">, powołując się na art. 16-7 Kodeksu cywilnego, który zakazuje surogacji jako sprzecznej z francuskim porządkiem publicznym. W efekcie </w:t>
      </w:r>
      <w:r w:rsidRPr="00837CC8">
        <w:rPr>
          <w:b/>
          <w:bCs/>
        </w:rPr>
        <w:t>dzieci Mennessonów pozostały bez oficjalnych więzi prawnych z matką, a nawet status ojca biologicznego był prawnie niepewny</w:t>
      </w:r>
      <w:r w:rsidRPr="00837CC8">
        <w:t>, co miało wpływ m.in. na obywatelstwo, dziedziczenie i status rodzinny.</w:t>
      </w:r>
    </w:p>
    <w:p w14:paraId="2A665E77" w14:textId="7603AB01" w:rsidR="00837CC8" w:rsidRPr="00837CC8" w:rsidRDefault="00837CC8" w:rsidP="00837CC8">
      <w:pPr>
        <w:jc w:val="both"/>
      </w:pPr>
      <w:r w:rsidRPr="00837CC8">
        <w:lastRenderedPageBreak/>
        <w:t xml:space="preserve">W skardze do Europejskiego Trybunału Praw Człowieka para zarzuciła naruszenie </w:t>
      </w:r>
      <w:r w:rsidRPr="00837CC8">
        <w:rPr>
          <w:b/>
          <w:bCs/>
        </w:rPr>
        <w:t>art. 8 Konwencji (prawo do poszanowania życia prywatnego i rodzinnego)</w:t>
      </w:r>
      <w:r w:rsidRPr="00837CC8">
        <w:t xml:space="preserve"> oraz </w:t>
      </w:r>
      <w:r w:rsidRPr="00837CC8">
        <w:rPr>
          <w:b/>
          <w:bCs/>
        </w:rPr>
        <w:t>art. 14 (zakaz dyskryminacji)</w:t>
      </w:r>
      <w:r w:rsidRPr="00837CC8">
        <w:t xml:space="preserve"> – twierdząc, że dzieci zostały </w:t>
      </w:r>
      <w:r w:rsidR="00C26190">
        <w:rPr>
          <w:b/>
          <w:bCs/>
        </w:rPr>
        <w:t>pokrzywdzone</w:t>
      </w:r>
      <w:r w:rsidRPr="00837CC8">
        <w:rPr>
          <w:b/>
          <w:bCs/>
        </w:rPr>
        <w:t xml:space="preserve"> poprzez brak uznania ich relacji rodzinnych</w:t>
      </w:r>
      <w:r w:rsidRPr="00837CC8">
        <w:t xml:space="preserve"> z osobami, które były ich faktycznymi rodzicami od urodzenia.</w:t>
      </w:r>
    </w:p>
    <w:p w14:paraId="3442C197" w14:textId="77777777" w:rsidR="00837CC8" w:rsidRPr="00837CC8" w:rsidRDefault="00837CC8" w:rsidP="00837CC8">
      <w:pPr>
        <w:jc w:val="both"/>
      </w:pPr>
      <w:r w:rsidRPr="00837CC8">
        <w:t xml:space="preserve">W wyroku z dnia </w:t>
      </w:r>
      <w:r w:rsidRPr="00837CC8">
        <w:rPr>
          <w:b/>
          <w:bCs/>
        </w:rPr>
        <w:t>26 czerwca 2014 roku</w:t>
      </w:r>
      <w:r w:rsidRPr="00837CC8">
        <w:t xml:space="preserve">, Trybunał </w:t>
      </w:r>
      <w:r w:rsidRPr="00837CC8">
        <w:rPr>
          <w:b/>
          <w:bCs/>
        </w:rPr>
        <w:t>stwierdził naruszenie art. 8 Konwencji w odniesieniu do prawa dzieci do życia prywatnego</w:t>
      </w:r>
      <w:r w:rsidRPr="00837CC8">
        <w:t xml:space="preserve">. Uznał, że odmowa uznania </w:t>
      </w:r>
      <w:r w:rsidRPr="00837CC8">
        <w:rPr>
          <w:b/>
          <w:bCs/>
        </w:rPr>
        <w:t>relacji rodzinnych między dziećmi a ich biologicznym ojcem</w:t>
      </w:r>
      <w:r w:rsidRPr="00837CC8">
        <w:t xml:space="preserve"> naruszała ich tożsamość osobistą i prawną. Podkreślił, że:</w:t>
      </w:r>
    </w:p>
    <w:p w14:paraId="000986D7" w14:textId="77777777" w:rsidR="00837CC8" w:rsidRPr="00837CC8" w:rsidRDefault="00837CC8" w:rsidP="00837CC8">
      <w:pPr>
        <w:numPr>
          <w:ilvl w:val="0"/>
          <w:numId w:val="5"/>
        </w:numPr>
        <w:jc w:val="both"/>
      </w:pPr>
      <w:r w:rsidRPr="00837CC8">
        <w:t>dzieci, jako osoby fizyczne, mają prawo do ustalenia swojej tożsamości, w tym pochodzenia,</w:t>
      </w:r>
    </w:p>
    <w:p w14:paraId="08869670" w14:textId="77777777" w:rsidR="00837CC8" w:rsidRPr="00837CC8" w:rsidRDefault="00837CC8" w:rsidP="00837CC8">
      <w:pPr>
        <w:numPr>
          <w:ilvl w:val="0"/>
          <w:numId w:val="5"/>
        </w:numPr>
        <w:jc w:val="both"/>
      </w:pPr>
      <w:r w:rsidRPr="00837CC8">
        <w:t xml:space="preserve">prawo do życia prywatnego obejmuje </w:t>
      </w:r>
      <w:r w:rsidRPr="00837CC8">
        <w:rPr>
          <w:b/>
          <w:bCs/>
        </w:rPr>
        <w:t>prawo do uznania relacji biologicznych</w:t>
      </w:r>
      <w:r w:rsidRPr="00837CC8">
        <w:t xml:space="preserve">, a brak ich prawnego potwierdzenia może prowadzić do </w:t>
      </w:r>
      <w:r w:rsidRPr="00837CC8">
        <w:rPr>
          <w:b/>
          <w:bCs/>
        </w:rPr>
        <w:t>poważnych konsekwencji prawnych i emocjonalnych</w:t>
      </w:r>
      <w:r w:rsidRPr="00837CC8">
        <w:t>,</w:t>
      </w:r>
    </w:p>
    <w:p w14:paraId="2E46003C" w14:textId="77777777" w:rsidR="00837CC8" w:rsidRPr="00837CC8" w:rsidRDefault="00837CC8" w:rsidP="00837CC8">
      <w:pPr>
        <w:numPr>
          <w:ilvl w:val="0"/>
          <w:numId w:val="5"/>
        </w:numPr>
        <w:jc w:val="both"/>
      </w:pPr>
      <w:r w:rsidRPr="00837CC8">
        <w:t>państwo ma obowiązek poszanowania tego prawa, nawet jeśli surogacja jako instytucja jest zakazana na poziomie krajowym.</w:t>
      </w:r>
    </w:p>
    <w:p w14:paraId="4E83D21C" w14:textId="77777777" w:rsidR="00837CC8" w:rsidRPr="00837CC8" w:rsidRDefault="00837CC8" w:rsidP="00837CC8">
      <w:pPr>
        <w:jc w:val="both"/>
      </w:pPr>
      <w:r w:rsidRPr="00837CC8">
        <w:t xml:space="preserve">Trybunał </w:t>
      </w:r>
      <w:r w:rsidRPr="00837CC8">
        <w:rPr>
          <w:b/>
          <w:bCs/>
        </w:rPr>
        <w:t>nie stwierdził naruszenia art. 8 w odniesieniu do rodziców</w:t>
      </w:r>
      <w:r w:rsidRPr="00837CC8">
        <w:t xml:space="preserve">, uznając, że państwa mają margines uznania w zakresie regulowania dostępu do surogacji, ale </w:t>
      </w:r>
      <w:r w:rsidRPr="00837CC8">
        <w:rPr>
          <w:b/>
          <w:bCs/>
        </w:rPr>
        <w:t>dzieci nie mogą ponosić konsekwencji decyzji dorosłych</w:t>
      </w:r>
      <w:r w:rsidRPr="00837CC8">
        <w:t xml:space="preserve"> i być pozbawiane ochrony prawnej tylko dlatego, że urodziły się w ramach procedury niedozwolonej we Francji.</w:t>
      </w:r>
    </w:p>
    <w:p w14:paraId="32205B68" w14:textId="77777777" w:rsidR="00837CC8" w:rsidRPr="00837CC8" w:rsidRDefault="00837CC8" w:rsidP="00837CC8">
      <w:pPr>
        <w:pBdr>
          <w:bottom w:val="single" w:sz="6" w:space="1" w:color="auto"/>
        </w:pBdr>
        <w:jc w:val="both"/>
      </w:pPr>
      <w:r w:rsidRPr="00837CC8">
        <w:rPr>
          <w:b/>
          <w:bCs/>
        </w:rPr>
        <w:t>Sprawa Mennesson przeciwko Francji</w:t>
      </w:r>
      <w:r w:rsidRPr="00837CC8">
        <w:t xml:space="preserve"> miała ogromne znaczenie dla </w:t>
      </w:r>
      <w:r w:rsidRPr="00837CC8">
        <w:rPr>
          <w:b/>
          <w:bCs/>
        </w:rPr>
        <w:t>rozwoju praw dzieci urodzonych w wyniku surogacji</w:t>
      </w:r>
      <w:r w:rsidRPr="00837CC8">
        <w:t xml:space="preserve"> i zmusiła wiele krajów – w tym Francję – do zmiany praktyki prawnej w zakresie transkrypcji zagranicznych aktów urodzenia. Trybunał wyraźnie zaznaczył, że </w:t>
      </w:r>
      <w:r w:rsidRPr="00837CC8">
        <w:rPr>
          <w:b/>
          <w:bCs/>
        </w:rPr>
        <w:t>prawo do tożsamości i uznania więzi rodzinnych dzieci musi być szanowane niezależnie od kontrowersyjnego kontekstu ich narodzin</w:t>
      </w:r>
      <w:r w:rsidRPr="00837CC8">
        <w:t>.</w:t>
      </w:r>
    </w:p>
    <w:p w14:paraId="7BBC46DC" w14:textId="77777777" w:rsidR="00837CC8" w:rsidRDefault="00837CC8" w:rsidP="00837CC8">
      <w:pPr>
        <w:jc w:val="both"/>
      </w:pPr>
    </w:p>
    <w:p w14:paraId="382ECD81" w14:textId="77777777" w:rsidR="00837CC8" w:rsidRPr="00837CC8" w:rsidRDefault="00837CC8" w:rsidP="00837CC8">
      <w:pPr>
        <w:jc w:val="both"/>
      </w:pPr>
      <w:r w:rsidRPr="00837CC8">
        <w:rPr>
          <w:b/>
          <w:bCs/>
        </w:rPr>
        <w:t>Sprawa Labassee przeciwko Francji (skarga nr 65941/11)</w:t>
      </w:r>
      <w:r w:rsidRPr="00837CC8">
        <w:t xml:space="preserve"> dotyczyła – podobnie jak sprawa </w:t>
      </w:r>
      <w:r w:rsidRPr="00837CC8">
        <w:rPr>
          <w:i/>
          <w:iCs/>
        </w:rPr>
        <w:t>Mennesson przeciwko Francji</w:t>
      </w:r>
      <w:r w:rsidRPr="00837CC8">
        <w:t xml:space="preserve"> – </w:t>
      </w:r>
      <w:r w:rsidRPr="00837CC8">
        <w:rPr>
          <w:b/>
          <w:bCs/>
        </w:rPr>
        <w:t>odmowy uznania przez władze francuskie więzi prawnej między dzieckiem urodzonym w drodze surogacji za granicą a jego rodzicami</w:t>
      </w:r>
      <w:r w:rsidRPr="00837CC8">
        <w:t xml:space="preserve"> będącymi obywatelami Francji. Obie sprawy zostały rozpoznane przez Europejski Trybunał Praw Człowieka tego samego dnia – </w:t>
      </w:r>
      <w:r w:rsidRPr="00837CC8">
        <w:rPr>
          <w:b/>
          <w:bCs/>
        </w:rPr>
        <w:t>26 czerwca 2014 roku</w:t>
      </w:r>
      <w:r w:rsidRPr="00837CC8">
        <w:t xml:space="preserve"> – i mają wspólne tło prawne oraz podobne rozstrzygnięcia.</w:t>
      </w:r>
    </w:p>
    <w:p w14:paraId="768EB2B7" w14:textId="77777777" w:rsidR="00837CC8" w:rsidRPr="00837CC8" w:rsidRDefault="00837CC8" w:rsidP="00837CC8">
      <w:pPr>
        <w:jc w:val="both"/>
      </w:pPr>
      <w:r w:rsidRPr="00837CC8">
        <w:t xml:space="preserve">W sprawie </w:t>
      </w:r>
      <w:r w:rsidRPr="00837CC8">
        <w:rPr>
          <w:b/>
          <w:bCs/>
        </w:rPr>
        <w:t>Labassee</w:t>
      </w:r>
      <w:r w:rsidRPr="00837CC8">
        <w:t xml:space="preserve">, skarżący – obywatel Francji – udał się wraz z żoną do Stanów Zjednoczonych, gdzie w stanie Minnesota przeprowadzono </w:t>
      </w:r>
      <w:r w:rsidRPr="00837CC8">
        <w:rPr>
          <w:b/>
          <w:bCs/>
        </w:rPr>
        <w:t>procedurę surogacji</w:t>
      </w:r>
      <w:r w:rsidRPr="00837CC8">
        <w:t xml:space="preserve">, w wyniku której urodziło się dziecko. Mężczyzna był </w:t>
      </w:r>
      <w:r w:rsidRPr="00837CC8">
        <w:rPr>
          <w:b/>
          <w:bCs/>
        </w:rPr>
        <w:t>biologicznym ojcem dziecka</w:t>
      </w:r>
      <w:r w:rsidRPr="00837CC8">
        <w:t xml:space="preserve">, a surogatka zrzekła się wszelkich praw rodzicielskich. Władze amerykańskie uznały skarżącego za </w:t>
      </w:r>
      <w:r w:rsidRPr="00837CC8">
        <w:rPr>
          <w:b/>
          <w:bCs/>
        </w:rPr>
        <w:t>pełnoprawnego ojca</w:t>
      </w:r>
      <w:r w:rsidRPr="00837CC8">
        <w:t xml:space="preserve">, a dziecko otrzymało </w:t>
      </w:r>
      <w:r w:rsidRPr="00837CC8">
        <w:rPr>
          <w:b/>
          <w:bCs/>
        </w:rPr>
        <w:t>amerykański akt urodzenia</w:t>
      </w:r>
      <w:r w:rsidRPr="00837CC8">
        <w:t>, w którym figurowało jego nazwisko.</w:t>
      </w:r>
    </w:p>
    <w:p w14:paraId="5B6B030D" w14:textId="77777777" w:rsidR="00837CC8" w:rsidRPr="00837CC8" w:rsidRDefault="00837CC8" w:rsidP="00837CC8">
      <w:pPr>
        <w:jc w:val="both"/>
      </w:pPr>
      <w:r w:rsidRPr="00837CC8">
        <w:lastRenderedPageBreak/>
        <w:t xml:space="preserve">Po powrocie do Francji skarżący próbował </w:t>
      </w:r>
      <w:r w:rsidRPr="00837CC8">
        <w:rPr>
          <w:b/>
          <w:bCs/>
        </w:rPr>
        <w:t>dokonać transkrypcji aktu urodzenia dziecka do francuskiego rejestru stanu cywilnego</w:t>
      </w:r>
      <w:r w:rsidRPr="00837CC8">
        <w:t xml:space="preserve">, co umożliwiłoby dziecku uzyskanie obywatelstwa francuskiego oraz pełnego statusu prawnego jako dziecka skarżącego. Francuskie władze odmówiły, powołując się na </w:t>
      </w:r>
      <w:r w:rsidRPr="00837CC8">
        <w:rPr>
          <w:b/>
          <w:bCs/>
        </w:rPr>
        <w:t>zakaz macierzyństwa zastępczego (art. 16-7 Kodeksu cywilnego)</w:t>
      </w:r>
      <w:r w:rsidRPr="00837CC8">
        <w:t>, twierdząc, że surogacja jest sprzeczna z francuskim porządkiem publicznym.</w:t>
      </w:r>
    </w:p>
    <w:p w14:paraId="3360EB35" w14:textId="77777777" w:rsidR="00837CC8" w:rsidRPr="00837CC8" w:rsidRDefault="00837CC8" w:rsidP="00837CC8">
      <w:pPr>
        <w:jc w:val="both"/>
      </w:pPr>
      <w:r w:rsidRPr="00837CC8">
        <w:t xml:space="preserve">Skarżący zarzucił, że ta odmowa stanowiła </w:t>
      </w:r>
      <w:r w:rsidRPr="00837CC8">
        <w:rPr>
          <w:b/>
          <w:bCs/>
        </w:rPr>
        <w:t>naruszenie art. 8 Konwencji</w:t>
      </w:r>
      <w:r w:rsidRPr="00837CC8">
        <w:t xml:space="preserve"> (prawo do poszanowania życia rodzinnego i prywatnego), ponieważ </w:t>
      </w:r>
      <w:r w:rsidRPr="00837CC8">
        <w:rPr>
          <w:b/>
          <w:bCs/>
        </w:rPr>
        <w:t>pozbawiała jego dziecko możliwości uznania go jako ojca</w:t>
      </w:r>
      <w:r w:rsidRPr="00837CC8">
        <w:t xml:space="preserve"> w dokumentach urzędowych i uniemożliwiała dziecku korzystanie z wielu praw wynikających z tej więzi (m.in. dziedziczenia, obywatelstwa, statusu rodzinnego).</w:t>
      </w:r>
    </w:p>
    <w:p w14:paraId="282C0FCB" w14:textId="77777777" w:rsidR="00837CC8" w:rsidRPr="00837CC8" w:rsidRDefault="00837CC8" w:rsidP="00837CC8">
      <w:pPr>
        <w:jc w:val="both"/>
      </w:pPr>
      <w:r w:rsidRPr="00837CC8">
        <w:t xml:space="preserve">Europejski Trybunał Praw Człowieka, </w:t>
      </w:r>
      <w:r w:rsidRPr="00837CC8">
        <w:rPr>
          <w:b/>
          <w:bCs/>
        </w:rPr>
        <w:t>w wyroku z 26 czerwca 2014 r.</w:t>
      </w:r>
      <w:r w:rsidRPr="00837CC8">
        <w:t xml:space="preserve">, </w:t>
      </w:r>
      <w:r w:rsidRPr="00837CC8">
        <w:rPr>
          <w:b/>
          <w:bCs/>
        </w:rPr>
        <w:t>stwierdził naruszenie art. 8 Konwencji w odniesieniu do dziecka</w:t>
      </w:r>
      <w:r w:rsidRPr="00837CC8">
        <w:t xml:space="preserve">. Trybunał powtórzył argumentację zastosowaną w sprawie </w:t>
      </w:r>
      <w:r w:rsidRPr="00837CC8">
        <w:rPr>
          <w:i/>
          <w:iCs/>
        </w:rPr>
        <w:t>Mennesson</w:t>
      </w:r>
      <w:r w:rsidRPr="00837CC8">
        <w:t>, podkreślając, że:</w:t>
      </w:r>
    </w:p>
    <w:p w14:paraId="3D66B9C9" w14:textId="77777777" w:rsidR="00837CC8" w:rsidRPr="00837CC8" w:rsidRDefault="00837CC8" w:rsidP="00837CC8">
      <w:pPr>
        <w:numPr>
          <w:ilvl w:val="0"/>
          <w:numId w:val="6"/>
        </w:numPr>
        <w:jc w:val="both"/>
      </w:pPr>
      <w:r w:rsidRPr="00837CC8">
        <w:rPr>
          <w:b/>
          <w:bCs/>
        </w:rPr>
        <w:t>prawo dziecka do tożsamości i do życia prywatnego obejmuje uznanie relacji biologicznej z ojcem</w:t>
      </w:r>
      <w:r w:rsidRPr="00837CC8">
        <w:t>,</w:t>
      </w:r>
    </w:p>
    <w:p w14:paraId="28F22219" w14:textId="77777777" w:rsidR="00837CC8" w:rsidRPr="00837CC8" w:rsidRDefault="00837CC8" w:rsidP="00837CC8">
      <w:pPr>
        <w:numPr>
          <w:ilvl w:val="0"/>
          <w:numId w:val="6"/>
        </w:numPr>
        <w:jc w:val="both"/>
      </w:pPr>
      <w:r w:rsidRPr="00837CC8">
        <w:t xml:space="preserve">odmowa transkrypcji aktu urodzenia </w:t>
      </w:r>
      <w:r w:rsidRPr="00837CC8">
        <w:rPr>
          <w:b/>
          <w:bCs/>
        </w:rPr>
        <w:t>narusza prawo dziecka do pewności prawnej co do jego pochodzenia</w:t>
      </w:r>
      <w:r w:rsidRPr="00837CC8">
        <w:t>,</w:t>
      </w:r>
    </w:p>
    <w:p w14:paraId="6C12D6E5" w14:textId="77777777" w:rsidR="00837CC8" w:rsidRPr="00837CC8" w:rsidRDefault="00837CC8" w:rsidP="00837CC8">
      <w:pPr>
        <w:numPr>
          <w:ilvl w:val="0"/>
          <w:numId w:val="6"/>
        </w:numPr>
        <w:jc w:val="both"/>
      </w:pPr>
      <w:r w:rsidRPr="00837CC8">
        <w:t xml:space="preserve">państwo nie może </w:t>
      </w:r>
      <w:r w:rsidRPr="00837CC8">
        <w:rPr>
          <w:b/>
          <w:bCs/>
        </w:rPr>
        <w:t>pozbawiać dziecka ochrony prawnej ze względu na sposób jego poczęcia lub narodzin</w:t>
      </w:r>
      <w:r w:rsidRPr="00837CC8">
        <w:t>, nawet jeśli metoda ta jest zakazana w kraju.</w:t>
      </w:r>
    </w:p>
    <w:p w14:paraId="29CB09C7" w14:textId="77777777" w:rsidR="00837CC8" w:rsidRPr="00837CC8" w:rsidRDefault="00837CC8" w:rsidP="00837CC8">
      <w:pPr>
        <w:jc w:val="both"/>
      </w:pPr>
      <w:r w:rsidRPr="00837CC8">
        <w:t xml:space="preserve">Trybunał </w:t>
      </w:r>
      <w:r w:rsidRPr="00837CC8">
        <w:rPr>
          <w:b/>
          <w:bCs/>
        </w:rPr>
        <w:t>nie orzekł naruszenia art. 8 w odniesieniu do samych rodziców</w:t>
      </w:r>
      <w:r w:rsidRPr="00837CC8">
        <w:t xml:space="preserve">, lecz skupił się na </w:t>
      </w:r>
      <w:r w:rsidRPr="00837CC8">
        <w:rPr>
          <w:b/>
          <w:bCs/>
        </w:rPr>
        <w:t>prawach dzieci</w:t>
      </w:r>
      <w:r w:rsidRPr="00837CC8">
        <w:t>, które, według Trybunału, powinny być chronione niezależnie od krajowych regulacji dotyczących surogacji.</w:t>
      </w:r>
    </w:p>
    <w:p w14:paraId="6D42D10F" w14:textId="77777777" w:rsidR="00837CC8" w:rsidRPr="00837CC8" w:rsidRDefault="00837CC8" w:rsidP="00837CC8">
      <w:pPr>
        <w:pBdr>
          <w:bottom w:val="single" w:sz="6" w:space="1" w:color="auto"/>
        </w:pBdr>
        <w:jc w:val="both"/>
      </w:pPr>
      <w:r w:rsidRPr="00837CC8">
        <w:rPr>
          <w:b/>
          <w:bCs/>
        </w:rPr>
        <w:t>Sprawa Labassee przeciwko Francji</w:t>
      </w:r>
      <w:r w:rsidRPr="00837CC8">
        <w:t xml:space="preserve">, podobnie jak </w:t>
      </w:r>
      <w:r w:rsidRPr="00837CC8">
        <w:rPr>
          <w:i/>
          <w:iCs/>
        </w:rPr>
        <w:t>Mennesson</w:t>
      </w:r>
      <w:r w:rsidRPr="00837CC8">
        <w:t xml:space="preserve">, wyznaczyła jasne granice dla państw członkowskich Rady Europy: nawet jeśli </w:t>
      </w:r>
      <w:r w:rsidRPr="00837CC8">
        <w:rPr>
          <w:b/>
          <w:bCs/>
        </w:rPr>
        <w:t>surogacja może być zakazana</w:t>
      </w:r>
      <w:r w:rsidRPr="00837CC8">
        <w:t xml:space="preserve">, </w:t>
      </w:r>
      <w:r w:rsidRPr="00837CC8">
        <w:rPr>
          <w:b/>
          <w:bCs/>
        </w:rPr>
        <w:t>ochrona praw dzieci urodzonych za granicą musi być zapewniona</w:t>
      </w:r>
      <w:r w:rsidRPr="00837CC8">
        <w:t>, w tym poprzez możliwość uznania ich pochodzenia w krajowych rejestrach stanu cywilnego.</w:t>
      </w:r>
    </w:p>
    <w:p w14:paraId="79D91518" w14:textId="77777777" w:rsidR="008B1334" w:rsidRDefault="008B1334" w:rsidP="00837CC8">
      <w:pPr>
        <w:jc w:val="both"/>
      </w:pPr>
    </w:p>
    <w:p w14:paraId="2D6D55B8" w14:textId="77777777" w:rsidR="0091670F" w:rsidRPr="0091670F" w:rsidRDefault="0091670F" w:rsidP="0091670F">
      <w:pPr>
        <w:jc w:val="both"/>
      </w:pPr>
      <w:r w:rsidRPr="0091670F">
        <w:rPr>
          <w:b/>
          <w:bCs/>
        </w:rPr>
        <w:t>Sprawa Paradiso i Campanelli przeciwko Włochom (nr skargi 25358/12)</w:t>
      </w:r>
      <w:r w:rsidRPr="0091670F">
        <w:t xml:space="preserve"> dotyczyła skargi złożonej przez małżeństwo obywateli włoskich, którzy sprowadzili do Włoch dziecko urodzone w Rosji przez matkę zastępczą w ramach umowy o surogację. Para została wpisana w rosyjskim akcie urodzenia jako rodzice dziecka. Jednak po powrocie do Włoch </w:t>
      </w:r>
      <w:r w:rsidRPr="0091670F">
        <w:rPr>
          <w:b/>
          <w:bCs/>
        </w:rPr>
        <w:t>okazało się, że nie istnieje żadna biologiczna więź między dzieckiem a skarżącymi</w:t>
      </w:r>
      <w:r w:rsidRPr="0091670F">
        <w:t>, co wzbudziło wątpliwości władz co do legalności całej procedury.</w:t>
      </w:r>
    </w:p>
    <w:p w14:paraId="567E2E70" w14:textId="77777777" w:rsidR="0091670F" w:rsidRPr="0091670F" w:rsidRDefault="0091670F" w:rsidP="0091670F">
      <w:pPr>
        <w:jc w:val="both"/>
      </w:pPr>
      <w:r w:rsidRPr="0091670F">
        <w:t xml:space="preserve">Władze włoskie uznały, że skarżący </w:t>
      </w:r>
      <w:r w:rsidRPr="0091670F">
        <w:rPr>
          <w:b/>
          <w:bCs/>
        </w:rPr>
        <w:t>nabyli dziecko z obejściem obowiązujących przepisów o adopcji i zakazie surogacji</w:t>
      </w:r>
      <w:r w:rsidRPr="0091670F">
        <w:t xml:space="preserve"> (który obowiązuje we Włoszech), i że </w:t>
      </w:r>
      <w:r w:rsidRPr="0091670F">
        <w:lastRenderedPageBreak/>
        <w:t xml:space="preserve">przetransportowanie dziecka do kraju nastąpiło </w:t>
      </w:r>
      <w:r w:rsidRPr="0091670F">
        <w:rPr>
          <w:b/>
          <w:bCs/>
        </w:rPr>
        <w:t>bez jakiegokolwiek nadzoru prawnego</w:t>
      </w:r>
      <w:r w:rsidRPr="0091670F">
        <w:t xml:space="preserve"> oraz </w:t>
      </w:r>
      <w:r w:rsidRPr="0091670F">
        <w:rPr>
          <w:b/>
          <w:bCs/>
        </w:rPr>
        <w:t>bez poszanowania międzynarodowych przepisów dotyczących ochrony dziecka</w:t>
      </w:r>
      <w:r w:rsidRPr="0091670F">
        <w:t>. Dziecko, które miało około sześciu miesięcy, zostało następnie odebrane skarżącym przez sąd opiekuńczy i umieszczone w placówce opiekuńczej, a potem oddane do adopcji.</w:t>
      </w:r>
    </w:p>
    <w:p w14:paraId="41C85A2D" w14:textId="77777777" w:rsidR="0091670F" w:rsidRPr="0091670F" w:rsidRDefault="0091670F" w:rsidP="0091670F">
      <w:pPr>
        <w:jc w:val="both"/>
      </w:pPr>
      <w:r w:rsidRPr="0091670F">
        <w:t xml:space="preserve">W skardze do Trybunału skarżący zarzucili, że działania władz włoskich doprowadziły do </w:t>
      </w:r>
      <w:r w:rsidRPr="0091670F">
        <w:rPr>
          <w:b/>
          <w:bCs/>
        </w:rPr>
        <w:t>zerwania istniejącej więzi rodzinnej</w:t>
      </w:r>
      <w:r w:rsidRPr="0091670F">
        <w:t xml:space="preserve">, która – ich zdaniem – powstała przez wspólne życie z dzieckiem, opiekę nad nim i traktowanie go jak własnego syna. Wskazywali, że mimo braku biologicznego pokrewieństwa, </w:t>
      </w:r>
      <w:r w:rsidRPr="0091670F">
        <w:rPr>
          <w:b/>
          <w:bCs/>
        </w:rPr>
        <w:t>istniało realne życie rodzinne</w:t>
      </w:r>
      <w:r w:rsidRPr="0091670F">
        <w:t xml:space="preserve">, które zasługiwało na ochronę na mocy </w:t>
      </w:r>
      <w:r w:rsidRPr="0091670F">
        <w:rPr>
          <w:b/>
          <w:bCs/>
        </w:rPr>
        <w:t>art. 8 Konwencji (prawo do poszanowania życia prywatnego i rodzinnego)</w:t>
      </w:r>
      <w:r w:rsidRPr="0091670F">
        <w:t>.</w:t>
      </w:r>
    </w:p>
    <w:p w14:paraId="3E3841DF" w14:textId="77777777" w:rsidR="0091670F" w:rsidRPr="0091670F" w:rsidRDefault="0091670F" w:rsidP="0091670F">
      <w:pPr>
        <w:jc w:val="both"/>
      </w:pPr>
      <w:r w:rsidRPr="0091670F">
        <w:t xml:space="preserve">W wyroku Izby z dnia </w:t>
      </w:r>
      <w:r w:rsidRPr="0091670F">
        <w:rPr>
          <w:b/>
          <w:bCs/>
        </w:rPr>
        <w:t>27 stycznia 2015 roku</w:t>
      </w:r>
      <w:r w:rsidRPr="0091670F">
        <w:t xml:space="preserve">, Trybunał orzekł, że </w:t>
      </w:r>
      <w:r w:rsidRPr="0091670F">
        <w:rPr>
          <w:b/>
          <w:bCs/>
        </w:rPr>
        <w:t>doszło do naruszenia art. 8</w:t>
      </w:r>
      <w:r w:rsidRPr="0091670F">
        <w:t xml:space="preserve">, uznając, że władze włoskie </w:t>
      </w:r>
      <w:r w:rsidRPr="0091670F">
        <w:rPr>
          <w:b/>
          <w:bCs/>
        </w:rPr>
        <w:t>nieproporcjonalnie ingerowały w życie rodzinne skarżących</w:t>
      </w:r>
      <w:r w:rsidRPr="0091670F">
        <w:t>, nie analizując wystarczająco dobra dziecka i faktu istnienia faktycznej więzi emocjonalnej między dzieckiem a małżeństwem.</w:t>
      </w:r>
    </w:p>
    <w:p w14:paraId="0F43D378" w14:textId="77777777" w:rsidR="0091670F" w:rsidRPr="0091670F" w:rsidRDefault="0091670F" w:rsidP="0091670F">
      <w:pPr>
        <w:jc w:val="both"/>
      </w:pPr>
      <w:r w:rsidRPr="0091670F">
        <w:t xml:space="preserve">Jednak w wyroku </w:t>
      </w:r>
      <w:r w:rsidRPr="0091670F">
        <w:rPr>
          <w:b/>
          <w:bCs/>
        </w:rPr>
        <w:t>Wielkiej Izby z dnia 24 stycznia 2017 roku</w:t>
      </w:r>
      <w:r w:rsidRPr="0091670F">
        <w:t xml:space="preserve">, Trybunał zmienił tę decyzję i </w:t>
      </w:r>
      <w:r w:rsidRPr="0091670F">
        <w:rPr>
          <w:b/>
          <w:bCs/>
        </w:rPr>
        <w:t>uznał, że nie doszło do naruszenia art. 8 Konwencji</w:t>
      </w:r>
      <w:r w:rsidRPr="0091670F">
        <w:t xml:space="preserve">. W ocenie Trybunału, choć istniała pewna relacja między dzieckiem a skarżącymi, to </w:t>
      </w:r>
      <w:r w:rsidRPr="0091670F">
        <w:rPr>
          <w:b/>
          <w:bCs/>
        </w:rPr>
        <w:t>nie osiągnęła ona poziomu „życia rodzinnego” chronionego przez Konwencję</w:t>
      </w:r>
      <w:r w:rsidRPr="0091670F">
        <w:t>, ponieważ:</w:t>
      </w:r>
    </w:p>
    <w:p w14:paraId="381452B3" w14:textId="77777777" w:rsidR="0091670F" w:rsidRPr="0091670F" w:rsidRDefault="0091670F" w:rsidP="0091670F">
      <w:pPr>
        <w:numPr>
          <w:ilvl w:val="0"/>
          <w:numId w:val="7"/>
        </w:numPr>
        <w:jc w:val="both"/>
      </w:pPr>
      <w:r w:rsidRPr="0091670F">
        <w:t xml:space="preserve">dziecko mieszkało ze skarżącymi tylko przez </w:t>
      </w:r>
      <w:r w:rsidRPr="0091670F">
        <w:rPr>
          <w:b/>
          <w:bCs/>
        </w:rPr>
        <w:t>około sześć miesięcy</w:t>
      </w:r>
      <w:r w:rsidRPr="0091670F">
        <w:t>,</w:t>
      </w:r>
    </w:p>
    <w:p w14:paraId="7EB56807" w14:textId="77777777" w:rsidR="0091670F" w:rsidRPr="0091670F" w:rsidRDefault="0091670F" w:rsidP="0091670F">
      <w:pPr>
        <w:numPr>
          <w:ilvl w:val="0"/>
          <w:numId w:val="7"/>
        </w:numPr>
        <w:jc w:val="both"/>
      </w:pPr>
      <w:r w:rsidRPr="0091670F">
        <w:rPr>
          <w:b/>
          <w:bCs/>
        </w:rPr>
        <w:t>nie istniały żadne biologiczne więzi</w:t>
      </w:r>
      <w:r w:rsidRPr="0091670F">
        <w:t>,</w:t>
      </w:r>
    </w:p>
    <w:p w14:paraId="1064CDEE" w14:textId="77777777" w:rsidR="0091670F" w:rsidRPr="0091670F" w:rsidRDefault="0091670F" w:rsidP="0091670F">
      <w:pPr>
        <w:numPr>
          <w:ilvl w:val="0"/>
          <w:numId w:val="7"/>
        </w:numPr>
        <w:jc w:val="both"/>
      </w:pPr>
      <w:r w:rsidRPr="0091670F">
        <w:t xml:space="preserve">dziecko zostało sprowadzone do Włoch w </w:t>
      </w:r>
      <w:r w:rsidRPr="0091670F">
        <w:rPr>
          <w:b/>
          <w:bCs/>
        </w:rPr>
        <w:t>nielegalny sposób</w:t>
      </w:r>
      <w:r w:rsidRPr="0091670F">
        <w:t>, z naruszeniem krajowego zakazu surogacji,</w:t>
      </w:r>
    </w:p>
    <w:p w14:paraId="063CE0D5" w14:textId="77777777" w:rsidR="0091670F" w:rsidRPr="0091670F" w:rsidRDefault="0091670F" w:rsidP="0091670F">
      <w:pPr>
        <w:numPr>
          <w:ilvl w:val="0"/>
          <w:numId w:val="7"/>
        </w:numPr>
        <w:jc w:val="both"/>
      </w:pPr>
      <w:r w:rsidRPr="0091670F">
        <w:t xml:space="preserve">działania władz miały na celu </w:t>
      </w:r>
      <w:r w:rsidRPr="0091670F">
        <w:rPr>
          <w:b/>
          <w:bCs/>
        </w:rPr>
        <w:t>ochronę porządku prawnego oraz dobra dziecka</w:t>
      </w:r>
      <w:r w:rsidRPr="0091670F">
        <w:t>, które formalnie znajdowało się w sytuacji prawnego opuszczenia (nie miało uznanych opiekunów prawnych we Włoszech).</w:t>
      </w:r>
    </w:p>
    <w:p w14:paraId="6889F5C9" w14:textId="77777777" w:rsidR="0091670F" w:rsidRPr="0091670F" w:rsidRDefault="0091670F" w:rsidP="0091670F">
      <w:pPr>
        <w:jc w:val="both"/>
      </w:pPr>
      <w:r w:rsidRPr="0091670F">
        <w:t xml:space="preserve">Trybunał zaznaczył, że </w:t>
      </w:r>
      <w:r w:rsidRPr="0091670F">
        <w:rPr>
          <w:b/>
          <w:bCs/>
        </w:rPr>
        <w:t>państwo posiada szeroki margines uznania w zakresie regulowania kwestii związanych z surogacją</w:t>
      </w:r>
      <w:r w:rsidRPr="0091670F">
        <w:t>, zwłaszcza gdy chodzi o ochronę interesu dziecka oraz przeciwdziałanie obchodzeniu prawa.</w:t>
      </w:r>
    </w:p>
    <w:p w14:paraId="0FA718E2" w14:textId="77777777" w:rsidR="0091670F" w:rsidRPr="0091670F" w:rsidRDefault="0091670F" w:rsidP="0091670F">
      <w:pPr>
        <w:pBdr>
          <w:bottom w:val="single" w:sz="6" w:space="1" w:color="auto"/>
        </w:pBdr>
        <w:jc w:val="both"/>
      </w:pPr>
      <w:r w:rsidRPr="0091670F">
        <w:t xml:space="preserve">Sprawa Paradiso i Campanelli miała duże znaczenie dla ukształtowania standardów dotyczących </w:t>
      </w:r>
      <w:r w:rsidRPr="0091670F">
        <w:rPr>
          <w:b/>
          <w:bCs/>
        </w:rPr>
        <w:t>międzynarodowej surogacji</w:t>
      </w:r>
      <w:r w:rsidRPr="0091670F">
        <w:t xml:space="preserve">, wskazując, że w przypadku braku pokrewieństwa biologicznego oraz działań sprzecznych z krajowym porządkiem prawnym, państwo może podejmować środki zmierzające do ochrony prawa bez naruszania Konwencji. Wyrok ten różni się znacząco od spraw takich jak </w:t>
      </w:r>
      <w:r w:rsidRPr="0091670F">
        <w:rPr>
          <w:i/>
          <w:iCs/>
        </w:rPr>
        <w:t>Mennesson</w:t>
      </w:r>
      <w:r w:rsidRPr="0091670F">
        <w:t xml:space="preserve"> czy </w:t>
      </w:r>
      <w:r w:rsidRPr="0091670F">
        <w:rPr>
          <w:i/>
          <w:iCs/>
        </w:rPr>
        <w:t>Labassee</w:t>
      </w:r>
      <w:r w:rsidRPr="0091670F">
        <w:t xml:space="preserve">, gdzie Trybunał stwierdził naruszenie praw dziecka, ponieważ w tamtych sprawach istniała </w:t>
      </w:r>
      <w:r w:rsidRPr="0091670F">
        <w:rPr>
          <w:b/>
          <w:bCs/>
        </w:rPr>
        <w:t>potwierdzona więź biologiczna</w:t>
      </w:r>
      <w:r w:rsidRPr="0091670F">
        <w:t xml:space="preserve"> z jednym z rodziców.</w:t>
      </w:r>
    </w:p>
    <w:p w14:paraId="5930F2D4" w14:textId="77777777" w:rsidR="008B1334" w:rsidRDefault="008B1334" w:rsidP="00837CC8">
      <w:pPr>
        <w:jc w:val="both"/>
      </w:pPr>
    </w:p>
    <w:p w14:paraId="3C92EA43" w14:textId="77777777" w:rsidR="002C0206" w:rsidRPr="002C0206" w:rsidRDefault="002C0206" w:rsidP="002C0206">
      <w:pPr>
        <w:jc w:val="both"/>
      </w:pPr>
      <w:r w:rsidRPr="002C0206">
        <w:rPr>
          <w:b/>
          <w:bCs/>
        </w:rPr>
        <w:t>Sprawa Foulon i Bouvet przeciwko Francji (nr skarg 9063/14 i 10410/14)</w:t>
      </w:r>
      <w:r w:rsidRPr="002C0206">
        <w:t xml:space="preserve"> dotyczyła dwóch spraw połączonych, złożonych przez dwóch obywateli Francji, którzy byli biologicznymi ojcami dzieci urodzonych przez matki zastępcze w Indiach. Skarżący zarzucili władzom francuskim, że </w:t>
      </w:r>
      <w:r w:rsidRPr="002C0206">
        <w:rPr>
          <w:b/>
          <w:bCs/>
        </w:rPr>
        <w:t>odmowa uznania ojcostwa dzieci urodzonych za granicą</w:t>
      </w:r>
      <w:r w:rsidRPr="002C0206">
        <w:t xml:space="preserve"> na podstawie zagranicznych aktów urodzenia </w:t>
      </w:r>
      <w:r w:rsidRPr="002C0206">
        <w:rPr>
          <w:b/>
          <w:bCs/>
        </w:rPr>
        <w:t>naruszyła ich prawo do poszanowania życia rodzinnego</w:t>
      </w:r>
      <w:r w:rsidRPr="002C0206">
        <w:t>.</w:t>
      </w:r>
    </w:p>
    <w:p w14:paraId="6B31ED85" w14:textId="77777777" w:rsidR="002C0206" w:rsidRPr="002C0206" w:rsidRDefault="002C0206" w:rsidP="002C0206">
      <w:pPr>
        <w:jc w:val="both"/>
      </w:pPr>
      <w:r w:rsidRPr="002C0206">
        <w:t xml:space="preserve">Dzieci zostały poczęte z wykorzystaniem materiału genetycznego skarżących oraz komórek jajowych dawczyń, a następnie urodzone przez surogatki w Indiach. W aktach urodzenia sporządzonych w Indiach skarżący zostali wpisani jako jedyni rodzice. Po powrocie do Francji, skarżący próbowali </w:t>
      </w:r>
      <w:r w:rsidRPr="002C0206">
        <w:rPr>
          <w:b/>
          <w:bCs/>
        </w:rPr>
        <w:t>zarejestrować akty urodzenia w rejestrze stanu cywilnego</w:t>
      </w:r>
      <w:r w:rsidRPr="002C0206">
        <w:t xml:space="preserve">, jednak francuskie władze </w:t>
      </w:r>
      <w:r w:rsidRPr="002C0206">
        <w:rPr>
          <w:b/>
          <w:bCs/>
        </w:rPr>
        <w:t>odmówiły ich uznania</w:t>
      </w:r>
      <w:r w:rsidRPr="002C0206">
        <w:t xml:space="preserve">, powołując się na </w:t>
      </w:r>
      <w:r w:rsidRPr="002C0206">
        <w:rPr>
          <w:b/>
          <w:bCs/>
        </w:rPr>
        <w:t>francuski zakaz surogacji</w:t>
      </w:r>
      <w:r w:rsidRPr="002C0206">
        <w:t xml:space="preserve"> oraz zasadę porządku publicznego.</w:t>
      </w:r>
    </w:p>
    <w:p w14:paraId="7571F7B5" w14:textId="77777777" w:rsidR="002C0206" w:rsidRPr="002C0206" w:rsidRDefault="002C0206" w:rsidP="002C0206">
      <w:pPr>
        <w:jc w:val="both"/>
      </w:pPr>
      <w:r w:rsidRPr="002C0206">
        <w:t xml:space="preserve">Skarżący argumentowali, że dzieci są ich biologicznymi potomkami, że </w:t>
      </w:r>
      <w:r w:rsidRPr="002C0206">
        <w:rPr>
          <w:b/>
          <w:bCs/>
        </w:rPr>
        <w:t>od początku sprawowali nad nimi opiekę</w:t>
      </w:r>
      <w:r w:rsidRPr="002C0206">
        <w:t xml:space="preserve">, i że odmowa uznania ojcostwa </w:t>
      </w:r>
      <w:r w:rsidRPr="002C0206">
        <w:rPr>
          <w:b/>
          <w:bCs/>
        </w:rPr>
        <w:t>powodowała poważne trudności prawne</w:t>
      </w:r>
      <w:r w:rsidRPr="002C0206">
        <w:t xml:space="preserve">, m.in. w zakresie obywatelstwa, dziedziczenia oraz dostępu do ochrony zdrowotnej. Podkreślali, że decyzje władz francuskich </w:t>
      </w:r>
      <w:r w:rsidRPr="002C0206">
        <w:rPr>
          <w:b/>
          <w:bCs/>
        </w:rPr>
        <w:t>prowadziły do prawnej niewidzialności dzieci</w:t>
      </w:r>
      <w:r w:rsidRPr="002C0206">
        <w:t xml:space="preserve"> i osłabiały ich status rodzinny.</w:t>
      </w:r>
    </w:p>
    <w:p w14:paraId="3038C647" w14:textId="77777777" w:rsidR="002C0206" w:rsidRPr="002C0206" w:rsidRDefault="002C0206" w:rsidP="002C0206">
      <w:pPr>
        <w:jc w:val="both"/>
      </w:pPr>
      <w:r w:rsidRPr="002C0206">
        <w:t xml:space="preserve">W wyroku z </w:t>
      </w:r>
      <w:r w:rsidRPr="002C0206">
        <w:rPr>
          <w:b/>
          <w:bCs/>
        </w:rPr>
        <w:t>21 lipca 2016 roku</w:t>
      </w:r>
      <w:r w:rsidRPr="002C0206">
        <w:t xml:space="preserve">, Europejski Trybunał Praw Człowieka </w:t>
      </w:r>
      <w:r w:rsidRPr="002C0206">
        <w:rPr>
          <w:b/>
          <w:bCs/>
        </w:rPr>
        <w:t>stwierdził naruszenie art. 8 Konwencji (prawo do poszanowania życia prywatnego i rodzinnego)</w:t>
      </w:r>
      <w:r w:rsidRPr="002C0206">
        <w:t xml:space="preserve"> w odniesieniu do dzieci skarżących.</w:t>
      </w:r>
    </w:p>
    <w:p w14:paraId="0D1B5E73" w14:textId="77777777" w:rsidR="002C0206" w:rsidRPr="002C0206" w:rsidRDefault="002C0206" w:rsidP="002C0206">
      <w:pPr>
        <w:jc w:val="both"/>
      </w:pPr>
      <w:r w:rsidRPr="002C0206">
        <w:t xml:space="preserve">Trybunał uznał, że </w:t>
      </w:r>
      <w:r w:rsidRPr="002C0206">
        <w:rPr>
          <w:b/>
          <w:bCs/>
        </w:rPr>
        <w:t>istniało rzeczywiste życie rodzinne</w:t>
      </w:r>
      <w:r w:rsidRPr="002C0206">
        <w:t xml:space="preserve"> między skarżącymi a ich dziećmi, że dzieci te </w:t>
      </w:r>
      <w:r w:rsidRPr="002C0206">
        <w:rPr>
          <w:b/>
          <w:bCs/>
        </w:rPr>
        <w:t>zostały uznane przez prawo indyjskie za dzieci skarżących</w:t>
      </w:r>
      <w:r w:rsidRPr="002C0206">
        <w:t xml:space="preserve"> oraz że więzi rodzinne zostały w pełni zrealizowane w praktyce. W tej sytuacji </w:t>
      </w:r>
      <w:r w:rsidRPr="002C0206">
        <w:rPr>
          <w:b/>
          <w:bCs/>
        </w:rPr>
        <w:t>odmowa uznania tych relacji w prawie francuskim naruszyła prawo dzieci do poszanowania ich tożsamości oraz stabilności prawnej</w:t>
      </w:r>
      <w:r w:rsidRPr="002C0206">
        <w:t>, nawet jeśli surogacja była niezgodna z francuskim porządkiem prawnym.</w:t>
      </w:r>
    </w:p>
    <w:p w14:paraId="6E030E48" w14:textId="77777777" w:rsidR="002C0206" w:rsidRPr="002C0206" w:rsidRDefault="002C0206" w:rsidP="002C0206">
      <w:pPr>
        <w:jc w:val="both"/>
      </w:pPr>
      <w:r w:rsidRPr="002C0206">
        <w:t xml:space="preserve">Trybunał podkreślił, że </w:t>
      </w:r>
      <w:r w:rsidRPr="002C0206">
        <w:rPr>
          <w:b/>
          <w:bCs/>
        </w:rPr>
        <w:t>istnienie biologicznego pokrewieństwa</w:t>
      </w:r>
      <w:r w:rsidRPr="002C0206">
        <w:t xml:space="preserve"> ma zasadnicze znaczenie przy ocenie proporcjonalności ingerencji państwa. Choć państwa mają prawo regulować kwestie związane z surogacją, nie mogą </w:t>
      </w:r>
      <w:r w:rsidRPr="002C0206">
        <w:rPr>
          <w:b/>
          <w:bCs/>
        </w:rPr>
        <w:t>całkowicie odmawiać uznania relacji rodzinnych w sytuacjach, gdzie istnieje biologiczne pokrewieństwo i trwałe życie rodzinne</w:t>
      </w:r>
      <w:r w:rsidRPr="002C0206">
        <w:t xml:space="preserve">. W ocenie Trybunału, władze francuskie </w:t>
      </w:r>
      <w:r w:rsidRPr="002C0206">
        <w:rPr>
          <w:b/>
          <w:bCs/>
        </w:rPr>
        <w:t>nie zachowały właściwej równowagi między interesem publicznym a prawami dzieci i ich ojców</w:t>
      </w:r>
      <w:r w:rsidRPr="002C0206">
        <w:t>.</w:t>
      </w:r>
    </w:p>
    <w:p w14:paraId="0647DC51" w14:textId="77777777" w:rsidR="002C0206" w:rsidRPr="002C0206" w:rsidRDefault="002C0206" w:rsidP="002C0206">
      <w:pPr>
        <w:pBdr>
          <w:bottom w:val="single" w:sz="6" w:space="1" w:color="auto"/>
        </w:pBdr>
        <w:jc w:val="both"/>
      </w:pPr>
      <w:r w:rsidRPr="002C0206">
        <w:t xml:space="preserve">Wyrok w sprawie </w:t>
      </w:r>
      <w:r w:rsidRPr="002C0206">
        <w:rPr>
          <w:i/>
          <w:iCs/>
        </w:rPr>
        <w:t>Foulon i Bouvet</w:t>
      </w:r>
      <w:r w:rsidRPr="002C0206">
        <w:t xml:space="preserve"> potwierdził wcześniejsze stanowisko Trybunału ze spraw </w:t>
      </w:r>
      <w:r w:rsidRPr="002C0206">
        <w:rPr>
          <w:i/>
          <w:iCs/>
        </w:rPr>
        <w:t>Mennesson</w:t>
      </w:r>
      <w:r w:rsidRPr="002C0206">
        <w:t xml:space="preserve"> i </w:t>
      </w:r>
      <w:r w:rsidRPr="002C0206">
        <w:rPr>
          <w:i/>
          <w:iCs/>
        </w:rPr>
        <w:t>Labassee</w:t>
      </w:r>
      <w:r w:rsidRPr="002C0206">
        <w:t xml:space="preserve">, że </w:t>
      </w:r>
      <w:r w:rsidRPr="002C0206">
        <w:rPr>
          <w:b/>
          <w:bCs/>
        </w:rPr>
        <w:t>dobro dziecka oraz jego prawo do tożsamości rodzinnej musi być brane pod uwagę</w:t>
      </w:r>
      <w:r w:rsidRPr="002C0206">
        <w:t>, nawet w przypadku naruszenia przepisów krajowych przez dorosłych.</w:t>
      </w:r>
    </w:p>
    <w:p w14:paraId="65D883F0" w14:textId="77777777" w:rsidR="002C0206" w:rsidRDefault="002C0206" w:rsidP="00837CC8">
      <w:pPr>
        <w:jc w:val="both"/>
      </w:pPr>
    </w:p>
    <w:p w14:paraId="135C3D40" w14:textId="77777777" w:rsidR="008B1334" w:rsidRPr="008B1334" w:rsidRDefault="008B1334" w:rsidP="008B1334">
      <w:pPr>
        <w:jc w:val="both"/>
      </w:pPr>
      <w:r w:rsidRPr="008B1334">
        <w:rPr>
          <w:b/>
          <w:bCs/>
        </w:rPr>
        <w:t>Sprawa C. przeciwko Francji (nr skargi 1462/18)</w:t>
      </w:r>
      <w:r w:rsidRPr="008B1334">
        <w:t xml:space="preserve"> dotyczyła kobiety, która była </w:t>
      </w:r>
      <w:r w:rsidRPr="008B1334">
        <w:rPr>
          <w:b/>
          <w:bCs/>
        </w:rPr>
        <w:t>partnerką matki dziecka urodzonego przez surogatkę za granicą</w:t>
      </w:r>
      <w:r w:rsidRPr="008B1334">
        <w:t xml:space="preserve">, a która nie była ani biologiczną matką dziecka, ani nie została wpisana jako jego rodzic w zagranicznym akcie urodzenia. Skarżąca twierdziła, że </w:t>
      </w:r>
      <w:r w:rsidRPr="008B1334">
        <w:rPr>
          <w:b/>
          <w:bCs/>
        </w:rPr>
        <w:t>odmowa uznania jej za prawną matkę dziecka, z którym faktycznie żyła i które współwychowywała od urodzenia, naruszyła jej prawo do poszanowania życia rodzinnego</w:t>
      </w:r>
      <w:r w:rsidRPr="008B1334">
        <w:t>.</w:t>
      </w:r>
    </w:p>
    <w:p w14:paraId="54A6809D" w14:textId="475BFF06" w:rsidR="008B1334" w:rsidRPr="008B1334" w:rsidRDefault="008B1334" w:rsidP="008B1334">
      <w:pPr>
        <w:jc w:val="both"/>
      </w:pPr>
      <w:r w:rsidRPr="008B1334">
        <w:t xml:space="preserve">Dziecko urodziło się w USA w wyniku surogacji, zgodnie z tamtejszym prawem. </w:t>
      </w:r>
      <w:r w:rsidR="004E4F6C">
        <w:br/>
      </w:r>
      <w:r w:rsidRPr="008B1334">
        <w:t xml:space="preserve">W amerykańskim akcie urodzenia wpisana została jedynie matka biologiczna – partnerka skarżącej. Po powrocie do Francji, skarżąca zamieszkała z matką dziecka i samym dzieckiem i </w:t>
      </w:r>
      <w:r w:rsidRPr="008B1334">
        <w:rPr>
          <w:b/>
          <w:bCs/>
        </w:rPr>
        <w:t>pełniła wobec niego rolę drugiego rodzica</w:t>
      </w:r>
      <w:r w:rsidRPr="008B1334">
        <w:t xml:space="preserve">. Jednak według francuskiego prawa, </w:t>
      </w:r>
      <w:r w:rsidRPr="008B1334">
        <w:rPr>
          <w:b/>
          <w:bCs/>
        </w:rPr>
        <w:t>nie była uznana za prawną matkę</w:t>
      </w:r>
      <w:r w:rsidRPr="008B1334">
        <w:t>, ponieważ nie istniało pokrewieństwo biologiczne ani prawny związek z dzieckiem, a surogacja była we Francji zabroniona.</w:t>
      </w:r>
    </w:p>
    <w:p w14:paraId="12A0E200" w14:textId="77777777" w:rsidR="008B1334" w:rsidRPr="008B1334" w:rsidRDefault="008B1334" w:rsidP="008B1334">
      <w:pPr>
        <w:jc w:val="both"/>
      </w:pPr>
      <w:r w:rsidRPr="008B1334">
        <w:t xml:space="preserve">Skarżąca próbowała uzyskać status prawnego rodzica dziecka poprzez adopcję – procedura ta była jednak przewlekła, niepewna i – jak twierdziła – niewystarczająco zabezpieczała jej relację z dzieckiem. W skardze do Trybunału wskazała na </w:t>
      </w:r>
      <w:r w:rsidRPr="008B1334">
        <w:rPr>
          <w:b/>
          <w:bCs/>
        </w:rPr>
        <w:t>naruszenie art. 8 Konwencji (prawo do poszanowania życia rodzinnego)</w:t>
      </w:r>
      <w:r w:rsidRPr="008B1334">
        <w:t xml:space="preserve">, argumentując, że </w:t>
      </w:r>
      <w:r w:rsidRPr="008B1334">
        <w:rPr>
          <w:b/>
          <w:bCs/>
        </w:rPr>
        <w:t>odmowa prawnego uznania jej roli w życiu dziecka, z którym mieszkała i które wychowywała, pozbawia ich oboje ochrony prawnej i poczucia bezpieczeństwa</w:t>
      </w:r>
      <w:r w:rsidRPr="008B1334">
        <w:t>.</w:t>
      </w:r>
    </w:p>
    <w:p w14:paraId="410AE11B" w14:textId="77777777" w:rsidR="008B1334" w:rsidRPr="008B1334" w:rsidRDefault="008B1334" w:rsidP="008B1334">
      <w:pPr>
        <w:jc w:val="both"/>
      </w:pPr>
      <w:r w:rsidRPr="008B1334">
        <w:t xml:space="preserve">W wyroku z dnia </w:t>
      </w:r>
      <w:r w:rsidRPr="008B1334">
        <w:rPr>
          <w:b/>
          <w:bCs/>
        </w:rPr>
        <w:t>26 czerwca 2020 roku</w:t>
      </w:r>
      <w:r w:rsidRPr="008B1334">
        <w:t xml:space="preserve">, Europejski Trybunał Praw Człowieka </w:t>
      </w:r>
      <w:r w:rsidRPr="008B1334">
        <w:rPr>
          <w:b/>
          <w:bCs/>
        </w:rPr>
        <w:t>stwierdził naruszenie art. 8 Konwencji</w:t>
      </w:r>
      <w:r w:rsidRPr="008B1334">
        <w:t xml:space="preserve">. Trybunał uznał, że </w:t>
      </w:r>
      <w:r w:rsidRPr="008B1334">
        <w:rPr>
          <w:b/>
          <w:bCs/>
        </w:rPr>
        <w:t>istniało życie rodzinne między skarżącą a dzieckiem</w:t>
      </w:r>
      <w:r w:rsidRPr="008B1334">
        <w:t xml:space="preserve">, a władze francuskie </w:t>
      </w:r>
      <w:r w:rsidRPr="008B1334">
        <w:rPr>
          <w:b/>
          <w:bCs/>
        </w:rPr>
        <w:t>nie zapewniły odpowiednich środków prawnych</w:t>
      </w:r>
      <w:r w:rsidRPr="008B1334">
        <w:t>, które umożliwiłyby uznanie i ochronę tej relacji w rozsądnych ramach czasowych i z należytą pewnością.</w:t>
      </w:r>
    </w:p>
    <w:p w14:paraId="596AB11C" w14:textId="77777777" w:rsidR="008B1334" w:rsidRPr="008B1334" w:rsidRDefault="008B1334" w:rsidP="008B1334">
      <w:pPr>
        <w:jc w:val="both"/>
      </w:pPr>
      <w:r w:rsidRPr="008B1334">
        <w:t xml:space="preserve">Trybunał nie zakwestionował prawa Francji do zakazu surogacji, ale podkreślił, że </w:t>
      </w:r>
      <w:r w:rsidRPr="008B1334">
        <w:rPr>
          <w:b/>
          <w:bCs/>
        </w:rPr>
        <w:t>ochrona dobra dziecka i uznanie jego rzeczywistej sytuacji rodzinnej muszą mieć pierwszeństwo</w:t>
      </w:r>
      <w:r w:rsidRPr="008B1334">
        <w:t>, nawet jeśli dorosły naruszył prawo. Brak możliwości szybkiego i skutecznego uznania więzi rodzinnej między dzieckiem a skarżącą był – zdaniem Trybunału – nieproporcjonalną ingerencją w życie rodzinne.</w:t>
      </w:r>
    </w:p>
    <w:p w14:paraId="53679A4A" w14:textId="3A000C47" w:rsidR="008B1334" w:rsidRDefault="008B1334" w:rsidP="00837CC8">
      <w:pPr>
        <w:pBdr>
          <w:bottom w:val="single" w:sz="6" w:space="1" w:color="auto"/>
        </w:pBdr>
        <w:jc w:val="both"/>
      </w:pPr>
      <w:r w:rsidRPr="008B1334">
        <w:t xml:space="preserve">Sprawa ta stanowiła </w:t>
      </w:r>
      <w:r w:rsidRPr="008B1334">
        <w:rPr>
          <w:b/>
          <w:bCs/>
        </w:rPr>
        <w:t>kontynuację linii orzeczniczej</w:t>
      </w:r>
      <w:r w:rsidRPr="008B1334">
        <w:t xml:space="preserve"> zapoczątkowanej w sprawach </w:t>
      </w:r>
      <w:r w:rsidRPr="008B1334">
        <w:rPr>
          <w:i/>
          <w:iCs/>
        </w:rPr>
        <w:t>Mennesson</w:t>
      </w:r>
      <w:r w:rsidRPr="008B1334">
        <w:t xml:space="preserve">, </w:t>
      </w:r>
      <w:r w:rsidRPr="008B1334">
        <w:rPr>
          <w:i/>
          <w:iCs/>
        </w:rPr>
        <w:t>Labassee</w:t>
      </w:r>
      <w:r w:rsidRPr="008B1334">
        <w:t xml:space="preserve"> oraz </w:t>
      </w:r>
      <w:r w:rsidRPr="008B1334">
        <w:rPr>
          <w:i/>
          <w:iCs/>
        </w:rPr>
        <w:t>Foulon i Bouvet</w:t>
      </w:r>
      <w:r w:rsidRPr="008B1334">
        <w:t xml:space="preserve">, i </w:t>
      </w:r>
      <w:r w:rsidRPr="008B1334">
        <w:rPr>
          <w:b/>
          <w:bCs/>
        </w:rPr>
        <w:t>rozszerzyła ochronę także na osoby niebędące biologicznymi rodzicami</w:t>
      </w:r>
      <w:r w:rsidRPr="008B1334">
        <w:t>, ale które w praktyce pełnią rolę rodzicielską wobec dziecka urodzonego w wyniku surogacji za granicą.</w:t>
      </w:r>
    </w:p>
    <w:p w14:paraId="49AD9E56" w14:textId="77777777" w:rsidR="008B1334" w:rsidRDefault="008B1334" w:rsidP="00837CC8">
      <w:pPr>
        <w:jc w:val="both"/>
      </w:pPr>
    </w:p>
    <w:p w14:paraId="2C80448C" w14:textId="1E981AD1" w:rsidR="008B1334" w:rsidRDefault="008B1334" w:rsidP="008B1334">
      <w:pPr>
        <w:jc w:val="center"/>
        <w:rPr>
          <w:b/>
          <w:bCs/>
          <w:color w:val="990033"/>
          <w:sz w:val="28"/>
          <w:szCs w:val="28"/>
          <w:u w:val="single"/>
        </w:rPr>
      </w:pPr>
      <w:r w:rsidRPr="00E65555">
        <w:rPr>
          <w:b/>
          <w:bCs/>
          <w:color w:val="990033"/>
          <w:sz w:val="28"/>
          <w:szCs w:val="28"/>
          <w:u w:val="single"/>
        </w:rPr>
        <w:t>Orzecznictwo ETPC w sprawach</w:t>
      </w:r>
      <w:r>
        <w:rPr>
          <w:b/>
          <w:bCs/>
          <w:color w:val="990033"/>
          <w:sz w:val="28"/>
          <w:szCs w:val="28"/>
          <w:u w:val="single"/>
        </w:rPr>
        <w:t xml:space="preserve"> porodu domowego</w:t>
      </w:r>
    </w:p>
    <w:p w14:paraId="3AA94553" w14:textId="77777777" w:rsidR="00236A29" w:rsidRDefault="00236A29" w:rsidP="008B1334">
      <w:pPr>
        <w:jc w:val="center"/>
        <w:rPr>
          <w:b/>
          <w:bCs/>
          <w:color w:val="990033"/>
          <w:sz w:val="28"/>
          <w:szCs w:val="28"/>
          <w:u w:val="single"/>
        </w:rPr>
      </w:pPr>
    </w:p>
    <w:p w14:paraId="4A5A4FD2" w14:textId="09DEB548" w:rsidR="00BF5B74" w:rsidRPr="00BF5B74" w:rsidRDefault="00BF5B74" w:rsidP="00BF5B74">
      <w:pPr>
        <w:jc w:val="both"/>
        <w:rPr>
          <w:color w:val="000000" w:themeColor="text1"/>
        </w:rPr>
      </w:pPr>
      <w:r w:rsidRPr="00BF5B74">
        <w:rPr>
          <w:b/>
          <w:bCs/>
          <w:color w:val="000000" w:themeColor="text1"/>
        </w:rPr>
        <w:lastRenderedPageBreak/>
        <w:t>Sprawa Ternovszky przeciwko Węgrom (nr skargi 67545/09)</w:t>
      </w:r>
      <w:r w:rsidRPr="00BF5B74">
        <w:rPr>
          <w:color w:val="000000" w:themeColor="text1"/>
        </w:rPr>
        <w:t xml:space="preserve"> dotyczyła skargi złożonej przez kobietę, która chciała urodzić dziecko w domu, z pomocą wykwalifikowanej położnej, lecz została pozbawiona możliwości realizacji tego zamiaru z powodu </w:t>
      </w:r>
      <w:r w:rsidRPr="00BF5B74">
        <w:rPr>
          <w:b/>
          <w:bCs/>
          <w:color w:val="000000" w:themeColor="text1"/>
        </w:rPr>
        <w:t>braku jasnych i spójnych regulacji prawnych</w:t>
      </w:r>
      <w:r w:rsidRPr="00BF5B74">
        <w:rPr>
          <w:color w:val="000000" w:themeColor="text1"/>
        </w:rPr>
        <w:t xml:space="preserve"> w węgierskim systemie ochrony zdrowia. </w:t>
      </w:r>
      <w:r w:rsidR="00E53856">
        <w:rPr>
          <w:color w:val="000000" w:themeColor="text1"/>
        </w:rPr>
        <w:br/>
      </w:r>
      <w:r w:rsidRPr="00BF5B74">
        <w:rPr>
          <w:color w:val="000000" w:themeColor="text1"/>
        </w:rPr>
        <w:t xml:space="preserve">W szczególności skarżąca twierdziła, że praktyka karania położnych za udzielanie pomocy przy porodach domowych </w:t>
      </w:r>
      <w:r w:rsidRPr="00BF5B74">
        <w:rPr>
          <w:b/>
          <w:bCs/>
          <w:color w:val="000000" w:themeColor="text1"/>
        </w:rPr>
        <w:t>tworzyła atmosferę prawnego zagrożenia</w:t>
      </w:r>
      <w:r w:rsidRPr="00BF5B74">
        <w:rPr>
          <w:color w:val="000000" w:themeColor="text1"/>
        </w:rPr>
        <w:t>, która zniechęcała personel medyczny do asystowania przy takich porodach, czyniąc w praktyce poród domowy niemożliwym.</w:t>
      </w:r>
    </w:p>
    <w:p w14:paraId="05B5055B" w14:textId="77777777" w:rsidR="00BF5B74" w:rsidRPr="00BF5B74" w:rsidRDefault="00BF5B74" w:rsidP="00BF5B74">
      <w:pPr>
        <w:jc w:val="both"/>
        <w:rPr>
          <w:color w:val="000000" w:themeColor="text1"/>
        </w:rPr>
      </w:pPr>
      <w:r w:rsidRPr="00BF5B74">
        <w:rPr>
          <w:color w:val="000000" w:themeColor="text1"/>
        </w:rPr>
        <w:t xml:space="preserve">Węgierski system prawny w czasie składania skargi nie przewidywał ani wyraźnej legalizacji porodów domowych, ani zasad odpowiedzialności zawodowej i cywilnej osób je przyjmujących. Wobec braku jednoznacznych przepisów, położne i inni profesjonaliści działający w tym obszarze byli narażeni na </w:t>
      </w:r>
      <w:r w:rsidRPr="00BF5B74">
        <w:rPr>
          <w:b/>
          <w:bCs/>
          <w:color w:val="000000" w:themeColor="text1"/>
        </w:rPr>
        <w:t>postępowania karne i dyscyplinarne</w:t>
      </w:r>
      <w:r w:rsidRPr="00BF5B74">
        <w:rPr>
          <w:color w:val="000000" w:themeColor="text1"/>
        </w:rPr>
        <w:t>, co skutecznie odstraszało ich od świadczenia usług przy porodach poza szpitalem.</w:t>
      </w:r>
    </w:p>
    <w:p w14:paraId="0C9B3447" w14:textId="77777777" w:rsidR="00BF5B74" w:rsidRPr="00BF5B74" w:rsidRDefault="00BF5B74" w:rsidP="00BF5B74">
      <w:pPr>
        <w:jc w:val="both"/>
        <w:rPr>
          <w:color w:val="000000" w:themeColor="text1"/>
        </w:rPr>
      </w:pPr>
      <w:r w:rsidRPr="00BF5B74">
        <w:rPr>
          <w:color w:val="000000" w:themeColor="text1"/>
        </w:rPr>
        <w:t xml:space="preserve">Skarżąca twierdziła, że taka sytuacja narusza jej prawo do poszanowania życia prywatnego, chronione przez </w:t>
      </w:r>
      <w:r w:rsidRPr="00BF5B74">
        <w:rPr>
          <w:b/>
          <w:bCs/>
          <w:color w:val="000000" w:themeColor="text1"/>
        </w:rPr>
        <w:t>art. 8 Europejskiej Konwencji Praw Człowieka</w:t>
      </w:r>
      <w:r w:rsidRPr="00BF5B74">
        <w:rPr>
          <w:color w:val="000000" w:themeColor="text1"/>
        </w:rPr>
        <w:t xml:space="preserve">, ponieważ uniemożliwia jej podjęcie autonomicznej decyzji dotyczącej miejsca i warunków narodzin jej dziecka. Jej zdaniem państwo, zamiast wspierać wolność jednostki w tym zakresie, tworzyło </w:t>
      </w:r>
      <w:r w:rsidRPr="00BF5B74">
        <w:rPr>
          <w:b/>
          <w:bCs/>
          <w:color w:val="000000" w:themeColor="text1"/>
        </w:rPr>
        <w:t>klimat prawnej niepewności</w:t>
      </w:r>
      <w:r w:rsidRPr="00BF5B74">
        <w:rPr>
          <w:color w:val="000000" w:themeColor="text1"/>
        </w:rPr>
        <w:t>, ograniczając realną możliwość wyboru.</w:t>
      </w:r>
    </w:p>
    <w:p w14:paraId="39312E75" w14:textId="77777777" w:rsidR="00BF5B74" w:rsidRPr="00BF5B74" w:rsidRDefault="00BF5B74" w:rsidP="00BF5B74">
      <w:pPr>
        <w:jc w:val="both"/>
        <w:rPr>
          <w:color w:val="000000" w:themeColor="text1"/>
        </w:rPr>
      </w:pPr>
      <w:r w:rsidRPr="00BF5B74">
        <w:rPr>
          <w:color w:val="000000" w:themeColor="text1"/>
        </w:rPr>
        <w:t xml:space="preserve">W wyroku z dnia </w:t>
      </w:r>
      <w:r w:rsidRPr="00BF5B74">
        <w:rPr>
          <w:b/>
          <w:bCs/>
          <w:color w:val="000000" w:themeColor="text1"/>
        </w:rPr>
        <w:t>14 grudnia 2010 roku</w:t>
      </w:r>
      <w:r w:rsidRPr="00BF5B74">
        <w:rPr>
          <w:color w:val="000000" w:themeColor="text1"/>
        </w:rPr>
        <w:t xml:space="preserve"> Europejski Trybunał Praw Człowieka przyznał rację skarżącej, stwierdzając </w:t>
      </w:r>
      <w:r w:rsidRPr="00BF5B74">
        <w:rPr>
          <w:b/>
          <w:bCs/>
          <w:color w:val="000000" w:themeColor="text1"/>
        </w:rPr>
        <w:t>naruszenie art. 8 Konwencji</w:t>
      </w:r>
      <w:r w:rsidRPr="00BF5B74">
        <w:rPr>
          <w:color w:val="000000" w:themeColor="text1"/>
        </w:rPr>
        <w:t xml:space="preserve">. Trybunał podkreślił, że </w:t>
      </w:r>
      <w:r w:rsidRPr="00BF5B74">
        <w:rPr>
          <w:b/>
          <w:bCs/>
          <w:color w:val="000000" w:themeColor="text1"/>
        </w:rPr>
        <w:t>prawo kobiety do decydowania o sposobie i miejscu porodu</w:t>
      </w:r>
      <w:r w:rsidRPr="00BF5B74">
        <w:rPr>
          <w:color w:val="000000" w:themeColor="text1"/>
        </w:rPr>
        <w:t xml:space="preserve"> stanowi istotny element prawa do poszanowania życia prywatnego. Państwo ma obowiązek nie tylko powstrzymywać się od arbitralnej ingerencji, ale również </w:t>
      </w:r>
      <w:r w:rsidRPr="00BF5B74">
        <w:rPr>
          <w:b/>
          <w:bCs/>
          <w:color w:val="000000" w:themeColor="text1"/>
        </w:rPr>
        <w:t>tworzyć ramy prawne, które umożliwiają jednostce korzystanie z tego prawa w praktyce</w:t>
      </w:r>
      <w:r w:rsidRPr="00BF5B74">
        <w:rPr>
          <w:color w:val="000000" w:themeColor="text1"/>
        </w:rPr>
        <w:t>.</w:t>
      </w:r>
    </w:p>
    <w:p w14:paraId="2ED00DDB" w14:textId="77777777" w:rsidR="00BF5B74" w:rsidRPr="00BF5B74" w:rsidRDefault="00BF5B74" w:rsidP="00BF5B74">
      <w:pPr>
        <w:jc w:val="both"/>
        <w:rPr>
          <w:color w:val="000000" w:themeColor="text1"/>
        </w:rPr>
      </w:pPr>
      <w:r w:rsidRPr="00BF5B74">
        <w:rPr>
          <w:color w:val="000000" w:themeColor="text1"/>
        </w:rPr>
        <w:t xml:space="preserve">Trybunał uznał, że </w:t>
      </w:r>
      <w:r w:rsidRPr="00BF5B74">
        <w:rPr>
          <w:b/>
          <w:bCs/>
          <w:color w:val="000000" w:themeColor="text1"/>
        </w:rPr>
        <w:t>brak jasnych regulacji</w:t>
      </w:r>
      <w:r w:rsidRPr="00BF5B74">
        <w:rPr>
          <w:color w:val="000000" w:themeColor="text1"/>
        </w:rPr>
        <w:t xml:space="preserve"> oraz groźba sankcji wobec personelu medycznego udzielającego pomocy przy porodach domowych oznaczały, że skarżąca </w:t>
      </w:r>
      <w:r w:rsidRPr="00BF5B74">
        <w:rPr>
          <w:b/>
          <w:bCs/>
          <w:color w:val="000000" w:themeColor="text1"/>
        </w:rPr>
        <w:t>nie miała rzeczywistej możliwości wyboru</w:t>
      </w:r>
      <w:r w:rsidRPr="00BF5B74">
        <w:rPr>
          <w:color w:val="000000" w:themeColor="text1"/>
        </w:rPr>
        <w:t>, co stanowiło naruszenie jej wolności osobistej i prywatności. Trybunał zwrócił uwagę, że system prawny powinien być przewidywalny i przejrzysty, zwłaszcza w kwestiach dotyczących zdrowia, życia rodzinnego i autonomii jednostki.</w:t>
      </w:r>
    </w:p>
    <w:p w14:paraId="7EB04BBE" w14:textId="77777777" w:rsidR="00BF5B74" w:rsidRPr="00BF5B74" w:rsidRDefault="00BF5B74" w:rsidP="00BF5B74">
      <w:pPr>
        <w:pBdr>
          <w:bottom w:val="single" w:sz="6" w:space="1" w:color="auto"/>
        </w:pBdr>
        <w:jc w:val="both"/>
        <w:rPr>
          <w:color w:val="000000" w:themeColor="text1"/>
        </w:rPr>
      </w:pPr>
      <w:r w:rsidRPr="00BF5B74">
        <w:rPr>
          <w:color w:val="000000" w:themeColor="text1"/>
        </w:rPr>
        <w:t xml:space="preserve">Wyrok w sprawie </w:t>
      </w:r>
      <w:r w:rsidRPr="00BF5B74">
        <w:rPr>
          <w:i/>
          <w:iCs/>
          <w:color w:val="000000" w:themeColor="text1"/>
        </w:rPr>
        <w:t>Ternovszky</w:t>
      </w:r>
      <w:r w:rsidRPr="00BF5B74">
        <w:rPr>
          <w:color w:val="000000" w:themeColor="text1"/>
        </w:rPr>
        <w:t xml:space="preserve"> miał istotne znaczenie dla rozwoju standardów w zakresie praw reprodukcyjnych w Europie. Trybunał po raz pierwszy tak wyraźnie i jednoznacznie uznał, że </w:t>
      </w:r>
      <w:r w:rsidRPr="00BF5B74">
        <w:rPr>
          <w:b/>
          <w:bCs/>
          <w:color w:val="000000" w:themeColor="text1"/>
        </w:rPr>
        <w:t>prawo kobiety do wyboru miejsca porodu – w tym porodu domowego – podlega ochronie na gruncie art. 8 EKPC</w:t>
      </w:r>
      <w:r w:rsidRPr="00BF5B74">
        <w:rPr>
          <w:color w:val="000000" w:themeColor="text1"/>
        </w:rPr>
        <w:t xml:space="preserve">, i że </w:t>
      </w:r>
      <w:r w:rsidRPr="00BF5B74">
        <w:rPr>
          <w:b/>
          <w:bCs/>
          <w:color w:val="000000" w:themeColor="text1"/>
        </w:rPr>
        <w:t>państwo ma obowiązek stworzyć odpowiednie i bezpieczne ramy prawne</w:t>
      </w:r>
      <w:r w:rsidRPr="00BF5B74">
        <w:rPr>
          <w:color w:val="000000" w:themeColor="text1"/>
        </w:rPr>
        <w:t>, umożliwiające realizację tego prawa w praktyce.</w:t>
      </w:r>
    </w:p>
    <w:p w14:paraId="613772F2" w14:textId="77777777" w:rsidR="00BF5B74" w:rsidRDefault="00BF5B74" w:rsidP="00236A29">
      <w:pPr>
        <w:jc w:val="both"/>
        <w:rPr>
          <w:color w:val="000000" w:themeColor="text1"/>
        </w:rPr>
      </w:pPr>
    </w:p>
    <w:p w14:paraId="34A36AC7" w14:textId="151F7EB7" w:rsidR="00BF5B74" w:rsidRPr="00BF5B74" w:rsidRDefault="00BF5B74" w:rsidP="00BF5B74">
      <w:pPr>
        <w:jc w:val="both"/>
        <w:rPr>
          <w:color w:val="000000" w:themeColor="text1"/>
        </w:rPr>
      </w:pPr>
      <w:r w:rsidRPr="00BF5B74">
        <w:rPr>
          <w:b/>
          <w:bCs/>
          <w:color w:val="000000" w:themeColor="text1"/>
        </w:rPr>
        <w:lastRenderedPageBreak/>
        <w:t>Sprawa Dubská i Krejzová przeciwko Czechom (nr skargi 28859/11 i 28473/12)</w:t>
      </w:r>
      <w:r w:rsidRPr="00BF5B74">
        <w:rPr>
          <w:color w:val="000000" w:themeColor="text1"/>
        </w:rPr>
        <w:t xml:space="preserve"> dotyczyła skarg dwóch kobiet, które chciały urodzić swoje dzieci w domu z pomocą wykwalifikowanej położnej, ale zostały pozbawione tej możliwości z powodu czeskich przepisów zakazujących personelowi medycznemu udzielania pomocy przy porodach domowych. Skarżące twierdziły, że ograniczenie to naruszało ich </w:t>
      </w:r>
      <w:r w:rsidRPr="00BF5B74">
        <w:rPr>
          <w:b/>
          <w:bCs/>
          <w:color w:val="000000" w:themeColor="text1"/>
        </w:rPr>
        <w:t>prawo do poszanowania życia prywatnego</w:t>
      </w:r>
      <w:r w:rsidRPr="00BF5B74">
        <w:rPr>
          <w:color w:val="000000" w:themeColor="text1"/>
        </w:rPr>
        <w:t xml:space="preserve">, gwarantowane w </w:t>
      </w:r>
      <w:r w:rsidRPr="00BF5B74">
        <w:rPr>
          <w:b/>
          <w:bCs/>
          <w:color w:val="000000" w:themeColor="text1"/>
        </w:rPr>
        <w:t>art. 8 Europejskiej Konwencji Praw Człowieka</w:t>
      </w:r>
      <w:r w:rsidRPr="00BF5B74">
        <w:rPr>
          <w:color w:val="000000" w:themeColor="text1"/>
        </w:rPr>
        <w:t>.</w:t>
      </w:r>
    </w:p>
    <w:p w14:paraId="7C442DFB" w14:textId="77777777" w:rsidR="00BF5B74" w:rsidRPr="00BF5B74" w:rsidRDefault="00BF5B74" w:rsidP="00BF5B74">
      <w:pPr>
        <w:jc w:val="both"/>
        <w:rPr>
          <w:color w:val="000000" w:themeColor="text1"/>
        </w:rPr>
      </w:pPr>
      <w:r w:rsidRPr="00BF5B74">
        <w:rPr>
          <w:color w:val="000000" w:themeColor="text1"/>
        </w:rPr>
        <w:t xml:space="preserve">Zgodnie z obowiązującym w Czechach prawem w czasie wydarzeń będących przedmiotem skargi, tylko porody odbywające się w placówkach szpitalnych mogły być legalnie przyjmowane przez personel medyczny. Osoby asystujące przy porodach domowych, w tym położne, ryzykowały </w:t>
      </w:r>
      <w:r w:rsidRPr="00BF5B74">
        <w:rPr>
          <w:b/>
          <w:bCs/>
          <w:color w:val="000000" w:themeColor="text1"/>
        </w:rPr>
        <w:t>utratę licencji lub sankcje zawodowe</w:t>
      </w:r>
      <w:r w:rsidRPr="00BF5B74">
        <w:rPr>
          <w:color w:val="000000" w:themeColor="text1"/>
        </w:rPr>
        <w:t>, ponieważ nie przewidywano ani procedur, ani zabezpieczeń prawnych dla tego typu praktyk.</w:t>
      </w:r>
    </w:p>
    <w:p w14:paraId="5EA4E048" w14:textId="77777777" w:rsidR="00BF5B74" w:rsidRPr="00BF5B74" w:rsidRDefault="00BF5B74" w:rsidP="00BF5B74">
      <w:pPr>
        <w:jc w:val="both"/>
        <w:rPr>
          <w:color w:val="000000" w:themeColor="text1"/>
        </w:rPr>
      </w:pPr>
      <w:r w:rsidRPr="00BF5B74">
        <w:rPr>
          <w:color w:val="000000" w:themeColor="text1"/>
        </w:rPr>
        <w:t xml:space="preserve">Skarżące argumentowały, że brak dostępu do profesjonalnej opieki podczas porodu domowego </w:t>
      </w:r>
      <w:r w:rsidRPr="00BF5B74">
        <w:rPr>
          <w:b/>
          <w:bCs/>
          <w:color w:val="000000" w:themeColor="text1"/>
        </w:rPr>
        <w:t>zmusił je do rodzenia w szpitalu wbrew ich woli</w:t>
      </w:r>
      <w:r w:rsidRPr="00BF5B74">
        <w:rPr>
          <w:color w:val="000000" w:themeColor="text1"/>
        </w:rPr>
        <w:t>, lub do rodzenia w domu bez odpowiedniego wsparcia medycznego, co zagrażało zarówno ich zdrowiu, jak i zdrowiu ich dzieci. Twierdziły, że państwo powinno umożliwiać wybór miejsca porodu i zapewnić kobietom realną możliwość korzystania z tej opcji w bezpiecznych i legalnych warunkach.</w:t>
      </w:r>
    </w:p>
    <w:p w14:paraId="763D0BC9" w14:textId="77777777" w:rsidR="00BF5B74" w:rsidRPr="00BF5B74" w:rsidRDefault="00BF5B74" w:rsidP="00BF5B74">
      <w:pPr>
        <w:jc w:val="both"/>
        <w:rPr>
          <w:color w:val="000000" w:themeColor="text1"/>
        </w:rPr>
      </w:pPr>
      <w:r w:rsidRPr="00BF5B74">
        <w:rPr>
          <w:color w:val="000000" w:themeColor="text1"/>
        </w:rPr>
        <w:t xml:space="preserve">W wyroku z dnia </w:t>
      </w:r>
      <w:r w:rsidRPr="00BF5B74">
        <w:rPr>
          <w:b/>
          <w:bCs/>
          <w:color w:val="000000" w:themeColor="text1"/>
        </w:rPr>
        <w:t>15 listopada 2016 roku (Wielka Izba)</w:t>
      </w:r>
      <w:r w:rsidRPr="00BF5B74">
        <w:rPr>
          <w:color w:val="000000" w:themeColor="text1"/>
        </w:rPr>
        <w:t xml:space="preserve"> Europejski Trybunał Praw Człowieka </w:t>
      </w:r>
      <w:r w:rsidRPr="00BF5B74">
        <w:rPr>
          <w:b/>
          <w:bCs/>
          <w:color w:val="000000" w:themeColor="text1"/>
        </w:rPr>
        <w:t>nie stwierdził naruszenia art. 8 Konwencji</w:t>
      </w:r>
      <w:r w:rsidRPr="00BF5B74">
        <w:rPr>
          <w:color w:val="000000" w:themeColor="text1"/>
        </w:rPr>
        <w:t xml:space="preserve">. Choć Trybunał zgodził się, że decyzja kobiety dotycząca miejsca porodu należy do sfery życia prywatnego i podlega ochronie, to uznał, że czeskie władze </w:t>
      </w:r>
      <w:r w:rsidRPr="00BF5B74">
        <w:rPr>
          <w:b/>
          <w:bCs/>
          <w:color w:val="000000" w:themeColor="text1"/>
        </w:rPr>
        <w:t>mieściły się w granicach swojej „marginesu uznania”</w:t>
      </w:r>
      <w:r w:rsidRPr="00BF5B74">
        <w:rPr>
          <w:color w:val="000000" w:themeColor="text1"/>
        </w:rPr>
        <w:t xml:space="preserve">, mając na względzie </w:t>
      </w:r>
      <w:r w:rsidRPr="00BF5B74">
        <w:rPr>
          <w:b/>
          <w:bCs/>
          <w:color w:val="000000" w:themeColor="text1"/>
        </w:rPr>
        <w:t>cele w zakresie zdrowia publicznego i bezpieczeństwa matki i dziecka</w:t>
      </w:r>
      <w:r w:rsidRPr="00BF5B74">
        <w:rPr>
          <w:color w:val="000000" w:themeColor="text1"/>
        </w:rPr>
        <w:t>.</w:t>
      </w:r>
    </w:p>
    <w:p w14:paraId="1EFA11DC" w14:textId="77777777" w:rsidR="00BF5B74" w:rsidRPr="00BF5B74" w:rsidRDefault="00BF5B74" w:rsidP="00BF5B74">
      <w:pPr>
        <w:jc w:val="both"/>
        <w:rPr>
          <w:color w:val="000000" w:themeColor="text1"/>
        </w:rPr>
      </w:pPr>
      <w:r w:rsidRPr="00BF5B74">
        <w:rPr>
          <w:color w:val="000000" w:themeColor="text1"/>
        </w:rPr>
        <w:t xml:space="preserve">Trybunał zauważył, że </w:t>
      </w:r>
      <w:r w:rsidRPr="00BF5B74">
        <w:rPr>
          <w:b/>
          <w:bCs/>
          <w:color w:val="000000" w:themeColor="text1"/>
        </w:rPr>
        <w:t>nie istnieje europejski konsensus</w:t>
      </w:r>
      <w:r w:rsidRPr="00BF5B74">
        <w:rPr>
          <w:color w:val="000000" w:themeColor="text1"/>
        </w:rPr>
        <w:t xml:space="preserve"> w sprawie uregulowań dotyczących porodów domowych – różne państwa członkowskie stosują odmienne modele opieki okołoporodowej. W tym kontekście czeski system, który preferuje porody w szpitalu, ale nie penalizuje samych matek rodzących w domu, został uznany za mieszczący się w zakresie dopuszczalnej polityki publicznej.</w:t>
      </w:r>
    </w:p>
    <w:p w14:paraId="7A8BF7DD" w14:textId="77777777" w:rsidR="00BF5B74" w:rsidRPr="00BF5B74" w:rsidRDefault="00BF5B74" w:rsidP="00BF5B74">
      <w:pPr>
        <w:jc w:val="both"/>
        <w:rPr>
          <w:color w:val="000000" w:themeColor="text1"/>
        </w:rPr>
      </w:pPr>
      <w:r w:rsidRPr="00BF5B74">
        <w:rPr>
          <w:color w:val="000000" w:themeColor="text1"/>
        </w:rPr>
        <w:t xml:space="preserve">Jednakże </w:t>
      </w:r>
      <w:r w:rsidRPr="00BF5B74">
        <w:rPr>
          <w:b/>
          <w:bCs/>
          <w:color w:val="000000" w:themeColor="text1"/>
        </w:rPr>
        <w:t>sędziowie w sprawie byli podzieleni</w:t>
      </w:r>
      <w:r w:rsidRPr="00BF5B74">
        <w:rPr>
          <w:color w:val="000000" w:themeColor="text1"/>
        </w:rPr>
        <w:t xml:space="preserve"> – wyrok zapadł większością głosów 11 do 6. W zdaniach odrębnych podkreślano, że brak jasnych przepisów dotyczących porodów domowych i zagrożenie sankcjami dla położnych skutecznie </w:t>
      </w:r>
      <w:r w:rsidRPr="00BF5B74">
        <w:rPr>
          <w:b/>
          <w:bCs/>
          <w:color w:val="000000" w:themeColor="text1"/>
        </w:rPr>
        <w:t>pozbawiły kobiety prawa do rzeczywistego wyboru</w:t>
      </w:r>
      <w:r w:rsidRPr="00BF5B74">
        <w:rPr>
          <w:color w:val="000000" w:themeColor="text1"/>
        </w:rPr>
        <w:t>, a tym samym stanowiły ingerencję w życie prywatne.</w:t>
      </w:r>
    </w:p>
    <w:p w14:paraId="3E8401E5" w14:textId="48D1547D" w:rsidR="008B1334" w:rsidRPr="00120517" w:rsidRDefault="00BF5B74" w:rsidP="00E01ABA">
      <w:pPr>
        <w:pBdr>
          <w:bottom w:val="single" w:sz="6" w:space="1" w:color="auto"/>
        </w:pBdr>
        <w:jc w:val="both"/>
        <w:rPr>
          <w:color w:val="000000" w:themeColor="text1"/>
        </w:rPr>
      </w:pPr>
      <w:r w:rsidRPr="00BF5B74">
        <w:rPr>
          <w:color w:val="000000" w:themeColor="text1"/>
        </w:rPr>
        <w:t xml:space="preserve">Choć Trybunał nie stwierdził naruszenia, wyrok w sprawie </w:t>
      </w:r>
      <w:r w:rsidRPr="00BF5B74">
        <w:rPr>
          <w:i/>
          <w:iCs/>
          <w:color w:val="000000" w:themeColor="text1"/>
        </w:rPr>
        <w:t>Dubská i Krejzová</w:t>
      </w:r>
      <w:r w:rsidRPr="00BF5B74">
        <w:rPr>
          <w:color w:val="000000" w:themeColor="text1"/>
        </w:rPr>
        <w:t xml:space="preserve"> był kontynuacją linii orzeczniczej zapoczątkowanej m.in. w sprawie </w:t>
      </w:r>
      <w:r w:rsidRPr="00BF5B74">
        <w:rPr>
          <w:i/>
          <w:iCs/>
          <w:color w:val="000000" w:themeColor="text1"/>
        </w:rPr>
        <w:t>Ternovszky przeciwko Węgrom</w:t>
      </w:r>
      <w:r w:rsidRPr="00BF5B74">
        <w:rPr>
          <w:color w:val="000000" w:themeColor="text1"/>
        </w:rPr>
        <w:t xml:space="preserve"> i przyczynił się do dalszej dyskusji na temat </w:t>
      </w:r>
      <w:r w:rsidRPr="00BF5B74">
        <w:rPr>
          <w:b/>
          <w:bCs/>
          <w:color w:val="000000" w:themeColor="text1"/>
        </w:rPr>
        <w:t>standardów praw reprodukcyjnych</w:t>
      </w:r>
      <w:r w:rsidRPr="00BF5B74">
        <w:rPr>
          <w:color w:val="000000" w:themeColor="text1"/>
        </w:rPr>
        <w:t xml:space="preserve"> oraz zakresu wolności jednostki w zakresie decyzji dotyczących porodu.</w:t>
      </w:r>
    </w:p>
    <w:p w14:paraId="0E6C8E4A" w14:textId="77777777" w:rsidR="002929E0" w:rsidRPr="006D34A7" w:rsidRDefault="002929E0" w:rsidP="008B1334"/>
    <w:p w14:paraId="51A08A14" w14:textId="77777777" w:rsidR="00D52142" w:rsidRPr="006A2F98" w:rsidRDefault="00D52142" w:rsidP="006C0869">
      <w:pPr>
        <w:jc w:val="both"/>
      </w:pPr>
    </w:p>
    <w:p w14:paraId="668722DE" w14:textId="17304860" w:rsidR="006A2F98" w:rsidRPr="00D87715" w:rsidRDefault="006A2F98" w:rsidP="006C0869">
      <w:pPr>
        <w:jc w:val="both"/>
      </w:pPr>
    </w:p>
    <w:sectPr w:rsidR="006A2F98" w:rsidRPr="00D877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altName w:val="Sylfaen"/>
    <w:charset w:val="00"/>
    <w:family w:val="roman"/>
    <w:pitch w:val="variable"/>
    <w:sig w:usb0="A11526FF" w:usb1="C000ECFB"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41B0"/>
    <w:multiLevelType w:val="multilevel"/>
    <w:tmpl w:val="81F2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F2994"/>
    <w:multiLevelType w:val="multilevel"/>
    <w:tmpl w:val="86BC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347CF"/>
    <w:multiLevelType w:val="multilevel"/>
    <w:tmpl w:val="2108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D6F3D"/>
    <w:multiLevelType w:val="multilevel"/>
    <w:tmpl w:val="8452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754DA"/>
    <w:multiLevelType w:val="multilevel"/>
    <w:tmpl w:val="EAC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3736F"/>
    <w:multiLevelType w:val="multilevel"/>
    <w:tmpl w:val="8362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5B7322"/>
    <w:multiLevelType w:val="multilevel"/>
    <w:tmpl w:val="455C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652145">
    <w:abstractNumId w:val="2"/>
  </w:num>
  <w:num w:numId="2" w16cid:durableId="956525636">
    <w:abstractNumId w:val="4"/>
  </w:num>
  <w:num w:numId="3" w16cid:durableId="1381130464">
    <w:abstractNumId w:val="3"/>
  </w:num>
  <w:num w:numId="4" w16cid:durableId="1454977352">
    <w:abstractNumId w:val="0"/>
  </w:num>
  <w:num w:numId="5" w16cid:durableId="939072700">
    <w:abstractNumId w:val="6"/>
  </w:num>
  <w:num w:numId="6" w16cid:durableId="881137398">
    <w:abstractNumId w:val="1"/>
  </w:num>
  <w:num w:numId="7" w16cid:durableId="69618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1E"/>
    <w:rsid w:val="00007556"/>
    <w:rsid w:val="00047807"/>
    <w:rsid w:val="0008486C"/>
    <w:rsid w:val="000D4945"/>
    <w:rsid w:val="00120517"/>
    <w:rsid w:val="00131674"/>
    <w:rsid w:val="001340B1"/>
    <w:rsid w:val="001C2084"/>
    <w:rsid w:val="001D21AD"/>
    <w:rsid w:val="001E5179"/>
    <w:rsid w:val="00236A29"/>
    <w:rsid w:val="002929E0"/>
    <w:rsid w:val="002C0206"/>
    <w:rsid w:val="002C3965"/>
    <w:rsid w:val="00370522"/>
    <w:rsid w:val="003A58BF"/>
    <w:rsid w:val="00426B49"/>
    <w:rsid w:val="00442C90"/>
    <w:rsid w:val="00444911"/>
    <w:rsid w:val="004A487C"/>
    <w:rsid w:val="004E4F6C"/>
    <w:rsid w:val="005358A2"/>
    <w:rsid w:val="00571F72"/>
    <w:rsid w:val="00621E77"/>
    <w:rsid w:val="006A2F98"/>
    <w:rsid w:val="006C0869"/>
    <w:rsid w:val="006D34A7"/>
    <w:rsid w:val="00770491"/>
    <w:rsid w:val="007E3E95"/>
    <w:rsid w:val="00837CC8"/>
    <w:rsid w:val="0085457B"/>
    <w:rsid w:val="008B1334"/>
    <w:rsid w:val="008C1C9E"/>
    <w:rsid w:val="008D2D87"/>
    <w:rsid w:val="008D50F5"/>
    <w:rsid w:val="008E3A02"/>
    <w:rsid w:val="0091670F"/>
    <w:rsid w:val="0094009A"/>
    <w:rsid w:val="009B3685"/>
    <w:rsid w:val="009C5426"/>
    <w:rsid w:val="009D56B9"/>
    <w:rsid w:val="00A33E69"/>
    <w:rsid w:val="00B13E1C"/>
    <w:rsid w:val="00B1485D"/>
    <w:rsid w:val="00B163F9"/>
    <w:rsid w:val="00BE647D"/>
    <w:rsid w:val="00BE7604"/>
    <w:rsid w:val="00BF5B74"/>
    <w:rsid w:val="00C26190"/>
    <w:rsid w:val="00C433CA"/>
    <w:rsid w:val="00CA4B1E"/>
    <w:rsid w:val="00CC25F9"/>
    <w:rsid w:val="00D10049"/>
    <w:rsid w:val="00D44C56"/>
    <w:rsid w:val="00D52142"/>
    <w:rsid w:val="00D87715"/>
    <w:rsid w:val="00E01ABA"/>
    <w:rsid w:val="00E53856"/>
    <w:rsid w:val="00E65555"/>
    <w:rsid w:val="00F212DA"/>
    <w:rsid w:val="00F84C55"/>
    <w:rsid w:val="00FB4672"/>
    <w:rsid w:val="00FD16F5"/>
    <w:rsid w:val="00FD5F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09A0"/>
  <w15:chartTrackingRefBased/>
  <w15:docId w15:val="{2606B4ED-811F-43DD-9637-7E9E0F46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A4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A4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A4B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A4B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A4B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A4B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A4B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A4B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A4B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4B1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A4B1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A4B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A4B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A4B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A4B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A4B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A4B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A4B1E"/>
    <w:rPr>
      <w:rFonts w:eastAsiaTheme="majorEastAsia" w:cstheme="majorBidi"/>
      <w:color w:val="272727" w:themeColor="text1" w:themeTint="D8"/>
    </w:rPr>
  </w:style>
  <w:style w:type="paragraph" w:styleId="Tytu">
    <w:name w:val="Title"/>
    <w:basedOn w:val="Normalny"/>
    <w:next w:val="Normalny"/>
    <w:link w:val="TytuZnak"/>
    <w:uiPriority w:val="10"/>
    <w:qFormat/>
    <w:rsid w:val="00CA4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A4B1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A4B1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A4B1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A4B1E"/>
    <w:pPr>
      <w:spacing w:before="160"/>
      <w:jc w:val="center"/>
    </w:pPr>
    <w:rPr>
      <w:i/>
      <w:iCs/>
      <w:color w:val="404040" w:themeColor="text1" w:themeTint="BF"/>
    </w:rPr>
  </w:style>
  <w:style w:type="character" w:customStyle="1" w:styleId="CytatZnak">
    <w:name w:val="Cytat Znak"/>
    <w:basedOn w:val="Domylnaczcionkaakapitu"/>
    <w:link w:val="Cytat"/>
    <w:uiPriority w:val="29"/>
    <w:rsid w:val="00CA4B1E"/>
    <w:rPr>
      <w:i/>
      <w:iCs/>
      <w:color w:val="404040" w:themeColor="text1" w:themeTint="BF"/>
    </w:rPr>
  </w:style>
  <w:style w:type="paragraph" w:styleId="Akapitzlist">
    <w:name w:val="List Paragraph"/>
    <w:basedOn w:val="Normalny"/>
    <w:uiPriority w:val="34"/>
    <w:qFormat/>
    <w:rsid w:val="00CA4B1E"/>
    <w:pPr>
      <w:ind w:left="720"/>
      <w:contextualSpacing/>
    </w:pPr>
  </w:style>
  <w:style w:type="character" w:styleId="Wyrnienieintensywne">
    <w:name w:val="Intense Emphasis"/>
    <w:basedOn w:val="Domylnaczcionkaakapitu"/>
    <w:uiPriority w:val="21"/>
    <w:qFormat/>
    <w:rsid w:val="00CA4B1E"/>
    <w:rPr>
      <w:i/>
      <w:iCs/>
      <w:color w:val="0F4761" w:themeColor="accent1" w:themeShade="BF"/>
    </w:rPr>
  </w:style>
  <w:style w:type="paragraph" w:styleId="Cytatintensywny">
    <w:name w:val="Intense Quote"/>
    <w:basedOn w:val="Normalny"/>
    <w:next w:val="Normalny"/>
    <w:link w:val="CytatintensywnyZnak"/>
    <w:uiPriority w:val="30"/>
    <w:qFormat/>
    <w:rsid w:val="00CA4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A4B1E"/>
    <w:rPr>
      <w:i/>
      <w:iCs/>
      <w:color w:val="0F4761" w:themeColor="accent1" w:themeShade="BF"/>
    </w:rPr>
  </w:style>
  <w:style w:type="character" w:styleId="Odwoanieintensywne">
    <w:name w:val="Intense Reference"/>
    <w:basedOn w:val="Domylnaczcionkaakapitu"/>
    <w:uiPriority w:val="32"/>
    <w:qFormat/>
    <w:rsid w:val="00CA4B1E"/>
    <w:rPr>
      <w:b/>
      <w:bCs/>
      <w:smallCaps/>
      <w:color w:val="0F4761" w:themeColor="accent1" w:themeShade="BF"/>
      <w:spacing w:val="5"/>
    </w:rPr>
  </w:style>
  <w:style w:type="character" w:styleId="Hipercze">
    <w:name w:val="Hyperlink"/>
    <w:basedOn w:val="Domylnaczcionkaakapitu"/>
    <w:uiPriority w:val="99"/>
    <w:unhideWhenUsed/>
    <w:rsid w:val="001340B1"/>
    <w:rPr>
      <w:color w:val="467886" w:themeColor="hyperlink"/>
      <w:u w:val="single"/>
    </w:rPr>
  </w:style>
  <w:style w:type="character" w:styleId="Nierozpoznanawzmianka">
    <w:name w:val="Unresolved Mention"/>
    <w:basedOn w:val="Domylnaczcionkaakapitu"/>
    <w:uiPriority w:val="99"/>
    <w:semiHidden/>
    <w:unhideWhenUsed/>
    <w:rsid w:val="00134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315">
      <w:bodyDiv w:val="1"/>
      <w:marLeft w:val="0"/>
      <w:marRight w:val="0"/>
      <w:marTop w:val="0"/>
      <w:marBottom w:val="0"/>
      <w:divBdr>
        <w:top w:val="none" w:sz="0" w:space="0" w:color="auto"/>
        <w:left w:val="none" w:sz="0" w:space="0" w:color="auto"/>
        <w:bottom w:val="none" w:sz="0" w:space="0" w:color="auto"/>
        <w:right w:val="none" w:sz="0" w:space="0" w:color="auto"/>
      </w:divBdr>
    </w:div>
    <w:div w:id="142162133">
      <w:bodyDiv w:val="1"/>
      <w:marLeft w:val="0"/>
      <w:marRight w:val="0"/>
      <w:marTop w:val="0"/>
      <w:marBottom w:val="0"/>
      <w:divBdr>
        <w:top w:val="none" w:sz="0" w:space="0" w:color="auto"/>
        <w:left w:val="none" w:sz="0" w:space="0" w:color="auto"/>
        <w:bottom w:val="none" w:sz="0" w:space="0" w:color="auto"/>
        <w:right w:val="none" w:sz="0" w:space="0" w:color="auto"/>
      </w:divBdr>
    </w:div>
    <w:div w:id="204878887">
      <w:bodyDiv w:val="1"/>
      <w:marLeft w:val="0"/>
      <w:marRight w:val="0"/>
      <w:marTop w:val="0"/>
      <w:marBottom w:val="0"/>
      <w:divBdr>
        <w:top w:val="none" w:sz="0" w:space="0" w:color="auto"/>
        <w:left w:val="none" w:sz="0" w:space="0" w:color="auto"/>
        <w:bottom w:val="none" w:sz="0" w:space="0" w:color="auto"/>
        <w:right w:val="none" w:sz="0" w:space="0" w:color="auto"/>
      </w:divBdr>
    </w:div>
    <w:div w:id="389815127">
      <w:bodyDiv w:val="1"/>
      <w:marLeft w:val="0"/>
      <w:marRight w:val="0"/>
      <w:marTop w:val="0"/>
      <w:marBottom w:val="0"/>
      <w:divBdr>
        <w:top w:val="none" w:sz="0" w:space="0" w:color="auto"/>
        <w:left w:val="none" w:sz="0" w:space="0" w:color="auto"/>
        <w:bottom w:val="none" w:sz="0" w:space="0" w:color="auto"/>
        <w:right w:val="none" w:sz="0" w:space="0" w:color="auto"/>
      </w:divBdr>
    </w:div>
    <w:div w:id="395128713">
      <w:bodyDiv w:val="1"/>
      <w:marLeft w:val="0"/>
      <w:marRight w:val="0"/>
      <w:marTop w:val="0"/>
      <w:marBottom w:val="0"/>
      <w:divBdr>
        <w:top w:val="none" w:sz="0" w:space="0" w:color="auto"/>
        <w:left w:val="none" w:sz="0" w:space="0" w:color="auto"/>
        <w:bottom w:val="none" w:sz="0" w:space="0" w:color="auto"/>
        <w:right w:val="none" w:sz="0" w:space="0" w:color="auto"/>
      </w:divBdr>
      <w:divsChild>
        <w:div w:id="1950434483">
          <w:marLeft w:val="0"/>
          <w:marRight w:val="0"/>
          <w:marTop w:val="0"/>
          <w:marBottom w:val="0"/>
          <w:divBdr>
            <w:top w:val="none" w:sz="0" w:space="0" w:color="auto"/>
            <w:left w:val="none" w:sz="0" w:space="0" w:color="auto"/>
            <w:bottom w:val="none" w:sz="0" w:space="0" w:color="auto"/>
            <w:right w:val="none" w:sz="0" w:space="0" w:color="auto"/>
          </w:divBdr>
          <w:divsChild>
            <w:div w:id="1021051944">
              <w:marLeft w:val="0"/>
              <w:marRight w:val="0"/>
              <w:marTop w:val="0"/>
              <w:marBottom w:val="0"/>
              <w:divBdr>
                <w:top w:val="none" w:sz="0" w:space="0" w:color="auto"/>
                <w:left w:val="none" w:sz="0" w:space="0" w:color="auto"/>
                <w:bottom w:val="none" w:sz="0" w:space="0" w:color="auto"/>
                <w:right w:val="none" w:sz="0" w:space="0" w:color="auto"/>
              </w:divBdr>
              <w:divsChild>
                <w:div w:id="587662178">
                  <w:marLeft w:val="0"/>
                  <w:marRight w:val="0"/>
                  <w:marTop w:val="0"/>
                  <w:marBottom w:val="0"/>
                  <w:divBdr>
                    <w:top w:val="none" w:sz="0" w:space="0" w:color="auto"/>
                    <w:left w:val="none" w:sz="0" w:space="0" w:color="auto"/>
                    <w:bottom w:val="none" w:sz="0" w:space="0" w:color="auto"/>
                    <w:right w:val="none" w:sz="0" w:space="0" w:color="auto"/>
                  </w:divBdr>
                  <w:divsChild>
                    <w:div w:id="598955365">
                      <w:marLeft w:val="0"/>
                      <w:marRight w:val="0"/>
                      <w:marTop w:val="0"/>
                      <w:marBottom w:val="0"/>
                      <w:divBdr>
                        <w:top w:val="none" w:sz="0" w:space="0" w:color="auto"/>
                        <w:left w:val="none" w:sz="0" w:space="0" w:color="auto"/>
                        <w:bottom w:val="none" w:sz="0" w:space="0" w:color="auto"/>
                        <w:right w:val="none" w:sz="0" w:space="0" w:color="auto"/>
                      </w:divBdr>
                      <w:divsChild>
                        <w:div w:id="1614749018">
                          <w:marLeft w:val="0"/>
                          <w:marRight w:val="0"/>
                          <w:marTop w:val="0"/>
                          <w:marBottom w:val="0"/>
                          <w:divBdr>
                            <w:top w:val="none" w:sz="0" w:space="0" w:color="auto"/>
                            <w:left w:val="none" w:sz="0" w:space="0" w:color="auto"/>
                            <w:bottom w:val="none" w:sz="0" w:space="0" w:color="auto"/>
                            <w:right w:val="none" w:sz="0" w:space="0" w:color="auto"/>
                          </w:divBdr>
                          <w:divsChild>
                            <w:div w:id="42140398">
                              <w:marLeft w:val="0"/>
                              <w:marRight w:val="0"/>
                              <w:marTop w:val="0"/>
                              <w:marBottom w:val="0"/>
                              <w:divBdr>
                                <w:top w:val="none" w:sz="0" w:space="0" w:color="auto"/>
                                <w:left w:val="none" w:sz="0" w:space="0" w:color="auto"/>
                                <w:bottom w:val="none" w:sz="0" w:space="0" w:color="auto"/>
                                <w:right w:val="none" w:sz="0" w:space="0" w:color="auto"/>
                              </w:divBdr>
                              <w:divsChild>
                                <w:div w:id="1502164329">
                                  <w:marLeft w:val="0"/>
                                  <w:marRight w:val="0"/>
                                  <w:marTop w:val="0"/>
                                  <w:marBottom w:val="0"/>
                                  <w:divBdr>
                                    <w:top w:val="none" w:sz="0" w:space="0" w:color="auto"/>
                                    <w:left w:val="none" w:sz="0" w:space="0" w:color="auto"/>
                                    <w:bottom w:val="none" w:sz="0" w:space="0" w:color="auto"/>
                                    <w:right w:val="none" w:sz="0" w:space="0" w:color="auto"/>
                                  </w:divBdr>
                                  <w:divsChild>
                                    <w:div w:id="118674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22894">
                          <w:marLeft w:val="0"/>
                          <w:marRight w:val="0"/>
                          <w:marTop w:val="0"/>
                          <w:marBottom w:val="0"/>
                          <w:divBdr>
                            <w:top w:val="none" w:sz="0" w:space="0" w:color="auto"/>
                            <w:left w:val="none" w:sz="0" w:space="0" w:color="auto"/>
                            <w:bottom w:val="none" w:sz="0" w:space="0" w:color="auto"/>
                            <w:right w:val="none" w:sz="0" w:space="0" w:color="auto"/>
                          </w:divBdr>
                          <w:divsChild>
                            <w:div w:id="95445693">
                              <w:marLeft w:val="0"/>
                              <w:marRight w:val="0"/>
                              <w:marTop w:val="0"/>
                              <w:marBottom w:val="0"/>
                              <w:divBdr>
                                <w:top w:val="none" w:sz="0" w:space="0" w:color="auto"/>
                                <w:left w:val="none" w:sz="0" w:space="0" w:color="auto"/>
                                <w:bottom w:val="none" w:sz="0" w:space="0" w:color="auto"/>
                                <w:right w:val="none" w:sz="0" w:space="0" w:color="auto"/>
                              </w:divBdr>
                              <w:divsChild>
                                <w:div w:id="69161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481004">
      <w:bodyDiv w:val="1"/>
      <w:marLeft w:val="0"/>
      <w:marRight w:val="0"/>
      <w:marTop w:val="0"/>
      <w:marBottom w:val="0"/>
      <w:divBdr>
        <w:top w:val="none" w:sz="0" w:space="0" w:color="auto"/>
        <w:left w:val="none" w:sz="0" w:space="0" w:color="auto"/>
        <w:bottom w:val="none" w:sz="0" w:space="0" w:color="auto"/>
        <w:right w:val="none" w:sz="0" w:space="0" w:color="auto"/>
      </w:divBdr>
    </w:div>
    <w:div w:id="481314698">
      <w:bodyDiv w:val="1"/>
      <w:marLeft w:val="0"/>
      <w:marRight w:val="0"/>
      <w:marTop w:val="0"/>
      <w:marBottom w:val="0"/>
      <w:divBdr>
        <w:top w:val="none" w:sz="0" w:space="0" w:color="auto"/>
        <w:left w:val="none" w:sz="0" w:space="0" w:color="auto"/>
        <w:bottom w:val="none" w:sz="0" w:space="0" w:color="auto"/>
        <w:right w:val="none" w:sz="0" w:space="0" w:color="auto"/>
      </w:divBdr>
    </w:div>
    <w:div w:id="530069955">
      <w:bodyDiv w:val="1"/>
      <w:marLeft w:val="0"/>
      <w:marRight w:val="0"/>
      <w:marTop w:val="0"/>
      <w:marBottom w:val="0"/>
      <w:divBdr>
        <w:top w:val="none" w:sz="0" w:space="0" w:color="auto"/>
        <w:left w:val="none" w:sz="0" w:space="0" w:color="auto"/>
        <w:bottom w:val="none" w:sz="0" w:space="0" w:color="auto"/>
        <w:right w:val="none" w:sz="0" w:space="0" w:color="auto"/>
      </w:divBdr>
    </w:div>
    <w:div w:id="538208248">
      <w:bodyDiv w:val="1"/>
      <w:marLeft w:val="0"/>
      <w:marRight w:val="0"/>
      <w:marTop w:val="0"/>
      <w:marBottom w:val="0"/>
      <w:divBdr>
        <w:top w:val="none" w:sz="0" w:space="0" w:color="auto"/>
        <w:left w:val="none" w:sz="0" w:space="0" w:color="auto"/>
        <w:bottom w:val="none" w:sz="0" w:space="0" w:color="auto"/>
        <w:right w:val="none" w:sz="0" w:space="0" w:color="auto"/>
      </w:divBdr>
    </w:div>
    <w:div w:id="576132202">
      <w:bodyDiv w:val="1"/>
      <w:marLeft w:val="0"/>
      <w:marRight w:val="0"/>
      <w:marTop w:val="0"/>
      <w:marBottom w:val="0"/>
      <w:divBdr>
        <w:top w:val="none" w:sz="0" w:space="0" w:color="auto"/>
        <w:left w:val="none" w:sz="0" w:space="0" w:color="auto"/>
        <w:bottom w:val="none" w:sz="0" w:space="0" w:color="auto"/>
        <w:right w:val="none" w:sz="0" w:space="0" w:color="auto"/>
      </w:divBdr>
    </w:div>
    <w:div w:id="671373170">
      <w:bodyDiv w:val="1"/>
      <w:marLeft w:val="0"/>
      <w:marRight w:val="0"/>
      <w:marTop w:val="0"/>
      <w:marBottom w:val="0"/>
      <w:divBdr>
        <w:top w:val="none" w:sz="0" w:space="0" w:color="auto"/>
        <w:left w:val="none" w:sz="0" w:space="0" w:color="auto"/>
        <w:bottom w:val="none" w:sz="0" w:space="0" w:color="auto"/>
        <w:right w:val="none" w:sz="0" w:space="0" w:color="auto"/>
      </w:divBdr>
    </w:div>
    <w:div w:id="716855412">
      <w:bodyDiv w:val="1"/>
      <w:marLeft w:val="0"/>
      <w:marRight w:val="0"/>
      <w:marTop w:val="0"/>
      <w:marBottom w:val="0"/>
      <w:divBdr>
        <w:top w:val="none" w:sz="0" w:space="0" w:color="auto"/>
        <w:left w:val="none" w:sz="0" w:space="0" w:color="auto"/>
        <w:bottom w:val="none" w:sz="0" w:space="0" w:color="auto"/>
        <w:right w:val="none" w:sz="0" w:space="0" w:color="auto"/>
      </w:divBdr>
    </w:div>
    <w:div w:id="775905216">
      <w:bodyDiv w:val="1"/>
      <w:marLeft w:val="0"/>
      <w:marRight w:val="0"/>
      <w:marTop w:val="0"/>
      <w:marBottom w:val="0"/>
      <w:divBdr>
        <w:top w:val="none" w:sz="0" w:space="0" w:color="auto"/>
        <w:left w:val="none" w:sz="0" w:space="0" w:color="auto"/>
        <w:bottom w:val="none" w:sz="0" w:space="0" w:color="auto"/>
        <w:right w:val="none" w:sz="0" w:space="0" w:color="auto"/>
      </w:divBdr>
    </w:div>
    <w:div w:id="784888394">
      <w:bodyDiv w:val="1"/>
      <w:marLeft w:val="0"/>
      <w:marRight w:val="0"/>
      <w:marTop w:val="0"/>
      <w:marBottom w:val="0"/>
      <w:divBdr>
        <w:top w:val="none" w:sz="0" w:space="0" w:color="auto"/>
        <w:left w:val="none" w:sz="0" w:space="0" w:color="auto"/>
        <w:bottom w:val="none" w:sz="0" w:space="0" w:color="auto"/>
        <w:right w:val="none" w:sz="0" w:space="0" w:color="auto"/>
      </w:divBdr>
    </w:div>
    <w:div w:id="901673953">
      <w:bodyDiv w:val="1"/>
      <w:marLeft w:val="0"/>
      <w:marRight w:val="0"/>
      <w:marTop w:val="0"/>
      <w:marBottom w:val="0"/>
      <w:divBdr>
        <w:top w:val="none" w:sz="0" w:space="0" w:color="auto"/>
        <w:left w:val="none" w:sz="0" w:space="0" w:color="auto"/>
        <w:bottom w:val="none" w:sz="0" w:space="0" w:color="auto"/>
        <w:right w:val="none" w:sz="0" w:space="0" w:color="auto"/>
      </w:divBdr>
    </w:div>
    <w:div w:id="914052660">
      <w:bodyDiv w:val="1"/>
      <w:marLeft w:val="0"/>
      <w:marRight w:val="0"/>
      <w:marTop w:val="0"/>
      <w:marBottom w:val="0"/>
      <w:divBdr>
        <w:top w:val="none" w:sz="0" w:space="0" w:color="auto"/>
        <w:left w:val="none" w:sz="0" w:space="0" w:color="auto"/>
        <w:bottom w:val="none" w:sz="0" w:space="0" w:color="auto"/>
        <w:right w:val="none" w:sz="0" w:space="0" w:color="auto"/>
      </w:divBdr>
    </w:div>
    <w:div w:id="945040980">
      <w:bodyDiv w:val="1"/>
      <w:marLeft w:val="0"/>
      <w:marRight w:val="0"/>
      <w:marTop w:val="0"/>
      <w:marBottom w:val="0"/>
      <w:divBdr>
        <w:top w:val="none" w:sz="0" w:space="0" w:color="auto"/>
        <w:left w:val="none" w:sz="0" w:space="0" w:color="auto"/>
        <w:bottom w:val="none" w:sz="0" w:space="0" w:color="auto"/>
        <w:right w:val="none" w:sz="0" w:space="0" w:color="auto"/>
      </w:divBdr>
    </w:div>
    <w:div w:id="997458988">
      <w:bodyDiv w:val="1"/>
      <w:marLeft w:val="0"/>
      <w:marRight w:val="0"/>
      <w:marTop w:val="0"/>
      <w:marBottom w:val="0"/>
      <w:divBdr>
        <w:top w:val="none" w:sz="0" w:space="0" w:color="auto"/>
        <w:left w:val="none" w:sz="0" w:space="0" w:color="auto"/>
        <w:bottom w:val="none" w:sz="0" w:space="0" w:color="auto"/>
        <w:right w:val="none" w:sz="0" w:space="0" w:color="auto"/>
      </w:divBdr>
    </w:div>
    <w:div w:id="1060639725">
      <w:bodyDiv w:val="1"/>
      <w:marLeft w:val="0"/>
      <w:marRight w:val="0"/>
      <w:marTop w:val="0"/>
      <w:marBottom w:val="0"/>
      <w:divBdr>
        <w:top w:val="none" w:sz="0" w:space="0" w:color="auto"/>
        <w:left w:val="none" w:sz="0" w:space="0" w:color="auto"/>
        <w:bottom w:val="none" w:sz="0" w:space="0" w:color="auto"/>
        <w:right w:val="none" w:sz="0" w:space="0" w:color="auto"/>
      </w:divBdr>
    </w:div>
    <w:div w:id="1133524472">
      <w:bodyDiv w:val="1"/>
      <w:marLeft w:val="0"/>
      <w:marRight w:val="0"/>
      <w:marTop w:val="0"/>
      <w:marBottom w:val="0"/>
      <w:divBdr>
        <w:top w:val="none" w:sz="0" w:space="0" w:color="auto"/>
        <w:left w:val="none" w:sz="0" w:space="0" w:color="auto"/>
        <w:bottom w:val="none" w:sz="0" w:space="0" w:color="auto"/>
        <w:right w:val="none" w:sz="0" w:space="0" w:color="auto"/>
      </w:divBdr>
    </w:div>
    <w:div w:id="1175606022">
      <w:bodyDiv w:val="1"/>
      <w:marLeft w:val="0"/>
      <w:marRight w:val="0"/>
      <w:marTop w:val="0"/>
      <w:marBottom w:val="0"/>
      <w:divBdr>
        <w:top w:val="none" w:sz="0" w:space="0" w:color="auto"/>
        <w:left w:val="none" w:sz="0" w:space="0" w:color="auto"/>
        <w:bottom w:val="none" w:sz="0" w:space="0" w:color="auto"/>
        <w:right w:val="none" w:sz="0" w:space="0" w:color="auto"/>
      </w:divBdr>
    </w:div>
    <w:div w:id="1206025583">
      <w:bodyDiv w:val="1"/>
      <w:marLeft w:val="0"/>
      <w:marRight w:val="0"/>
      <w:marTop w:val="0"/>
      <w:marBottom w:val="0"/>
      <w:divBdr>
        <w:top w:val="none" w:sz="0" w:space="0" w:color="auto"/>
        <w:left w:val="none" w:sz="0" w:space="0" w:color="auto"/>
        <w:bottom w:val="none" w:sz="0" w:space="0" w:color="auto"/>
        <w:right w:val="none" w:sz="0" w:space="0" w:color="auto"/>
      </w:divBdr>
    </w:div>
    <w:div w:id="1287736742">
      <w:bodyDiv w:val="1"/>
      <w:marLeft w:val="0"/>
      <w:marRight w:val="0"/>
      <w:marTop w:val="0"/>
      <w:marBottom w:val="0"/>
      <w:divBdr>
        <w:top w:val="none" w:sz="0" w:space="0" w:color="auto"/>
        <w:left w:val="none" w:sz="0" w:space="0" w:color="auto"/>
        <w:bottom w:val="none" w:sz="0" w:space="0" w:color="auto"/>
        <w:right w:val="none" w:sz="0" w:space="0" w:color="auto"/>
      </w:divBdr>
    </w:div>
    <w:div w:id="1489248037">
      <w:bodyDiv w:val="1"/>
      <w:marLeft w:val="0"/>
      <w:marRight w:val="0"/>
      <w:marTop w:val="0"/>
      <w:marBottom w:val="0"/>
      <w:divBdr>
        <w:top w:val="none" w:sz="0" w:space="0" w:color="auto"/>
        <w:left w:val="none" w:sz="0" w:space="0" w:color="auto"/>
        <w:bottom w:val="none" w:sz="0" w:space="0" w:color="auto"/>
        <w:right w:val="none" w:sz="0" w:space="0" w:color="auto"/>
      </w:divBdr>
    </w:div>
    <w:div w:id="1685552481">
      <w:bodyDiv w:val="1"/>
      <w:marLeft w:val="0"/>
      <w:marRight w:val="0"/>
      <w:marTop w:val="0"/>
      <w:marBottom w:val="0"/>
      <w:divBdr>
        <w:top w:val="none" w:sz="0" w:space="0" w:color="auto"/>
        <w:left w:val="none" w:sz="0" w:space="0" w:color="auto"/>
        <w:bottom w:val="none" w:sz="0" w:space="0" w:color="auto"/>
        <w:right w:val="none" w:sz="0" w:space="0" w:color="auto"/>
      </w:divBdr>
      <w:divsChild>
        <w:div w:id="1230774377">
          <w:marLeft w:val="0"/>
          <w:marRight w:val="0"/>
          <w:marTop w:val="0"/>
          <w:marBottom w:val="0"/>
          <w:divBdr>
            <w:top w:val="none" w:sz="0" w:space="0" w:color="auto"/>
            <w:left w:val="none" w:sz="0" w:space="0" w:color="auto"/>
            <w:bottom w:val="none" w:sz="0" w:space="0" w:color="auto"/>
            <w:right w:val="none" w:sz="0" w:space="0" w:color="auto"/>
          </w:divBdr>
          <w:divsChild>
            <w:div w:id="1908342856">
              <w:marLeft w:val="0"/>
              <w:marRight w:val="0"/>
              <w:marTop w:val="0"/>
              <w:marBottom w:val="0"/>
              <w:divBdr>
                <w:top w:val="none" w:sz="0" w:space="0" w:color="auto"/>
                <w:left w:val="none" w:sz="0" w:space="0" w:color="auto"/>
                <w:bottom w:val="none" w:sz="0" w:space="0" w:color="auto"/>
                <w:right w:val="none" w:sz="0" w:space="0" w:color="auto"/>
              </w:divBdr>
              <w:divsChild>
                <w:div w:id="404843073">
                  <w:marLeft w:val="0"/>
                  <w:marRight w:val="0"/>
                  <w:marTop w:val="0"/>
                  <w:marBottom w:val="0"/>
                  <w:divBdr>
                    <w:top w:val="none" w:sz="0" w:space="0" w:color="auto"/>
                    <w:left w:val="none" w:sz="0" w:space="0" w:color="auto"/>
                    <w:bottom w:val="none" w:sz="0" w:space="0" w:color="auto"/>
                    <w:right w:val="none" w:sz="0" w:space="0" w:color="auto"/>
                  </w:divBdr>
                  <w:divsChild>
                    <w:div w:id="1897660860">
                      <w:marLeft w:val="0"/>
                      <w:marRight w:val="0"/>
                      <w:marTop w:val="0"/>
                      <w:marBottom w:val="0"/>
                      <w:divBdr>
                        <w:top w:val="none" w:sz="0" w:space="0" w:color="auto"/>
                        <w:left w:val="none" w:sz="0" w:space="0" w:color="auto"/>
                        <w:bottom w:val="none" w:sz="0" w:space="0" w:color="auto"/>
                        <w:right w:val="none" w:sz="0" w:space="0" w:color="auto"/>
                      </w:divBdr>
                      <w:divsChild>
                        <w:div w:id="1579632028">
                          <w:marLeft w:val="0"/>
                          <w:marRight w:val="0"/>
                          <w:marTop w:val="0"/>
                          <w:marBottom w:val="0"/>
                          <w:divBdr>
                            <w:top w:val="none" w:sz="0" w:space="0" w:color="auto"/>
                            <w:left w:val="none" w:sz="0" w:space="0" w:color="auto"/>
                            <w:bottom w:val="none" w:sz="0" w:space="0" w:color="auto"/>
                            <w:right w:val="none" w:sz="0" w:space="0" w:color="auto"/>
                          </w:divBdr>
                          <w:divsChild>
                            <w:div w:id="1227296551">
                              <w:marLeft w:val="0"/>
                              <w:marRight w:val="0"/>
                              <w:marTop w:val="0"/>
                              <w:marBottom w:val="0"/>
                              <w:divBdr>
                                <w:top w:val="none" w:sz="0" w:space="0" w:color="auto"/>
                                <w:left w:val="none" w:sz="0" w:space="0" w:color="auto"/>
                                <w:bottom w:val="none" w:sz="0" w:space="0" w:color="auto"/>
                                <w:right w:val="none" w:sz="0" w:space="0" w:color="auto"/>
                              </w:divBdr>
                              <w:divsChild>
                                <w:div w:id="466241803">
                                  <w:marLeft w:val="0"/>
                                  <w:marRight w:val="0"/>
                                  <w:marTop w:val="0"/>
                                  <w:marBottom w:val="0"/>
                                  <w:divBdr>
                                    <w:top w:val="none" w:sz="0" w:space="0" w:color="auto"/>
                                    <w:left w:val="none" w:sz="0" w:space="0" w:color="auto"/>
                                    <w:bottom w:val="none" w:sz="0" w:space="0" w:color="auto"/>
                                    <w:right w:val="none" w:sz="0" w:space="0" w:color="auto"/>
                                  </w:divBdr>
                                  <w:divsChild>
                                    <w:div w:id="2433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4939">
                          <w:marLeft w:val="0"/>
                          <w:marRight w:val="0"/>
                          <w:marTop w:val="0"/>
                          <w:marBottom w:val="0"/>
                          <w:divBdr>
                            <w:top w:val="none" w:sz="0" w:space="0" w:color="auto"/>
                            <w:left w:val="none" w:sz="0" w:space="0" w:color="auto"/>
                            <w:bottom w:val="none" w:sz="0" w:space="0" w:color="auto"/>
                            <w:right w:val="none" w:sz="0" w:space="0" w:color="auto"/>
                          </w:divBdr>
                          <w:divsChild>
                            <w:div w:id="1768842756">
                              <w:marLeft w:val="0"/>
                              <w:marRight w:val="0"/>
                              <w:marTop w:val="0"/>
                              <w:marBottom w:val="0"/>
                              <w:divBdr>
                                <w:top w:val="none" w:sz="0" w:space="0" w:color="auto"/>
                                <w:left w:val="none" w:sz="0" w:space="0" w:color="auto"/>
                                <w:bottom w:val="none" w:sz="0" w:space="0" w:color="auto"/>
                                <w:right w:val="none" w:sz="0" w:space="0" w:color="auto"/>
                              </w:divBdr>
                              <w:divsChild>
                                <w:div w:id="1625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158637">
      <w:bodyDiv w:val="1"/>
      <w:marLeft w:val="0"/>
      <w:marRight w:val="0"/>
      <w:marTop w:val="0"/>
      <w:marBottom w:val="0"/>
      <w:divBdr>
        <w:top w:val="none" w:sz="0" w:space="0" w:color="auto"/>
        <w:left w:val="none" w:sz="0" w:space="0" w:color="auto"/>
        <w:bottom w:val="none" w:sz="0" w:space="0" w:color="auto"/>
        <w:right w:val="none" w:sz="0" w:space="0" w:color="auto"/>
      </w:divBdr>
    </w:div>
    <w:div w:id="2012878199">
      <w:bodyDiv w:val="1"/>
      <w:marLeft w:val="0"/>
      <w:marRight w:val="0"/>
      <w:marTop w:val="0"/>
      <w:marBottom w:val="0"/>
      <w:divBdr>
        <w:top w:val="none" w:sz="0" w:space="0" w:color="auto"/>
        <w:left w:val="none" w:sz="0" w:space="0" w:color="auto"/>
        <w:bottom w:val="none" w:sz="0" w:space="0" w:color="auto"/>
        <w:right w:val="none" w:sz="0" w:space="0" w:color="auto"/>
      </w:divBdr>
    </w:div>
    <w:div w:id="2019505982">
      <w:bodyDiv w:val="1"/>
      <w:marLeft w:val="0"/>
      <w:marRight w:val="0"/>
      <w:marTop w:val="0"/>
      <w:marBottom w:val="0"/>
      <w:divBdr>
        <w:top w:val="none" w:sz="0" w:space="0" w:color="auto"/>
        <w:left w:val="none" w:sz="0" w:space="0" w:color="auto"/>
        <w:bottom w:val="none" w:sz="0" w:space="0" w:color="auto"/>
        <w:right w:val="none" w:sz="0" w:space="0" w:color="auto"/>
      </w:divBdr>
    </w:div>
    <w:div w:id="2036274038">
      <w:bodyDiv w:val="1"/>
      <w:marLeft w:val="0"/>
      <w:marRight w:val="0"/>
      <w:marTop w:val="0"/>
      <w:marBottom w:val="0"/>
      <w:divBdr>
        <w:top w:val="none" w:sz="0" w:space="0" w:color="auto"/>
        <w:left w:val="none" w:sz="0" w:space="0" w:color="auto"/>
        <w:bottom w:val="none" w:sz="0" w:space="0" w:color="auto"/>
        <w:right w:val="none" w:sz="0" w:space="0" w:color="auto"/>
      </w:divBdr>
    </w:div>
    <w:div w:id="2044555392">
      <w:bodyDiv w:val="1"/>
      <w:marLeft w:val="0"/>
      <w:marRight w:val="0"/>
      <w:marTop w:val="0"/>
      <w:marBottom w:val="0"/>
      <w:divBdr>
        <w:top w:val="none" w:sz="0" w:space="0" w:color="auto"/>
        <w:left w:val="none" w:sz="0" w:space="0" w:color="auto"/>
        <w:bottom w:val="none" w:sz="0" w:space="0" w:color="auto"/>
        <w:right w:val="none" w:sz="0" w:space="0" w:color="auto"/>
      </w:divBdr>
      <w:divsChild>
        <w:div w:id="299306785">
          <w:marLeft w:val="0"/>
          <w:marRight w:val="0"/>
          <w:marTop w:val="0"/>
          <w:marBottom w:val="0"/>
          <w:divBdr>
            <w:top w:val="none" w:sz="0" w:space="0" w:color="auto"/>
            <w:left w:val="none" w:sz="0" w:space="0" w:color="auto"/>
            <w:bottom w:val="none" w:sz="0" w:space="0" w:color="auto"/>
            <w:right w:val="none" w:sz="0" w:space="0" w:color="auto"/>
          </w:divBdr>
          <w:divsChild>
            <w:div w:id="695081015">
              <w:marLeft w:val="0"/>
              <w:marRight w:val="0"/>
              <w:marTop w:val="0"/>
              <w:marBottom w:val="0"/>
              <w:divBdr>
                <w:top w:val="none" w:sz="0" w:space="0" w:color="auto"/>
                <w:left w:val="none" w:sz="0" w:space="0" w:color="auto"/>
                <w:bottom w:val="none" w:sz="0" w:space="0" w:color="auto"/>
                <w:right w:val="none" w:sz="0" w:space="0" w:color="auto"/>
              </w:divBdr>
              <w:divsChild>
                <w:div w:id="1369719016">
                  <w:marLeft w:val="0"/>
                  <w:marRight w:val="0"/>
                  <w:marTop w:val="0"/>
                  <w:marBottom w:val="0"/>
                  <w:divBdr>
                    <w:top w:val="none" w:sz="0" w:space="0" w:color="auto"/>
                    <w:left w:val="none" w:sz="0" w:space="0" w:color="auto"/>
                    <w:bottom w:val="none" w:sz="0" w:space="0" w:color="auto"/>
                    <w:right w:val="none" w:sz="0" w:space="0" w:color="auto"/>
                  </w:divBdr>
                  <w:divsChild>
                    <w:div w:id="1201672352">
                      <w:marLeft w:val="0"/>
                      <w:marRight w:val="0"/>
                      <w:marTop w:val="0"/>
                      <w:marBottom w:val="0"/>
                      <w:divBdr>
                        <w:top w:val="none" w:sz="0" w:space="0" w:color="auto"/>
                        <w:left w:val="none" w:sz="0" w:space="0" w:color="auto"/>
                        <w:bottom w:val="none" w:sz="0" w:space="0" w:color="auto"/>
                        <w:right w:val="none" w:sz="0" w:space="0" w:color="auto"/>
                      </w:divBdr>
                      <w:divsChild>
                        <w:div w:id="1257447158">
                          <w:marLeft w:val="0"/>
                          <w:marRight w:val="0"/>
                          <w:marTop w:val="0"/>
                          <w:marBottom w:val="0"/>
                          <w:divBdr>
                            <w:top w:val="none" w:sz="0" w:space="0" w:color="auto"/>
                            <w:left w:val="none" w:sz="0" w:space="0" w:color="auto"/>
                            <w:bottom w:val="none" w:sz="0" w:space="0" w:color="auto"/>
                            <w:right w:val="none" w:sz="0" w:space="0" w:color="auto"/>
                          </w:divBdr>
                          <w:divsChild>
                            <w:div w:id="1714228250">
                              <w:marLeft w:val="0"/>
                              <w:marRight w:val="0"/>
                              <w:marTop w:val="0"/>
                              <w:marBottom w:val="0"/>
                              <w:divBdr>
                                <w:top w:val="none" w:sz="0" w:space="0" w:color="auto"/>
                                <w:left w:val="none" w:sz="0" w:space="0" w:color="auto"/>
                                <w:bottom w:val="none" w:sz="0" w:space="0" w:color="auto"/>
                                <w:right w:val="none" w:sz="0" w:space="0" w:color="auto"/>
                              </w:divBdr>
                              <w:divsChild>
                                <w:div w:id="1295795224">
                                  <w:marLeft w:val="0"/>
                                  <w:marRight w:val="0"/>
                                  <w:marTop w:val="0"/>
                                  <w:marBottom w:val="0"/>
                                  <w:divBdr>
                                    <w:top w:val="none" w:sz="0" w:space="0" w:color="auto"/>
                                    <w:left w:val="none" w:sz="0" w:space="0" w:color="auto"/>
                                    <w:bottom w:val="none" w:sz="0" w:space="0" w:color="auto"/>
                                    <w:right w:val="none" w:sz="0" w:space="0" w:color="auto"/>
                                  </w:divBdr>
                                  <w:divsChild>
                                    <w:div w:id="742682397">
                                      <w:marLeft w:val="0"/>
                                      <w:marRight w:val="0"/>
                                      <w:marTop w:val="0"/>
                                      <w:marBottom w:val="0"/>
                                      <w:divBdr>
                                        <w:top w:val="none" w:sz="0" w:space="0" w:color="auto"/>
                                        <w:left w:val="none" w:sz="0" w:space="0" w:color="auto"/>
                                        <w:bottom w:val="none" w:sz="0" w:space="0" w:color="auto"/>
                                        <w:right w:val="none" w:sz="0" w:space="0" w:color="auto"/>
                                      </w:divBdr>
                                      <w:divsChild>
                                        <w:div w:id="1862011773">
                                          <w:marLeft w:val="0"/>
                                          <w:marRight w:val="0"/>
                                          <w:marTop w:val="0"/>
                                          <w:marBottom w:val="0"/>
                                          <w:divBdr>
                                            <w:top w:val="none" w:sz="0" w:space="0" w:color="auto"/>
                                            <w:left w:val="none" w:sz="0" w:space="0" w:color="auto"/>
                                            <w:bottom w:val="none" w:sz="0" w:space="0" w:color="auto"/>
                                            <w:right w:val="none" w:sz="0" w:space="0" w:color="auto"/>
                                          </w:divBdr>
                                          <w:divsChild>
                                            <w:div w:id="468860688">
                                              <w:marLeft w:val="0"/>
                                              <w:marRight w:val="0"/>
                                              <w:marTop w:val="0"/>
                                              <w:marBottom w:val="0"/>
                                              <w:divBdr>
                                                <w:top w:val="none" w:sz="0" w:space="0" w:color="auto"/>
                                                <w:left w:val="none" w:sz="0" w:space="0" w:color="auto"/>
                                                <w:bottom w:val="none" w:sz="0" w:space="0" w:color="auto"/>
                                                <w:right w:val="none" w:sz="0" w:space="0" w:color="auto"/>
                                              </w:divBdr>
                                              <w:divsChild>
                                                <w:div w:id="1085801730">
                                                  <w:marLeft w:val="0"/>
                                                  <w:marRight w:val="0"/>
                                                  <w:marTop w:val="0"/>
                                                  <w:marBottom w:val="0"/>
                                                  <w:divBdr>
                                                    <w:top w:val="none" w:sz="0" w:space="0" w:color="auto"/>
                                                    <w:left w:val="none" w:sz="0" w:space="0" w:color="auto"/>
                                                    <w:bottom w:val="none" w:sz="0" w:space="0" w:color="auto"/>
                                                    <w:right w:val="none" w:sz="0" w:space="0" w:color="auto"/>
                                                  </w:divBdr>
                                                  <w:divsChild>
                                                    <w:div w:id="135931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51805">
                                          <w:marLeft w:val="0"/>
                                          <w:marRight w:val="0"/>
                                          <w:marTop w:val="0"/>
                                          <w:marBottom w:val="0"/>
                                          <w:divBdr>
                                            <w:top w:val="none" w:sz="0" w:space="0" w:color="auto"/>
                                            <w:left w:val="none" w:sz="0" w:space="0" w:color="auto"/>
                                            <w:bottom w:val="none" w:sz="0" w:space="0" w:color="auto"/>
                                            <w:right w:val="none" w:sz="0" w:space="0" w:color="auto"/>
                                          </w:divBdr>
                                          <w:divsChild>
                                            <w:div w:id="340468694">
                                              <w:marLeft w:val="0"/>
                                              <w:marRight w:val="0"/>
                                              <w:marTop w:val="0"/>
                                              <w:marBottom w:val="0"/>
                                              <w:divBdr>
                                                <w:top w:val="none" w:sz="0" w:space="0" w:color="auto"/>
                                                <w:left w:val="none" w:sz="0" w:space="0" w:color="auto"/>
                                                <w:bottom w:val="none" w:sz="0" w:space="0" w:color="auto"/>
                                                <w:right w:val="none" w:sz="0" w:space="0" w:color="auto"/>
                                              </w:divBdr>
                                              <w:divsChild>
                                                <w:div w:id="134343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930072">
          <w:marLeft w:val="0"/>
          <w:marRight w:val="0"/>
          <w:marTop w:val="0"/>
          <w:marBottom w:val="0"/>
          <w:divBdr>
            <w:top w:val="none" w:sz="0" w:space="0" w:color="auto"/>
            <w:left w:val="none" w:sz="0" w:space="0" w:color="auto"/>
            <w:bottom w:val="none" w:sz="0" w:space="0" w:color="auto"/>
            <w:right w:val="none" w:sz="0" w:space="0" w:color="auto"/>
          </w:divBdr>
          <w:divsChild>
            <w:div w:id="437990723">
              <w:marLeft w:val="0"/>
              <w:marRight w:val="0"/>
              <w:marTop w:val="0"/>
              <w:marBottom w:val="0"/>
              <w:divBdr>
                <w:top w:val="none" w:sz="0" w:space="0" w:color="auto"/>
                <w:left w:val="none" w:sz="0" w:space="0" w:color="auto"/>
                <w:bottom w:val="none" w:sz="0" w:space="0" w:color="auto"/>
                <w:right w:val="none" w:sz="0" w:space="0" w:color="auto"/>
              </w:divBdr>
              <w:divsChild>
                <w:div w:id="998581511">
                  <w:marLeft w:val="0"/>
                  <w:marRight w:val="0"/>
                  <w:marTop w:val="0"/>
                  <w:marBottom w:val="0"/>
                  <w:divBdr>
                    <w:top w:val="none" w:sz="0" w:space="0" w:color="auto"/>
                    <w:left w:val="none" w:sz="0" w:space="0" w:color="auto"/>
                    <w:bottom w:val="none" w:sz="0" w:space="0" w:color="auto"/>
                    <w:right w:val="none" w:sz="0" w:space="0" w:color="auto"/>
                  </w:divBdr>
                  <w:divsChild>
                    <w:div w:id="1542673198">
                      <w:marLeft w:val="0"/>
                      <w:marRight w:val="0"/>
                      <w:marTop w:val="0"/>
                      <w:marBottom w:val="0"/>
                      <w:divBdr>
                        <w:top w:val="none" w:sz="0" w:space="0" w:color="auto"/>
                        <w:left w:val="none" w:sz="0" w:space="0" w:color="auto"/>
                        <w:bottom w:val="none" w:sz="0" w:space="0" w:color="auto"/>
                        <w:right w:val="none" w:sz="0" w:space="0" w:color="auto"/>
                      </w:divBdr>
                      <w:divsChild>
                        <w:div w:id="251474820">
                          <w:marLeft w:val="0"/>
                          <w:marRight w:val="0"/>
                          <w:marTop w:val="0"/>
                          <w:marBottom w:val="0"/>
                          <w:divBdr>
                            <w:top w:val="none" w:sz="0" w:space="0" w:color="auto"/>
                            <w:left w:val="none" w:sz="0" w:space="0" w:color="auto"/>
                            <w:bottom w:val="none" w:sz="0" w:space="0" w:color="auto"/>
                            <w:right w:val="none" w:sz="0" w:space="0" w:color="auto"/>
                          </w:divBdr>
                          <w:divsChild>
                            <w:div w:id="1998221006">
                              <w:marLeft w:val="0"/>
                              <w:marRight w:val="0"/>
                              <w:marTop w:val="0"/>
                              <w:marBottom w:val="0"/>
                              <w:divBdr>
                                <w:top w:val="none" w:sz="0" w:space="0" w:color="auto"/>
                                <w:left w:val="none" w:sz="0" w:space="0" w:color="auto"/>
                                <w:bottom w:val="none" w:sz="0" w:space="0" w:color="auto"/>
                                <w:right w:val="none" w:sz="0" w:space="0" w:color="auto"/>
                              </w:divBdr>
                              <w:divsChild>
                                <w:div w:id="410930154">
                                  <w:marLeft w:val="0"/>
                                  <w:marRight w:val="0"/>
                                  <w:marTop w:val="0"/>
                                  <w:marBottom w:val="0"/>
                                  <w:divBdr>
                                    <w:top w:val="none" w:sz="0" w:space="0" w:color="auto"/>
                                    <w:left w:val="none" w:sz="0" w:space="0" w:color="auto"/>
                                    <w:bottom w:val="none" w:sz="0" w:space="0" w:color="auto"/>
                                    <w:right w:val="none" w:sz="0" w:space="0" w:color="auto"/>
                                  </w:divBdr>
                                  <w:divsChild>
                                    <w:div w:id="1240093375">
                                      <w:marLeft w:val="0"/>
                                      <w:marRight w:val="0"/>
                                      <w:marTop w:val="0"/>
                                      <w:marBottom w:val="0"/>
                                      <w:divBdr>
                                        <w:top w:val="none" w:sz="0" w:space="0" w:color="auto"/>
                                        <w:left w:val="none" w:sz="0" w:space="0" w:color="auto"/>
                                        <w:bottom w:val="none" w:sz="0" w:space="0" w:color="auto"/>
                                        <w:right w:val="none" w:sz="0" w:space="0" w:color="auto"/>
                                      </w:divBdr>
                                      <w:divsChild>
                                        <w:div w:id="251090215">
                                          <w:marLeft w:val="0"/>
                                          <w:marRight w:val="0"/>
                                          <w:marTop w:val="0"/>
                                          <w:marBottom w:val="0"/>
                                          <w:divBdr>
                                            <w:top w:val="none" w:sz="0" w:space="0" w:color="auto"/>
                                            <w:left w:val="none" w:sz="0" w:space="0" w:color="auto"/>
                                            <w:bottom w:val="none" w:sz="0" w:space="0" w:color="auto"/>
                                            <w:right w:val="none" w:sz="0" w:space="0" w:color="auto"/>
                                          </w:divBdr>
                                          <w:divsChild>
                                            <w:div w:id="1536964278">
                                              <w:marLeft w:val="0"/>
                                              <w:marRight w:val="0"/>
                                              <w:marTop w:val="0"/>
                                              <w:marBottom w:val="0"/>
                                              <w:divBdr>
                                                <w:top w:val="none" w:sz="0" w:space="0" w:color="auto"/>
                                                <w:left w:val="none" w:sz="0" w:space="0" w:color="auto"/>
                                                <w:bottom w:val="none" w:sz="0" w:space="0" w:color="auto"/>
                                                <w:right w:val="none" w:sz="0" w:space="0" w:color="auto"/>
                                              </w:divBdr>
                                              <w:divsChild>
                                                <w:div w:id="332075659">
                                                  <w:marLeft w:val="0"/>
                                                  <w:marRight w:val="0"/>
                                                  <w:marTop w:val="0"/>
                                                  <w:marBottom w:val="0"/>
                                                  <w:divBdr>
                                                    <w:top w:val="none" w:sz="0" w:space="0" w:color="auto"/>
                                                    <w:left w:val="none" w:sz="0" w:space="0" w:color="auto"/>
                                                    <w:bottom w:val="none" w:sz="0" w:space="0" w:color="auto"/>
                                                    <w:right w:val="none" w:sz="0" w:space="0" w:color="auto"/>
                                                  </w:divBdr>
                                                  <w:divsChild>
                                                    <w:div w:id="1455753153">
                                                      <w:marLeft w:val="0"/>
                                                      <w:marRight w:val="0"/>
                                                      <w:marTop w:val="0"/>
                                                      <w:marBottom w:val="0"/>
                                                      <w:divBdr>
                                                        <w:top w:val="none" w:sz="0" w:space="0" w:color="auto"/>
                                                        <w:left w:val="none" w:sz="0" w:space="0" w:color="auto"/>
                                                        <w:bottom w:val="none" w:sz="0" w:space="0" w:color="auto"/>
                                                        <w:right w:val="none" w:sz="0" w:space="0" w:color="auto"/>
                                                      </w:divBdr>
                                                      <w:divsChild>
                                                        <w:div w:id="1986470189">
                                                          <w:marLeft w:val="0"/>
                                                          <w:marRight w:val="0"/>
                                                          <w:marTop w:val="0"/>
                                                          <w:marBottom w:val="0"/>
                                                          <w:divBdr>
                                                            <w:top w:val="none" w:sz="0" w:space="0" w:color="auto"/>
                                                            <w:left w:val="none" w:sz="0" w:space="0" w:color="auto"/>
                                                            <w:bottom w:val="none" w:sz="0" w:space="0" w:color="auto"/>
                                                            <w:right w:val="none" w:sz="0" w:space="0" w:color="auto"/>
                                                          </w:divBdr>
                                                          <w:divsChild>
                                                            <w:div w:id="1230730321">
                                                              <w:marLeft w:val="0"/>
                                                              <w:marRight w:val="0"/>
                                                              <w:marTop w:val="0"/>
                                                              <w:marBottom w:val="0"/>
                                                              <w:divBdr>
                                                                <w:top w:val="none" w:sz="0" w:space="0" w:color="auto"/>
                                                                <w:left w:val="none" w:sz="0" w:space="0" w:color="auto"/>
                                                                <w:bottom w:val="none" w:sz="0" w:space="0" w:color="auto"/>
                                                                <w:right w:val="none" w:sz="0" w:space="0" w:color="auto"/>
                                                              </w:divBdr>
                                                              <w:divsChild>
                                                                <w:div w:id="200855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egislation.gov.uk/ukpga/1990/37/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searchgate.net/publication/374229730_Glosa_do_decyzji_Komitetu_Praw_Czlowieka_ONZ_z_dnia_24_pazdziernika_2005_roku_w_sprawie_Karen_Noelia_Llantoy_Human_przeciwko_Peru_KL_v_Peru_-_skarga_Nr_115320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D8C72-5101-423C-8EA5-65311682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8401</Words>
  <Characters>50406</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Kocur Oliwia  (DWMPC)</dc:creator>
  <cp:keywords/>
  <dc:description/>
  <cp:lastModifiedBy>Szponar Paweł  (DWMPC)</cp:lastModifiedBy>
  <cp:revision>15</cp:revision>
  <dcterms:created xsi:type="dcterms:W3CDTF">2025-04-04T12:38:00Z</dcterms:created>
  <dcterms:modified xsi:type="dcterms:W3CDTF">2025-04-22T11:06:00Z</dcterms:modified>
</cp:coreProperties>
</file>