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FD5E" w14:textId="77777777" w:rsidR="00961586" w:rsidRPr="006F52C0" w:rsidRDefault="00961586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B83CE74" w14:textId="67088CE0" w:rsidR="006F52C0" w:rsidRPr="006F52C0" w:rsidRDefault="006F52C0" w:rsidP="00BE496B">
      <w:pPr>
        <w:spacing w:after="480" w:line="360" w:lineRule="auto"/>
        <w:rPr>
          <w:rFonts w:ascii="Arial" w:eastAsia="Calibri" w:hAnsi="Arial" w:cs="Arial"/>
          <w:szCs w:val="24"/>
        </w:rPr>
      </w:pPr>
      <w:r w:rsidRPr="006F52C0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nagłówku,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lewej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stronie,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znajduje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logo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spraw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reprywatyzacji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warszawskich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zawierające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godło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państwa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polskiego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podkreślenie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formie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miniaturki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flagi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RP</w:t>
      </w:r>
    </w:p>
    <w:p w14:paraId="17A7DAE3" w14:textId="340EFE8A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Warszawa,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</w:p>
    <w:p w14:paraId="0087A7E0" w14:textId="416B19E4" w:rsidR="0029114E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22</w:t>
      </w:r>
    </w:p>
    <w:p w14:paraId="04E518EF" w14:textId="77777777" w:rsidR="00370FA2" w:rsidRPr="003E7E7E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</w:p>
    <w:p w14:paraId="6F3FE549" w14:textId="088CACEC" w:rsidR="0029114E" w:rsidRPr="003E7E7E" w:rsidRDefault="0029114E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3E7E7E">
        <w:rPr>
          <w:rFonts w:ascii="Arial" w:eastAsia="Calibri" w:hAnsi="Arial" w:cs="Arial"/>
          <w:b/>
          <w:bCs/>
          <w:sz w:val="28"/>
          <w:szCs w:val="28"/>
        </w:rPr>
        <w:t>DECYZJA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nr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KR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III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R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370FA2">
        <w:rPr>
          <w:rFonts w:ascii="Arial" w:eastAsia="Calibri" w:hAnsi="Arial" w:cs="Arial"/>
          <w:b/>
          <w:bCs/>
          <w:sz w:val="28"/>
          <w:szCs w:val="28"/>
        </w:rPr>
        <w:t>96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370FA2">
        <w:rPr>
          <w:rFonts w:ascii="Arial" w:eastAsia="Calibri" w:hAnsi="Arial" w:cs="Arial"/>
          <w:b/>
          <w:bCs/>
          <w:sz w:val="28"/>
          <w:szCs w:val="28"/>
        </w:rPr>
        <w:t>ukośnik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2</w:t>
      </w:r>
      <w:r w:rsidR="00370FA2">
        <w:rPr>
          <w:rFonts w:ascii="Arial" w:eastAsia="Calibri" w:hAnsi="Arial" w:cs="Arial"/>
          <w:b/>
          <w:bCs/>
          <w:sz w:val="28"/>
          <w:szCs w:val="28"/>
        </w:rPr>
        <w:t>2</w:t>
      </w:r>
    </w:p>
    <w:p w14:paraId="014C021C" w14:textId="77777777" w:rsidR="0029114E" w:rsidRPr="0029114E" w:rsidRDefault="0029114E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164B53CE" w14:textId="08F7F86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składzie:</w:t>
      </w:r>
    </w:p>
    <w:p w14:paraId="62DAB4E4" w14:textId="202BA8DA" w:rsidR="00370FA2" w:rsidRPr="00CC342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CC3428">
        <w:rPr>
          <w:rFonts w:ascii="Arial" w:eastAsia="Calibri" w:hAnsi="Arial" w:cs="Arial"/>
          <w:b/>
          <w:bCs/>
          <w:szCs w:val="24"/>
        </w:rPr>
        <w:t>Przewodniczący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CC3428">
        <w:rPr>
          <w:rFonts w:ascii="Arial" w:eastAsia="Calibri" w:hAnsi="Arial" w:cs="Arial"/>
          <w:b/>
          <w:bCs/>
          <w:szCs w:val="24"/>
        </w:rPr>
        <w:t>Komisji: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</w:p>
    <w:p w14:paraId="7B5A6B5C" w14:textId="1114AA69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Sebastian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Kaleta</w:t>
      </w:r>
    </w:p>
    <w:p w14:paraId="56D5B523" w14:textId="2FBF5AA4" w:rsidR="00370FA2" w:rsidRPr="00CC342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CC3428">
        <w:rPr>
          <w:rFonts w:ascii="Arial" w:eastAsia="Calibri" w:hAnsi="Arial" w:cs="Arial"/>
          <w:b/>
          <w:bCs/>
          <w:szCs w:val="24"/>
        </w:rPr>
        <w:t>Członkowie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CC3428">
        <w:rPr>
          <w:rFonts w:ascii="Arial" w:eastAsia="Calibri" w:hAnsi="Arial" w:cs="Arial"/>
          <w:b/>
          <w:bCs/>
          <w:szCs w:val="24"/>
        </w:rPr>
        <w:t>Komisji:</w:t>
      </w:r>
    </w:p>
    <w:p w14:paraId="5F92DE59" w14:textId="00EE4D9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Paweł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Lisiecki,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Wiktor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Klimiuk,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Łukasz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Kondratko,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Robert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Kropiwnicki,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Mosiński,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Sławomir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Potapowicz,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Adam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Zieliński</w:t>
      </w:r>
    </w:p>
    <w:p w14:paraId="4BF8A086" w14:textId="3E8F9CA6" w:rsidR="00CC3428" w:rsidRPr="00CC3428" w:rsidRDefault="00CC3428" w:rsidP="00CC3428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CC3428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rozpoznaniu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lutego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2023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posiedzeniu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niejawnym</w:t>
      </w:r>
    </w:p>
    <w:p w14:paraId="1C3318A3" w14:textId="77CC69A1" w:rsidR="00CC3428" w:rsidRPr="00CC3428" w:rsidRDefault="00CC3428" w:rsidP="00CC3428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CC3428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przedmiocie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przedmiocie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opisanej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ewidencji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działka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ukośnik,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prowadzona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księga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wieczysta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numer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księgi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hip.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6F44E487" w14:textId="221B53B3" w:rsidR="00CC3428" w:rsidRPr="00CC3428" w:rsidRDefault="00CC3428" w:rsidP="00CC3428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udziałem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stron: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Miasta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Stołecznego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Warszawy,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S.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T.,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6285F7B" w14:textId="55636C66" w:rsidR="00370FA2" w:rsidRPr="00370FA2" w:rsidRDefault="00CC3428" w:rsidP="00CC3428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CC3428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3a)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4)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szczególnych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zasadach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usuwania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reprywatyzacyjnych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dotyczących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warszawskich,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wydanych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naruszeniem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(Dz.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2021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poz.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795;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dalej: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ustawa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roku)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1960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(Dz.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poz.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2000,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2185;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dalej: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k.p.a.)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października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1945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użytkowaniu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obszarze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(Dz.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50,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poz.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276;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dalej: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dekret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warszawski)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38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CC3428">
        <w:rPr>
          <w:rFonts w:ascii="Arial" w:eastAsia="Calibri" w:hAnsi="Arial" w:cs="Arial"/>
          <w:szCs w:val="24"/>
        </w:rPr>
        <w:t>roku</w:t>
      </w:r>
    </w:p>
    <w:p w14:paraId="45E3B0FF" w14:textId="51851B65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lastRenderedPageBreak/>
        <w:t>o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r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z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e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k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a:</w:t>
      </w:r>
    </w:p>
    <w:p w14:paraId="4B0A1322" w14:textId="2AA9F6B3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stwierdzić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5C8CD9CA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228BFD71" w14:textId="77777777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UZASADNIENIE</w:t>
      </w:r>
    </w:p>
    <w:p w14:paraId="6F869078" w14:textId="77777777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I.</w:t>
      </w:r>
    </w:p>
    <w:p w14:paraId="1861432F" w14:textId="38EDFAFD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Przebieg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postępowania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administracyjnego</w:t>
      </w:r>
    </w:p>
    <w:p w14:paraId="665B11A7" w14:textId="0E343BCD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przed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Komisją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do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spraw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reprywatyzacji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nieruchomości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warszawskich</w:t>
      </w:r>
    </w:p>
    <w:p w14:paraId="4EC11A9E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1270F44" w14:textId="649FB29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Postanowieniem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(dalej: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działając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wszczęła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opisanej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prowadzona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księga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numer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hip.</w:t>
      </w:r>
    </w:p>
    <w:p w14:paraId="328184D0" w14:textId="5C1654AE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Postanowieniem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zawiadomiono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wszczęciu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rozpoznawczego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DD0E2A0" w14:textId="65A6B6D4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Postanowieniem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zwróciła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Społecznej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opinii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4192DD68" w14:textId="00F20E6F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Postanowieniem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zabezpieczyła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nakazanie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prowadzonej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Mokotowa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VII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Wydział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Ksiąg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zakazu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obciążania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A44AAFC" w14:textId="51BAA9D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lastRenderedPageBreak/>
        <w:t>Zawiadomieniem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powiadomienia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wszczęciu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rozpoznawczego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22.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76054F8" w14:textId="122DD1BB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Powyższe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zawiadomienie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opublikowane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Biuletynie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Informacji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</w:p>
    <w:p w14:paraId="45A89C9D" w14:textId="4D41022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Zawiadomieniem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stycznia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poinformowano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zakończeniu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rozpoznawczego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możliwości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wypowiedzenia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zebranych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dowodów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materiałów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zgłoszonych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żądań.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Jednocześnie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pouczono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zawiadomienie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doręczone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upływie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ogłoszenia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Biuletynie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Informacji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Zawiadomienie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opublikowane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Biuletynie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Informacji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stycznia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08D09E0" w14:textId="3979844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wpłynęła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opinia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Społecznej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2023.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opinii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Społeczna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wyeliminowanie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wskazując,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DF32BA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</w:t>
      </w:r>
      <w:r w:rsidR="00DF32BA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DF32BA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DF32BA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przysługiwał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przymiot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determinuje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dyspozycji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6DC0C438" w14:textId="58AD182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Społeczna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podniosła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także,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doprowadziło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rażąco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sprzecznych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społecznym,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doszło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przekazania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prywatne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ręce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wielkiej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wartości.</w:t>
      </w:r>
    </w:p>
    <w:p w14:paraId="17347D46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53B6B3AE" w14:textId="77777777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II.</w:t>
      </w:r>
    </w:p>
    <w:p w14:paraId="2317FE78" w14:textId="0CB27713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Na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podstawie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zebranego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materiału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dowodowego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Komisja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ustaliła,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co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następuje:</w:t>
      </w:r>
    </w:p>
    <w:p w14:paraId="6A89F66A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49BF42E2" w14:textId="43F369D9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1.</w:t>
      </w:r>
      <w:r w:rsidRPr="007260E8">
        <w:rPr>
          <w:rFonts w:ascii="Arial" w:eastAsia="Calibri" w:hAnsi="Arial" w:cs="Arial"/>
          <w:b/>
          <w:bCs/>
          <w:szCs w:val="24"/>
        </w:rPr>
        <w:tab/>
        <w:t>Opis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nieruchomości</w:t>
      </w:r>
    </w:p>
    <w:p w14:paraId="4975B40A" w14:textId="53D9B63A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Nieruchomość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uregulowana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hipotecznej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ozn.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m2.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Obecnie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składa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mieszkalnym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obrębu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powierzchni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uregulowanej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powierzchni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Skarbu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Państwa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uregulowanej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pozostającej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Instytutu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Hematologii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</w:p>
    <w:p w14:paraId="4388B89A" w14:textId="678A0744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Transfuzjologii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powierzchni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podwórko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zabudowanej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pięcioma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boksami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garażowymi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wyłączonym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eksploatacji,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uregulowanej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w.</w:t>
      </w:r>
    </w:p>
    <w:p w14:paraId="6F1EC508" w14:textId="57B1F5F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Przedmiotowa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znajduje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obszarze,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miejscowy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plan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zagospodarowania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przestrzennego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Starego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Mokotowa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zatwierdzony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uchwałą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LXX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2187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14.01.201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</w:t>
      </w:r>
      <w:proofErr w:type="spellStart"/>
      <w:r w:rsidRPr="00370FA2">
        <w:rPr>
          <w:rFonts w:ascii="Arial" w:eastAsia="Calibri" w:hAnsi="Arial" w:cs="Arial"/>
          <w:szCs w:val="24"/>
        </w:rPr>
        <w:t>publ</w:t>
      </w:r>
      <w:proofErr w:type="spellEnd"/>
      <w:r w:rsidRPr="00370FA2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Dzienniku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Województwa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Mazowieckiego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38,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525).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planem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strefie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oznaczonej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U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zabudowa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mieszkaniowa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wielorodzinna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usługi.</w:t>
      </w:r>
    </w:p>
    <w:p w14:paraId="0A79C2FD" w14:textId="3571C41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Zastępca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Dyrektora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Biura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Stołecznego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Konserwatora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Zabytków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piśmie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zabytków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ujęty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zlokalizowany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głębi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obrębu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oficyny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Piekarnia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Spółdzielcz</w:t>
      </w:r>
      <w:r w:rsidR="007474B0">
        <w:rPr>
          <w:rFonts w:ascii="Arial" w:eastAsia="Calibri" w:hAnsi="Arial" w:cs="Arial"/>
          <w:szCs w:val="24"/>
        </w:rPr>
        <w:t>a</w:t>
      </w:r>
      <w:r w:rsidRPr="00370FA2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C3A19C8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5BFBFE7F" w14:textId="37726C7F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2.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Pierwotni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prawni</w:t>
      </w:r>
    </w:p>
    <w:p w14:paraId="6D5F3D41" w14:textId="045CDC6F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zaświadczenia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Oddziału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Ksiąg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Grodzkiego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„KW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"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(dotychczasowa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nazwa)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uregulowana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parcelę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obszarze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tytuł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imię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7474B0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małż.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474B0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części.</w:t>
      </w:r>
    </w:p>
    <w:p w14:paraId="79BDCEC3" w14:textId="4C7133CC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Mokotowa,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1964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nabyli: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żona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474B0">
        <w:rPr>
          <w:rFonts w:ascii="Arial" w:eastAsia="Calibri" w:hAnsi="Arial" w:cs="Arial"/>
          <w:szCs w:val="24"/>
        </w:rPr>
        <w:t>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spadkodawcy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wspólnym,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dziedziczą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synowie: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474B0">
        <w:rPr>
          <w:rFonts w:ascii="Arial" w:eastAsia="Calibri" w:hAnsi="Arial" w:cs="Arial"/>
          <w:szCs w:val="24"/>
        </w:rPr>
        <w:t>L.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474B0">
        <w:rPr>
          <w:rFonts w:ascii="Arial" w:eastAsia="Calibri" w:hAnsi="Arial" w:cs="Arial"/>
          <w:szCs w:val="24"/>
        </w:rPr>
        <w:t>Ś.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każdy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nich;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1970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synowie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474B0">
        <w:rPr>
          <w:rFonts w:ascii="Arial" w:eastAsia="Calibri" w:hAnsi="Arial" w:cs="Arial"/>
          <w:szCs w:val="24"/>
        </w:rPr>
        <w:t>Ś.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474B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każdy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nich.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01B1FB44" w14:textId="0FDFCBC6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1974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AB113B">
        <w:rPr>
          <w:rFonts w:ascii="Arial" w:eastAsia="Calibri" w:hAnsi="Arial" w:cs="Arial"/>
          <w:szCs w:val="24"/>
        </w:rPr>
        <w:t>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4010CE3" w14:textId="672AB93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Mokotowa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1989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AB113B">
        <w:rPr>
          <w:rFonts w:ascii="Arial" w:eastAsia="Calibri" w:hAnsi="Arial" w:cs="Arial"/>
          <w:szCs w:val="24"/>
        </w:rPr>
        <w:t>Ś.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całości.</w:t>
      </w:r>
    </w:p>
    <w:p w14:paraId="5758283F" w14:textId="2F83912E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Mokotowa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AB113B">
        <w:rPr>
          <w:rFonts w:ascii="Arial" w:eastAsia="Calibri" w:hAnsi="Arial" w:cs="Arial"/>
          <w:szCs w:val="24"/>
        </w:rPr>
        <w:t>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1984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córka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synowie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AB113B">
        <w:rPr>
          <w:rFonts w:ascii="Arial" w:eastAsia="Calibri" w:hAnsi="Arial" w:cs="Arial"/>
          <w:szCs w:val="24"/>
        </w:rPr>
        <w:t>S.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W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każde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nich.</w:t>
      </w:r>
    </w:p>
    <w:p w14:paraId="6C0CEA2D" w14:textId="4E03987A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Mokotowa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stycznia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nabyli: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AB113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każdy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nich.</w:t>
      </w:r>
    </w:p>
    <w:p w14:paraId="4680B2C3" w14:textId="04955D1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Mokotowa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5253C0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stycznia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całości.</w:t>
      </w:r>
    </w:p>
    <w:p w14:paraId="5256CAC4" w14:textId="5233947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kwietnia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5253C0">
        <w:rPr>
          <w:rFonts w:ascii="Arial" w:eastAsia="Calibri" w:hAnsi="Arial" w:cs="Arial"/>
          <w:szCs w:val="24"/>
        </w:rPr>
        <w:t>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5253C0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testamentu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kwietnia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sporządzonego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notariusza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5253C0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otwartego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ogłoszonego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wnuczka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prawomocnego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akt.</w:t>
      </w:r>
    </w:p>
    <w:p w14:paraId="66AD9891" w14:textId="4191540E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sierpnia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5253C0">
        <w:rPr>
          <w:rFonts w:ascii="Arial" w:eastAsia="Calibri" w:hAnsi="Arial" w:cs="Arial"/>
          <w:szCs w:val="24"/>
        </w:rPr>
        <w:t>S.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notariuszem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wykonaniu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zwykłego.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CC2EAF0" w14:textId="6A7DF5CA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1.2.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testamencie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między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uczynił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zwykły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5253C0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zobowiązał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testamentowego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spełnienia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zapisobiercy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świadczenia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polegającego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wszelkich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zwrotu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ulicy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4CBBC11E" w14:textId="7ECA92AB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wykonaniu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zwykłego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przeniosła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wszelkie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zwrotu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przeniosła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wszystkie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znajdujące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budowlane,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przeszły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Skarbu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Państwa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pozostały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5253C0">
        <w:rPr>
          <w:rFonts w:ascii="Arial" w:eastAsia="Calibri" w:hAnsi="Arial" w:cs="Arial"/>
          <w:szCs w:val="24"/>
        </w:rPr>
        <w:t>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wyraził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naniesień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budowlanych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59EC841F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1958C80" w14:textId="70BCE87F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3.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Postępowanie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na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podstawie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wniosku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dekretowego</w:t>
      </w:r>
    </w:p>
    <w:p w14:paraId="413BF247" w14:textId="7639626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Nieruchomość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objęta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działaniem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warszawskiego.</w:t>
      </w:r>
    </w:p>
    <w:p w14:paraId="33CA5739" w14:textId="1DCF4BB4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lastRenderedPageBreak/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wejścia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przeszły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kwietnia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1950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chwilą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likwidacji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Skarbu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Państwa.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480FFD8" w14:textId="3A9B9C3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Objęcie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posiadanie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sierpnia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ogłoszenia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Dzienniku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Narodowej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Zarządu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Miejskiego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13E3EF04" w14:textId="07CB5FB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stycznia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czasowej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trybie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złożony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hipotecznych: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5253C0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F66AAB">
        <w:rPr>
          <w:rFonts w:ascii="Arial" w:eastAsia="Calibri" w:hAnsi="Arial" w:cs="Arial"/>
          <w:szCs w:val="24"/>
        </w:rPr>
        <w:t>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F66AAB">
        <w:rPr>
          <w:rFonts w:ascii="Arial" w:eastAsia="Calibri" w:hAnsi="Arial" w:cs="Arial"/>
          <w:szCs w:val="24"/>
        </w:rPr>
        <w:t>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małżeństwo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A553583" w14:textId="17382CAD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1950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odmówił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1F299E4" w14:textId="6650B3E3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kwietnia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1951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Ministerstwo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Gospodarki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Komunalnej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utrzymało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decyzję.</w:t>
      </w:r>
    </w:p>
    <w:p w14:paraId="73067540" w14:textId="3D88D60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Mieszkalnictwa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Rozwoju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1950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utrzymująca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Ministerstwa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Gospodarki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Komunalnej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kwietnia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1951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lokali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oddaniem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pozostałej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nieważność.</w:t>
      </w:r>
    </w:p>
    <w:p w14:paraId="59CD05A5" w14:textId="0101C689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sierpnia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Mieszkalnictwa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Rozwoju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uchylił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Ministerstwa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Gospodarki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Komunalnej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kwietnia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1951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utrzymana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Prezesa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Mieszkalnictwa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Rozwoju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Naczelny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oddalił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skargę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</w:p>
    <w:p w14:paraId="295E6C46" w14:textId="3701B8A2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Samorządowe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Kolegium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Odwoławcze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uchyliło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1950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odmawiające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czasowej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przekazało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ponownego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rozpatrzenia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instancji.</w:t>
      </w:r>
    </w:p>
    <w:p w14:paraId="266C9166" w14:textId="3484B34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lastRenderedPageBreak/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stycznia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września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odmówił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współwłaścicieli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ewidencyjną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kondygnacyjnym,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mieszkalnym.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E12B2F9" w14:textId="53C3F7AE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Samorządowe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Kolegium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Odwoławcze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uchyliło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przekazało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ponownego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rozpatrzenia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instancji.</w:t>
      </w:r>
    </w:p>
    <w:p w14:paraId="1E68C7C9" w14:textId="3261D7B4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orzekł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ewidencyjną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obrębie,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F66AAB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jednocześnie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odmówił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lokali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nr.</w:t>
      </w:r>
    </w:p>
    <w:p w14:paraId="34C52EE1" w14:textId="3232AACA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Jednak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Samorządowe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Kolegium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Odwoławcze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kwietnia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uchyliło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instancji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przekazało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ponownego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rozpoznania.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Kolegium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podniosło,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skierowana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lokali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mieszkalnych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nr.</w:t>
      </w:r>
    </w:p>
    <w:p w14:paraId="0BA444CF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7F06F39" w14:textId="6488760D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4.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Sprzedaż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praw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i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roszczeń</w:t>
      </w:r>
    </w:p>
    <w:p w14:paraId="1DE7B620" w14:textId="07471D8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Umową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F66AAB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notariuszem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stawający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F66AAB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działający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13.1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F66A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</w:t>
      </w:r>
      <w:r w:rsidR="007329C9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329C9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ulicy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już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uiszczoną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łącznej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kwocie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5D42A9FD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18029DF" w14:textId="0EB99ACE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5.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Decyzja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reprywatyzacyjna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Prezydenta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m.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st.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Warszawy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z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dnia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17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grudnia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2014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roku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nr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610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ukośnik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GK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ukośnik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DW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ukośnik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2014</w:t>
      </w:r>
    </w:p>
    <w:p w14:paraId="0CD33D7C" w14:textId="2A9D233A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sentencji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orzekł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powierzchni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oznaczonego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ewidencyjna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uregulowanego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ulicy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rzecz: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329C9">
        <w:rPr>
          <w:rFonts w:ascii="Arial" w:eastAsia="Calibri" w:hAnsi="Arial" w:cs="Arial"/>
          <w:szCs w:val="24"/>
        </w:rPr>
        <w:t>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7329C9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7329C9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7329C9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</w:t>
      </w:r>
      <w:r w:rsidR="007329C9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7329C9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329C9">
        <w:rPr>
          <w:rFonts w:ascii="Arial" w:eastAsia="Calibri" w:hAnsi="Arial" w:cs="Arial"/>
          <w:szCs w:val="24"/>
        </w:rPr>
        <w:t>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1EEA7FFC" w14:textId="671B7F1C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lastRenderedPageBreak/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sentencji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"czynsz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symboliczny"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tytułu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opisanego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sentencji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wysokości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zł.</w:t>
      </w:r>
    </w:p>
    <w:p w14:paraId="253CBA65" w14:textId="5F267EB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Ponadto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VI.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sentencji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m.in.,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równoczesną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wybudowanych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Warunki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wysokość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operatach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szacunkowych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sporządzonych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rzeczoznawcę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majątkowego.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podlegać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zapłacie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najpóźniej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przeddzień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podpisania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zaznaczeniu,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zapłaty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przyjmie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odpowiedniej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kwoty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protokole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rokowań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rachunek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bankowy.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ab/>
      </w:r>
    </w:p>
    <w:p w14:paraId="25C771FC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F6C9A59" w14:textId="6B0467A1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6.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Zgromadzony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materiał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dowodowy</w:t>
      </w:r>
    </w:p>
    <w:p w14:paraId="346A4550" w14:textId="59BD93EF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Powyższy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faktyczny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ustaliła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Miasta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Stołecznego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zakończonego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Okręgowym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Apelacyjnym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Samorządowym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Kolegium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Odwoławczym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zarejestrowanych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329C9">
        <w:rPr>
          <w:rFonts w:ascii="Arial" w:eastAsia="Calibri" w:hAnsi="Arial" w:cs="Arial"/>
          <w:szCs w:val="24"/>
        </w:rPr>
        <w:t>sygn.</w:t>
      </w:r>
    </w:p>
    <w:p w14:paraId="6BF1E700" w14:textId="063E2DFA" w:rsid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Powyższe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dokumenty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wiarygodne,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okoliczności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wskazanych.</w:t>
      </w:r>
    </w:p>
    <w:p w14:paraId="61A8E759" w14:textId="77777777" w:rsidR="007260E8" w:rsidRPr="00370FA2" w:rsidRDefault="007260E8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A37DC24" w14:textId="77777777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III.</w:t>
      </w:r>
    </w:p>
    <w:p w14:paraId="0C0535B6" w14:textId="4E4D0AC9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Po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rozpatrzeniu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zebranego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materiału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dowodowego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Komisja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zważyła,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co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następuje:</w:t>
      </w:r>
    </w:p>
    <w:p w14:paraId="3EEA386C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A834EA4" w14:textId="373DF5C5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1.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Brak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legitymacji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następców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prawnych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w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postępowaniu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dekretowym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jako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przesłanka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rażącego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naruszenia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prawa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–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rażące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naruszenie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prawa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tj.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art.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28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k.p.a.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w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zw.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z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art.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7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ust.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1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dekretu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="007260E8" w:rsidRPr="007260E8">
        <w:rPr>
          <w:rFonts w:ascii="Arial" w:eastAsia="Calibri" w:hAnsi="Arial" w:cs="Arial"/>
          <w:b/>
          <w:bCs/>
          <w:szCs w:val="24"/>
        </w:rPr>
        <w:t>warszawskiego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="007260E8" w:rsidRPr="007260E8">
        <w:rPr>
          <w:rFonts w:ascii="Arial" w:eastAsia="Calibri" w:hAnsi="Arial" w:cs="Arial"/>
          <w:b/>
          <w:bCs/>
          <w:szCs w:val="24"/>
        </w:rPr>
        <w:t>myślnik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="007260E8" w:rsidRPr="007260E8">
        <w:rPr>
          <w:rFonts w:ascii="Arial" w:eastAsia="Calibri" w:hAnsi="Arial" w:cs="Arial"/>
          <w:b/>
          <w:bCs/>
          <w:szCs w:val="24"/>
        </w:rPr>
        <w:t>przesłanka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z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art.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30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ust.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1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pkt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4)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in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fine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ustawy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z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dnia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9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marca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2017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roku</w:t>
      </w:r>
    </w:p>
    <w:p w14:paraId="5A6CC763" w14:textId="7FF72E6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rażącym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ponieważ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doszło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statusu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1A2A0AB1" w14:textId="670BCC5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Przepis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wszelkie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usytuowane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obszarze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przeszły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będący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posiadaniu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reprezentujące,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chodzi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obowiązujących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zarząd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użytkownicy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ciągu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miesięcy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objęcia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posiadanie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zgłosić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dzierżawy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czynszem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symbolicznym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opłatą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symboliczną.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59E8E717" w14:textId="29F3A08B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Podstawowe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fundamentalne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znaczenie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legitymacji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złożenia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materialnoprawnej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określającej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prowadzonej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wywieść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facto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kreują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żaden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sposób,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elementem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niezbędnym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przepisie.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materialnoprawnej,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kreują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modyfikować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unormowanych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skoro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oświadczeń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swoboda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zawierania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skonkretyzowanie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przypisanie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prawodawcę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konkretnie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oczekiwać,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swoboda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zawierania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wyrażania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wywoła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administracyjnego.</w:t>
      </w:r>
    </w:p>
    <w:p w14:paraId="56F63F6F" w14:textId="2295964C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faktycznym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oznaczona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hipotecznym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przeszła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FEC7C9C" w14:textId="16E5ED0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zaświadczeniem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Oddziału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Ksiąg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Grodzkiego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„KW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"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(dotychczasowa)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uregulowana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parcelę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obszarze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tytuł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imię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7C1BEC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7C1BEC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małż.,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części.</w:t>
      </w:r>
    </w:p>
    <w:p w14:paraId="6E754D1A" w14:textId="06A9F5EB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współwłaścicieli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hipotecznych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m.in.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329C9">
        <w:rPr>
          <w:rFonts w:ascii="Arial" w:eastAsia="Calibri" w:hAnsi="Arial" w:cs="Arial"/>
          <w:szCs w:val="24"/>
        </w:rPr>
        <w:t>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7329C9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udziałów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8973A3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</w:t>
      </w:r>
      <w:r w:rsidR="008973A3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8973A3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8973A3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8973A3">
        <w:rPr>
          <w:rFonts w:ascii="Arial" w:eastAsia="Calibri" w:hAnsi="Arial" w:cs="Arial"/>
          <w:szCs w:val="24"/>
        </w:rPr>
        <w:t>r</w:t>
      </w:r>
      <w:r w:rsidRPr="00370FA2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51BD5E2" w14:textId="09F4F87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powierzchni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oznaczonego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ewidencyjna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obrębie,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uregulowanego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ulicy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</w:t>
      </w:r>
      <w:r w:rsidR="0000244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00244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00244F">
        <w:rPr>
          <w:rFonts w:ascii="Arial" w:eastAsia="Calibri" w:hAnsi="Arial" w:cs="Arial"/>
          <w:szCs w:val="24"/>
        </w:rPr>
        <w:t>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00244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</w:t>
      </w:r>
      <w:r w:rsidR="0000244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00244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00244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wynoszącym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7E90742" w14:textId="121A1F4B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zakończonego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00244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</w:t>
      </w:r>
      <w:r w:rsidR="0000244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00244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00244F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statusu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</w:p>
    <w:p w14:paraId="01C845BF" w14:textId="3C9CA09C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podkreślić,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dyspozycja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przybrała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niezmienioną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września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1980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chwili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obecnej,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ugruntowaną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pozycję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swój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ponad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przeszło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letni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kształt.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B2870E6" w14:textId="23E28A9C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Naczelny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października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1819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kategorią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materialnoprawną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wiąże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konkretnego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więc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mówić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wówczas,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pomiędzy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obowiązującą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sytuacją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konkretnego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polegający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wpływ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sytuację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materialnego.</w:t>
      </w:r>
    </w:p>
    <w:p w14:paraId="59801075" w14:textId="057F7C4B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świetle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okoliczności,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istota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problemu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sprowadza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odpowiedzi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pytanie,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beneficjenci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tytułu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występować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„następca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prawny”,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umożliwiałoby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statusu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dekretowym.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1042E73" w14:textId="0D664A4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Postępowanie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wszczyna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żądanie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jednostka,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żąda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swój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obowiązek.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najczęstszych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problemów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występujących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aktualnego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kręgu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Ponieważ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samoistnej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wywodzenia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przysługującego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konkretną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876B25E" w14:textId="79E2A226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legitymacji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konieczne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pierwszej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kolejności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„dotychczasowy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właściciel”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„następca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prawny”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CA589A7" w14:textId="406EB4FB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wykładni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językowej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„dotychczasowy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właściciel”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żadnych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wątpliwości,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chodzi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wejścia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zarówno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fizycznych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konstrukcja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oznacza,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wolą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prawodawcy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mógł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występować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aktualny,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tamtą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datę,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posiadacz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samoistny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59EACC7" w14:textId="073747CC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chodzi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drugą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kategorię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uprawnionych,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„następców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właściciela”,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rodzaj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następstwa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chodzi.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„następcy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prawnego”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kategorii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okolicznościach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złożenia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dekretowego.</w:t>
      </w:r>
    </w:p>
    <w:p w14:paraId="2357115B" w14:textId="397A65AF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orzecznictwie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sądowoadministracyjnym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legitymacji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wywołanym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podkreślono,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oznacza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określające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spadkobiercom.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kręgu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zajął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Naczelny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sierpnia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2034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odróżnić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zawsze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powodują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powstanie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tylko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wtedy,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wyraźnie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unormował.</w:t>
      </w:r>
    </w:p>
    <w:p w14:paraId="5E419956" w14:textId="55965322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Naczelny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ostatecznie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przesądził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kwestię,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kontekście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tworzy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procedurze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prowadzonej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Źródłem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sytuacji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bezpośredni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indywidualnego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pozwala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kwalifikować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samoistnie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więc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źródła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źródło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tylko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wtedy,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nawiązująca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wyznaczany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wolą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adresatów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wolą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prawodawcy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kształtującego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uzyskania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konieczne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łączyłaby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przypisania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prawnoadministracyjnej.</w:t>
      </w:r>
    </w:p>
    <w:p w14:paraId="15A46ACF" w14:textId="2CBAEE7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Przesądzono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bezsprzecznie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kwestię,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legitymowały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umowach,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ubiegania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Podobne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zajął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Naczelny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sierpnia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następujących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akt.: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2875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707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I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5FA2569F" w14:textId="71CDC3E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Argumentację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wyrokach,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rozciągłości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podziela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Obowiązująca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materialnoprawna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przewiduje,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uzyskać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status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1E20047" w14:textId="7BCE64C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charakterze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publicznoprawnym,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ponieważ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przewidział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rodzaju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żądania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charakteru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ponieważ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niezbywalnym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publicznym.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0631A0ED" w14:textId="3CBC3A74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Reasumując,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sfomułowaniu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„następcy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prawni”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mieszczą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uzyskały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intencją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gratyfikowanie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utraciły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uchwalenia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wyrównanie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szkody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przymusowego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pozbawienia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utrata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musi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ściśle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spadkobiercami,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osobami,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Celu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realizować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wobec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wynikałoby,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przysługiwałoby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bardziej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sytuacji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utracił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utożsamiane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ściśle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uprawnienia.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8F764C3" w14:textId="337FBBE3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skoro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faktycznym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współwłaścicielami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hipotecznymi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byli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8A3DAB">
        <w:rPr>
          <w:rFonts w:ascii="Arial" w:eastAsia="Calibri" w:hAnsi="Arial" w:cs="Arial"/>
          <w:szCs w:val="24"/>
        </w:rPr>
        <w:t>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8A3D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8A3DAB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8A3DAB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małżeństwo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</w:t>
      </w:r>
      <w:r w:rsidR="008A3DAB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przysługiwało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spadkobiercom,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osobom,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sporządzonych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nieruchomości.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wadliwy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beneficjentów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Tymczasem,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skutecznie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ubiegać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skuteczną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rażące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wyczerpuje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przesłankę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</w:p>
    <w:p w14:paraId="05E15D51" w14:textId="661E00C6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miejscu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podkreślenia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wymaga,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żadnym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stopniu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oceniała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pozostającego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kognicją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1C5A30D" w14:textId="24581C6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marginesie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Naczelnego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wyrażone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sierpnia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2034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koresponduje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Najwyższego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wyrażonym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kwestii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podatkowych,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powoływał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Wojewódzki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2405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14,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zauważyć,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polskim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systemie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już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uprzednio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dokonywano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rozróżnień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wskazywano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charakter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restytucyjny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miejscu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przypomnieć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Skarżący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utraciła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W</w:t>
      </w:r>
      <w:proofErr w:type="spellEnd"/>
      <w:r w:rsidRPr="00370FA2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odjęte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Spór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więc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pytania,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Najwyższy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cytowanym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obejmuje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będące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obejmuje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ewentualnych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spadkobierców,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miejsce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sprawie).</w:t>
      </w:r>
    </w:p>
    <w:p w14:paraId="060CED29" w14:textId="7DF8664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Kwestia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już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rozważań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(por.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tutejszego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września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1541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06,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2607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2498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12).</w:t>
      </w:r>
    </w:p>
    <w:p w14:paraId="38F303A7" w14:textId="7F46B623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lastRenderedPageBreak/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orzeczeniach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wskazywano,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W</w:t>
      </w:r>
      <w:proofErr w:type="spellEnd"/>
      <w:r w:rsidRPr="00370FA2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trybie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8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u.p.d.o.f</w:t>
      </w:r>
      <w:proofErr w:type="spellEnd"/>
      <w:r w:rsidRPr="00370FA2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przypadku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upływem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terminu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powstaje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przychód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podlegający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opodatkowaniu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u.p.d.o.f</w:t>
      </w:r>
      <w:proofErr w:type="spellEnd"/>
      <w:r w:rsidRPr="00370FA2">
        <w:rPr>
          <w:rFonts w:ascii="Arial" w:eastAsia="Calibri" w:hAnsi="Arial" w:cs="Arial"/>
          <w:szCs w:val="24"/>
        </w:rPr>
        <w:t>.</w:t>
      </w:r>
    </w:p>
    <w:p w14:paraId="5DDFFBA0" w14:textId="3057677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uzasadnieniu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wskazywano,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Najwyższy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02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znaczeniu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Najwyższy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celem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opodatkowaniem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uzyskali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realizacji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przypadku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doszło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właścicielami,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państwo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odebrało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nigdy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wywiązało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zrekompensowania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wywłaszczonych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poniesionego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uszczerbku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majątkowego.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potraktować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uzyskali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realizacji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przeszły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spadkodawców.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przywołanych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tutejszego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wskazywano,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argumentacja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Najwyższego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stosunku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łączącego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zrekompensowania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strat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poniesionych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komunalizacji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Najwyższy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podkreślał,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przypadku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dochodziło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składnika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majątkowego,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uzyskiwały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rekompensatę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zamian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odebrane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4C520C8" w14:textId="4934F986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Mając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weryfikowana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dotknięta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wadą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wyeliminowana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49879BEE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7275DC4A" w14:textId="5AA8A81E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6F26F1">
        <w:rPr>
          <w:rFonts w:ascii="Arial" w:eastAsia="Calibri" w:hAnsi="Arial" w:cs="Arial"/>
          <w:b/>
          <w:bCs/>
          <w:szCs w:val="24"/>
        </w:rPr>
        <w:t>2.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Brak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podstawy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prawnej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do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określenia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warunków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przeniesienia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własności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powojennych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garaży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–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rażące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naruszenie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prawa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tj.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art.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6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k.p.a.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 </w:t>
      </w:r>
      <w:r w:rsidR="007260E8" w:rsidRPr="006F26F1">
        <w:rPr>
          <w:rFonts w:ascii="Arial" w:eastAsia="Calibri" w:hAnsi="Arial" w:cs="Arial"/>
          <w:b/>
          <w:bCs/>
          <w:szCs w:val="24"/>
        </w:rPr>
        <w:t>myślnik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="007260E8" w:rsidRPr="006F26F1">
        <w:rPr>
          <w:rFonts w:ascii="Arial" w:eastAsia="Calibri" w:hAnsi="Arial" w:cs="Arial"/>
          <w:b/>
          <w:bCs/>
          <w:szCs w:val="24"/>
        </w:rPr>
        <w:t>przesłanka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z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art.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30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ust.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1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pkt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4)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in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fine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ustawy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z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dnia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9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marca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2017</w:t>
      </w:r>
      <w:r w:rsidR="006F26F1" w:rsidRP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6F26F1">
        <w:rPr>
          <w:rFonts w:ascii="Arial" w:eastAsia="Calibri" w:hAnsi="Arial" w:cs="Arial"/>
          <w:b/>
          <w:bCs/>
          <w:szCs w:val="24"/>
        </w:rPr>
        <w:t>roku</w:t>
      </w:r>
    </w:p>
    <w:p w14:paraId="2E90F320" w14:textId="0FEE2DD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punkcie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VI.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m.in.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równoczesną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wybudowanych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21.11.1945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Warunki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wysokość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Protokole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rokowań.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będzie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wartość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operatach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szacunkowych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sporządzonych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rzeczoznawcę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majątkowego.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podlega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zapłacie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najpóźniej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przeddzień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podpisania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zapłaty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przyjmuje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odpowiedniej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kwoty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Protokole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rokowań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rachunku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bankowym.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Termin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wyznaczony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podpisaniu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protokołu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rokowań.</w:t>
      </w:r>
      <w:r w:rsidR="006F26F1">
        <w:rPr>
          <w:rFonts w:ascii="Arial" w:eastAsia="Calibri" w:hAnsi="Arial" w:cs="Arial"/>
          <w:szCs w:val="24"/>
        </w:rPr>
        <w:t xml:space="preserve">  </w:t>
      </w:r>
    </w:p>
    <w:p w14:paraId="09CBF05D" w14:textId="7CBAE04F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pisma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Zakładu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Gospodarowania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Dzielnicy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Mokotów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pięcioma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garażami,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B77FA2" w:rsidRPr="00370FA2">
        <w:rPr>
          <w:rFonts w:ascii="Arial" w:eastAsia="Calibri" w:hAnsi="Arial" w:cs="Arial"/>
          <w:szCs w:val="24"/>
        </w:rPr>
        <w:t>nr</w:t>
      </w:r>
      <w:r w:rsidR="00B77FA2">
        <w:rPr>
          <w:rFonts w:ascii="Arial" w:eastAsia="Calibri" w:hAnsi="Arial" w:cs="Arial"/>
          <w:szCs w:val="24"/>
        </w:rPr>
        <w:t xml:space="preserve"> wybudowany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środków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najemców,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przekazane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dyspozycji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Zakładu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Gospodarowania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pustostany.</w:t>
      </w:r>
    </w:p>
    <w:p w14:paraId="6FD0DC2D" w14:textId="0E036A6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działają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prawa.</w:t>
      </w:r>
    </w:p>
    <w:p w14:paraId="3A9B939F" w14:textId="422A34C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Wojewódzki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Szczecinie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Sz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654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zakwalifikowane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niezgodne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zarówno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wówczas,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podjęte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obowiązującym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prawem,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wówczas,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działania.</w:t>
      </w:r>
    </w:p>
    <w:p w14:paraId="7D7B1C8A" w14:textId="7938D3F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Naczelny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580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06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zaznaczył: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orzecznictwie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Naczelnego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począwszy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uchwały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VI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95,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ONSA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1996,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uchwały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października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00,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ONSA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przyjmuje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rozstrzyganie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złożonych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trybie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października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Konstrukcja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uwzględniającego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odrębną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przewidzianą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przewidywała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możliwości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orzekania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(vide: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2718,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niepubl.).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ustanawiającej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przenosić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dotknięta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wadą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Trafnie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Wojewódzki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wskazuje,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właściwą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drogą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pozytywnie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rozpatrzono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znajduje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budynek,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droga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cywilnoprawna.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trybie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administracyjnoprawnym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regulować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kwestii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zwrotu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nakładów,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przesądzać,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zwrot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nastąpić.</w:t>
      </w:r>
    </w:p>
    <w:p w14:paraId="7702DBE8" w14:textId="224A04FE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Wojewódzki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stycznia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1351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Rację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wskazując,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trzecich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(określone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punkcie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brzmieniu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nadanym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kwietnia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władcze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kształtowanie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warunków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przystąpienia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(ujęte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punkcie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IV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brzmieniu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uwzględniającym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zmianę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(...)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mieściło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kompetencjach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orzekających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gospodarce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nieruchomościami,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zawierają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jakichkolwiek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regulacji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pozwalających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władcze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kształtowanie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etapie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przyszłego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zauważano,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fine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wprawdzie,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uwzględnienie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warunki,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"warunków"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uregulowanych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obecnie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odnosić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etapu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będzie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dopiero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prowadzone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Formułowane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wówczas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aspekcie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będzie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wykonywania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władzy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(imperium),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realizacji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dominium.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Kształtując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warunki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etapie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(...)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uczynił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dysponując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opartymi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powszechnie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obowiązującego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kompetencjami,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zadział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wadliwej,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wykroczył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granice,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mógł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poruszać.</w:t>
      </w:r>
    </w:p>
    <w:p w14:paraId="43BB4433" w14:textId="3F1C5D5E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lastRenderedPageBreak/>
        <w:tab/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ulega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żadnym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wątpliwościom,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weryfikowanej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znaczące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warunki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garaży: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sekwencje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przyszłych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podejmowanych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względzie,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sposobu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obliczenia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terminu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zapłaty,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rachunku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bankowego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przesądzenie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wprost,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uiszczona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Warszawy.</w:t>
      </w:r>
    </w:p>
    <w:p w14:paraId="0234282E" w14:textId="0B0A806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relewantności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punktu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VI.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kontrolowanej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pismo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Miasta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Stołecznego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Biura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wskazano: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Ponadto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nadmieniam,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podpisały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protokołu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wpłaciły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ceny.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5F62369" w14:textId="5C193859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ab/>
        <w:t>Mając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dotknięta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wadą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wyeliminowana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6EB93D8C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537B22DD" w14:textId="2240FB95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3.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Nieodwracalne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skutki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prawne</w:t>
      </w:r>
    </w:p>
    <w:p w14:paraId="35F54DA1" w14:textId="2E71ABC4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Kontrolowana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wywołała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1EAFEF0F" w14:textId="2052FBD2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powstały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trzecią,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nieodpłatnie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działającego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wierze,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zagospodarowania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gospodarce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nieruchomościami.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definicja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zawiera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sobie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elementy,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konstytuuje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drugi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wyjątek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Pierwszy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trzeciej,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przesądza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Drugi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statuuje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wyjątki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wymienionej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Analiza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prowadzi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przyjąć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jeśli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nieodpłatnie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wierze.</w:t>
      </w:r>
    </w:p>
    <w:p w14:paraId="5E72D68F" w14:textId="5820AF54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„nieodwracalności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prawnego”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płaszczyźnie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odnosi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następstw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(reprywatyzacyjnej),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możliwości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odmiennego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ukształtowania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sytuacji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jednostki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będącej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następstwem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wyklucza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powrót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poprzedniego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(B.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Adamiak,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Glosa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uchwały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IIIAZP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OSP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1993,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104,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Przybysz,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2017).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Funkcjonuje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przesłankę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negatywną,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pomimo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kwalifikowanych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stosunku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uprzedniej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(M.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Wincenciak</w:t>
      </w:r>
      <w:proofErr w:type="spellEnd"/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tzw.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„nieodwracalnych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prawnych”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(Kodyfikacja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red.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J.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Niczyporuk</w:t>
      </w:r>
      <w:proofErr w:type="spellEnd"/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Lublin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901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902).</w:t>
      </w:r>
    </w:p>
    <w:p w14:paraId="769E0A0E" w14:textId="1B482B0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orzecznictwie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podkreśla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będące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wadliwej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powoduje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powstanie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(por.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stycznia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V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432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96,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LEX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45663).</w:t>
      </w:r>
    </w:p>
    <w:p w14:paraId="27F4C0AF" w14:textId="14669DDD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przypadku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pozytywnej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(http: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ukośnik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orzeczenia.nsa.gov.pl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doc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730032490A),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powodująca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wywołuje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warunkach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pozwalających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rękojmi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ksiąg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wieczystych.</w:t>
      </w:r>
    </w:p>
    <w:p w14:paraId="7390CE51" w14:textId="2D8ECE8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Komisją,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utrwalonego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orzecznictwa,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zastosowanie.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zauważyć,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racjonalnego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założyć,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obydwu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regulacjach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analogiczne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rozwiązania.</w:t>
      </w:r>
    </w:p>
    <w:p w14:paraId="1547E3FA" w14:textId="6C7B0702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nowelizacji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wprowadzona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41a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samodzielna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definicja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wiary”.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chwili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osobą,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wiedział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łatwością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mógł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dowiedzieć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okolicznościach,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ustawy.</w:t>
      </w:r>
    </w:p>
    <w:p w14:paraId="0201ACB0" w14:textId="79DCDBF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lastRenderedPageBreak/>
        <w:t>Dokonując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dobrej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zlej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kontekście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zaistnienia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niezaistnienia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już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wstępie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zaznaczyć,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wiary”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żadnego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definiować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znaczenie,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wymienionego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terminu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1982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księgach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hipotece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(por.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A.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Pawlyta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[w:]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Dalkowska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(red.)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usuwania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Komentarz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wybranych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5.6).</w:t>
      </w:r>
    </w:p>
    <w:p w14:paraId="154A9EA0" w14:textId="622A8AAA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dobrej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kategorię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właściwą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przypisać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jednolitego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znaczenia.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definicja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dobrej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literaturze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kwestii,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jednakowy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wyrażane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przekonanie,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kryteria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płynne,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jednolitości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dobrej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polskim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utrzymać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(A.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Szpunar</w:t>
      </w:r>
      <w:proofErr w:type="spellEnd"/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Dobra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przesłanka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nieuprawnionego,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PiP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1997,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4;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tenże,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nieuprawnionego,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Kraków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1999,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97).</w:t>
      </w:r>
    </w:p>
    <w:p w14:paraId="6AB42CED" w14:textId="65AC0FE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doktrynie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zauważa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dobra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charakterze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mentalnego,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intelektualnym,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polegającym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usprawiedliwionej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niewiedzy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błędne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przeświadczenie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przysługiwaniu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stosunku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subiektywne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dobrej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(por.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Bryl,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Komentarz,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1972).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sytuację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przeciwną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występuje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wiedza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nieusprawiedliwiona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niewiedza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(por.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Machnikowski,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Gniewek,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Komentarz,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2006).</w:t>
      </w:r>
    </w:p>
    <w:p w14:paraId="1D2C77E9" w14:textId="63335FB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Przesłanka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„nabywcy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działającego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wierze”,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definicji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1982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księgach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hipotece,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ponieważ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zawiera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definicję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wiary”.</w:t>
      </w:r>
    </w:p>
    <w:p w14:paraId="4E00EA21" w14:textId="7C785D3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chwili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osobą,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wiedział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łatwością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mógł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dowiedzieć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okolicznościach,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wiara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obiektywnych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okoliczności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świadczyć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wiedzy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bądź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łatwości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pozyskania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wiedzy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okolicznościach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rażącym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ustawy).</w:t>
      </w:r>
    </w:p>
    <w:p w14:paraId="1422CE94" w14:textId="04EB689D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wyraźnie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podkreślić,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principio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wskazuje,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dopiero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relewantne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instytucji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165BCE66" w14:textId="7870F586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Przenosząc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poczynionych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ustaleń,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doszło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5B09CF3B" w14:textId="3364D69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księgi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prowadzonej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ewidencyjnej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obręb</w:t>
      </w:r>
      <w:r w:rsidR="00C34B2D">
        <w:rPr>
          <w:rFonts w:ascii="Arial" w:eastAsia="Calibri" w:hAnsi="Arial" w:cs="Arial"/>
          <w:szCs w:val="24"/>
        </w:rPr>
        <w:t>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Rejonowym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Mokotowa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VII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Wydział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Ksiąg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Miastu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Stołecznemu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26002C5" w14:textId="2EB1AEDB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Nadto,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Miasta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Stołecznego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Biura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piśmie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Samorządowe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Kolegium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Odwoławcze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sierpnia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utrzymało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Ponadto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nadmieniam,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podpisały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protokołu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wpłaciły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ceny.</w:t>
      </w:r>
    </w:p>
    <w:p w14:paraId="58570E77" w14:textId="0CB1F72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Mając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podkreślić,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zaszły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</w:p>
    <w:p w14:paraId="1ED2CF56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1868E37F" w14:textId="6FBFF121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4.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Podstawy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stwierdzenia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nieważności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decyzji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w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całości</w:t>
      </w:r>
    </w:p>
    <w:p w14:paraId="0AEC3D08" w14:textId="18E5681F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koniecznym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wystąpienia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przesłanki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rażącym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warunków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sprzedaży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garaży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prawnej.</w:t>
      </w:r>
    </w:p>
    <w:p w14:paraId="23EE10BC" w14:textId="30C8229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3a)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rozpoznawczego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zachodzą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przesłanki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1960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szczególnych.</w:t>
      </w:r>
    </w:p>
    <w:p w14:paraId="7F04B1F1" w14:textId="29D96EA2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rażącym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prawa.</w:t>
      </w:r>
    </w:p>
    <w:p w14:paraId="722B6CD9" w14:textId="24C76D7E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7260E8" w:rsidRPr="00370FA2">
        <w:rPr>
          <w:rFonts w:ascii="Arial" w:eastAsia="Calibri" w:hAnsi="Arial" w:cs="Arial"/>
          <w:szCs w:val="24"/>
        </w:rPr>
        <w:t>)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4</w:t>
      </w:r>
      <w:r w:rsidRPr="00370FA2">
        <w:rPr>
          <w:rFonts w:ascii="Arial" w:eastAsia="Calibri" w:hAnsi="Arial" w:cs="Arial"/>
          <w:szCs w:val="24"/>
        </w:rPr>
        <w:t>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rażącym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06FBBC3E" w14:textId="42907AD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Stosownie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nieuregulowanych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odpowiednio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1960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13,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25,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96a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96n,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122h,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127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144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ustawy.</w:t>
      </w:r>
    </w:p>
    <w:p w14:paraId="0271504C" w14:textId="0467D56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Według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zachodzą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przesłanki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determinujące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konieczność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502228CF" w14:textId="21D2BFF4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rażąco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naruszył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498465B1" w14:textId="63A67B2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Powyższe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obligowało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uznania,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weryfikowana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wyeliminowana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prawnego.</w:t>
      </w:r>
    </w:p>
    <w:p w14:paraId="773E15A2" w14:textId="364DF59C" w:rsidR="00370FA2" w:rsidRPr="00370FA2" w:rsidRDefault="006F26F1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niniejszej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sprawie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Komisja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uznała,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iż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charakter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waga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popełnionych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przez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organ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uchybień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uzasadniały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stwierdzenie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nieważności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decyzji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całości.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Za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punkt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wyjścia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dla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podjęcia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takiej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decyzji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Komisja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przyjęła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zagadnienie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wadliwości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decyzji,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co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przyznania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konkretnym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osobom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statusu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strony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postępowaniu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z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art.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7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dekretu</w:t>
      </w:r>
      <w:r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warszawskiego</w:t>
      </w:r>
      <w:r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jako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założenie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gradacji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wad,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których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ciężar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powoduje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określone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konsekwencje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zakresie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skutków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prawnych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decyzji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co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całości.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Jak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już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wyżej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wykazano,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przedmiotowa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decyzja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reprywatyzacyjna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jest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wadliwa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pod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kątem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formalnym,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tj.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stwierdzono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brak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interesu</w:t>
      </w:r>
      <w:r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prawnego</w:t>
      </w:r>
      <w:r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rozumieniu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art.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28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k.p.a.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–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osób,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które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umową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cywilnoprawną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nabyły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prawa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roszczenia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nieruchomości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położonej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przy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ul.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Puławskiej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31.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Owe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ustalenia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obligowały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Komisję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uznania,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że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decyzja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reprywatyzacyjna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została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obarczona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wadą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nieważności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pod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kątem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niewłaściwego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przyznania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osobom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niej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wskazanym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statusu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strony.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Wobec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lastRenderedPageBreak/>
        <w:t>powyższego,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decyzja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nie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mogła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ostać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się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obrocie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prawnym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jakimkolwiek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zakresie.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Uchybienia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organu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tym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zakresie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są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tyle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istotne,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że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powodują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skutek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nieważności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co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do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całości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decyzji,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tym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sensie,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że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opisane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wyżej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naruszenia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pod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kątem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przesłanek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formalnych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eliminują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decyzję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reprywatyzacyjną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pozostałym</w:t>
      </w:r>
      <w:r>
        <w:rPr>
          <w:rFonts w:ascii="Arial" w:eastAsia="Calibri" w:hAnsi="Arial" w:cs="Arial"/>
          <w:szCs w:val="24"/>
        </w:rPr>
        <w:t xml:space="preserve"> </w:t>
      </w:r>
      <w:r w:rsidR="00370FA2" w:rsidRPr="00370FA2">
        <w:rPr>
          <w:rFonts w:ascii="Arial" w:eastAsia="Calibri" w:hAnsi="Arial" w:cs="Arial"/>
          <w:szCs w:val="24"/>
        </w:rPr>
        <w:t>zakresie.</w:t>
      </w:r>
    </w:p>
    <w:p w14:paraId="23D0DBFE" w14:textId="5E893254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podkreśla,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zaprezentowane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spotkało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aprobatą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Wojewódzkiego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uzasadnieniu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         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1777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prawidłowość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skierowania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przedstawionym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faktycznym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przyjął,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przedstawionej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usunąć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częściowe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podmiotowym.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normujące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nadzorcze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przewidują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konstrukcji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według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możliwe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dodatek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status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przysługiwał,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ponieważ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śmiercią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wszczęciem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zdolności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Konstrukcji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zawiera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gramStart"/>
      <w:r w:rsidRPr="00370FA2">
        <w:rPr>
          <w:rFonts w:ascii="Arial" w:eastAsia="Calibri" w:hAnsi="Arial" w:cs="Arial"/>
          <w:szCs w:val="24"/>
        </w:rPr>
        <w:t>(....</w:t>
      </w:r>
      <w:proofErr w:type="gramEnd"/>
      <w:r w:rsidRPr="00370FA2">
        <w:rPr>
          <w:rFonts w:ascii="Arial" w:eastAsia="Calibri" w:hAnsi="Arial" w:cs="Arial"/>
          <w:szCs w:val="24"/>
        </w:rPr>
        <w:t>).Wada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charakter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materialnoprawny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faktycznego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możliwości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zawiązania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(powstania)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prawidłowy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stosunku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administracyjnoprawnego,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elementów.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Koniecznym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elementem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każdego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postępowaniu.</w:t>
      </w:r>
    </w:p>
    <w:p w14:paraId="1E9467BB" w14:textId="1B602782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Przenosząc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wywiodła,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możliwości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jednoczesnym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wystąpienia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nieodwracalnych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skutkował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stwierdzeniem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całości.</w:t>
      </w:r>
    </w:p>
    <w:p w14:paraId="3E5C3D36" w14:textId="77777777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</w:p>
    <w:p w14:paraId="73A51702" w14:textId="77777777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IV.</w:t>
      </w:r>
    </w:p>
    <w:p w14:paraId="1F709221" w14:textId="75EF8CCC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7260E8">
        <w:rPr>
          <w:rFonts w:ascii="Arial" w:eastAsia="Calibri" w:hAnsi="Arial" w:cs="Arial"/>
          <w:b/>
          <w:bCs/>
          <w:sz w:val="28"/>
          <w:szCs w:val="28"/>
        </w:rPr>
        <w:t>Strony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7260E8">
        <w:rPr>
          <w:rFonts w:ascii="Arial" w:eastAsia="Calibri" w:hAnsi="Arial" w:cs="Arial"/>
          <w:b/>
          <w:bCs/>
          <w:sz w:val="28"/>
          <w:szCs w:val="28"/>
        </w:rPr>
        <w:t>postępowania</w:t>
      </w:r>
      <w:r w:rsidR="006F2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3CA2ACC4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47CABE8F" w14:textId="3FA37986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1.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Ustalony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krąg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stron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postępowania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</w:p>
    <w:p w14:paraId="47FD483E" w14:textId="1FC5F7E6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lastRenderedPageBreak/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każdy,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żąda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swój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obowiązek.</w:t>
      </w:r>
    </w:p>
    <w:p w14:paraId="5AC959A0" w14:textId="44BF45DA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Zasadą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zachowaniu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reguł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procesowego.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(strony)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jednostki,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pozbawiono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zwykłym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jednostki,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następstwa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zarówno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uczestniczących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pozbawionych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udziału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(por.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08).</w:t>
      </w:r>
    </w:p>
    <w:p w14:paraId="79802690" w14:textId="1CCC5636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rozpoznawczego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przyjęto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beneficjentów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reprywatyzacyjnej,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4454618A" w14:textId="5AB9CB7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zmarłego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beneficjenta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B24FF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testamencie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między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uczynił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zwykły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zobowiązał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testamentowego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spełnienia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zapisobiercy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świadczenia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polegającego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wszelkich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zwrotu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ulicy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Puławskiej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Zapisobiercę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zwykłego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spadkodawcy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tytułem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(por.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Ciszewski,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J.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Knabe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[w:]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Nazaruk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(red.)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Ciszewski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(red.),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Komentarz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aktualizowany,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968,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3).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42ED574" w14:textId="2BBDCE93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Apelacyjny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czerwca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ACa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stwierdził: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Testator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chcąc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przysporzenia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konkretnej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zrealizować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swój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zamiar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zapisobiercy,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wprowadza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ograniczeń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43BFB9AD" w14:textId="0EBC62A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Per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analogiam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wykonanego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zwykłego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odnieść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wyrażone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doktrynie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windykacyjnego: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Trzeba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odnotować,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zmianą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18.03.2011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zmianie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cywilny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niektórych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(Dz.U.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85,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458),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polegającą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wprowadzeniu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systemu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instytucji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windykacyjnego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9811–9816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k.c.),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uczynionego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testamencie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przejść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zapisobiercę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chwilą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otwarcia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windykacyjnego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oznaczona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tożsamości,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zbywalne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majątkowe,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przedsiębiorstwo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gospodarstwo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rolne,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zapisobiercy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służebności.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rodzaju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spadkodawcy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trzeba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będzie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uważać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zapisobiercę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windykacyjnego,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kręgu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testamentowych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(tak: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Romańska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[w:]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H.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Knysiak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Sudyka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(red.),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Komentarz,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15).</w:t>
      </w:r>
    </w:p>
    <w:p w14:paraId="2D43097A" w14:textId="7FA1081C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wszczęciu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rozpoznawczego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zawiadamia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pozostałe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cytowanego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rozpoznawczego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Warszawa.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FCF48CF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4E2935F1" w14:textId="65BB03A1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2.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Stanowisko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stron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postępowania</w:t>
      </w:r>
    </w:p>
    <w:p w14:paraId="1E074B6D" w14:textId="6E71592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M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6B24FF">
        <w:rPr>
          <w:rFonts w:ascii="Arial" w:eastAsia="Calibri" w:hAnsi="Arial" w:cs="Arial"/>
          <w:szCs w:val="24"/>
        </w:rPr>
        <w:t>.</w:t>
      </w:r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zastępowani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profesjonalnego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pełnomocnika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przedstawili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sprawie.</w:t>
      </w:r>
    </w:p>
    <w:p w14:paraId="18E54527" w14:textId="37F6A1D3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wstępie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poczynić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uwagę,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zgłaszały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żadnych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dowodowych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wnosiły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uzupełnienie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zgromadzonego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materiału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dowodowego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sprawie.</w:t>
      </w:r>
    </w:p>
    <w:p w14:paraId="2E9AB79F" w14:textId="7C78F383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reprezentując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wstępie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zaznaczyły,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prawidłowa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zostały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spełnione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żadne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przesłanki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pozwalały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uchylenie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bądź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stwierdzenie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weryfikowanej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wnosząc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utrzymanie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0083090F" w14:textId="397014A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uzasadnieniu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twierdzeń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odniosły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uzasadnienia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sierpnia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2034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wskazując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odmienny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faktyczny,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działki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niezabudowanej,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zabudowanej,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spełniała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wymogi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wywodzą,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posiadają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wypadku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140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k.c.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ocenie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dopuszczalne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zmiany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prowadzonym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dyspozycji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Zaakcentowano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też,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prowadzone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zbywalnych.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sprawie,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przysługiwały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żądania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rozstrzygnięcia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</w:t>
      </w:r>
      <w:r w:rsidR="006B24FF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DFF4410" w14:textId="30C17A0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Odnosząc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przywołać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będący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posiadaniu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reprezentujące,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chodzi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obowiązujących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zarząd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użytkownicy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ciągu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miesięcy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objęcia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posiadanie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zgłosić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dzierżawy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czynszem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symbolicznym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zabudowy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opłatą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symboliczną.</w:t>
      </w:r>
    </w:p>
    <w:p w14:paraId="04E2FBD3" w14:textId="54E09DF5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Przede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wszystkim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zaakcentować,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interpretować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szeroko,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stosując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wykładnię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rozszerzającą.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wstępie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wskazuję,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dalszej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kolejności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wystarczy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skupić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potrzeby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kategoriach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podmiotów.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sukcesji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singularnej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uniwersalnej.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Skoro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wykładnia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językowa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okazuje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wystarczająca,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sięgnąć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wykładnie.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sięgnąć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wykładnię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funkcjonalną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jasny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powinien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wzbudzać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wątpliwości.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cel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restytucyjny.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zadość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roszczeniom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spadkobierców,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uszczerbek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przedkładać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uszczerbek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spadkobierców,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zadośćuczynienia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weszłaby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masy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spadkowej.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12E37CB6" w14:textId="6A9D3FA6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doktrynie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wyrażono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następujące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utożsamione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zwrotem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własności;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swoistą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restytucję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tytułu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komunalizacji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położonych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obszarze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(tak: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E.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Buczeki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Kopeć,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obszarze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Komentarz,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2).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słownikiem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języka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polskiego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restytucje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„przywrócenie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czemuś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stanu”.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3C34084A" w14:textId="41C6FBDD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Naczelny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sierpnia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2034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rozpatrywanej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2011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oznacza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właściwości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indywidualnych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rozstrzyganych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drodze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załatwianych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milcząco.</w:t>
      </w:r>
    </w:p>
    <w:p w14:paraId="332EE53C" w14:textId="4F362A26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stanowiącego,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każdy,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żąda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swój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obowiązek.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Cytowany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przepis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odczytywać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wszystkim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określającego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właścicielowi.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Uwzględniając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faktyczne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uwarunkowania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chwili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wejścia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listopadzie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1945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7260E8" w:rsidRPr="00370FA2">
        <w:rPr>
          <w:rFonts w:ascii="Arial" w:eastAsia="Calibri" w:hAnsi="Arial" w:cs="Arial"/>
          <w:szCs w:val="24"/>
        </w:rPr>
        <w:t>czas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tuż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powojenny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charakteryzujący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ogromem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zniszczeń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miasta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utratą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wielu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czasie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wojny,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dopuścił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wyłącznie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żyjącym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Przyjęcie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literalnej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wykładni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uzyskania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polegające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uznaniu,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uprawnionymi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mieliby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tylko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żyjący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akceptacją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wszystkim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faktycznych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światowej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="00B77FA2" w:rsidRPr="00370FA2">
        <w:rPr>
          <w:rFonts w:ascii="Arial" w:eastAsia="Calibri" w:hAnsi="Arial" w:cs="Arial"/>
          <w:szCs w:val="24"/>
        </w:rPr>
        <w:t>i</w:t>
      </w:r>
      <w:r w:rsidR="00B77FA2">
        <w:rPr>
          <w:rFonts w:ascii="Arial" w:eastAsia="Calibri" w:hAnsi="Arial" w:cs="Arial"/>
          <w:szCs w:val="24"/>
        </w:rPr>
        <w:t xml:space="preserve"> działań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okupanta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zaistniałych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terenie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miasta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Warszawy.</w:t>
      </w:r>
    </w:p>
    <w:p w14:paraId="291D0D48" w14:textId="20644ABE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uzyskania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należałoby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tylko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identyfikowanych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pierwszej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kolejności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pryzmat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procedury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normujących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przymiot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skoro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następowało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nadal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procedurze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5A935EDE" w14:textId="232EEAD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wywodzącego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faktu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objęcia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wywodzić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okoliczność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irrelewantna.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wprost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prinicpio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samego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złożenia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Sformułowanie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wzbudzać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żadnych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wątpliwości,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chodzi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1945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przejęty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przypadku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zastosowałby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zwrot: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aktualny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właściciel.</w:t>
      </w:r>
    </w:p>
    <w:p w14:paraId="62AB5113" w14:textId="3B0B6B5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doktrynie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wyrażono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następujące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stanowisko: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komentowanym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znajdujące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przechodzących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gminy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pozostają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inaczej.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chwili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wejścia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znajdujące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stawały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więc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odrębnej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wprowadził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czasowe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odstępstwo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zasady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superficies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solo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cedit</w:t>
      </w:r>
      <w:proofErr w:type="spellEnd"/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„utrwalało”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uwzględnienia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złożonego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trybie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d.w.u.g</w:t>
      </w:r>
      <w:proofErr w:type="spellEnd"/>
      <w:r w:rsidRPr="00370FA2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(wyrok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NSA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stycznia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475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09,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LEX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595396).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Natomiast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wypadku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uwzględnienia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bezskutecznego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upływu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terminu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złożenia,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powrotem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stawał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częścią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składową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gruntowej,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następowało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Strus,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warszawskie...,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8)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(tak: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E.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Buczek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Kopeć,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obszarze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Komentarz,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2).</w:t>
      </w:r>
    </w:p>
    <w:p w14:paraId="61522B5B" w14:textId="7C084A9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Wobec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trafne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wywodzenie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tylko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budynku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powoływanie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140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k.c.</w:t>
      </w:r>
    </w:p>
    <w:p w14:paraId="285619A7" w14:textId="32929E2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kontekście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poruszanych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twierdzeń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wykładni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systemowej.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pozycję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kodeksie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przypadku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kolizji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powinien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pierwszeństwo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szczególnym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stosunku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ponieważ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pewnymi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warunkami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również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powinien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wykładany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zawężający.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0A22DC1C" w14:textId="55F1F8F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przypadku,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jeśli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bardziej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dopełniać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konkurować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nim.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7662D9BD" w14:textId="184BB29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Stanowisko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konkurencyjności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wprost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Naczelny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października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2022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sygn.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999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21: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Brak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spełnienia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niniejszej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przesłanek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przysługiwania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konsekwentnie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wyklucza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zastosowanie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znajduje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zastosowanie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tylko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wobec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osób,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przypisać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przysługiwanie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obowiązku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sposób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bowiem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odrębnej,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konkurencyjnej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wobec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definiującej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przymiot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pochodną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Omawiany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dotyczących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zbywalnych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dziedzicznych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śmierci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miejsce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wstępują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cytowanym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wprost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odwołał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pojęcia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definiuje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zdefiniowane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względu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interes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procedurze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Chodzi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więc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takie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istniejącej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normie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oddziaływanie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stąd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źródło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uzyskania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przysługuje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już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wejścia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życie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własność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przedmiotem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warszawskiego.</w:t>
      </w:r>
    </w:p>
    <w:p w14:paraId="49481102" w14:textId="48FBE8C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Ponadto,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następstwo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wynikające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zbywalnych.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Tymczasem,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ustawodawca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wyraźnie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dotychczasowemu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właścicielowi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które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dopiero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nastąpić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stosownym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rozstrzygnięciem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sfery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rozstrzygnięcia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wymienione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dekrecie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jeszcze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istnieją,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objęte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wydaniem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wspomnianego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rozstrzygnięcia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istnieje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ukształtowane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dopiero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właściwy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przyznał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uprawnionej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prawo.</w:t>
      </w:r>
    </w:p>
    <w:p w14:paraId="6CC1628D" w14:textId="773BDF5D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zawarte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notarialne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przeniesienia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legitymowały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(tj.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cywilnego)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ubiegania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użytkowania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wieczystego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Prezydenta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m.st.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(...)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lipca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skuteczną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podstawę,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rozumieniu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powołaną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umowach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nabywcy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roszczeń,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zatem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rażące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naruszenie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określających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gruntu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wyczerpuje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przesłankę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nieważności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</w:p>
    <w:p w14:paraId="51EE997B" w14:textId="619CB62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Reasumując,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beneficjenci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mieścili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żadnej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kategorii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wskazanych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dyspozycji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4982F101" w14:textId="7382800A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Mając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uwadze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było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uwzględnić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jakimkolwiek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zakresie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stanowiska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stron.</w:t>
      </w:r>
    </w:p>
    <w:p w14:paraId="3F648DBA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0F9DF4A9" w14:textId="77777777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Konkluzja</w:t>
      </w:r>
    </w:p>
    <w:p w14:paraId="39BFB3F0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0A66CF0A" w14:textId="3ACF1DF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powyższe,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3a)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156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k.p.a.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dekretu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związku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38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marca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orzeczono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wstępie.</w:t>
      </w:r>
      <w:r w:rsidR="006F26F1">
        <w:rPr>
          <w:rFonts w:ascii="Arial" w:eastAsia="Calibri" w:hAnsi="Arial" w:cs="Arial"/>
          <w:szCs w:val="24"/>
        </w:rPr>
        <w:t xml:space="preserve"> </w:t>
      </w:r>
    </w:p>
    <w:p w14:paraId="252165BC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0D48B27E" w14:textId="1FAF4BB1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Przewodniczący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Komisji</w:t>
      </w:r>
    </w:p>
    <w:p w14:paraId="38F45368" w14:textId="0A90BF97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t>Sebastian</w:t>
      </w:r>
      <w:r w:rsidR="006F26F1">
        <w:rPr>
          <w:rFonts w:ascii="Arial" w:eastAsia="Calibri" w:hAnsi="Arial" w:cs="Arial"/>
          <w:b/>
          <w:bCs/>
          <w:szCs w:val="24"/>
        </w:rPr>
        <w:t xml:space="preserve"> </w:t>
      </w:r>
      <w:r w:rsidRPr="007260E8">
        <w:rPr>
          <w:rFonts w:ascii="Arial" w:eastAsia="Calibri" w:hAnsi="Arial" w:cs="Arial"/>
          <w:b/>
          <w:bCs/>
          <w:szCs w:val="24"/>
        </w:rPr>
        <w:t>Kaleta</w:t>
      </w:r>
    </w:p>
    <w:p w14:paraId="10308923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109BAB7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5D4CBE65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8126D56" w14:textId="77777777" w:rsidR="00B77FA2" w:rsidRDefault="00B77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376E4C10" w14:textId="77777777" w:rsidR="00B77FA2" w:rsidRDefault="00B77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5A242E52" w14:textId="77777777" w:rsidR="00B77FA2" w:rsidRDefault="00B77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016012EB" w14:textId="77777777" w:rsidR="00B77FA2" w:rsidRDefault="00B77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05ADD5AB" w14:textId="77777777" w:rsidR="00B77FA2" w:rsidRDefault="00B77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5E3C0D78" w14:textId="77777777" w:rsidR="00B77FA2" w:rsidRDefault="00B77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116B6A72" w14:textId="77777777" w:rsidR="00B77FA2" w:rsidRDefault="00B77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70012D3E" w14:textId="77777777" w:rsidR="00B77FA2" w:rsidRDefault="00B77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2BE2034B" w14:textId="60DF4259" w:rsidR="00370FA2" w:rsidRPr="007260E8" w:rsidRDefault="00370FA2" w:rsidP="00BE496B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7260E8">
        <w:rPr>
          <w:rFonts w:ascii="Arial" w:eastAsia="Calibri" w:hAnsi="Arial" w:cs="Arial"/>
          <w:b/>
          <w:bCs/>
          <w:szCs w:val="24"/>
        </w:rPr>
        <w:lastRenderedPageBreak/>
        <w:t>Pouczenie:</w:t>
      </w:r>
    </w:p>
    <w:p w14:paraId="18A512D0" w14:textId="3F4638D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1.</w:t>
      </w:r>
      <w:r w:rsidRPr="00370FA2">
        <w:rPr>
          <w:rFonts w:ascii="Arial" w:eastAsia="Calibri" w:hAnsi="Arial" w:cs="Arial"/>
          <w:szCs w:val="24"/>
        </w:rPr>
        <w:tab/>
        <w:t>Niniejsza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ostateczna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kpa).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wnieść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skargę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Wojewódzkiego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Warszawie,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ul.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Jasna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ukośnik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00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myślnik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013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pośrednictwem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reprywatyzacji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nieruchomości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warszawskich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terminie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doręczenia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ppsa</w:t>
      </w:r>
      <w:proofErr w:type="spellEnd"/>
      <w:r w:rsidRPr="00370FA2">
        <w:rPr>
          <w:rFonts w:ascii="Arial" w:eastAsia="Calibri" w:hAnsi="Arial" w:cs="Arial"/>
          <w:szCs w:val="24"/>
        </w:rPr>
        <w:t>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ppsa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ppsa</w:t>
      </w:r>
      <w:proofErr w:type="spellEnd"/>
      <w:r w:rsidRPr="00370FA2">
        <w:rPr>
          <w:rFonts w:ascii="Arial" w:eastAsia="Calibri" w:hAnsi="Arial" w:cs="Arial"/>
          <w:szCs w:val="24"/>
        </w:rPr>
        <w:t>).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Skarga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czynić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zadość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wymogom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określonym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57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ppsa</w:t>
      </w:r>
      <w:proofErr w:type="spellEnd"/>
      <w:r w:rsidRPr="00370FA2">
        <w:rPr>
          <w:rFonts w:ascii="Arial" w:eastAsia="Calibri" w:hAnsi="Arial" w:cs="Arial"/>
          <w:szCs w:val="24"/>
        </w:rPr>
        <w:t>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skargi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należy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dołączyć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odpisy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odpisy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załączników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doręczenia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stronom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dla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tut.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organu),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ponadto,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złożono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załączników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oryginale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jednym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odpisie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każdego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załącznika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ppsa</w:t>
      </w:r>
      <w:proofErr w:type="spellEnd"/>
      <w:r w:rsidRPr="00370FA2">
        <w:rPr>
          <w:rFonts w:ascii="Arial" w:eastAsia="Calibri" w:hAnsi="Arial" w:cs="Arial"/>
          <w:szCs w:val="24"/>
        </w:rPr>
        <w:t>)</w:t>
      </w:r>
    </w:p>
    <w:p w14:paraId="0FCF82BE" w14:textId="4D382610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2.</w:t>
      </w:r>
      <w:r w:rsidRPr="00370FA2">
        <w:rPr>
          <w:rFonts w:ascii="Arial" w:eastAsia="Calibri" w:hAnsi="Arial" w:cs="Arial"/>
          <w:szCs w:val="24"/>
        </w:rPr>
        <w:tab/>
        <w:t>Wpis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skargi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charakter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stały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wynosi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200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(dwieście)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zł,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pkt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5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rozporządzenia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rady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Ministrów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16.12.2003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wysokości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szczegółowych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zasad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pobierania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wpisu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postepowaniu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przed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sądami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administracyjnymi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(Dz.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Nr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221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poz.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2193,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późn.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zm.).</w:t>
      </w:r>
    </w:p>
    <w:p w14:paraId="26D769F3" w14:textId="0D1619A1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3.</w:t>
      </w:r>
      <w:r w:rsidRPr="00370FA2">
        <w:rPr>
          <w:rFonts w:ascii="Arial" w:eastAsia="Calibri" w:hAnsi="Arial" w:cs="Arial"/>
          <w:szCs w:val="24"/>
        </w:rPr>
        <w:tab/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243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§1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ppsa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pomocy.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wolny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jest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opłat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sądowych.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przyznanie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powinien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zawierać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oświadczenie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obejmujące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dokładne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majątkowym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dochodach,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jeżeli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składa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osoba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fizyczna,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ponadto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dokładne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stanie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rodzinnym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oświadczenie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niezatrudnieniu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niepozostawaniu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stosunku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adwokatem,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radcą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prawnym,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doradcą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podatkowym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rzecznikiem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patentowym.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Wniosek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składa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urzędowym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formularzu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według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ustalonego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wzoru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(art.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252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ppsa</w:t>
      </w:r>
      <w:proofErr w:type="spellEnd"/>
      <w:r w:rsidRPr="00370FA2">
        <w:rPr>
          <w:rFonts w:ascii="Arial" w:eastAsia="Calibri" w:hAnsi="Arial" w:cs="Arial"/>
          <w:szCs w:val="24"/>
        </w:rPr>
        <w:t>).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Zgodnie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244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paragraf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ppsa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pomocy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obejmuje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zwolnienie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kosztów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sądowych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oraz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ustanowienie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adwokata,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radcy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prawnego,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doradcy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podatkowego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lub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rzecznika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patentowego.</w:t>
      </w:r>
    </w:p>
    <w:p w14:paraId="31084839" w14:textId="0073E188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4.</w:t>
      </w:r>
      <w:r w:rsidRPr="00370FA2">
        <w:rPr>
          <w:rFonts w:ascii="Arial" w:eastAsia="Calibri" w:hAnsi="Arial" w:cs="Arial"/>
          <w:szCs w:val="24"/>
        </w:rPr>
        <w:tab/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uwagi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to,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doręczenie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następuje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formie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ogłoszenia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podstawie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9.03.2017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zw.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49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§1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kpa,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informuje,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że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treścią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zapoznać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urzędzie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zapewniającym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obsługę</w:t>
      </w:r>
      <w:r w:rsidR="006F26F1">
        <w:rPr>
          <w:rFonts w:ascii="Arial" w:eastAsia="Calibri" w:hAnsi="Arial" w:cs="Arial"/>
          <w:szCs w:val="24"/>
        </w:rPr>
        <w:t xml:space="preserve"> </w:t>
      </w:r>
      <w:proofErr w:type="spellStart"/>
      <w:r w:rsidRPr="00370FA2">
        <w:rPr>
          <w:rFonts w:ascii="Arial" w:eastAsia="Calibri" w:hAnsi="Arial" w:cs="Arial"/>
          <w:szCs w:val="24"/>
        </w:rPr>
        <w:t>administracyjno</w:t>
      </w:r>
      <w:proofErr w:type="spellEnd"/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–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biurową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godzinach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pracy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tego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urzędu.</w:t>
      </w:r>
    </w:p>
    <w:p w14:paraId="25C78E59" w14:textId="5129DF13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70FA2">
        <w:rPr>
          <w:rFonts w:ascii="Arial" w:eastAsia="Calibri" w:hAnsi="Arial" w:cs="Arial"/>
          <w:szCs w:val="24"/>
        </w:rPr>
        <w:t>5.</w:t>
      </w:r>
      <w:r w:rsidRPr="00370FA2">
        <w:rPr>
          <w:rFonts w:ascii="Arial" w:eastAsia="Calibri" w:hAnsi="Arial" w:cs="Arial"/>
          <w:szCs w:val="24"/>
        </w:rPr>
        <w:tab/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myśl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zaś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art.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16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3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ustawy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9.03.2017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roku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strony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mogą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być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zawiadamiane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wszczęciu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postępowania,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decyzjach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innych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czynnościach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Komisji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poprzez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ogłoszenie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w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Biuletynie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Informacji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Publicznej,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na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stronie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podmiotowej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lastRenderedPageBreak/>
        <w:t>urzędu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obsługującego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Ministra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Sprawiedliwości.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Zawiadomienie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albo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doręczenie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uważa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się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za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dokonane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upływie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7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od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dnia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publicznego</w:t>
      </w:r>
      <w:r w:rsidR="006F26F1">
        <w:rPr>
          <w:rFonts w:ascii="Arial" w:eastAsia="Calibri" w:hAnsi="Arial" w:cs="Arial"/>
          <w:szCs w:val="24"/>
        </w:rPr>
        <w:t xml:space="preserve"> </w:t>
      </w:r>
      <w:r w:rsidRPr="00370FA2">
        <w:rPr>
          <w:rFonts w:ascii="Arial" w:eastAsia="Calibri" w:hAnsi="Arial" w:cs="Arial"/>
          <w:szCs w:val="24"/>
        </w:rPr>
        <w:t>ogłoszenia.</w:t>
      </w:r>
    </w:p>
    <w:p w14:paraId="73ACA56D" w14:textId="77777777" w:rsidR="00370FA2" w:rsidRPr="00370FA2" w:rsidRDefault="00370FA2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06A1C024" w14:textId="77777777" w:rsidR="006F52C0" w:rsidRDefault="006F52C0" w:rsidP="00BE496B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sectPr w:rsidR="006F52C0">
      <w:footerReference w:type="even" r:id="rId8"/>
      <w:footerReference w:type="default" r:id="rId9"/>
      <w:headerReference w:type="first" r:id="rId10"/>
      <w:pgSz w:w="11906" w:h="16838"/>
      <w:pgMar w:top="708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76F7" w14:textId="77777777" w:rsidR="005B1DB0" w:rsidRDefault="005B1DB0">
      <w:pPr>
        <w:spacing w:after="0" w:line="240" w:lineRule="auto"/>
      </w:pPr>
      <w:r>
        <w:separator/>
      </w:r>
    </w:p>
  </w:endnote>
  <w:endnote w:type="continuationSeparator" w:id="0">
    <w:p w14:paraId="3E819E7F" w14:textId="77777777" w:rsidR="005B1DB0" w:rsidRDefault="005B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DDEB" w14:textId="24DD5478" w:rsidR="00805711" w:rsidRDefault="00805711" w:rsidP="00747A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26D5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FF986F9" w14:textId="77777777" w:rsidR="00805711" w:rsidRDefault="00805711" w:rsidP="008057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D0D1" w14:textId="545F6373" w:rsidR="00805711" w:rsidRDefault="00805711" w:rsidP="00747A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7295B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E5E3936" w14:textId="1261F07F" w:rsidR="00961586" w:rsidRDefault="00961586" w:rsidP="00805711">
    <w:pPr>
      <w:pStyle w:val="Stopka"/>
      <w:ind w:right="360"/>
      <w:jc w:val="center"/>
      <w:rPr>
        <w:rFonts w:ascii="Times New Roman" w:hAnsi="Times New Roman" w:cs="Times New Roman"/>
        <w:sz w:val="24"/>
        <w:szCs w:val="24"/>
      </w:rPr>
    </w:pPr>
  </w:p>
  <w:p w14:paraId="2435CCA5" w14:textId="77777777" w:rsidR="00ED4E8F" w:rsidRDefault="00ED4E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E053" w14:textId="77777777" w:rsidR="005B1DB0" w:rsidRDefault="005B1DB0">
      <w:pPr>
        <w:spacing w:after="0" w:line="240" w:lineRule="auto"/>
      </w:pPr>
      <w:r>
        <w:separator/>
      </w:r>
    </w:p>
  </w:footnote>
  <w:footnote w:type="continuationSeparator" w:id="0">
    <w:p w14:paraId="2AA5C863" w14:textId="77777777" w:rsidR="005B1DB0" w:rsidRDefault="005B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FD20" w14:textId="327AF293" w:rsidR="00961586" w:rsidRDefault="00662E3A" w:rsidP="00726D51">
    <w:pPr>
      <w:pStyle w:val="Nagwek"/>
    </w:pPr>
    <w:r>
      <w:rPr>
        <w:noProof/>
        <w:lang w:eastAsia="pl-PL"/>
      </w:rPr>
      <w:drawing>
        <wp:inline distT="0" distB="0" distL="0" distR="0" wp14:anchorId="6604DD4F" wp14:editId="2896E456">
          <wp:extent cx="2591435" cy="623570"/>
          <wp:effectExtent l="0" t="0" r="0" b="5080"/>
          <wp:docPr id="1" name="Obraz 2" descr="W nagłówku, po lewej stronie,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W nagłówku, po lewej stronie,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9E4506A"/>
    <w:lvl w:ilvl="0">
      <w:numFmt w:val="bullet"/>
      <w:lvlText w:val="*"/>
      <w:lvlJc w:val="left"/>
    </w:lvl>
  </w:abstractNum>
  <w:abstractNum w:abstractNumId="1" w15:restartNumberingAfterBreak="0">
    <w:nsid w:val="1ED04C10"/>
    <w:multiLevelType w:val="singleLevel"/>
    <w:tmpl w:val="B3DED832"/>
    <w:lvl w:ilvl="0">
      <w:start w:val="3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7C2B05"/>
    <w:multiLevelType w:val="multilevel"/>
    <w:tmpl w:val="244CD9C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3" w15:restartNumberingAfterBreak="0">
    <w:nsid w:val="297C307F"/>
    <w:multiLevelType w:val="multilevel"/>
    <w:tmpl w:val="8EE6A3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DE4537"/>
    <w:multiLevelType w:val="multilevel"/>
    <w:tmpl w:val="1C0A18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5" w15:restartNumberingAfterBreak="0">
    <w:nsid w:val="34D57F47"/>
    <w:multiLevelType w:val="singleLevel"/>
    <w:tmpl w:val="5A2E03B2"/>
    <w:lvl w:ilvl="0">
      <w:start w:val="2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6CB0EF1"/>
    <w:multiLevelType w:val="multilevel"/>
    <w:tmpl w:val="ADD206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93C3D12"/>
    <w:multiLevelType w:val="multilevel"/>
    <w:tmpl w:val="89AC04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45277A"/>
    <w:multiLevelType w:val="hybridMultilevel"/>
    <w:tmpl w:val="D938FD40"/>
    <w:lvl w:ilvl="0" w:tplc="7F764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555EE"/>
    <w:multiLevelType w:val="singleLevel"/>
    <w:tmpl w:val="C35E723C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A5415A6"/>
    <w:multiLevelType w:val="multilevel"/>
    <w:tmpl w:val="DC4CE1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9235DB"/>
    <w:multiLevelType w:val="multilevel"/>
    <w:tmpl w:val="89AC04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4823240">
    <w:abstractNumId w:val="10"/>
  </w:num>
  <w:num w:numId="2" w16cid:durableId="99839289">
    <w:abstractNumId w:val="11"/>
  </w:num>
  <w:num w:numId="3" w16cid:durableId="853961619">
    <w:abstractNumId w:val="4"/>
  </w:num>
  <w:num w:numId="4" w16cid:durableId="1987389785">
    <w:abstractNumId w:val="2"/>
  </w:num>
  <w:num w:numId="5" w16cid:durableId="1411654037">
    <w:abstractNumId w:val="6"/>
  </w:num>
  <w:num w:numId="6" w16cid:durableId="154761654">
    <w:abstractNumId w:val="10"/>
    <w:lvlOverride w:ilvl="0">
      <w:startOverride w:val="1"/>
    </w:lvlOverride>
  </w:num>
  <w:num w:numId="7" w16cid:durableId="71584668">
    <w:abstractNumId w:val="7"/>
  </w:num>
  <w:num w:numId="8" w16cid:durableId="122960733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9" w16cid:durableId="1173572244">
    <w:abstractNumId w:val="9"/>
  </w:num>
  <w:num w:numId="10" w16cid:durableId="1266034109">
    <w:abstractNumId w:val="5"/>
  </w:num>
  <w:num w:numId="11" w16cid:durableId="1317611570">
    <w:abstractNumId w:val="1"/>
  </w:num>
  <w:num w:numId="12" w16cid:durableId="1957250678">
    <w:abstractNumId w:val="1"/>
    <w:lvlOverride w:ilvl="0">
      <w:lvl w:ilvl="0">
        <w:start w:val="5"/>
        <w:numFmt w:val="decimal"/>
        <w:lvlText w:val="1.%1.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13" w16cid:durableId="74908286">
    <w:abstractNumId w:val="1"/>
    <w:lvlOverride w:ilvl="0">
      <w:lvl w:ilvl="0">
        <w:start w:val="5"/>
        <w:numFmt w:val="decimal"/>
        <w:lvlText w:val="1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14" w16cid:durableId="1298143488">
    <w:abstractNumId w:val="3"/>
  </w:num>
  <w:num w:numId="15" w16cid:durableId="617880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86"/>
    <w:rsid w:val="000000BD"/>
    <w:rsid w:val="00001A5F"/>
    <w:rsid w:val="0000244F"/>
    <w:rsid w:val="00002CC9"/>
    <w:rsid w:val="000045F9"/>
    <w:rsid w:val="000128A3"/>
    <w:rsid w:val="00013182"/>
    <w:rsid w:val="00013CBA"/>
    <w:rsid w:val="00023ADB"/>
    <w:rsid w:val="00023B9A"/>
    <w:rsid w:val="000268DC"/>
    <w:rsid w:val="00027E08"/>
    <w:rsid w:val="00032291"/>
    <w:rsid w:val="0003586F"/>
    <w:rsid w:val="00036C9D"/>
    <w:rsid w:val="00043398"/>
    <w:rsid w:val="00053BF4"/>
    <w:rsid w:val="00065674"/>
    <w:rsid w:val="000662C8"/>
    <w:rsid w:val="00077BDD"/>
    <w:rsid w:val="00077DFD"/>
    <w:rsid w:val="0008231A"/>
    <w:rsid w:val="000933A1"/>
    <w:rsid w:val="000944DB"/>
    <w:rsid w:val="000961B4"/>
    <w:rsid w:val="000971D7"/>
    <w:rsid w:val="00097D6C"/>
    <w:rsid w:val="000A518F"/>
    <w:rsid w:val="000A6C5C"/>
    <w:rsid w:val="000A7A63"/>
    <w:rsid w:val="000B3745"/>
    <w:rsid w:val="000B6ECA"/>
    <w:rsid w:val="000B747C"/>
    <w:rsid w:val="000C0662"/>
    <w:rsid w:val="000C76A0"/>
    <w:rsid w:val="000D0361"/>
    <w:rsid w:val="000D03EE"/>
    <w:rsid w:val="000D5037"/>
    <w:rsid w:val="001063B5"/>
    <w:rsid w:val="001065E9"/>
    <w:rsid w:val="0010750A"/>
    <w:rsid w:val="001111D9"/>
    <w:rsid w:val="001125C4"/>
    <w:rsid w:val="00117B6B"/>
    <w:rsid w:val="00117B7A"/>
    <w:rsid w:val="001204F5"/>
    <w:rsid w:val="001258E3"/>
    <w:rsid w:val="00126BE8"/>
    <w:rsid w:val="00131B37"/>
    <w:rsid w:val="00136172"/>
    <w:rsid w:val="00136CE0"/>
    <w:rsid w:val="00143AC6"/>
    <w:rsid w:val="001452B5"/>
    <w:rsid w:val="001476C7"/>
    <w:rsid w:val="001523B9"/>
    <w:rsid w:val="00154434"/>
    <w:rsid w:val="001566D0"/>
    <w:rsid w:val="00156806"/>
    <w:rsid w:val="00176F81"/>
    <w:rsid w:val="00190E93"/>
    <w:rsid w:val="00191333"/>
    <w:rsid w:val="00194439"/>
    <w:rsid w:val="001A3EB1"/>
    <w:rsid w:val="001B3A60"/>
    <w:rsid w:val="001B418B"/>
    <w:rsid w:val="001C77A9"/>
    <w:rsid w:val="001E5B09"/>
    <w:rsid w:val="001E7DDA"/>
    <w:rsid w:val="001F0B53"/>
    <w:rsid w:val="001F0FBB"/>
    <w:rsid w:val="001F384F"/>
    <w:rsid w:val="0020452E"/>
    <w:rsid w:val="00207877"/>
    <w:rsid w:val="00207C8D"/>
    <w:rsid w:val="00212EC5"/>
    <w:rsid w:val="0022310A"/>
    <w:rsid w:val="00234436"/>
    <w:rsid w:val="002446A8"/>
    <w:rsid w:val="00250548"/>
    <w:rsid w:val="002514EA"/>
    <w:rsid w:val="00252A16"/>
    <w:rsid w:val="00256634"/>
    <w:rsid w:val="00261D93"/>
    <w:rsid w:val="00261DC9"/>
    <w:rsid w:val="0026339B"/>
    <w:rsid w:val="002712FE"/>
    <w:rsid w:val="00272050"/>
    <w:rsid w:val="00275506"/>
    <w:rsid w:val="00276E2C"/>
    <w:rsid w:val="00281D8C"/>
    <w:rsid w:val="00281E79"/>
    <w:rsid w:val="00287FC6"/>
    <w:rsid w:val="0029114E"/>
    <w:rsid w:val="002A240B"/>
    <w:rsid w:val="002A6FFD"/>
    <w:rsid w:val="002B3BC3"/>
    <w:rsid w:val="002C0290"/>
    <w:rsid w:val="002C6383"/>
    <w:rsid w:val="002D1574"/>
    <w:rsid w:val="002D4D4B"/>
    <w:rsid w:val="002E059F"/>
    <w:rsid w:val="002E22DE"/>
    <w:rsid w:val="002E44D5"/>
    <w:rsid w:val="002E5B28"/>
    <w:rsid w:val="002E5FBA"/>
    <w:rsid w:val="002F0E11"/>
    <w:rsid w:val="002F1C05"/>
    <w:rsid w:val="00302E0C"/>
    <w:rsid w:val="003031A1"/>
    <w:rsid w:val="00303968"/>
    <w:rsid w:val="00304A2D"/>
    <w:rsid w:val="00304D03"/>
    <w:rsid w:val="00304E3E"/>
    <w:rsid w:val="003116E8"/>
    <w:rsid w:val="00312E8D"/>
    <w:rsid w:val="00316794"/>
    <w:rsid w:val="00322075"/>
    <w:rsid w:val="003251C8"/>
    <w:rsid w:val="00325F8A"/>
    <w:rsid w:val="00340E8C"/>
    <w:rsid w:val="00351567"/>
    <w:rsid w:val="00352FBF"/>
    <w:rsid w:val="003600F7"/>
    <w:rsid w:val="003610CF"/>
    <w:rsid w:val="0036271A"/>
    <w:rsid w:val="003655CE"/>
    <w:rsid w:val="00370FA2"/>
    <w:rsid w:val="003747A1"/>
    <w:rsid w:val="0037539E"/>
    <w:rsid w:val="003826ED"/>
    <w:rsid w:val="003832E8"/>
    <w:rsid w:val="003847D8"/>
    <w:rsid w:val="003B531E"/>
    <w:rsid w:val="003B7EE6"/>
    <w:rsid w:val="003C1A94"/>
    <w:rsid w:val="003C3E0F"/>
    <w:rsid w:val="003D325E"/>
    <w:rsid w:val="003D532F"/>
    <w:rsid w:val="003D7DFE"/>
    <w:rsid w:val="003E3977"/>
    <w:rsid w:val="003E7E7E"/>
    <w:rsid w:val="003F19E2"/>
    <w:rsid w:val="003F5D5D"/>
    <w:rsid w:val="003F7945"/>
    <w:rsid w:val="004022DD"/>
    <w:rsid w:val="004024AE"/>
    <w:rsid w:val="00406812"/>
    <w:rsid w:val="00416081"/>
    <w:rsid w:val="00416FCA"/>
    <w:rsid w:val="00427387"/>
    <w:rsid w:val="004318D3"/>
    <w:rsid w:val="00432CC3"/>
    <w:rsid w:val="00441D22"/>
    <w:rsid w:val="0044661A"/>
    <w:rsid w:val="00446B2D"/>
    <w:rsid w:val="004479AB"/>
    <w:rsid w:val="004546DC"/>
    <w:rsid w:val="00461424"/>
    <w:rsid w:val="004634D7"/>
    <w:rsid w:val="00466F0D"/>
    <w:rsid w:val="00472788"/>
    <w:rsid w:val="00477075"/>
    <w:rsid w:val="00485954"/>
    <w:rsid w:val="00486CB0"/>
    <w:rsid w:val="00491868"/>
    <w:rsid w:val="00491ACF"/>
    <w:rsid w:val="0049248A"/>
    <w:rsid w:val="00494603"/>
    <w:rsid w:val="00496B58"/>
    <w:rsid w:val="00496C77"/>
    <w:rsid w:val="004A20E6"/>
    <w:rsid w:val="004A3D61"/>
    <w:rsid w:val="004A4ED3"/>
    <w:rsid w:val="004A65AC"/>
    <w:rsid w:val="004B2669"/>
    <w:rsid w:val="004B5309"/>
    <w:rsid w:val="004B5C20"/>
    <w:rsid w:val="004C1E67"/>
    <w:rsid w:val="004C367B"/>
    <w:rsid w:val="004C482F"/>
    <w:rsid w:val="004D009E"/>
    <w:rsid w:val="004D5A24"/>
    <w:rsid w:val="004D7F15"/>
    <w:rsid w:val="004E3057"/>
    <w:rsid w:val="004F212B"/>
    <w:rsid w:val="005016EA"/>
    <w:rsid w:val="00504237"/>
    <w:rsid w:val="00504E06"/>
    <w:rsid w:val="005176A9"/>
    <w:rsid w:val="00524279"/>
    <w:rsid w:val="005253C0"/>
    <w:rsid w:val="00527B89"/>
    <w:rsid w:val="00527D2E"/>
    <w:rsid w:val="005301BF"/>
    <w:rsid w:val="00541359"/>
    <w:rsid w:val="00542E81"/>
    <w:rsid w:val="00556BB2"/>
    <w:rsid w:val="00556BF1"/>
    <w:rsid w:val="00560B67"/>
    <w:rsid w:val="005610CA"/>
    <w:rsid w:val="0057181C"/>
    <w:rsid w:val="00575289"/>
    <w:rsid w:val="005759A5"/>
    <w:rsid w:val="00575E80"/>
    <w:rsid w:val="00585DE5"/>
    <w:rsid w:val="0058654F"/>
    <w:rsid w:val="00593890"/>
    <w:rsid w:val="00594F92"/>
    <w:rsid w:val="005A3FC1"/>
    <w:rsid w:val="005A5363"/>
    <w:rsid w:val="005A7209"/>
    <w:rsid w:val="005B1DB0"/>
    <w:rsid w:val="005B4AD5"/>
    <w:rsid w:val="005C1BBA"/>
    <w:rsid w:val="005C51A3"/>
    <w:rsid w:val="005D04B5"/>
    <w:rsid w:val="005D3CF0"/>
    <w:rsid w:val="005D46D3"/>
    <w:rsid w:val="005D55EF"/>
    <w:rsid w:val="005F23EE"/>
    <w:rsid w:val="005F360C"/>
    <w:rsid w:val="005F685A"/>
    <w:rsid w:val="005F7719"/>
    <w:rsid w:val="006006D8"/>
    <w:rsid w:val="00605FA5"/>
    <w:rsid w:val="0060622F"/>
    <w:rsid w:val="00607C1A"/>
    <w:rsid w:val="00616628"/>
    <w:rsid w:val="00616C8B"/>
    <w:rsid w:val="00616D13"/>
    <w:rsid w:val="00623321"/>
    <w:rsid w:val="006236F5"/>
    <w:rsid w:val="006263B6"/>
    <w:rsid w:val="00630536"/>
    <w:rsid w:val="00641C80"/>
    <w:rsid w:val="00644FD9"/>
    <w:rsid w:val="00647D48"/>
    <w:rsid w:val="00650A2D"/>
    <w:rsid w:val="00650B1A"/>
    <w:rsid w:val="00661A6F"/>
    <w:rsid w:val="00662E3A"/>
    <w:rsid w:val="00671428"/>
    <w:rsid w:val="0067295B"/>
    <w:rsid w:val="006731FE"/>
    <w:rsid w:val="00681364"/>
    <w:rsid w:val="00683C41"/>
    <w:rsid w:val="00686281"/>
    <w:rsid w:val="006950F6"/>
    <w:rsid w:val="006A07D8"/>
    <w:rsid w:val="006A1E75"/>
    <w:rsid w:val="006B24FF"/>
    <w:rsid w:val="006B43DC"/>
    <w:rsid w:val="006B6516"/>
    <w:rsid w:val="006B71A0"/>
    <w:rsid w:val="006C0960"/>
    <w:rsid w:val="006C20F6"/>
    <w:rsid w:val="006C2E6B"/>
    <w:rsid w:val="006C570A"/>
    <w:rsid w:val="006D0A22"/>
    <w:rsid w:val="006D73B8"/>
    <w:rsid w:val="006D74F8"/>
    <w:rsid w:val="006E2C2F"/>
    <w:rsid w:val="006E3C36"/>
    <w:rsid w:val="006E4859"/>
    <w:rsid w:val="006E5AF7"/>
    <w:rsid w:val="006E661D"/>
    <w:rsid w:val="006F125E"/>
    <w:rsid w:val="006F26F1"/>
    <w:rsid w:val="006F2E32"/>
    <w:rsid w:val="006F52C0"/>
    <w:rsid w:val="006F7392"/>
    <w:rsid w:val="006F7CEE"/>
    <w:rsid w:val="00706F0A"/>
    <w:rsid w:val="007200AD"/>
    <w:rsid w:val="00722287"/>
    <w:rsid w:val="00725A80"/>
    <w:rsid w:val="007260E8"/>
    <w:rsid w:val="00726D51"/>
    <w:rsid w:val="007329C9"/>
    <w:rsid w:val="007345FF"/>
    <w:rsid w:val="0073558F"/>
    <w:rsid w:val="007372F5"/>
    <w:rsid w:val="0074652B"/>
    <w:rsid w:val="00746C9C"/>
    <w:rsid w:val="007474B0"/>
    <w:rsid w:val="00747AA4"/>
    <w:rsid w:val="00752C29"/>
    <w:rsid w:val="00755058"/>
    <w:rsid w:val="00764C18"/>
    <w:rsid w:val="00767CC1"/>
    <w:rsid w:val="00770F17"/>
    <w:rsid w:val="00783E62"/>
    <w:rsid w:val="0078477D"/>
    <w:rsid w:val="00787970"/>
    <w:rsid w:val="007908D0"/>
    <w:rsid w:val="007934FC"/>
    <w:rsid w:val="007B1DBE"/>
    <w:rsid w:val="007B1F18"/>
    <w:rsid w:val="007B4ABA"/>
    <w:rsid w:val="007B528D"/>
    <w:rsid w:val="007B5E06"/>
    <w:rsid w:val="007C1BEC"/>
    <w:rsid w:val="007C24DF"/>
    <w:rsid w:val="007C43B1"/>
    <w:rsid w:val="007C7B60"/>
    <w:rsid w:val="007D7327"/>
    <w:rsid w:val="007E57CE"/>
    <w:rsid w:val="007F4842"/>
    <w:rsid w:val="0080167B"/>
    <w:rsid w:val="008049BD"/>
    <w:rsid w:val="00805711"/>
    <w:rsid w:val="00807376"/>
    <w:rsid w:val="008077D4"/>
    <w:rsid w:val="008174D0"/>
    <w:rsid w:val="00817DB4"/>
    <w:rsid w:val="00834033"/>
    <w:rsid w:val="00834C31"/>
    <w:rsid w:val="00837878"/>
    <w:rsid w:val="00843F0A"/>
    <w:rsid w:val="008479D2"/>
    <w:rsid w:val="00850806"/>
    <w:rsid w:val="00851294"/>
    <w:rsid w:val="00853000"/>
    <w:rsid w:val="008604DB"/>
    <w:rsid w:val="00865169"/>
    <w:rsid w:val="008666B4"/>
    <w:rsid w:val="008711FF"/>
    <w:rsid w:val="0087223D"/>
    <w:rsid w:val="00875247"/>
    <w:rsid w:val="00887E7E"/>
    <w:rsid w:val="008973A3"/>
    <w:rsid w:val="008A14EF"/>
    <w:rsid w:val="008A22F2"/>
    <w:rsid w:val="008A3DAB"/>
    <w:rsid w:val="008B0FCF"/>
    <w:rsid w:val="008B5C89"/>
    <w:rsid w:val="008C0AAE"/>
    <w:rsid w:val="008C1A2B"/>
    <w:rsid w:val="008C2E36"/>
    <w:rsid w:val="008C528D"/>
    <w:rsid w:val="008C620B"/>
    <w:rsid w:val="008C7980"/>
    <w:rsid w:val="008D43E0"/>
    <w:rsid w:val="008E3F32"/>
    <w:rsid w:val="008E4004"/>
    <w:rsid w:val="008F0A55"/>
    <w:rsid w:val="008F0DEE"/>
    <w:rsid w:val="008F245B"/>
    <w:rsid w:val="008F41EE"/>
    <w:rsid w:val="00904915"/>
    <w:rsid w:val="00905470"/>
    <w:rsid w:val="009056C1"/>
    <w:rsid w:val="00911F2E"/>
    <w:rsid w:val="00915677"/>
    <w:rsid w:val="009274B7"/>
    <w:rsid w:val="00930DF3"/>
    <w:rsid w:val="00933C9A"/>
    <w:rsid w:val="009360B3"/>
    <w:rsid w:val="00936257"/>
    <w:rsid w:val="00937751"/>
    <w:rsid w:val="009400EF"/>
    <w:rsid w:val="00942DC3"/>
    <w:rsid w:val="00946F1C"/>
    <w:rsid w:val="00954DA3"/>
    <w:rsid w:val="00961586"/>
    <w:rsid w:val="009710B1"/>
    <w:rsid w:val="00976579"/>
    <w:rsid w:val="009838AE"/>
    <w:rsid w:val="00991406"/>
    <w:rsid w:val="009923AB"/>
    <w:rsid w:val="00995487"/>
    <w:rsid w:val="009A0CC0"/>
    <w:rsid w:val="009A5B9A"/>
    <w:rsid w:val="009B388B"/>
    <w:rsid w:val="009B4964"/>
    <w:rsid w:val="009B548A"/>
    <w:rsid w:val="009C0884"/>
    <w:rsid w:val="009C3A0C"/>
    <w:rsid w:val="009D145E"/>
    <w:rsid w:val="009D1F11"/>
    <w:rsid w:val="009D6AD4"/>
    <w:rsid w:val="009D796A"/>
    <w:rsid w:val="009E1465"/>
    <w:rsid w:val="009E3656"/>
    <w:rsid w:val="009E4AD0"/>
    <w:rsid w:val="009E608D"/>
    <w:rsid w:val="009E71EB"/>
    <w:rsid w:val="009F08BE"/>
    <w:rsid w:val="009F3974"/>
    <w:rsid w:val="00A04D6B"/>
    <w:rsid w:val="00A1117B"/>
    <w:rsid w:val="00A156A2"/>
    <w:rsid w:val="00A20CEA"/>
    <w:rsid w:val="00A23F6C"/>
    <w:rsid w:val="00A263E6"/>
    <w:rsid w:val="00A35E1B"/>
    <w:rsid w:val="00A424B2"/>
    <w:rsid w:val="00A42D87"/>
    <w:rsid w:val="00A47F40"/>
    <w:rsid w:val="00A551EB"/>
    <w:rsid w:val="00A5614C"/>
    <w:rsid w:val="00A801AD"/>
    <w:rsid w:val="00A856C1"/>
    <w:rsid w:val="00A92961"/>
    <w:rsid w:val="00A948AF"/>
    <w:rsid w:val="00A95087"/>
    <w:rsid w:val="00AB113B"/>
    <w:rsid w:val="00AB22A8"/>
    <w:rsid w:val="00AB2768"/>
    <w:rsid w:val="00AB2E82"/>
    <w:rsid w:val="00AB44D8"/>
    <w:rsid w:val="00AB7881"/>
    <w:rsid w:val="00AC3F59"/>
    <w:rsid w:val="00AC6B31"/>
    <w:rsid w:val="00AD00E1"/>
    <w:rsid w:val="00AD42F7"/>
    <w:rsid w:val="00AE191C"/>
    <w:rsid w:val="00AF5EB8"/>
    <w:rsid w:val="00B0445A"/>
    <w:rsid w:val="00B16019"/>
    <w:rsid w:val="00B312BD"/>
    <w:rsid w:val="00B336E2"/>
    <w:rsid w:val="00B34549"/>
    <w:rsid w:val="00B44A17"/>
    <w:rsid w:val="00B46FA9"/>
    <w:rsid w:val="00B50504"/>
    <w:rsid w:val="00B5185B"/>
    <w:rsid w:val="00B552C9"/>
    <w:rsid w:val="00B564E3"/>
    <w:rsid w:val="00B62D4E"/>
    <w:rsid w:val="00B67A95"/>
    <w:rsid w:val="00B726B7"/>
    <w:rsid w:val="00B77FA2"/>
    <w:rsid w:val="00B82F3E"/>
    <w:rsid w:val="00B8412B"/>
    <w:rsid w:val="00B97FAF"/>
    <w:rsid w:val="00BB2D4F"/>
    <w:rsid w:val="00BB507D"/>
    <w:rsid w:val="00BC3992"/>
    <w:rsid w:val="00BC6B3F"/>
    <w:rsid w:val="00BD17D7"/>
    <w:rsid w:val="00BD256E"/>
    <w:rsid w:val="00BD7179"/>
    <w:rsid w:val="00BD7F87"/>
    <w:rsid w:val="00BE3EED"/>
    <w:rsid w:val="00BE496B"/>
    <w:rsid w:val="00BF07E7"/>
    <w:rsid w:val="00BF0AE7"/>
    <w:rsid w:val="00BF4FDB"/>
    <w:rsid w:val="00C10C9A"/>
    <w:rsid w:val="00C10D77"/>
    <w:rsid w:val="00C142BC"/>
    <w:rsid w:val="00C24813"/>
    <w:rsid w:val="00C34B2D"/>
    <w:rsid w:val="00C406E3"/>
    <w:rsid w:val="00C42FC1"/>
    <w:rsid w:val="00C645C4"/>
    <w:rsid w:val="00C7556A"/>
    <w:rsid w:val="00C82EA3"/>
    <w:rsid w:val="00C840DC"/>
    <w:rsid w:val="00C91447"/>
    <w:rsid w:val="00C94FB1"/>
    <w:rsid w:val="00CA319C"/>
    <w:rsid w:val="00CB181D"/>
    <w:rsid w:val="00CC3428"/>
    <w:rsid w:val="00CC400E"/>
    <w:rsid w:val="00CD0C17"/>
    <w:rsid w:val="00CD0E74"/>
    <w:rsid w:val="00CD0FF8"/>
    <w:rsid w:val="00CD279F"/>
    <w:rsid w:val="00CE1505"/>
    <w:rsid w:val="00CE71AE"/>
    <w:rsid w:val="00CF68C2"/>
    <w:rsid w:val="00D06A0E"/>
    <w:rsid w:val="00D12BAA"/>
    <w:rsid w:val="00D21554"/>
    <w:rsid w:val="00D255CD"/>
    <w:rsid w:val="00D41DC4"/>
    <w:rsid w:val="00D47EC4"/>
    <w:rsid w:val="00D5007D"/>
    <w:rsid w:val="00D51DF7"/>
    <w:rsid w:val="00D54F3D"/>
    <w:rsid w:val="00D576DE"/>
    <w:rsid w:val="00D61122"/>
    <w:rsid w:val="00D6477D"/>
    <w:rsid w:val="00D66539"/>
    <w:rsid w:val="00D708F3"/>
    <w:rsid w:val="00D94C80"/>
    <w:rsid w:val="00DA0759"/>
    <w:rsid w:val="00DA6146"/>
    <w:rsid w:val="00DB1E63"/>
    <w:rsid w:val="00DC43D2"/>
    <w:rsid w:val="00DC4AD4"/>
    <w:rsid w:val="00DD2637"/>
    <w:rsid w:val="00DD3283"/>
    <w:rsid w:val="00DE1618"/>
    <w:rsid w:val="00DE2AD2"/>
    <w:rsid w:val="00DE2F96"/>
    <w:rsid w:val="00DE445A"/>
    <w:rsid w:val="00DF09DD"/>
    <w:rsid w:val="00DF1087"/>
    <w:rsid w:val="00DF1DDD"/>
    <w:rsid w:val="00DF1E38"/>
    <w:rsid w:val="00DF32BA"/>
    <w:rsid w:val="00DF4DE6"/>
    <w:rsid w:val="00E00C67"/>
    <w:rsid w:val="00E02617"/>
    <w:rsid w:val="00E0528C"/>
    <w:rsid w:val="00E05D83"/>
    <w:rsid w:val="00E06C5B"/>
    <w:rsid w:val="00E13547"/>
    <w:rsid w:val="00E144ED"/>
    <w:rsid w:val="00E1559A"/>
    <w:rsid w:val="00E22939"/>
    <w:rsid w:val="00E243C1"/>
    <w:rsid w:val="00E266BA"/>
    <w:rsid w:val="00E304EF"/>
    <w:rsid w:val="00E33828"/>
    <w:rsid w:val="00E36E54"/>
    <w:rsid w:val="00E37C6D"/>
    <w:rsid w:val="00E5632D"/>
    <w:rsid w:val="00E57D93"/>
    <w:rsid w:val="00E60E63"/>
    <w:rsid w:val="00E728B4"/>
    <w:rsid w:val="00E76B7B"/>
    <w:rsid w:val="00E81402"/>
    <w:rsid w:val="00E81670"/>
    <w:rsid w:val="00E83047"/>
    <w:rsid w:val="00EA062E"/>
    <w:rsid w:val="00EA7DE9"/>
    <w:rsid w:val="00EB6DE0"/>
    <w:rsid w:val="00EC15E6"/>
    <w:rsid w:val="00ED2B83"/>
    <w:rsid w:val="00ED4616"/>
    <w:rsid w:val="00ED4E8F"/>
    <w:rsid w:val="00ED587D"/>
    <w:rsid w:val="00EE7353"/>
    <w:rsid w:val="00F07E96"/>
    <w:rsid w:val="00F1567A"/>
    <w:rsid w:val="00F16833"/>
    <w:rsid w:val="00F25D57"/>
    <w:rsid w:val="00F30300"/>
    <w:rsid w:val="00F314E1"/>
    <w:rsid w:val="00F3340E"/>
    <w:rsid w:val="00F404B5"/>
    <w:rsid w:val="00F45483"/>
    <w:rsid w:val="00F510D0"/>
    <w:rsid w:val="00F53BD7"/>
    <w:rsid w:val="00F54B5E"/>
    <w:rsid w:val="00F65B78"/>
    <w:rsid w:val="00F66AAB"/>
    <w:rsid w:val="00F8357A"/>
    <w:rsid w:val="00F83C45"/>
    <w:rsid w:val="00F83F74"/>
    <w:rsid w:val="00F90812"/>
    <w:rsid w:val="00F92820"/>
    <w:rsid w:val="00F92AD0"/>
    <w:rsid w:val="00F95101"/>
    <w:rsid w:val="00F956AD"/>
    <w:rsid w:val="00F975C1"/>
    <w:rsid w:val="00FA01C4"/>
    <w:rsid w:val="00FB019C"/>
    <w:rsid w:val="00FB23AA"/>
    <w:rsid w:val="00FC25C4"/>
    <w:rsid w:val="00FC61FE"/>
    <w:rsid w:val="00FC63AE"/>
    <w:rsid w:val="00FD06F1"/>
    <w:rsid w:val="00FD2C97"/>
    <w:rsid w:val="00FD40C9"/>
    <w:rsid w:val="00FD4FD5"/>
    <w:rsid w:val="00FD58D4"/>
    <w:rsid w:val="00FE394F"/>
    <w:rsid w:val="00FE479D"/>
    <w:rsid w:val="00FE5AED"/>
    <w:rsid w:val="00FF3EC5"/>
    <w:rsid w:val="00FF4B6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72D9C"/>
  <w15:docId w15:val="{73989690-F291-4FDC-A519-4841B9D0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E0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E7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67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67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B0A8F"/>
    <w:rPr>
      <w:rFonts w:ascii="Calibri" w:hAnsi="Calibri"/>
      <w:sz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0A8F"/>
    <w:rPr>
      <w:rFonts w:ascii="Calibri" w:hAnsi="Calibri"/>
      <w:sz w:val="22"/>
    </w:rPr>
  </w:style>
  <w:style w:type="character" w:customStyle="1" w:styleId="FontStyle22">
    <w:name w:val="Font Style22"/>
    <w:basedOn w:val="Domylnaczcionkaakapitu"/>
    <w:uiPriority w:val="99"/>
    <w:qFormat/>
    <w:rsid w:val="00C92FFE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AE14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E14C6"/>
    <w:rPr>
      <w:color w:val="605E5C"/>
      <w:shd w:val="clear" w:color="auto" w:fill="E1DFDD"/>
    </w:rPr>
  </w:style>
  <w:style w:type="character" w:customStyle="1" w:styleId="FontStyle11">
    <w:name w:val="Font Style11"/>
    <w:basedOn w:val="Domylnaczcionkaakapitu"/>
    <w:uiPriority w:val="99"/>
    <w:qFormat/>
    <w:rsid w:val="000C2FE8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E7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967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967A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8712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8712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87120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B0A8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B0A8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paragraph" w:styleId="NormalnyWeb">
    <w:name w:val="Normal (Web)"/>
    <w:basedOn w:val="Normalny"/>
    <w:uiPriority w:val="99"/>
    <w:semiHidden/>
    <w:unhideWhenUsed/>
    <w:qFormat/>
    <w:rsid w:val="00AE14C6"/>
    <w:rPr>
      <w:rFonts w:cs="Times New Roman"/>
      <w:szCs w:val="24"/>
    </w:rPr>
  </w:style>
  <w:style w:type="paragraph" w:styleId="Akapitzlist">
    <w:name w:val="List Paragraph"/>
    <w:basedOn w:val="Normalny"/>
    <w:uiPriority w:val="34"/>
    <w:qFormat/>
    <w:rsid w:val="003A7295"/>
    <w:pPr>
      <w:ind w:left="720"/>
      <w:contextualSpacing/>
    </w:pPr>
  </w:style>
  <w:style w:type="paragraph" w:customStyle="1" w:styleId="Style1">
    <w:name w:val="Style1"/>
    <w:basedOn w:val="Normalny"/>
    <w:uiPriority w:val="99"/>
    <w:qFormat/>
    <w:rsid w:val="000C2FE8"/>
    <w:pPr>
      <w:widowControl w:val="0"/>
      <w:spacing w:after="0" w:line="413" w:lineRule="exact"/>
      <w:ind w:firstLine="710"/>
      <w:jc w:val="both"/>
    </w:pPr>
    <w:rPr>
      <w:rFonts w:eastAsiaTheme="minorEastAsia" w:cs="Times New Roman"/>
      <w:szCs w:val="24"/>
      <w:lang w:eastAsia="pl-PL"/>
    </w:rPr>
  </w:style>
  <w:style w:type="paragraph" w:customStyle="1" w:styleId="Style2">
    <w:name w:val="Style2"/>
    <w:basedOn w:val="Normalny"/>
    <w:uiPriority w:val="99"/>
    <w:qFormat/>
    <w:rsid w:val="000C2FE8"/>
    <w:pPr>
      <w:widowControl w:val="0"/>
      <w:spacing w:after="0" w:line="413" w:lineRule="exact"/>
      <w:ind w:firstLine="706"/>
      <w:jc w:val="both"/>
    </w:pPr>
    <w:rPr>
      <w:rFonts w:eastAsiaTheme="minorEastAsia" w:cs="Times New Roman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871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87120"/>
    <w:rPr>
      <w:b/>
      <w:bCs/>
    </w:rPr>
  </w:style>
  <w:style w:type="paragraph" w:customStyle="1" w:styleId="Style4">
    <w:name w:val="Style4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15" w:lineRule="exact"/>
    </w:pPr>
    <w:rPr>
      <w:rFonts w:eastAsiaTheme="minorEastAsia" w:cs="Times New Roman"/>
      <w:szCs w:val="24"/>
      <w:lang w:eastAsia="pl-PL"/>
    </w:rPr>
  </w:style>
  <w:style w:type="paragraph" w:customStyle="1" w:styleId="Style6">
    <w:name w:val="Style6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14" w:lineRule="exact"/>
      <w:ind w:firstLine="427"/>
      <w:jc w:val="both"/>
    </w:pPr>
    <w:rPr>
      <w:rFonts w:eastAsiaTheme="minorEastAsia" w:cs="Times New Roman"/>
      <w:szCs w:val="24"/>
      <w:lang w:eastAsia="pl-PL"/>
    </w:rPr>
  </w:style>
  <w:style w:type="paragraph" w:customStyle="1" w:styleId="Style16">
    <w:name w:val="Style16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Times New Roman"/>
      <w:szCs w:val="24"/>
      <w:lang w:eastAsia="pl-PL"/>
    </w:rPr>
  </w:style>
  <w:style w:type="paragraph" w:customStyle="1" w:styleId="Style19">
    <w:name w:val="Style19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14" w:lineRule="exact"/>
      <w:jc w:val="both"/>
    </w:pPr>
    <w:rPr>
      <w:rFonts w:eastAsiaTheme="minorEastAsia" w:cs="Times New Roman"/>
      <w:szCs w:val="24"/>
      <w:lang w:eastAsia="pl-PL"/>
    </w:rPr>
  </w:style>
  <w:style w:type="paragraph" w:customStyle="1" w:styleId="Style28">
    <w:name w:val="Style28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727" w:lineRule="exact"/>
    </w:pPr>
    <w:rPr>
      <w:rFonts w:eastAsiaTheme="minorEastAsia" w:cs="Times New Roman"/>
      <w:szCs w:val="24"/>
      <w:lang w:eastAsia="pl-PL"/>
    </w:rPr>
  </w:style>
  <w:style w:type="paragraph" w:customStyle="1" w:styleId="Style29">
    <w:name w:val="Style29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18" w:lineRule="exact"/>
      <w:ind w:firstLine="425"/>
    </w:pPr>
    <w:rPr>
      <w:rFonts w:eastAsiaTheme="minorEastAsia" w:cs="Times New Roman"/>
      <w:szCs w:val="24"/>
      <w:lang w:eastAsia="pl-PL"/>
    </w:rPr>
  </w:style>
  <w:style w:type="character" w:customStyle="1" w:styleId="FontStyle35">
    <w:name w:val="Font Style35"/>
    <w:basedOn w:val="Domylnaczcionkaakapitu"/>
    <w:uiPriority w:val="99"/>
    <w:rsid w:val="00BC39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BC3992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BC39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Domylnaczcionkaakapitu"/>
    <w:uiPriority w:val="99"/>
    <w:rsid w:val="00BC3992"/>
    <w:rPr>
      <w:rFonts w:ascii="Franklin Gothic Medium Cond" w:hAnsi="Franklin Gothic Medium Cond" w:cs="Franklin Gothic Medium Cond"/>
      <w:b/>
      <w:bCs/>
      <w:i/>
      <w:iCs/>
      <w:sz w:val="22"/>
      <w:szCs w:val="22"/>
    </w:rPr>
  </w:style>
  <w:style w:type="character" w:styleId="Hipercze">
    <w:name w:val="Hyperlink"/>
    <w:basedOn w:val="Domylnaczcionkaakapitu"/>
    <w:uiPriority w:val="99"/>
    <w:rsid w:val="00BC3992"/>
    <w:rPr>
      <w:color w:val="0066CC"/>
      <w:u w:val="single"/>
    </w:rPr>
  </w:style>
  <w:style w:type="paragraph" w:customStyle="1" w:styleId="Style30">
    <w:name w:val="Style30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82" w:lineRule="exact"/>
      <w:ind w:firstLine="418"/>
      <w:jc w:val="both"/>
    </w:pPr>
    <w:rPr>
      <w:rFonts w:eastAsiaTheme="minorEastAsia" w:cs="Times New Roman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05711"/>
  </w:style>
  <w:style w:type="paragraph" w:styleId="Tekstdymka">
    <w:name w:val="Balloon Text"/>
    <w:basedOn w:val="Normalny"/>
    <w:link w:val="TekstdymkaZnak"/>
    <w:uiPriority w:val="99"/>
    <w:semiHidden/>
    <w:unhideWhenUsed/>
    <w:rsid w:val="00D6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48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53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34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77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377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3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12657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1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6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6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4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8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5A33-4B9F-40F1-9DAD-434200F9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32</Pages>
  <Words>10563</Words>
  <Characters>63384</Characters>
  <Application>Microsoft Office Word</Application>
  <DocSecurity>0</DocSecurity>
  <Lines>528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w sprawie KR III R 96/22– ul. Puławska 31  – wersja cyfrowa [ogłoszono w BIP .11.2022 r.]</vt:lpstr>
    </vt:vector>
  </TitlesOfParts>
  <Company>MS</Company>
  <LinksUpToDate>false</LinksUpToDate>
  <CharactersWithSpaces>73800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w sprawie KR III R 96/22– ul. Puławska 31  – wersja cyfrowa [ogłoszono w BIP 20.02.2023 r.]</dc:title>
  <dc:creator>Haintze Tomasz  (DPA)</dc:creator>
  <cp:lastModifiedBy>Nowak Damian  (DPA)</cp:lastModifiedBy>
  <cp:revision>16</cp:revision>
  <cp:lastPrinted>2022-05-31T08:33:00Z</cp:lastPrinted>
  <dcterms:created xsi:type="dcterms:W3CDTF">2023-02-17T13:42:00Z</dcterms:created>
  <dcterms:modified xsi:type="dcterms:W3CDTF">2023-02-20T09:15:00Z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