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63B" w:rsidRPr="006F163B" w:rsidRDefault="006F163B" w:rsidP="006F163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F16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2a</w:t>
      </w:r>
    </w:p>
    <w:p w:rsidR="006F163B" w:rsidRPr="006F163B" w:rsidRDefault="006F163B" w:rsidP="006F163B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F16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„Programu o</w:t>
      </w:r>
      <w:r w:rsidRPr="006F16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pieki nad rodzinami wysokiego, dziedzicznie uwarunkowanego ryzyka zachorowania na nowotwory złośliwe – Moduł III – Profilaktyka oraz wczesne wykrywanie nowotworów złośliwych w rodzinach z rzadkimi zespołami dziedzicznej predyspozycji do nowotworów - siatkówczak, choroba von </w:t>
      </w:r>
      <w:proofErr w:type="spellStart"/>
      <w:r w:rsidRPr="006F16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Hippel</w:t>
      </w:r>
      <w:proofErr w:type="spellEnd"/>
      <w:r w:rsidRPr="006F16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</w:t>
      </w:r>
      <w:proofErr w:type="spellStart"/>
      <w:r w:rsidRPr="006F16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Lindau</w:t>
      </w:r>
      <w:proofErr w:type="spellEnd"/>
      <w:r w:rsidRPr="006F16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(VHL),” na lata 2018-2021.</w:t>
      </w:r>
    </w:p>
    <w:p w:rsidR="006F163B" w:rsidRPr="006F163B" w:rsidRDefault="006F163B" w:rsidP="006F163B">
      <w:pPr>
        <w:spacing w:after="0" w:line="36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u w:val="single"/>
          <w:lang w:eastAsia="zh-CN"/>
        </w:rPr>
      </w:pPr>
      <w:r w:rsidRPr="006F163B">
        <w:rPr>
          <w:rFonts w:ascii="Times New Roman" w:eastAsia="SimSun" w:hAnsi="Times New Roman" w:cs="Times New Roman"/>
          <w:b/>
          <w:sz w:val="24"/>
          <w:szCs w:val="24"/>
          <w:u w:val="single"/>
          <w:lang w:eastAsia="zh-CN"/>
        </w:rPr>
        <w:t>Siatkówczak (Rb)</w:t>
      </w:r>
    </w:p>
    <w:p w:rsidR="006F163B" w:rsidRPr="006F163B" w:rsidRDefault="006F163B" w:rsidP="006F163B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F163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Celem zadania</w:t>
      </w:r>
      <w:r w:rsidRPr="006F163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jest zidentyfikowanie możliwie największej liczby rodzin wysokiego ryzyka zachorowania na siatkówczaka oraz objęcie ich specjalistyczną opieką ukierunkowaną na aktywną prewencję </w:t>
      </w:r>
      <w:proofErr w:type="spellStart"/>
      <w:r w:rsidRPr="006F163B">
        <w:rPr>
          <w:rFonts w:ascii="Times New Roman" w:eastAsia="SimSun" w:hAnsi="Times New Roman" w:cs="Times New Roman"/>
          <w:sz w:val="24"/>
          <w:szCs w:val="24"/>
          <w:lang w:eastAsia="zh-CN"/>
        </w:rPr>
        <w:t>zachorowań</w:t>
      </w:r>
      <w:proofErr w:type="spellEnd"/>
      <w:r w:rsidRPr="006F163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na ten nowotwór.</w:t>
      </w:r>
    </w:p>
    <w:p w:rsidR="006F163B" w:rsidRPr="006F163B" w:rsidRDefault="006F163B" w:rsidP="006F163B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F163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Siatkówczak jest najczęstszym nowotworem wewnątrzgałkowym u dzieci pojawia się z częstością 1: 25 000 żywych urodzeń. W większość przypadków rozpoznawany jest przed 5 r.ż. 40% przypadków </w:t>
      </w:r>
      <w:proofErr w:type="spellStart"/>
      <w:r w:rsidRPr="006F163B">
        <w:rPr>
          <w:rFonts w:ascii="Times New Roman" w:eastAsia="SimSun" w:hAnsi="Times New Roman" w:cs="Times New Roman"/>
          <w:sz w:val="24"/>
          <w:szCs w:val="24"/>
          <w:lang w:eastAsia="zh-CN"/>
        </w:rPr>
        <w:t>zachorowań</w:t>
      </w:r>
      <w:proofErr w:type="spellEnd"/>
      <w:r w:rsidRPr="006F163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na siatkówczaka jest wywołana obecnością wrodzonej mutacji konstytucyjnej genu RB1 (OMIM: 180200). Mutacja RB1 odziedziczona jest od jednego z rodziców (10-15% przypadków siatkówczaka) lub powstaje </w:t>
      </w:r>
      <w:r w:rsidRPr="006F163B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 xml:space="preserve">de </w:t>
      </w:r>
      <w:proofErr w:type="spellStart"/>
      <w:r w:rsidRPr="006F163B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>novo</w:t>
      </w:r>
      <w:proofErr w:type="spellEnd"/>
      <w:r w:rsidRPr="006F163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(25-30% przypadków). Penetracja mutacji genu RB1 wynosi aż 90% do 5 r.ż. Praktycznie wszystkie siatkówczaki obustronne oraz 20% siatkówczaków jednostronnych uwarunkowane są obecnością mutacji konstytucyjnej RB1. Nowotwory u nosicieli mutacji genu RB1 często są charakteryzują się wcześniejszym wystąpieniem guza, </w:t>
      </w:r>
      <w:proofErr w:type="spellStart"/>
      <w:r w:rsidRPr="006F163B">
        <w:rPr>
          <w:rFonts w:ascii="Times New Roman" w:eastAsia="SimSun" w:hAnsi="Times New Roman" w:cs="Times New Roman"/>
          <w:sz w:val="24"/>
          <w:szCs w:val="24"/>
          <w:lang w:eastAsia="zh-CN"/>
        </w:rPr>
        <w:t>wieloogniskowością</w:t>
      </w:r>
      <w:proofErr w:type="spellEnd"/>
      <w:r w:rsidRPr="006F163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i obustronnością. Wykrycie mutacji genu RB1 umożliwia wprowadzenie skutecznego schematu postępowania profilaktycznego oraz wczesnego rozpoznania i leczenia nowotworu, często z zachowaniem gałki ocznej.</w:t>
      </w:r>
    </w:p>
    <w:p w:rsidR="006F163B" w:rsidRPr="006F163B" w:rsidRDefault="006F163B" w:rsidP="006F163B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F163B">
        <w:rPr>
          <w:rFonts w:ascii="Times New Roman" w:eastAsia="SimSun" w:hAnsi="Times New Roman" w:cs="Times New Roman"/>
          <w:sz w:val="24"/>
          <w:szCs w:val="24"/>
          <w:lang w:eastAsia="zh-CN"/>
        </w:rPr>
        <w:t>Celem jest:</w:t>
      </w:r>
    </w:p>
    <w:p w:rsidR="006F163B" w:rsidRPr="006F163B" w:rsidRDefault="006F163B" w:rsidP="006F163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F163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Zidentyfikowanie nowych pacjentów z wysokim genetycznym ryzykiem siatkówczaka poprzez badanie molekularne genu </w:t>
      </w:r>
      <w:r w:rsidRPr="006F163B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RB1</w:t>
      </w:r>
      <w:r w:rsidRPr="006F163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(sekwencjonowanie i MLPA) rodzin, w których występuje ten nowotwór.</w:t>
      </w:r>
    </w:p>
    <w:p w:rsidR="006F163B" w:rsidRPr="006F163B" w:rsidRDefault="006F163B" w:rsidP="006F163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F163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Wykonanie badania nosicielstwa mutacji genu </w:t>
      </w:r>
      <w:r w:rsidRPr="006F163B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>RB1</w:t>
      </w:r>
      <w:r w:rsidRPr="006F163B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 w rodzinach z rozpoznaną mutacją markerową tego genu</w:t>
      </w:r>
      <w:r w:rsidRPr="006F163B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6F163B" w:rsidRPr="006F163B" w:rsidRDefault="006F163B" w:rsidP="006F163B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F163B">
        <w:rPr>
          <w:rFonts w:ascii="Times New Roman" w:eastAsia="SimSun" w:hAnsi="Times New Roman" w:cs="Times New Roman"/>
          <w:sz w:val="24"/>
          <w:szCs w:val="24"/>
          <w:lang w:eastAsia="zh-CN"/>
        </w:rPr>
        <w:t>W ramach programu finansowane są:</w:t>
      </w:r>
    </w:p>
    <w:p w:rsidR="006F163B" w:rsidRPr="006F163B" w:rsidRDefault="006F163B" w:rsidP="006F163B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F163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Wprowadzenie do rejestru - zidentyfikowanie rodzin z siatkówczakiem, pełny opis obciążenia rodzinnego oraz zebranie dodatkowej dokumentacji, koordynacja działań (w tym koszt pracy lekarza i personelu pomocniczego). </w:t>
      </w:r>
    </w:p>
    <w:p w:rsidR="006F163B" w:rsidRPr="006F163B" w:rsidRDefault="006F163B" w:rsidP="006F163B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F163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Koszt badania nosicielstwa mutacji genu </w:t>
      </w:r>
      <w:r w:rsidRPr="006F163B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RB1</w:t>
      </w:r>
      <w:r w:rsidRPr="006F163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u osób spełniających kryteria kwalifikacji do badania. </w:t>
      </w:r>
    </w:p>
    <w:p w:rsidR="006F163B" w:rsidRPr="006F163B" w:rsidRDefault="006F163B" w:rsidP="006F163B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F163B">
        <w:rPr>
          <w:rFonts w:ascii="Times New Roman" w:eastAsia="SimSun" w:hAnsi="Times New Roman" w:cs="Times New Roman"/>
          <w:sz w:val="24"/>
          <w:szCs w:val="24"/>
          <w:lang w:eastAsia="zh-CN"/>
        </w:rPr>
        <w:t>Wizyta lekarska z wydaniem wyniku konsultacji genetycznej oraz edukacją pacjenta.</w:t>
      </w:r>
    </w:p>
    <w:p w:rsidR="006F163B" w:rsidRPr="006F163B" w:rsidRDefault="006F163B" w:rsidP="006F163B">
      <w:p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6F16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lastRenderedPageBreak/>
        <w:t xml:space="preserve">Choroba von </w:t>
      </w:r>
      <w:proofErr w:type="spellStart"/>
      <w:r w:rsidRPr="006F16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Hippel-Lindau</w:t>
      </w:r>
      <w:proofErr w:type="spellEnd"/>
      <w:r w:rsidRPr="006F16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(VHL)</w:t>
      </w:r>
    </w:p>
    <w:p w:rsidR="006F163B" w:rsidRPr="006F163B" w:rsidRDefault="006F163B" w:rsidP="006F163B">
      <w:pPr>
        <w:spacing w:before="120" w:after="12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6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Celem zadania</w:t>
      </w:r>
      <w:r w:rsidRPr="006F16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zidentyfikowanie możliwie największej liczby rodzin wysokiego ryzyka zachorowania na chorobę von </w:t>
      </w:r>
      <w:proofErr w:type="spellStart"/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>Hippel-Lindau</w:t>
      </w:r>
      <w:proofErr w:type="spellEnd"/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(VHL) oraz objęcie ich specjalistyczną opieką ukierunkowaną na aktywną prewencję </w:t>
      </w:r>
      <w:proofErr w:type="spellStart"/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>zachorowań</w:t>
      </w:r>
      <w:proofErr w:type="spellEnd"/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ten nowotwór.</w:t>
      </w:r>
    </w:p>
    <w:p w:rsidR="006F163B" w:rsidRPr="006F163B" w:rsidRDefault="006F163B" w:rsidP="006F163B">
      <w:p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Choroba von </w:t>
      </w:r>
      <w:proofErr w:type="spellStart"/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>Hippel-Lindau</w:t>
      </w:r>
      <w:proofErr w:type="spellEnd"/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(VHL) jest zespołem wysokiej genetycznej predyspozycji do nowotworów wykazującym rodowodowe cechy dziedziczenia autosomalnego dominującego (</w:t>
      </w:r>
      <w:r w:rsidRPr="006F16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OMIM</w:t>
      </w:r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193300). Schorzenie jest wywołane mutacjami </w:t>
      </w:r>
      <w:proofErr w:type="spellStart"/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>germinalnymi</w:t>
      </w:r>
      <w:proofErr w:type="spellEnd"/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genu VHL. Nosiciele mutacji genu VHL obarczeni są wysokim ryzykiem występowania różnych nowotworów. Penetracja mutacji genu VHL wynosi około 99% do 60 roku życia. Do istotnych z klinicznego punktu widzenia oraz charakterystycznych dla schorzenia zmian narządowych zaliczamy: naczyniaki zarodkowe (</w:t>
      </w:r>
      <w:proofErr w:type="spellStart"/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>hemangioblastoma</w:t>
      </w:r>
      <w:proofErr w:type="spellEnd"/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móżdżku i rdzenia kręgowego (OUN-HB), naczyniaki zarodkowe siatkówki (R-HB), raka </w:t>
      </w:r>
      <w:proofErr w:type="spellStart"/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>jasnokomórkowego</w:t>
      </w:r>
      <w:proofErr w:type="spellEnd"/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nerki (CC-RCC), guzy chromochłonne nadnerczy (</w:t>
      </w:r>
      <w:proofErr w:type="spellStart"/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>pheochromocytoma</w:t>
      </w:r>
      <w:proofErr w:type="spellEnd"/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guzy neuroendokrynne (PNET) oraz guzy worka </w:t>
      </w:r>
      <w:proofErr w:type="spellStart"/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>endolimfatycznego</w:t>
      </w:r>
      <w:proofErr w:type="spellEnd"/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(ELST). Zmiany takie jak torbiele i </w:t>
      </w:r>
      <w:proofErr w:type="spellStart"/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>torbielakogruczolaki</w:t>
      </w:r>
      <w:proofErr w:type="spellEnd"/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>cystadenoma</w:t>
      </w:r>
      <w:proofErr w:type="spellEnd"/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nerek, trzustki, najądrza i więzadła szerokiego macicy, również często występują w przebiegu VHL, lecz zwykle są bezobjawowe i nie stanowią znaczącego problemu klinicznego. Nowotwory u pacjentów z chorobą VHL, rozwijają się </w:t>
      </w:r>
      <w:proofErr w:type="spellStart"/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>wieloogniskowo</w:t>
      </w:r>
      <w:proofErr w:type="spellEnd"/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obustronnie oraz w młodym wieku. Rozpoznanie choroby VHL stawia się w oparciu o kryteria rodowodowo-kliniczne i/lub analizę nosicielstwa mutacji genu VHL. Opieka nad rodzinami z VHL polega na zastosowaniu programu badań profilaktyczno-diagnostycznych u osób z grupy ryzyka, który ma na celu wczesne wykrywanie i leczenie zmian nowotworowych. Przypadki ze zmianami narządowymi charakterystycznymi dla VHL powinny być poddane konsultacji genetycznej. </w:t>
      </w:r>
    </w:p>
    <w:p w:rsidR="006F163B" w:rsidRPr="006F163B" w:rsidRDefault="006F163B" w:rsidP="006F163B">
      <w:p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 rozpoznania:</w:t>
      </w:r>
    </w:p>
    <w:p w:rsidR="006F163B" w:rsidRPr="006F163B" w:rsidRDefault="006F163B" w:rsidP="006F163B">
      <w:pPr>
        <w:numPr>
          <w:ilvl w:val="0"/>
          <w:numId w:val="5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członka rodziny obciążonej chorobą VHL: występowanie co najmniej jednej ze zmian typu: </w:t>
      </w:r>
      <w:proofErr w:type="spellStart"/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>heamangioblastoma</w:t>
      </w:r>
      <w:proofErr w:type="spellEnd"/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siatkówki lub ośrodkowego układu nerwowego, </w:t>
      </w:r>
      <w:proofErr w:type="spellStart"/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>pheochromocytoma</w:t>
      </w:r>
      <w:proofErr w:type="spellEnd"/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>, mnogie torbiele nerek lub trzustki, brodawczak najądrza, rak nerki,</w:t>
      </w:r>
    </w:p>
    <w:p w:rsidR="006F163B" w:rsidRPr="006F163B" w:rsidRDefault="006F163B" w:rsidP="006F163B">
      <w:pPr>
        <w:numPr>
          <w:ilvl w:val="0"/>
          <w:numId w:val="5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osoby z negatywnym wywiadem rodzinnym odnośnie VHL: stwierdzenie 2 lub więcej zmian charakterystycznych dla VHL (co najmniej dwa guzy typu </w:t>
      </w:r>
      <w:proofErr w:type="spellStart"/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>heamangioblastoma</w:t>
      </w:r>
      <w:proofErr w:type="spellEnd"/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siatkówki i/lub ośrodkowego układu nerwowego, lub pojedynczy </w:t>
      </w:r>
      <w:proofErr w:type="spellStart"/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>haemangioblastoma</w:t>
      </w:r>
      <w:proofErr w:type="spellEnd"/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połączeniu ze zmianą trzewną charakterystyczną dla VHL,</w:t>
      </w:r>
    </w:p>
    <w:p w:rsidR="006F163B" w:rsidRPr="006F163B" w:rsidRDefault="006F163B" w:rsidP="006F163B">
      <w:pPr>
        <w:numPr>
          <w:ilvl w:val="0"/>
          <w:numId w:val="5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stwierdzenie mutacji genu VHL (przez sekwencjonowanie oraz MLPA).</w:t>
      </w:r>
    </w:p>
    <w:p w:rsidR="006F163B" w:rsidRPr="006F163B" w:rsidRDefault="006F163B" w:rsidP="006F163B">
      <w:p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programu planowane jest:</w:t>
      </w:r>
    </w:p>
    <w:p w:rsidR="006F163B" w:rsidRPr="006F163B" w:rsidRDefault="006F163B" w:rsidP="006F163B">
      <w:pPr>
        <w:numPr>
          <w:ilvl w:val="0"/>
          <w:numId w:val="6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>Zidentyfikowanie pacjenta z chorobą VHL, pełny opis obciążenia rodzinnego oraz zebranie dodatkowej dokumentacji, wprowadzenie do rejestru;</w:t>
      </w:r>
    </w:p>
    <w:p w:rsidR="006F163B" w:rsidRPr="006F163B" w:rsidRDefault="006F163B" w:rsidP="006F163B">
      <w:pPr>
        <w:numPr>
          <w:ilvl w:val="0"/>
          <w:numId w:val="6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badania nosicielstwa mutacji genu VHL u osób spełniających kryteria kwalifikacji do badania;</w:t>
      </w:r>
    </w:p>
    <w:p w:rsidR="006F163B" w:rsidRPr="006F163B" w:rsidRDefault="006F163B" w:rsidP="006F163B">
      <w:pPr>
        <w:numPr>
          <w:ilvl w:val="0"/>
          <w:numId w:val="6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opieki nad pacjentem:</w:t>
      </w:r>
    </w:p>
    <w:p w:rsidR="006F163B" w:rsidRPr="006F163B" w:rsidRDefault="006F163B" w:rsidP="006F163B">
      <w:pPr>
        <w:numPr>
          <w:ilvl w:val="1"/>
          <w:numId w:val="8"/>
        </w:numPr>
        <w:tabs>
          <w:tab w:val="num" w:pos="709"/>
        </w:tabs>
        <w:spacing w:after="0" w:line="360" w:lineRule="atLeast"/>
        <w:ind w:left="709" w:right="-108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coroczna konsultacja przez lekarza;</w:t>
      </w:r>
    </w:p>
    <w:p w:rsidR="006F163B" w:rsidRPr="006F163B" w:rsidRDefault="006F163B" w:rsidP="006F163B">
      <w:pPr>
        <w:numPr>
          <w:ilvl w:val="1"/>
          <w:numId w:val="8"/>
        </w:numPr>
        <w:tabs>
          <w:tab w:val="num" w:pos="709"/>
        </w:tabs>
        <w:spacing w:after="0" w:line="360" w:lineRule="atLeast"/>
        <w:ind w:left="709" w:right="-108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>MRI głowy i rdzenia kręgowego od 11 roku życia (co 1 do 3 lat w zależności od zmian obecności OUN);</w:t>
      </w:r>
    </w:p>
    <w:p w:rsidR="006F163B" w:rsidRPr="006F163B" w:rsidRDefault="006F163B" w:rsidP="006F163B">
      <w:pPr>
        <w:numPr>
          <w:ilvl w:val="1"/>
          <w:numId w:val="8"/>
        </w:numPr>
        <w:tabs>
          <w:tab w:val="num" w:pos="709"/>
        </w:tabs>
        <w:spacing w:after="0" w:line="360" w:lineRule="atLeast"/>
        <w:ind w:left="709" w:right="-108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>USG jamy brzusznej (corocznie);</w:t>
      </w:r>
    </w:p>
    <w:p w:rsidR="006F163B" w:rsidRPr="006F163B" w:rsidRDefault="006F163B" w:rsidP="006F163B">
      <w:pPr>
        <w:numPr>
          <w:ilvl w:val="1"/>
          <w:numId w:val="8"/>
        </w:numPr>
        <w:tabs>
          <w:tab w:val="num" w:pos="709"/>
        </w:tabs>
        <w:spacing w:after="0" w:line="360" w:lineRule="atLeast"/>
        <w:ind w:left="709" w:right="-108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>TK (lub MRI) jamy brzusznej (co 2-3 lata);</w:t>
      </w:r>
    </w:p>
    <w:p w:rsidR="006F163B" w:rsidRPr="006F163B" w:rsidRDefault="006F163B" w:rsidP="006F163B">
      <w:pPr>
        <w:numPr>
          <w:ilvl w:val="1"/>
          <w:numId w:val="8"/>
        </w:numPr>
        <w:tabs>
          <w:tab w:val="num" w:pos="709"/>
        </w:tabs>
        <w:spacing w:after="0" w:line="360" w:lineRule="atLeast"/>
        <w:ind w:left="709" w:right="-108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>konsultacja okulistyczna od 1 roku życia; badanie dna oka w lustrze Goldmana od 6 roku życia.</w:t>
      </w:r>
    </w:p>
    <w:p w:rsidR="006F163B" w:rsidRPr="006F163B" w:rsidRDefault="006F163B" w:rsidP="006F163B">
      <w:p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programu finansowane są:</w:t>
      </w:r>
    </w:p>
    <w:p w:rsidR="006F163B" w:rsidRPr="006F163B" w:rsidRDefault="006F163B" w:rsidP="006F163B">
      <w:pPr>
        <w:numPr>
          <w:ilvl w:val="0"/>
          <w:numId w:val="7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Wprowadzenie do rejestru - zidentyfikowanie pacjenta spełniającego kryteria kwalifikacji do VHL, opis obciążenia rodzinnego oraz zebranie dodatkowej dokumentacji, koordynacja działań (w tym koszt pracy lekarza i personelu pomocniczego).</w:t>
      </w:r>
    </w:p>
    <w:p w:rsidR="006F163B" w:rsidRPr="006F163B" w:rsidRDefault="006F163B" w:rsidP="006F163B">
      <w:pPr>
        <w:numPr>
          <w:ilvl w:val="0"/>
          <w:numId w:val="7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 badania nosicielstwa mutacji genu </w:t>
      </w:r>
      <w:r w:rsidRPr="006F163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VHL</w:t>
      </w:r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 osób spełniających kryteria kwalifikacji do badania.</w:t>
      </w:r>
    </w:p>
    <w:p w:rsidR="006F163B" w:rsidRPr="006F163B" w:rsidRDefault="006F163B" w:rsidP="006F163B">
      <w:pPr>
        <w:numPr>
          <w:ilvl w:val="0"/>
          <w:numId w:val="7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>Wizyta lekarska z wydaniem wyniku konsultacji genetycznej oraz edukacją pacjenta.</w:t>
      </w:r>
    </w:p>
    <w:p w:rsidR="006F163B" w:rsidRPr="006F163B" w:rsidRDefault="006F163B" w:rsidP="006F163B">
      <w:pPr>
        <w:numPr>
          <w:ilvl w:val="0"/>
          <w:numId w:val="7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>Koszt opieki nad pacjentem:</w:t>
      </w:r>
    </w:p>
    <w:p w:rsidR="006F163B" w:rsidRPr="006F163B" w:rsidRDefault="006F163B" w:rsidP="006F163B">
      <w:pPr>
        <w:numPr>
          <w:ilvl w:val="0"/>
          <w:numId w:val="9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>coroczna konsultacja przez lekarza,</w:t>
      </w:r>
    </w:p>
    <w:p w:rsidR="006F163B" w:rsidRPr="006F163B" w:rsidRDefault="006F163B" w:rsidP="006F163B">
      <w:pPr>
        <w:numPr>
          <w:ilvl w:val="0"/>
          <w:numId w:val="9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>MRI głowy i rdzenia kręgowego,</w:t>
      </w:r>
    </w:p>
    <w:p w:rsidR="006F163B" w:rsidRPr="006F163B" w:rsidRDefault="006F163B" w:rsidP="006F163B">
      <w:pPr>
        <w:numPr>
          <w:ilvl w:val="0"/>
          <w:numId w:val="9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>USG jamy brzusznej,</w:t>
      </w:r>
    </w:p>
    <w:p w:rsidR="006F163B" w:rsidRPr="006F163B" w:rsidRDefault="006F163B" w:rsidP="006F163B">
      <w:pPr>
        <w:numPr>
          <w:ilvl w:val="0"/>
          <w:numId w:val="9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>TK (lub MRI) jamy brzusznej,</w:t>
      </w:r>
    </w:p>
    <w:p w:rsidR="006F163B" w:rsidRPr="006F163B" w:rsidRDefault="006F163B" w:rsidP="006F163B">
      <w:pPr>
        <w:numPr>
          <w:ilvl w:val="0"/>
          <w:numId w:val="9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>konsultacja okulistyczna i badanie dna oka w lustrze Goldmana.</w:t>
      </w:r>
    </w:p>
    <w:p w:rsidR="006F163B" w:rsidRPr="006F163B" w:rsidRDefault="006F163B" w:rsidP="006F163B">
      <w:p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163B" w:rsidRPr="006F163B" w:rsidRDefault="006F163B" w:rsidP="006F163B">
      <w:p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Placówki realizujące program zobowiązane są do przestrzegania następujących zasad: </w:t>
      </w:r>
    </w:p>
    <w:p w:rsidR="006F163B" w:rsidRPr="006F163B" w:rsidRDefault="006F163B" w:rsidP="006F163B">
      <w:pPr>
        <w:numPr>
          <w:ilvl w:val="0"/>
          <w:numId w:val="1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informowania biorących udział w projekcie o celach programu,</w:t>
      </w:r>
    </w:p>
    <w:p w:rsidR="006F163B" w:rsidRPr="006F163B" w:rsidRDefault="006F163B" w:rsidP="006F163B">
      <w:pPr>
        <w:numPr>
          <w:ilvl w:val="0"/>
          <w:numId w:val="1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uzyskania świadomej zgody od osoby biorącej udział w programie (druk świadomej zgody zgodnie z załącznikiem nr 8), </w:t>
      </w:r>
    </w:p>
    <w:p w:rsidR="006F163B" w:rsidRPr="006F163B" w:rsidRDefault="006F163B" w:rsidP="006F163B">
      <w:pPr>
        <w:numPr>
          <w:ilvl w:val="0"/>
          <w:numId w:val="1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załączenia zgody do karty pacjenta, w której znajduje się rodowód,</w:t>
      </w:r>
    </w:p>
    <w:p w:rsidR="006F163B" w:rsidRPr="006F163B" w:rsidRDefault="006F163B" w:rsidP="006F163B">
      <w:pPr>
        <w:numPr>
          <w:ilvl w:val="0"/>
          <w:numId w:val="1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>badania genetyczne, finansowane w ramach niniejszego programu muszą być realizowane w laboratoriach posiadających uprawnienia do realizacji takich badań i zarejestrowanych w Krajowej Izbie Diagnostów Laboratoryjnych</w:t>
      </w:r>
    </w:p>
    <w:p w:rsidR="006F163B" w:rsidRPr="006F163B" w:rsidRDefault="006F163B" w:rsidP="006F163B">
      <w:pPr>
        <w:numPr>
          <w:ilvl w:val="0"/>
          <w:numId w:val="1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udzielenia pisemnej i ustnej porady genetycznej przez lekarza specjalistę genetyka klinicznego (lub przez lekarza, który ukończył pierwszy rok specjalizacji z zakresu genetyki klinicznej oraz uzyskał potwierdzenie przez kierownika specjalizacji wiedzy i umiejętności umożliwiających samodzielną pracę w poradni specjalistycznej), każdej osobie biorącej udział w programie</w:t>
      </w:r>
      <w:r w:rsidRPr="006F163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; porada musi zawierać, poza danymi rodowodowymi i onkologicznymi pacjenta/osoby chorej na raka w rodzinie, opis rodowodu, interpretację wyniku badania genetycznego, poradę dla rodziny oraz wskazana powinna być współpracująca placówka onkologiczna, gdzie biorący udział w programie wykona </w:t>
      </w:r>
      <w:r w:rsidRPr="006F163B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 xml:space="preserve">badania profilaktyczne. Porada genetyczna dla nosicieli mutacji musi zostać opracowana przez specjalistę z zakresu genetyki klinicznej. </w:t>
      </w:r>
    </w:p>
    <w:p w:rsidR="006F163B" w:rsidRPr="006F163B" w:rsidRDefault="006F163B" w:rsidP="006F163B">
      <w:pPr>
        <w:numPr>
          <w:ilvl w:val="0"/>
          <w:numId w:val="1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przez lekarza specjalistę genetyka klinicznego lub lekarza specjalistę z zakresu onkologii (lub przez lekarza, który ukończył pierwszy rok specjalizacji z zakresu genetyki klinicznej oraz uzyskał potwierdzenie przez kierownika specjalizacji wiedzy i umiejętności umożliwiających samodzielną pracę w poradni specjalistycznej), karty osoby biorącej udział w programie z wyznaczonymi terminami kontrolnych badań, odnotowywaniem wyników badań.</w:t>
      </w:r>
    </w:p>
    <w:p w:rsidR="006F163B" w:rsidRPr="006F163B" w:rsidRDefault="006F163B" w:rsidP="006F163B">
      <w:p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F163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Warunki realizacji programu:</w:t>
      </w:r>
    </w:p>
    <w:p w:rsidR="006F163B" w:rsidRPr="006F163B" w:rsidRDefault="006F163B" w:rsidP="006F163B">
      <w:pPr>
        <w:numPr>
          <w:ilvl w:val="0"/>
          <w:numId w:val="2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>diagnostyka dziedzicznych predyspozycji:</w:t>
      </w:r>
    </w:p>
    <w:p w:rsidR="006F163B" w:rsidRPr="006F163B" w:rsidRDefault="006F163B" w:rsidP="006F163B">
      <w:pPr>
        <w:numPr>
          <w:ilvl w:val="1"/>
          <w:numId w:val="2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dostępność do lekarza, specjalisty z zakresu genetyki klinicznej dla osób ze stwierdzona mutacją - w granicach województwa, właściwego dla danej siedziby Realizatora,</w:t>
      </w:r>
    </w:p>
    <w:p w:rsidR="006F163B" w:rsidRPr="006F163B" w:rsidRDefault="006F163B" w:rsidP="006F163B">
      <w:pPr>
        <w:numPr>
          <w:ilvl w:val="1"/>
          <w:numId w:val="2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>czas oczekiwania na konsultację u specjalisty z zakresu genetyki klinicznej i do lekarza, który ukończył pierwszy rok specjalizacji z zakresu genetyki klinicznej oraz uzyskał potwierdzenie przez kierownika specjalizacji wiedzy i umiejętności umożliwiających samodzielną pracę w poradni specjalistycznej, nie dłuższy niż 3 miesiące,</w:t>
      </w:r>
    </w:p>
    <w:p w:rsidR="006F163B" w:rsidRPr="006F163B" w:rsidRDefault="006F163B" w:rsidP="006F163B">
      <w:pPr>
        <w:numPr>
          <w:ilvl w:val="1"/>
          <w:numId w:val="2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dostępu osobom biorącym udział w programie do wszystkich badań genetycznych przewidzianych w programie;</w:t>
      </w:r>
    </w:p>
    <w:p w:rsidR="006F163B" w:rsidRPr="006F163B" w:rsidRDefault="006F163B" w:rsidP="006F163B">
      <w:pPr>
        <w:numPr>
          <w:ilvl w:val="0"/>
          <w:numId w:val="2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>badania kontrolne:</w:t>
      </w:r>
    </w:p>
    <w:p w:rsidR="006F163B" w:rsidRPr="006F163B" w:rsidRDefault="006F163B" w:rsidP="006F163B">
      <w:pPr>
        <w:numPr>
          <w:ilvl w:val="1"/>
          <w:numId w:val="2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dostępność do lekarza specjalisty z zakresu genetyki klinicznej i/lub onkologii (lub do lekarza, który ukończył pierwszy rok specjalizacji oraz uzyskał potwierdzenie przez kierownika specjalizacji wiedzy i umiejętności umożliwiających samodzielną pracę w poradni specjalistycznej) w granicach województwa,</w:t>
      </w:r>
      <w:r w:rsidRPr="006F163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właściwego dla danej siedziby Realizatora,</w:t>
      </w:r>
    </w:p>
    <w:p w:rsidR="006F163B" w:rsidRPr="006F163B" w:rsidRDefault="006F163B" w:rsidP="006F163B">
      <w:pPr>
        <w:numPr>
          <w:ilvl w:val="1"/>
          <w:numId w:val="2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>czas oczekiwania na pierwszą konsultację i badania u lekarza specjalisty z zakresu genetyki klinicznej i/lub onkologii (lub lekarza, który ukończył pierwszy rok specjalizacji oraz uzyskał potwierdzenie przez kierownika specjalizacji wiedzy i umiejętności umożliwiających samodzielną pracę w poradni specjalistycznej), nie dłuższy niż 3 miesiące,</w:t>
      </w:r>
    </w:p>
    <w:p w:rsidR="006F163B" w:rsidRPr="006F163B" w:rsidRDefault="006F163B" w:rsidP="006F163B">
      <w:pPr>
        <w:numPr>
          <w:ilvl w:val="1"/>
          <w:numId w:val="2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stałej profilaktycznej opieki genetyczno-onkologicznej dla osób o podwyższonym ryzyku zachorowania na </w:t>
      </w:r>
      <w:proofErr w:type="spellStart"/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proofErr w:type="spellEnd"/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siatkówczaka/ chorobę von </w:t>
      </w:r>
      <w:proofErr w:type="spellStart"/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>Hippel-Lindau</w:t>
      </w:r>
      <w:proofErr w:type="spellEnd"/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(stosownie do zakresu badań mutacji genów o realizację których wnioskuje Oferent), a w tym prowadzenie dokumentacji w zakresie objętym programem,</w:t>
      </w:r>
    </w:p>
    <w:p w:rsidR="006F163B" w:rsidRPr="006F163B" w:rsidRDefault="006F163B" w:rsidP="006F163B">
      <w:pPr>
        <w:numPr>
          <w:ilvl w:val="1"/>
          <w:numId w:val="2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dostępność do kolejnych konsultacji i profilaktycznych badań genetyczno-onkologicznych zgodnie z harmonogramem programu (terminy kolejnych badań muszą być określone w karcie osoby biorącej udział w programie).</w:t>
      </w:r>
    </w:p>
    <w:p w:rsidR="006F163B" w:rsidRPr="006F163B" w:rsidRDefault="006F163B" w:rsidP="006F163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  <w:r w:rsidRPr="006F163B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Placówka onkologiczna realizująca program musi być wyposażona w sprzęt do badań przewidzianych w ramach realizacji programu lub musi zapewnić dostępność do takich badań w granicach województwa, właściwego dla danej siedziby Realizatora (nie dotyczy badań genetycznych w przypadku gdy materiał do testu przesyłany jest do podwykonawcy, bez potrzeby kierowania osoby badanej poza teren województwa, właściwego dla danej siedziby Realizatora).</w:t>
      </w:r>
    </w:p>
    <w:p w:rsidR="006B04BD" w:rsidRDefault="006B04BD">
      <w:bookmarkStart w:id="0" w:name="_GoBack"/>
      <w:bookmarkEnd w:id="0"/>
    </w:p>
    <w:sectPr w:rsidR="006B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262AE"/>
    <w:multiLevelType w:val="hybridMultilevel"/>
    <w:tmpl w:val="D398EFBC"/>
    <w:lvl w:ilvl="0" w:tplc="8148228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61D812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C1B3F"/>
    <w:multiLevelType w:val="hybridMultilevel"/>
    <w:tmpl w:val="94BA50A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6503AD"/>
    <w:multiLevelType w:val="hybridMultilevel"/>
    <w:tmpl w:val="DE9CBB00"/>
    <w:lvl w:ilvl="0" w:tplc="660E7E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61D812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216284"/>
    <w:multiLevelType w:val="hybridMultilevel"/>
    <w:tmpl w:val="75B89D4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61D812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3F2DE5"/>
    <w:multiLevelType w:val="hybridMultilevel"/>
    <w:tmpl w:val="AAF2BBF4"/>
    <w:lvl w:ilvl="0" w:tplc="5BBAA8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83A5C"/>
    <w:multiLevelType w:val="hybridMultilevel"/>
    <w:tmpl w:val="2954067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61D812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A571E0"/>
    <w:multiLevelType w:val="hybridMultilevel"/>
    <w:tmpl w:val="C53867E0"/>
    <w:lvl w:ilvl="0" w:tplc="660E7E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8148228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7F208B"/>
    <w:multiLevelType w:val="hybridMultilevel"/>
    <w:tmpl w:val="6D32A0E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B7A77BF"/>
    <w:multiLevelType w:val="hybridMultilevel"/>
    <w:tmpl w:val="750853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63B"/>
    <w:rsid w:val="006B04BD"/>
    <w:rsid w:val="006F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C38E7-D1D7-46B2-96AA-FA7879DA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1442</Words>
  <Characters>8657</Characters>
  <Application>Microsoft Office Word</Application>
  <DocSecurity>0</DocSecurity>
  <Lines>72</Lines>
  <Paragraphs>20</Paragraphs>
  <ScaleCrop>false</ScaleCrop>
  <Company>Ministerstwo Zdrowia</Company>
  <LinksUpToDate>false</LinksUpToDate>
  <CharactersWithSpaces>10079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1</cp:revision>
  <dcterms:created xsi:type="dcterms:W3CDTF">2018-04-23T12:24:00Z</dcterms:created>
  <dcterms:modified xsi:type="dcterms:W3CDTF">2018-04-23T12:24:00Z</dcterms:modified>
</cp:coreProperties>
</file>