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45E1" w:rsidRPr="005C751A" w:rsidRDefault="006945E1" w:rsidP="006945E1">
      <w:pPr>
        <w:spacing w:line="360" w:lineRule="auto"/>
        <w:jc w:val="center"/>
        <w:rPr>
          <w:rFonts w:eastAsia="Calibri"/>
          <w:b/>
          <w:sz w:val="26"/>
          <w:szCs w:val="26"/>
          <w:lang w:eastAsia="en-US"/>
        </w:rPr>
      </w:pPr>
      <w:bookmarkStart w:id="0" w:name="_GoBack"/>
      <w:bookmarkEnd w:id="0"/>
      <w:r w:rsidRPr="005C751A">
        <w:rPr>
          <w:rFonts w:eastAsia="Calibri"/>
          <w:b/>
          <w:sz w:val="26"/>
          <w:szCs w:val="26"/>
          <w:lang w:eastAsia="en-US"/>
        </w:rPr>
        <w:t xml:space="preserve">OPIS ISTOTNYCH ZAGADNIEŃ DLA KOMISJI EGZAMINACYJNEJ </w:t>
      </w:r>
      <w:r w:rsidR="00502E21">
        <w:rPr>
          <w:rFonts w:eastAsia="Calibri"/>
          <w:b/>
          <w:sz w:val="26"/>
          <w:szCs w:val="26"/>
          <w:lang w:eastAsia="en-US"/>
        </w:rPr>
        <w:br/>
      </w:r>
      <w:r w:rsidRPr="005C751A">
        <w:rPr>
          <w:rFonts w:eastAsia="Calibri"/>
          <w:b/>
          <w:sz w:val="26"/>
          <w:szCs w:val="26"/>
          <w:lang w:eastAsia="en-US"/>
        </w:rPr>
        <w:t>DO ZADANIA Z ZAKRESU PRAWA KARNEGO</w:t>
      </w:r>
    </w:p>
    <w:p w:rsidR="006945E1" w:rsidRPr="005C751A" w:rsidRDefault="006945E1" w:rsidP="006945E1">
      <w:pPr>
        <w:shd w:val="clear" w:color="auto" w:fill="FFFFFF"/>
        <w:autoSpaceDE w:val="0"/>
        <w:autoSpaceDN w:val="0"/>
        <w:adjustRightInd w:val="0"/>
        <w:spacing w:line="360" w:lineRule="auto"/>
        <w:jc w:val="center"/>
        <w:rPr>
          <w:rFonts w:eastAsia="Calibri"/>
          <w:bCs/>
          <w:color w:val="000000"/>
          <w:lang w:eastAsia="en-US"/>
        </w:rPr>
      </w:pPr>
      <w:r w:rsidRPr="005C751A">
        <w:rPr>
          <w:rFonts w:eastAsia="Calibri"/>
          <w:bCs/>
          <w:color w:val="000000"/>
          <w:lang w:eastAsia="en-US"/>
        </w:rPr>
        <w:t>(EGZAMIN ADWOKACKI - 15 MARCA 2016 r.)</w:t>
      </w:r>
    </w:p>
    <w:p w:rsidR="001B0F41" w:rsidRPr="006F2F86" w:rsidRDefault="001B0F41" w:rsidP="001B0F41">
      <w:pPr>
        <w:spacing w:line="360" w:lineRule="auto"/>
        <w:jc w:val="both"/>
        <w:rPr>
          <w:sz w:val="20"/>
          <w:szCs w:val="20"/>
        </w:rPr>
      </w:pPr>
    </w:p>
    <w:p w:rsidR="001B0F41" w:rsidRPr="006F2F86" w:rsidRDefault="001B0F41" w:rsidP="001B0F41">
      <w:pPr>
        <w:spacing w:line="360" w:lineRule="auto"/>
        <w:ind w:firstLine="360"/>
        <w:jc w:val="both"/>
        <w:rPr>
          <w:sz w:val="22"/>
          <w:szCs w:val="22"/>
        </w:rPr>
      </w:pPr>
      <w:r w:rsidRPr="006F2F86">
        <w:rPr>
          <w:sz w:val="22"/>
          <w:szCs w:val="22"/>
        </w:rPr>
        <w:t>Zdaniem zespołu</w:t>
      </w:r>
      <w:r w:rsidR="00FB54EB" w:rsidRPr="006F2F86">
        <w:rPr>
          <w:sz w:val="22"/>
          <w:szCs w:val="22"/>
        </w:rPr>
        <w:t xml:space="preserve"> do przygotowania zadań na egzamin adwokacki</w:t>
      </w:r>
      <w:r w:rsidRPr="006F2F86">
        <w:rPr>
          <w:sz w:val="22"/>
          <w:szCs w:val="22"/>
        </w:rPr>
        <w:t xml:space="preserve">, w przypadku zadania </w:t>
      </w:r>
      <w:r w:rsidR="008F2A5C" w:rsidRPr="006F2F86">
        <w:rPr>
          <w:sz w:val="22"/>
          <w:szCs w:val="22"/>
        </w:rPr>
        <w:br/>
      </w:r>
      <w:r w:rsidRPr="006F2F86">
        <w:rPr>
          <w:sz w:val="22"/>
          <w:szCs w:val="22"/>
        </w:rPr>
        <w:t>z zakresu prawa karnego, zasadne jest sporządzenie apelacji. Przy ocenie prac, w ramach wymogów zawartych w art. 78e ust. 2 ustawy – Prawo o adwokaturze, należy zwrócić uwagę na następujące problemy:</w:t>
      </w:r>
    </w:p>
    <w:p w:rsidR="00E84CE1" w:rsidRPr="006F2F86" w:rsidRDefault="00E84CE1" w:rsidP="008F2A5C">
      <w:pPr>
        <w:jc w:val="both"/>
        <w:rPr>
          <w:sz w:val="22"/>
          <w:szCs w:val="22"/>
        </w:rPr>
      </w:pPr>
    </w:p>
    <w:p w:rsidR="007801E4" w:rsidRPr="006F2F86" w:rsidRDefault="00E84CE1" w:rsidP="00E84CE1">
      <w:pPr>
        <w:spacing w:line="360" w:lineRule="auto"/>
        <w:jc w:val="both"/>
        <w:rPr>
          <w:sz w:val="22"/>
          <w:szCs w:val="22"/>
        </w:rPr>
      </w:pPr>
      <w:r w:rsidRPr="006F2F86">
        <w:rPr>
          <w:b/>
          <w:sz w:val="22"/>
          <w:szCs w:val="22"/>
        </w:rPr>
        <w:t>1.</w:t>
      </w:r>
      <w:r w:rsidRPr="006F2F86">
        <w:rPr>
          <w:sz w:val="22"/>
          <w:szCs w:val="22"/>
        </w:rPr>
        <w:t xml:space="preserve"> </w:t>
      </w:r>
      <w:r w:rsidR="000E6BD7" w:rsidRPr="006F2F86">
        <w:rPr>
          <w:sz w:val="22"/>
          <w:szCs w:val="22"/>
        </w:rPr>
        <w:t xml:space="preserve">Sąd Rejonowy błędnie </w:t>
      </w:r>
      <w:r w:rsidR="007801E4" w:rsidRPr="006F2F86">
        <w:rPr>
          <w:sz w:val="22"/>
          <w:szCs w:val="22"/>
        </w:rPr>
        <w:t>skazał oskarżonego za przestępstwo z art.</w:t>
      </w:r>
      <w:r w:rsidR="004C7A30" w:rsidRPr="006F2F86">
        <w:rPr>
          <w:sz w:val="22"/>
          <w:szCs w:val="22"/>
        </w:rPr>
        <w:t xml:space="preserve"> </w:t>
      </w:r>
      <w:r w:rsidR="00FB54EB" w:rsidRPr="006F2F86">
        <w:rPr>
          <w:sz w:val="22"/>
          <w:szCs w:val="22"/>
        </w:rPr>
        <w:t>270 § 1 k.k. P</w:t>
      </w:r>
      <w:r w:rsidR="00D30149" w:rsidRPr="006F2F86">
        <w:rPr>
          <w:sz w:val="22"/>
          <w:szCs w:val="22"/>
        </w:rPr>
        <w:t xml:space="preserve">ostanowieniem </w:t>
      </w:r>
      <w:r w:rsidR="006F2F86">
        <w:rPr>
          <w:sz w:val="22"/>
          <w:szCs w:val="22"/>
        </w:rPr>
        <w:br/>
      </w:r>
      <w:r w:rsidR="00D30149" w:rsidRPr="006F2F86">
        <w:rPr>
          <w:sz w:val="22"/>
          <w:szCs w:val="22"/>
        </w:rPr>
        <w:t>z dnia 10 sierpnia 20</w:t>
      </w:r>
      <w:r w:rsidR="00F82073" w:rsidRPr="006F2F86">
        <w:rPr>
          <w:sz w:val="22"/>
          <w:szCs w:val="22"/>
        </w:rPr>
        <w:t xml:space="preserve">15 r. prokurator umorzył dochodzenie przeciwko </w:t>
      </w:r>
      <w:r w:rsidR="004A20E3" w:rsidRPr="006F2F86">
        <w:rPr>
          <w:sz w:val="22"/>
          <w:szCs w:val="22"/>
        </w:rPr>
        <w:t xml:space="preserve">Romanowi Kamińskiemu </w:t>
      </w:r>
      <w:r w:rsidR="006F2F86">
        <w:rPr>
          <w:sz w:val="22"/>
          <w:szCs w:val="22"/>
        </w:rPr>
        <w:br/>
      </w:r>
      <w:r w:rsidR="004A20E3" w:rsidRPr="006F2F86">
        <w:rPr>
          <w:sz w:val="22"/>
          <w:szCs w:val="22"/>
        </w:rPr>
        <w:t xml:space="preserve">o powyższe przestępstwo. Z kolei postanowieniem z dnia 6 października 2015 r. prokurator nadrzędny wznowił to postępowanie. Uczynił to jednak mimo braku podstaw do podjęcia takiej decyzji. Zgodnie bowiem z art. 327 § 2 k.p.k., prawomocnie umorzone postępowanie przygotowawcze wznawia się przeciwko osobie, która występowała w charakterze podejrzanego „tylko wtedy, gdy ujawnią się nowe istotne fakty lub dowody nie znane w poprzednim postępowaniu”. </w:t>
      </w:r>
      <w:r w:rsidR="00FB54EB" w:rsidRPr="006F2F86">
        <w:rPr>
          <w:sz w:val="22"/>
          <w:szCs w:val="22"/>
        </w:rPr>
        <w:t>D</w:t>
      </w:r>
      <w:r w:rsidR="004A20E3" w:rsidRPr="006F2F86">
        <w:rPr>
          <w:sz w:val="22"/>
          <w:szCs w:val="22"/>
        </w:rPr>
        <w:t xml:space="preserve">ecyzja </w:t>
      </w:r>
      <w:r w:rsidR="00FB54EB" w:rsidRPr="006F2F86">
        <w:rPr>
          <w:sz w:val="22"/>
          <w:szCs w:val="22"/>
        </w:rPr>
        <w:t xml:space="preserve">o wznowieniu postępowania </w:t>
      </w:r>
      <w:r w:rsidR="004A20E3" w:rsidRPr="006F2F86">
        <w:rPr>
          <w:sz w:val="22"/>
          <w:szCs w:val="22"/>
        </w:rPr>
        <w:t>został</w:t>
      </w:r>
      <w:r w:rsidR="000E6BD7" w:rsidRPr="006F2F86">
        <w:rPr>
          <w:sz w:val="22"/>
          <w:szCs w:val="22"/>
        </w:rPr>
        <w:t>a</w:t>
      </w:r>
      <w:r w:rsidR="004A20E3" w:rsidRPr="006F2F86">
        <w:rPr>
          <w:sz w:val="22"/>
          <w:szCs w:val="22"/>
        </w:rPr>
        <w:t xml:space="preserve"> zaś umotywowana</w:t>
      </w:r>
      <w:r w:rsidR="00152A11" w:rsidRPr="006F2F86">
        <w:rPr>
          <w:sz w:val="22"/>
          <w:szCs w:val="22"/>
        </w:rPr>
        <w:t xml:space="preserve"> przede wszystkim</w:t>
      </w:r>
      <w:r w:rsidR="004A20E3" w:rsidRPr="006F2F86">
        <w:rPr>
          <w:sz w:val="22"/>
          <w:szCs w:val="22"/>
        </w:rPr>
        <w:t xml:space="preserve"> tym, że błędnie oceniono stopień społecznej szkodliwości czynu</w:t>
      </w:r>
      <w:r w:rsidR="00152A11" w:rsidRPr="006F2F86">
        <w:rPr>
          <w:sz w:val="22"/>
          <w:szCs w:val="22"/>
        </w:rPr>
        <w:t>, przy czym nie wskazan</w:t>
      </w:r>
      <w:r w:rsidR="000E6BD7" w:rsidRPr="006F2F86">
        <w:rPr>
          <w:sz w:val="22"/>
          <w:szCs w:val="22"/>
        </w:rPr>
        <w:t>o na jakiekolwiek nowe fakty lub</w:t>
      </w:r>
      <w:r w:rsidR="00152A11" w:rsidRPr="006F2F86">
        <w:rPr>
          <w:sz w:val="22"/>
          <w:szCs w:val="22"/>
        </w:rPr>
        <w:t xml:space="preserve"> dowody.</w:t>
      </w:r>
      <w:r w:rsidR="004A20E3" w:rsidRPr="006F2F86">
        <w:rPr>
          <w:sz w:val="22"/>
          <w:szCs w:val="22"/>
        </w:rPr>
        <w:t xml:space="preserve"> </w:t>
      </w:r>
      <w:r w:rsidR="00152A11" w:rsidRPr="006F2F86">
        <w:rPr>
          <w:sz w:val="22"/>
          <w:szCs w:val="22"/>
        </w:rPr>
        <w:t>Wprawdzie słusznie zwrócono uwagę na to, że przy ocenie stopnia społecznej szkodliwości czynu nie można kierować się okolicznościami związanymi z „osobą sprawcy”</w:t>
      </w:r>
      <w:r w:rsidR="00897A1A" w:rsidRPr="006F2F86">
        <w:rPr>
          <w:sz w:val="22"/>
          <w:szCs w:val="22"/>
        </w:rPr>
        <w:t xml:space="preserve"> takimi, jak dobra opinia w pracy i w miejscu zamieszkania oraz wyrażenie skruchy</w:t>
      </w:r>
      <w:r w:rsidR="00152A11" w:rsidRPr="006F2F86">
        <w:rPr>
          <w:sz w:val="22"/>
          <w:szCs w:val="22"/>
        </w:rPr>
        <w:t>, ponieważ</w:t>
      </w:r>
      <w:r w:rsidR="00897A1A" w:rsidRPr="006F2F86">
        <w:rPr>
          <w:sz w:val="22"/>
          <w:szCs w:val="22"/>
        </w:rPr>
        <w:t xml:space="preserve"> art. 115 § 2 k.k. pozwala na uwzględnienie w tym zakresie jedynie okoliczności podmiotowych i przedmiotowych, ale związanych z czynem sprawcy, niemniej nie wiązało się to z </w:t>
      </w:r>
      <w:r w:rsidR="00FB54EB" w:rsidRPr="006F2F86">
        <w:rPr>
          <w:sz w:val="22"/>
          <w:szCs w:val="22"/>
        </w:rPr>
        <w:t>przedstawieniem</w:t>
      </w:r>
      <w:r w:rsidR="00897A1A" w:rsidRPr="006F2F86">
        <w:rPr>
          <w:sz w:val="22"/>
          <w:szCs w:val="22"/>
        </w:rPr>
        <w:t xml:space="preserve"> żadnych nowych faktów lub dowodów. W poprzednim postępowaniu (przed wznowieniem) ustalono też („znane było”), że </w:t>
      </w:r>
      <w:r w:rsidR="00D9755A" w:rsidRPr="006F2F86">
        <w:rPr>
          <w:sz w:val="22"/>
          <w:szCs w:val="22"/>
        </w:rPr>
        <w:t>Roman Kamiński podrabiając dokument chciał przedłożyć go w banku i uzyskać pożyczkę na zakup samochodu.</w:t>
      </w:r>
      <w:r w:rsidR="00897A1A" w:rsidRPr="006F2F86">
        <w:rPr>
          <w:sz w:val="22"/>
          <w:szCs w:val="22"/>
        </w:rPr>
        <w:t xml:space="preserve"> </w:t>
      </w:r>
      <w:r w:rsidR="004A20E3" w:rsidRPr="006F2F86">
        <w:rPr>
          <w:sz w:val="22"/>
          <w:szCs w:val="22"/>
        </w:rPr>
        <w:t xml:space="preserve"> </w:t>
      </w:r>
    </w:p>
    <w:p w:rsidR="009337F7" w:rsidRDefault="00D9755A" w:rsidP="004762D0">
      <w:pPr>
        <w:spacing w:line="360" w:lineRule="auto"/>
        <w:ind w:firstLine="708"/>
        <w:jc w:val="both"/>
        <w:rPr>
          <w:sz w:val="22"/>
          <w:szCs w:val="22"/>
        </w:rPr>
      </w:pPr>
      <w:r w:rsidRPr="006F2F86">
        <w:rPr>
          <w:sz w:val="22"/>
          <w:szCs w:val="22"/>
        </w:rPr>
        <w:t xml:space="preserve">Zgodnie z art. 327 § 4 k.p.k., jeżeli po wniesieniu aktu oskarżenia sąd stwierdzi, że postępowanie </w:t>
      </w:r>
      <w:r w:rsidR="00206392" w:rsidRPr="006F2F86">
        <w:rPr>
          <w:sz w:val="22"/>
          <w:szCs w:val="22"/>
        </w:rPr>
        <w:t xml:space="preserve">przygotowawcze </w:t>
      </w:r>
      <w:r w:rsidRPr="006F2F86">
        <w:rPr>
          <w:sz w:val="22"/>
          <w:szCs w:val="22"/>
        </w:rPr>
        <w:t>wznowiono mimo braku podstaw, to wówczas umarza postępowanie.</w:t>
      </w:r>
    </w:p>
    <w:p w:rsidR="006F2F86" w:rsidRPr="006F2F86" w:rsidRDefault="006F2F86" w:rsidP="006F2F86">
      <w:pPr>
        <w:ind w:firstLine="708"/>
        <w:jc w:val="both"/>
        <w:rPr>
          <w:sz w:val="22"/>
          <w:szCs w:val="22"/>
        </w:rPr>
      </w:pPr>
    </w:p>
    <w:p w:rsidR="006F2F86" w:rsidRDefault="003059ED" w:rsidP="006C4CFC">
      <w:pPr>
        <w:spacing w:line="360" w:lineRule="auto"/>
        <w:jc w:val="both"/>
        <w:rPr>
          <w:sz w:val="22"/>
          <w:szCs w:val="22"/>
        </w:rPr>
      </w:pPr>
      <w:r w:rsidRPr="006F2F86">
        <w:rPr>
          <w:b/>
          <w:sz w:val="22"/>
          <w:szCs w:val="22"/>
        </w:rPr>
        <w:t>2.</w:t>
      </w:r>
      <w:r w:rsidRPr="006F2F86">
        <w:rPr>
          <w:sz w:val="22"/>
          <w:szCs w:val="22"/>
        </w:rPr>
        <w:t xml:space="preserve"> </w:t>
      </w:r>
      <w:r w:rsidR="006C4CFC" w:rsidRPr="006F2F86">
        <w:rPr>
          <w:sz w:val="22"/>
          <w:szCs w:val="22"/>
        </w:rPr>
        <w:t>Zgodnie z art. 288 § 4 k.k., ścigan</w:t>
      </w:r>
      <w:r w:rsidR="00C65F94" w:rsidRPr="006F2F86">
        <w:rPr>
          <w:sz w:val="22"/>
          <w:szCs w:val="22"/>
        </w:rPr>
        <w:t>ie przestępstwa z § 1 tego prze</w:t>
      </w:r>
      <w:r w:rsidR="006C4CFC" w:rsidRPr="006F2F86">
        <w:rPr>
          <w:sz w:val="22"/>
          <w:szCs w:val="22"/>
        </w:rPr>
        <w:t>pisu</w:t>
      </w:r>
      <w:r w:rsidR="00C65F94" w:rsidRPr="006F2F86">
        <w:rPr>
          <w:sz w:val="22"/>
          <w:szCs w:val="22"/>
        </w:rPr>
        <w:t xml:space="preserve"> następuje na wniosek pokrzywdzonego. Tymczasem Sąd Rejonowy s</w:t>
      </w:r>
      <w:r w:rsidR="00961020" w:rsidRPr="006F2F86">
        <w:rPr>
          <w:sz w:val="22"/>
          <w:szCs w:val="22"/>
        </w:rPr>
        <w:t>kazał Romana Kamińskiego za przestępstwo</w:t>
      </w:r>
      <w:r w:rsidR="00C65F94" w:rsidRPr="006F2F86">
        <w:rPr>
          <w:sz w:val="22"/>
          <w:szCs w:val="22"/>
        </w:rPr>
        <w:t xml:space="preserve"> </w:t>
      </w:r>
      <w:r w:rsidR="008F2A5C" w:rsidRPr="006F2F86">
        <w:rPr>
          <w:sz w:val="22"/>
          <w:szCs w:val="22"/>
        </w:rPr>
        <w:br/>
      </w:r>
      <w:r w:rsidR="00C65F94" w:rsidRPr="006F2F86">
        <w:rPr>
          <w:sz w:val="22"/>
          <w:szCs w:val="22"/>
        </w:rPr>
        <w:t>z art. 288 § 1 k.k., mimo że pokrzywdzony Marek Lisek nie złożył takiego wniosku (w ogóle nie był zainteresowany jego ściganiem).</w:t>
      </w:r>
      <w:r w:rsidR="00E231EA" w:rsidRPr="006F2F86">
        <w:rPr>
          <w:sz w:val="22"/>
          <w:szCs w:val="22"/>
        </w:rPr>
        <w:t xml:space="preserve"> </w:t>
      </w:r>
      <w:r w:rsidR="00C65F94" w:rsidRPr="006F2F86">
        <w:rPr>
          <w:sz w:val="22"/>
          <w:szCs w:val="22"/>
        </w:rPr>
        <w:t>I w tym przypadku mamy zatem do czynienia z ujemną przesłanką procesową. W myśl art. 17 § 1 pkt 10 k.p.k., nie ws</w:t>
      </w:r>
      <w:r w:rsidR="002F3AE8" w:rsidRPr="006F2F86">
        <w:rPr>
          <w:sz w:val="22"/>
          <w:szCs w:val="22"/>
        </w:rPr>
        <w:t>zczyna się</w:t>
      </w:r>
      <w:r w:rsidR="00C65F94" w:rsidRPr="006F2F86">
        <w:rPr>
          <w:sz w:val="22"/>
          <w:szCs w:val="22"/>
        </w:rPr>
        <w:t xml:space="preserve"> postępowania, a wszczęte umarza, gdy m.in. brak jest wymaganego wniosku o ściganie pochodzącego od osoby uprawnionej.</w:t>
      </w:r>
    </w:p>
    <w:p w:rsidR="006F2F86" w:rsidRPr="006F2F86" w:rsidRDefault="006F2F86" w:rsidP="006C4CFC">
      <w:pPr>
        <w:spacing w:line="360" w:lineRule="auto"/>
        <w:jc w:val="both"/>
        <w:rPr>
          <w:sz w:val="22"/>
          <w:szCs w:val="22"/>
        </w:rPr>
      </w:pPr>
    </w:p>
    <w:p w:rsidR="00916B79" w:rsidRPr="006F2F86" w:rsidRDefault="00C65F94" w:rsidP="006C4CFC">
      <w:pPr>
        <w:spacing w:line="360" w:lineRule="auto"/>
        <w:jc w:val="both"/>
        <w:rPr>
          <w:sz w:val="22"/>
          <w:szCs w:val="22"/>
        </w:rPr>
      </w:pPr>
      <w:r w:rsidRPr="006F2F86">
        <w:rPr>
          <w:b/>
          <w:sz w:val="22"/>
          <w:szCs w:val="22"/>
        </w:rPr>
        <w:lastRenderedPageBreak/>
        <w:t>3.</w:t>
      </w:r>
      <w:r w:rsidRPr="006F2F86">
        <w:rPr>
          <w:sz w:val="22"/>
          <w:szCs w:val="22"/>
        </w:rPr>
        <w:t xml:space="preserve"> </w:t>
      </w:r>
      <w:r w:rsidR="00961020" w:rsidRPr="006F2F86">
        <w:rPr>
          <w:sz w:val="22"/>
          <w:szCs w:val="22"/>
        </w:rPr>
        <w:t>Sąd Rejonowy błędnie przyjął, że oskarżony popełnił przestępstwo z art. 279 § 1 k.k. w formie stadialnej dokonania.</w:t>
      </w:r>
      <w:r w:rsidR="009D6B7F" w:rsidRPr="006F2F86">
        <w:rPr>
          <w:sz w:val="22"/>
          <w:szCs w:val="22"/>
        </w:rPr>
        <w:t xml:space="preserve"> Przedmiotowe przestępstwo jest przestępstwem materialnym, znamiennym skutkiem w postaci przywłaszczenia rzeczy przez sprawcę. O skutku tym można mówić dopiero wtedy, gdy</w:t>
      </w:r>
      <w:r w:rsidR="00F7577D" w:rsidRPr="006F2F86">
        <w:rPr>
          <w:sz w:val="22"/>
          <w:szCs w:val="22"/>
        </w:rPr>
        <w:t xml:space="preserve"> spełnione zostaną dwa warunki: po pierwsze – sprawca pozbawi osobę uprawnioną władztwa nad rzeczą, po wtóre - sprawca obejmie rzecz we władanie. Choć dla spełnienia tego ostatniego warunku nie zawsze konieczne jest wyniesienie rzeczy poza miejsce, gdzie doszło do włamania, ale nieodzowne jest ustalenie, że objęcie przedmiotu wykonawczego we władztwo sprawcy rzeczywiście nastąpiło. Roman Kamiński, po wybiciu szyby i dostaniu się do wnętrza domku letniskowego, ustawił telewizor i odtwarzacz płyt CD </w:t>
      </w:r>
      <w:r w:rsidR="00206392" w:rsidRPr="006F2F86">
        <w:rPr>
          <w:sz w:val="22"/>
          <w:szCs w:val="22"/>
        </w:rPr>
        <w:t>na podłodze wewnątrz domku</w:t>
      </w:r>
      <w:r w:rsidR="00916B79" w:rsidRPr="006F2F86">
        <w:rPr>
          <w:sz w:val="22"/>
          <w:szCs w:val="22"/>
        </w:rPr>
        <w:t xml:space="preserve">, </w:t>
      </w:r>
      <w:r w:rsidR="00F7577D" w:rsidRPr="006F2F86">
        <w:rPr>
          <w:sz w:val="22"/>
          <w:szCs w:val="22"/>
        </w:rPr>
        <w:t>przy drzwiach tarasowych.</w:t>
      </w:r>
      <w:r w:rsidR="00916B79" w:rsidRPr="006F2F86">
        <w:rPr>
          <w:sz w:val="22"/>
          <w:szCs w:val="22"/>
        </w:rPr>
        <w:t xml:space="preserve"> Przygotował te przedmioty do wyniesienia. Postanowił jednak sprawdzić, czy kogoś nie ma w pobliżu. Dostrzegł idącego drogą pokrzywdzonego, przestraszył się i oddalił z miejsca zdarzenia. Zrezygnował z wyniesienia telewizora i odtwarzacza płyt CD z domku letniskowego. </w:t>
      </w:r>
      <w:r w:rsidR="006F2F86">
        <w:rPr>
          <w:sz w:val="22"/>
          <w:szCs w:val="22"/>
        </w:rPr>
        <w:br/>
      </w:r>
      <w:r w:rsidR="00916B79" w:rsidRPr="006F2F86">
        <w:rPr>
          <w:sz w:val="22"/>
          <w:szCs w:val="22"/>
        </w:rPr>
        <w:t>W tej sytuacji nie sposób przyjąć, że oskarżony objął te przedmioty we władanie.</w:t>
      </w:r>
      <w:r w:rsidR="00F7577D" w:rsidRPr="006F2F86">
        <w:rPr>
          <w:sz w:val="22"/>
          <w:szCs w:val="22"/>
        </w:rPr>
        <w:t xml:space="preserve"> </w:t>
      </w:r>
    </w:p>
    <w:p w:rsidR="006C4CFC" w:rsidRDefault="00916B79" w:rsidP="006C4CFC">
      <w:pPr>
        <w:spacing w:line="360" w:lineRule="auto"/>
        <w:jc w:val="both"/>
        <w:rPr>
          <w:sz w:val="22"/>
          <w:szCs w:val="22"/>
        </w:rPr>
      </w:pPr>
      <w:r w:rsidRPr="006F2F86">
        <w:rPr>
          <w:sz w:val="22"/>
          <w:szCs w:val="22"/>
        </w:rPr>
        <w:tab/>
        <w:t>Przyznać trzeba, ż</w:t>
      </w:r>
      <w:r w:rsidR="008F2A5C" w:rsidRPr="006F2F86">
        <w:rPr>
          <w:sz w:val="22"/>
          <w:szCs w:val="22"/>
        </w:rPr>
        <w:t xml:space="preserve">e omawiana kwestia ma charakter </w:t>
      </w:r>
      <w:r w:rsidRPr="006F2F86">
        <w:rPr>
          <w:sz w:val="22"/>
          <w:szCs w:val="22"/>
        </w:rPr>
        <w:t>ocen</w:t>
      </w:r>
      <w:r w:rsidR="007F3DEE" w:rsidRPr="006F2F86">
        <w:rPr>
          <w:sz w:val="22"/>
          <w:szCs w:val="22"/>
        </w:rPr>
        <w:t>n</w:t>
      </w:r>
      <w:r w:rsidRPr="006F2F86">
        <w:rPr>
          <w:sz w:val="22"/>
          <w:szCs w:val="22"/>
        </w:rPr>
        <w:t xml:space="preserve">y, ale rzeczą zdającego jest takie rozwiązanie zadania, które w najlepszym stopniu </w:t>
      </w:r>
      <w:r w:rsidR="00206392" w:rsidRPr="006F2F86">
        <w:rPr>
          <w:sz w:val="22"/>
          <w:szCs w:val="22"/>
        </w:rPr>
        <w:t>uwzględnia</w:t>
      </w:r>
      <w:r w:rsidRPr="006F2F86">
        <w:rPr>
          <w:sz w:val="22"/>
          <w:szCs w:val="22"/>
        </w:rPr>
        <w:t xml:space="preserve"> interes </w:t>
      </w:r>
      <w:r w:rsidR="00206392" w:rsidRPr="006F2F86">
        <w:rPr>
          <w:sz w:val="22"/>
          <w:szCs w:val="22"/>
        </w:rPr>
        <w:t>oskarżonego</w:t>
      </w:r>
      <w:r w:rsidRPr="006F2F86">
        <w:rPr>
          <w:sz w:val="22"/>
          <w:szCs w:val="22"/>
        </w:rPr>
        <w:t>.</w:t>
      </w:r>
      <w:r w:rsidR="007F3DEE" w:rsidRPr="006F2F86">
        <w:rPr>
          <w:sz w:val="22"/>
          <w:szCs w:val="22"/>
        </w:rPr>
        <w:t xml:space="preserve"> Realia zadania wydają się zaś dawać pełne podstawy do kwestionowania rozstrzygnięcia Sądu w przedmiotowym zakresie i to z bardzo dużym prawdopodobieństwem uwzględnienia stosownego zarzutu przez Sąd II instancji.</w:t>
      </w:r>
      <w:r w:rsidRPr="006F2F86">
        <w:rPr>
          <w:sz w:val="22"/>
          <w:szCs w:val="22"/>
        </w:rPr>
        <w:t xml:space="preserve"> </w:t>
      </w:r>
      <w:r w:rsidR="00F7577D" w:rsidRPr="006F2F86">
        <w:rPr>
          <w:sz w:val="22"/>
          <w:szCs w:val="22"/>
        </w:rPr>
        <w:t xml:space="preserve"> </w:t>
      </w:r>
    </w:p>
    <w:p w:rsidR="006F2F86" w:rsidRPr="006F2F86" w:rsidRDefault="006F2F86" w:rsidP="006C4CFC">
      <w:pPr>
        <w:spacing w:line="360" w:lineRule="auto"/>
        <w:jc w:val="both"/>
        <w:rPr>
          <w:rFonts w:cs="A"/>
          <w:sz w:val="22"/>
          <w:szCs w:val="22"/>
        </w:rPr>
      </w:pPr>
    </w:p>
    <w:p w:rsidR="00E22AD5" w:rsidRPr="006F2F86" w:rsidRDefault="00456C7D" w:rsidP="00AD7CCA">
      <w:pPr>
        <w:spacing w:line="360" w:lineRule="auto"/>
        <w:jc w:val="both"/>
        <w:rPr>
          <w:sz w:val="22"/>
          <w:szCs w:val="22"/>
        </w:rPr>
      </w:pPr>
      <w:r w:rsidRPr="006F2F86">
        <w:rPr>
          <w:b/>
          <w:sz w:val="22"/>
          <w:szCs w:val="22"/>
        </w:rPr>
        <w:t>4</w:t>
      </w:r>
      <w:r w:rsidR="007F3DEE" w:rsidRPr="006F2F86">
        <w:rPr>
          <w:b/>
          <w:sz w:val="22"/>
          <w:szCs w:val="22"/>
        </w:rPr>
        <w:t>.</w:t>
      </w:r>
      <w:r w:rsidR="007F3DEE" w:rsidRPr="006F2F86">
        <w:rPr>
          <w:sz w:val="22"/>
          <w:szCs w:val="22"/>
        </w:rPr>
        <w:t xml:space="preserve"> Sąd Rejonowy błędnie też uznał, że przypisany oskarżonemu w punkcie 3 wyroku czyn został popełniony w warunkach art. 64 § 2 k.k. Jedną z koniecznych przesłanek recydywy wielokrotnej jest bowiem „uprzednie skazanie” w warunkach określonych w §</w:t>
      </w:r>
      <w:r w:rsidR="00B80826" w:rsidRPr="006F2F86">
        <w:rPr>
          <w:sz w:val="22"/>
          <w:szCs w:val="22"/>
        </w:rPr>
        <w:t xml:space="preserve"> 1 </w:t>
      </w:r>
      <w:r w:rsidR="007F3DEE" w:rsidRPr="006F2F86">
        <w:rPr>
          <w:sz w:val="22"/>
          <w:szCs w:val="22"/>
        </w:rPr>
        <w:t>art. 64 k.k.</w:t>
      </w:r>
      <w:r w:rsidR="00B80826" w:rsidRPr="006F2F86">
        <w:rPr>
          <w:sz w:val="22"/>
          <w:szCs w:val="22"/>
        </w:rPr>
        <w:t xml:space="preserve"> Prawomocnym wyrokiem </w:t>
      </w:r>
      <w:r w:rsidR="006F2F86">
        <w:rPr>
          <w:sz w:val="22"/>
          <w:szCs w:val="22"/>
        </w:rPr>
        <w:br/>
      </w:r>
      <w:r w:rsidR="00B80826" w:rsidRPr="006F2F86">
        <w:rPr>
          <w:sz w:val="22"/>
          <w:szCs w:val="22"/>
        </w:rPr>
        <w:t xml:space="preserve">z dnia 20 sierpnia 2012 r. Roman Kamiński został skazany za przestępstwo z art. 279 § 1 k.k., ale </w:t>
      </w:r>
      <w:r w:rsidR="006F2F86">
        <w:rPr>
          <w:sz w:val="22"/>
          <w:szCs w:val="22"/>
        </w:rPr>
        <w:br/>
      </w:r>
      <w:r w:rsidR="00B80826" w:rsidRPr="006F2F86">
        <w:rPr>
          <w:sz w:val="22"/>
          <w:szCs w:val="22"/>
        </w:rPr>
        <w:t xml:space="preserve">w podstawie skazania nie przyjęto art. 64 § 1 k.k., choć wcześniejsze jego skazanie wyrokiem z dnia 24 maja 2011 r. za przestępstwo z art. 278 § 1 k.k. i odbyta kara dawały podstawy do takiego rozstrzygnięcia. Sąd jednak </w:t>
      </w:r>
      <w:r w:rsidR="00AD7CCA" w:rsidRPr="006F2F86">
        <w:rPr>
          <w:sz w:val="22"/>
          <w:szCs w:val="22"/>
        </w:rPr>
        <w:t xml:space="preserve">w wyroku z dnia 20 sierpnia 2012 r. tego </w:t>
      </w:r>
      <w:r w:rsidR="00B80826" w:rsidRPr="006F2F86">
        <w:rPr>
          <w:sz w:val="22"/>
          <w:szCs w:val="22"/>
        </w:rPr>
        <w:t xml:space="preserve">nie uczynił. </w:t>
      </w:r>
      <w:r w:rsidR="00757801" w:rsidRPr="006F2F86">
        <w:rPr>
          <w:sz w:val="22"/>
          <w:szCs w:val="22"/>
        </w:rPr>
        <w:t>W rezultacie</w:t>
      </w:r>
      <w:r w:rsidR="00B80826" w:rsidRPr="006F2F86">
        <w:rPr>
          <w:sz w:val="22"/>
          <w:szCs w:val="22"/>
        </w:rPr>
        <w:t xml:space="preserve"> oskarżony nie został </w:t>
      </w:r>
      <w:r w:rsidR="00757801" w:rsidRPr="006F2F86">
        <w:rPr>
          <w:sz w:val="22"/>
          <w:szCs w:val="22"/>
        </w:rPr>
        <w:t>„</w:t>
      </w:r>
      <w:r w:rsidR="00B80826" w:rsidRPr="006F2F86">
        <w:rPr>
          <w:sz w:val="22"/>
          <w:szCs w:val="22"/>
        </w:rPr>
        <w:t>skazany</w:t>
      </w:r>
      <w:r w:rsidR="00757801" w:rsidRPr="006F2F86">
        <w:rPr>
          <w:sz w:val="22"/>
          <w:szCs w:val="22"/>
        </w:rPr>
        <w:t>”</w:t>
      </w:r>
      <w:r w:rsidR="00B80826" w:rsidRPr="006F2F86">
        <w:rPr>
          <w:sz w:val="22"/>
          <w:szCs w:val="22"/>
        </w:rPr>
        <w:t xml:space="preserve"> w warunkach określonych w art. 64 § 1 k.k., a samo </w:t>
      </w:r>
      <w:r w:rsidR="00757801" w:rsidRPr="006F2F86">
        <w:rPr>
          <w:sz w:val="22"/>
          <w:szCs w:val="22"/>
        </w:rPr>
        <w:t>„</w:t>
      </w:r>
      <w:r w:rsidR="00B80826" w:rsidRPr="006F2F86">
        <w:rPr>
          <w:sz w:val="22"/>
          <w:szCs w:val="22"/>
        </w:rPr>
        <w:t>popełnienie</w:t>
      </w:r>
      <w:r w:rsidR="00757801" w:rsidRPr="006F2F86">
        <w:rPr>
          <w:sz w:val="22"/>
          <w:szCs w:val="22"/>
        </w:rPr>
        <w:t>”</w:t>
      </w:r>
      <w:r w:rsidR="00B80826" w:rsidRPr="006F2F86">
        <w:rPr>
          <w:sz w:val="22"/>
          <w:szCs w:val="22"/>
        </w:rPr>
        <w:t xml:space="preserve"> czynu</w:t>
      </w:r>
      <w:r w:rsidR="00757801" w:rsidRPr="006F2F86">
        <w:rPr>
          <w:sz w:val="22"/>
          <w:szCs w:val="22"/>
        </w:rPr>
        <w:t xml:space="preserve"> w okolicznościach pozwalających</w:t>
      </w:r>
      <w:r w:rsidR="007F3DEE" w:rsidRPr="006F2F86">
        <w:rPr>
          <w:sz w:val="22"/>
          <w:szCs w:val="22"/>
        </w:rPr>
        <w:t xml:space="preserve"> </w:t>
      </w:r>
      <w:r w:rsidR="00757801" w:rsidRPr="006F2F86">
        <w:rPr>
          <w:sz w:val="22"/>
          <w:szCs w:val="22"/>
        </w:rPr>
        <w:t>na przyjęcie recydywy szczególnej podstawowej nie daje podstaw do zastosowania art. 64 § 2 k.k.</w:t>
      </w:r>
      <w:r w:rsidR="007F3DEE" w:rsidRPr="006F2F86">
        <w:rPr>
          <w:sz w:val="22"/>
          <w:szCs w:val="22"/>
        </w:rPr>
        <w:t xml:space="preserve"> </w:t>
      </w:r>
      <w:r w:rsidR="00DA584C" w:rsidRPr="006F2F86">
        <w:rPr>
          <w:rFonts w:cs="A"/>
          <w:sz w:val="22"/>
          <w:szCs w:val="22"/>
        </w:rPr>
        <w:tab/>
      </w:r>
      <w:r w:rsidR="00FB2425" w:rsidRPr="006F2F86">
        <w:rPr>
          <w:rFonts w:cs="A"/>
          <w:sz w:val="22"/>
          <w:szCs w:val="22"/>
        </w:rPr>
        <w:t xml:space="preserve"> </w:t>
      </w:r>
    </w:p>
    <w:sectPr w:rsidR="00E22AD5" w:rsidRPr="006F2F86" w:rsidSect="00E22AD5">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230E" w:rsidRDefault="00BF230E" w:rsidP="002A23CD">
      <w:r>
        <w:separator/>
      </w:r>
    </w:p>
  </w:endnote>
  <w:endnote w:type="continuationSeparator" w:id="0">
    <w:p w:rsidR="00BF230E" w:rsidRDefault="00BF230E" w:rsidP="002A23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A">
    <w:panose1 w:val="00000000000000000000"/>
    <w:charset w:val="EE"/>
    <w:family w:val="auto"/>
    <w:notTrueType/>
    <w:pitch w:val="default"/>
    <w:sig w:usb0="00000005" w:usb1="00000000" w:usb2="00000000" w:usb3="00000000" w:csb0="00000002"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7374422"/>
      <w:docPartObj>
        <w:docPartGallery w:val="Page Numbers (Bottom of Page)"/>
        <w:docPartUnique/>
      </w:docPartObj>
    </w:sdtPr>
    <w:sdtEndPr/>
    <w:sdtContent>
      <w:p w:rsidR="002A23CD" w:rsidRDefault="002A23CD">
        <w:pPr>
          <w:pStyle w:val="Stopka"/>
          <w:jc w:val="right"/>
        </w:pPr>
        <w:r>
          <w:fldChar w:fldCharType="begin"/>
        </w:r>
        <w:r>
          <w:instrText>PAGE   \* MERGEFORMAT</w:instrText>
        </w:r>
        <w:r>
          <w:fldChar w:fldCharType="separate"/>
        </w:r>
        <w:r w:rsidR="00BC103A">
          <w:rPr>
            <w:noProof/>
          </w:rPr>
          <w:t>1</w:t>
        </w:r>
        <w:r>
          <w:fldChar w:fldCharType="end"/>
        </w:r>
      </w:p>
    </w:sdtContent>
  </w:sdt>
  <w:p w:rsidR="002A23CD" w:rsidRDefault="002A23CD">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230E" w:rsidRDefault="00BF230E" w:rsidP="002A23CD">
      <w:r>
        <w:separator/>
      </w:r>
    </w:p>
  </w:footnote>
  <w:footnote w:type="continuationSeparator" w:id="0">
    <w:p w:rsidR="00BF230E" w:rsidRDefault="00BF230E" w:rsidP="002A23C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26206"/>
    <w:multiLevelType w:val="hybridMultilevel"/>
    <w:tmpl w:val="A3EC24E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0AA349E7"/>
    <w:multiLevelType w:val="hybridMultilevel"/>
    <w:tmpl w:val="3F96DD98"/>
    <w:lvl w:ilvl="0" w:tplc="F3E2D8F8">
      <w:start w:val="1"/>
      <w:numFmt w:val="decimal"/>
      <w:lvlText w:val="%1."/>
      <w:lvlJc w:val="left"/>
      <w:pPr>
        <w:ind w:left="720" w:hanging="360"/>
      </w:pPr>
      <w:rPr>
        <w:rFonts w:hint="default"/>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1D545901"/>
    <w:multiLevelType w:val="hybridMultilevel"/>
    <w:tmpl w:val="64F0B2C6"/>
    <w:lvl w:ilvl="0" w:tplc="0415000F">
      <w:start w:val="1"/>
      <w:numFmt w:val="decimal"/>
      <w:lvlText w:val="%1."/>
      <w:lvlJc w:val="left"/>
      <w:pPr>
        <w:tabs>
          <w:tab w:val="num" w:pos="360"/>
        </w:tabs>
        <w:ind w:left="360" w:hanging="360"/>
      </w:pPr>
    </w:lvl>
    <w:lvl w:ilvl="1" w:tplc="04150019">
      <w:start w:val="1"/>
      <w:numFmt w:val="decimal"/>
      <w:lvlText w:val="%2."/>
      <w:lvlJc w:val="left"/>
      <w:pPr>
        <w:tabs>
          <w:tab w:val="num" w:pos="1005"/>
        </w:tabs>
        <w:ind w:left="1005" w:hanging="360"/>
      </w:pPr>
    </w:lvl>
    <w:lvl w:ilvl="2" w:tplc="0415001B">
      <w:start w:val="1"/>
      <w:numFmt w:val="decimal"/>
      <w:lvlText w:val="%3."/>
      <w:lvlJc w:val="left"/>
      <w:pPr>
        <w:tabs>
          <w:tab w:val="num" w:pos="1725"/>
        </w:tabs>
        <w:ind w:left="1725" w:hanging="360"/>
      </w:pPr>
    </w:lvl>
    <w:lvl w:ilvl="3" w:tplc="0415000F">
      <w:start w:val="1"/>
      <w:numFmt w:val="decimal"/>
      <w:lvlText w:val="%4."/>
      <w:lvlJc w:val="left"/>
      <w:pPr>
        <w:tabs>
          <w:tab w:val="num" w:pos="2445"/>
        </w:tabs>
        <w:ind w:left="2445" w:hanging="360"/>
      </w:pPr>
    </w:lvl>
    <w:lvl w:ilvl="4" w:tplc="04150019">
      <w:start w:val="1"/>
      <w:numFmt w:val="decimal"/>
      <w:lvlText w:val="%5."/>
      <w:lvlJc w:val="left"/>
      <w:pPr>
        <w:tabs>
          <w:tab w:val="num" w:pos="3165"/>
        </w:tabs>
        <w:ind w:left="3165" w:hanging="360"/>
      </w:pPr>
    </w:lvl>
    <w:lvl w:ilvl="5" w:tplc="0415001B">
      <w:start w:val="1"/>
      <w:numFmt w:val="decimal"/>
      <w:lvlText w:val="%6."/>
      <w:lvlJc w:val="left"/>
      <w:pPr>
        <w:tabs>
          <w:tab w:val="num" w:pos="3885"/>
        </w:tabs>
        <w:ind w:left="3885" w:hanging="360"/>
      </w:pPr>
    </w:lvl>
    <w:lvl w:ilvl="6" w:tplc="0415000F">
      <w:start w:val="1"/>
      <w:numFmt w:val="decimal"/>
      <w:lvlText w:val="%7."/>
      <w:lvlJc w:val="left"/>
      <w:pPr>
        <w:tabs>
          <w:tab w:val="num" w:pos="4605"/>
        </w:tabs>
        <w:ind w:left="4605" w:hanging="360"/>
      </w:pPr>
    </w:lvl>
    <w:lvl w:ilvl="7" w:tplc="04150019">
      <w:start w:val="1"/>
      <w:numFmt w:val="decimal"/>
      <w:lvlText w:val="%8."/>
      <w:lvlJc w:val="left"/>
      <w:pPr>
        <w:tabs>
          <w:tab w:val="num" w:pos="5325"/>
        </w:tabs>
        <w:ind w:left="5325" w:hanging="360"/>
      </w:pPr>
    </w:lvl>
    <w:lvl w:ilvl="8" w:tplc="0415001B">
      <w:start w:val="1"/>
      <w:numFmt w:val="decimal"/>
      <w:lvlText w:val="%9."/>
      <w:lvlJc w:val="left"/>
      <w:pPr>
        <w:tabs>
          <w:tab w:val="num" w:pos="6045"/>
        </w:tabs>
        <w:ind w:left="6045" w:hanging="360"/>
      </w:pPr>
    </w:lvl>
  </w:abstractNum>
  <w:abstractNum w:abstractNumId="3">
    <w:nsid w:val="22C16F99"/>
    <w:multiLevelType w:val="hybridMultilevel"/>
    <w:tmpl w:val="27B0FCF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nsid w:val="593A5BFD"/>
    <w:multiLevelType w:val="hybridMultilevel"/>
    <w:tmpl w:val="9AE241D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5E4B356A"/>
    <w:multiLevelType w:val="hybridMultilevel"/>
    <w:tmpl w:val="C37034B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78F10D75"/>
    <w:multiLevelType w:val="hybridMultilevel"/>
    <w:tmpl w:val="0302C396"/>
    <w:lvl w:ilvl="0" w:tplc="0415000F">
      <w:start w:val="1"/>
      <w:numFmt w:val="decimal"/>
      <w:lvlText w:val="%1."/>
      <w:lvlJc w:val="left"/>
      <w:pPr>
        <w:ind w:left="1260" w:hanging="360"/>
      </w:pPr>
    </w:lvl>
    <w:lvl w:ilvl="1" w:tplc="04150019" w:tentative="1">
      <w:start w:val="1"/>
      <w:numFmt w:val="lowerLetter"/>
      <w:lvlText w:val="%2."/>
      <w:lvlJc w:val="left"/>
      <w:pPr>
        <w:ind w:left="1980" w:hanging="360"/>
      </w:pPr>
    </w:lvl>
    <w:lvl w:ilvl="2" w:tplc="0415001B" w:tentative="1">
      <w:start w:val="1"/>
      <w:numFmt w:val="lowerRoman"/>
      <w:lvlText w:val="%3."/>
      <w:lvlJc w:val="right"/>
      <w:pPr>
        <w:ind w:left="2700" w:hanging="180"/>
      </w:pPr>
    </w:lvl>
    <w:lvl w:ilvl="3" w:tplc="0415000F" w:tentative="1">
      <w:start w:val="1"/>
      <w:numFmt w:val="decimal"/>
      <w:lvlText w:val="%4."/>
      <w:lvlJc w:val="left"/>
      <w:pPr>
        <w:ind w:left="3420" w:hanging="360"/>
      </w:pPr>
    </w:lvl>
    <w:lvl w:ilvl="4" w:tplc="04150019" w:tentative="1">
      <w:start w:val="1"/>
      <w:numFmt w:val="lowerLetter"/>
      <w:lvlText w:val="%5."/>
      <w:lvlJc w:val="left"/>
      <w:pPr>
        <w:ind w:left="4140" w:hanging="360"/>
      </w:pPr>
    </w:lvl>
    <w:lvl w:ilvl="5" w:tplc="0415001B" w:tentative="1">
      <w:start w:val="1"/>
      <w:numFmt w:val="lowerRoman"/>
      <w:lvlText w:val="%6."/>
      <w:lvlJc w:val="right"/>
      <w:pPr>
        <w:ind w:left="4860" w:hanging="180"/>
      </w:pPr>
    </w:lvl>
    <w:lvl w:ilvl="6" w:tplc="0415000F" w:tentative="1">
      <w:start w:val="1"/>
      <w:numFmt w:val="decimal"/>
      <w:lvlText w:val="%7."/>
      <w:lvlJc w:val="left"/>
      <w:pPr>
        <w:ind w:left="5580" w:hanging="360"/>
      </w:pPr>
    </w:lvl>
    <w:lvl w:ilvl="7" w:tplc="04150019" w:tentative="1">
      <w:start w:val="1"/>
      <w:numFmt w:val="lowerLetter"/>
      <w:lvlText w:val="%8."/>
      <w:lvlJc w:val="left"/>
      <w:pPr>
        <w:ind w:left="6300" w:hanging="360"/>
      </w:pPr>
    </w:lvl>
    <w:lvl w:ilvl="8" w:tplc="0415001B" w:tentative="1">
      <w:start w:val="1"/>
      <w:numFmt w:val="lowerRoman"/>
      <w:lvlText w:val="%9."/>
      <w:lvlJc w:val="right"/>
      <w:pPr>
        <w:ind w:left="7020" w:hanging="180"/>
      </w:pPr>
    </w:lvl>
  </w:abstractNum>
  <w:num w:numId="1">
    <w:abstractNumId w:val="6"/>
  </w:num>
  <w:num w:numId="2">
    <w:abstractNumId w:val="5"/>
  </w:num>
  <w:num w:numId="3">
    <w:abstractNumId w:val="3"/>
  </w:num>
  <w:num w:numId="4">
    <w:abstractNumId w:val="0"/>
  </w:num>
  <w:num w:numId="5">
    <w:abstractNumId w:val="4"/>
  </w:num>
  <w:num w:numId="6">
    <w:abstractNumId w:val="1"/>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1B0F41"/>
    <w:rsid w:val="00097C18"/>
    <w:rsid w:val="000A3C02"/>
    <w:rsid w:val="000E0FF0"/>
    <w:rsid w:val="000E2053"/>
    <w:rsid w:val="000E6BD7"/>
    <w:rsid w:val="00152A11"/>
    <w:rsid w:val="001B0F41"/>
    <w:rsid w:val="001E5B4C"/>
    <w:rsid w:val="001F68D1"/>
    <w:rsid w:val="00206392"/>
    <w:rsid w:val="002116CD"/>
    <w:rsid w:val="00211A3F"/>
    <w:rsid w:val="0027320A"/>
    <w:rsid w:val="002A23CD"/>
    <w:rsid w:val="002F3AE8"/>
    <w:rsid w:val="003059ED"/>
    <w:rsid w:val="00342EAB"/>
    <w:rsid w:val="0045230F"/>
    <w:rsid w:val="00456C7D"/>
    <w:rsid w:val="004762D0"/>
    <w:rsid w:val="00480AC2"/>
    <w:rsid w:val="0048706C"/>
    <w:rsid w:val="0049157A"/>
    <w:rsid w:val="004A20E3"/>
    <w:rsid w:val="004A6C49"/>
    <w:rsid w:val="004C7A30"/>
    <w:rsid w:val="00502E21"/>
    <w:rsid w:val="00561B76"/>
    <w:rsid w:val="00595526"/>
    <w:rsid w:val="005C751A"/>
    <w:rsid w:val="00693FEA"/>
    <w:rsid w:val="006945E1"/>
    <w:rsid w:val="006C4CFC"/>
    <w:rsid w:val="006E03F0"/>
    <w:rsid w:val="006F2F86"/>
    <w:rsid w:val="007226C8"/>
    <w:rsid w:val="00757801"/>
    <w:rsid w:val="007801E4"/>
    <w:rsid w:val="00785BAD"/>
    <w:rsid w:val="007A16B1"/>
    <w:rsid w:val="007C074F"/>
    <w:rsid w:val="007E29B8"/>
    <w:rsid w:val="007F3DEE"/>
    <w:rsid w:val="008078A1"/>
    <w:rsid w:val="008465B6"/>
    <w:rsid w:val="00897A1A"/>
    <w:rsid w:val="008B5DFE"/>
    <w:rsid w:val="008F2A5C"/>
    <w:rsid w:val="00916B79"/>
    <w:rsid w:val="009337F7"/>
    <w:rsid w:val="00957D3E"/>
    <w:rsid w:val="00960902"/>
    <w:rsid w:val="00961020"/>
    <w:rsid w:val="009B6C1C"/>
    <w:rsid w:val="009D6B7F"/>
    <w:rsid w:val="00A45CC8"/>
    <w:rsid w:val="00A77B3A"/>
    <w:rsid w:val="00A95D67"/>
    <w:rsid w:val="00AD7CCA"/>
    <w:rsid w:val="00B07E0C"/>
    <w:rsid w:val="00B80826"/>
    <w:rsid w:val="00BA57F3"/>
    <w:rsid w:val="00BA589F"/>
    <w:rsid w:val="00BB432A"/>
    <w:rsid w:val="00BC103A"/>
    <w:rsid w:val="00BE7C52"/>
    <w:rsid w:val="00BF230E"/>
    <w:rsid w:val="00C43E5F"/>
    <w:rsid w:val="00C65F94"/>
    <w:rsid w:val="00CC7222"/>
    <w:rsid w:val="00CD2CC3"/>
    <w:rsid w:val="00D30149"/>
    <w:rsid w:val="00D53116"/>
    <w:rsid w:val="00D64473"/>
    <w:rsid w:val="00D9755A"/>
    <w:rsid w:val="00DA584C"/>
    <w:rsid w:val="00DC77D1"/>
    <w:rsid w:val="00DF461A"/>
    <w:rsid w:val="00E22AD5"/>
    <w:rsid w:val="00E231EA"/>
    <w:rsid w:val="00E84CE1"/>
    <w:rsid w:val="00EB7087"/>
    <w:rsid w:val="00EF3675"/>
    <w:rsid w:val="00F243DE"/>
    <w:rsid w:val="00F7577D"/>
    <w:rsid w:val="00F82073"/>
    <w:rsid w:val="00FB2425"/>
    <w:rsid w:val="00FB54EB"/>
    <w:rsid w:val="00FF0F6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1B0F41"/>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1B0F41"/>
    <w:pPr>
      <w:ind w:left="720"/>
      <w:contextualSpacing/>
    </w:pPr>
  </w:style>
  <w:style w:type="paragraph" w:styleId="Nagwek">
    <w:name w:val="header"/>
    <w:basedOn w:val="Normalny"/>
    <w:link w:val="NagwekZnak"/>
    <w:uiPriority w:val="99"/>
    <w:unhideWhenUsed/>
    <w:rsid w:val="002A23CD"/>
    <w:pPr>
      <w:tabs>
        <w:tab w:val="center" w:pos="4536"/>
        <w:tab w:val="right" w:pos="9072"/>
      </w:tabs>
    </w:pPr>
  </w:style>
  <w:style w:type="character" w:customStyle="1" w:styleId="NagwekZnak">
    <w:name w:val="Nagłówek Znak"/>
    <w:basedOn w:val="Domylnaczcionkaakapitu"/>
    <w:link w:val="Nagwek"/>
    <w:uiPriority w:val="99"/>
    <w:rsid w:val="002A23CD"/>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2A23CD"/>
    <w:pPr>
      <w:tabs>
        <w:tab w:val="center" w:pos="4536"/>
        <w:tab w:val="right" w:pos="9072"/>
      </w:tabs>
    </w:pPr>
  </w:style>
  <w:style w:type="character" w:customStyle="1" w:styleId="StopkaZnak">
    <w:name w:val="Stopka Znak"/>
    <w:basedOn w:val="Domylnaczcionkaakapitu"/>
    <w:link w:val="Stopka"/>
    <w:uiPriority w:val="99"/>
    <w:rsid w:val="002A23CD"/>
    <w:rPr>
      <w:rFonts w:ascii="Times New Roman" w:eastAsia="Times New Roman" w:hAnsi="Times New Roman" w:cs="Times New Roman"/>
      <w:sz w:val="24"/>
      <w:szCs w:val="24"/>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94909">
      <w:bodyDiv w:val="1"/>
      <w:marLeft w:val="0"/>
      <w:marRight w:val="0"/>
      <w:marTop w:val="0"/>
      <w:marBottom w:val="0"/>
      <w:divBdr>
        <w:top w:val="none" w:sz="0" w:space="0" w:color="auto"/>
        <w:left w:val="none" w:sz="0" w:space="0" w:color="auto"/>
        <w:bottom w:val="none" w:sz="0" w:space="0" w:color="auto"/>
        <w:right w:val="none" w:sz="0" w:space="0" w:color="auto"/>
      </w:divBdr>
    </w:div>
    <w:div w:id="1067193406">
      <w:bodyDiv w:val="1"/>
      <w:marLeft w:val="0"/>
      <w:marRight w:val="0"/>
      <w:marTop w:val="0"/>
      <w:marBottom w:val="0"/>
      <w:divBdr>
        <w:top w:val="none" w:sz="0" w:space="0" w:color="auto"/>
        <w:left w:val="none" w:sz="0" w:space="0" w:color="auto"/>
        <w:bottom w:val="none" w:sz="0" w:space="0" w:color="auto"/>
        <w:right w:val="none" w:sz="0" w:space="0" w:color="auto"/>
      </w:divBdr>
    </w:div>
    <w:div w:id="1766993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815</TotalTime>
  <Pages>2</Pages>
  <Words>731</Words>
  <Characters>4388</Characters>
  <Application>Microsoft Office Word</Application>
  <DocSecurity>0</DocSecurity>
  <Lines>36</Lines>
  <Paragraphs>10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5109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oem</dc:creator>
  <cp:lastModifiedBy>Łoboda Agata  (DZP)</cp:lastModifiedBy>
  <cp:revision>37</cp:revision>
  <cp:lastPrinted>2016-02-11T14:00:00Z</cp:lastPrinted>
  <dcterms:created xsi:type="dcterms:W3CDTF">2014-01-22T14:44:00Z</dcterms:created>
  <dcterms:modified xsi:type="dcterms:W3CDTF">2016-03-21T14:38:00Z</dcterms:modified>
</cp:coreProperties>
</file>