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E0DC" w14:textId="07A32899" w:rsidR="005044D6" w:rsidRDefault="005044D6" w:rsidP="005044D6">
      <w:pPr>
        <w:jc w:val="center"/>
        <w:rPr>
          <w:rFonts w:eastAsia="Times New Roman"/>
        </w:rPr>
      </w:pPr>
      <w:r w:rsidRPr="005044D6">
        <w:rPr>
          <w:rFonts w:eastAsia="Times New Roman"/>
        </w:rPr>
        <w:t>Petycja w sprawie zmiany przepisów ustawy o cmentarzach i chowaniu zmarłych</w:t>
      </w:r>
    </w:p>
    <w:p w14:paraId="4E1E55CA" w14:textId="77777777" w:rsidR="005044D6" w:rsidRDefault="005044D6" w:rsidP="005044D6">
      <w:pPr>
        <w:rPr>
          <w:rFonts w:eastAsia="Times New Roman"/>
        </w:rPr>
      </w:pPr>
    </w:p>
    <w:p w14:paraId="471E40E0" w14:textId="2E3BFB24"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Szanowni Państwo </w:t>
      </w:r>
    </w:p>
    <w:p w14:paraId="6EAB9FBF"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 Ministerstwo Zdrowia </w:t>
      </w:r>
    </w:p>
    <w:p w14:paraId="491C6270"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 Ministerstwo Rozwoju </w:t>
      </w:r>
    </w:p>
    <w:p w14:paraId="60F94CDC"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 Ministerstwo Sprawiedliwości </w:t>
      </w:r>
    </w:p>
    <w:p w14:paraId="57067C85" w14:textId="77777777" w:rsidR="005044D6" w:rsidRPr="005044D6" w:rsidRDefault="005044D6" w:rsidP="005044D6">
      <w:pPr>
        <w:jc w:val="both"/>
        <w:rPr>
          <w:rFonts w:ascii="Arial" w:eastAsia="Times New Roman" w:hAnsi="Arial" w:cs="Arial"/>
        </w:rPr>
      </w:pPr>
    </w:p>
    <w:p w14:paraId="2EE3EA09" w14:textId="77777777" w:rsidR="005044D6" w:rsidRPr="005044D6" w:rsidRDefault="005044D6" w:rsidP="005044D6">
      <w:pPr>
        <w:jc w:val="both"/>
        <w:rPr>
          <w:rFonts w:ascii="Arial" w:eastAsia="Times New Roman" w:hAnsi="Arial" w:cs="Arial"/>
          <w:sz w:val="21"/>
          <w:szCs w:val="21"/>
        </w:rPr>
      </w:pPr>
      <w:r w:rsidRPr="005044D6">
        <w:rPr>
          <w:rFonts w:ascii="Arial" w:eastAsia="Times New Roman" w:hAnsi="Arial" w:cs="Arial"/>
          <w:sz w:val="23"/>
          <w:szCs w:val="23"/>
        </w:rPr>
        <w:t xml:space="preserve">PETYCJA W INTERESIE PUBLICZNYM </w:t>
      </w:r>
    </w:p>
    <w:p w14:paraId="78962E70" w14:textId="77777777" w:rsidR="005044D6" w:rsidRPr="005044D6" w:rsidRDefault="005044D6" w:rsidP="005044D6">
      <w:pPr>
        <w:jc w:val="both"/>
        <w:rPr>
          <w:rFonts w:ascii="Arial" w:eastAsia="Times New Roman" w:hAnsi="Arial" w:cs="Arial"/>
          <w:sz w:val="21"/>
          <w:szCs w:val="21"/>
        </w:rPr>
      </w:pPr>
      <w:r w:rsidRPr="005044D6">
        <w:rPr>
          <w:rFonts w:ascii="Arial" w:eastAsia="Times New Roman" w:hAnsi="Arial" w:cs="Arial"/>
          <w:sz w:val="23"/>
          <w:szCs w:val="23"/>
        </w:rPr>
        <w:t>ZŁOŻONA W TRYBIE KOMUNIKACJI ELEKTRONICZNEJ W CELU WYKORZYSTANIA TREŚCI W TERAŹNIEJSZOŚCI LUB PRZYSZŁOŚCI</w:t>
      </w:r>
    </w:p>
    <w:p w14:paraId="3480705B" w14:textId="77777777" w:rsidR="005044D6" w:rsidRPr="005044D6" w:rsidRDefault="005044D6" w:rsidP="005044D6">
      <w:pPr>
        <w:jc w:val="both"/>
        <w:rPr>
          <w:rFonts w:ascii="Arial" w:eastAsia="Times New Roman" w:hAnsi="Arial" w:cs="Arial"/>
        </w:rPr>
      </w:pPr>
    </w:p>
    <w:p w14:paraId="3E631BAA"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Dzień dobry, działając w trybie Ustawy o petycjach z dnia 11 lipca 2014 roku (tj. Dz. U. 2018 poz. 870) w związku z art. 54 w związku z art. 63 Konstytucji z dnia 2 kwietnia 1997 roku (Dz. U. 1997 nr 78 poz. 483) przekładam petycję w przedmiocie : </w:t>
      </w:r>
      <w:r w:rsidRPr="005044D6">
        <w:rPr>
          <w:rFonts w:ascii="Arial" w:eastAsia="Times New Roman" w:hAnsi="Arial" w:cs="Arial"/>
          <w:color w:val="212529"/>
          <w:sz w:val="24"/>
          <w:szCs w:val="24"/>
        </w:rPr>
        <w:t>podjęcia rozstrzygnięcia lub innego działania w sprawie dotyczącej życia zbiorowego, wartości wymagających szczególnej ochrony w imię dobra wspólnego, mieszczących się w zakresie zadań i kompetencji adresata petycji</w:t>
      </w:r>
    </w:p>
    <w:p w14:paraId="7B2922F8"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 w temacie i celu : usprawnienia systemu prawnego </w:t>
      </w:r>
    </w:p>
    <w:p w14:paraId="742F789B" w14:textId="77777777" w:rsidR="005044D6" w:rsidRPr="005044D6" w:rsidRDefault="005044D6" w:rsidP="005044D6">
      <w:pPr>
        <w:jc w:val="both"/>
        <w:rPr>
          <w:rFonts w:ascii="Arial" w:eastAsia="Times New Roman" w:hAnsi="Arial" w:cs="Arial"/>
        </w:rPr>
      </w:pPr>
    </w:p>
    <w:p w14:paraId="5C32BD88"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1. Zakład / Zakłady pogrzebowe na terenie samorządu gminnego zostają połączone w jeden zakład budżetowy jednostki samorządu terytorialnego gminy z uwagi na zadanie własne - art. 7 ust. 1 pkt. 13) dzięki temu ceny usług będą zrównane a nawet mogą być usługi nieodpłatne. </w:t>
      </w:r>
    </w:p>
    <w:p w14:paraId="219DE18D"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2. Cmentarze parafialne na terenie samorządu gminnego stają się cmentarzami gminnymi (komunalnymi) przy czym parafia staje się ciałem doradczym samorządu gminnego jako podmiotu tworzącego lub parafia staje się zarządzającym podmiotu tworzącego gminy. </w:t>
      </w:r>
    </w:p>
    <w:p w14:paraId="40E29B37"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3. Ceny trumien, urn, usług pogrzebowych, kolor trumny, ceny pomnika, ceny grobu, kolor pomnika jest uchwalany przez samorząd gminy przy czym cena, kolor jest jednakowy dla wszystkich zmarłych by traktować zmarłych i rodziny zmarłych na równi. </w:t>
      </w:r>
    </w:p>
    <w:p w14:paraId="50696146"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4. Zakład pogrzebowy zabierający zwłoki z wypadku winien użyć noszy i kapsuły lub kapsuły lub trumny lub wózka do transportu zwłok jak w podmiotach leczniczych. Zakazuje się użycia noszy, worka na zwłoki koloru białego, czarnego i innego typu - celem zapobiegania szoku dla rodziny z powodu umieszczenia zwłok w worku przez co rodzina może to różnie odbierać. </w:t>
      </w:r>
    </w:p>
    <w:p w14:paraId="75C5A187"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5. Zakład pogrzebowy zabierający zwłoki z domu winien użyć noszy i kapsuły lub kapsuły lub trumny lub wózka do transportu zwłok jak w podmiotach leczniczych. Zakazuje się użycia noszy, worka na zwłoki koloru białego, czarnego i innego typu - celem zapobiegania szoku dla rodziny z powodu umieszczenia zwłok w worku przez co rodzina może to różnie odbierać. </w:t>
      </w:r>
    </w:p>
    <w:p w14:paraId="39D2B5D9"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6. Zakład pogrzebowy winien zapewnić nieodpłatnie darmową pomoc i opiekę do 6 miesięcy : prawnika, notariusza, psychologa, psychiatrę, terapeutę. </w:t>
      </w:r>
    </w:p>
    <w:p w14:paraId="63971EC5"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7. Lekarz stwierdzający zgon z urzędu zobowiązany jest do przekazania karty zgonu - miejscowemu Kierownikowi Urzędu Stanu Cywilnego i zakładu pogrzebowego jednostki budżetowej gminy - celem zminimalizowania obciążeniami rodziny osoby zmarłej. </w:t>
      </w:r>
    </w:p>
    <w:p w14:paraId="37845CB5"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8. Zwłoki osoby zmarłej w Szpitalu trafiają do chłodni w trumnie lub kapsule. Nie jak dotychczas przykryci prześcieradłem lub leżący w workach. </w:t>
      </w:r>
    </w:p>
    <w:p w14:paraId="6BE5703B" w14:textId="77777777" w:rsidR="005044D6" w:rsidRPr="005044D6" w:rsidRDefault="005044D6" w:rsidP="005044D6">
      <w:pPr>
        <w:jc w:val="both"/>
        <w:rPr>
          <w:rFonts w:ascii="Arial" w:eastAsia="Times New Roman" w:hAnsi="Arial" w:cs="Arial"/>
        </w:rPr>
      </w:pPr>
    </w:p>
    <w:p w14:paraId="5C0F7786" w14:textId="77777777" w:rsidR="005044D6" w:rsidRPr="005044D6" w:rsidRDefault="005044D6" w:rsidP="005044D6">
      <w:pPr>
        <w:jc w:val="both"/>
        <w:rPr>
          <w:rFonts w:ascii="Arial" w:eastAsia="Times New Roman" w:hAnsi="Arial" w:cs="Arial"/>
        </w:rPr>
      </w:pPr>
      <w:r w:rsidRPr="005044D6">
        <w:rPr>
          <w:rFonts w:ascii="Arial" w:eastAsia="Times New Roman" w:hAnsi="Arial" w:cs="Arial"/>
          <w:color w:val="3C4043"/>
          <w:sz w:val="21"/>
          <w:szCs w:val="21"/>
        </w:rPr>
        <w:t xml:space="preserve">Adnotacje: </w:t>
      </w:r>
    </w:p>
    <w:p w14:paraId="586945B1"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(1) - Za ewentualne błędy przepraszam oraz z uwagi na stan epidemii - proszę o odpowiedź tylko i wyłącznie na adres e-mailowy. </w:t>
      </w:r>
    </w:p>
    <w:p w14:paraId="59A3745C" w14:textId="77777777" w:rsidR="005044D6" w:rsidRPr="005044D6" w:rsidRDefault="005044D6" w:rsidP="005044D6">
      <w:pPr>
        <w:jc w:val="both"/>
        <w:rPr>
          <w:rFonts w:ascii="Arial" w:eastAsia="Times New Roman" w:hAnsi="Arial" w:cs="Arial"/>
        </w:rPr>
      </w:pPr>
      <w:r w:rsidRPr="005044D6">
        <w:rPr>
          <w:rFonts w:ascii="Arial" w:eastAsia="Times New Roman" w:hAnsi="Arial" w:cs="Arial"/>
        </w:rPr>
        <w:t xml:space="preserve">(2) - Nie wyrażam zgody na podstawie ustawy o petycjach i ustawie o dostępie do informacji publicznej na publikację danych osobowych oraz umieszczenie danych w projektowanej uchwale, uzasadnieniu, uchwale organu stanowiącego, protokołach komisji oraz udostępnieniu danych m.in na sesjach z posiedzeń komisji, sesjach organu stanowiącego itd. w związku z rozpatrywaną petycją. </w:t>
      </w:r>
    </w:p>
    <w:p w14:paraId="6EB3DE30" w14:textId="77777777" w:rsidR="005044D6" w:rsidRPr="005044D6" w:rsidRDefault="005044D6" w:rsidP="005044D6">
      <w:pPr>
        <w:jc w:val="both"/>
        <w:rPr>
          <w:rFonts w:ascii="Arial" w:eastAsia="Times New Roman" w:hAnsi="Arial" w:cs="Arial"/>
        </w:rPr>
      </w:pPr>
    </w:p>
    <w:p w14:paraId="0792C523" w14:textId="7AAFE210" w:rsidR="00683F21" w:rsidRPr="005044D6" w:rsidRDefault="005044D6" w:rsidP="005044D6">
      <w:pPr>
        <w:jc w:val="both"/>
        <w:rPr>
          <w:rFonts w:ascii="Arial" w:eastAsia="Times New Roman" w:hAnsi="Arial" w:cs="Arial"/>
        </w:rPr>
      </w:pPr>
      <w:r w:rsidRPr="005044D6">
        <w:rPr>
          <w:rFonts w:ascii="Arial" w:eastAsia="Times New Roman" w:hAnsi="Arial" w:cs="Arial"/>
        </w:rPr>
        <w:t xml:space="preserve">Z wyrazami szacunku </w:t>
      </w:r>
    </w:p>
    <w:sectPr w:rsidR="00683F21" w:rsidRPr="00504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D6"/>
    <w:rsid w:val="005044D6"/>
    <w:rsid w:val="00683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BE75"/>
  <w15:chartTrackingRefBased/>
  <w15:docId w15:val="{77DD841E-D045-4B1A-A1A6-D13623EB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44D6"/>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485</Words>
  <Characters>2910</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Masiewicz Grzegorz</dc:creator>
  <cp:keywords/>
  <dc:description/>
  <cp:lastModifiedBy>Masiewicz Grzegorz</cp:lastModifiedBy>
  <cp:revision>1</cp:revision>
  <dcterms:created xsi:type="dcterms:W3CDTF">2022-02-08T08:27:00Z</dcterms:created>
  <dcterms:modified xsi:type="dcterms:W3CDTF">2022-02-08T08:31:00Z</dcterms:modified>
</cp:coreProperties>
</file>