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DCB1" w14:textId="77777777" w:rsidR="00532E6E" w:rsidRDefault="00DE24E8" w:rsidP="00DE24E8">
      <w:pPr>
        <w:jc w:val="right"/>
        <w:rPr>
          <w:rFonts w:ascii="Calibri" w:hAnsi="Calibri" w:cs="Calibri"/>
        </w:rPr>
      </w:pPr>
      <w:r w:rsidRPr="00DE24E8">
        <w:rPr>
          <w:rFonts w:ascii="Calibri" w:hAnsi="Calibri" w:cs="Calibri"/>
        </w:rPr>
        <w:t>Załącznik nr 1 do Umowy nr</w:t>
      </w:r>
    </w:p>
    <w:p w14:paraId="66E05AC7" w14:textId="0741518A" w:rsidR="00DE24E8" w:rsidRPr="00DE24E8" w:rsidRDefault="00DE24E8" w:rsidP="00DE24E8">
      <w:pPr>
        <w:jc w:val="right"/>
        <w:rPr>
          <w:rFonts w:ascii="Calibri" w:hAnsi="Calibri" w:cs="Calibri"/>
        </w:rPr>
      </w:pPr>
      <w:r w:rsidRPr="00DE24E8">
        <w:rPr>
          <w:rFonts w:ascii="Calibri" w:hAnsi="Calibri" w:cs="Calibri"/>
        </w:rPr>
        <w:t>– Opis przedmiotu zamówienia (OPZ)</w:t>
      </w:r>
    </w:p>
    <w:p w14:paraId="6D953325" w14:textId="77777777" w:rsidR="00DE24E8" w:rsidRDefault="00DE24E8" w:rsidP="00DE24E8">
      <w:pPr>
        <w:jc w:val="center"/>
        <w:rPr>
          <w:b/>
          <w:bCs/>
        </w:rPr>
      </w:pPr>
    </w:p>
    <w:p w14:paraId="1F1E6A91" w14:textId="517416A2" w:rsidR="00DE24E8" w:rsidRDefault="00DE24E8" w:rsidP="00DE24E8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14:paraId="23320BB5" w14:textId="74524A83" w:rsidR="00DE24E8" w:rsidRDefault="00DE24E8" w:rsidP="00DE24E8">
      <w:r w:rsidRPr="00DE24E8">
        <w:t xml:space="preserve">Przedmiotem zamówienia jest </w:t>
      </w:r>
      <w:r w:rsidR="00532E6E">
        <w:t>audyt wraz z rekomendacjami</w:t>
      </w:r>
      <w:r w:rsidR="00E93892">
        <w:t xml:space="preserve"> i opiniami</w:t>
      </w:r>
      <w:r w:rsidRPr="00DE24E8">
        <w:t xml:space="preserve"> w obszarze </w:t>
      </w:r>
      <w:r w:rsidR="00532E6E">
        <w:t xml:space="preserve">realizacji </w:t>
      </w:r>
      <w:r w:rsidR="00EB40B0">
        <w:t>projektu</w:t>
      </w:r>
      <w:r w:rsidR="00532E6E">
        <w:t xml:space="preserve"> Cyfrowy Sąd </w:t>
      </w:r>
      <w:r w:rsidRPr="00DE24E8">
        <w:t>w zakresie: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2237"/>
        <w:gridCol w:w="3812"/>
        <w:gridCol w:w="3732"/>
      </w:tblGrid>
      <w:tr w:rsidR="00C332AB" w:rsidRPr="00C332AB" w14:paraId="36658683" w14:textId="77777777" w:rsidTr="00307199">
        <w:tc>
          <w:tcPr>
            <w:tcW w:w="2237" w:type="dxa"/>
            <w:shd w:val="clear" w:color="auto" w:fill="215E99" w:themeFill="text2" w:themeFillTint="BF"/>
          </w:tcPr>
          <w:p w14:paraId="488B4DD9" w14:textId="15FEE837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OBSZAR ZARZĄDCZY</w:t>
            </w:r>
          </w:p>
        </w:tc>
        <w:tc>
          <w:tcPr>
            <w:tcW w:w="3812" w:type="dxa"/>
            <w:shd w:val="clear" w:color="auto" w:fill="215E99" w:themeFill="text2" w:themeFillTint="BF"/>
          </w:tcPr>
          <w:p w14:paraId="23364FBB" w14:textId="77C16C34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PRZYKŁADOWE TECHNIKI ANALITYCZNE I EWALUACYJNE</w:t>
            </w:r>
          </w:p>
        </w:tc>
        <w:tc>
          <w:tcPr>
            <w:tcW w:w="3732" w:type="dxa"/>
            <w:shd w:val="clear" w:color="auto" w:fill="215E99" w:themeFill="text2" w:themeFillTint="BF"/>
          </w:tcPr>
          <w:p w14:paraId="759D80DD" w14:textId="6ED5BB69" w:rsidR="00A65006" w:rsidRPr="00C332AB" w:rsidRDefault="00C332AB" w:rsidP="00C332AB">
            <w:pPr>
              <w:jc w:val="center"/>
              <w:rPr>
                <w:b/>
                <w:bCs/>
                <w:color w:val="FFFFFF" w:themeColor="background1"/>
              </w:rPr>
            </w:pPr>
            <w:r w:rsidRPr="00C332AB">
              <w:rPr>
                <w:b/>
                <w:bCs/>
                <w:color w:val="FFFFFF" w:themeColor="background1"/>
              </w:rPr>
              <w:t>OCZEKIWANY REZULTAT WSPÓŁPRACY</w:t>
            </w:r>
          </w:p>
        </w:tc>
      </w:tr>
      <w:tr w:rsidR="00A65006" w14:paraId="59905C1A" w14:textId="77777777" w:rsidTr="00307199">
        <w:tc>
          <w:tcPr>
            <w:tcW w:w="2237" w:type="dxa"/>
          </w:tcPr>
          <w:p w14:paraId="16E6D974" w14:textId="5DF1D9C0" w:rsidR="00A65006" w:rsidRPr="000A0E5B" w:rsidRDefault="00E3541A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jakości OPZ</w:t>
            </w:r>
          </w:p>
        </w:tc>
        <w:tc>
          <w:tcPr>
            <w:tcW w:w="3812" w:type="dxa"/>
          </w:tcPr>
          <w:p w14:paraId="3130F209" w14:textId="6EADFE7F" w:rsidR="00A65006" w:rsidRDefault="00B72CC6" w:rsidP="00B72CC6">
            <w:r w:rsidRPr="00B72CC6">
              <w:t>Analiza kompletności, jednoznaczności i spójności zapisów OPZ/SIWZ w zakresie definicji produktów projektu, wymagań funkcjonalnych i niefunkcjonalnych, kryteriów odbioru oraz zgodności zapisów z celami projektu i późniejszą realizacją umowy</w:t>
            </w:r>
          </w:p>
        </w:tc>
        <w:tc>
          <w:tcPr>
            <w:tcW w:w="3732" w:type="dxa"/>
          </w:tcPr>
          <w:p w14:paraId="3DC21444" w14:textId="33C05BBB" w:rsidR="00A65006" w:rsidRDefault="00B72CC6">
            <w:r w:rsidRPr="00B72CC6">
              <w:t>Rekomendacje dotyczące doprecyzowania i standaryzacji zapisów OPZ, w szczególności w zakresie jednoznacznego definiowania produktów, wymagań funkcjonalnych i jakościowych oraz kryteriów odbioru, w celu ograniczenia ryzyka rozbieżności interpretacyjnych i sporów z wykonawcami.</w:t>
            </w:r>
          </w:p>
        </w:tc>
      </w:tr>
      <w:tr w:rsidR="00A65006" w14:paraId="015E5F20" w14:textId="77777777" w:rsidTr="00307199">
        <w:tc>
          <w:tcPr>
            <w:tcW w:w="2237" w:type="dxa"/>
          </w:tcPr>
          <w:p w14:paraId="497E5DF9" w14:textId="77777777" w:rsidR="00A65006" w:rsidRDefault="00E3541A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skuteczności zarządzania projektem</w:t>
            </w:r>
            <w:r w:rsidR="00B3721E">
              <w:rPr>
                <w:b/>
                <w:bCs/>
              </w:rPr>
              <w:t xml:space="preserve"> w tym:</w:t>
            </w:r>
          </w:p>
          <w:p w14:paraId="006DFB94" w14:textId="06129054" w:rsidR="00B3721E" w:rsidRPr="00F67E93" w:rsidRDefault="00B3721E" w:rsidP="00B3721E">
            <w:pPr>
              <w:pStyle w:val="Akapitzlist"/>
              <w:numPr>
                <w:ilvl w:val="0"/>
                <w:numId w:val="14"/>
              </w:numPr>
              <w:tabs>
                <w:tab w:val="left" w:pos="366"/>
              </w:tabs>
            </w:pPr>
            <w:r w:rsidRPr="00F67E93">
              <w:t>ocena dojrzałości organizacyjnej i polityki kadrowej</w:t>
            </w:r>
          </w:p>
        </w:tc>
        <w:tc>
          <w:tcPr>
            <w:tcW w:w="3812" w:type="dxa"/>
          </w:tcPr>
          <w:p w14:paraId="7DF91F9C" w14:textId="77777777" w:rsidR="00E3541A" w:rsidRPr="00E93892" w:rsidRDefault="00E3541A" w:rsidP="00B3721E">
            <w:pPr>
              <w:ind w:left="360"/>
            </w:pPr>
            <w:r w:rsidRPr="00E93892">
              <w:t>Ocena, czy zaproponowana metodyka realizacji projektu była adekwatna do wymagań projektu oraz cech organizacji oraz czynników ryzyka oraz harmonogramu w tym:</w:t>
            </w:r>
          </w:p>
          <w:p w14:paraId="593E9B8E" w14:textId="77777777" w:rsidR="00E3541A" w:rsidRPr="00E93892" w:rsidRDefault="00E3541A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 xml:space="preserve">Czy wybrana metodyka była adekwatna ? </w:t>
            </w:r>
          </w:p>
          <w:p w14:paraId="51E28867" w14:textId="77777777" w:rsidR="00E3541A" w:rsidRPr="00E93892" w:rsidRDefault="00E3541A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 xml:space="preserve">czy istniała formalna struktura zarządzania, </w:t>
            </w:r>
          </w:p>
          <w:p w14:paraId="7A97ADE2" w14:textId="77777777" w:rsidR="00E3541A" w:rsidRPr="00E93892" w:rsidRDefault="00E3541A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 xml:space="preserve">czy decyzje były podejmowane terminowo, </w:t>
            </w:r>
          </w:p>
          <w:p w14:paraId="27F6A878" w14:textId="77777777" w:rsidR="00E3541A" w:rsidRPr="00E93892" w:rsidRDefault="00E3541A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 xml:space="preserve">czy funkcjonował Komitet Sterujący. </w:t>
            </w:r>
          </w:p>
          <w:p w14:paraId="3DB0267C" w14:textId="27434F9A" w:rsidR="00B3721E" w:rsidRPr="00E93892" w:rsidRDefault="00FF2BFC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>w</w:t>
            </w:r>
            <w:r w:rsidR="00B3721E" w:rsidRPr="00E93892">
              <w:t>eryfikacja obsady kluczowych ról zarządczych i merytorycznych wynikających z Planu Projektu</w:t>
            </w:r>
          </w:p>
          <w:p w14:paraId="29C12A75" w14:textId="423334F6" w:rsidR="00B3721E" w:rsidRPr="00E93892" w:rsidRDefault="00FF2BFC" w:rsidP="00B3721E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</w:rPr>
            </w:pPr>
            <w:r w:rsidRPr="00E93892">
              <w:t>a</w:t>
            </w:r>
            <w:r w:rsidR="00B3721E" w:rsidRPr="00E93892">
              <w:t>naliza skutków operacyjnych i decyzyjnych wynikających z długotrwałego braku powołania (wakatów) na stanowiskach: Kierownika Projektu oraz Kierownika Merytorycznego</w:t>
            </w:r>
            <w:r w:rsidR="00B3721E" w:rsidRPr="00E93892">
              <w:rPr>
                <w:rFonts w:eastAsia="Times New Roman"/>
              </w:rPr>
              <w:t xml:space="preserve">. </w:t>
            </w:r>
          </w:p>
          <w:p w14:paraId="728681F3" w14:textId="6E3710D5" w:rsidR="00B3721E" w:rsidRPr="00E93892" w:rsidRDefault="00FF2BFC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>w</w:t>
            </w:r>
            <w:r w:rsidR="00B3721E" w:rsidRPr="00E93892">
              <w:t xml:space="preserve">eryfikacja kompletności nadzoru: audyt struktur </w:t>
            </w:r>
            <w:r w:rsidR="00B3721E" w:rsidRPr="00E93892">
              <w:lastRenderedPageBreak/>
              <w:t>sprawozdawczych i zarządczych (identyfikacja rażącego braku raportów/sprawozdań z prac zespołów merytorycznych i technicznych).</w:t>
            </w:r>
          </w:p>
          <w:p w14:paraId="2D343101" w14:textId="4370CB53" w:rsidR="00B3721E" w:rsidRPr="00E93892" w:rsidRDefault="00FF2BFC" w:rsidP="00B3721E">
            <w:pPr>
              <w:pStyle w:val="Akapitzlist"/>
              <w:numPr>
                <w:ilvl w:val="0"/>
                <w:numId w:val="19"/>
              </w:numPr>
            </w:pPr>
            <w:r w:rsidRPr="00E93892">
              <w:t>b</w:t>
            </w:r>
            <w:r w:rsidR="00B3721E" w:rsidRPr="00E93892">
              <w:t xml:space="preserve">adanie ładu dokumentacyjnego: ocena skali zaniechań w zakresie braku organizacji i formalnego protokołowania spotkań roboczych oraz posiedzeń Komitetu Sterującego </w:t>
            </w:r>
          </w:p>
          <w:p w14:paraId="144DE26A" w14:textId="77777777" w:rsidR="00B3721E" w:rsidRPr="00E93892" w:rsidRDefault="00B3721E" w:rsidP="00FF2BFC">
            <w:pPr>
              <w:pStyle w:val="Akapitzlist"/>
              <w:ind w:left="1080"/>
            </w:pPr>
          </w:p>
          <w:p w14:paraId="1658FBA4" w14:textId="630CD2A0" w:rsidR="00A65006" w:rsidRPr="00E93892" w:rsidRDefault="00A65006" w:rsidP="00B3721E"/>
        </w:tc>
        <w:tc>
          <w:tcPr>
            <w:tcW w:w="3732" w:type="dxa"/>
          </w:tcPr>
          <w:p w14:paraId="6A83A83D" w14:textId="77777777" w:rsidR="00A65006" w:rsidRDefault="00257F74" w:rsidP="00E93892">
            <w:r w:rsidRPr="00257F74">
              <w:lastRenderedPageBreak/>
              <w:t>Rekomendacje dotyczące dostosowania metodyki zarządzania projektem, usprawnienia struktury nadzorczej oraz zwiększenia efektywności procesów decyzyjnych i działania Komitetu Sterującego.</w:t>
            </w:r>
          </w:p>
          <w:p w14:paraId="4374DF83" w14:textId="49734C88" w:rsidR="00E93892" w:rsidRPr="00E93892" w:rsidRDefault="00E93892" w:rsidP="00E93892">
            <w:pPr>
              <w:ind w:left="29"/>
            </w:pPr>
            <w:r w:rsidRPr="00E93892">
              <w:t>W zakresie pkt a):</w:t>
            </w:r>
          </w:p>
          <w:p w14:paraId="6EBA6FC2" w14:textId="6C6A420D" w:rsidR="00FF2BFC" w:rsidRDefault="00FF2BFC" w:rsidP="00FF2BFC">
            <w:pPr>
              <w:pStyle w:val="Akapitzlist"/>
              <w:numPr>
                <w:ilvl w:val="0"/>
                <w:numId w:val="19"/>
              </w:numPr>
              <w:ind w:left="389"/>
            </w:pPr>
            <w:r w:rsidRPr="00E93892">
              <w:t>Raport Luki Kompetencyjnej i Ładu Korporacyjnego</w:t>
            </w:r>
          </w:p>
        </w:tc>
      </w:tr>
      <w:tr w:rsidR="00226128" w14:paraId="1972281F" w14:textId="77777777" w:rsidTr="00307199">
        <w:tc>
          <w:tcPr>
            <w:tcW w:w="2237" w:type="dxa"/>
          </w:tcPr>
          <w:p w14:paraId="6AC54BA9" w14:textId="6C175605" w:rsidR="00226128" w:rsidRPr="00C332AB" w:rsidRDefault="00226128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>
              <w:rPr>
                <w:b/>
                <w:bCs/>
              </w:rPr>
              <w:t>Ocena zarzadzania interesariuszami</w:t>
            </w:r>
          </w:p>
        </w:tc>
        <w:tc>
          <w:tcPr>
            <w:tcW w:w="3812" w:type="dxa"/>
          </w:tcPr>
          <w:p w14:paraId="7484FB40" w14:textId="77777777" w:rsidR="00226128" w:rsidRPr="00E93892" w:rsidRDefault="00226128" w:rsidP="00226128">
            <w:r w:rsidRPr="00E93892">
              <w:t>Ocena, czy:</w:t>
            </w:r>
          </w:p>
          <w:p w14:paraId="2CA7C99A" w14:textId="3AB36AB4" w:rsidR="00226128" w:rsidRPr="00E93892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 w:rsidRPr="00E93892">
              <w:t xml:space="preserve">zidentyfikowano wszystkie kluczowe grupy interesariuszy (sądy, sędziowie, administracja, obywatele), </w:t>
            </w:r>
          </w:p>
          <w:p w14:paraId="3BEDDC75" w14:textId="04642595" w:rsidR="00226128" w:rsidRPr="00E93892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 w:rsidRPr="00E93892">
              <w:t xml:space="preserve">komunikacja była skuteczna, </w:t>
            </w:r>
          </w:p>
          <w:p w14:paraId="2DF48A35" w14:textId="2829F4DA" w:rsidR="00226128" w:rsidRPr="00E93892" w:rsidRDefault="00226128" w:rsidP="00226128">
            <w:pPr>
              <w:pStyle w:val="Akapitzlist"/>
              <w:numPr>
                <w:ilvl w:val="0"/>
                <w:numId w:val="5"/>
              </w:numPr>
              <w:ind w:left="666"/>
            </w:pPr>
            <w:r w:rsidRPr="00E93892">
              <w:t>interesariusze byli angażowani w proces decyzyjny.</w:t>
            </w:r>
          </w:p>
        </w:tc>
        <w:tc>
          <w:tcPr>
            <w:tcW w:w="3732" w:type="dxa"/>
          </w:tcPr>
          <w:p w14:paraId="1966D7D1" w14:textId="2DCC712D" w:rsidR="00226128" w:rsidRDefault="00257F74">
            <w:r w:rsidRPr="00257F74">
              <w:t>Rekomendacje dotyczące usprawnienia identyfikacji, angażowania i komunikacji z kluczowymi interesariuszami projektu.</w:t>
            </w:r>
          </w:p>
        </w:tc>
      </w:tr>
      <w:tr w:rsidR="00C91338" w14:paraId="4F599BEA" w14:textId="77777777" w:rsidTr="00307199">
        <w:tc>
          <w:tcPr>
            <w:tcW w:w="2237" w:type="dxa"/>
          </w:tcPr>
          <w:p w14:paraId="7E11A5A2" w14:textId="59761953" w:rsidR="00C91338" w:rsidRPr="00C332AB" w:rsidRDefault="00C91338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E0429D">
              <w:rPr>
                <w:b/>
                <w:bCs/>
              </w:rPr>
              <w:t>Ocena komunikacji</w:t>
            </w:r>
          </w:p>
        </w:tc>
        <w:tc>
          <w:tcPr>
            <w:tcW w:w="3812" w:type="dxa"/>
          </w:tcPr>
          <w:p w14:paraId="7A7ACADC" w14:textId="77777777" w:rsidR="00415603" w:rsidRDefault="00415603" w:rsidP="00415603">
            <w:r>
              <w:t>Weryfikacja:</w:t>
            </w:r>
          </w:p>
          <w:p w14:paraId="53C565BD" w14:textId="49B0C97F" w:rsidR="00415603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 xml:space="preserve">czy istniał plan komunikacji, </w:t>
            </w:r>
          </w:p>
          <w:p w14:paraId="56DCDB66" w14:textId="0A961D05" w:rsidR="00415603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 xml:space="preserve">czy raportowanie postępów było rzetelne i regularne, </w:t>
            </w:r>
          </w:p>
          <w:p w14:paraId="060C2361" w14:textId="3352C66E" w:rsidR="00C91338" w:rsidRDefault="00415603" w:rsidP="00415603">
            <w:pPr>
              <w:pStyle w:val="Akapitzlist"/>
              <w:numPr>
                <w:ilvl w:val="0"/>
                <w:numId w:val="6"/>
              </w:numPr>
            </w:pPr>
            <w:r>
              <w:t>czy informacje o problemach były eskalowane na czas</w:t>
            </w:r>
          </w:p>
        </w:tc>
        <w:tc>
          <w:tcPr>
            <w:tcW w:w="3732" w:type="dxa"/>
          </w:tcPr>
          <w:p w14:paraId="1AB5E687" w14:textId="4AA02938" w:rsidR="00C91338" w:rsidRDefault="00257F74">
            <w:r w:rsidRPr="00257F74">
              <w:t>Rekomendacje dotyczące wdrożenia lub usprawnienia planu komunikacji, raportowania postępów oraz mechanizmów eskalacji problemów projektowych</w:t>
            </w:r>
            <w:r>
              <w:t>.</w:t>
            </w:r>
          </w:p>
        </w:tc>
      </w:tr>
      <w:tr w:rsidR="00C91338" w14:paraId="6FF87C50" w14:textId="77777777" w:rsidTr="00307199">
        <w:tc>
          <w:tcPr>
            <w:tcW w:w="2237" w:type="dxa"/>
          </w:tcPr>
          <w:p w14:paraId="1F9EAFB5" w14:textId="77777777" w:rsidR="002937F6" w:rsidRPr="00E93892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E93892">
              <w:rPr>
                <w:b/>
                <w:bCs/>
              </w:rPr>
              <w:t>Ocena zarządzania dostawcami i wykonawcami</w:t>
            </w:r>
            <w:r w:rsidR="00C40E06" w:rsidRPr="00E93892">
              <w:t xml:space="preserve"> </w:t>
            </w:r>
          </w:p>
          <w:p w14:paraId="3E6FAAC2" w14:textId="77777777" w:rsidR="003278AD" w:rsidRPr="00E93892" w:rsidRDefault="00C40E06" w:rsidP="002937F6">
            <w:pPr>
              <w:tabs>
                <w:tab w:val="left" w:pos="366"/>
              </w:tabs>
              <w:ind w:left="33"/>
            </w:pPr>
            <w:r w:rsidRPr="00E93892">
              <w:t>w tym</w:t>
            </w:r>
            <w:r w:rsidR="003278AD" w:rsidRPr="00E93892">
              <w:t>:</w:t>
            </w:r>
          </w:p>
          <w:p w14:paraId="7700D0D4" w14:textId="4065BA98" w:rsidR="00C91338" w:rsidRPr="00E93892" w:rsidRDefault="003278AD" w:rsidP="003278AD">
            <w:pPr>
              <w:pStyle w:val="Akapitzlist"/>
              <w:numPr>
                <w:ilvl w:val="0"/>
                <w:numId w:val="13"/>
              </w:numPr>
              <w:tabs>
                <w:tab w:val="left" w:pos="366"/>
              </w:tabs>
            </w:pPr>
            <w:r w:rsidRPr="00E93892">
              <w:t>ocena</w:t>
            </w:r>
            <w:r w:rsidR="00C40E06" w:rsidRPr="00E93892">
              <w:t xml:space="preserve"> legalności, podstaw prawnych i </w:t>
            </w:r>
            <w:proofErr w:type="spellStart"/>
            <w:r w:rsidR="00C40E06" w:rsidRPr="00E93892">
              <w:t>ryzyk</w:t>
            </w:r>
            <w:proofErr w:type="spellEnd"/>
            <w:r w:rsidR="00C40E06" w:rsidRPr="00E93892">
              <w:t xml:space="preserve"> kontraktowych</w:t>
            </w:r>
          </w:p>
          <w:p w14:paraId="0FC7261E" w14:textId="41A539BE" w:rsidR="003278AD" w:rsidRPr="00E93892" w:rsidRDefault="003278AD" w:rsidP="003278AD">
            <w:pPr>
              <w:pStyle w:val="Akapitzlist"/>
              <w:numPr>
                <w:ilvl w:val="0"/>
                <w:numId w:val="13"/>
              </w:numPr>
              <w:tabs>
                <w:tab w:val="left" w:pos="366"/>
              </w:tabs>
              <w:rPr>
                <w:b/>
                <w:bCs/>
              </w:rPr>
            </w:pPr>
            <w:r w:rsidRPr="00E93892">
              <w:t xml:space="preserve"> ocena trybu bezumownego i działań nieuprawnionych podmiotów</w:t>
            </w:r>
          </w:p>
          <w:p w14:paraId="603F9DD4" w14:textId="59AD2CF3" w:rsidR="002937F6" w:rsidRPr="00E93892" w:rsidRDefault="002937F6" w:rsidP="002937F6">
            <w:pPr>
              <w:tabs>
                <w:tab w:val="left" w:pos="366"/>
              </w:tabs>
              <w:ind w:left="33"/>
              <w:rPr>
                <w:b/>
                <w:bCs/>
              </w:rPr>
            </w:pPr>
          </w:p>
        </w:tc>
        <w:tc>
          <w:tcPr>
            <w:tcW w:w="3812" w:type="dxa"/>
          </w:tcPr>
          <w:p w14:paraId="53D303FC" w14:textId="5CB95207" w:rsidR="00415603" w:rsidRPr="00E93892" w:rsidRDefault="00E0429D" w:rsidP="00415603">
            <w:r w:rsidRPr="00E93892">
              <w:t>Ocena dokumentacji etapowej współpracy oraz komunikacji bieżącej</w:t>
            </w:r>
            <w:r w:rsidR="00415603" w:rsidRPr="00E93892">
              <w:t>.</w:t>
            </w:r>
            <w:r w:rsidR="00415603" w:rsidRPr="00E93892">
              <w:rPr>
                <w:rFonts w:ascii="Calibri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415603" w:rsidRPr="00E93892">
              <w:t>Weryfikacja:</w:t>
            </w:r>
          </w:p>
          <w:p w14:paraId="614CADA4" w14:textId="77777777" w:rsidR="00415603" w:rsidRPr="00E93892" w:rsidRDefault="00415603" w:rsidP="003278AD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E93892">
              <w:t xml:space="preserve">czy właściwie zdefiniowano wymagania wobec wykonawców tj. body – leasing jako metoda pozyskania zasobów, </w:t>
            </w:r>
          </w:p>
          <w:p w14:paraId="55AE5746" w14:textId="6F42A1ED" w:rsidR="00415603" w:rsidRPr="00E93892" w:rsidRDefault="005E53C5" w:rsidP="003278AD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E93892">
              <w:t>c</w:t>
            </w:r>
            <w:r w:rsidR="00415603" w:rsidRPr="00E93892">
              <w:t xml:space="preserve">zy wybór koncepcji body-leasing jest optymalna z punktu widzenia TCO całego projektu, </w:t>
            </w:r>
          </w:p>
          <w:p w14:paraId="1C570B72" w14:textId="77777777" w:rsidR="00415603" w:rsidRPr="00E93892" w:rsidRDefault="00415603" w:rsidP="003278AD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E93892">
              <w:t xml:space="preserve">czy nadzór nad realizacją umów był skuteczny, </w:t>
            </w:r>
          </w:p>
          <w:p w14:paraId="525EE749" w14:textId="77777777" w:rsidR="00415603" w:rsidRPr="00E93892" w:rsidRDefault="00415603" w:rsidP="003278AD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E93892">
              <w:t xml:space="preserve">czy egzekwowano jakość i terminy, </w:t>
            </w:r>
          </w:p>
          <w:p w14:paraId="1DDBB151" w14:textId="4C97957E" w:rsidR="00415603" w:rsidRPr="00E93892" w:rsidRDefault="00415603" w:rsidP="003278AD">
            <w:pPr>
              <w:numPr>
                <w:ilvl w:val="0"/>
                <w:numId w:val="8"/>
              </w:numPr>
              <w:tabs>
                <w:tab w:val="clear" w:pos="720"/>
                <w:tab w:val="num" w:pos="382"/>
              </w:tabs>
              <w:ind w:left="382"/>
            </w:pPr>
            <w:r w:rsidRPr="00E93892">
              <w:t>czy zarządzano relacją Zamawiający–Wykonawca w sposób uporządkowany</w:t>
            </w:r>
          </w:p>
          <w:p w14:paraId="450CBAFE" w14:textId="77777777" w:rsidR="005E53C5" w:rsidRPr="00E93892" w:rsidRDefault="005E53C5" w:rsidP="005E53C5">
            <w:pPr>
              <w:ind w:left="22"/>
            </w:pPr>
            <w:r w:rsidRPr="00E93892">
              <w:t>W zakresie pkt a)</w:t>
            </w:r>
          </w:p>
          <w:p w14:paraId="6B2EF6CB" w14:textId="294B33BE" w:rsidR="00C40E06" w:rsidRPr="00E93892" w:rsidRDefault="005E53C5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82"/>
            </w:pPr>
            <w:r w:rsidRPr="00E93892">
              <w:t>b</w:t>
            </w:r>
            <w:r w:rsidR="00C40E06" w:rsidRPr="00E93892">
              <w:t xml:space="preserve">adanie podstaw prawnych wszystkich zleceń i prac </w:t>
            </w:r>
            <w:r w:rsidR="00C40E06" w:rsidRPr="00E93892">
              <w:lastRenderedPageBreak/>
              <w:t xml:space="preserve">deweloperskich realizowanych w projekcie </w:t>
            </w:r>
            <w:proofErr w:type="spellStart"/>
            <w:r w:rsidR="00C40E06" w:rsidRPr="00E93892">
              <w:t>CySad</w:t>
            </w:r>
            <w:proofErr w:type="spellEnd"/>
            <w:r w:rsidR="00C40E06" w:rsidRPr="00E93892">
              <w:t xml:space="preserve"> od momentu jego inicjacji. </w:t>
            </w:r>
          </w:p>
          <w:p w14:paraId="03BEAA2F" w14:textId="628CD204" w:rsidR="00C40E06" w:rsidRPr="00E93892" w:rsidRDefault="005E53C5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82"/>
            </w:pPr>
            <w:r w:rsidRPr="00E93892">
              <w:t>w</w:t>
            </w:r>
            <w:r w:rsidR="00C40E06" w:rsidRPr="00E93892">
              <w:t>eryfikacja legalności budowy i rozwoju oprogramowania w ramach dotychczasowych umów utrzymaniowych</w:t>
            </w:r>
            <w:r w:rsidRPr="00E93892">
              <w:t xml:space="preserve">, które wskaże Zamawiający do badania </w:t>
            </w:r>
            <w:r w:rsidR="00C40E06" w:rsidRPr="00E93892">
              <w:t>(zgodność zakresu zleceń i terminów odbioru z dostarczonym produktem)</w:t>
            </w:r>
          </w:p>
          <w:p w14:paraId="282BCCE9" w14:textId="4DF3E31F" w:rsidR="00C91338" w:rsidRPr="00E93892" w:rsidRDefault="00307199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82"/>
            </w:pPr>
            <w:r w:rsidRPr="00E93892">
              <w:t>szczegółowy</w:t>
            </w:r>
            <w:r w:rsidR="00C40E06" w:rsidRPr="00E93892">
              <w:t xml:space="preserve"> audyt prawny postępowania o sygnaturze na usługi konsultacyjne pod kątem art. 255 pkt 5 i 6 ustawy PZP (ryzyko przekroczenia zakresu umowy ramowej i obejścia procedur konkurencyjnych). Analiza przesłanek pod kątem ryzyka unieważnienia postępowania oraz oszacowanie ekspozycji finansowej MS na potencjalne roszczenia odszkodowawcze ze strony wykonawców</w:t>
            </w:r>
            <w:r w:rsidRPr="00E93892">
              <w:t>.</w:t>
            </w:r>
          </w:p>
          <w:p w14:paraId="542985AE" w14:textId="22331DE0" w:rsidR="005E53C5" w:rsidRPr="00E93892" w:rsidRDefault="005E53C5" w:rsidP="005E53C5">
            <w:pPr>
              <w:ind w:left="22"/>
            </w:pPr>
            <w:r w:rsidRPr="00E93892">
              <w:t>W zakresie pkt b)</w:t>
            </w:r>
          </w:p>
          <w:p w14:paraId="6EF149AF" w14:textId="74097385" w:rsidR="003278AD" w:rsidRPr="00E93892" w:rsidRDefault="005E53C5" w:rsidP="003278AD">
            <w:pPr>
              <w:pStyle w:val="Akapitzlist"/>
              <w:numPr>
                <w:ilvl w:val="0"/>
                <w:numId w:val="8"/>
              </w:numPr>
              <w:ind w:left="382"/>
              <w:rPr>
                <w:rFonts w:eastAsia="Times New Roman"/>
              </w:rPr>
            </w:pPr>
            <w:r w:rsidRPr="00E93892">
              <w:rPr>
                <w:rFonts w:eastAsia="Times New Roman"/>
              </w:rPr>
              <w:t>i</w:t>
            </w:r>
            <w:r w:rsidR="003278AD" w:rsidRPr="00E93892">
              <w:rPr>
                <w:rFonts w:eastAsia="Times New Roman"/>
              </w:rPr>
              <w:t>dentyfikacja, inwentaryzacja i wycena prac programistycznych i konfiguracyjnych realizowanych w trybie bezumownym, w szczególności po wrześniu 2025 r.</w:t>
            </w:r>
          </w:p>
          <w:p w14:paraId="39A4BBEE" w14:textId="37EC2D09" w:rsidR="003278AD" w:rsidRPr="00E93892" w:rsidRDefault="005E53C5" w:rsidP="003278AD">
            <w:pPr>
              <w:pStyle w:val="Akapitzlist"/>
              <w:numPr>
                <w:ilvl w:val="0"/>
                <w:numId w:val="8"/>
              </w:numPr>
              <w:ind w:left="382"/>
              <w:rPr>
                <w:rFonts w:eastAsia="Times New Roman"/>
              </w:rPr>
            </w:pPr>
            <w:r w:rsidRPr="00E93892">
              <w:rPr>
                <w:rFonts w:eastAsia="Times New Roman"/>
              </w:rPr>
              <w:t>w</w:t>
            </w:r>
            <w:r w:rsidR="003278AD" w:rsidRPr="00E93892">
              <w:rPr>
                <w:rFonts w:eastAsia="Times New Roman"/>
              </w:rPr>
              <w:t>eryfikacja przypadków dokonywania zleceń przez podmioty/osoby nieposiadające formalnych pełnomocnictw i upoważnień Ministerstwa Sprawiedliwości.</w:t>
            </w:r>
          </w:p>
          <w:p w14:paraId="7FCA6EF3" w14:textId="61B09425" w:rsidR="003278AD" w:rsidRPr="00E93892" w:rsidRDefault="005E53C5" w:rsidP="003278AD">
            <w:pPr>
              <w:pStyle w:val="Akapitzlist"/>
              <w:numPr>
                <w:ilvl w:val="0"/>
                <w:numId w:val="8"/>
              </w:numPr>
              <w:ind w:left="382"/>
              <w:rPr>
                <w:rFonts w:eastAsia="Times New Roman"/>
              </w:rPr>
            </w:pPr>
            <w:r w:rsidRPr="00E93892">
              <w:rPr>
                <w:rFonts w:eastAsia="Times New Roman"/>
              </w:rPr>
              <w:t>b</w:t>
            </w:r>
            <w:r w:rsidR="003278AD" w:rsidRPr="00E93892">
              <w:rPr>
                <w:rFonts w:eastAsia="Times New Roman"/>
              </w:rPr>
              <w:t>adanie legalności i bezpieczeństwa udostępnienia infrastruktury teleinformatycznej MS (środowiska testowe, deweloperskie, sieci WAN) nieuprawnionym, prywatnym podmiotom gospodarczym realizującym prace bezumowne.</w:t>
            </w:r>
          </w:p>
          <w:p w14:paraId="140F6A26" w14:textId="2D97882F" w:rsidR="003278AD" w:rsidRPr="00E93892" w:rsidRDefault="005E53C5" w:rsidP="003278AD">
            <w:pPr>
              <w:pStyle w:val="Akapitzlist"/>
              <w:numPr>
                <w:ilvl w:val="0"/>
                <w:numId w:val="8"/>
              </w:numPr>
              <w:ind w:left="382"/>
              <w:rPr>
                <w:rFonts w:eastAsia="Times New Roman"/>
              </w:rPr>
            </w:pPr>
            <w:r w:rsidRPr="00E93892">
              <w:rPr>
                <w:rFonts w:eastAsia="Times New Roman"/>
              </w:rPr>
              <w:t>o</w:t>
            </w:r>
            <w:r w:rsidR="003278AD" w:rsidRPr="00E93892">
              <w:rPr>
                <w:rFonts w:eastAsia="Times New Roman"/>
              </w:rPr>
              <w:t>cena ryzyka naruszenia ustawy o dyscyplinie finansów publicznych oraz przepisów Kodeksu Karnego (art. 231 KK – przekroczenie uprawnień/niedopełnienie obowiązków).</w:t>
            </w:r>
          </w:p>
          <w:p w14:paraId="0396B32C" w14:textId="084782D2" w:rsidR="003278AD" w:rsidRPr="00E93892" w:rsidRDefault="005E53C5" w:rsidP="003278AD">
            <w:pPr>
              <w:pStyle w:val="Akapitzlist"/>
              <w:numPr>
                <w:ilvl w:val="0"/>
                <w:numId w:val="8"/>
              </w:numPr>
              <w:ind w:left="382"/>
            </w:pPr>
            <w:r w:rsidRPr="00E93892">
              <w:rPr>
                <w:rFonts w:eastAsia="Times New Roman"/>
              </w:rPr>
              <w:lastRenderedPageBreak/>
              <w:t>o</w:t>
            </w:r>
            <w:r w:rsidR="003278AD" w:rsidRPr="00E93892">
              <w:rPr>
                <w:rFonts w:eastAsia="Times New Roman"/>
              </w:rPr>
              <w:t>szacowanie ryzyka i wartości potencjalnych roszczeń o bezpodstawne wzbogacenie ze strony podmiotu prywatnego, który bezumownie rozwijał system.</w:t>
            </w:r>
          </w:p>
        </w:tc>
        <w:tc>
          <w:tcPr>
            <w:tcW w:w="3732" w:type="dxa"/>
          </w:tcPr>
          <w:p w14:paraId="096A572A" w14:textId="77777777" w:rsidR="00C91338" w:rsidRPr="00E93892" w:rsidRDefault="00257F74" w:rsidP="00E93892">
            <w:r w:rsidRPr="00E93892">
              <w:lastRenderedPageBreak/>
              <w:t>Rekomendacje na temat współpracy z wykonawcą w celu usprawnienia realizacji projektów oraz nadzoru wraz z oceną realizacji pozyskiwania zasobów w ramach body-leasing.</w:t>
            </w:r>
          </w:p>
          <w:p w14:paraId="55E8095E" w14:textId="19C4A71B" w:rsidR="005E53C5" w:rsidRPr="00E93892" w:rsidRDefault="005E53C5" w:rsidP="005E53C5">
            <w:pPr>
              <w:ind w:left="-39"/>
            </w:pPr>
            <w:r w:rsidRPr="00E93892">
              <w:t>W zakresie pkt a)</w:t>
            </w:r>
          </w:p>
          <w:p w14:paraId="386F5D6F" w14:textId="66827573" w:rsidR="0099236D" w:rsidRPr="00E93892" w:rsidRDefault="00307199" w:rsidP="0099236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21"/>
            </w:pPr>
            <w:r w:rsidRPr="00E93892">
              <w:t>Formalna o</w:t>
            </w:r>
            <w:r w:rsidR="0099236D" w:rsidRPr="00E93892">
              <w:t>pinia prawna</w:t>
            </w:r>
            <w:r w:rsidR="00C40E06" w:rsidRPr="00E93892">
              <w:t xml:space="preserve"> </w:t>
            </w:r>
            <w:r w:rsidR="0099236D" w:rsidRPr="00E93892">
              <w:t xml:space="preserve">mapująca ryzyka procesowe i kontraktowe. </w:t>
            </w:r>
          </w:p>
          <w:p w14:paraId="4E222767" w14:textId="77777777" w:rsidR="003278AD" w:rsidRPr="00E93892" w:rsidRDefault="0099236D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21"/>
            </w:pPr>
            <w:r w:rsidRPr="00E93892">
              <w:t>Strategia procesowa minimalizująca skutki finansowe ewentualnego unieważnienia przetargów i zleceń w ramach dotychczasowych umów</w:t>
            </w:r>
          </w:p>
          <w:p w14:paraId="3D89DDA6" w14:textId="77777777" w:rsidR="005E53C5" w:rsidRPr="00E93892" w:rsidRDefault="005E53C5" w:rsidP="005E53C5">
            <w:pPr>
              <w:ind w:left="-39"/>
            </w:pPr>
            <w:r w:rsidRPr="00E93892">
              <w:t>W zakresie pkt b)</w:t>
            </w:r>
          </w:p>
          <w:p w14:paraId="5321B35E" w14:textId="681D0D08" w:rsidR="003278AD" w:rsidRPr="00E93892" w:rsidRDefault="003278AD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21"/>
            </w:pPr>
            <w:r w:rsidRPr="00E93892">
              <w:t xml:space="preserve">Protokół Naruszeń i Analizy </w:t>
            </w:r>
            <w:proofErr w:type="spellStart"/>
            <w:r w:rsidRPr="00E93892">
              <w:t>Ryzyk</w:t>
            </w:r>
            <w:proofErr w:type="spellEnd"/>
            <w:r w:rsidRPr="00E93892">
              <w:t xml:space="preserve"> Prawno-Karnych. </w:t>
            </w:r>
          </w:p>
          <w:p w14:paraId="4652CC6A" w14:textId="0F4E8A70" w:rsidR="0099236D" w:rsidRPr="00E93892" w:rsidRDefault="003278AD" w:rsidP="003278A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21"/>
            </w:pPr>
            <w:r w:rsidRPr="00E93892">
              <w:t xml:space="preserve">Plan naprawczy zmierzający do legalizacji lub rezygnacji z produktów wytworzonych </w:t>
            </w:r>
            <w:r w:rsidRPr="00E93892">
              <w:lastRenderedPageBreak/>
              <w:t>bezumownie bez utraty ciągłości operacyjnej projektu</w:t>
            </w:r>
          </w:p>
          <w:p w14:paraId="41F43851" w14:textId="77777777" w:rsidR="0099236D" w:rsidRPr="00E93892" w:rsidRDefault="0099236D"/>
          <w:p w14:paraId="47645AB4" w14:textId="20661AA1" w:rsidR="00C40E06" w:rsidRPr="00E93892" w:rsidRDefault="00C40E06"/>
        </w:tc>
      </w:tr>
      <w:tr w:rsidR="00583892" w14:paraId="6D768B65" w14:textId="77777777" w:rsidTr="00307199">
        <w:tc>
          <w:tcPr>
            <w:tcW w:w="2237" w:type="dxa"/>
          </w:tcPr>
          <w:p w14:paraId="376560E6" w14:textId="44711625" w:rsidR="00583892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lastRenderedPageBreak/>
              <w:t>Ocena adekwatności planowania projektu</w:t>
            </w:r>
          </w:p>
        </w:tc>
        <w:tc>
          <w:tcPr>
            <w:tcW w:w="3812" w:type="dxa"/>
          </w:tcPr>
          <w:p w14:paraId="379BC413" w14:textId="1D05B156" w:rsidR="00226128" w:rsidRDefault="00226128" w:rsidP="00226128">
            <w:r>
              <w:t>Analiza:</w:t>
            </w:r>
          </w:p>
          <w:p w14:paraId="484E99BB" w14:textId="33C7C707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harmonogramu (czy był realistyczny), </w:t>
            </w:r>
          </w:p>
          <w:p w14:paraId="0A6C77D9" w14:textId="2B71E52A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zakres projektu (czy był jednoznacznie zdefiniowany), </w:t>
            </w:r>
          </w:p>
          <w:p w14:paraId="7E3E7C4C" w14:textId="0DB353ED" w:rsidR="00226128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 xml:space="preserve">kamieni milowych (czy były właściwie określone) </w:t>
            </w:r>
          </w:p>
          <w:p w14:paraId="4743360A" w14:textId="3D40E12D" w:rsidR="00C332AB" w:rsidRDefault="00226128" w:rsidP="00226128">
            <w:pPr>
              <w:pStyle w:val="Akapitzlist"/>
              <w:numPr>
                <w:ilvl w:val="0"/>
                <w:numId w:val="3"/>
              </w:numPr>
              <w:ind w:left="382" w:hanging="306"/>
            </w:pPr>
            <w:r>
              <w:t>planu czy uwzględniał zależności i ryzyka</w:t>
            </w:r>
          </w:p>
        </w:tc>
        <w:tc>
          <w:tcPr>
            <w:tcW w:w="3732" w:type="dxa"/>
          </w:tcPr>
          <w:p w14:paraId="787CF958" w14:textId="6F3054F4" w:rsidR="00583892" w:rsidRDefault="00257F74">
            <w:r w:rsidRPr="00257F74">
              <w:t xml:space="preserve">Rekomendacje dotyczące usprawnienia procesu planowania projektu, w szczególności w zakresie realistycznego harmonogramowania, definiowania zakresu oraz uwzględniania zależności i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projektowych.</w:t>
            </w:r>
          </w:p>
        </w:tc>
      </w:tr>
      <w:tr w:rsidR="00E0429D" w14:paraId="730E748A" w14:textId="77777777" w:rsidTr="00307199">
        <w:tc>
          <w:tcPr>
            <w:tcW w:w="2237" w:type="dxa"/>
          </w:tcPr>
          <w:p w14:paraId="77E36D76" w14:textId="71249DD1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 xml:space="preserve">Ocena zarządzania zakresem </w:t>
            </w:r>
          </w:p>
        </w:tc>
        <w:tc>
          <w:tcPr>
            <w:tcW w:w="3812" w:type="dxa"/>
          </w:tcPr>
          <w:p w14:paraId="776198F5" w14:textId="77777777" w:rsidR="00226128" w:rsidRDefault="00226128" w:rsidP="00226128">
            <w:r>
              <w:t>Analiza</w:t>
            </w:r>
          </w:p>
          <w:p w14:paraId="6A42D6C2" w14:textId="0E9B503B" w:rsidR="00226128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 xml:space="preserve">czy zakres projektu był stabilny, </w:t>
            </w:r>
          </w:p>
          <w:p w14:paraId="2135D075" w14:textId="0E8571A9" w:rsidR="00226128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 xml:space="preserve">jak zarządzano zmianami, </w:t>
            </w:r>
          </w:p>
          <w:p w14:paraId="6AEB4020" w14:textId="59A48632" w:rsidR="00E0429D" w:rsidRDefault="00226128" w:rsidP="00226128">
            <w:pPr>
              <w:pStyle w:val="Akapitzlist"/>
              <w:numPr>
                <w:ilvl w:val="0"/>
                <w:numId w:val="4"/>
              </w:numPr>
              <w:ind w:left="382"/>
            </w:pPr>
            <w:r>
              <w:t>czy dochodziło do niekontrolowanego rozszerzania zakresu</w:t>
            </w:r>
          </w:p>
        </w:tc>
        <w:tc>
          <w:tcPr>
            <w:tcW w:w="3732" w:type="dxa"/>
          </w:tcPr>
          <w:p w14:paraId="5E07F9FE" w14:textId="7EF6AD2F" w:rsidR="00E0429D" w:rsidRDefault="00257F74">
            <w:r w:rsidRPr="00257F74">
              <w:t>Rekomendacje dotyczące wdrożenia lub usprawnienia mechanizmów kontroli zmian oraz ograniczania niekontrolowanego rozszerzania zakresu projektu</w:t>
            </w:r>
          </w:p>
        </w:tc>
      </w:tr>
      <w:tr w:rsidR="00E0429D" w14:paraId="69253BE8" w14:textId="77777777" w:rsidTr="00307199">
        <w:tc>
          <w:tcPr>
            <w:tcW w:w="2237" w:type="dxa"/>
          </w:tcPr>
          <w:p w14:paraId="0C99C839" w14:textId="5553C9A5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zarządzania ryzykiem</w:t>
            </w:r>
          </w:p>
        </w:tc>
        <w:tc>
          <w:tcPr>
            <w:tcW w:w="3812" w:type="dxa"/>
          </w:tcPr>
          <w:p w14:paraId="0096633E" w14:textId="77777777" w:rsidR="00415603" w:rsidRDefault="00415603" w:rsidP="00415603">
            <w:r>
              <w:t>Analiza:</w:t>
            </w:r>
          </w:p>
          <w:p w14:paraId="4B58D831" w14:textId="641E7C60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zidentyfikowano kluczowe ryzyka projektu zarówno na początku realizacji projektu jak również w całym cyklu życia projektu, </w:t>
            </w:r>
          </w:p>
          <w:p w14:paraId="2A6A9BA1" w14:textId="106A2CDB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prowadzono zarządzanie ryzykiem projektu w tym czy prowadzono rejestr </w:t>
            </w:r>
            <w:proofErr w:type="spellStart"/>
            <w:r>
              <w:t>ryzyk</w:t>
            </w:r>
            <w:proofErr w:type="spellEnd"/>
            <w:r>
              <w:t xml:space="preserve"> ?</w:t>
            </w:r>
          </w:p>
          <w:p w14:paraId="56E1426F" w14:textId="58CA59DF" w:rsidR="00415603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 xml:space="preserve">czy wdrażano działania zapobiegawcze, </w:t>
            </w:r>
          </w:p>
          <w:p w14:paraId="02A2F061" w14:textId="5D9D0FDA" w:rsidR="00E0429D" w:rsidRDefault="00415603" w:rsidP="00415603">
            <w:pPr>
              <w:pStyle w:val="Akapitzlist"/>
              <w:numPr>
                <w:ilvl w:val="0"/>
                <w:numId w:val="7"/>
              </w:numPr>
              <w:ind w:left="382"/>
            </w:pPr>
            <w:r>
              <w:t>czy reagowano adekwatnie na materializujące się ryzyka.</w:t>
            </w:r>
          </w:p>
        </w:tc>
        <w:tc>
          <w:tcPr>
            <w:tcW w:w="3732" w:type="dxa"/>
          </w:tcPr>
          <w:p w14:paraId="3FEC5928" w14:textId="0FB83E4C" w:rsidR="00E0429D" w:rsidRDefault="00257F74">
            <w:r w:rsidRPr="00257F74">
              <w:t xml:space="preserve">Rekomendacje dotyczące usprawnienia procesu identyfikacji, monitorowania i ograniczania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projektowych, w tym prowadzenia rejestru </w:t>
            </w:r>
            <w:proofErr w:type="spellStart"/>
            <w:r w:rsidRPr="00257F74">
              <w:t>ryzyk</w:t>
            </w:r>
            <w:proofErr w:type="spellEnd"/>
            <w:r w:rsidRPr="00257F74">
              <w:t xml:space="preserve"> i działań zapobiegawczych.</w:t>
            </w:r>
          </w:p>
        </w:tc>
      </w:tr>
      <w:tr w:rsidR="00E0429D" w14:paraId="2AB6F618" w14:textId="77777777" w:rsidTr="00307199">
        <w:tc>
          <w:tcPr>
            <w:tcW w:w="2237" w:type="dxa"/>
          </w:tcPr>
          <w:p w14:paraId="5855D56E" w14:textId="77777777" w:rsidR="00307199" w:rsidRPr="00E93892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E93892">
              <w:rPr>
                <w:b/>
                <w:bCs/>
              </w:rPr>
              <w:t>Ocena kontroli jakości i odbiorów</w:t>
            </w:r>
            <w:r w:rsidR="00BD546A" w:rsidRPr="00E93892">
              <w:rPr>
                <w:b/>
                <w:bCs/>
              </w:rPr>
              <w:t xml:space="preserve"> w tym</w:t>
            </w:r>
            <w:r w:rsidR="00307199" w:rsidRPr="00E93892">
              <w:rPr>
                <w:b/>
                <w:bCs/>
              </w:rPr>
              <w:t>:</w:t>
            </w:r>
          </w:p>
          <w:p w14:paraId="54782519" w14:textId="397F064E" w:rsidR="00E0429D" w:rsidRPr="00F67E93" w:rsidRDefault="00307199" w:rsidP="00307199">
            <w:pPr>
              <w:tabs>
                <w:tab w:val="left" w:pos="366"/>
              </w:tabs>
              <w:ind w:left="33"/>
            </w:pPr>
            <w:r w:rsidRPr="00F67E93">
              <w:t>a)</w:t>
            </w:r>
            <w:r w:rsidR="00BD546A" w:rsidRPr="00F67E93">
              <w:t xml:space="preserve"> Audyt IP, praw autorskich i czystości licencyjnej (</w:t>
            </w:r>
            <w:proofErr w:type="spellStart"/>
            <w:r w:rsidR="00BD546A" w:rsidRPr="00F67E93">
              <w:t>Vendor</w:t>
            </w:r>
            <w:proofErr w:type="spellEnd"/>
            <w:r w:rsidR="00BD546A" w:rsidRPr="00F67E93">
              <w:t xml:space="preserve"> Lock-in)</w:t>
            </w:r>
          </w:p>
        </w:tc>
        <w:tc>
          <w:tcPr>
            <w:tcW w:w="3812" w:type="dxa"/>
          </w:tcPr>
          <w:p w14:paraId="077121F1" w14:textId="77777777" w:rsidR="00415603" w:rsidRPr="00E93892" w:rsidRDefault="00415603" w:rsidP="00415603">
            <w:r w:rsidRPr="00E93892">
              <w:t>Ocena:</w:t>
            </w:r>
          </w:p>
          <w:p w14:paraId="1A2FD54C" w14:textId="756C2F68" w:rsidR="00415603" w:rsidRPr="00E93892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 xml:space="preserve">czy zdefiniowano kryteria odbioru, </w:t>
            </w:r>
          </w:p>
          <w:p w14:paraId="381687AC" w14:textId="53E0C2AC" w:rsidR="00415603" w:rsidRPr="00E93892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 xml:space="preserve">czy odbiory były przeprowadzane formalnie i rzetelnie, </w:t>
            </w:r>
          </w:p>
          <w:p w14:paraId="535F9AC3" w14:textId="3B2C63FE" w:rsidR="00415603" w:rsidRPr="00E93892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 xml:space="preserve">czy weryfikowano zgodność rezultatów z wymaganiami, </w:t>
            </w:r>
          </w:p>
          <w:p w14:paraId="0DCD8DA7" w14:textId="7D306D30" w:rsidR="00E0429D" w:rsidRPr="00E93892" w:rsidRDefault="00415603" w:rsidP="00415603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>czy identyfikowano i usuwano niezgodnośc</w:t>
            </w:r>
            <w:r w:rsidR="00307199" w:rsidRPr="00E93892">
              <w:t>i</w:t>
            </w:r>
          </w:p>
          <w:p w14:paraId="50E37471" w14:textId="5F63243B" w:rsidR="00307199" w:rsidRPr="00E93892" w:rsidRDefault="00307199" w:rsidP="00307199">
            <w:pPr>
              <w:ind w:left="22"/>
            </w:pPr>
            <w:r w:rsidRPr="00E93892">
              <w:t>W zakresie pkt a)</w:t>
            </w:r>
          </w:p>
          <w:p w14:paraId="492C64E5" w14:textId="2766ECDF" w:rsidR="00BD546A" w:rsidRPr="00E93892" w:rsidRDefault="00BD546A" w:rsidP="00BD546A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 xml:space="preserve">weryfikacja statusu przejścia autorskich praw majątkowych i praw zależnych do kodu źródłowego systemu Cyfrowy Sąd na rzecz Skarbu Państwa (zgodnie z deklaracjami z WOD i SW). </w:t>
            </w:r>
          </w:p>
          <w:p w14:paraId="47277571" w14:textId="57846F5C" w:rsidR="00BD546A" w:rsidRPr="00E93892" w:rsidRDefault="00BD546A" w:rsidP="00BD546A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lastRenderedPageBreak/>
              <w:t xml:space="preserve">identyfikacja i audyt obszaru eksploatacji systemu </w:t>
            </w:r>
            <w:proofErr w:type="spellStart"/>
            <w:r w:rsidRPr="00E93892">
              <w:t>CySad</w:t>
            </w:r>
            <w:proofErr w:type="spellEnd"/>
            <w:r w:rsidRPr="00E93892">
              <w:t xml:space="preserve"> objętego licencjami podmiotów trzecich oraz komponentami Open Source.</w:t>
            </w:r>
          </w:p>
          <w:p w14:paraId="4FD13822" w14:textId="37E6C2DD" w:rsidR="00BD546A" w:rsidRPr="00E93892" w:rsidRDefault="00BD546A" w:rsidP="00BD546A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>audyt i ewaluacja weryfikacji kodu źródłowego: Analiza repozytoriów (</w:t>
            </w:r>
            <w:proofErr w:type="spellStart"/>
            <w:r w:rsidRPr="00E93892">
              <w:t>Atlassian</w:t>
            </w:r>
            <w:proofErr w:type="spellEnd"/>
            <w:r w:rsidRPr="00E93892">
              <w:t xml:space="preserve"> </w:t>
            </w:r>
            <w:proofErr w:type="spellStart"/>
            <w:r w:rsidRPr="00E93892">
              <w:t>Bitbucket</w:t>
            </w:r>
            <w:proofErr w:type="spellEnd"/>
            <w:r w:rsidRPr="00E93892">
              <w:t xml:space="preserve">/SVN) pod kątem sprawdzenia, czy faktycznie wytworzony kod odpowiada zakresowi rzeczowemu zleceń, dokumentacji analitycznej oraz terminom wskazanym w umowach. </w:t>
            </w:r>
          </w:p>
          <w:p w14:paraId="2034068D" w14:textId="4B9B7734" w:rsidR="00BD546A" w:rsidRPr="00E93892" w:rsidRDefault="00BD546A" w:rsidP="00BD546A">
            <w:pPr>
              <w:pStyle w:val="Akapitzlist"/>
              <w:numPr>
                <w:ilvl w:val="0"/>
                <w:numId w:val="9"/>
              </w:numPr>
              <w:ind w:left="382"/>
            </w:pPr>
            <w:r w:rsidRPr="00E93892">
              <w:t xml:space="preserve">analiza prawna i techniczna pod kątem wystąpienia zjawiska </w:t>
            </w:r>
            <w:proofErr w:type="spellStart"/>
            <w:r w:rsidRPr="00E93892">
              <w:t>Vendor</w:t>
            </w:r>
            <w:proofErr w:type="spellEnd"/>
            <w:r w:rsidRPr="00E93892">
              <w:t xml:space="preserve"> Lock-in w warstwie aplikacyjnej, bazodanowej i orkiestracji.</w:t>
            </w:r>
          </w:p>
        </w:tc>
        <w:tc>
          <w:tcPr>
            <w:tcW w:w="3732" w:type="dxa"/>
          </w:tcPr>
          <w:p w14:paraId="009A9FD8" w14:textId="77777777" w:rsidR="00E0429D" w:rsidRPr="00E93892" w:rsidRDefault="00257F74" w:rsidP="00E93892">
            <w:r w:rsidRPr="00E93892">
              <w:lastRenderedPageBreak/>
              <w:t>Rekomendacje dotyczące usprawnienia procesu kontroli jakości, kryteriów odbioru oraz mechanizmów weryfikacji zgodności rezultatów projektu z wymaganiami.</w:t>
            </w:r>
          </w:p>
          <w:p w14:paraId="5E58F3AF" w14:textId="77777777" w:rsidR="00F67E93" w:rsidRDefault="00F67E93" w:rsidP="00E93892"/>
          <w:p w14:paraId="349FEDAB" w14:textId="531B6E07" w:rsidR="00307199" w:rsidRPr="00E93892" w:rsidRDefault="00307199" w:rsidP="00E93892">
            <w:r w:rsidRPr="00E93892">
              <w:t>W zakresie pkt a)</w:t>
            </w:r>
          </w:p>
          <w:p w14:paraId="06EC1A3B" w14:textId="6D9C5D43" w:rsidR="00BD546A" w:rsidRPr="00E93892" w:rsidRDefault="00BD546A" w:rsidP="00BD546A">
            <w:pPr>
              <w:pStyle w:val="Akapitzlist"/>
              <w:numPr>
                <w:ilvl w:val="0"/>
                <w:numId w:val="9"/>
              </w:numPr>
              <w:ind w:left="463"/>
            </w:pPr>
            <w:r w:rsidRPr="00E93892">
              <w:t>Raport czystości prawnej autorskich praw majątkowych i repozytoriów. Macierz zależności licencyjnych wraz z kalkulacją Ryzyka Finansowego w horyzoncie 5-letniego okresu trwałości FERC</w:t>
            </w:r>
          </w:p>
        </w:tc>
      </w:tr>
      <w:tr w:rsidR="00E0429D" w14:paraId="07EBD0F2" w14:textId="77777777" w:rsidTr="00307199">
        <w:tc>
          <w:tcPr>
            <w:tcW w:w="2237" w:type="dxa"/>
          </w:tcPr>
          <w:p w14:paraId="7B2E2441" w14:textId="45EDAF7F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osiągnięcia celów projektu (efektywność realizacji)</w:t>
            </w:r>
          </w:p>
        </w:tc>
        <w:tc>
          <w:tcPr>
            <w:tcW w:w="3812" w:type="dxa"/>
          </w:tcPr>
          <w:p w14:paraId="1B7F50AF" w14:textId="77777777" w:rsidR="00415603" w:rsidRDefault="00415603" w:rsidP="00415603">
            <w:r>
              <w:t>Analiza:</w:t>
            </w:r>
          </w:p>
          <w:p w14:paraId="7E470C55" w14:textId="4CF1945E" w:rsidR="00415603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 xml:space="preserve">czy projekt IT osiągnął zakładane cele biznesowe, </w:t>
            </w:r>
          </w:p>
          <w:p w14:paraId="06B11304" w14:textId="23E81CC4" w:rsidR="00415603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 xml:space="preserve">czy dostarczone rozwiązanie odpowiada rzeczywistym potrzebom użytkowników, </w:t>
            </w:r>
          </w:p>
          <w:p w14:paraId="3431C3F4" w14:textId="2AEB608A" w:rsidR="00E0429D" w:rsidRDefault="00415603" w:rsidP="00415603">
            <w:pPr>
              <w:pStyle w:val="Akapitzlist"/>
              <w:numPr>
                <w:ilvl w:val="0"/>
                <w:numId w:val="10"/>
              </w:numPr>
              <w:ind w:left="382"/>
            </w:pPr>
            <w:r>
              <w:t>czy uzyskano zakładane efekty (np. usprawnienie pracy sądów) biorąc pod uwagę istnienie norm prawnych pozwalających na wykorzystanie funkcjonalności</w:t>
            </w:r>
          </w:p>
        </w:tc>
        <w:tc>
          <w:tcPr>
            <w:tcW w:w="3732" w:type="dxa"/>
          </w:tcPr>
          <w:p w14:paraId="743748AB" w14:textId="11A00070" w:rsidR="00E0429D" w:rsidRDefault="00257F74">
            <w:r w:rsidRPr="00257F74">
              <w:t>Rekomendacje dotyczące zwiększenia efektywności realizacji celów biznesowych projektu oraz dostosowania funkcjonalności systemu do potrzeb użytkowników i uwarunkowań prawnych</w:t>
            </w:r>
            <w:r>
              <w:t>.</w:t>
            </w:r>
          </w:p>
        </w:tc>
      </w:tr>
      <w:tr w:rsidR="00E0429D" w14:paraId="41C3DA11" w14:textId="77777777" w:rsidTr="00307199">
        <w:tc>
          <w:tcPr>
            <w:tcW w:w="2237" w:type="dxa"/>
          </w:tcPr>
          <w:p w14:paraId="4B49CB94" w14:textId="6549F924" w:rsidR="00E0429D" w:rsidRPr="000A0E5B" w:rsidRDefault="00E0429D" w:rsidP="00C332AB">
            <w:pPr>
              <w:pStyle w:val="Akapitzlist"/>
              <w:numPr>
                <w:ilvl w:val="0"/>
                <w:numId w:val="1"/>
              </w:numPr>
              <w:tabs>
                <w:tab w:val="left" w:pos="366"/>
              </w:tabs>
              <w:ind w:left="33" w:firstLine="0"/>
              <w:rPr>
                <w:b/>
                <w:bCs/>
              </w:rPr>
            </w:pPr>
            <w:r w:rsidRPr="000A0E5B">
              <w:rPr>
                <w:b/>
                <w:bCs/>
              </w:rPr>
              <w:t>Ocena przygotowania systemu do utrzymania i dalszego rozwoju</w:t>
            </w:r>
          </w:p>
        </w:tc>
        <w:tc>
          <w:tcPr>
            <w:tcW w:w="3812" w:type="dxa"/>
          </w:tcPr>
          <w:p w14:paraId="441B4764" w14:textId="77777777" w:rsidR="000A0E5B" w:rsidRDefault="000A0E5B" w:rsidP="000A0E5B">
            <w:r>
              <w:t>Weryfikacja:</w:t>
            </w:r>
          </w:p>
          <w:p w14:paraId="658E9E65" w14:textId="3A3F0F27" w:rsidR="000A0E5B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>czy zapewniono ciągłość działania po wdrożeniu. Mam tutaj na myśli, czy korzystając z body-leasing zadbano o dokumentacje projektową oraz transfer wiedzy od konsultantów, programistów do kluczowych użytkowników Ministerstwa</w:t>
            </w:r>
          </w:p>
          <w:p w14:paraId="2B5F6514" w14:textId="2F0AEFBB" w:rsidR="000A0E5B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 xml:space="preserve">czy istnieją procedury utrzymania i rozwoju, </w:t>
            </w:r>
          </w:p>
          <w:p w14:paraId="6913D6B6" w14:textId="5C4031F2" w:rsidR="00E0429D" w:rsidRDefault="000A0E5B" w:rsidP="000A0E5B">
            <w:pPr>
              <w:pStyle w:val="Akapitzlist"/>
              <w:numPr>
                <w:ilvl w:val="0"/>
                <w:numId w:val="11"/>
              </w:numPr>
              <w:ind w:left="382"/>
            </w:pPr>
            <w:r>
              <w:t>czy organizacja jest gotowa do dalszej eksploatacji systemu</w:t>
            </w:r>
          </w:p>
        </w:tc>
        <w:tc>
          <w:tcPr>
            <w:tcW w:w="3732" w:type="dxa"/>
          </w:tcPr>
          <w:p w14:paraId="3920FE2D" w14:textId="6D546E09" w:rsidR="00E0429D" w:rsidRDefault="00257F74">
            <w:r>
              <w:t>Re</w:t>
            </w:r>
            <w:r w:rsidRPr="00257F74">
              <w:t>komendacje dotyczące zapewnienia skutecznego transferu wiedzy, kompletności dokumentacji projektowej oraz przygotowania organizacji do utrzymania i dalszego rozwoju systemu.</w:t>
            </w:r>
          </w:p>
        </w:tc>
      </w:tr>
      <w:tr w:rsidR="00E93892" w14:paraId="1296A912" w14:textId="77777777" w:rsidTr="00F0584E">
        <w:tc>
          <w:tcPr>
            <w:tcW w:w="9781" w:type="dxa"/>
            <w:gridSpan w:val="3"/>
          </w:tcPr>
          <w:p w14:paraId="7E7CBE1F" w14:textId="1A75CCDB" w:rsidR="00E93892" w:rsidRDefault="00E93892">
            <w:r w:rsidRPr="00E93892">
              <w:rPr>
                <w:b/>
                <w:bCs/>
              </w:rPr>
              <w:t>Produkt końcowy</w:t>
            </w:r>
            <w:r w:rsidRPr="00E93892">
              <w:t xml:space="preserve">: raport końcowy z audytu obejmujący wyniki analiz, identyfikację niezgodności i </w:t>
            </w:r>
            <w:proofErr w:type="spellStart"/>
            <w:r w:rsidRPr="00E93892">
              <w:t>ryzyk</w:t>
            </w:r>
            <w:proofErr w:type="spellEnd"/>
            <w:r w:rsidRPr="00E93892">
              <w:t>, plan działań naprawczych, wymagane opinie oraz prezentację wyników audytu dla Zamawiającego</w:t>
            </w:r>
            <w:r>
              <w:t>.</w:t>
            </w:r>
          </w:p>
        </w:tc>
      </w:tr>
    </w:tbl>
    <w:p w14:paraId="1F52B277" w14:textId="77777777" w:rsidR="00A65006" w:rsidRPr="00C332AB" w:rsidRDefault="00A65006">
      <w:pPr>
        <w:rPr>
          <w:sz w:val="2"/>
          <w:szCs w:val="2"/>
        </w:rPr>
      </w:pPr>
    </w:p>
    <w:sectPr w:rsidR="00A65006" w:rsidRPr="00C332AB" w:rsidSect="00DE24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083"/>
    <w:multiLevelType w:val="hybridMultilevel"/>
    <w:tmpl w:val="60724C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53F7E"/>
    <w:multiLevelType w:val="hybridMultilevel"/>
    <w:tmpl w:val="1E4A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66"/>
    <w:multiLevelType w:val="multilevel"/>
    <w:tmpl w:val="256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61CD0"/>
    <w:multiLevelType w:val="hybridMultilevel"/>
    <w:tmpl w:val="F2543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76519"/>
    <w:multiLevelType w:val="multilevel"/>
    <w:tmpl w:val="6D2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D456B"/>
    <w:multiLevelType w:val="hybridMultilevel"/>
    <w:tmpl w:val="15328E94"/>
    <w:lvl w:ilvl="0" w:tplc="EAAC777A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E832BC9"/>
    <w:multiLevelType w:val="hybridMultilevel"/>
    <w:tmpl w:val="D2F22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2845"/>
    <w:multiLevelType w:val="hybridMultilevel"/>
    <w:tmpl w:val="24BE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11E3"/>
    <w:multiLevelType w:val="hybridMultilevel"/>
    <w:tmpl w:val="E2CE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374F"/>
    <w:multiLevelType w:val="hybridMultilevel"/>
    <w:tmpl w:val="16D0A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22A4"/>
    <w:multiLevelType w:val="multilevel"/>
    <w:tmpl w:val="3F0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2443B"/>
    <w:multiLevelType w:val="multilevel"/>
    <w:tmpl w:val="80FE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1283E"/>
    <w:multiLevelType w:val="hybridMultilevel"/>
    <w:tmpl w:val="176E1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65E2D"/>
    <w:multiLevelType w:val="hybridMultilevel"/>
    <w:tmpl w:val="EAC62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06278"/>
    <w:multiLevelType w:val="hybridMultilevel"/>
    <w:tmpl w:val="E8F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72709"/>
    <w:multiLevelType w:val="hybridMultilevel"/>
    <w:tmpl w:val="20C6C200"/>
    <w:lvl w:ilvl="0" w:tplc="2F9E27B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6CCA50F5"/>
    <w:multiLevelType w:val="hybridMultilevel"/>
    <w:tmpl w:val="0E66DEB6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40ED"/>
    <w:multiLevelType w:val="multilevel"/>
    <w:tmpl w:val="256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65F21"/>
    <w:multiLevelType w:val="multilevel"/>
    <w:tmpl w:val="256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246">
    <w:abstractNumId w:val="16"/>
  </w:num>
  <w:num w:numId="2" w16cid:durableId="849027951">
    <w:abstractNumId w:val="10"/>
  </w:num>
  <w:num w:numId="3" w16cid:durableId="1228028063">
    <w:abstractNumId w:val="14"/>
  </w:num>
  <w:num w:numId="4" w16cid:durableId="2010139383">
    <w:abstractNumId w:val="7"/>
  </w:num>
  <w:num w:numId="5" w16cid:durableId="2109228191">
    <w:abstractNumId w:val="12"/>
  </w:num>
  <w:num w:numId="6" w16cid:durableId="384258788">
    <w:abstractNumId w:val="9"/>
  </w:num>
  <w:num w:numId="7" w16cid:durableId="560025455">
    <w:abstractNumId w:val="8"/>
  </w:num>
  <w:num w:numId="8" w16cid:durableId="1430009913">
    <w:abstractNumId w:val="17"/>
  </w:num>
  <w:num w:numId="9" w16cid:durableId="1285620701">
    <w:abstractNumId w:val="13"/>
  </w:num>
  <w:num w:numId="10" w16cid:durableId="111099838">
    <w:abstractNumId w:val="6"/>
  </w:num>
  <w:num w:numId="11" w16cid:durableId="1564607137">
    <w:abstractNumId w:val="1"/>
  </w:num>
  <w:num w:numId="12" w16cid:durableId="1966932103">
    <w:abstractNumId w:val="11"/>
  </w:num>
  <w:num w:numId="13" w16cid:durableId="1339499151">
    <w:abstractNumId w:val="5"/>
  </w:num>
  <w:num w:numId="14" w16cid:durableId="305623641">
    <w:abstractNumId w:val="15"/>
  </w:num>
  <w:num w:numId="15" w16cid:durableId="536552860">
    <w:abstractNumId w:val="4"/>
  </w:num>
  <w:num w:numId="16" w16cid:durableId="596056829">
    <w:abstractNumId w:val="2"/>
  </w:num>
  <w:num w:numId="17" w16cid:durableId="1117719718">
    <w:abstractNumId w:val="18"/>
  </w:num>
  <w:num w:numId="18" w16cid:durableId="1782187918">
    <w:abstractNumId w:val="0"/>
  </w:num>
  <w:num w:numId="19" w16cid:durableId="58091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06"/>
    <w:rsid w:val="000840E5"/>
    <w:rsid w:val="000A0E5B"/>
    <w:rsid w:val="000E73EB"/>
    <w:rsid w:val="0018709E"/>
    <w:rsid w:val="00226128"/>
    <w:rsid w:val="00257F74"/>
    <w:rsid w:val="002937F6"/>
    <w:rsid w:val="00307199"/>
    <w:rsid w:val="00320479"/>
    <w:rsid w:val="003278AD"/>
    <w:rsid w:val="003C029C"/>
    <w:rsid w:val="003D6581"/>
    <w:rsid w:val="00415603"/>
    <w:rsid w:val="004D6FD1"/>
    <w:rsid w:val="00532E6E"/>
    <w:rsid w:val="00583892"/>
    <w:rsid w:val="005D28A7"/>
    <w:rsid w:val="005E53C5"/>
    <w:rsid w:val="00631FF6"/>
    <w:rsid w:val="006467CA"/>
    <w:rsid w:val="006E5269"/>
    <w:rsid w:val="007036A5"/>
    <w:rsid w:val="00812642"/>
    <w:rsid w:val="00852F21"/>
    <w:rsid w:val="008C48BF"/>
    <w:rsid w:val="00911D11"/>
    <w:rsid w:val="0099236D"/>
    <w:rsid w:val="00A65006"/>
    <w:rsid w:val="00A86FCA"/>
    <w:rsid w:val="00B10868"/>
    <w:rsid w:val="00B17304"/>
    <w:rsid w:val="00B3721E"/>
    <w:rsid w:val="00B72CC6"/>
    <w:rsid w:val="00BD546A"/>
    <w:rsid w:val="00C31623"/>
    <w:rsid w:val="00C332AB"/>
    <w:rsid w:val="00C40E06"/>
    <w:rsid w:val="00C91338"/>
    <w:rsid w:val="00CE4F70"/>
    <w:rsid w:val="00D61E9B"/>
    <w:rsid w:val="00DB21C0"/>
    <w:rsid w:val="00DE24E8"/>
    <w:rsid w:val="00E0429D"/>
    <w:rsid w:val="00E3541A"/>
    <w:rsid w:val="00E93892"/>
    <w:rsid w:val="00EB40B0"/>
    <w:rsid w:val="00F045D6"/>
    <w:rsid w:val="00F31ABD"/>
    <w:rsid w:val="00F67E93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3AC2"/>
  <w15:chartTrackingRefBased/>
  <w15:docId w15:val="{C4040449-0F3F-46FF-9B51-B1223DA8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0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D6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Grzegorz.Polak@ms.gov.pl</dc:creator>
  <cp:keywords/>
  <dc:description/>
  <cp:lastModifiedBy>Forowicz-Janicka Agnieszka  (DIRS)</cp:lastModifiedBy>
  <cp:revision>6</cp:revision>
  <cp:lastPrinted>2025-10-07T11:00:00Z</cp:lastPrinted>
  <dcterms:created xsi:type="dcterms:W3CDTF">2026-06-08T10:24:00Z</dcterms:created>
  <dcterms:modified xsi:type="dcterms:W3CDTF">2026-06-08T12:34:00Z</dcterms:modified>
</cp:coreProperties>
</file>