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F6" w:rsidRDefault="00FD4EB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OPIS PRZEDMIOTU ZAMÓWIENIA 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ind w:left="-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Przedmiotem zamówienia jest świadczenie usług polegających na monitorowaniu usług sieciowych poprzez zdalny dostęp do systemu Zamawiającego lub jednostek organizacyjnych podległych lub nadzorowanych przez Ministra </w:t>
      </w:r>
      <w:r>
        <w:rPr>
          <w:rFonts w:ascii="Arial" w:hAnsi="Arial"/>
          <w:sz w:val="22"/>
          <w:szCs w:val="22"/>
        </w:rPr>
        <w:t>Sprawiedliwości, wskazanych każdorazowo przez Zamawiającego na podstawie zamówień wykonawczych.</w:t>
      </w:r>
      <w:bookmarkStart w:id="0" w:name="_GoBack"/>
      <w:bookmarkEnd w:id="0"/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Zakres usług: </w:t>
      </w:r>
    </w:p>
    <w:p w:rsidR="001168F6" w:rsidRDefault="00FD4EBD">
      <w:pPr>
        <w:spacing w:line="276" w:lineRule="auto"/>
        <w:ind w:firstLine="283"/>
        <w:jc w:val="both"/>
      </w:pPr>
      <w:r>
        <w:rPr>
          <w:rFonts w:ascii="Arial" w:hAnsi="Arial"/>
          <w:sz w:val="22"/>
          <w:szCs w:val="22"/>
        </w:rPr>
        <w:t>a. Przygotowanie projektu i procedur odnośnie świadczenia usług monitoringu w tym:</w:t>
      </w:r>
    </w:p>
    <w:p w:rsidR="001168F6" w:rsidRDefault="00FD4EBD">
      <w:pPr>
        <w:spacing w:line="276" w:lineRule="auto"/>
        <w:ind w:firstLine="283"/>
        <w:jc w:val="both"/>
      </w:pPr>
      <w:r>
        <w:rPr>
          <w:rFonts w:ascii="Arial" w:hAnsi="Arial"/>
          <w:sz w:val="22"/>
          <w:szCs w:val="22"/>
        </w:rPr>
        <w:tab/>
        <w:t>- ustalenie listy monitorowanych parametrów i urządze</w:t>
      </w:r>
      <w:r>
        <w:rPr>
          <w:rFonts w:ascii="Arial" w:hAnsi="Arial"/>
          <w:sz w:val="22"/>
          <w:szCs w:val="22"/>
        </w:rPr>
        <w:t>ń</w:t>
      </w:r>
    </w:p>
    <w:p w:rsidR="001168F6" w:rsidRDefault="00FD4EBD">
      <w:pPr>
        <w:spacing w:line="276" w:lineRule="auto"/>
        <w:ind w:firstLine="283"/>
        <w:jc w:val="both"/>
      </w:pPr>
      <w:r>
        <w:rPr>
          <w:rFonts w:ascii="Arial" w:hAnsi="Arial"/>
          <w:sz w:val="22"/>
          <w:szCs w:val="22"/>
        </w:rPr>
        <w:tab/>
        <w:t>- określenie progów i zdarzeń wyzwalających mechanizmy powiadamiania</w:t>
      </w:r>
    </w:p>
    <w:p w:rsidR="001168F6" w:rsidRDefault="00FD4EBD">
      <w:pPr>
        <w:spacing w:line="276" w:lineRule="auto"/>
        <w:ind w:left="737" w:hanging="170"/>
        <w:jc w:val="both"/>
      </w:pPr>
      <w:r>
        <w:rPr>
          <w:rFonts w:ascii="Arial" w:hAnsi="Arial"/>
          <w:sz w:val="22"/>
          <w:szCs w:val="22"/>
        </w:rPr>
        <w:tab/>
        <w:t xml:space="preserve">- opracowanie kategorii oraz przypisanie poziomów krytyczności zdarzeń w zależności od rodzaju pozyskanych informacji przez system monitorowania (np. 3 kategorie zdarzeń: </w:t>
      </w:r>
    </w:p>
    <w:p w:rsidR="001168F6" w:rsidRDefault="00FD4EBD">
      <w:pPr>
        <w:tabs>
          <w:tab w:val="left" w:pos="445"/>
        </w:tabs>
        <w:spacing w:line="276" w:lineRule="auto"/>
        <w:ind w:left="850" w:firstLine="2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• Kryty</w:t>
      </w:r>
      <w:r>
        <w:rPr>
          <w:rFonts w:ascii="Arial" w:hAnsi="Arial"/>
          <w:sz w:val="22"/>
          <w:szCs w:val="22"/>
        </w:rPr>
        <w:t>czne</w:t>
      </w:r>
    </w:p>
    <w:p w:rsidR="001168F6" w:rsidRDefault="00FD4EBD">
      <w:pPr>
        <w:tabs>
          <w:tab w:val="left" w:pos="445"/>
        </w:tabs>
        <w:spacing w:line="276" w:lineRule="auto"/>
        <w:ind w:left="850" w:firstLine="2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• Ważne </w:t>
      </w:r>
    </w:p>
    <w:p w:rsidR="001168F6" w:rsidRDefault="00FD4EBD">
      <w:pPr>
        <w:tabs>
          <w:tab w:val="left" w:pos="445"/>
        </w:tabs>
        <w:spacing w:line="276" w:lineRule="auto"/>
        <w:ind w:left="850" w:firstLine="2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• Informacyjne</w:t>
      </w:r>
    </w:p>
    <w:p w:rsidR="001168F6" w:rsidRDefault="00FD4EBD">
      <w:pPr>
        <w:spacing w:line="276" w:lineRule="auto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b. Zdefiniowanie ścieżek, parametrów i sposobów eskalacji w zależności od rodzaju zdarzenia</w:t>
      </w:r>
    </w:p>
    <w:p w:rsidR="001168F6" w:rsidRDefault="00FD4EBD">
      <w:pPr>
        <w:spacing w:line="276" w:lineRule="auto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 Weryfikacja konfiguracji systemu monitoringu</w:t>
      </w:r>
    </w:p>
    <w:p w:rsidR="001168F6" w:rsidRDefault="00FD4EBD">
      <w:pPr>
        <w:spacing w:line="276" w:lineRule="auto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d. Weryfikacja ustawienia sensorów</w:t>
      </w:r>
    </w:p>
    <w:p w:rsidR="001168F6" w:rsidRDefault="00FD4EBD">
      <w:pPr>
        <w:spacing w:line="276" w:lineRule="auto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e. Wprowadzenie zmian konfiguracyjnych w sys</w:t>
      </w:r>
      <w:r>
        <w:rPr>
          <w:rFonts w:ascii="Arial" w:hAnsi="Arial"/>
          <w:sz w:val="22"/>
          <w:szCs w:val="22"/>
        </w:rPr>
        <w:t>temie monitoringu zgodnie z wypracowanym projektem</w:t>
      </w:r>
    </w:p>
    <w:p w:rsidR="001168F6" w:rsidRDefault="00FD4EBD">
      <w:pPr>
        <w:spacing w:line="276" w:lineRule="auto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f. Przygotowanie oraz implementacja przez Wykonawcę mechanizmów powiadamiania administratora Wykonawcy w przypadku wykrycia przez system zdarzeń niepożądanych.</w:t>
      </w:r>
    </w:p>
    <w:p w:rsidR="001168F6" w:rsidRDefault="001168F6">
      <w:pPr>
        <w:spacing w:line="276" w:lineRule="auto"/>
        <w:ind w:left="850" w:hanging="567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Powyższe działania zostaną wykonane przy </w:t>
      </w:r>
      <w:r>
        <w:rPr>
          <w:rFonts w:ascii="Arial" w:hAnsi="Arial"/>
          <w:sz w:val="22"/>
          <w:szCs w:val="22"/>
        </w:rPr>
        <w:t>współpracy z Zamawiającym na podstawie bieżącej konfiguracji urządzeń, krytyczności elementów infrastruktury Zamawiającego oraz potencjalnego wypływu poszczególnego rodzaju zdarzeń na dostępność zasobów.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SLA realizacji usługi: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Identyfikacja zdarzenia ora</w:t>
      </w:r>
      <w:r>
        <w:rPr>
          <w:rFonts w:ascii="Arial" w:hAnsi="Arial"/>
          <w:sz w:val="22"/>
          <w:szCs w:val="22"/>
        </w:rPr>
        <w:t>z czas poinformowania administratora Zamawiającego: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Krytyczne: do 1 h od zdarzenia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Ważne: do 24 h od zdarzenia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Informacyjne: do 24 h w raporcie dobowym 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będzie świadczył usługi w miarę potrzeb Zamawiającego. 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każdorazowo będzie zlec</w:t>
      </w:r>
      <w:r>
        <w:rPr>
          <w:rFonts w:ascii="Arial" w:hAnsi="Arial"/>
          <w:sz w:val="22"/>
          <w:szCs w:val="22"/>
        </w:rPr>
        <w:t>ał Wykonawcy wykonanie usługi na podstawie Zamówienia wykonawczego, w którym określi co najmniej: nazwę i lokalizację jednostki organizacyjnej, w której usługa ma zostać wykonana, zakres przedmiotu monitorowania usług, proponowane terminy realizacji, wymag</w:t>
      </w:r>
      <w:r>
        <w:rPr>
          <w:rFonts w:ascii="Arial" w:hAnsi="Arial"/>
          <w:sz w:val="22"/>
          <w:szCs w:val="22"/>
        </w:rPr>
        <w:t>ania w zakresie przetwarzania danych osobowych.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Powyższe jest minimalnym zakresem, jaki będzie zawierało zamówienie wykonawcze, przy czym pełny opis i zakres zamówienia wykonawczego będzie każdorazowo dostosowywany i przedstawiany Wykonawcy na adres e-mail</w:t>
      </w:r>
      <w:r>
        <w:rPr>
          <w:rFonts w:ascii="Arial" w:hAnsi="Arial"/>
          <w:sz w:val="22"/>
          <w:szCs w:val="22"/>
        </w:rPr>
        <w:t>.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Zasady udzielania zamówień wykonawczych zostały określone w §6 Umowy ramowej.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Przedmiot Umowy ramowej będzie świadczony przez Wykonawcę przy pomocy Analityków, posiadających odpowiednie kwalifikacje oraz wiedzę i doświadczenie, pozwalające na należytą r</w:t>
      </w:r>
      <w:r>
        <w:rPr>
          <w:rFonts w:ascii="Arial" w:hAnsi="Arial"/>
          <w:sz w:val="22"/>
          <w:szCs w:val="22"/>
        </w:rPr>
        <w:t xml:space="preserve">ealizację Przedmiotu Umowy, tj. Zamawiający wymaga, aby w okresie obowiązywania umowy </w:t>
      </w:r>
      <w:r>
        <w:rPr>
          <w:rFonts w:ascii="Arial" w:hAnsi="Arial"/>
          <w:sz w:val="22"/>
          <w:szCs w:val="22"/>
        </w:rPr>
        <w:lastRenderedPageBreak/>
        <w:t>ramowej, Wykonawca dysponował co najmniej 3 (trzema) analitykami posiadającymi co najmniej roczne doświadczenie w zakresie bezpieczeństwa systemów teleinformatycznych.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 xml:space="preserve"> ramach Przedmiotu Umowy Wykonawca zobowiązany jest do: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numPr>
          <w:ilvl w:val="0"/>
          <w:numId w:val="1"/>
        </w:numPr>
        <w:tabs>
          <w:tab w:val="clear" w:pos="720"/>
          <w:tab w:val="left" w:pos="283"/>
        </w:tabs>
        <w:spacing w:line="276" w:lineRule="auto"/>
        <w:ind w:left="283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monitorowania usług sieciowych realizowanych w ramach zleconych przez zamawiającego dyżurów w dniach i godzinach wskazanych w zamówieniu wykonawczym, </w:t>
      </w:r>
    </w:p>
    <w:p w:rsidR="001168F6" w:rsidRDefault="00FD4EBD">
      <w:pPr>
        <w:numPr>
          <w:ilvl w:val="0"/>
          <w:numId w:val="1"/>
        </w:numPr>
        <w:tabs>
          <w:tab w:val="clear" w:pos="720"/>
          <w:tab w:val="left" w:pos="283"/>
        </w:tabs>
        <w:spacing w:line="276" w:lineRule="auto"/>
        <w:ind w:left="283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pełnienia dyżurów od poniedziałku do niedzieli o</w:t>
      </w:r>
      <w:r>
        <w:rPr>
          <w:rFonts w:ascii="Arial" w:hAnsi="Arial"/>
          <w:sz w:val="22"/>
          <w:szCs w:val="22"/>
        </w:rPr>
        <w:t xml:space="preserve">raz dni ustawowo wolne od pracy – całodobowo (od godziny 00:01 do godziny 24:00),z tym że zamawiający każdorazowo określi terminy i godziny świadczenia usługi w zamówieniu wykonawczym. </w:t>
      </w:r>
    </w:p>
    <w:p w:rsidR="001168F6" w:rsidRDefault="00FD4EBD">
      <w:pPr>
        <w:numPr>
          <w:ilvl w:val="0"/>
          <w:numId w:val="1"/>
        </w:numPr>
        <w:tabs>
          <w:tab w:val="clear" w:pos="720"/>
          <w:tab w:val="left" w:pos="283"/>
        </w:tabs>
        <w:spacing w:line="276" w:lineRule="auto"/>
        <w:ind w:left="283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dyżury są pełnione przez Zamawiającego oraz przez Wykonawcę. Strony us</w:t>
      </w:r>
      <w:r>
        <w:rPr>
          <w:rFonts w:ascii="Arial" w:hAnsi="Arial"/>
          <w:sz w:val="22"/>
          <w:szCs w:val="22"/>
        </w:rPr>
        <w:t>talają że niezależnie od wyznaczonych godzin dyżuru, nie zaprzestaną świadczenia usługi bez przekazania dyżuru drugiej Stronie. W przypadku skrócenia lub wydłużenia czasu dyżuru wynagrodzenie Wykonawcy zostanie obliczone za faktycznie świadczony czas usług</w:t>
      </w:r>
      <w:r>
        <w:rPr>
          <w:rFonts w:ascii="Arial" w:hAnsi="Arial"/>
          <w:sz w:val="22"/>
          <w:szCs w:val="22"/>
        </w:rPr>
        <w:t xml:space="preserve">i. </w:t>
      </w:r>
    </w:p>
    <w:p w:rsidR="001168F6" w:rsidRDefault="00FD4EBD">
      <w:pPr>
        <w:numPr>
          <w:ilvl w:val="0"/>
          <w:numId w:val="1"/>
        </w:numPr>
        <w:tabs>
          <w:tab w:val="clear" w:pos="720"/>
          <w:tab w:val="left" w:pos="283"/>
        </w:tabs>
        <w:spacing w:line="276" w:lineRule="auto"/>
        <w:ind w:left="283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niezwłoczne raportowanie zagrożeń wykrytych w Systemie zamawiającego, administratorowi wskazanemu przez Zamawiającego.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Przed rozpoczęciem realizacji zamówienia wykonawczego Strony  wezmą udział w spotkaniu technicznym w celu szczegółowego określenia </w:t>
      </w:r>
      <w:r>
        <w:rPr>
          <w:rFonts w:ascii="Arial" w:hAnsi="Arial"/>
          <w:sz w:val="22"/>
          <w:szCs w:val="22"/>
        </w:rPr>
        <w:t>metodyki pracy i zasad współpracy w zakresie Przedmiotu Umowy. W spotkaniu weźmie udział przedstawiciel Administratora Systemu. Ze spotkania, w razie potrzeby, zostanie sporządzona notatka wiążąca obie Strony Umowy.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Zasady organizacji spotkania:</w:t>
      </w: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termini</w:t>
      </w:r>
      <w:r>
        <w:rPr>
          <w:rFonts w:ascii="Arial" w:hAnsi="Arial"/>
          <w:sz w:val="22"/>
          <w:szCs w:val="22"/>
        </w:rPr>
        <w:t xml:space="preserve">e do 3 dni od udzielenia zamówienia wykonawczego Zamawiający zorganizuje spotkanie techniczne on-line lub w siedzibie Zamawiającego. O terminie spotkania Zamawiający poinformuje Wykonawcę drogą mailową. </w:t>
      </w:r>
    </w:p>
    <w:p w:rsidR="001168F6" w:rsidRDefault="001168F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68F6" w:rsidRDefault="00FD4EBD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Umowa zostanie zawarta na okres do 36 miesięcy od d</w:t>
      </w:r>
      <w:r>
        <w:rPr>
          <w:rFonts w:ascii="Arial" w:hAnsi="Arial"/>
          <w:sz w:val="22"/>
          <w:szCs w:val="22"/>
        </w:rPr>
        <w:t xml:space="preserve">nia zawarcia umowy lub do wyczerpania środków finansowych przeznaczonych na realizację przedmiotu umowy, w zależności od tego, które z ww. zdarzeń wystąpi jako pierwsze. </w:t>
      </w:r>
    </w:p>
    <w:sectPr w:rsidR="001168F6">
      <w:pgSz w:w="11906" w:h="16838"/>
      <w:pgMar w:top="1134" w:right="1127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552C3"/>
    <w:multiLevelType w:val="multilevel"/>
    <w:tmpl w:val="8ED04A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6876549F"/>
    <w:multiLevelType w:val="multilevel"/>
    <w:tmpl w:val="3E1AE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168F6"/>
    <w:rsid w:val="001168F6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3863</Characters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2022-04-27T12:47:00Z</dcterms:created>
  <dcterms:modified xsi:type="dcterms:W3CDTF">2022-04-27T12:47:00Z</dcterms:modified>
</cp:coreProperties>
</file>