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2447" w14:textId="00E2EDDE" w:rsidR="00B84B49" w:rsidRPr="00926924" w:rsidRDefault="00B84B49" w:rsidP="00B84B49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926924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E</w:t>
      </w:r>
      <w:r w:rsidRPr="00926924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 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NR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83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LIPCA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202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6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127089B1" w14:textId="7A6D2715" w:rsidR="00B84B49" w:rsidRPr="0058562B" w:rsidRDefault="00B84B49" w:rsidP="00B84B49">
      <w:pPr>
        <w:spacing w:before="240" w:after="120" w:line="276" w:lineRule="auto"/>
        <w:jc w:val="both"/>
        <w:rPr>
          <w:rFonts w:ascii="Lato" w:hAnsi="Lato"/>
        </w:rPr>
      </w:pPr>
      <w:r w:rsidRPr="0058562B">
        <w:rPr>
          <w:rFonts w:ascii="Lato" w:hAnsi="Lato"/>
        </w:rPr>
        <w:t xml:space="preserve">W ramach </w:t>
      </w:r>
      <w:r>
        <w:rPr>
          <w:rFonts w:ascii="Lato" w:hAnsi="Lato"/>
        </w:rPr>
        <w:t>trzeciego</w:t>
      </w:r>
      <w:r w:rsidRPr="0058562B">
        <w:rPr>
          <w:rFonts w:ascii="Lato" w:hAnsi="Lato"/>
        </w:rPr>
        <w:t xml:space="preserve"> wykazu w roku 202</w:t>
      </w:r>
      <w:r>
        <w:rPr>
          <w:rFonts w:ascii="Lato" w:hAnsi="Lato"/>
        </w:rPr>
        <w:t>6</w:t>
      </w:r>
      <w:r w:rsidRPr="0058562B">
        <w:rPr>
          <w:rFonts w:ascii="Lato" w:hAnsi="Lato"/>
        </w:rPr>
        <w:t>, finansowaniem ze środków publicznych został</w:t>
      </w:r>
      <w:r>
        <w:rPr>
          <w:rFonts w:ascii="Lato" w:hAnsi="Lato"/>
        </w:rPr>
        <w:t>o</w:t>
      </w:r>
      <w:r w:rsidRPr="0058562B">
        <w:rPr>
          <w:rFonts w:ascii="Lato" w:hAnsi="Lato"/>
        </w:rPr>
        <w:t xml:space="preserve"> objęt</w:t>
      </w:r>
      <w:r>
        <w:rPr>
          <w:rFonts w:ascii="Lato" w:hAnsi="Lato"/>
        </w:rPr>
        <w:t>ych</w:t>
      </w:r>
      <w:r w:rsidRPr="0058562B">
        <w:rPr>
          <w:rFonts w:ascii="Lato" w:hAnsi="Lato"/>
        </w:rPr>
        <w:t xml:space="preserve"> </w:t>
      </w:r>
      <w:r>
        <w:rPr>
          <w:rFonts w:ascii="Lato" w:hAnsi="Lato"/>
          <w:b/>
          <w:bCs/>
        </w:rPr>
        <w:t>25</w:t>
      </w:r>
      <w:r w:rsidRPr="0058562B">
        <w:rPr>
          <w:rFonts w:ascii="Lato" w:hAnsi="Lato"/>
          <w:b/>
          <w:bCs/>
        </w:rPr>
        <w:t xml:space="preserve"> now</w:t>
      </w:r>
      <w:r>
        <w:rPr>
          <w:rFonts w:ascii="Lato" w:hAnsi="Lato"/>
          <w:b/>
          <w:bCs/>
        </w:rPr>
        <w:t>ych</w:t>
      </w:r>
      <w:r w:rsidRPr="0058562B">
        <w:rPr>
          <w:rFonts w:ascii="Lato" w:hAnsi="Lato"/>
          <w:b/>
          <w:bCs/>
        </w:rPr>
        <w:t xml:space="preserve"> cząsteczko – wskaza</w:t>
      </w:r>
      <w:r>
        <w:rPr>
          <w:rFonts w:ascii="Lato" w:hAnsi="Lato"/>
          <w:b/>
          <w:bCs/>
        </w:rPr>
        <w:t>ń</w:t>
      </w:r>
      <w:r w:rsidRPr="0058562B">
        <w:rPr>
          <w:rFonts w:ascii="Lato" w:hAnsi="Lato"/>
        </w:rPr>
        <w:t>, w tym:</w:t>
      </w:r>
    </w:p>
    <w:p w14:paraId="025F133C" w14:textId="21748AD2" w:rsidR="00B84B49" w:rsidRPr="008D723E" w:rsidRDefault="00B84B49" w:rsidP="00B84B49">
      <w:pPr>
        <w:pStyle w:val="Akapitzlist"/>
        <w:numPr>
          <w:ilvl w:val="0"/>
          <w:numId w:val="28"/>
        </w:numPr>
        <w:spacing w:before="24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10</w:t>
      </w:r>
      <w:r w:rsidRPr="008D723E">
        <w:rPr>
          <w:rFonts w:ascii="Lato" w:hAnsi="Lato"/>
        </w:rPr>
        <w:t xml:space="preserve"> cząsteczko – wskaza</w:t>
      </w:r>
      <w:r>
        <w:rPr>
          <w:rFonts w:ascii="Lato" w:hAnsi="Lato"/>
        </w:rPr>
        <w:t>ń</w:t>
      </w:r>
      <w:r w:rsidRPr="008D723E">
        <w:rPr>
          <w:rFonts w:ascii="Lato" w:hAnsi="Lato"/>
        </w:rPr>
        <w:t xml:space="preserve"> onkologiczn</w:t>
      </w:r>
      <w:r>
        <w:rPr>
          <w:rFonts w:ascii="Lato" w:hAnsi="Lato"/>
        </w:rPr>
        <w:t>ych</w:t>
      </w:r>
      <w:r w:rsidRPr="008D723E">
        <w:rPr>
          <w:rFonts w:ascii="Lato" w:hAnsi="Lato"/>
        </w:rPr>
        <w:t>,</w:t>
      </w:r>
    </w:p>
    <w:p w14:paraId="1471A6A9" w14:textId="56334B3A" w:rsidR="00B84B49" w:rsidRPr="008D723E" w:rsidRDefault="00B84B49" w:rsidP="00B84B49">
      <w:pPr>
        <w:pStyle w:val="Akapitzlist"/>
        <w:numPr>
          <w:ilvl w:val="0"/>
          <w:numId w:val="28"/>
        </w:numPr>
        <w:spacing w:before="24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15</w:t>
      </w:r>
      <w:r w:rsidRPr="008D723E">
        <w:rPr>
          <w:rFonts w:ascii="Lato" w:hAnsi="Lato"/>
        </w:rPr>
        <w:t xml:space="preserve"> cząsteczko - wskaza</w:t>
      </w:r>
      <w:r>
        <w:rPr>
          <w:rFonts w:ascii="Lato" w:hAnsi="Lato"/>
        </w:rPr>
        <w:t>ń</w:t>
      </w:r>
      <w:r w:rsidRPr="008D723E">
        <w:rPr>
          <w:rFonts w:ascii="Lato" w:hAnsi="Lato"/>
        </w:rPr>
        <w:t xml:space="preserve"> nieonkologiczn</w:t>
      </w:r>
      <w:r>
        <w:rPr>
          <w:rFonts w:ascii="Lato" w:hAnsi="Lato"/>
        </w:rPr>
        <w:t>ych</w:t>
      </w:r>
      <w:r w:rsidRPr="008D723E">
        <w:rPr>
          <w:rFonts w:ascii="Lato" w:hAnsi="Lato"/>
        </w:rPr>
        <w:t>,</w:t>
      </w:r>
    </w:p>
    <w:p w14:paraId="67136E45" w14:textId="285A07D7" w:rsidR="00B84B49" w:rsidRPr="008D723E" w:rsidRDefault="00B84B49" w:rsidP="00B84B49">
      <w:pPr>
        <w:pStyle w:val="Akapitzlist"/>
        <w:numPr>
          <w:ilvl w:val="0"/>
          <w:numId w:val="28"/>
        </w:numPr>
        <w:spacing w:before="24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Pr="008D723E">
        <w:rPr>
          <w:rFonts w:ascii="Lato" w:hAnsi="Lato"/>
        </w:rPr>
        <w:t xml:space="preserve"> cząsteczko - wskazań dedykowanych chorobom rzadkim.</w:t>
      </w:r>
    </w:p>
    <w:p w14:paraId="6F7A4BD8" w14:textId="4AE775E0" w:rsidR="00B84B49" w:rsidRPr="0058562B" w:rsidRDefault="00B84B49" w:rsidP="00B84B49">
      <w:pPr>
        <w:spacing w:before="240" w:after="120" w:line="276" w:lineRule="auto"/>
        <w:jc w:val="both"/>
        <w:rPr>
          <w:rFonts w:ascii="Lato" w:hAnsi="Lato"/>
        </w:rPr>
      </w:pPr>
      <w:r w:rsidRPr="0058562B">
        <w:rPr>
          <w:rFonts w:ascii="Lato" w:hAnsi="Lato"/>
        </w:rPr>
        <w:t xml:space="preserve">Obwieszczenie refundacyjne obowiązujące od </w:t>
      </w:r>
      <w:r>
        <w:rPr>
          <w:rFonts w:ascii="Lato" w:hAnsi="Lato"/>
        </w:rPr>
        <w:t xml:space="preserve">1 </w:t>
      </w:r>
      <w:r w:rsidR="00DC653E">
        <w:rPr>
          <w:rFonts w:ascii="Lato" w:hAnsi="Lato"/>
        </w:rPr>
        <w:t>lipca</w:t>
      </w:r>
      <w:r w:rsidRPr="0058562B">
        <w:rPr>
          <w:rFonts w:ascii="Lato" w:hAnsi="Lato"/>
        </w:rPr>
        <w:t xml:space="preserve"> 202</w:t>
      </w:r>
      <w:r>
        <w:rPr>
          <w:rFonts w:ascii="Lato" w:hAnsi="Lato"/>
        </w:rPr>
        <w:t>6</w:t>
      </w:r>
      <w:r w:rsidRPr="0058562B">
        <w:rPr>
          <w:rFonts w:ascii="Lato" w:hAnsi="Lato"/>
        </w:rPr>
        <w:t xml:space="preserve"> r. (nr 8</w:t>
      </w:r>
      <w:r w:rsidR="00DC653E">
        <w:rPr>
          <w:rFonts w:ascii="Lato" w:hAnsi="Lato"/>
        </w:rPr>
        <w:t>3</w:t>
      </w:r>
      <w:r w:rsidRPr="0058562B">
        <w:rPr>
          <w:rFonts w:ascii="Lato" w:hAnsi="Lato"/>
        </w:rPr>
        <w:t xml:space="preserve">), w porównaniu do obwieszczenia </w:t>
      </w:r>
      <w:r>
        <w:rPr>
          <w:rFonts w:ascii="Lato" w:hAnsi="Lato"/>
        </w:rPr>
        <w:t>8</w:t>
      </w:r>
      <w:r w:rsidR="00DC653E">
        <w:rPr>
          <w:rFonts w:ascii="Lato" w:hAnsi="Lato"/>
        </w:rPr>
        <w:t>2</w:t>
      </w:r>
      <w:r w:rsidRPr="0058562B">
        <w:rPr>
          <w:rFonts w:ascii="Lato" w:hAnsi="Lato"/>
        </w:rPr>
        <w:t xml:space="preserve"> zawiera następujące zmiany:</w:t>
      </w:r>
    </w:p>
    <w:p w14:paraId="41BC8432" w14:textId="56D6620E" w:rsidR="00B84B49" w:rsidRPr="007E33AA" w:rsidRDefault="00B84B49" w:rsidP="00B84B4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7E33AA">
        <w:rPr>
          <w:rFonts w:ascii="Lato" w:hAnsi="Lato"/>
        </w:rPr>
        <w:t>W związku z wydaniem pozytywnych decyzji o objęciu refundacją ogółem do wykazu zostało dodanych 1</w:t>
      </w:r>
      <w:r w:rsidR="007E33AA" w:rsidRPr="007E33AA">
        <w:rPr>
          <w:rFonts w:ascii="Lato" w:hAnsi="Lato"/>
        </w:rPr>
        <w:t>77</w:t>
      </w:r>
      <w:r w:rsidRPr="007E33AA">
        <w:rPr>
          <w:rFonts w:ascii="Lato" w:hAnsi="Lato"/>
        </w:rPr>
        <w:t xml:space="preserve"> produktów bądź nowych wskazań.</w:t>
      </w:r>
    </w:p>
    <w:p w14:paraId="78284D33" w14:textId="5B209B89" w:rsidR="00B84B49" w:rsidRPr="007E33AA" w:rsidRDefault="00B84B49" w:rsidP="00B84B4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7E33AA">
        <w:rPr>
          <w:rFonts w:ascii="Lato" w:hAnsi="Lato"/>
        </w:rPr>
        <w:t xml:space="preserve">Dla </w:t>
      </w:r>
      <w:r w:rsidR="007E33AA" w:rsidRPr="007E33AA">
        <w:rPr>
          <w:rFonts w:ascii="Lato" w:hAnsi="Lato"/>
        </w:rPr>
        <w:t>76</w:t>
      </w:r>
      <w:r w:rsidRPr="007E33AA">
        <w:rPr>
          <w:rFonts w:ascii="Lato" w:hAnsi="Lato"/>
        </w:rPr>
        <w:t xml:space="preserve"> produktów wprowadzono obniżki cen zbytu netto (od 0,0</w:t>
      </w:r>
      <w:r w:rsidR="007E33AA" w:rsidRPr="007E33AA">
        <w:rPr>
          <w:rFonts w:ascii="Lato" w:hAnsi="Lato"/>
        </w:rPr>
        <w:t>2</w:t>
      </w:r>
      <w:r w:rsidRPr="007E33AA">
        <w:rPr>
          <w:rFonts w:ascii="Lato" w:hAnsi="Lato"/>
        </w:rPr>
        <w:t xml:space="preserve"> zł do </w:t>
      </w:r>
      <w:r w:rsidR="007E33AA" w:rsidRPr="007E33AA">
        <w:rPr>
          <w:rFonts w:ascii="Lato" w:hAnsi="Lato"/>
        </w:rPr>
        <w:t>3 103,40</w:t>
      </w:r>
      <w:r w:rsidRPr="007E33AA">
        <w:rPr>
          <w:rFonts w:ascii="Lato" w:hAnsi="Lato"/>
        </w:rPr>
        <w:t xml:space="preserve"> zł).</w:t>
      </w:r>
    </w:p>
    <w:p w14:paraId="3D2691F7" w14:textId="12876258" w:rsidR="00B84B49" w:rsidRPr="007E33AA" w:rsidRDefault="00B84B49" w:rsidP="00B84B4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7E33AA">
        <w:rPr>
          <w:rFonts w:ascii="Lato" w:hAnsi="Lato"/>
        </w:rPr>
        <w:t>Dla 1</w:t>
      </w:r>
      <w:r w:rsidR="007E33AA" w:rsidRPr="007E33AA">
        <w:rPr>
          <w:rFonts w:ascii="Lato" w:hAnsi="Lato"/>
        </w:rPr>
        <w:t>9</w:t>
      </w:r>
      <w:r w:rsidRPr="007E33AA">
        <w:rPr>
          <w:rFonts w:ascii="Lato" w:hAnsi="Lato"/>
        </w:rPr>
        <w:t xml:space="preserve"> produktów wprowadzono podwyżki cen zbytu netto (od 0,3</w:t>
      </w:r>
      <w:r w:rsidR="007E33AA" w:rsidRPr="007E33AA">
        <w:rPr>
          <w:rFonts w:ascii="Lato" w:hAnsi="Lato"/>
        </w:rPr>
        <w:t>5</w:t>
      </w:r>
      <w:r w:rsidRPr="007E33AA">
        <w:rPr>
          <w:rFonts w:ascii="Lato" w:hAnsi="Lato"/>
        </w:rPr>
        <w:t xml:space="preserve"> zł do </w:t>
      </w:r>
      <w:r w:rsidR="007E33AA" w:rsidRPr="007E33AA">
        <w:rPr>
          <w:rFonts w:ascii="Lato" w:hAnsi="Lato"/>
        </w:rPr>
        <w:t>48,68</w:t>
      </w:r>
      <w:r w:rsidRPr="007E33AA">
        <w:rPr>
          <w:rFonts w:ascii="Lato" w:hAnsi="Lato"/>
        </w:rPr>
        <w:t xml:space="preserve"> zł).</w:t>
      </w:r>
    </w:p>
    <w:p w14:paraId="0BBA9510" w14:textId="34BDD811" w:rsidR="00B84B49" w:rsidRPr="007E33AA" w:rsidRDefault="00B84B49" w:rsidP="00B84B4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7E33AA">
        <w:rPr>
          <w:rFonts w:ascii="Lato" w:hAnsi="Lato"/>
        </w:rPr>
        <w:t xml:space="preserve">Dla </w:t>
      </w:r>
      <w:r w:rsidR="007E33AA" w:rsidRPr="007E33AA">
        <w:rPr>
          <w:rFonts w:ascii="Lato" w:hAnsi="Lato"/>
        </w:rPr>
        <w:t xml:space="preserve">282 </w:t>
      </w:r>
      <w:r w:rsidRPr="007E33AA">
        <w:rPr>
          <w:rFonts w:ascii="Lato" w:hAnsi="Lato"/>
        </w:rPr>
        <w:t xml:space="preserve">pozycji w obwieszczeniu spadnie dopłata pacjenta (od 0,01 zł do </w:t>
      </w:r>
      <w:r w:rsidR="007E33AA" w:rsidRPr="007E33AA">
        <w:rPr>
          <w:rFonts w:ascii="Lato" w:hAnsi="Lato"/>
        </w:rPr>
        <w:t>303,53</w:t>
      </w:r>
      <w:r w:rsidRPr="007E33AA">
        <w:rPr>
          <w:rFonts w:ascii="Lato" w:hAnsi="Lato"/>
        </w:rPr>
        <w:t xml:space="preserve"> zł).</w:t>
      </w:r>
    </w:p>
    <w:p w14:paraId="0FF5429C" w14:textId="7E01A76A" w:rsidR="00B84B49" w:rsidRPr="007E33AA" w:rsidRDefault="00B84B49" w:rsidP="00B84B4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7E33AA">
        <w:rPr>
          <w:rFonts w:ascii="Lato" w:hAnsi="Lato"/>
        </w:rPr>
        <w:t xml:space="preserve">Dla </w:t>
      </w:r>
      <w:r w:rsidR="007E33AA" w:rsidRPr="007E33AA">
        <w:rPr>
          <w:rFonts w:ascii="Lato" w:hAnsi="Lato"/>
        </w:rPr>
        <w:t>449</w:t>
      </w:r>
      <w:r w:rsidRPr="007E33AA">
        <w:rPr>
          <w:rFonts w:ascii="Lato" w:hAnsi="Lato"/>
        </w:rPr>
        <w:t xml:space="preserve"> pozycji w obwieszczeniu wzrośnie dopłata pacjenta (od 0,01 zł do </w:t>
      </w:r>
      <w:r w:rsidR="007E33AA" w:rsidRPr="007E33AA">
        <w:rPr>
          <w:rFonts w:ascii="Lato" w:hAnsi="Lato"/>
        </w:rPr>
        <w:t>42,07</w:t>
      </w:r>
      <w:r w:rsidRPr="007E33AA">
        <w:rPr>
          <w:rFonts w:ascii="Lato" w:hAnsi="Lato"/>
        </w:rPr>
        <w:t xml:space="preserve"> zł).</w:t>
      </w:r>
    </w:p>
    <w:p w14:paraId="4F090C33" w14:textId="1326561D" w:rsidR="00B84B49" w:rsidRPr="007E33AA" w:rsidRDefault="00B84B49" w:rsidP="00B84B4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7E33AA">
        <w:rPr>
          <w:rFonts w:ascii="Lato" w:hAnsi="Lato"/>
        </w:rPr>
        <w:t xml:space="preserve">Dla </w:t>
      </w:r>
      <w:r w:rsidR="007E33AA" w:rsidRPr="007E33AA">
        <w:rPr>
          <w:rFonts w:ascii="Lato" w:hAnsi="Lato"/>
        </w:rPr>
        <w:t>351</w:t>
      </w:r>
      <w:r w:rsidRPr="007E33AA">
        <w:rPr>
          <w:rFonts w:ascii="Lato" w:hAnsi="Lato"/>
        </w:rPr>
        <w:t xml:space="preserve"> produktów ulegną obniżeniu ceny detaliczne (od 0,01 zł do </w:t>
      </w:r>
      <w:r w:rsidR="007E33AA" w:rsidRPr="007E33AA">
        <w:rPr>
          <w:rFonts w:ascii="Lato" w:hAnsi="Lato"/>
        </w:rPr>
        <w:t>303,53</w:t>
      </w:r>
      <w:r w:rsidRPr="007E33AA">
        <w:rPr>
          <w:rFonts w:ascii="Lato" w:hAnsi="Lato"/>
        </w:rPr>
        <w:t xml:space="preserve"> zł).</w:t>
      </w:r>
    </w:p>
    <w:p w14:paraId="2925DCD7" w14:textId="7F24BA7A" w:rsidR="00B84B49" w:rsidRPr="007E33AA" w:rsidRDefault="00B84B49" w:rsidP="00B84B4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7E33AA">
        <w:rPr>
          <w:rFonts w:ascii="Lato" w:hAnsi="Lato"/>
        </w:rPr>
        <w:t xml:space="preserve">Dla </w:t>
      </w:r>
      <w:r w:rsidR="007E33AA" w:rsidRPr="007E33AA">
        <w:rPr>
          <w:rFonts w:ascii="Lato" w:hAnsi="Lato"/>
        </w:rPr>
        <w:t>259</w:t>
      </w:r>
      <w:r w:rsidRPr="007E33AA">
        <w:rPr>
          <w:rFonts w:ascii="Lato" w:hAnsi="Lato"/>
        </w:rPr>
        <w:t xml:space="preserve"> produktów wzrosną ceny detaliczne (od 0,01 zł do </w:t>
      </w:r>
      <w:r w:rsidR="007E33AA" w:rsidRPr="007E33AA">
        <w:rPr>
          <w:rFonts w:ascii="Lato" w:hAnsi="Lato"/>
        </w:rPr>
        <w:t>28,79</w:t>
      </w:r>
      <w:r w:rsidRPr="007E33AA">
        <w:rPr>
          <w:rFonts w:ascii="Lato" w:hAnsi="Lato"/>
        </w:rPr>
        <w:t xml:space="preserve"> zł).</w:t>
      </w:r>
    </w:p>
    <w:p w14:paraId="2C95F58E" w14:textId="284152CF" w:rsidR="00B84B49" w:rsidRDefault="00B84B49" w:rsidP="00B84B49">
      <w:pPr>
        <w:numPr>
          <w:ilvl w:val="0"/>
          <w:numId w:val="4"/>
        </w:numPr>
        <w:suppressAutoHyphens w:val="0"/>
        <w:spacing w:before="240" w:after="120" w:line="276" w:lineRule="auto"/>
        <w:jc w:val="both"/>
        <w:rPr>
          <w:rFonts w:ascii="Lato" w:hAnsi="Lato"/>
          <w:sz w:val="24"/>
          <w:szCs w:val="24"/>
        </w:rPr>
        <w:sectPr w:rsidR="00B84B49" w:rsidSect="00B84B49">
          <w:headerReference w:type="first" r:id="rId8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299"/>
        </w:sectPr>
      </w:pPr>
      <w:r w:rsidRPr="007E33AA">
        <w:rPr>
          <w:rFonts w:ascii="Lato" w:hAnsi="Lato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7E33AA" w:rsidRPr="007E33AA">
        <w:rPr>
          <w:rFonts w:ascii="Lato" w:hAnsi="Lato"/>
        </w:rPr>
        <w:t xml:space="preserve">51 </w:t>
      </w:r>
      <w:r w:rsidRPr="007E33AA">
        <w:rPr>
          <w:rFonts w:ascii="Lato" w:hAnsi="Lato"/>
        </w:rPr>
        <w:t>produktów bądź wskazań figurujących w poprzednim obwieszczeniu.</w:t>
      </w:r>
      <w:r w:rsidRPr="00880AF5">
        <w:rPr>
          <w:rFonts w:ascii="Lato" w:hAnsi="Lato"/>
          <w:sz w:val="24"/>
          <w:szCs w:val="24"/>
        </w:rPr>
        <w:br w:type="page"/>
      </w:r>
    </w:p>
    <w:p w14:paraId="6B466A0C" w14:textId="1E673908" w:rsidR="00DC653E" w:rsidRDefault="00D74214" w:rsidP="00B560EF">
      <w:pPr>
        <w:tabs>
          <w:tab w:val="left" w:pos="142"/>
        </w:tabs>
        <w:suppressAutoHyphens w:val="0"/>
        <w:spacing w:after="120" w:line="240" w:lineRule="auto"/>
        <w:rPr>
          <w:rFonts w:ascii="Lato" w:hAnsi="Lato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5037C2" wp14:editId="58E053E2">
            <wp:extent cx="4680000" cy="3060000"/>
            <wp:effectExtent l="0" t="0" r="6350" b="7620"/>
            <wp:docPr id="64168462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3A0AD5C-D4BF-4213-B61E-AB86BE2BF4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7903B108" wp14:editId="02E99276">
            <wp:extent cx="4680000" cy="3060000"/>
            <wp:effectExtent l="0" t="0" r="6350" b="7620"/>
            <wp:docPr id="13666622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D043A22-9FF8-4F7A-AABD-A24ADEDB8D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989A99F" w14:textId="513CF813" w:rsidR="00B560EF" w:rsidRDefault="00B560EF" w:rsidP="00B560EF">
      <w:pPr>
        <w:suppressAutoHyphens w:val="0"/>
        <w:spacing w:after="0" w:line="240" w:lineRule="auto"/>
        <w:rPr>
          <w:rFonts w:ascii="Lato" w:hAnsi="Lato"/>
          <w:sz w:val="24"/>
          <w:szCs w:val="24"/>
        </w:rPr>
        <w:sectPr w:rsidR="00B560EF" w:rsidSect="00B560EF">
          <w:headerReference w:type="first" r:id="rId11"/>
          <w:pgSz w:w="16838" w:h="11906" w:orient="landscape"/>
          <w:pgMar w:top="993" w:right="962" w:bottom="851" w:left="993" w:header="708" w:footer="708" w:gutter="0"/>
          <w:cols w:space="708"/>
          <w:docGrid w:linePitch="299"/>
        </w:sectPr>
      </w:pPr>
      <w:r>
        <w:rPr>
          <w:noProof/>
        </w:rPr>
        <w:drawing>
          <wp:inline distT="0" distB="0" distL="0" distR="0" wp14:anchorId="42AB1A20" wp14:editId="1F98AE02">
            <wp:extent cx="4680000" cy="3060000"/>
            <wp:effectExtent l="0" t="0" r="6350" b="7620"/>
            <wp:docPr id="157716363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EB98783-A07F-4118-AE97-729C1607E9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5A5F3BC6" wp14:editId="6BE62CE1">
            <wp:extent cx="4680000" cy="3060000"/>
            <wp:effectExtent l="0" t="0" r="6350" b="7620"/>
            <wp:docPr id="119885927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50C0EAC3-A1DB-495F-99FF-AD8FA42960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DC653E"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1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1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1677"/>
        <w:gridCol w:w="1912"/>
        <w:gridCol w:w="2028"/>
        <w:gridCol w:w="3538"/>
        <w:gridCol w:w="5076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E3164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91283B" w:rsidRPr="004D093B" w14:paraId="5E42C69F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F5D1F" w14:textId="5B7E917D" w:rsidR="00912E37" w:rsidRPr="00912E37" w:rsidRDefault="00912E37" w:rsidP="00912E3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45CC8" w14:textId="384133B1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  <w:r w:rsidRPr="00912E37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+ Yervoy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83B80" w14:textId="3868DB9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  <w:r w:rsidRPr="00912E37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 </w:t>
            </w:r>
            <w:proofErr w:type="spellStart"/>
            <w:r w:rsidRPr="00912E37">
              <w:rPr>
                <w:rFonts w:ascii="Lato" w:hAnsi="Lato" w:cstheme="majorHAnsi"/>
                <w:i/>
                <w:iCs/>
                <w:sz w:val="18"/>
                <w:szCs w:val="18"/>
              </w:rPr>
              <w:t>ipilimumab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F64FC" w14:textId="29BD75A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B.4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D5F7" w14:textId="6457E8F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JELITA GRUBEGO (ICD-10: C18 – C20)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A23F8" w14:textId="1B91A014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 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ipilimumabem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z zaawansowanym rakiem jelita grubego z potwierdzoną niestabilnością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mikrosatelitarną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wysokiego stopnia (ang. MSI-H) lub zaburzeniami mechanizmów naprawy uszkodzeń DNA o typie niedopasowania (ang.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dMMR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) (1 linia leczenia).</w:t>
            </w:r>
          </w:p>
        </w:tc>
      </w:tr>
      <w:tr w:rsidR="0091283B" w:rsidRPr="004D093B" w14:paraId="3574F8FB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30661" w14:textId="1C25E268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85CD9" w14:textId="3DE7900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Imfinzi</w:t>
            </w:r>
            <w:proofErr w:type="spellEnd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Imjudo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EF814" w14:textId="778DB9A7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</w:t>
            </w:r>
            <w:proofErr w:type="spellEnd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tremelimumab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002CA" w14:textId="13183CB3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7CBF6" w14:textId="23DD4A6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WĄTROBOWOKOMÓRKOWEGO (ICD-10: C22.0) LUB RAKA DRÓG ŻÓŁCIOWYCH (ICD-10: C22.1, C23, C24.0, C24.1, C24.8, C24.9)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86844" w14:textId="7B7C7E80" w:rsidR="0091283B" w:rsidRPr="00EF7573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durwalumabem</w:t>
            </w:r>
            <w:proofErr w:type="spellEnd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 </w:t>
            </w:r>
            <w:proofErr w:type="spellStart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tremelimumabem</w:t>
            </w:r>
            <w:proofErr w:type="spellEnd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z rakiem </w:t>
            </w:r>
            <w:proofErr w:type="spellStart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wątrobowokomórkowym</w:t>
            </w:r>
            <w:proofErr w:type="spellEnd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(1 linia leczenia).</w:t>
            </w:r>
          </w:p>
        </w:tc>
      </w:tr>
      <w:tr w:rsidR="0091283B" w:rsidRPr="004D093B" w14:paraId="2F304C7B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5A01C7A9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7D1C875D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7ACC0FA3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6247F147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4243C91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53E89739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okołooperacyjne pacjentów z NDRP</w:t>
            </w:r>
            <w:r w:rsidRPr="00912E37">
              <w:rPr>
                <w:sz w:val="18"/>
                <w:szCs w:val="18"/>
              </w:rPr>
              <w:t xml:space="preserve"> </w:t>
            </w: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ekspresją PD-L1 na komórkach nowotworowych ≥1%. Leczenie obejmuje zastosowanie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niwolumabu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neoadjuwantową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chemioterapią opartą na związkach platyny przed zabiegiem chirurgicznym, a następnie kontynuację leczenia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zabiegu chirurgicznym.</w:t>
            </w:r>
          </w:p>
        </w:tc>
      </w:tr>
      <w:tr w:rsidR="0091283B" w:rsidRPr="004D093B" w14:paraId="41B567AC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187955E2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0321DEB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Imfinzi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14F45473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495A06C2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1BFC27A1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114380E7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okołooperacyjne pacjentów z NDRP, niezależnie od statusu PD-L1. Leczenie obejmuje zastosowanie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durwalumabu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neoadjuwantową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chemioterapią opartą na związkach platyny przed zabiegiem chirurgicznym, a następnie kontynuację leczenia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zabiegu chirurgicznym.</w:t>
            </w:r>
          </w:p>
        </w:tc>
      </w:tr>
      <w:tr w:rsidR="0091283B" w:rsidRPr="004D093B" w14:paraId="4193F70D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1CC6105A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0CD45082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Imfinzi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14639257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090D507D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2A180E9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55F48B27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konsolidujące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durwalumabem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u pacjentów z ograniczoną postacią drobnokomórkowego raka płuca (stopień I-III), u których nie doszło do progresji choroby po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chemioradioterapii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jednoczesnej opartej na pochodnych platyny.</w:t>
            </w:r>
          </w:p>
        </w:tc>
      </w:tr>
      <w:tr w:rsidR="0091283B" w:rsidRPr="004D093B" w14:paraId="34137848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18E3F6D5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3BF750E8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Krazati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4CE8CF26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adagrasib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618058F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753C57A3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74C9F" w14:textId="33BD317D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NDRP z mutacją G12C w genie KRAS po niepowodzeniu co najmniej jednej wcześniejszej linii leczenia systemowego (raka gruczołowego lub wielkokomórkowego). Kolejna opcja terapeutyczna.</w:t>
            </w:r>
          </w:p>
        </w:tc>
      </w:tr>
      <w:tr w:rsidR="0091283B" w:rsidRPr="004D093B" w14:paraId="28A7C6A5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406D" w14:textId="7ED5482C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04F72" w14:textId="5A3BAA8D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Loqtorzi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8495" w14:textId="3E0AC3F5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toripalimab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F1C7F" w14:textId="36B7334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B.52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2235" w14:textId="7A15DC60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PŁASKONABŁONKOWYM RAKIEM NARZĄDÓW GŁOWY I SZYI (ICD-10 C01, C02, C03, C04, C05, C06, C09, C10, C12, C13, C14, C32) LUB NOWOTWOREM ZŁOŚLIWYM CZĘŚCI NOSOWEJ GARDŁA (ICD-10 C11)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FF2F6" w14:textId="7777777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Pierwsza opcja terapeutyczna refundowana w przypadku pacjentów z lokalizacją nowotworu w części nosowej gardła. Leczenie ma charakter immunoterapii i będzie finansowane jako I linia leczenia systemowego ze środków Funduszu Medycznego </w:t>
            </w:r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(TLI).</w:t>
            </w: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  <w:p w14:paraId="50BE1E93" w14:textId="28289658" w:rsidR="00571688" w:rsidRPr="00912E37" w:rsidRDefault="00571688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189EA4B0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1AC4E131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40F433D1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Blenrep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7374BFA6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belantamab</w:t>
            </w:r>
            <w:proofErr w:type="spellEnd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mafodotin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60E944A1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6FFAC21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735E" w14:textId="77777777" w:rsidR="00571688" w:rsidRDefault="0091283B" w:rsidP="004679A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belantamabem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mafodotin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od 2. linii leczenia dorosłych chorych na opornego lub nawrotowego szpiczaka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plazmocytowego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pomalidomidem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BPd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po uprzednim leczeniu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lenalidomidem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bortezomibem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BVd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  <w:p w14:paraId="0B1AA7A9" w14:textId="6446C23A" w:rsidR="00124DD2" w:rsidRPr="004679A1" w:rsidRDefault="00124DD2" w:rsidP="004679A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17538A01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FA42" w14:textId="293A3763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47B37" w14:textId="0A02432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Nubeqa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9A29" w14:textId="13D78265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darolutamid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050A" w14:textId="4DB211E4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82B13" w14:textId="43653052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93499" w14:textId="3AF96BA8" w:rsidR="00571688" w:rsidRPr="00912E37" w:rsidRDefault="0091283B" w:rsidP="004679A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wrażliwego na kastrację raka gruczołu krokowego z przerzutami (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mHSPC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w skojarzeniu z terapią deprywacji androgenów (ADT) u dorosłych mężczyzn, u których zakończono leczenie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docetakselem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decyzją lekarza odstąpiono od jego stosowania (aktualnie refundacja możliwa jest wyłącznie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docetakselem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ADT).</w:t>
            </w:r>
          </w:p>
        </w:tc>
      </w:tr>
      <w:tr w:rsidR="0091283B" w:rsidRPr="004D093B" w14:paraId="3FFF6698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1F585" w14:textId="03A2EC02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4BD64" w14:textId="01AD6168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sz w:val="18"/>
                <w:szCs w:val="18"/>
              </w:rPr>
              <w:t>Jemperli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28982" w14:textId="737E82A9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sz w:val="18"/>
                <w:szCs w:val="18"/>
              </w:rPr>
              <w:t>dostarlimab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21471" w14:textId="576780D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B.148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7398D" w14:textId="38C7204F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78B7F" w14:textId="4A2F4CDE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refundacji o I linię leczenia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dostarlimabem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karboplatyną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paklitakselem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chorych na pierwotnie zaawansowanego lub nawrotowego raka endometrium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pMMR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/MSS.</w:t>
            </w:r>
          </w:p>
        </w:tc>
      </w:tr>
    </w:tbl>
    <w:p w14:paraId="7F9CCF36" w14:textId="51B74B46" w:rsidR="004D093B" w:rsidRDefault="004D093B"/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1677"/>
        <w:gridCol w:w="1912"/>
        <w:gridCol w:w="2028"/>
        <w:gridCol w:w="3538"/>
        <w:gridCol w:w="5076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2D6ED9" w:rsidRPr="004D093B" w14:paraId="1394CD71" w14:textId="77777777" w:rsidTr="00E31647">
        <w:trPr>
          <w:cantSplit/>
          <w:trHeight w:val="628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91283B" w:rsidRPr="004D093B" w14:paraId="64712DC3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F1DF0" w14:textId="621B6189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C766E" w14:textId="32E50C88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Tremfya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FF5A" w14:textId="181E9DD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guselkumab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BEBAD" w14:textId="699A122D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B.32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D065D" w14:textId="56B836B7" w:rsidR="0091283B" w:rsidRPr="00C93D1C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LEŚNIOWSKIEGO – CROHNA (ICD-10: K50)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A18AB" w14:textId="7417F9AC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guselkumabem</w:t>
            </w:r>
            <w:proofErr w:type="spellEnd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 xml:space="preserve"> pacjentów z ciężką lub umiarkowaną, czynną postacią </w:t>
            </w:r>
            <w:proofErr w:type="spellStart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ChL</w:t>
            </w:r>
            <w:proofErr w:type="spellEnd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-C (wynik w skali CDAI &gt;220 punktów), w wieku od 18 lat.</w:t>
            </w:r>
          </w:p>
        </w:tc>
      </w:tr>
      <w:tr w:rsidR="0091283B" w:rsidRPr="004D093B" w14:paraId="01D70F39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DCD65" w14:textId="0D32F9E2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D8304" w14:textId="2E6C680C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Spevigo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81CCD" w14:textId="0FE0606A" w:rsidR="0091283B" w:rsidRPr="00F169F8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C8606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pesolimab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B11F" w14:textId="2DDF83FF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8EB7F" w14:textId="72D79E08" w:rsidR="0091283B" w:rsidRPr="00F169F8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8606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ŁUSZCZYCĄ (ICD-10: L40.0, L40.1)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9549" w14:textId="0282001A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C8606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eczenie zaostrzeń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 zapobieganie zaostrzeniom </w:t>
            </w:r>
            <w:r w:rsidRPr="00C8606D">
              <w:rPr>
                <w:rFonts w:ascii="Lato" w:hAnsi="Lato" w:cstheme="majorHAnsi"/>
                <w:color w:val="000000"/>
                <w:sz w:val="18"/>
                <w:szCs w:val="18"/>
              </w:rPr>
              <w:t>uogólnionej łuszczycy krostkowej (GPP)</w:t>
            </w:r>
            <w:r>
              <w:t xml:space="preserve"> </w:t>
            </w:r>
            <w:r w:rsidRPr="00C8606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pacjentów w wieku od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</w:t>
            </w:r>
            <w:r w:rsidRPr="00C8606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lat</w:t>
            </w:r>
            <w:r w:rsidR="00912E3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53FF3D14" w14:textId="4729FF70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03EBCAEE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FA0D9" w14:textId="2B068696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A85F0" w14:textId="5E98C4FF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Tremfya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489E" w14:textId="25CA44ED" w:rsidR="0091283B" w:rsidRPr="00F169F8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guselkumab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B95C4" w14:textId="5BC30D3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D34CD" w14:textId="64DEDE01" w:rsidR="0091283B" w:rsidRPr="00F169F8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F89F2" w14:textId="54F7C333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guselkumabem</w:t>
            </w:r>
            <w:proofErr w:type="spellEnd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 xml:space="preserve"> pacjentów z ciężką lub umiarkowaną postacią WZJG (wynik w skali Mayo ≥6 punktów), w wieku od 18 lat.</w:t>
            </w:r>
          </w:p>
        </w:tc>
      </w:tr>
      <w:tr w:rsidR="0091283B" w:rsidRPr="004D093B" w14:paraId="5ED86F3E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4469771C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3FBFF46E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Lecigon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0CF51D0B" w:rsidR="0091283B" w:rsidRPr="004D093B" w:rsidRDefault="0095459E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</w:t>
            </w:r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 w:rsidR="0091283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</w:t>
            </w:r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odop</w:t>
            </w:r>
            <w:r w:rsidR="0091283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arbidop</w:t>
            </w:r>
            <w:r w:rsidR="0091283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nta</w:t>
            </w:r>
            <w:r w:rsidR="0091283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apon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3B948640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B.90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2642B532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LECZENIE ZABURZEŃ MOTORYCZNYCH W PRZEBIEGU ZAAWANSOWANEJ CHOROBY PARKINSONA (ICD-10: G.20)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1040" w14:textId="682E049F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Nowa opcja terapeutyczna 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postaci żelu dojelitowego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 podawania przez PEG. 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Produkt leczniczy </w:t>
            </w:r>
            <w:proofErr w:type="spellStart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Lecigon</w:t>
            </w:r>
            <w:proofErr w:type="spellEnd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zawiera </w:t>
            </w:r>
            <w:proofErr w:type="spellStart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entakapon</w:t>
            </w:r>
            <w:proofErr w:type="spellEnd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który wzmacnia działanie </w:t>
            </w:r>
            <w:proofErr w:type="spellStart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lewodopy</w:t>
            </w:r>
            <w:proofErr w:type="spellEnd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912E37" w:rsidRPr="004D093B" w14:paraId="14BCCB5D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C04DC" w14:textId="52BBE643" w:rsidR="00912E37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352DF" w14:textId="3D1A78AE" w:rsid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Crysvita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F24E2" w14:textId="54000D3E" w:rsidR="00912E37" w:rsidRPr="00F169F8" w:rsidRDefault="0095459E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burosumabum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ACEC" w14:textId="7FC7C638" w:rsidR="00912E37" w:rsidRDefault="0095459E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B.151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4A3C3" w14:textId="3A7E0029" w:rsidR="00912E37" w:rsidRPr="00F169F8" w:rsidRDefault="0095459E" w:rsidP="0095459E">
            <w:pPr>
              <w:autoSpaceDE w:val="0"/>
              <w:adjustRightInd w:val="0"/>
              <w:spacing w:after="24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C71BE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HIPOFOSFATEMIĘ SPRZĘŻONĄ Z CHROMOSOMEM X (XLH) (ICD-10: E.83.3)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BB613" w14:textId="77777777" w:rsidR="00912E37" w:rsidRDefault="0095459E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D71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6D7125">
              <w:rPr>
                <w:rFonts w:ascii="Lato" w:hAnsi="Lato" w:cstheme="majorHAnsi"/>
                <w:color w:val="000000"/>
                <w:sz w:val="18"/>
                <w:szCs w:val="18"/>
              </w:rPr>
              <w:t>hipofosfatemii</w:t>
            </w:r>
            <w:proofErr w:type="spellEnd"/>
            <w:r w:rsidRPr="006D71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sprzężonej z chromosomem X (XLH) u dorosłych pacjentów z potwierdzoną obecnością mutacji w genie PHEX, u których stwierdza się cechy znacznej osteomalacji z obecnymi </w:t>
            </w:r>
            <w:proofErr w:type="spellStart"/>
            <w:r w:rsidRPr="006D7125">
              <w:rPr>
                <w:rFonts w:ascii="Lato" w:hAnsi="Lato" w:cstheme="majorHAnsi"/>
                <w:color w:val="000000"/>
                <w:sz w:val="18"/>
                <w:szCs w:val="18"/>
              </w:rPr>
              <w:t>pseudozłamaniami</w:t>
            </w:r>
            <w:proofErr w:type="spellEnd"/>
            <w:r w:rsidRPr="006D71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u których leczenie doustnymi fosforanami oraz aktywną postacią witaminy D nie może zostać zastosowane.</w:t>
            </w:r>
          </w:p>
          <w:p w14:paraId="7E0B5B5C" w14:textId="3C34B29F" w:rsidR="00571688" w:rsidRDefault="00571688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5CE97390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247A7361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48743036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Rystiggo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2C6A6966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Rozanolixizumabum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4BEF1353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B.157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67C14B25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UOGÓLNIONĄ POSTACIĄ MIASTENII (G.70.0)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CC060" w14:textId="77777777" w:rsidR="0091283B" w:rsidRPr="00F169F8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zwarta opcja terapeutyczna w programie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dla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tów z dodatnim wynikiem na 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obecność przeciwciał przeciwko receptorowi acetylocholiny (</w:t>
            </w:r>
            <w:proofErr w:type="spellStart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AChR</w:t>
            </w:r>
            <w:proofErr w:type="spellEnd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– postać ciężka.</w:t>
            </w:r>
          </w:p>
          <w:p w14:paraId="62987001" w14:textId="7777777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Druga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opcja terapeutyczna w programie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dla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tów z dodatnim wynikiem na 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obecność </w:t>
            </w:r>
            <w:r w:rsidRPr="00AD2B79">
              <w:rPr>
                <w:rFonts w:ascii="Lato" w:hAnsi="Lato" w:cstheme="majorHAnsi"/>
                <w:color w:val="000000"/>
                <w:sz w:val="18"/>
                <w:szCs w:val="18"/>
              </w:rPr>
              <w:t>przeciwciał przeciwko swoistej dla mięśni kinazie tyrozynowej (</w:t>
            </w:r>
            <w:proofErr w:type="spellStart"/>
            <w:r w:rsidRPr="00AD2B79">
              <w:rPr>
                <w:rFonts w:ascii="Lato" w:hAnsi="Lato" w:cstheme="majorHAnsi"/>
                <w:color w:val="000000"/>
                <w:sz w:val="18"/>
                <w:szCs w:val="18"/>
              </w:rPr>
              <w:t>MuSK</w:t>
            </w:r>
            <w:proofErr w:type="spellEnd"/>
            <w:r w:rsidRPr="00AD2B79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– postać ciężka.</w:t>
            </w:r>
          </w:p>
          <w:p w14:paraId="0AFE6806" w14:textId="0D0DCDCD" w:rsidR="00571688" w:rsidRPr="004D093B" w:rsidRDefault="00571688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6D899FDB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5A7B6D0F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1DE55827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E31647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Beyonttra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0273849F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E31647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acoramidis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24B38C6F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B.162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171F5728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PACJENTÓW Z KARDIOMIOPATIĄ (ICD-10: E85, I42.1)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BAC83" w14:textId="7777777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Kolejna opcja terapeutyczna dla pacjentów z </w:t>
            </w:r>
            <w:proofErr w:type="spellStart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kardiomiopatią</w:t>
            </w:r>
            <w:proofErr w:type="spellEnd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w przebiegu </w:t>
            </w:r>
            <w:proofErr w:type="spellStart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amyloidozy</w:t>
            </w:r>
            <w:proofErr w:type="spellEnd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transtyretynowej</w:t>
            </w:r>
            <w:proofErr w:type="spellEnd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(ATTR-CM). </w:t>
            </w:r>
            <w:proofErr w:type="spellStart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Acoramidis</w:t>
            </w:r>
            <w:proofErr w:type="spellEnd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jest selektywnym stabilizatorem białka </w:t>
            </w:r>
            <w:proofErr w:type="spellStart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transtyretyny</w:t>
            </w:r>
            <w:proofErr w:type="spellEnd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(TTR).</w:t>
            </w:r>
          </w:p>
          <w:p w14:paraId="7A6E1E34" w14:textId="0AB60CB6" w:rsidR="00571688" w:rsidRPr="00E31647" w:rsidRDefault="00571688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3C42A3A9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46ED6" w14:textId="2E9F6509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CDF69" w14:textId="0E7D0643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Kayfanda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3868D" w14:textId="6D65E96A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odewiksybat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DAD08" w14:textId="79B886BC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B.175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3F5A1" w14:textId="3715C49F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ZESPOŁEM ALAGILLE’A (ICD-10 Q44.7)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4D802" w14:textId="7777777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odewiksybatem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trudnego w opanowaniu świądu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 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przebiegu </w:t>
            </w:r>
            <w:proofErr w:type="spellStart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cholestazy</w:t>
            </w:r>
            <w:proofErr w:type="spellEnd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 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zespołem </w:t>
            </w:r>
            <w:proofErr w:type="spellStart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Alagille'a</w:t>
            </w:r>
            <w:proofErr w:type="spellEnd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(ALGS)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powyżej 6 </w:t>
            </w:r>
            <w:proofErr w:type="spellStart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m.ż</w:t>
            </w:r>
            <w:proofErr w:type="spellEnd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., 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 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udokumentowanym brakiem skuteczności innych metod leczenia, w tym kwasu </w:t>
            </w:r>
            <w:proofErr w:type="spellStart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ursodeoksycholowego</w:t>
            </w:r>
            <w:proofErr w:type="spellEnd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(UDCA) oraz </w:t>
            </w:r>
            <w:proofErr w:type="spellStart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ryfampicyny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FA306A4" w14:textId="757FB32B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1AF8AB98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29C5CE6C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4EC7093B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Akantior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44BA0136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polihexanid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2DC53B55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170AFBE0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Pr="0039657C">
              <w:rPr>
                <w:rFonts w:ascii="Lato" w:hAnsi="Lato" w:cstheme="majorHAnsi"/>
                <w:color w:val="000000"/>
                <w:sz w:val="18"/>
                <w:szCs w:val="18"/>
              </w:rPr>
              <w:t>PACJENTÓW CHORYCH NA ZAPALENIE ROGÓWKI WYWOŁANE PRZEZ ACANTHAMOEBA (ICD-10: H19.2)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F8131" w14:textId="7777777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polihexanidem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zapalenia rogówki wywołanego przez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Acanthamoeba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 pacjentów w wieku od 12 lat.</w:t>
            </w:r>
          </w:p>
          <w:p w14:paraId="64E75D71" w14:textId="755BFA55" w:rsidR="00571688" w:rsidRPr="00E31647" w:rsidRDefault="00571688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048048CE" w14:textId="77777777" w:rsidR="00B560EF" w:rsidRDefault="00B560EF">
      <w:pPr>
        <w:suppressAutoHyphens w:val="0"/>
        <w:rPr>
          <w:rFonts w:ascii="Lato" w:hAnsi="Lato"/>
        </w:rPr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81"/>
        <w:gridCol w:w="1748"/>
        <w:gridCol w:w="2661"/>
        <w:gridCol w:w="9777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95459E" w:rsidRPr="004D093B" w14:paraId="6D9A404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B74E9" w14:textId="5D41B82E" w:rsidR="0095459E" w:rsidRPr="004D093B" w:rsidRDefault="0051551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0F0CE" w14:textId="4BD7F90A" w:rsidR="0095459E" w:rsidRDefault="0095459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239C3">
              <w:rPr>
                <w:rFonts w:ascii="Lato" w:hAnsi="Lato" w:cstheme="majorHAnsi"/>
                <w:color w:val="000000"/>
                <w:sz w:val="18"/>
                <w:szCs w:val="18"/>
              </w:rPr>
              <w:t>B.19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C083" w14:textId="3779D883" w:rsidR="0095459E" w:rsidRPr="00B2564B" w:rsidRDefault="0095459E" w:rsidP="0095459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7239C3">
              <w:rPr>
                <w:rFonts w:ascii="Lato" w:hAnsi="Lato"/>
                <w:sz w:val="18"/>
                <w:szCs w:val="18"/>
              </w:rPr>
              <w:t>LECZENIE NISKOROSŁYCH OSÓB Z SOMATOTROPINOWĄ NIEDOCZYNNOŚCIĄ PRZYSADKI W OKRESIE WZRASTANIA (ICD-10 E23)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04BD7" w14:textId="5873F84C" w:rsidR="0095459E" w:rsidRDefault="0095459E" w:rsidP="0095459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239C3">
              <w:rPr>
                <w:rFonts w:ascii="Lato" w:hAnsi="Lato" w:cstheme="majorHAnsi"/>
                <w:sz w:val="18"/>
                <w:szCs w:val="18"/>
              </w:rPr>
              <w:t>Zmiana nazwy programu lekowego, która ma umożliwić kwalifikację do programu osób powyżej 18. roku życia z bardzo znacznym opóźnieniem wieku kostnego.</w:t>
            </w:r>
          </w:p>
        </w:tc>
      </w:tr>
      <w:tr w:rsidR="0095459E" w:rsidRPr="004D093B" w14:paraId="31B6182B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0F6E6" w14:textId="7D78BA82" w:rsidR="0095459E" w:rsidRPr="004D093B" w:rsidRDefault="0051551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CB828" w14:textId="371DC3E0" w:rsidR="0095459E" w:rsidRPr="00EF7573" w:rsidRDefault="0095459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B.38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1D83C" w14:textId="0BF03900" w:rsidR="0095459E" w:rsidRPr="00EF7573" w:rsidRDefault="0095459E" w:rsidP="0095459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F7573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NISKOROSŁYCH DZIECI Z PRZEWLEKŁĄ CHOROBĄ NEREK (</w:t>
            </w:r>
            <w:proofErr w:type="spellStart"/>
            <w:r w:rsidRPr="00EF7573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PChN</w:t>
            </w:r>
            <w:proofErr w:type="spellEnd"/>
            <w:r w:rsidRPr="00EF7573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) (ICD-10 N 18)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3975" w14:textId="19C77990" w:rsidR="0095459E" w:rsidRDefault="0095459E" w:rsidP="0095459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239C3">
              <w:rPr>
                <w:rFonts w:ascii="Lato" w:hAnsi="Lato" w:cstheme="majorHAnsi"/>
                <w:color w:val="000000"/>
                <w:sz w:val="18"/>
                <w:szCs w:val="18"/>
              </w:rPr>
              <w:t>Zmiany o charakterze redakcyjnym, porządkującym i standaryzującym, które ujednolicają zapisy programu względem wytycznych klinicznych i aktualnej praktyki.</w:t>
            </w:r>
          </w:p>
        </w:tc>
      </w:tr>
      <w:tr w:rsidR="0095459E" w:rsidRPr="004D093B" w14:paraId="5697AD6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9210A" w14:textId="7F7FCBA9" w:rsidR="0095459E" w:rsidRPr="004D093B" w:rsidRDefault="0051551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5367A" w14:textId="5A8498E5" w:rsidR="0095459E" w:rsidRPr="00EF7573" w:rsidRDefault="0095459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B.154.FM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C8DB" w14:textId="2BEA674E" w:rsidR="0095459E" w:rsidRPr="00EF7573" w:rsidRDefault="0095459E" w:rsidP="0095459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573">
              <w:rPr>
                <w:rFonts w:ascii="Lato" w:hAnsi="Lato"/>
                <w:sz w:val="18"/>
                <w:szCs w:val="18"/>
              </w:rPr>
              <w:t>LECZENIE PACJENTÓW Z ZESPOŁEM LENNOXA-GASTAUTA LUB Z ZESPOŁEM DRAVET (ICD-10: G40.4)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12790" w14:textId="5A89D435" w:rsidR="0095459E" w:rsidRDefault="0095459E" w:rsidP="0095459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Możliwość zmiany leczenia w ramach programu lekowego z powodu braku skuteczności terapii.</w:t>
            </w:r>
          </w:p>
        </w:tc>
      </w:tr>
      <w:tr w:rsidR="00E91A86" w:rsidRPr="004D093B" w14:paraId="4C9FEFF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2E456" w14:textId="15B7BE82" w:rsidR="00E91A86" w:rsidRDefault="0051551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E7031" w14:textId="3EEF4B05" w:rsidR="00E91A86" w:rsidRPr="00EF7573" w:rsidRDefault="00E91A86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2BD13" w14:textId="615E71B3" w:rsidR="00E91A86" w:rsidRPr="00EF7573" w:rsidRDefault="00E91A86" w:rsidP="0095459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91A86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KARDIOMIOPATIĄ (ICD-10: E85, I42.1)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C615D" w14:textId="25503FCF" w:rsidR="00E91A86" w:rsidRDefault="00E91A86" w:rsidP="0095459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E91A86">
              <w:rPr>
                <w:rFonts w:ascii="Lato" w:hAnsi="Lato" w:cstheme="majorHAnsi"/>
                <w:sz w:val="18"/>
                <w:szCs w:val="18"/>
              </w:rPr>
              <w:t xml:space="preserve">Zmiany porządkowe w programie lekowym. Wprowadzono m.in. zmiany wnioskowane przez Zespół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Koordynacyjny ds. Leczenia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Kardiomiopatii</w:t>
            </w:r>
            <w:proofErr w:type="spellEnd"/>
            <w:r w:rsidRPr="00E91A86">
              <w:rPr>
                <w:rFonts w:ascii="Lato" w:hAnsi="Lato" w:cstheme="majorHAnsi"/>
                <w:sz w:val="18"/>
                <w:szCs w:val="18"/>
              </w:rPr>
              <w:t xml:space="preserve"> w zakresie badań diagnostycznych wymaganych w ramach programu, umożliwiono leczenie </w:t>
            </w:r>
            <w:proofErr w:type="spellStart"/>
            <w:r w:rsidRPr="00E91A86">
              <w:rPr>
                <w:rFonts w:ascii="Lato" w:hAnsi="Lato" w:cstheme="majorHAnsi"/>
                <w:sz w:val="18"/>
                <w:szCs w:val="18"/>
              </w:rPr>
              <w:t>kardiomiopatii</w:t>
            </w:r>
            <w:proofErr w:type="spellEnd"/>
            <w:r w:rsidRPr="00E91A86">
              <w:rPr>
                <w:rFonts w:ascii="Lato" w:hAnsi="Lato" w:cstheme="majorHAnsi"/>
                <w:sz w:val="18"/>
                <w:szCs w:val="18"/>
              </w:rPr>
              <w:t xml:space="preserve"> w przebiegu </w:t>
            </w:r>
            <w:proofErr w:type="spellStart"/>
            <w:r w:rsidRPr="00E91A86">
              <w:rPr>
                <w:rFonts w:ascii="Lato" w:hAnsi="Lato" w:cstheme="majorHAnsi"/>
                <w:sz w:val="18"/>
                <w:szCs w:val="18"/>
              </w:rPr>
              <w:t>amyloidozy</w:t>
            </w:r>
            <w:proofErr w:type="spellEnd"/>
            <w:r w:rsidRPr="00E91A86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E91A86">
              <w:rPr>
                <w:rFonts w:ascii="Lato" w:hAnsi="Lato" w:cstheme="majorHAnsi"/>
                <w:sz w:val="18"/>
                <w:szCs w:val="18"/>
              </w:rPr>
              <w:t>transtyretynowej</w:t>
            </w:r>
            <w:proofErr w:type="spellEnd"/>
            <w:r w:rsidRPr="00E91A86">
              <w:rPr>
                <w:rFonts w:ascii="Lato" w:hAnsi="Lato" w:cstheme="majorHAnsi"/>
                <w:sz w:val="18"/>
                <w:szCs w:val="18"/>
              </w:rPr>
              <w:t xml:space="preserve"> pacjentom po przeszczepieniu serca lub wątroby oraz podkreślono brak możliwości stosowania kilku kapsułek </w:t>
            </w:r>
            <w:proofErr w:type="spellStart"/>
            <w:r w:rsidRPr="00E91A86">
              <w:rPr>
                <w:rFonts w:ascii="Lato" w:hAnsi="Lato" w:cstheme="majorHAnsi"/>
                <w:sz w:val="18"/>
                <w:szCs w:val="18"/>
              </w:rPr>
              <w:t>mawakamtenu</w:t>
            </w:r>
            <w:proofErr w:type="spellEnd"/>
            <w:r w:rsidRPr="00E91A86">
              <w:rPr>
                <w:rFonts w:ascii="Lato" w:hAnsi="Lato" w:cstheme="majorHAnsi"/>
                <w:sz w:val="18"/>
                <w:szCs w:val="18"/>
              </w:rPr>
              <w:t xml:space="preserve"> w celu osiągnięcia przepisanej dawki leku.</w:t>
            </w:r>
          </w:p>
        </w:tc>
      </w:tr>
      <w:tr w:rsidR="0095459E" w:rsidRPr="004D093B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5EE812F3" w:rsidR="0095459E" w:rsidRPr="004D093B" w:rsidRDefault="0051551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78864B30" w:rsidR="0095459E" w:rsidRPr="00EF7573" w:rsidRDefault="0095459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B.175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52FF67A6" w:rsidR="0095459E" w:rsidRPr="00EF7573" w:rsidRDefault="0095459E" w:rsidP="0095459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 ZESPOŁEM ALAGILLE’A (ICD-10 Q44.7)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84DF" w14:textId="2B3824D8" w:rsidR="0095459E" w:rsidRPr="004D093B" w:rsidRDefault="0095459E" w:rsidP="0095459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U</w:t>
            </w:r>
            <w:r w:rsidRPr="00745609">
              <w:rPr>
                <w:rFonts w:ascii="Lato" w:hAnsi="Lato" w:cstheme="majorHAnsi"/>
                <w:sz w:val="18"/>
                <w:szCs w:val="18"/>
              </w:rPr>
              <w:t xml:space="preserve">sunięcie z kryteriów kwalifikacji </w:t>
            </w:r>
            <w:r w:rsidRPr="004208AA">
              <w:rPr>
                <w:rFonts w:ascii="Lato" w:hAnsi="Lato" w:cstheme="majorHAnsi"/>
                <w:sz w:val="18"/>
                <w:szCs w:val="18"/>
              </w:rPr>
              <w:t>zapis</w:t>
            </w:r>
            <w:r>
              <w:rPr>
                <w:rFonts w:ascii="Lato" w:hAnsi="Lato" w:cstheme="majorHAnsi"/>
                <w:sz w:val="18"/>
                <w:szCs w:val="18"/>
              </w:rPr>
              <w:t>u</w:t>
            </w:r>
            <w:r w:rsidRPr="004208AA">
              <w:rPr>
                <w:rFonts w:ascii="Lato" w:hAnsi="Lato" w:cstheme="majorHAnsi"/>
                <w:sz w:val="18"/>
                <w:szCs w:val="18"/>
              </w:rPr>
              <w:t xml:space="preserve"> wymagając</w:t>
            </w:r>
            <w:r>
              <w:rPr>
                <w:rFonts w:ascii="Lato" w:hAnsi="Lato" w:cstheme="majorHAnsi"/>
                <w:sz w:val="18"/>
                <w:szCs w:val="18"/>
              </w:rPr>
              <w:t>ego</w:t>
            </w:r>
            <w:r w:rsidRPr="004208AA">
              <w:rPr>
                <w:rFonts w:ascii="Lato" w:hAnsi="Lato" w:cstheme="majorHAnsi"/>
                <w:sz w:val="18"/>
                <w:szCs w:val="18"/>
              </w:rPr>
              <w:t xml:space="preserve"> w momencie kwalifikacji do programu potwierdzenia stężenia bilirubiny bezpośredniej przekraczającego 1 mg/dl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</w:tbl>
    <w:p w14:paraId="5C882735" w14:textId="77777777" w:rsidR="00B560EF" w:rsidRDefault="00B560EF">
      <w:pPr>
        <w:suppressAutoHyphens w:val="0"/>
        <w:rPr>
          <w:rFonts w:ascii="Lato" w:hAnsi="Lato"/>
        </w:rPr>
      </w:pPr>
      <w:bookmarkStart w:id="2" w:name="_Hlk90283710"/>
    </w:p>
    <w:p w14:paraId="36660C25" w14:textId="77777777" w:rsidR="00B560EF" w:rsidRDefault="00B560EF">
      <w:pPr>
        <w:suppressAutoHyphens w:val="0"/>
        <w:rPr>
          <w:rFonts w:ascii="Lato" w:hAnsi="Lato"/>
        </w:rPr>
      </w:pPr>
    </w:p>
    <w:p w14:paraId="2A55B4A3" w14:textId="77777777" w:rsidR="00B560EF" w:rsidRDefault="00B560EF">
      <w:pPr>
        <w:suppressAutoHyphens w:val="0"/>
        <w:rPr>
          <w:rFonts w:ascii="Lato" w:hAnsi="Lato"/>
        </w:rPr>
      </w:pPr>
    </w:p>
    <w:p w14:paraId="59FABA9E" w14:textId="77777777" w:rsidR="00B560EF" w:rsidRPr="00B560EF" w:rsidRDefault="00B560EF">
      <w:pPr>
        <w:suppressAutoHyphens w:val="0"/>
        <w:rPr>
          <w:rFonts w:ascii="Lato" w:hAnsi="Lato"/>
        </w:rPr>
      </w:pP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2563"/>
        <w:gridCol w:w="1954"/>
        <w:gridCol w:w="5739"/>
        <w:gridCol w:w="3877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51551E" w:rsidRPr="004D093B" w14:paraId="1EAFB7DE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BC02D" w14:textId="0F7DD6F7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821C9" w14:textId="7E0F1535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36FC6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Flutixon</w:t>
            </w:r>
            <w:proofErr w:type="spellEnd"/>
            <w:r w:rsidRPr="00436FC6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FC6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Nasal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518FF" w14:textId="23AD88CB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Azelastini</w:t>
            </w:r>
            <w:proofErr w:type="spellEnd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hydrochloridum</w:t>
            </w:r>
            <w:proofErr w:type="spellEnd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Fluticasoni</w:t>
            </w:r>
            <w:proofErr w:type="spellEnd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propionas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CEDF0" w14:textId="53659502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>We wszystkich zarejestrowanych wskazaniach na dzień wydania decyzji: Łagodzenie objawów sezonowego i całorocznego alergicznego zapalenia błony śluzowej nosa o nasileniu</w:t>
            </w:r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br/>
              <w:t xml:space="preserve">umiarkowanym do ciężkiego, jeśli stosowanie innych podawanych donosowo produktów zawierających tylko lek przeciwhistaminowy lub </w:t>
            </w:r>
            <w:proofErr w:type="spellStart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>glikokortykosteroid</w:t>
            </w:r>
            <w:proofErr w:type="spellEnd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 xml:space="preserve"> uważa się za niewystarczające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10167" w14:textId="7B124F94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 xml:space="preserve">Wg </w:t>
            </w:r>
            <w:proofErr w:type="spellStart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>ChPL</w:t>
            </w:r>
            <w:proofErr w:type="spellEnd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 xml:space="preserve"> populacja od 12 lat, poniżej 12 lat nie jest zalecany (brak badań bezpieczeństwa i skuteczności)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>.</w:t>
            </w:r>
            <w:r>
              <w:t xml:space="preserve"> </w:t>
            </w:r>
            <w:r w:rsidRPr="00436FC6">
              <w:rPr>
                <w:rFonts w:ascii="Lato" w:hAnsi="Lato"/>
                <w:sz w:val="18"/>
                <w:szCs w:val="18"/>
              </w:rPr>
              <w:t>Substancja lecznicza</w:t>
            </w:r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>azelastyna</w:t>
            </w:r>
            <w:proofErr w:type="spellEnd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 xml:space="preserve"> (lek p/histaminowy, w lekach OTC) aktualnie nie 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jest </w:t>
            </w:r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>refundowan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>a.</w:t>
            </w:r>
          </w:p>
        </w:tc>
      </w:tr>
      <w:tr w:rsidR="0051551E" w:rsidRPr="004D093B" w14:paraId="6BE474F4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323C5" w14:textId="21CAAB89" w:rsidR="0051551E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319B" w14:textId="66518C90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34BD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Bupropion</w:t>
            </w:r>
            <w:proofErr w:type="spellEnd"/>
            <w:r w:rsidRPr="00D34BD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BD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Neuraxpharm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BD6A9" w14:textId="618A60B4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34BD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buproipion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D296" w14:textId="14ACC4EA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4BDC">
              <w:rPr>
                <w:rFonts w:ascii="Lato" w:hAnsi="Lato" w:cstheme="majorHAnsi"/>
                <w:color w:val="000000"/>
                <w:sz w:val="18"/>
                <w:szCs w:val="18"/>
              </w:rPr>
              <w:t>Leczenie epizodu depresyjnego lub zaburzeń depresyjnych nawracających u dorosłych (ICD-10 F32, F33)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97904" w14:textId="430B1196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4BDC">
              <w:rPr>
                <w:rFonts w:ascii="Lato" w:hAnsi="Lato" w:cstheme="majorHAnsi"/>
                <w:color w:val="000000"/>
                <w:sz w:val="18"/>
                <w:szCs w:val="18"/>
              </w:rPr>
              <w:t>Nowa substancja czynna stosowana w leczeniu epizodów depresji.</w:t>
            </w:r>
          </w:p>
        </w:tc>
      </w:tr>
      <w:tr w:rsidR="0051551E" w:rsidRPr="004D093B" w14:paraId="3E62A70D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25A84DC3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3D502D90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34BD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Hygroton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47F0C2F5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34BD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chlortalidon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7A73FC14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4BDC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8B9E" w14:textId="77777777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4BDC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45CC0182" w14:textId="19EB0C16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4BDC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51551E" w:rsidRPr="004D093B" w14:paraId="6E8A1919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7BBFF366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1752999B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91A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3E415AA3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ramipril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6C3EE63F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Nadciśnienie tętnicze u osób dorosłych, w przypadkach innych niż określono w </w:t>
            </w:r>
            <w:proofErr w:type="spellStart"/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>ChPL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3E038" w14:textId="77777777" w:rsidR="0051551E" w:rsidRPr="00D64BC7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r w:rsidRPr="00D64B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off-</w:t>
            </w:r>
            <w:proofErr w:type="spellStart"/>
            <w:r w:rsidRPr="00D64B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label</w:t>
            </w:r>
            <w:proofErr w:type="spellEnd"/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>) dla preparatu złożonego, którego zastosowanie wg zarejestrowanych wskazań jest ograniczone do wskazań substytucyjnych lub addycyjnych. Rozszerzenie zakresu wskazań refundacyjnych umożliwi rozpoczęcie leczenia nadciśnienia tętniczego od terapii skojarzonej.</w:t>
            </w:r>
          </w:p>
          <w:p w14:paraId="10823724" w14:textId="498D9C62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64B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D64B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D64B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551E" w:rsidRPr="004D093B" w14:paraId="0C276518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539DCDBE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4789" w14:textId="77777777" w:rsidR="0051551E" w:rsidRPr="007C358D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C358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Ramizek</w:t>
            </w:r>
            <w:proofErr w:type="spellEnd"/>
            <w:r w:rsidRPr="007C358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Plus</w:t>
            </w:r>
          </w:p>
          <w:p w14:paraId="65AF24A9" w14:textId="238F49DD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7C358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Ladinorm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3F7F6E14" w:rsidR="0051551E" w:rsidRPr="009659C5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ramipril</w:t>
            </w:r>
            <w:proofErr w:type="spellEnd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bisoprolol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1201D821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64AF" w14:textId="735E4926" w:rsidR="0051551E" w:rsidRPr="007C358D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Kolejny produkt dwulekowy (lek złożony, single </w:t>
            </w:r>
            <w:proofErr w:type="spellStart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>pill</w:t>
            </w:r>
            <w:proofErr w:type="spellEnd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>combination</w:t>
            </w:r>
            <w:proofErr w:type="spellEnd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SPC) możliwy do zastosowania w leczeniu nadciśnienia tętniczego u dorosłych pacjentów.</w:t>
            </w:r>
          </w:p>
        </w:tc>
      </w:tr>
      <w:tr w:rsidR="0051551E" w:rsidRPr="004D093B" w14:paraId="069ADE3E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8AD1" w14:textId="34A19A36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D69B6" w14:textId="28246962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7C358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Ramizek</w:t>
            </w:r>
            <w:proofErr w:type="spellEnd"/>
            <w:r w:rsidRPr="007C358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Plus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D59A3" w14:textId="24979763" w:rsidR="0051551E" w:rsidRPr="009659C5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ramipril</w:t>
            </w:r>
            <w:proofErr w:type="spellEnd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bisoprolol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4990F" w14:textId="70F1B48A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substytucyjne przewlekłego zespołu wieńcowego (po przebytym zawale mięśnia sercowego lub rewaskularyzacji) lub przewlekłej niewydolności serca ze zmniejszoną czynnością skurczową lewej komory u dorosłych pacjentów odpowiednio kontrolowanych za pomocą </w:t>
            </w:r>
            <w:proofErr w:type="spellStart"/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>ramiprylu</w:t>
            </w:r>
            <w:proofErr w:type="spellEnd"/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>bisoprololu</w:t>
            </w:r>
            <w:proofErr w:type="spellEnd"/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podawanych jednocześnie w tej samej dawce, jak w skojarzeniu, ale w postaci oddzielnych tabletek.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09BEF" w14:textId="3B040310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</w:t>
            </w:r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rodukt dwulekowy (lek złożony, single </w:t>
            </w:r>
            <w:proofErr w:type="spellStart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>pill</w:t>
            </w:r>
            <w:proofErr w:type="spellEnd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>combination</w:t>
            </w:r>
            <w:proofErr w:type="spellEnd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SPC) możliwy do zastosowania w leczeniu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zespołu wieńcowego lub przewlekłej niewydolności serca</w:t>
            </w:r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sectPr w:rsidR="009D10B8" w:rsidSect="00B560EF">
      <w:pgSz w:w="16838" w:h="11906" w:orient="landscape"/>
      <w:pgMar w:top="1276" w:right="962" w:bottom="1135" w:left="993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539F5" w14:textId="77777777" w:rsidR="009429F0" w:rsidRDefault="009429F0">
      <w:pPr>
        <w:spacing w:after="0" w:line="240" w:lineRule="auto"/>
      </w:pPr>
      <w:r>
        <w:separator/>
      </w:r>
    </w:p>
  </w:endnote>
  <w:endnote w:type="continuationSeparator" w:id="0">
    <w:p w14:paraId="3A7FA4A2" w14:textId="77777777" w:rsidR="009429F0" w:rsidRDefault="0094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2EFB1" w14:textId="77777777" w:rsidR="009429F0" w:rsidRDefault="009429F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89E60A" w14:textId="77777777" w:rsidR="009429F0" w:rsidRDefault="0094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A0D13" w14:textId="77777777" w:rsidR="00B84B49" w:rsidRDefault="00B84B49">
    <w:pPr>
      <w:pStyle w:val="Nagwek"/>
    </w:pPr>
    <w:r>
      <w:rPr>
        <w:noProof/>
        <w:lang w:eastAsia="pl-PL"/>
      </w:rPr>
      <w:drawing>
        <wp:inline distT="0" distB="0" distL="0" distR="0" wp14:anchorId="18932A9F" wp14:editId="60D6C5F0">
          <wp:extent cx="2381885" cy="1061720"/>
          <wp:effectExtent l="0" t="0" r="0" b="0"/>
          <wp:docPr id="1654198235" name="Obraz 1654198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6CF" w14:textId="4633511D" w:rsidR="005058F2" w:rsidRDefault="00143D0B">
    <w:pPr>
      <w:pStyle w:val="Nagwek"/>
    </w:pPr>
    <w:bookmarkStart w:id="0" w:name="_Hlk74147372"/>
    <w:bookmarkEnd w:id="0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16491014" name="Obraz 16491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0D60DA8"/>
    <w:multiLevelType w:val="hybridMultilevel"/>
    <w:tmpl w:val="17848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9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550F8"/>
    <w:multiLevelType w:val="hybridMultilevel"/>
    <w:tmpl w:val="0612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7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30263"/>
    <w:multiLevelType w:val="hybridMultilevel"/>
    <w:tmpl w:val="8910B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6"/>
  </w:num>
  <w:num w:numId="2" w16cid:durableId="983047750">
    <w:abstractNumId w:val="4"/>
  </w:num>
  <w:num w:numId="3" w16cid:durableId="912206815">
    <w:abstractNumId w:val="7"/>
  </w:num>
  <w:num w:numId="4" w16cid:durableId="1919241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3"/>
  </w:num>
  <w:num w:numId="6" w16cid:durableId="1164782895">
    <w:abstractNumId w:val="5"/>
  </w:num>
  <w:num w:numId="7" w16cid:durableId="1764568987">
    <w:abstractNumId w:val="9"/>
  </w:num>
  <w:num w:numId="8" w16cid:durableId="1605840971">
    <w:abstractNumId w:val="10"/>
  </w:num>
  <w:num w:numId="9" w16cid:durableId="969629549">
    <w:abstractNumId w:val="20"/>
  </w:num>
  <w:num w:numId="10" w16cid:durableId="1576276737">
    <w:abstractNumId w:val="1"/>
  </w:num>
  <w:num w:numId="11" w16cid:durableId="409036424">
    <w:abstractNumId w:val="24"/>
  </w:num>
  <w:num w:numId="12" w16cid:durableId="1526747669">
    <w:abstractNumId w:val="3"/>
  </w:num>
  <w:num w:numId="13" w16cid:durableId="1746950255">
    <w:abstractNumId w:val="11"/>
  </w:num>
  <w:num w:numId="14" w16cid:durableId="329715522">
    <w:abstractNumId w:val="13"/>
  </w:num>
  <w:num w:numId="15" w16cid:durableId="1837842867">
    <w:abstractNumId w:val="12"/>
  </w:num>
  <w:num w:numId="16" w16cid:durableId="1970238000">
    <w:abstractNumId w:val="22"/>
  </w:num>
  <w:num w:numId="17" w16cid:durableId="485172914">
    <w:abstractNumId w:val="16"/>
  </w:num>
  <w:num w:numId="18" w16cid:durableId="338780148">
    <w:abstractNumId w:val="8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8"/>
  </w:num>
  <w:num w:numId="22" w16cid:durableId="1157845039">
    <w:abstractNumId w:val="17"/>
  </w:num>
  <w:num w:numId="23" w16cid:durableId="1318220489">
    <w:abstractNumId w:val="14"/>
  </w:num>
  <w:num w:numId="24" w16cid:durableId="791442922">
    <w:abstractNumId w:val="19"/>
  </w:num>
  <w:num w:numId="25" w16cid:durableId="1776055627">
    <w:abstractNumId w:val="2"/>
  </w:num>
  <w:num w:numId="26" w16cid:durableId="5832728">
    <w:abstractNumId w:val="15"/>
  </w:num>
  <w:num w:numId="27" w16cid:durableId="2077774832">
    <w:abstractNumId w:val="2"/>
  </w:num>
  <w:num w:numId="28" w16cid:durableId="10130715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702E4"/>
    <w:rsid w:val="00070A13"/>
    <w:rsid w:val="00070A89"/>
    <w:rsid w:val="0008118E"/>
    <w:rsid w:val="00086074"/>
    <w:rsid w:val="0009112E"/>
    <w:rsid w:val="00097B17"/>
    <w:rsid w:val="000A4576"/>
    <w:rsid w:val="000A688D"/>
    <w:rsid w:val="000A6B96"/>
    <w:rsid w:val="000B21F0"/>
    <w:rsid w:val="000B32C4"/>
    <w:rsid w:val="000B7075"/>
    <w:rsid w:val="000D02C0"/>
    <w:rsid w:val="000D2FED"/>
    <w:rsid w:val="000E3BBE"/>
    <w:rsid w:val="000E649C"/>
    <w:rsid w:val="000F077F"/>
    <w:rsid w:val="000F3ED2"/>
    <w:rsid w:val="000F5E24"/>
    <w:rsid w:val="001030B2"/>
    <w:rsid w:val="001204EA"/>
    <w:rsid w:val="00124DD2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86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47D4"/>
    <w:rsid w:val="001B7475"/>
    <w:rsid w:val="001D6485"/>
    <w:rsid w:val="001E2320"/>
    <w:rsid w:val="001E610A"/>
    <w:rsid w:val="001E721F"/>
    <w:rsid w:val="00205C55"/>
    <w:rsid w:val="00206C0B"/>
    <w:rsid w:val="002128E3"/>
    <w:rsid w:val="00221A2A"/>
    <w:rsid w:val="002270E2"/>
    <w:rsid w:val="00230BB7"/>
    <w:rsid w:val="0024697E"/>
    <w:rsid w:val="00255E53"/>
    <w:rsid w:val="00263E48"/>
    <w:rsid w:val="00275115"/>
    <w:rsid w:val="00280311"/>
    <w:rsid w:val="00281BE7"/>
    <w:rsid w:val="00286651"/>
    <w:rsid w:val="00287196"/>
    <w:rsid w:val="0029287B"/>
    <w:rsid w:val="00292DE3"/>
    <w:rsid w:val="0029403F"/>
    <w:rsid w:val="002C0340"/>
    <w:rsid w:val="002C19DE"/>
    <w:rsid w:val="002D55B8"/>
    <w:rsid w:val="002D6ED9"/>
    <w:rsid w:val="002E46AC"/>
    <w:rsid w:val="002F0FB2"/>
    <w:rsid w:val="002F61E3"/>
    <w:rsid w:val="003051DF"/>
    <w:rsid w:val="0031104C"/>
    <w:rsid w:val="003130CA"/>
    <w:rsid w:val="00326537"/>
    <w:rsid w:val="003357D9"/>
    <w:rsid w:val="00337B00"/>
    <w:rsid w:val="00346D8D"/>
    <w:rsid w:val="00355899"/>
    <w:rsid w:val="00356E75"/>
    <w:rsid w:val="0035733E"/>
    <w:rsid w:val="00361455"/>
    <w:rsid w:val="00374DBE"/>
    <w:rsid w:val="0037704D"/>
    <w:rsid w:val="0037714E"/>
    <w:rsid w:val="003841AB"/>
    <w:rsid w:val="003935E8"/>
    <w:rsid w:val="003975D4"/>
    <w:rsid w:val="003A0F16"/>
    <w:rsid w:val="003A4C74"/>
    <w:rsid w:val="003A5B7D"/>
    <w:rsid w:val="003A6433"/>
    <w:rsid w:val="003A69CD"/>
    <w:rsid w:val="003B46BF"/>
    <w:rsid w:val="003D2AE2"/>
    <w:rsid w:val="003D71C6"/>
    <w:rsid w:val="003F072E"/>
    <w:rsid w:val="0040122A"/>
    <w:rsid w:val="00404F9B"/>
    <w:rsid w:val="00411C64"/>
    <w:rsid w:val="004156E6"/>
    <w:rsid w:val="00415707"/>
    <w:rsid w:val="004161B6"/>
    <w:rsid w:val="00416F70"/>
    <w:rsid w:val="0041703B"/>
    <w:rsid w:val="004403B4"/>
    <w:rsid w:val="00446466"/>
    <w:rsid w:val="00447CE9"/>
    <w:rsid w:val="00453B55"/>
    <w:rsid w:val="0045427C"/>
    <w:rsid w:val="00457779"/>
    <w:rsid w:val="00466FE8"/>
    <w:rsid w:val="004679A1"/>
    <w:rsid w:val="004744CD"/>
    <w:rsid w:val="0048011A"/>
    <w:rsid w:val="00483DF0"/>
    <w:rsid w:val="004850DC"/>
    <w:rsid w:val="00490715"/>
    <w:rsid w:val="00491267"/>
    <w:rsid w:val="00491300"/>
    <w:rsid w:val="00492285"/>
    <w:rsid w:val="004A2F20"/>
    <w:rsid w:val="004A2F45"/>
    <w:rsid w:val="004A5135"/>
    <w:rsid w:val="004B2F38"/>
    <w:rsid w:val="004C35E7"/>
    <w:rsid w:val="004D093B"/>
    <w:rsid w:val="004D2191"/>
    <w:rsid w:val="004D7DDC"/>
    <w:rsid w:val="004E33CD"/>
    <w:rsid w:val="004E4723"/>
    <w:rsid w:val="004F3FEF"/>
    <w:rsid w:val="005058F2"/>
    <w:rsid w:val="00512C38"/>
    <w:rsid w:val="00512C7C"/>
    <w:rsid w:val="005130EF"/>
    <w:rsid w:val="005143E4"/>
    <w:rsid w:val="0051551E"/>
    <w:rsid w:val="00543AEC"/>
    <w:rsid w:val="0055182D"/>
    <w:rsid w:val="00553AE5"/>
    <w:rsid w:val="0056748F"/>
    <w:rsid w:val="00571688"/>
    <w:rsid w:val="00574D83"/>
    <w:rsid w:val="0058645B"/>
    <w:rsid w:val="005871C9"/>
    <w:rsid w:val="00590380"/>
    <w:rsid w:val="00593363"/>
    <w:rsid w:val="005935D1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70FE"/>
    <w:rsid w:val="006008CD"/>
    <w:rsid w:val="00633806"/>
    <w:rsid w:val="00633883"/>
    <w:rsid w:val="00634434"/>
    <w:rsid w:val="0064109C"/>
    <w:rsid w:val="0064487F"/>
    <w:rsid w:val="006648F3"/>
    <w:rsid w:val="00670C14"/>
    <w:rsid w:val="0068046C"/>
    <w:rsid w:val="00680B0E"/>
    <w:rsid w:val="00687B5F"/>
    <w:rsid w:val="00687E5A"/>
    <w:rsid w:val="006905E7"/>
    <w:rsid w:val="006967BC"/>
    <w:rsid w:val="006A03EB"/>
    <w:rsid w:val="006A533F"/>
    <w:rsid w:val="006A7541"/>
    <w:rsid w:val="006A7DCE"/>
    <w:rsid w:val="006B1374"/>
    <w:rsid w:val="006C1B62"/>
    <w:rsid w:val="006C452F"/>
    <w:rsid w:val="006C4ED5"/>
    <w:rsid w:val="006D079B"/>
    <w:rsid w:val="006D183E"/>
    <w:rsid w:val="006D336E"/>
    <w:rsid w:val="006D7964"/>
    <w:rsid w:val="006E42A6"/>
    <w:rsid w:val="006F498A"/>
    <w:rsid w:val="006F5BEB"/>
    <w:rsid w:val="007135A8"/>
    <w:rsid w:val="007156F6"/>
    <w:rsid w:val="00715B91"/>
    <w:rsid w:val="007321D8"/>
    <w:rsid w:val="00733AF9"/>
    <w:rsid w:val="00734732"/>
    <w:rsid w:val="00740ABA"/>
    <w:rsid w:val="0074295D"/>
    <w:rsid w:val="00755E27"/>
    <w:rsid w:val="0078723A"/>
    <w:rsid w:val="007A4FB5"/>
    <w:rsid w:val="007B043E"/>
    <w:rsid w:val="007C277D"/>
    <w:rsid w:val="007C358D"/>
    <w:rsid w:val="007C4332"/>
    <w:rsid w:val="007C4C95"/>
    <w:rsid w:val="007D0493"/>
    <w:rsid w:val="007D1551"/>
    <w:rsid w:val="007D273D"/>
    <w:rsid w:val="007D6A3A"/>
    <w:rsid w:val="007D6B6F"/>
    <w:rsid w:val="007D74E2"/>
    <w:rsid w:val="007E33AA"/>
    <w:rsid w:val="007F016E"/>
    <w:rsid w:val="008008F6"/>
    <w:rsid w:val="00800BEC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579E3"/>
    <w:rsid w:val="0087118E"/>
    <w:rsid w:val="008771C8"/>
    <w:rsid w:val="00882DCA"/>
    <w:rsid w:val="0088727A"/>
    <w:rsid w:val="00896D35"/>
    <w:rsid w:val="008B00C4"/>
    <w:rsid w:val="008B43B0"/>
    <w:rsid w:val="008C0493"/>
    <w:rsid w:val="008C0E92"/>
    <w:rsid w:val="008D45C3"/>
    <w:rsid w:val="008E18D7"/>
    <w:rsid w:val="008E33C7"/>
    <w:rsid w:val="008F1D35"/>
    <w:rsid w:val="009066C7"/>
    <w:rsid w:val="00907D25"/>
    <w:rsid w:val="0091283B"/>
    <w:rsid w:val="00912E37"/>
    <w:rsid w:val="0092216D"/>
    <w:rsid w:val="00933339"/>
    <w:rsid w:val="009429F0"/>
    <w:rsid w:val="00943EDB"/>
    <w:rsid w:val="00953B84"/>
    <w:rsid w:val="0095459E"/>
    <w:rsid w:val="009659C5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F413F"/>
    <w:rsid w:val="009F550A"/>
    <w:rsid w:val="009F7497"/>
    <w:rsid w:val="00A01F60"/>
    <w:rsid w:val="00A118F0"/>
    <w:rsid w:val="00A159DA"/>
    <w:rsid w:val="00A22494"/>
    <w:rsid w:val="00A22A7B"/>
    <w:rsid w:val="00A23765"/>
    <w:rsid w:val="00A242D8"/>
    <w:rsid w:val="00A434EB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974C2"/>
    <w:rsid w:val="00AA4608"/>
    <w:rsid w:val="00AA490E"/>
    <w:rsid w:val="00AA6179"/>
    <w:rsid w:val="00AB1235"/>
    <w:rsid w:val="00AB2D5E"/>
    <w:rsid w:val="00AC0511"/>
    <w:rsid w:val="00AC2182"/>
    <w:rsid w:val="00AD08C5"/>
    <w:rsid w:val="00AE069A"/>
    <w:rsid w:val="00AF1DC7"/>
    <w:rsid w:val="00AF1EBC"/>
    <w:rsid w:val="00B02F02"/>
    <w:rsid w:val="00B1467F"/>
    <w:rsid w:val="00B26E9E"/>
    <w:rsid w:val="00B31928"/>
    <w:rsid w:val="00B326A9"/>
    <w:rsid w:val="00B40A48"/>
    <w:rsid w:val="00B45ED3"/>
    <w:rsid w:val="00B543E9"/>
    <w:rsid w:val="00B560EF"/>
    <w:rsid w:val="00B57127"/>
    <w:rsid w:val="00B76B2B"/>
    <w:rsid w:val="00B8251D"/>
    <w:rsid w:val="00B84B49"/>
    <w:rsid w:val="00B94288"/>
    <w:rsid w:val="00B9538B"/>
    <w:rsid w:val="00BA15A9"/>
    <w:rsid w:val="00BB30C0"/>
    <w:rsid w:val="00BC376D"/>
    <w:rsid w:val="00BD18E8"/>
    <w:rsid w:val="00BD20BC"/>
    <w:rsid w:val="00C15673"/>
    <w:rsid w:val="00C15E6F"/>
    <w:rsid w:val="00C210A9"/>
    <w:rsid w:val="00C22821"/>
    <w:rsid w:val="00C243BF"/>
    <w:rsid w:val="00C25F63"/>
    <w:rsid w:val="00C276AE"/>
    <w:rsid w:val="00C34F0F"/>
    <w:rsid w:val="00C4237C"/>
    <w:rsid w:val="00C55C85"/>
    <w:rsid w:val="00C60868"/>
    <w:rsid w:val="00C6097A"/>
    <w:rsid w:val="00C64DAA"/>
    <w:rsid w:val="00C65204"/>
    <w:rsid w:val="00C70530"/>
    <w:rsid w:val="00C77209"/>
    <w:rsid w:val="00C77217"/>
    <w:rsid w:val="00C816A5"/>
    <w:rsid w:val="00C83BE1"/>
    <w:rsid w:val="00C8646F"/>
    <w:rsid w:val="00C93D1C"/>
    <w:rsid w:val="00C97315"/>
    <w:rsid w:val="00CA04B6"/>
    <w:rsid w:val="00CA1AD2"/>
    <w:rsid w:val="00CA2878"/>
    <w:rsid w:val="00CA7D06"/>
    <w:rsid w:val="00CB2E2B"/>
    <w:rsid w:val="00CB3D33"/>
    <w:rsid w:val="00CC0463"/>
    <w:rsid w:val="00CC7F58"/>
    <w:rsid w:val="00CD47C3"/>
    <w:rsid w:val="00CE099F"/>
    <w:rsid w:val="00CE73E2"/>
    <w:rsid w:val="00CF402D"/>
    <w:rsid w:val="00CF5E4F"/>
    <w:rsid w:val="00CF7674"/>
    <w:rsid w:val="00CF7C5C"/>
    <w:rsid w:val="00D17D3E"/>
    <w:rsid w:val="00D34BDC"/>
    <w:rsid w:val="00D44A5D"/>
    <w:rsid w:val="00D510E8"/>
    <w:rsid w:val="00D554A2"/>
    <w:rsid w:val="00D5628B"/>
    <w:rsid w:val="00D63F4F"/>
    <w:rsid w:val="00D6426A"/>
    <w:rsid w:val="00D66456"/>
    <w:rsid w:val="00D74214"/>
    <w:rsid w:val="00D77CD0"/>
    <w:rsid w:val="00D9306F"/>
    <w:rsid w:val="00DB0B88"/>
    <w:rsid w:val="00DC653E"/>
    <w:rsid w:val="00DD18C6"/>
    <w:rsid w:val="00DD6D00"/>
    <w:rsid w:val="00DE00F0"/>
    <w:rsid w:val="00DE1894"/>
    <w:rsid w:val="00DE5079"/>
    <w:rsid w:val="00DF6B3A"/>
    <w:rsid w:val="00E0058F"/>
    <w:rsid w:val="00E10271"/>
    <w:rsid w:val="00E31647"/>
    <w:rsid w:val="00E34DF7"/>
    <w:rsid w:val="00E35DF6"/>
    <w:rsid w:val="00E50D44"/>
    <w:rsid w:val="00E51F3B"/>
    <w:rsid w:val="00E52765"/>
    <w:rsid w:val="00E64133"/>
    <w:rsid w:val="00E66456"/>
    <w:rsid w:val="00E738D5"/>
    <w:rsid w:val="00E8288D"/>
    <w:rsid w:val="00E8348C"/>
    <w:rsid w:val="00E900DE"/>
    <w:rsid w:val="00E91A86"/>
    <w:rsid w:val="00E91E64"/>
    <w:rsid w:val="00EA326D"/>
    <w:rsid w:val="00EB1B3E"/>
    <w:rsid w:val="00EB5A68"/>
    <w:rsid w:val="00EB77EA"/>
    <w:rsid w:val="00EC0C4F"/>
    <w:rsid w:val="00EC2B8F"/>
    <w:rsid w:val="00EC74BA"/>
    <w:rsid w:val="00ED15F0"/>
    <w:rsid w:val="00EE4384"/>
    <w:rsid w:val="00EE4BD7"/>
    <w:rsid w:val="00EF3551"/>
    <w:rsid w:val="00EF7573"/>
    <w:rsid w:val="00F017D6"/>
    <w:rsid w:val="00F12CF6"/>
    <w:rsid w:val="00F147FC"/>
    <w:rsid w:val="00F15BD4"/>
    <w:rsid w:val="00F31A79"/>
    <w:rsid w:val="00F42214"/>
    <w:rsid w:val="00F5061B"/>
    <w:rsid w:val="00F61A7D"/>
    <w:rsid w:val="00F63AA8"/>
    <w:rsid w:val="00F65600"/>
    <w:rsid w:val="00F67CA2"/>
    <w:rsid w:val="00F748A1"/>
    <w:rsid w:val="00F859A8"/>
    <w:rsid w:val="00F909F1"/>
    <w:rsid w:val="00F9203E"/>
    <w:rsid w:val="00F957B7"/>
    <w:rsid w:val="00FA53DF"/>
    <w:rsid w:val="00FB2364"/>
    <w:rsid w:val="00FB30AC"/>
    <w:rsid w:val="00FB3B6F"/>
    <w:rsid w:val="00FB7A48"/>
    <w:rsid w:val="00FC712D"/>
    <w:rsid w:val="00FD39E3"/>
    <w:rsid w:val="00FD48BC"/>
    <w:rsid w:val="00FD607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  <w:style w:type="paragraph" w:customStyle="1" w:styleId="pismamz">
    <w:name w:val="pisma_mz"/>
    <w:basedOn w:val="Normalny"/>
    <w:link w:val="pismamzZnak"/>
    <w:qFormat/>
    <w:rsid w:val="0091283B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/>
    </w:rPr>
  </w:style>
  <w:style w:type="character" w:customStyle="1" w:styleId="pismamzZnak">
    <w:name w:val="pisma_mz Znak"/>
    <w:link w:val="pismamz"/>
    <w:rsid w:val="0091283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6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6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6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6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2026'!$A$3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2026'!$B$3:$E$3</c:f>
              <c:numCache>
                <c:formatCode>General</c:formatCode>
                <c:ptCount val="4"/>
                <c:pt idx="0">
                  <c:v>9</c:v>
                </c:pt>
                <c:pt idx="1">
                  <c:v>14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F0-427F-8D1D-C6EB1FCF592A}"/>
            </c:ext>
          </c:extLst>
        </c:ser>
        <c:ser>
          <c:idx val="1"/>
          <c:order val="1"/>
          <c:tx>
            <c:strRef>
              <c:f>'miesiące 2026'!$A$4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2026'!$B$4:$E$4</c:f>
              <c:numCache>
                <c:formatCode>General</c:formatCode>
                <c:ptCount val="4"/>
                <c:pt idx="0">
                  <c:v>15</c:v>
                </c:pt>
                <c:pt idx="1">
                  <c:v>3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F0-427F-8D1D-C6EB1FCF592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2026'!$A$18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2026'!$B$18:$E$18</c:f>
              <c:numCache>
                <c:formatCode>General</c:formatCode>
                <c:ptCount val="4"/>
                <c:pt idx="0">
                  <c:v>8</c:v>
                </c:pt>
                <c:pt idx="1">
                  <c:v>6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AB-4F8C-AB3A-3B6DCA5D54FA}"/>
            </c:ext>
          </c:extLst>
        </c:ser>
        <c:ser>
          <c:idx val="1"/>
          <c:order val="1"/>
          <c:tx>
            <c:strRef>
              <c:f>'miesiące 2026'!$A$19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2026'!$B$19:$E$19</c:f>
              <c:numCache>
                <c:formatCode>General</c:formatCode>
                <c:ptCount val="4"/>
                <c:pt idx="0">
                  <c:v>16</c:v>
                </c:pt>
                <c:pt idx="1">
                  <c:v>11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AB-4F8C-AB3A-3B6DCA5D54F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2026 r. </a:t>
            </a:r>
          </a:p>
        </c:rich>
      </c:tx>
      <c:layout>
        <c:manualLayout>
          <c:xMode val="edge"/>
          <c:yMode val="edge"/>
          <c:x val="0.25296530945843437"/>
          <c:y val="9.395540999467219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4569282252283805"/>
          <c:y val="8.2051032825429804E-2"/>
          <c:w val="0.83023376639513902"/>
          <c:h val="0.8671819558553483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2026'!$B$2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2026'!$A$3:$A$10,'miesiące 2026'!$A$12)</c:f>
              <c:strCache>
                <c:ptCount val="6"/>
                <c:pt idx="0">
                  <c:v>Nowotwory układu 
urologicznego</c:v>
                </c:pt>
                <c:pt idx="1">
                  <c:v>Nowotwory układu 
pokarmowego</c:v>
                </c:pt>
                <c:pt idx="2">
                  <c:v>Nowotwory układu 
oddechowego</c:v>
                </c:pt>
                <c:pt idx="3">
                  <c:v>Nowotwory głowy 
i szyi</c:v>
                </c:pt>
                <c:pt idx="4">
                  <c:v>Nowotwory 
ginekologiczne</c:v>
                </c:pt>
                <c:pt idx="5">
                  <c:v>Hematoonkologia</c:v>
                </c:pt>
              </c:strCache>
              <c:extLst/>
            </c:strRef>
          </c:cat>
          <c:val>
            <c:numRef>
              <c:f>('miesiące 2026'!$B$3:$B$10,'miesiące 2026'!$B$12)</c:f>
              <c:numCache>
                <c:formatCode>General</c:formatCode>
                <c:ptCount val="6"/>
                <c:pt idx="0">
                  <c:v>1</c:v>
                </c:pt>
                <c:pt idx="1">
                  <c:v>9</c:v>
                </c:pt>
                <c:pt idx="2">
                  <c:v>13</c:v>
                </c:pt>
                <c:pt idx="3">
                  <c:v>1</c:v>
                </c:pt>
                <c:pt idx="4">
                  <c:v>3</c:v>
                </c:pt>
                <c:pt idx="5">
                  <c:v>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DC21-4353-9912-20178FC0B2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2026 r.</a:t>
            </a:r>
          </a:p>
        </c:rich>
      </c:tx>
      <c:layout>
        <c:manualLayout>
          <c:xMode val="edge"/>
          <c:yMode val="edge"/>
          <c:x val="0.25387365249628735"/>
          <c:y val="1.24533001245330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6.7841812790857506E-2"/>
          <c:w val="0.76644349190079053"/>
          <c:h val="0.871308146955446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2026'!$B$19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2026'!$A$20:$A$39</c:f>
              <c:strCache>
                <c:ptCount val="12"/>
                <c:pt idx="0">
                  <c:v>Urologia</c:v>
                </c:pt>
                <c:pt idx="1">
                  <c:v>Pulmonologia</c:v>
                </c:pt>
                <c:pt idx="2">
                  <c:v>Psychiatria</c:v>
                </c:pt>
                <c:pt idx="3">
                  <c:v>Okulistyka</c:v>
                </c:pt>
                <c:pt idx="4">
                  <c:v>Neurologia</c:v>
                </c:pt>
                <c:pt idx="5">
                  <c:v>Kardiologia</c:v>
                </c:pt>
                <c:pt idx="6">
                  <c:v>Hepatologia</c:v>
                </c:pt>
                <c:pt idx="7">
                  <c:v>Hematologia</c:v>
                </c:pt>
                <c:pt idx="8">
                  <c:v>Gastroenterologia</c:v>
                </c:pt>
                <c:pt idx="9">
                  <c:v>Dermatologia</c:v>
                </c:pt>
                <c:pt idx="10">
                  <c:v>Choroby metaboliczne</c:v>
                </c:pt>
                <c:pt idx="11">
                  <c:v>Alergologia</c:v>
                </c:pt>
              </c:strCache>
              <c:extLst/>
            </c:strRef>
          </c:cat>
          <c:val>
            <c:numRef>
              <c:f>'miesiące 2026'!$B$20:$B$39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11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  <c:pt idx="11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5A2C-4DE6-9A0D-8DF32B0DEC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0CCDD-CD75-41FE-B973-8D314517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1807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Morawiec Wioleta</cp:lastModifiedBy>
  <cp:revision>2</cp:revision>
  <dcterms:created xsi:type="dcterms:W3CDTF">2026-06-17T07:31:00Z</dcterms:created>
  <dcterms:modified xsi:type="dcterms:W3CDTF">2026-06-17T07:31:00Z</dcterms:modified>
</cp:coreProperties>
</file>