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758A3" w14:textId="721CA8A2" w:rsidR="00AD08C5" w:rsidRPr="004D093B" w:rsidRDefault="006A7DCE" w:rsidP="008C0E92">
      <w:pPr>
        <w:jc w:val="center"/>
        <w:rPr>
          <w:rFonts w:ascii="Lato" w:hAnsi="Lato"/>
          <w:b/>
          <w:bCs/>
          <w:color w:val="00B0F0"/>
          <w:sz w:val="36"/>
          <w:szCs w:val="36"/>
          <w:u w:val="single"/>
        </w:rPr>
      </w:pPr>
      <w:r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>OBWIESZCZENI</w:t>
      </w:r>
      <w:r w:rsidR="0085266F">
        <w:rPr>
          <w:rFonts w:ascii="Lato" w:hAnsi="Lato"/>
          <w:b/>
          <w:bCs/>
          <w:color w:val="00B0F0"/>
          <w:sz w:val="36"/>
          <w:szCs w:val="36"/>
          <w:u w:val="single"/>
        </w:rPr>
        <w:t>E</w:t>
      </w:r>
      <w:r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REFUNDACYJNE NR </w:t>
      </w:r>
      <w:r w:rsidR="00294265">
        <w:rPr>
          <w:rFonts w:ascii="Lato" w:hAnsi="Lato"/>
          <w:b/>
          <w:bCs/>
          <w:color w:val="00B0F0"/>
          <w:sz w:val="36"/>
          <w:szCs w:val="36"/>
          <w:u w:val="single"/>
        </w:rPr>
        <w:t>71</w:t>
      </w:r>
      <w:r w:rsidR="0056748F"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(1 </w:t>
      </w:r>
      <w:r w:rsidR="00294265">
        <w:rPr>
          <w:rFonts w:ascii="Lato" w:hAnsi="Lato"/>
          <w:b/>
          <w:bCs/>
          <w:color w:val="00B0F0"/>
          <w:sz w:val="36"/>
          <w:szCs w:val="36"/>
          <w:u w:val="single"/>
        </w:rPr>
        <w:t>WRZEŚNIA</w:t>
      </w:r>
      <w:r w:rsidR="00FB2364"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</w:t>
      </w:r>
      <w:r w:rsidR="0056748F"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>202</w:t>
      </w:r>
      <w:r w:rsidR="000E3BBE"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>3</w:t>
      </w:r>
      <w:r w:rsidR="0056748F"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r.)</w:t>
      </w:r>
    </w:p>
    <w:p w14:paraId="40CEDA5B" w14:textId="77777777" w:rsidR="009528E0" w:rsidRDefault="009528E0" w:rsidP="00977DE9">
      <w:pPr>
        <w:spacing w:after="120" w:line="360" w:lineRule="auto"/>
        <w:jc w:val="both"/>
        <w:rPr>
          <w:rFonts w:ascii="Lato" w:hAnsi="Lato"/>
        </w:rPr>
      </w:pPr>
    </w:p>
    <w:p w14:paraId="5EBF62B2" w14:textId="3B3A25F4" w:rsidR="00977DE9" w:rsidRDefault="00977DE9" w:rsidP="00977DE9">
      <w:pPr>
        <w:spacing w:after="12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Od początku roku 2023, finansowaniem ze środków publicznych zostało objętych </w:t>
      </w:r>
      <w:r w:rsidR="00CF351E">
        <w:rPr>
          <w:rFonts w:ascii="Lato" w:hAnsi="Lato"/>
          <w:b/>
          <w:bCs/>
        </w:rPr>
        <w:t>119</w:t>
      </w:r>
      <w:r>
        <w:rPr>
          <w:rFonts w:ascii="Lato" w:hAnsi="Lato"/>
          <w:b/>
          <w:bCs/>
        </w:rPr>
        <w:t xml:space="preserve"> nowych cząsteczko – wskazań</w:t>
      </w:r>
      <w:r>
        <w:rPr>
          <w:rFonts w:ascii="Lato" w:hAnsi="Lato"/>
        </w:rPr>
        <w:t>, w tym:</w:t>
      </w:r>
    </w:p>
    <w:p w14:paraId="6F3A3807" w14:textId="6433A7FD" w:rsidR="00977DE9" w:rsidRDefault="00CF351E" w:rsidP="00977DE9">
      <w:pPr>
        <w:pStyle w:val="Akapitzlist"/>
        <w:numPr>
          <w:ilvl w:val="0"/>
          <w:numId w:val="29"/>
        </w:numPr>
        <w:spacing w:after="120" w:line="360" w:lineRule="auto"/>
        <w:jc w:val="both"/>
        <w:textAlignment w:val="auto"/>
        <w:rPr>
          <w:rFonts w:ascii="Lato" w:hAnsi="Lato"/>
        </w:rPr>
      </w:pPr>
      <w:r>
        <w:rPr>
          <w:rFonts w:ascii="Lato" w:hAnsi="Lato"/>
        </w:rPr>
        <w:t>60</w:t>
      </w:r>
      <w:r w:rsidR="00977DE9">
        <w:rPr>
          <w:rFonts w:ascii="Lato" w:hAnsi="Lato"/>
        </w:rPr>
        <w:t xml:space="preserve"> cząsteczko – wskazań onkologicznych,</w:t>
      </w:r>
    </w:p>
    <w:p w14:paraId="27845DEE" w14:textId="722576B7" w:rsidR="00977DE9" w:rsidRDefault="00977DE9" w:rsidP="00977DE9">
      <w:pPr>
        <w:pStyle w:val="Akapitzlist"/>
        <w:numPr>
          <w:ilvl w:val="0"/>
          <w:numId w:val="29"/>
        </w:numPr>
        <w:spacing w:after="120" w:line="360" w:lineRule="auto"/>
        <w:jc w:val="both"/>
        <w:textAlignment w:val="auto"/>
        <w:rPr>
          <w:rFonts w:ascii="Lato" w:hAnsi="Lato"/>
        </w:rPr>
      </w:pPr>
      <w:r>
        <w:rPr>
          <w:rFonts w:ascii="Lato" w:hAnsi="Lato"/>
        </w:rPr>
        <w:t>5</w:t>
      </w:r>
      <w:r w:rsidR="00CF351E">
        <w:rPr>
          <w:rFonts w:ascii="Lato" w:hAnsi="Lato"/>
        </w:rPr>
        <w:t>9</w:t>
      </w:r>
      <w:r>
        <w:rPr>
          <w:rFonts w:ascii="Lato" w:hAnsi="Lato"/>
        </w:rPr>
        <w:t xml:space="preserve"> cząsteczko - wskazań nieonkologicznych,</w:t>
      </w:r>
    </w:p>
    <w:p w14:paraId="1C1430D4" w14:textId="47CDEB1F" w:rsidR="00977DE9" w:rsidRPr="00A966A7" w:rsidRDefault="00977DE9" w:rsidP="00977DE9">
      <w:pPr>
        <w:pStyle w:val="Akapitzlist"/>
        <w:numPr>
          <w:ilvl w:val="0"/>
          <w:numId w:val="29"/>
        </w:numPr>
        <w:spacing w:after="120" w:line="360" w:lineRule="auto"/>
        <w:jc w:val="both"/>
        <w:textAlignment w:val="auto"/>
        <w:rPr>
          <w:rFonts w:ascii="Lato" w:hAnsi="Lato"/>
        </w:rPr>
      </w:pPr>
      <w:r>
        <w:rPr>
          <w:rFonts w:ascii="Lato" w:hAnsi="Lato"/>
        </w:rPr>
        <w:t>3</w:t>
      </w:r>
      <w:r w:rsidR="00CF351E">
        <w:rPr>
          <w:rFonts w:ascii="Lato" w:hAnsi="Lato"/>
        </w:rPr>
        <w:t>8</w:t>
      </w:r>
      <w:r>
        <w:rPr>
          <w:rFonts w:ascii="Lato" w:hAnsi="Lato"/>
        </w:rPr>
        <w:t xml:space="preserve"> cząsteczko - wskazań dedykowanych chorobom rzadkim.</w:t>
      </w:r>
    </w:p>
    <w:p w14:paraId="2D082B92" w14:textId="77777777" w:rsidR="009528E0" w:rsidRPr="009528E0" w:rsidRDefault="009528E0" w:rsidP="0085266F">
      <w:pPr>
        <w:spacing w:line="276" w:lineRule="auto"/>
        <w:jc w:val="both"/>
        <w:rPr>
          <w:rFonts w:ascii="Lato" w:hAnsi="Lato"/>
          <w:color w:val="000000" w:themeColor="text1"/>
          <w:sz w:val="10"/>
          <w:szCs w:val="10"/>
        </w:rPr>
      </w:pPr>
    </w:p>
    <w:p w14:paraId="73CD0B53" w14:textId="3AECE489" w:rsidR="0085266F" w:rsidRPr="009528E0" w:rsidRDefault="0085266F" w:rsidP="0085266F">
      <w:pPr>
        <w:spacing w:line="276" w:lineRule="auto"/>
        <w:jc w:val="both"/>
        <w:rPr>
          <w:rFonts w:ascii="Lato" w:hAnsi="Lato"/>
          <w:color w:val="000000" w:themeColor="text1"/>
        </w:rPr>
      </w:pPr>
      <w:r w:rsidRPr="009528E0">
        <w:rPr>
          <w:rFonts w:ascii="Lato" w:hAnsi="Lato"/>
          <w:color w:val="000000" w:themeColor="text1"/>
        </w:rPr>
        <w:t>Obwieszczenie refundacyjne obowiązujące od 1 września 2023 r. (nr 71), w porównaniu do obwieszczenia 70 zawiera następujące zmiany:</w:t>
      </w:r>
    </w:p>
    <w:p w14:paraId="1C38531C" w14:textId="452C52CF" w:rsidR="0085266F" w:rsidRPr="00686AC2" w:rsidRDefault="0085266F" w:rsidP="0085266F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686AC2">
        <w:rPr>
          <w:rFonts w:ascii="Lato" w:hAnsi="Lato"/>
        </w:rPr>
        <w:t>W związku z wydaniem pozytywnych decyzji o objęciu refundacją ogółem do wykazu został</w:t>
      </w:r>
      <w:r w:rsidR="00686AC2">
        <w:rPr>
          <w:rFonts w:ascii="Lato" w:hAnsi="Lato"/>
        </w:rPr>
        <w:t>o</w:t>
      </w:r>
      <w:r w:rsidRPr="00686AC2">
        <w:rPr>
          <w:rFonts w:ascii="Lato" w:hAnsi="Lato"/>
        </w:rPr>
        <w:t xml:space="preserve"> dodan</w:t>
      </w:r>
      <w:r w:rsidR="00686AC2">
        <w:rPr>
          <w:rFonts w:ascii="Lato" w:hAnsi="Lato"/>
        </w:rPr>
        <w:t>ych</w:t>
      </w:r>
      <w:r w:rsidRPr="00686AC2">
        <w:rPr>
          <w:rFonts w:ascii="Lato" w:hAnsi="Lato"/>
        </w:rPr>
        <w:t xml:space="preserve"> </w:t>
      </w:r>
      <w:r w:rsidR="00686AC2" w:rsidRPr="00686AC2">
        <w:rPr>
          <w:rFonts w:ascii="Lato" w:hAnsi="Lato"/>
        </w:rPr>
        <w:t>86</w:t>
      </w:r>
      <w:r w:rsidRPr="00686AC2">
        <w:rPr>
          <w:rFonts w:ascii="Lato" w:hAnsi="Lato"/>
        </w:rPr>
        <w:t xml:space="preserve"> produkt</w:t>
      </w:r>
      <w:r w:rsidR="00686AC2" w:rsidRPr="00686AC2">
        <w:rPr>
          <w:rFonts w:ascii="Lato" w:hAnsi="Lato"/>
        </w:rPr>
        <w:t>ów</w:t>
      </w:r>
      <w:r w:rsidRPr="00686AC2">
        <w:rPr>
          <w:rFonts w:ascii="Lato" w:hAnsi="Lato"/>
        </w:rPr>
        <w:t xml:space="preserve"> bądź now</w:t>
      </w:r>
      <w:r w:rsidR="00686AC2" w:rsidRPr="00686AC2">
        <w:rPr>
          <w:rFonts w:ascii="Lato" w:hAnsi="Lato"/>
        </w:rPr>
        <w:t>ych</w:t>
      </w:r>
      <w:r w:rsidRPr="00686AC2">
        <w:rPr>
          <w:rFonts w:ascii="Lato" w:hAnsi="Lato"/>
        </w:rPr>
        <w:t xml:space="preserve"> wskaza</w:t>
      </w:r>
      <w:r w:rsidR="00686AC2" w:rsidRPr="00686AC2">
        <w:rPr>
          <w:rFonts w:ascii="Lato" w:hAnsi="Lato"/>
        </w:rPr>
        <w:t>ń</w:t>
      </w:r>
      <w:r w:rsidRPr="00686AC2">
        <w:rPr>
          <w:rFonts w:ascii="Lato" w:hAnsi="Lato"/>
        </w:rPr>
        <w:t>.</w:t>
      </w:r>
    </w:p>
    <w:p w14:paraId="37D918A3" w14:textId="7AF7F13A" w:rsidR="0085266F" w:rsidRPr="00686AC2" w:rsidRDefault="0085266F" w:rsidP="0085266F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686AC2">
        <w:rPr>
          <w:rFonts w:ascii="Lato" w:hAnsi="Lato"/>
        </w:rPr>
        <w:t xml:space="preserve">Dla </w:t>
      </w:r>
      <w:r w:rsidR="00686AC2" w:rsidRPr="00686AC2">
        <w:rPr>
          <w:rFonts w:ascii="Lato" w:hAnsi="Lato"/>
        </w:rPr>
        <w:t>93</w:t>
      </w:r>
      <w:r w:rsidRPr="00686AC2">
        <w:rPr>
          <w:rFonts w:ascii="Lato" w:hAnsi="Lato"/>
        </w:rPr>
        <w:t xml:space="preserve"> produktów wprowadzono obniżki urzędowych cen zbytu (od </w:t>
      </w:r>
      <w:r w:rsidR="00686AC2" w:rsidRPr="00686AC2">
        <w:rPr>
          <w:rFonts w:ascii="Lato" w:hAnsi="Lato"/>
        </w:rPr>
        <w:t>0,01</w:t>
      </w:r>
      <w:r w:rsidRPr="00686AC2">
        <w:rPr>
          <w:rFonts w:ascii="Lato" w:hAnsi="Lato"/>
        </w:rPr>
        <w:t xml:space="preserve"> zł do </w:t>
      </w:r>
      <w:r w:rsidR="00686AC2" w:rsidRPr="00686AC2">
        <w:rPr>
          <w:rFonts w:ascii="Lato" w:hAnsi="Lato"/>
        </w:rPr>
        <w:t>7</w:t>
      </w:r>
      <w:r w:rsidR="00686AC2">
        <w:rPr>
          <w:rFonts w:ascii="Lato" w:hAnsi="Lato"/>
        </w:rPr>
        <w:t> </w:t>
      </w:r>
      <w:r w:rsidR="00686AC2" w:rsidRPr="00686AC2">
        <w:rPr>
          <w:rFonts w:ascii="Lato" w:hAnsi="Lato"/>
        </w:rPr>
        <w:t xml:space="preserve">359,12 </w:t>
      </w:r>
      <w:r w:rsidRPr="00686AC2">
        <w:rPr>
          <w:rFonts w:ascii="Lato" w:hAnsi="Lato"/>
        </w:rPr>
        <w:t>zł).</w:t>
      </w:r>
    </w:p>
    <w:p w14:paraId="1E92F949" w14:textId="7881DA90" w:rsidR="0085266F" w:rsidRPr="00686AC2" w:rsidRDefault="0085266F" w:rsidP="0085266F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686AC2">
        <w:rPr>
          <w:rFonts w:ascii="Lato" w:hAnsi="Lato"/>
        </w:rPr>
        <w:t xml:space="preserve">Dla </w:t>
      </w:r>
      <w:r w:rsidR="00686AC2" w:rsidRPr="00686AC2">
        <w:rPr>
          <w:rFonts w:ascii="Lato" w:hAnsi="Lato"/>
        </w:rPr>
        <w:t>47</w:t>
      </w:r>
      <w:r w:rsidRPr="00686AC2">
        <w:rPr>
          <w:rFonts w:ascii="Lato" w:hAnsi="Lato"/>
        </w:rPr>
        <w:t xml:space="preserve"> produktów podwyższono urzędowe ceny zbytu (od </w:t>
      </w:r>
      <w:r w:rsidR="00686AC2" w:rsidRPr="00686AC2">
        <w:rPr>
          <w:rFonts w:ascii="Lato" w:hAnsi="Lato"/>
        </w:rPr>
        <w:t>0,41</w:t>
      </w:r>
      <w:r w:rsidRPr="00686AC2">
        <w:rPr>
          <w:rFonts w:ascii="Lato" w:hAnsi="Lato"/>
        </w:rPr>
        <w:t xml:space="preserve"> zł do </w:t>
      </w:r>
      <w:r w:rsidR="00686AC2" w:rsidRPr="00686AC2">
        <w:rPr>
          <w:rFonts w:ascii="Lato" w:hAnsi="Lato"/>
        </w:rPr>
        <w:t xml:space="preserve">266,39 </w:t>
      </w:r>
      <w:r w:rsidRPr="00686AC2">
        <w:rPr>
          <w:rFonts w:ascii="Lato" w:hAnsi="Lato"/>
        </w:rPr>
        <w:t>zł).</w:t>
      </w:r>
    </w:p>
    <w:p w14:paraId="077237B8" w14:textId="484C549D" w:rsidR="0085266F" w:rsidRPr="00970F7A" w:rsidRDefault="0085266F" w:rsidP="0085266F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970F7A">
        <w:rPr>
          <w:rFonts w:ascii="Lato" w:hAnsi="Lato"/>
        </w:rPr>
        <w:t xml:space="preserve">Dla </w:t>
      </w:r>
      <w:r w:rsidR="00970F7A" w:rsidRPr="00970F7A">
        <w:rPr>
          <w:rFonts w:ascii="Lato" w:hAnsi="Lato"/>
        </w:rPr>
        <w:t>637</w:t>
      </w:r>
      <w:r w:rsidRPr="00970F7A">
        <w:rPr>
          <w:rFonts w:ascii="Lato" w:hAnsi="Lato"/>
        </w:rPr>
        <w:t xml:space="preserve"> pozycji w obwieszczeniu spadnie dopłata pacjenta (od </w:t>
      </w:r>
      <w:r w:rsidR="00970F7A" w:rsidRPr="00970F7A">
        <w:rPr>
          <w:rFonts w:ascii="Lato" w:hAnsi="Lato"/>
        </w:rPr>
        <w:t>0,01</w:t>
      </w:r>
      <w:r w:rsidRPr="00970F7A">
        <w:rPr>
          <w:rFonts w:ascii="Lato" w:hAnsi="Lato"/>
        </w:rPr>
        <w:t xml:space="preserve"> zł do </w:t>
      </w:r>
      <w:r w:rsidR="00970F7A" w:rsidRPr="00970F7A">
        <w:rPr>
          <w:rFonts w:ascii="Lato" w:hAnsi="Lato"/>
        </w:rPr>
        <w:t xml:space="preserve">65,23 </w:t>
      </w:r>
      <w:r w:rsidRPr="00970F7A">
        <w:rPr>
          <w:rFonts w:ascii="Lato" w:hAnsi="Lato"/>
        </w:rPr>
        <w:t>zł).</w:t>
      </w:r>
    </w:p>
    <w:p w14:paraId="43D04B49" w14:textId="24EDF7D8" w:rsidR="0085266F" w:rsidRPr="00970F7A" w:rsidRDefault="0085266F" w:rsidP="0085266F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970F7A">
        <w:rPr>
          <w:rFonts w:ascii="Lato" w:hAnsi="Lato"/>
        </w:rPr>
        <w:t xml:space="preserve">Dla </w:t>
      </w:r>
      <w:r w:rsidR="00970F7A" w:rsidRPr="00970F7A">
        <w:rPr>
          <w:rFonts w:ascii="Lato" w:hAnsi="Lato"/>
        </w:rPr>
        <w:t>694</w:t>
      </w:r>
      <w:r w:rsidRPr="00970F7A">
        <w:rPr>
          <w:rFonts w:ascii="Lato" w:hAnsi="Lato"/>
        </w:rPr>
        <w:t xml:space="preserve"> pozycji w obwieszczeniu wzrośnie dopłata pacjenta (od </w:t>
      </w:r>
      <w:r w:rsidR="00970F7A" w:rsidRPr="00970F7A">
        <w:rPr>
          <w:rFonts w:ascii="Lato" w:hAnsi="Lato"/>
        </w:rPr>
        <w:t>0,01</w:t>
      </w:r>
      <w:r w:rsidRPr="00970F7A">
        <w:rPr>
          <w:rFonts w:ascii="Lato" w:hAnsi="Lato"/>
        </w:rPr>
        <w:t xml:space="preserve"> zł do </w:t>
      </w:r>
      <w:r w:rsidR="00970F7A" w:rsidRPr="00970F7A">
        <w:rPr>
          <w:rFonts w:ascii="Lato" w:hAnsi="Lato"/>
        </w:rPr>
        <w:t xml:space="preserve">452,70 </w:t>
      </w:r>
      <w:r w:rsidRPr="00970F7A">
        <w:rPr>
          <w:rFonts w:ascii="Lato" w:hAnsi="Lato"/>
        </w:rPr>
        <w:t>zł).</w:t>
      </w:r>
    </w:p>
    <w:p w14:paraId="28E50743" w14:textId="06969CCC" w:rsidR="0085266F" w:rsidRPr="00970F7A" w:rsidRDefault="0085266F" w:rsidP="0085266F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970F7A">
        <w:rPr>
          <w:rFonts w:ascii="Lato" w:hAnsi="Lato"/>
        </w:rPr>
        <w:t xml:space="preserve">Dla </w:t>
      </w:r>
      <w:r w:rsidR="00970F7A" w:rsidRPr="00970F7A">
        <w:rPr>
          <w:rFonts w:ascii="Lato" w:hAnsi="Lato"/>
        </w:rPr>
        <w:t>363</w:t>
      </w:r>
      <w:r w:rsidRPr="00970F7A">
        <w:rPr>
          <w:rFonts w:ascii="Lato" w:hAnsi="Lato"/>
        </w:rPr>
        <w:t xml:space="preserve"> produktów ulegną obniżeniu ceny detaliczne brutto (od </w:t>
      </w:r>
      <w:r w:rsidR="00970F7A">
        <w:rPr>
          <w:rFonts w:ascii="Lato" w:hAnsi="Lato"/>
        </w:rPr>
        <w:t>0,01</w:t>
      </w:r>
      <w:r w:rsidRPr="00970F7A">
        <w:rPr>
          <w:rFonts w:ascii="Lato" w:hAnsi="Lato"/>
        </w:rPr>
        <w:t xml:space="preserve"> zł do </w:t>
      </w:r>
      <w:r w:rsidR="00970F7A" w:rsidRPr="00970F7A">
        <w:rPr>
          <w:rFonts w:ascii="Lato" w:hAnsi="Lato"/>
        </w:rPr>
        <w:t>334,52</w:t>
      </w:r>
      <w:r w:rsidR="00970F7A">
        <w:rPr>
          <w:rFonts w:ascii="Lato" w:hAnsi="Lato"/>
        </w:rPr>
        <w:t xml:space="preserve"> </w:t>
      </w:r>
      <w:r w:rsidRPr="00970F7A">
        <w:rPr>
          <w:rFonts w:ascii="Lato" w:hAnsi="Lato"/>
        </w:rPr>
        <w:t>zł).</w:t>
      </w:r>
    </w:p>
    <w:p w14:paraId="755463B6" w14:textId="69173A35" w:rsidR="0085266F" w:rsidRPr="00093AC4" w:rsidRDefault="0085266F" w:rsidP="0085266F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093AC4">
        <w:rPr>
          <w:rFonts w:ascii="Lato" w:hAnsi="Lato"/>
        </w:rPr>
        <w:t xml:space="preserve">Dla </w:t>
      </w:r>
      <w:r w:rsidR="00970F7A" w:rsidRPr="00093AC4">
        <w:rPr>
          <w:rFonts w:ascii="Lato" w:hAnsi="Lato"/>
        </w:rPr>
        <w:t>665</w:t>
      </w:r>
      <w:r w:rsidRPr="00093AC4">
        <w:rPr>
          <w:rFonts w:ascii="Lato" w:hAnsi="Lato"/>
        </w:rPr>
        <w:t xml:space="preserve"> produktów wzrosną ceny detaliczne brutto (od </w:t>
      </w:r>
      <w:r w:rsidR="00970F7A" w:rsidRPr="00093AC4">
        <w:rPr>
          <w:rFonts w:ascii="Lato" w:hAnsi="Lato"/>
        </w:rPr>
        <w:t>0,01</w:t>
      </w:r>
      <w:r w:rsidRPr="00093AC4">
        <w:rPr>
          <w:rFonts w:ascii="Lato" w:hAnsi="Lato"/>
        </w:rPr>
        <w:t xml:space="preserve"> zł do </w:t>
      </w:r>
      <w:r w:rsidR="00970F7A" w:rsidRPr="00093AC4">
        <w:rPr>
          <w:rFonts w:ascii="Lato" w:hAnsi="Lato"/>
        </w:rPr>
        <w:t xml:space="preserve">23,93 </w:t>
      </w:r>
      <w:r w:rsidRPr="00093AC4">
        <w:rPr>
          <w:rFonts w:ascii="Lato" w:hAnsi="Lato"/>
        </w:rPr>
        <w:t>zł).</w:t>
      </w:r>
    </w:p>
    <w:p w14:paraId="3FC1BC3E" w14:textId="4196B6CA" w:rsidR="009528E0" w:rsidRPr="00093AC4" w:rsidRDefault="009528E0" w:rsidP="0085266F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093AC4">
        <w:rPr>
          <w:rFonts w:ascii="Lato" w:hAnsi="Lato"/>
        </w:rPr>
        <w:t xml:space="preserve">W związku z wpłynięciem wniosków o skrócenie terminu obowiązywania decyzji refundacyjnych lub upłynięciem terminu obowiązywania decyzji refundacyjnych lub odmową refundacji na kolejny okres w obwieszczeniu nie znajdzie się </w:t>
      </w:r>
      <w:r w:rsidR="00093AC4" w:rsidRPr="00093AC4">
        <w:rPr>
          <w:rFonts w:ascii="Lato" w:hAnsi="Lato"/>
        </w:rPr>
        <w:t>47</w:t>
      </w:r>
      <w:r w:rsidRPr="00093AC4">
        <w:rPr>
          <w:rFonts w:ascii="Lato" w:hAnsi="Lato"/>
        </w:rPr>
        <w:t xml:space="preserve"> produktów bądź wskazań figurujących w poprzednim obwieszczeniu.</w:t>
      </w:r>
    </w:p>
    <w:p w14:paraId="6AE421D1" w14:textId="508AB904" w:rsidR="00CF351E" w:rsidRDefault="004D093B" w:rsidP="009528E0">
      <w:pPr>
        <w:suppressAutoHyphens w:val="0"/>
        <w:autoSpaceDE w:val="0"/>
        <w:spacing w:after="0" w:line="360" w:lineRule="auto"/>
        <w:jc w:val="both"/>
        <w:rPr>
          <w:rFonts w:ascii="Lato" w:hAnsi="Lato"/>
          <w:sz w:val="24"/>
          <w:szCs w:val="24"/>
        </w:rPr>
      </w:pPr>
      <w:r w:rsidRPr="00CF351E">
        <w:rPr>
          <w:rFonts w:ascii="Lato" w:hAnsi="Lato"/>
          <w:sz w:val="24"/>
          <w:szCs w:val="24"/>
        </w:rPr>
        <w:br w:type="page"/>
      </w:r>
      <w:r w:rsidR="00CF351E">
        <w:rPr>
          <w:noProof/>
        </w:rPr>
        <w:lastRenderedPageBreak/>
        <w:drawing>
          <wp:inline distT="0" distB="0" distL="0" distR="0" wp14:anchorId="7F7E2517" wp14:editId="1C09EE1D">
            <wp:extent cx="4468633" cy="2905125"/>
            <wp:effectExtent l="0" t="0" r="8255" b="9525"/>
            <wp:docPr id="6" name="Wykres 6">
              <a:extLst xmlns:a="http://schemas.openxmlformats.org/drawingml/2006/main">
                <a:ext uri="{FF2B5EF4-FFF2-40B4-BE49-F238E27FC236}">
                  <a16:creationId xmlns:a16="http://schemas.microsoft.com/office/drawing/2014/main" id="{67889C1A-5DD9-4C41-9C0E-2CE1FB7DE1F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CF351E">
        <w:rPr>
          <w:rFonts w:ascii="Lato" w:hAnsi="Lato"/>
          <w:sz w:val="24"/>
          <w:szCs w:val="24"/>
        </w:rPr>
        <w:t xml:space="preserve"> </w:t>
      </w:r>
      <w:r w:rsidR="00CF351E">
        <w:rPr>
          <w:noProof/>
        </w:rPr>
        <w:drawing>
          <wp:inline distT="0" distB="0" distL="0" distR="0" wp14:anchorId="6ACDEFBA" wp14:editId="2B46C824">
            <wp:extent cx="4381169" cy="2914650"/>
            <wp:effectExtent l="0" t="0" r="635" b="0"/>
            <wp:docPr id="8" name="Wykres 8">
              <a:extLst xmlns:a="http://schemas.openxmlformats.org/drawingml/2006/main">
                <a:ext uri="{FF2B5EF4-FFF2-40B4-BE49-F238E27FC236}">
                  <a16:creationId xmlns:a16="http://schemas.microsoft.com/office/drawing/2014/main" id="{E52EC9A3-CF0F-4F00-8042-9072D1CE40D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0394F58" w14:textId="0BC68AE7" w:rsidR="00350CC6" w:rsidRDefault="00CF351E" w:rsidP="00D46ECD">
      <w:pPr>
        <w:suppressAutoHyphens w:val="0"/>
        <w:autoSpaceDE w:val="0"/>
        <w:spacing w:after="0" w:line="360" w:lineRule="auto"/>
        <w:jc w:val="both"/>
        <w:rPr>
          <w:rFonts w:ascii="Lato" w:hAnsi="Lato"/>
          <w:sz w:val="24"/>
          <w:szCs w:val="24"/>
        </w:rPr>
      </w:pPr>
      <w:r>
        <w:rPr>
          <w:noProof/>
        </w:rPr>
        <w:drawing>
          <wp:inline distT="0" distB="0" distL="0" distR="0" wp14:anchorId="0634C1FB" wp14:editId="3DFDD3AE">
            <wp:extent cx="4468495" cy="2838616"/>
            <wp:effectExtent l="0" t="0" r="8255" b="0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9D137F96-D8BB-4669-93B7-D9F98C88474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rFonts w:ascii="Lato" w:hAnsi="Lato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6704CD5D" wp14:editId="038223F3">
            <wp:extent cx="4380865" cy="2834071"/>
            <wp:effectExtent l="0" t="0" r="635" b="4445"/>
            <wp:docPr id="9" name="Wykres 9">
              <a:extLst xmlns:a="http://schemas.openxmlformats.org/drawingml/2006/main">
                <a:ext uri="{FF2B5EF4-FFF2-40B4-BE49-F238E27FC236}">
                  <a16:creationId xmlns:a16="http://schemas.microsoft.com/office/drawing/2014/main" id="{2DB26032-FA93-4448-8FF7-12D47490A60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350CC6">
        <w:rPr>
          <w:rFonts w:ascii="Lato" w:hAnsi="Lato"/>
          <w:sz w:val="24"/>
          <w:szCs w:val="24"/>
        </w:rPr>
        <w:t xml:space="preserve"> </w:t>
      </w:r>
      <w:r w:rsidR="00350CC6">
        <w:rPr>
          <w:rFonts w:ascii="Lato" w:hAnsi="Lato"/>
          <w:sz w:val="24"/>
          <w:szCs w:val="24"/>
        </w:rPr>
        <w:br w:type="page"/>
      </w:r>
    </w:p>
    <w:p w14:paraId="06A06678" w14:textId="7D136BFD" w:rsidR="00AD08C5" w:rsidRPr="004D093B" w:rsidRDefault="006A7DCE" w:rsidP="005058F2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4D093B">
        <w:rPr>
          <w:rFonts w:ascii="Lato" w:hAnsi="Lato"/>
          <w:b/>
          <w:bCs/>
          <w:color w:val="00B0F0"/>
          <w:sz w:val="28"/>
          <w:szCs w:val="28"/>
        </w:rPr>
        <w:lastRenderedPageBreak/>
        <w:t>NOWE WSKAZANIA ORAZ ZMIANY W PROGRA</w:t>
      </w:r>
      <w:bookmarkStart w:id="0" w:name="_Hlk95686308"/>
      <w:r w:rsidRPr="004D093B">
        <w:rPr>
          <w:rFonts w:ascii="Lato" w:hAnsi="Lato"/>
          <w:b/>
          <w:bCs/>
          <w:color w:val="00B0F0"/>
          <w:sz w:val="28"/>
          <w:szCs w:val="28"/>
        </w:rPr>
        <w:t>M</w:t>
      </w:r>
      <w:bookmarkEnd w:id="0"/>
      <w:r w:rsidRPr="004D093B">
        <w:rPr>
          <w:rFonts w:ascii="Lato" w:hAnsi="Lato"/>
          <w:b/>
          <w:bCs/>
          <w:color w:val="00B0F0"/>
          <w:sz w:val="28"/>
          <w:szCs w:val="28"/>
        </w:rPr>
        <w:t>ACH LEKOWYCH</w:t>
      </w:r>
      <w:r w:rsidR="0056748F" w:rsidRPr="004D093B">
        <w:rPr>
          <w:rFonts w:ascii="Lato" w:hAnsi="Lato"/>
          <w:b/>
          <w:bCs/>
          <w:color w:val="00B0F0"/>
          <w:sz w:val="28"/>
          <w:szCs w:val="28"/>
        </w:rPr>
        <w:t xml:space="preserve"> i CHEMIOTERAPII</w:t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07"/>
        <w:gridCol w:w="1586"/>
        <w:gridCol w:w="1807"/>
        <w:gridCol w:w="1872"/>
        <w:gridCol w:w="3335"/>
        <w:gridCol w:w="4781"/>
      </w:tblGrid>
      <w:tr w:rsidR="005058F2" w:rsidRPr="004D093B" w14:paraId="7E2E9B6A" w14:textId="77777777" w:rsidTr="00294265">
        <w:trPr>
          <w:cantSplit/>
          <w:trHeight w:val="186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C9CE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Programy lekowe i chemioterapia</w:t>
            </w:r>
          </w:p>
        </w:tc>
      </w:tr>
      <w:tr w:rsidR="005058F2" w:rsidRPr="004D093B" w14:paraId="1C096482" w14:textId="77777777" w:rsidTr="00294265">
        <w:trPr>
          <w:cantSplit/>
          <w:trHeight w:val="206"/>
        </w:trPr>
        <w:tc>
          <w:tcPr>
            <w:tcW w:w="5000" w:type="pct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D3F6C" w14:textId="047D7715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Nowe wskazania onkologiczne</w:t>
            </w:r>
          </w:p>
        </w:tc>
      </w:tr>
      <w:tr w:rsidR="006D7964" w:rsidRPr="004D093B" w14:paraId="60CDF2D4" w14:textId="77777777" w:rsidTr="0029426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18D0B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CB337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4251E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0A519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A8893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64232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EE5277" w:rsidRPr="004D093B" w14:paraId="1F4280B1" w14:textId="77777777" w:rsidTr="0029426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9A6C0" w14:textId="51FF0EA2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EF7A1" w14:textId="06DDD5A1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Lorviqua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EBA34" w14:textId="42A2F3A3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lorlat</w:t>
            </w:r>
            <w:r w:rsidR="00EF3A08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y</w:t>
            </w:r>
            <w:r w:rsidRPr="00946C5F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nib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A00C8" w14:textId="0734782B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CD2B8" w14:textId="02F2CBB6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CC36C" w14:textId="18DAA9EE" w:rsidR="00EE5277" w:rsidRPr="00946C5F" w:rsidRDefault="001E4A45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I linia</w:t>
            </w:r>
            <w:r w:rsidR="00EE5277"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leczenia </w:t>
            </w:r>
            <w:r w:rsidR="005E3DB9">
              <w:rPr>
                <w:rFonts w:ascii="Lato" w:hAnsi="Lato" w:cstheme="majorHAnsi"/>
                <w:color w:val="000000"/>
                <w:sz w:val="18"/>
                <w:szCs w:val="18"/>
              </w:rPr>
              <w:t>pacjentów z</w:t>
            </w:r>
            <w:r w:rsidR="00EE5277"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NDRP z mutacją w genie ALK (chorzy wcześniej nie poddawani systemowemu leczeniu z powodu zaawansowanego nowotworu).</w:t>
            </w:r>
          </w:p>
        </w:tc>
      </w:tr>
      <w:tr w:rsidR="00EE5277" w:rsidRPr="004D093B" w14:paraId="5A345E23" w14:textId="77777777" w:rsidTr="0029426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0E88B" w14:textId="1BCDCC89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6100A" w14:textId="6E50232F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Lumykras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206B5" w14:textId="1362A3A2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sotorasib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814A2" w14:textId="4A2C4482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C849D" w14:textId="1F4D1415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834F5" w14:textId="34F2AC9E" w:rsidR="00EE5277" w:rsidRPr="00946C5F" w:rsidRDefault="001E4A45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II</w:t>
            </w:r>
            <w:r w:rsidR="00EE5277"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lub kolejne linie leczenia </w:t>
            </w:r>
            <w:r w:rsidR="005E3DB9">
              <w:rPr>
                <w:rFonts w:ascii="Lato" w:hAnsi="Lato" w:cstheme="majorHAnsi"/>
                <w:color w:val="000000"/>
                <w:sz w:val="18"/>
                <w:szCs w:val="18"/>
              </w:rPr>
              <w:t>pacjentów z</w:t>
            </w:r>
            <w:r w:rsidR="00EE5277"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NDRP z mutacją G12C w genie KRAS  po niepowodzeniu co najmniej jednej wcześniejszej linii leczenia systemowego.</w:t>
            </w:r>
          </w:p>
        </w:tc>
      </w:tr>
      <w:tr w:rsidR="00EE5277" w:rsidRPr="004D093B" w14:paraId="2F304C7B" w14:textId="77777777" w:rsidTr="0029426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3EF10" w14:textId="5DF373DC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sz w:val="18"/>
                <w:szCs w:val="18"/>
              </w:rPr>
              <w:t>3.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70B9C" w14:textId="34200626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Tecentriq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52E7F" w14:textId="4B98BEBD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atezolizumab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59B47" w14:textId="3DDA37D2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29DCD" w14:textId="779C40FD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CA559" w14:textId="701B6D29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r w:rsidR="005E3DB9">
              <w:rPr>
                <w:rFonts w:ascii="Lato" w:hAnsi="Lato" w:cstheme="majorHAnsi"/>
                <w:color w:val="000000"/>
                <w:sz w:val="18"/>
                <w:szCs w:val="18"/>
              </w:rPr>
              <w:t>adjuwantowe</w:t>
            </w:r>
            <w:r w:rsidR="005E3DB9"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po całkowitej resekcji i chemioterapii </w:t>
            </w:r>
            <w:r w:rsidRPr="005E3DB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opartej na związkach platyny </w:t>
            </w:r>
            <w:r w:rsidRPr="00094F94">
              <w:rPr>
                <w:rFonts w:ascii="Lato" w:hAnsi="Lato" w:cstheme="majorHAnsi"/>
                <w:color w:val="000000"/>
                <w:sz w:val="18"/>
                <w:szCs w:val="18"/>
              </w:rPr>
              <w:t>u dorosłych</w:t>
            </w:r>
            <w:r w:rsidRPr="005E3DB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094F94">
              <w:rPr>
                <w:rFonts w:ascii="Lato" w:hAnsi="Lato" w:cstheme="majorHAnsi"/>
                <w:color w:val="000000"/>
                <w:sz w:val="18"/>
                <w:szCs w:val="18"/>
              </w:rPr>
              <w:t>pacjentów</w:t>
            </w:r>
            <w:r w:rsidRPr="005E3DB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NDRP</w:t>
            </w: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 wysokim ryzyku wystąpienia nawrotu, u których w tkance nowotworowej ekspresja PD-L1 wynosi ≥50% na komórkach guza.</w:t>
            </w:r>
          </w:p>
        </w:tc>
      </w:tr>
      <w:tr w:rsidR="00EE5277" w:rsidRPr="004D093B" w14:paraId="41B567AC" w14:textId="77777777" w:rsidTr="0029426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0FECB" w14:textId="147CA70B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sz w:val="18"/>
                <w:szCs w:val="18"/>
              </w:rPr>
              <w:t>4.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BA0DD" w14:textId="43063CD4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Keytruda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72683" w14:textId="61585B91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pembrolizumab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D3C78" w14:textId="15BDBF9E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sz w:val="18"/>
                <w:szCs w:val="18"/>
              </w:rPr>
              <w:t>B.10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58902" w14:textId="2B6CC021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RAKIEM NERKI (ICD-10: C64)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5DB27" w14:textId="5F9EA12C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5E3DB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r w:rsidRPr="00094F94">
              <w:rPr>
                <w:rFonts w:ascii="Lato" w:hAnsi="Lato" w:cstheme="majorHAnsi"/>
                <w:color w:val="000000"/>
                <w:sz w:val="18"/>
                <w:szCs w:val="18"/>
              </w:rPr>
              <w:t>adjuwantowe po zabiegu nefrektomii</w:t>
            </w:r>
            <w:r w:rsidRPr="005E3DB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 dorosłych </w:t>
            </w:r>
            <w:r w:rsidRPr="00094F94">
              <w:rPr>
                <w:rFonts w:ascii="Lato" w:hAnsi="Lato" w:cstheme="majorHAnsi"/>
                <w:color w:val="000000"/>
                <w:sz w:val="18"/>
                <w:szCs w:val="18"/>
              </w:rPr>
              <w:t>pacjentów</w:t>
            </w:r>
            <w:r w:rsidRPr="005E3DB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rakiem nerki.</w:t>
            </w:r>
          </w:p>
        </w:tc>
      </w:tr>
      <w:tr w:rsidR="00EE5277" w:rsidRPr="004D093B" w14:paraId="4193F70D" w14:textId="77777777" w:rsidTr="0029426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0FFFD" w14:textId="45429850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97AD5" w14:textId="35360937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Tecartus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A02D7" w14:textId="750C64D5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breksukabtagen</w:t>
            </w:r>
            <w:proofErr w:type="spellEnd"/>
            <w:r w:rsidRPr="00946C5F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46C5F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autoleucel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BB432" w14:textId="7785481F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B.12.FM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C9D95" w14:textId="4F2CBA22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CHŁONIAKI B-KOMÓRKOWE (ICD-10: C82, C83, C85)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D6DB7" w14:textId="35C8C183" w:rsidR="005E3DB9" w:rsidRDefault="00280144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I</w:t>
            </w:r>
            <w:r w:rsidR="005E3DB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II lub kolejne linie leczenia terapią </w:t>
            </w:r>
            <w:r w:rsidR="000A6A4A"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CAR-T </w:t>
            </w:r>
            <w:r w:rsidR="000A6A4A">
              <w:rPr>
                <w:rFonts w:ascii="Lato" w:hAnsi="Lato" w:cstheme="majorHAnsi"/>
                <w:color w:val="000000"/>
                <w:sz w:val="18"/>
                <w:szCs w:val="18"/>
              </w:rPr>
              <w:t>(</w:t>
            </w:r>
            <w:proofErr w:type="spellStart"/>
            <w:r w:rsidR="000A6A4A"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breksukabtagen</w:t>
            </w:r>
            <w:proofErr w:type="spellEnd"/>
            <w:r w:rsidR="000A6A4A"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0A6A4A"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autoleucel</w:t>
            </w:r>
            <w:proofErr w:type="spellEnd"/>
            <w:r w:rsidR="000A6A4A">
              <w:rPr>
                <w:rFonts w:ascii="Lato" w:hAnsi="Lato" w:cstheme="majorHAnsi"/>
                <w:color w:val="000000"/>
                <w:sz w:val="18"/>
                <w:szCs w:val="18"/>
              </w:rPr>
              <w:t>)</w:t>
            </w:r>
            <w:r w:rsidR="000A6A4A"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="000A6A4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u </w:t>
            </w:r>
            <w:r w:rsidR="005E3DB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dorosłych pacjentów z opornym lub nawrotowym </w:t>
            </w:r>
            <w:proofErr w:type="spellStart"/>
            <w:r w:rsidR="005E3DB9">
              <w:rPr>
                <w:rFonts w:ascii="Lato" w:hAnsi="Lato" w:cstheme="majorHAnsi"/>
                <w:color w:val="000000"/>
                <w:sz w:val="18"/>
                <w:szCs w:val="18"/>
              </w:rPr>
              <w:t>chłoniakiem</w:t>
            </w:r>
            <w:proofErr w:type="spellEnd"/>
            <w:r w:rsidR="005E3DB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="005E3DB9"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z komórek płaszcza (MCL)</w:t>
            </w:r>
            <w:r w:rsidR="000A6A4A">
              <w:rPr>
                <w:rFonts w:ascii="Lato" w:hAnsi="Lato" w:cstheme="majorHAnsi"/>
                <w:color w:val="000000"/>
                <w:sz w:val="18"/>
                <w:szCs w:val="18"/>
              </w:rPr>
              <w:t>,</w:t>
            </w:r>
            <w:r w:rsidR="005E3DB9"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którzy uprzednio otrzymali co najmniej dwie linie leczenia systemowego, w tym inhibitor kinazy tyrozynowej </w:t>
            </w:r>
            <w:proofErr w:type="spellStart"/>
            <w:r w:rsidR="005E3DB9"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Brutona</w:t>
            </w:r>
            <w:proofErr w:type="spellEnd"/>
            <w:r w:rsidR="005E3DB9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7C75D696" w14:textId="77777777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  <w:p w14:paraId="5966388A" w14:textId="443AD172" w:rsidR="00EE5277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(TLI)</w:t>
            </w:r>
          </w:p>
        </w:tc>
      </w:tr>
      <w:tr w:rsidR="00EE5277" w:rsidRPr="004D093B" w14:paraId="34137848" w14:textId="77777777" w:rsidTr="0029426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B03C1" w14:textId="15976FCF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sz w:val="18"/>
                <w:szCs w:val="18"/>
              </w:rPr>
              <w:t>6.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BE305" w14:textId="6B04CC80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b/>
                <w:bCs/>
                <w:sz w:val="18"/>
                <w:szCs w:val="18"/>
              </w:rPr>
              <w:t>Opdivo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123D5" w14:textId="322647DB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i/>
                <w:iCs/>
                <w:sz w:val="18"/>
                <w:szCs w:val="18"/>
              </w:rPr>
              <w:t>niwolumab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8ADAB" w14:textId="019F720E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sz w:val="18"/>
                <w:szCs w:val="18"/>
              </w:rPr>
              <w:t>B.58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B6CBD" w14:textId="5CE7403A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PRZEŁYKU, POŁĄCZENIA ŻOŁĄDKOWO-PRZEŁYKOWEGO I ŻOŁĄDKA (ICD-10: C15-C16)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74C9F" w14:textId="2E97D34E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A6A4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 w:rsidRPr="00094F94">
              <w:rPr>
                <w:rFonts w:ascii="Lato" w:hAnsi="Lato" w:cstheme="majorHAnsi"/>
                <w:color w:val="000000"/>
                <w:sz w:val="18"/>
                <w:szCs w:val="18"/>
              </w:rPr>
              <w:t>adjuwantowe</w:t>
            </w:r>
            <w:proofErr w:type="spellEnd"/>
            <w:r w:rsidRPr="000A6A4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A6A4A">
              <w:rPr>
                <w:rFonts w:ascii="Lato" w:hAnsi="Lato" w:cstheme="majorHAnsi"/>
                <w:color w:val="000000"/>
                <w:sz w:val="18"/>
                <w:szCs w:val="18"/>
              </w:rPr>
              <w:t>niwolumabem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monoterapii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dorosłych pacjentów z rakiem przełyku (płaskonabłonkowym lub gruczołowym) lub połączenia żołądkowo-przełykowego, z chorobą resztkową, po wcześniejszej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chemioradioterapii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neoadjuwantowej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0A6A4A" w:rsidRPr="004D093B" w14:paraId="65CA776D" w14:textId="77777777" w:rsidTr="0029426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49EFB" w14:textId="7F546349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sz w:val="18"/>
                <w:szCs w:val="18"/>
              </w:rPr>
              <w:lastRenderedPageBreak/>
              <w:t>7.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3FF90" w14:textId="448569A2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b/>
                <w:bCs/>
                <w:sz w:val="18"/>
                <w:szCs w:val="18"/>
              </w:rPr>
              <w:t>Opdivo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0253C" w14:textId="1D69004F" w:rsidR="000A6A4A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i/>
                <w:iCs/>
                <w:sz w:val="18"/>
                <w:szCs w:val="18"/>
              </w:rPr>
              <w:t>niwolumab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1342F" w14:textId="603DA885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sz w:val="18"/>
                <w:szCs w:val="18"/>
              </w:rPr>
              <w:t>B.58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BAA31" w14:textId="3876DDA5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PRZEŁYKU, POŁĄCZENIA ŻOŁĄDKOWO-PRZEŁYKOWEGO I ŻOŁĄDKA (ICD-10: C15-C16)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CFFB5" w14:textId="4F065C7A" w:rsidR="000A6A4A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I linia leczenia </w:t>
            </w: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niwolumabem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chemioterapią skojarzoną opartą na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fluoropirymidynie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(5FU) i pochodnej platyny (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oksaliplatynie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lub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kapecytabinie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według schematu CAPOX lub FOLFOX) dorosłych pacjentów z HER2-ujemnym zaawansowanym lub przerzutowym gruczolakorakiem przełyku, połączenia żołądkowo-przełykowego lub żołądka z ekspresją PD-L1 wg skali CPS ≥ 5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0A6A4A" w:rsidRPr="004D093B" w14:paraId="79F6918C" w14:textId="77777777" w:rsidTr="00094F94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E9E07" w14:textId="1F81CA7F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sz w:val="18"/>
                <w:szCs w:val="18"/>
              </w:rPr>
              <w:t>8.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16304" w14:textId="0FE8A39A" w:rsidR="000A6A4A" w:rsidRPr="00946C5F" w:rsidRDefault="000A6A4A" w:rsidP="00EC27E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b/>
                <w:bCs/>
                <w:sz w:val="18"/>
                <w:szCs w:val="18"/>
              </w:rPr>
              <w:t>Opdivo</w:t>
            </w:r>
            <w:proofErr w:type="spellEnd"/>
            <w:r>
              <w:rPr>
                <w:rFonts w:ascii="Lato" w:hAnsi="Lato" w:cstheme="majorHAnsi"/>
                <w:b/>
                <w:bCs/>
                <w:sz w:val="18"/>
                <w:szCs w:val="18"/>
              </w:rPr>
              <w:t xml:space="preserve"> </w:t>
            </w:r>
            <w:r w:rsidRPr="00946C5F">
              <w:rPr>
                <w:rFonts w:ascii="Lato" w:hAnsi="Lato" w:cstheme="majorHAnsi"/>
                <w:b/>
                <w:bCs/>
                <w:sz w:val="18"/>
                <w:szCs w:val="18"/>
              </w:rPr>
              <w:t>+</w:t>
            </w:r>
            <w:r w:rsidR="00EC27E5">
              <w:rPr>
                <w:rFonts w:ascii="Lato" w:hAnsi="Lato" w:cstheme="maj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46C5F">
              <w:rPr>
                <w:rFonts w:ascii="Lato" w:hAnsi="Lato" w:cstheme="majorHAnsi"/>
                <w:b/>
                <w:bCs/>
                <w:sz w:val="18"/>
                <w:szCs w:val="18"/>
              </w:rPr>
              <w:t>Yervoy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03638" w14:textId="7B9550CB" w:rsidR="000A6A4A" w:rsidRPr="00946C5F" w:rsidRDefault="000A6A4A" w:rsidP="00EC27E5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niwolumab</w:t>
            </w:r>
            <w:proofErr w:type="spellEnd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</w:t>
            </w:r>
            <w:r w:rsidRPr="00946C5F">
              <w:rPr>
                <w:rFonts w:ascii="Lato" w:hAnsi="Lato" w:cstheme="majorHAnsi"/>
                <w:i/>
                <w:iCs/>
                <w:sz w:val="18"/>
                <w:szCs w:val="18"/>
              </w:rPr>
              <w:t>+</w:t>
            </w:r>
            <w:r w:rsidR="00EC27E5"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46C5F">
              <w:rPr>
                <w:rFonts w:ascii="Lato" w:hAnsi="Lato" w:cstheme="majorHAnsi"/>
                <w:i/>
                <w:iCs/>
                <w:sz w:val="18"/>
                <w:szCs w:val="18"/>
              </w:rPr>
              <w:t>ipilimumab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CCACC" w14:textId="2FC4388A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sz w:val="18"/>
                <w:szCs w:val="18"/>
              </w:rPr>
              <w:t>B.58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CE6BF" w14:textId="15B9DB8E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PRZEŁYKU, POŁĄCZENIA ŻOŁĄDKOWO-PRZEŁYKOWEGO I ŻOŁĄDKA (ICD-10: C15-C16)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D2A24" w14:textId="514239EF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I linia leczenia</w:t>
            </w: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niwolumabem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chemioterapią zawierającą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fluoropirymidynę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pochodną platyny albo z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ipilimumabem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dorosłych pacjentów z zaawansowanym nieoperacyjnym, nawrotowym lub przerzutowym płaskonabłonkowym rakiem przełyku z ekspresją PD-L1 ≥ 1%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0A6A4A" w:rsidRPr="004D093B" w14:paraId="2EAEEA58" w14:textId="77777777" w:rsidTr="0029426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A4B85" w14:textId="2062AE19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sz w:val="18"/>
                <w:szCs w:val="18"/>
              </w:rPr>
              <w:t>9.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FEC7B" w14:textId="0F33693E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b/>
                <w:bCs/>
                <w:sz w:val="18"/>
                <w:szCs w:val="18"/>
              </w:rPr>
              <w:t>Lonsurf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0093F" w14:textId="42592BD7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i/>
                <w:iCs/>
                <w:sz w:val="18"/>
                <w:szCs w:val="18"/>
              </w:rPr>
              <w:t>triflurydyna</w:t>
            </w:r>
            <w:proofErr w:type="spellEnd"/>
            <w:r w:rsidRPr="00946C5F"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+ </w:t>
            </w:r>
            <w:proofErr w:type="spellStart"/>
            <w:r w:rsidRPr="00946C5F">
              <w:rPr>
                <w:rFonts w:ascii="Lato" w:hAnsi="Lato" w:cstheme="majorHAnsi"/>
                <w:i/>
                <w:iCs/>
                <w:sz w:val="18"/>
                <w:szCs w:val="18"/>
              </w:rPr>
              <w:t>typiracyl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F7235" w14:textId="71F3B969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sz w:val="18"/>
                <w:szCs w:val="18"/>
              </w:rPr>
              <w:t>B.58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D1733" w14:textId="2E1CD6F9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PRZEŁYKU, POŁĄCZENIA ŻOŁĄDKOWO-PRZEŁYKOWEGO I ŻOŁĄDKA (ICD-10: C15-C16)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FBEFD" w14:textId="74B570D2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III linia leczenia </w:t>
            </w: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triflurydyną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typiracylem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pacjentów z gruczolakorakiem żołądka lub połączenia żołądkowo-przełykowego w stadium uogólnionym, u których udokumentowano  nieskuteczność dwóch wcześniejszych standardowych schematów leczenia choroby zaawansowanej, w tym obejmujących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fluoropirymidynę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platynę i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taksany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lub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irynotekan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0A6A4A" w:rsidRPr="004D093B" w14:paraId="010C7C76" w14:textId="77777777" w:rsidTr="000F5E0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1E46E" w14:textId="1D38E447" w:rsidR="000A6A4A" w:rsidRPr="000F5E0B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F5E0B">
              <w:rPr>
                <w:rFonts w:ascii="Lato" w:hAnsi="Lato" w:cstheme="majorHAnsi"/>
                <w:sz w:val="18"/>
                <w:szCs w:val="18"/>
              </w:rPr>
              <w:t>10.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50A40" w14:textId="1655071D" w:rsidR="000A6A4A" w:rsidRPr="000F5E0B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0F5E0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Retsevmo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74598" w14:textId="7812B11B" w:rsidR="000A6A4A" w:rsidRPr="000F5E0B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0F5E0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selpercetynib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593EF" w14:textId="00D455AE" w:rsidR="000A6A4A" w:rsidRPr="000F5E0B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F5E0B">
              <w:rPr>
                <w:rFonts w:ascii="Lato" w:hAnsi="Lato" w:cstheme="majorHAnsi"/>
                <w:color w:val="000000"/>
                <w:sz w:val="18"/>
                <w:szCs w:val="18"/>
              </w:rPr>
              <w:t>B.108.FM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92F1B" w14:textId="6CE798B3" w:rsidR="000A6A4A" w:rsidRPr="000F5E0B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F5E0B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RAKIEM RDZENIASTYM TARCZYCY (ICD-10: C73)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9F67B" w14:textId="5D990DDF" w:rsidR="000A6A4A" w:rsidRPr="000F5E0B" w:rsidRDefault="000A6A4A" w:rsidP="006006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5E0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II linia leczenia pacjentów z zaawansowanym rakiem </w:t>
            </w:r>
            <w:proofErr w:type="spellStart"/>
            <w:r w:rsidR="006006C8">
              <w:rPr>
                <w:rFonts w:ascii="Lato" w:hAnsi="Lato" w:cstheme="majorHAnsi"/>
                <w:color w:val="000000"/>
                <w:sz w:val="18"/>
                <w:szCs w:val="18"/>
              </w:rPr>
              <w:t>rdzeniastym</w:t>
            </w:r>
            <w:proofErr w:type="spellEnd"/>
            <w:r w:rsidR="006006C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0F5E0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tarczycy z obecnością fuzji genu RET, którzy wymagają terapii systemowej po wcześniejszym leczeniu </w:t>
            </w:r>
            <w:proofErr w:type="spellStart"/>
            <w:r w:rsidR="006006C8">
              <w:rPr>
                <w:rFonts w:ascii="Lato" w:hAnsi="Lato" w:cstheme="majorHAnsi"/>
                <w:color w:val="000000"/>
                <w:sz w:val="18"/>
                <w:szCs w:val="18"/>
              </w:rPr>
              <w:t>wandetanibem</w:t>
            </w:r>
            <w:proofErr w:type="spellEnd"/>
            <w:r w:rsidR="006006C8" w:rsidRPr="000F5E0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lub </w:t>
            </w:r>
            <w:proofErr w:type="spellStart"/>
            <w:r w:rsidR="006006C8">
              <w:rPr>
                <w:rFonts w:ascii="Lato" w:hAnsi="Lato" w:cstheme="majorHAnsi"/>
                <w:color w:val="000000"/>
                <w:sz w:val="18"/>
                <w:szCs w:val="18"/>
              </w:rPr>
              <w:t>kabozantynibem</w:t>
            </w:r>
            <w:proofErr w:type="spellEnd"/>
            <w:r w:rsidRPr="000F5E0B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19ED9F03" w14:textId="622AE351" w:rsidR="000A6A4A" w:rsidRPr="000F5E0B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F5E0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  <w:p w14:paraId="0201259C" w14:textId="00215605" w:rsidR="000A6A4A" w:rsidRPr="000F5E0B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0F5E0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(TLI)</w:t>
            </w:r>
          </w:p>
        </w:tc>
      </w:tr>
      <w:tr w:rsidR="000A6A4A" w:rsidRPr="004D093B" w14:paraId="0CE4DE4F" w14:textId="77777777" w:rsidTr="0029426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1CB61" w14:textId="39EA1E8F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sz w:val="18"/>
                <w:szCs w:val="18"/>
              </w:rPr>
              <w:t>11.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3FF15" w14:textId="55E10591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Jemperli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DC755" w14:textId="349F76C0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dostarlimab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4E7B7" w14:textId="649B6CE1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B.148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A173F" w14:textId="39ACD85E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ENDOMETRIUM (ICD-10 C54)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A9577" w14:textId="5C0F5DBC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II linia leczenia </w:t>
            </w: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pacjentek z nawrotowym lub zaawansowanym rakiem endometrium z upośledzeniem naprawy nieprawidłowo sparowanych nukleotydów (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dMMR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) lub wysoką niestabilnością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mikrosatelitarną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(MSI-H).</w:t>
            </w:r>
          </w:p>
        </w:tc>
      </w:tr>
      <w:tr w:rsidR="000A6A4A" w:rsidRPr="004D093B" w14:paraId="31F8CB73" w14:textId="77777777" w:rsidTr="0029426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2B759" w14:textId="67FA912A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sz w:val="18"/>
                <w:szCs w:val="18"/>
              </w:rPr>
              <w:lastRenderedPageBreak/>
              <w:t>12.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0A69A" w14:textId="129FDE3D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Jakavi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4308C" w14:textId="1A1D85CE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ruksolitynib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73318" w14:textId="79A2F9C9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B.149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FD718" w14:textId="7C559EEF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CHOROBĄ PRZESZCZEP PRZECIWKO GOSPODARZOWI (ICD-10: T86.0)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F2E08" w14:textId="73E2A4FD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ruksolitynibem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pacjentów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od 12 roku życia</w:t>
            </w: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ostrą lub przewlekłą chorobą przeszczep przeciwko gospodarzowi (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GvHD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) po przeszczepieniu allogenicznych krwiotwórczych komórek macierzystych i z niewystarczającą odpowiedzią na leczenie kortykosteroidami.</w:t>
            </w:r>
          </w:p>
          <w:p w14:paraId="1EAB701D" w14:textId="7055E8CE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0A6A4A" w:rsidRPr="004D093B" w14:paraId="33CFF744" w14:textId="77777777" w:rsidTr="0029426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9ACD0" w14:textId="6867CC86" w:rsidR="000A6A4A" w:rsidRPr="00846834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846834">
              <w:rPr>
                <w:rFonts w:ascii="Lato" w:hAnsi="Lato" w:cstheme="majorHAnsi"/>
                <w:sz w:val="18"/>
                <w:szCs w:val="18"/>
              </w:rPr>
              <w:t>13.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774AB" w14:textId="4B75F2A3" w:rsidR="000A6A4A" w:rsidRPr="00846834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84683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Różne nazwy handlowe 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37413" w14:textId="07FDF17B" w:rsidR="000A6A4A" w:rsidRPr="00846834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46834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karboplatyna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8E055" w14:textId="7E7F0713" w:rsidR="000A6A4A" w:rsidRPr="00846834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846834">
              <w:rPr>
                <w:rFonts w:ascii="Lato" w:hAnsi="Lato" w:cstheme="majorHAnsi"/>
                <w:color w:val="000000"/>
                <w:sz w:val="18"/>
                <w:szCs w:val="18"/>
              </w:rPr>
              <w:t>C.6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2F824" w14:textId="077782CE" w:rsidR="000A6A4A" w:rsidRPr="00846834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846834">
              <w:rPr>
                <w:rFonts w:ascii="Lato" w:hAnsi="Lato" w:cstheme="majorHAnsi"/>
                <w:color w:val="000000"/>
                <w:sz w:val="18"/>
                <w:szCs w:val="18"/>
              </w:rPr>
              <w:t>CARBOPLATIN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58AA3" w14:textId="434DABF5" w:rsidR="000A6A4A" w:rsidRPr="00846834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84683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Objęcie finasowaniem </w:t>
            </w:r>
            <w:proofErr w:type="spellStart"/>
            <w:r w:rsidRPr="00846834">
              <w:rPr>
                <w:rFonts w:ascii="Lato" w:hAnsi="Lato" w:cstheme="majorHAnsi"/>
                <w:color w:val="000000"/>
                <w:sz w:val="18"/>
                <w:szCs w:val="18"/>
              </w:rPr>
              <w:t>karboplatyny</w:t>
            </w:r>
            <w:proofErr w:type="spellEnd"/>
            <w:r w:rsidRPr="0084683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nowotworach przełyku – wszystkie lokalizacje (ICD-10 C.15.) wraz z usunięciem dotychczasowego zawężenia wskazania.</w:t>
            </w:r>
          </w:p>
          <w:p w14:paraId="11F66010" w14:textId="5BD68835" w:rsidR="000A6A4A" w:rsidRPr="00846834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84683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</w:t>
            </w:r>
            <w:proofErr w:type="spellStart"/>
            <w:r w:rsidRPr="0084683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label</w:t>
            </w:r>
            <w:proofErr w:type="spellEnd"/>
            <w:r w:rsidRPr="0084683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0A6A4A" w:rsidRPr="004D093B" w14:paraId="756ABD69" w14:textId="77777777" w:rsidTr="0029426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4CB67" w14:textId="74E92DA7" w:rsidR="000A6A4A" w:rsidRPr="00846834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846834">
              <w:rPr>
                <w:rFonts w:ascii="Lato" w:hAnsi="Lato" w:cstheme="majorHAnsi"/>
                <w:sz w:val="18"/>
                <w:szCs w:val="18"/>
              </w:rPr>
              <w:t>14.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C11A0" w14:textId="0964B3D9" w:rsidR="000A6A4A" w:rsidRPr="00846834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84683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nazwy handlowe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CED7C" w14:textId="33004804" w:rsidR="000A6A4A" w:rsidRPr="00846834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846834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paklitaksel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F7707" w14:textId="0CF50F3E" w:rsidR="000A6A4A" w:rsidRPr="00846834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846834">
              <w:rPr>
                <w:rFonts w:ascii="Lato" w:hAnsi="Lato" w:cstheme="majorHAnsi"/>
                <w:color w:val="000000"/>
                <w:sz w:val="18"/>
                <w:szCs w:val="18"/>
              </w:rPr>
              <w:t>C.47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61E3D" w14:textId="67153465" w:rsidR="000A6A4A" w:rsidRPr="00846834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846834">
              <w:rPr>
                <w:rFonts w:ascii="Lato" w:hAnsi="Lato" w:cstheme="majorHAnsi"/>
                <w:color w:val="000000"/>
                <w:sz w:val="18"/>
                <w:szCs w:val="18"/>
              </w:rPr>
              <w:t>PACLITAXEL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D3F0C" w14:textId="1C52C000" w:rsidR="000A6A4A" w:rsidRPr="00846834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84683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Objęcie finasowaniem </w:t>
            </w:r>
            <w:proofErr w:type="spellStart"/>
            <w:r w:rsidRPr="00846834">
              <w:rPr>
                <w:rFonts w:ascii="Lato" w:hAnsi="Lato" w:cstheme="majorHAnsi"/>
                <w:color w:val="000000"/>
                <w:sz w:val="18"/>
                <w:szCs w:val="18"/>
              </w:rPr>
              <w:t>paklitakselu</w:t>
            </w:r>
            <w:proofErr w:type="spellEnd"/>
            <w:r w:rsidRPr="0084683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nowotworach przełyku- wszystkie lokalizacje  (ICD-10 C.15.) wraz z usunięciem dotychczasowego zawężenia wskazania oraz dodanie możliwości finasowania podania </w:t>
            </w:r>
            <w:proofErr w:type="spellStart"/>
            <w:r w:rsidRPr="00846834">
              <w:rPr>
                <w:rFonts w:ascii="Lato" w:hAnsi="Lato" w:cstheme="majorHAnsi"/>
                <w:color w:val="000000"/>
                <w:sz w:val="18"/>
                <w:szCs w:val="18"/>
              </w:rPr>
              <w:t>paklitakselu</w:t>
            </w:r>
            <w:proofErr w:type="spellEnd"/>
            <w:r w:rsidRPr="0084683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terapii </w:t>
            </w:r>
            <w:r w:rsidR="00A26660" w:rsidRPr="00846834">
              <w:rPr>
                <w:rFonts w:ascii="Lato" w:hAnsi="Lato" w:cstheme="majorHAnsi"/>
                <w:color w:val="000000"/>
                <w:sz w:val="18"/>
                <w:szCs w:val="18"/>
              </w:rPr>
              <w:t>nowotwor</w:t>
            </w:r>
            <w:r w:rsidR="00A26660">
              <w:rPr>
                <w:rFonts w:ascii="Lato" w:hAnsi="Lato" w:cstheme="majorHAnsi"/>
                <w:color w:val="000000"/>
                <w:sz w:val="18"/>
                <w:szCs w:val="18"/>
              </w:rPr>
              <w:t>ów</w:t>
            </w:r>
            <w:r w:rsidRPr="0084683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złośliwy</w:t>
            </w:r>
            <w:r w:rsidR="00A26660">
              <w:rPr>
                <w:rFonts w:ascii="Lato" w:hAnsi="Lato" w:cstheme="majorHAnsi"/>
                <w:color w:val="000000"/>
                <w:sz w:val="18"/>
                <w:szCs w:val="18"/>
              </w:rPr>
              <w:t>ch</w:t>
            </w:r>
            <w:r w:rsidRPr="0084683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odbytu i kanału odbytu (ICD-10 C21).</w:t>
            </w:r>
          </w:p>
          <w:p w14:paraId="0C92C3B5" w14:textId="1D087CEA" w:rsidR="000A6A4A" w:rsidRPr="00846834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84683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</w:t>
            </w:r>
            <w:proofErr w:type="spellStart"/>
            <w:r w:rsidRPr="0084683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label</w:t>
            </w:r>
            <w:proofErr w:type="spellEnd"/>
            <w:r w:rsidRPr="0084683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</w:tbl>
    <w:p w14:paraId="7FCF9A29" w14:textId="47BB4985" w:rsidR="004D093B" w:rsidRDefault="004D093B">
      <w:pPr>
        <w:suppressAutoHyphens w:val="0"/>
      </w:pPr>
    </w:p>
    <w:p w14:paraId="6001BBB2" w14:textId="77777777" w:rsidR="004762AF" w:rsidRDefault="004762AF">
      <w:pPr>
        <w:suppressAutoHyphens w:val="0"/>
      </w:pP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07"/>
        <w:gridCol w:w="1586"/>
        <w:gridCol w:w="1807"/>
        <w:gridCol w:w="1872"/>
        <w:gridCol w:w="3335"/>
        <w:gridCol w:w="4781"/>
      </w:tblGrid>
      <w:tr w:rsidR="002D6ED9" w:rsidRPr="004D093B" w14:paraId="4C9C4901" w14:textId="77777777" w:rsidTr="00EE5277">
        <w:trPr>
          <w:cantSplit/>
          <w:trHeight w:val="183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390A7" w14:textId="5C4E25DC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Nowe wskazania nieonkologiczne</w:t>
            </w:r>
          </w:p>
        </w:tc>
      </w:tr>
      <w:tr w:rsidR="002D6ED9" w:rsidRPr="004D093B" w14:paraId="1394CD71" w14:textId="77777777" w:rsidTr="00EE5277">
        <w:trPr>
          <w:cantSplit/>
          <w:trHeight w:val="628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979BE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02159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C3D6F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D8698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142B2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87975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280144" w:rsidRPr="004D093B" w14:paraId="4F7A55A3" w14:textId="77777777" w:rsidTr="00EE5277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91E6D" w14:textId="1BCF0105" w:rsidR="00280144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0FA29" w14:textId="6F66E75E" w:rsidR="00280144" w:rsidRPr="00EF3A08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F3A08">
              <w:rPr>
                <w:rFonts w:ascii="Lato" w:hAnsi="Lato" w:cstheme="majorHAnsi"/>
                <w:b/>
                <w:bCs/>
                <w:sz w:val="18"/>
                <w:szCs w:val="18"/>
              </w:rPr>
              <w:t>Evrenzo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9EA6E" w14:textId="59C6F716" w:rsidR="00280144" w:rsidRPr="006636D7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F3A08">
              <w:rPr>
                <w:rFonts w:ascii="Lato" w:hAnsi="Lato" w:cstheme="majorHAnsi"/>
                <w:i/>
                <w:iCs/>
                <w:sz w:val="18"/>
                <w:szCs w:val="18"/>
              </w:rPr>
              <w:t>roksadustat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3819C" w14:textId="4101DD3C" w:rsidR="00280144" w:rsidRPr="00EF3A08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B.37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12341" w14:textId="77777777" w:rsidR="00280144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NIEDOKRWISTOŚCI U CHORYCH Z PRZEWLEKŁĄ NIEWYDOLNOŚCIĄ NEREK </w:t>
            </w:r>
          </w:p>
          <w:p w14:paraId="0D201D0F" w14:textId="7E027A5B" w:rsidR="00280144" w:rsidRPr="001E4A45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(ICD-10: N18)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784B2" w14:textId="401CFE1A" w:rsidR="00280144" w:rsidRPr="00EF3A08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Leczenie niedokrwistości u pacjentów z przewlekłą niewydolnością nerek, niedializowanych, powyżej 18 r.ż.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za pomocą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roksadustatu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(terapia doustna).</w:t>
            </w:r>
          </w:p>
        </w:tc>
      </w:tr>
      <w:tr w:rsidR="00280144" w:rsidRPr="004D093B" w14:paraId="2A8618B9" w14:textId="77777777" w:rsidTr="00EE5277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D9E44" w14:textId="334D0DD4" w:rsidR="00280144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D8D8B" w14:textId="2E184473" w:rsidR="00280144" w:rsidRPr="00EF3A08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F3A08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Ultomiris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BC445" w14:textId="7406BFB9" w:rsidR="00280144" w:rsidRPr="006636D7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F3A08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rawulizumab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55C71" w14:textId="41F61524" w:rsidR="00280144" w:rsidRPr="00EF3A08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B.95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81892" w14:textId="1895E683" w:rsidR="00280144" w:rsidRPr="001E4A45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ATYPOWYM ZESPOŁEM HEMOLITYCZNO-MOCZNICOWYM (</w:t>
            </w:r>
            <w:proofErr w:type="spellStart"/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aHUS</w:t>
            </w:r>
            <w:proofErr w:type="spellEnd"/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) (ICD-10 D 59.3)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900A9" w14:textId="77777777" w:rsidR="00280144" w:rsidRPr="00EF3A08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pacjentów z atypowym zespołem hemolityczno-mocznicowym za pomocą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rawulizumabu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(kolejnego leku z grupy inhibitorów białka C5 dopełniacza).</w:t>
            </w:r>
          </w:p>
          <w:p w14:paraId="6DF35162" w14:textId="595B41C3" w:rsidR="00280144" w:rsidRPr="00EF3A08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3A08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280144" w:rsidRPr="004D093B" w14:paraId="3E172AD8" w14:textId="77777777" w:rsidTr="00EE5277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7E7A2" w14:textId="1CF6C509" w:rsidR="00280144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3.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DF669" w14:textId="41F1B306" w:rsidR="00280144" w:rsidRPr="00EF3A08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F3A08">
              <w:rPr>
                <w:rFonts w:ascii="Lato" w:hAnsi="Lato" w:cstheme="majorHAnsi"/>
                <w:b/>
                <w:bCs/>
                <w:sz w:val="18"/>
                <w:szCs w:val="18"/>
              </w:rPr>
              <w:t>Ultomiris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2FBB3" w14:textId="706DD554" w:rsidR="00280144" w:rsidRPr="006636D7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F3A08">
              <w:rPr>
                <w:rFonts w:ascii="Lato" w:hAnsi="Lato" w:cstheme="majorHAnsi"/>
                <w:i/>
                <w:iCs/>
                <w:sz w:val="18"/>
                <w:szCs w:val="18"/>
              </w:rPr>
              <w:t>rawulizumab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EEF0C" w14:textId="409DE3CA" w:rsidR="00280144" w:rsidRPr="00EF3A08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B.96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58437" w14:textId="043881FF" w:rsidR="00280144" w:rsidRPr="001E4A45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NOCNĄ NAPADOWĄ HEMOGLOBINURIĄ (PNH) (ICD-10 D59.5)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FBD4D" w14:textId="77777777" w:rsidR="00280144" w:rsidRPr="00E34E3C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34E3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pacjentów </w:t>
            </w:r>
            <w:r w:rsidRPr="00E34E3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nocną napadową hemoglobinurią</w:t>
            </w:r>
            <w:r w:rsidRPr="00E34E3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za pomocą </w:t>
            </w:r>
            <w:proofErr w:type="spellStart"/>
            <w:r w:rsidRPr="00E34E3C">
              <w:rPr>
                <w:rFonts w:ascii="Lato" w:hAnsi="Lato" w:cstheme="majorHAnsi"/>
                <w:color w:val="000000"/>
                <w:sz w:val="18"/>
                <w:szCs w:val="18"/>
              </w:rPr>
              <w:t>rawulizumabu</w:t>
            </w:r>
            <w:proofErr w:type="spellEnd"/>
            <w:r w:rsidRPr="00E34E3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(kolejnego leku z grupy inhibitorów białka C5 dopełniacza)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45ADF830" w14:textId="506DE626" w:rsidR="00280144" w:rsidRPr="00EF3A08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34E3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280144" w:rsidRPr="004D093B" w14:paraId="09131A5B" w14:textId="77777777" w:rsidTr="00EE5277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64EFC" w14:textId="23231BF8" w:rsidR="00280144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0F70E" w14:textId="14F4BC9B" w:rsidR="00280144" w:rsidRPr="00EF3A08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F3A08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Aspaveli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2C84C" w14:textId="0BF4530A" w:rsidR="00280144" w:rsidRPr="006636D7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F3A08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pegcetakoplan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B0153" w14:textId="37225A1C" w:rsidR="00280144" w:rsidRPr="00EF3A08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B.96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E8E56" w14:textId="3BE7B5D8" w:rsidR="00280144" w:rsidRPr="001E4A45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NOCNĄ NAPADOWĄ HEMOGLOBINURIĄ (PNH) (ICD-10 D59.5)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7F8DC" w14:textId="77777777" w:rsidR="00280144" w:rsidRPr="00EF3A08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II linia leczenia pacjentów</w:t>
            </w:r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nocną napadową hemoglobinurią</w:t>
            </w:r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, u których wystąpiła niedokrwistość po leczeniu inhibitorem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białka C5 dopełniacza.</w:t>
            </w:r>
          </w:p>
          <w:p w14:paraId="59A77A7E" w14:textId="5552DE25" w:rsidR="00280144" w:rsidRPr="00EF3A08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3A08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280144" w:rsidRPr="004D093B" w14:paraId="78BDE690" w14:textId="77777777" w:rsidTr="00EE5277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1DFA2" w14:textId="17C74031" w:rsidR="00280144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D2A0F" w14:textId="51F661E7" w:rsidR="00280144" w:rsidRPr="00EF3A08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F3A08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Lojuxta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363FA" w14:textId="7416CD68" w:rsidR="00280144" w:rsidRPr="006636D7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F3A08">
              <w:rPr>
                <w:rFonts w:ascii="Lato" w:hAnsi="Lato" w:cs="Helvetica"/>
                <w:i/>
                <w:iCs/>
                <w:color w:val="333333"/>
                <w:sz w:val="18"/>
                <w:szCs w:val="18"/>
                <w:shd w:val="clear" w:color="auto" w:fill="FFFFFF"/>
              </w:rPr>
              <w:t>lomitapid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F688D" w14:textId="29D2FD9A" w:rsidR="00280144" w:rsidRPr="00EF3A08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B.101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AD772" w14:textId="1E57C94D" w:rsidR="00280144" w:rsidRPr="001E4A45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ZABURZENIAMI LIPIDOWYMI (ICD-10: E78.01, I21, I22, I25)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245F9" w14:textId="77777777" w:rsidR="00280144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Leczenie dorosłych pacjentów z homozygotyczną hipercholesterolemią rodzinną (</w:t>
            </w:r>
            <w:proofErr w:type="spellStart"/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HoFH</w:t>
            </w:r>
            <w:proofErr w:type="spellEnd"/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).</w:t>
            </w:r>
          </w:p>
          <w:p w14:paraId="4767EB62" w14:textId="25D3215F" w:rsidR="00280144" w:rsidRPr="00EF3A08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3A08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280144" w:rsidRPr="004D093B" w14:paraId="1AF8AB98" w14:textId="77777777" w:rsidTr="00EE5277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7C320" w14:textId="6A531E4F" w:rsidR="00280144" w:rsidRPr="00EF3A08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55C18" w14:textId="12997AC5" w:rsidR="00280144" w:rsidRPr="00EF3A08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F3A08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Ozurdex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AEAC5" w14:textId="60696BD8" w:rsidR="00280144" w:rsidRPr="00EF3A08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6636D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deksametazon</w:t>
            </w:r>
            <w:proofErr w:type="spellEnd"/>
            <w:r w:rsidRPr="006636D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w postaci implantu </w:t>
            </w:r>
            <w:proofErr w:type="spellStart"/>
            <w:r w:rsidRPr="006636D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doszklistkowego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D708A" w14:textId="2EAA2872" w:rsidR="00280144" w:rsidRPr="00EF3A08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B.105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34A55" w14:textId="3715B3AA" w:rsidR="00280144" w:rsidRPr="00EF3A08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E4A45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CHORYCH NA ZAPALENIE BŁONY NACZYNIOWEJ OKA (ZBN) (ICD-10: H20.0, H30.0).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75D71" w14:textId="7CCF011E" w:rsidR="00280144" w:rsidRPr="00EF3A08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Leczenie klinicznie znamiennego obrzęku plamki w przebiegu zapalenia błony naczyniowej oka.</w:t>
            </w:r>
          </w:p>
        </w:tc>
      </w:tr>
      <w:tr w:rsidR="00280144" w:rsidRPr="004D093B" w14:paraId="54B6BE65" w14:textId="77777777" w:rsidTr="00EE5277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4A27F" w14:textId="4285457F" w:rsidR="00280144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AAC2A" w14:textId="0DC7E724" w:rsidR="00280144" w:rsidRPr="00EF3A08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F3A08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Saphnelo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BB2C7" w14:textId="48FB06ED" w:rsidR="00280144" w:rsidRPr="006636D7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F3A08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anifrolumab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66F4F" w14:textId="4535BAC1" w:rsidR="00280144" w:rsidRPr="00EF3A08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B.150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8FC91" w14:textId="43DCCA72" w:rsidR="00280144" w:rsidRPr="001E4A45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TOCZNIEM RUMIENIOWATYM UKŁADOWYM (TRU, SLE) (ICD-10: M32)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E42D4" w14:textId="084F5680" w:rsidR="00280144" w:rsidRPr="00EF3A08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Leczenie uzupełniające u dorosłych pacjentów z aktywnym, seropozytywnym toczniem rumieniowatym układowym.</w:t>
            </w:r>
          </w:p>
        </w:tc>
      </w:tr>
    </w:tbl>
    <w:p w14:paraId="17160E61" w14:textId="45061D3C" w:rsidR="004D093B" w:rsidRDefault="004D093B">
      <w:pPr>
        <w:rPr>
          <w:rFonts w:ascii="Lato" w:hAnsi="Lato"/>
        </w:rPr>
      </w:pPr>
    </w:p>
    <w:p w14:paraId="169C5300" w14:textId="77777777" w:rsidR="004D093B" w:rsidRDefault="004D093B">
      <w:pPr>
        <w:suppressAutoHyphens w:val="0"/>
        <w:rPr>
          <w:rFonts w:ascii="Lato" w:hAnsi="Lato"/>
        </w:rPr>
      </w:pPr>
      <w:r>
        <w:rPr>
          <w:rFonts w:ascii="Lato" w:hAnsi="Lato"/>
        </w:rPr>
        <w:br w:type="page"/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40"/>
        <w:gridCol w:w="1645"/>
        <w:gridCol w:w="2504"/>
        <w:gridCol w:w="9199"/>
      </w:tblGrid>
      <w:tr w:rsidR="00A434EB" w:rsidRPr="004D093B" w14:paraId="0B833808" w14:textId="77777777" w:rsidTr="004D093B">
        <w:trPr>
          <w:cantSplit/>
          <w:trHeight w:val="2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B9EA6" w14:textId="428F8CF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lastRenderedPageBreak/>
              <w:t>Zmiany w programach lekowych i chemioterapii</w:t>
            </w:r>
          </w:p>
        </w:tc>
      </w:tr>
      <w:tr w:rsidR="00A434EB" w:rsidRPr="004D093B" w14:paraId="2BCC5E80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385C7" w14:textId="7777777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00381" w14:textId="7E0E990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 lub numeru załącznika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32808" w14:textId="70920D05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 lub załącznika chemioterapii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38F47" w14:textId="14B18ED3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Krótki opis zmian dokonanych w obrębie programu lekowego / załącznika chemioterapii</w:t>
            </w:r>
          </w:p>
        </w:tc>
      </w:tr>
      <w:tr w:rsidR="005551D5" w:rsidRPr="004D093B" w14:paraId="50DA02B0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E7C88" w14:textId="1E68AEB9" w:rsidR="005551D5" w:rsidRPr="004D093B" w:rsidRDefault="005551D5" w:rsidP="005551D5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C2DB2" w14:textId="72D98A20" w:rsidR="005551D5" w:rsidRPr="005551D5" w:rsidRDefault="005551D5" w:rsidP="005551D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5551D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B.6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1D9A8" w14:textId="1E94D939" w:rsidR="005551D5" w:rsidRPr="004D093B" w:rsidRDefault="005551D5" w:rsidP="005551D5">
            <w:pPr>
              <w:spacing w:before="60" w:after="60" w:line="240" w:lineRule="auto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826C9D">
              <w:rPr>
                <w:rFonts w:ascii="Lato" w:hAnsi="Lato" w:cstheme="majorHAnsi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7F39F" w14:textId="735998D1" w:rsidR="005551D5" w:rsidRPr="004D093B" w:rsidRDefault="005551D5" w:rsidP="005551D5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 xml:space="preserve">Dodano zapisy dotyczące monitorowania wskaźników skuteczności leczenia wykorzystywanego w programie oraz podkreślono brak możliwości uprzedniego leczenia immunoterapią lub 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immunochemioterapią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 xml:space="preserve"> pacjentów kwalifikowanych do leczenia immunoterapią w I linii leczenia NDRP</w:t>
            </w:r>
            <w:r w:rsidR="00946C5F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</w:tr>
      <w:tr w:rsidR="00280144" w:rsidRPr="004D093B" w14:paraId="7FD5BB4B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DD5B7" w14:textId="6FE13C38" w:rsidR="00280144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2.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C8214" w14:textId="2ED01905" w:rsidR="00280144" w:rsidRPr="005551D5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5551D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B.37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726BD" w14:textId="005CA538" w:rsidR="00280144" w:rsidRDefault="00280144" w:rsidP="00280144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NIEDOKRWISTOŚCI U CHORYCH Z PRZEWLEKŁĄ NIEWYDOLNOŚĆ NEREK (ICD-10: N18)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B04FF" w14:textId="77777777" w:rsidR="00280144" w:rsidRDefault="00280144" w:rsidP="00280144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Wprowadzenie do programu leku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Evrenzo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roxadustatum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) do leczenia niedokrwistości u pacjentów powyżej 18 roku życia, niedializowanych, chorujących na przewlekłą niewydolność nerek.</w:t>
            </w:r>
          </w:p>
          <w:p w14:paraId="5C3B988E" w14:textId="77777777" w:rsidR="00280144" w:rsidRDefault="00280144" w:rsidP="00280144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Kompleksowe przeredagowanie treści programu lekowego.</w:t>
            </w:r>
          </w:p>
          <w:p w14:paraId="5F05E2AC" w14:textId="755879CB" w:rsidR="00280144" w:rsidRDefault="00280144" w:rsidP="00280144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Zmiany w zakresie wieku osób kwalifikowanych do programu i dawkowania poszczególnych terapii (zgodnie z Charakterystykami Produktów Leczniczych objętych finansowaniem w ramach programu lekowego).</w:t>
            </w:r>
          </w:p>
        </w:tc>
      </w:tr>
      <w:tr w:rsidR="00280144" w:rsidRPr="004D093B" w14:paraId="67293BB2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B881F" w14:textId="11BEB1A1" w:rsidR="00280144" w:rsidRPr="004D093B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1F1AA" w14:textId="1101AA26" w:rsidR="00280144" w:rsidRPr="005551D5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5551D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B.105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0EFE2" w14:textId="074266C9" w:rsidR="00280144" w:rsidRPr="004D093B" w:rsidRDefault="00280144" w:rsidP="00280144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CHORYCH NA ZAPALENIE BŁONY NACZYNIOWEJ OKA (ZBN) – CZĘŚCI POŚREDNIEJ, ODCINKA TYLNEGO LUB CAŁEJ BŁONY NACZYNIOWEJ (ICD-10: H20.0, H30.0)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1F15D" w14:textId="77777777" w:rsidR="00280144" w:rsidRDefault="00280144" w:rsidP="00280144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 xml:space="preserve">Wprowadzenie do programu leku 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Ozurdex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dexamethasonum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>) do leczenia klinicznie znamiennego obrzęku plamki w przebiegu zapalenia błony naczyniowej oka.</w:t>
            </w:r>
          </w:p>
          <w:p w14:paraId="4FCF84DF" w14:textId="686625E3" w:rsidR="00280144" w:rsidRPr="004D093B" w:rsidRDefault="00280144" w:rsidP="00280144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Kompleksowa zmiana programu lekowego B.105 obejmująca swoim zakresem modyfikację zapisów dotyczących kryteriów kwalifikacji, kryteriów wyłączenia z programu, dawkowania oraz badań diagnostycznych i monitorujących skuteczność terapii stosowany w ramach programu.</w:t>
            </w:r>
          </w:p>
        </w:tc>
      </w:tr>
      <w:tr w:rsidR="00280144" w:rsidRPr="004D093B" w14:paraId="66D571B6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113C4" w14:textId="5BB11F17" w:rsidR="00280144" w:rsidRPr="004D093B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4.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0310C" w14:textId="083F41AB" w:rsidR="00280144" w:rsidRPr="005551D5" w:rsidRDefault="00280144" w:rsidP="00280144">
            <w:pPr>
              <w:pStyle w:val="Style2"/>
              <w:widowControl/>
              <w:spacing w:after="240" w:line="240" w:lineRule="auto"/>
              <w:jc w:val="center"/>
              <w:rPr>
                <w:rFonts w:ascii="Lato" w:eastAsia="Calibri" w:hAnsi="Lato" w:cstheme="majorHAns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551D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B.122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69A50" w14:textId="556C24EE" w:rsidR="00280144" w:rsidRPr="005551D5" w:rsidRDefault="00280144" w:rsidP="00280144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</w:pPr>
            <w:r w:rsidRPr="005551D5">
              <w:rPr>
                <w:rFonts w:ascii="Lato" w:hAnsi="Lato" w:cstheme="majorHAnsi"/>
                <w:color w:val="000000"/>
                <w:sz w:val="18"/>
                <w:szCs w:val="18"/>
              </w:rPr>
              <w:t>LECZENIE ZAPOBIEGAWCZE CHORYCH Z NAWRACAJĄCYMI NAPADAMI DZIEDZICZNEGO OBRZĘKU NACZYNIORUCHOWEGO O CIĘŻKIM PRZEBIEGU (ICD-10: D 84.1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47FE6" w14:textId="77777777" w:rsidR="00280144" w:rsidRDefault="00280144" w:rsidP="00280144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5551D5">
              <w:rPr>
                <w:rFonts w:ascii="Lato" w:hAnsi="Lato" w:cstheme="majorHAnsi"/>
                <w:sz w:val="18"/>
                <w:szCs w:val="18"/>
              </w:rPr>
              <w:t xml:space="preserve">Zmiany umożliwiające pacjentom leczenie w warunkach domowych.  </w:t>
            </w:r>
          </w:p>
          <w:p w14:paraId="4C9AB9C4" w14:textId="744ED8CF" w:rsidR="00280144" w:rsidRPr="005551D5" w:rsidRDefault="00280144" w:rsidP="00280144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5551D5">
              <w:rPr>
                <w:rFonts w:ascii="Lato" w:hAnsi="Lato" w:cstheme="majorHAnsi"/>
                <w:sz w:val="18"/>
                <w:szCs w:val="18"/>
              </w:rPr>
              <w:t>Dodano zapisy dotyczące monitorowania wskaźników skuteczności i bezpieczeństwa leczenia wykorzystywane</w:t>
            </w:r>
            <w:r w:rsidR="00A26660">
              <w:rPr>
                <w:rFonts w:ascii="Lato" w:hAnsi="Lato" w:cstheme="majorHAnsi"/>
                <w:sz w:val="18"/>
                <w:szCs w:val="18"/>
              </w:rPr>
              <w:t>go</w:t>
            </w:r>
            <w:r w:rsidRPr="005551D5">
              <w:rPr>
                <w:rFonts w:ascii="Lato" w:hAnsi="Lato" w:cstheme="majorHAnsi"/>
                <w:sz w:val="18"/>
                <w:szCs w:val="18"/>
              </w:rPr>
              <w:t xml:space="preserve"> w programie</w:t>
            </w:r>
            <w:r w:rsidR="00A26660">
              <w:rPr>
                <w:rFonts w:ascii="Lato" w:hAnsi="Lato" w:cstheme="majorHAnsi"/>
                <w:sz w:val="18"/>
                <w:szCs w:val="18"/>
              </w:rPr>
              <w:t xml:space="preserve"> lekowym</w:t>
            </w:r>
            <w:r w:rsidRPr="005551D5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</w:tr>
    </w:tbl>
    <w:p w14:paraId="08AE375A" w14:textId="7939F698" w:rsidR="004762AF" w:rsidRDefault="004762AF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</w:p>
    <w:p w14:paraId="3FB617C9" w14:textId="77777777" w:rsidR="004762AF" w:rsidRDefault="004762AF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  <w:r>
        <w:rPr>
          <w:rFonts w:ascii="Lato" w:hAnsi="Lato"/>
          <w:b/>
          <w:bCs/>
          <w:color w:val="00B0F0"/>
          <w:sz w:val="28"/>
          <w:szCs w:val="28"/>
        </w:rPr>
        <w:br w:type="page"/>
      </w:r>
    </w:p>
    <w:p w14:paraId="703841AA" w14:textId="36DADBCA" w:rsidR="0056748F" w:rsidRPr="004D093B" w:rsidRDefault="0056748F" w:rsidP="0056748F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bookmarkStart w:id="1" w:name="_Hlk90283710"/>
      <w:r w:rsidRPr="004D093B">
        <w:rPr>
          <w:rFonts w:ascii="Lato" w:hAnsi="Lato"/>
          <w:b/>
          <w:bCs/>
          <w:color w:val="00B0F0"/>
          <w:sz w:val="28"/>
          <w:szCs w:val="28"/>
        </w:rPr>
        <w:lastRenderedPageBreak/>
        <w:t>NOWE WSKAZANIA ORAZ ZMIANY W REFUNDACJI APTECZNEJ</w:t>
      </w:r>
    </w:p>
    <w:tbl>
      <w:tblPr>
        <w:tblW w:w="5000" w:type="pct"/>
        <w:tblCellMar>
          <w:top w:w="57" w:type="dxa"/>
          <w:left w:w="10" w:type="dxa"/>
          <w:bottom w:w="57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2412"/>
        <w:gridCol w:w="1838"/>
        <w:gridCol w:w="5399"/>
        <w:gridCol w:w="3648"/>
      </w:tblGrid>
      <w:tr w:rsidR="00AD08C5" w:rsidRPr="004D093B" w14:paraId="2CD1B9F9" w14:textId="77777777" w:rsidTr="00294265">
        <w:trPr>
          <w:cantSplit/>
          <w:trHeight w:val="549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1"/>
          <w:p w14:paraId="05E7E891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Apteka</w:t>
            </w:r>
          </w:p>
        </w:tc>
      </w:tr>
      <w:tr w:rsidR="00AD08C5" w:rsidRPr="004D093B" w14:paraId="7C1774EA" w14:textId="77777777" w:rsidTr="00294265">
        <w:trPr>
          <w:cantSplit/>
          <w:trHeight w:val="328"/>
        </w:trPr>
        <w:tc>
          <w:tcPr>
            <w:tcW w:w="5000" w:type="pct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86140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Nowe wskazania refundacyjne</w:t>
            </w:r>
          </w:p>
        </w:tc>
      </w:tr>
      <w:tr w:rsidR="0056748F" w:rsidRPr="004D093B" w14:paraId="7D53B9E1" w14:textId="77777777" w:rsidTr="00294265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D3CB4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Lp.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E9D6E" w14:textId="70C49D87" w:rsidR="00AD08C5" w:rsidRPr="004D093B" w:rsidRDefault="00A118F0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 xml:space="preserve">Nazwa leku, środka spożywczego specjalnego przeznaczenia lub wyrobu </w:t>
            </w:r>
            <w:r w:rsidRPr="004D093B">
              <w:rPr>
                <w:rFonts w:ascii="Lato" w:hAnsi="Lato" w:cstheme="majorHAnsi"/>
                <w:b/>
                <w:bCs/>
                <w:sz w:val="19"/>
                <w:szCs w:val="19"/>
              </w:rPr>
              <w:t>medycznego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A6F35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Substancja czynna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933D3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Wskazanie refundacyjne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5EAF7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Doprecyzowanie wskazania</w:t>
            </w:r>
          </w:p>
        </w:tc>
      </w:tr>
      <w:tr w:rsidR="00294265" w:rsidRPr="004D093B" w14:paraId="3E62A70D" w14:textId="77777777" w:rsidTr="00294265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ED6C4" w14:textId="22D113FB" w:rsidR="00294265" w:rsidRPr="004D093B" w:rsidRDefault="00294265" w:rsidP="008373B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1D194" w14:textId="53D230AD" w:rsidR="00294265" w:rsidRPr="004D093B" w:rsidRDefault="00294265" w:rsidP="008373B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B58C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Fostex</w:t>
            </w:r>
            <w:proofErr w:type="spellEnd"/>
            <w:r w:rsidRPr="00DB58C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B58C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Nexthaler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1F354" w14:textId="0846A209" w:rsidR="00294265" w:rsidRPr="004D093B" w:rsidRDefault="00294265" w:rsidP="008373B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DB58C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beklometazonu</w:t>
            </w:r>
            <w:proofErr w:type="spellEnd"/>
            <w:r w:rsidRPr="00DB58C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B58C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dipropionian</w:t>
            </w:r>
            <w:proofErr w:type="spellEnd"/>
            <w:r w:rsidRPr="00DB58C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B58C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formoterolu</w:t>
            </w:r>
            <w:proofErr w:type="spellEnd"/>
            <w:r w:rsidRPr="00DB58C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B58C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fumaran</w:t>
            </w:r>
            <w:proofErr w:type="spellEnd"/>
            <w:r w:rsidRPr="00DB58C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dwuwodn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y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04558" w14:textId="77777777" w:rsidR="00E34E3C" w:rsidRDefault="00294265" w:rsidP="008373B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B58C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Przewlekła obturacyjna choroba płuc, </w:t>
            </w:r>
          </w:p>
          <w:p w14:paraId="0440D22F" w14:textId="1F07AC0E" w:rsidR="00294265" w:rsidRPr="004D093B" w:rsidRDefault="00294265" w:rsidP="008373B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 w:rsidRPr="00DB58C7">
              <w:rPr>
                <w:rFonts w:ascii="Lato" w:hAnsi="Lato" w:cstheme="majorHAnsi"/>
                <w:color w:val="000000"/>
                <w:sz w:val="18"/>
                <w:szCs w:val="18"/>
              </w:rPr>
              <w:t>Astma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C0182" w14:textId="417BAF94" w:rsidR="00294265" w:rsidRPr="004D093B" w:rsidRDefault="00294265" w:rsidP="008373B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Nowy</w:t>
            </w:r>
            <w:r w:rsidR="000263FB">
              <w:rPr>
                <w:rFonts w:ascii="Lato" w:hAnsi="Lato" w:cstheme="majorHAnsi"/>
                <w:color w:val="000000"/>
                <w:sz w:val="18"/>
                <w:szCs w:val="18"/>
              </w:rPr>
              <w:t>, dwuskładnikowy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produkt leczniczy w postaci proszku do inhalacji z inhalatorem proszkowym DPI</w:t>
            </w:r>
            <w:r w:rsidR="000263FB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</w:tbl>
    <w:p w14:paraId="7C20878C" w14:textId="77777777" w:rsidR="00BD70CC" w:rsidRDefault="00BD70CC" w:rsidP="0068046C">
      <w:pPr>
        <w:suppressAutoHyphens w:val="0"/>
        <w:rPr>
          <w:rFonts w:ascii="Lato" w:hAnsi="Lato"/>
          <w:b/>
          <w:bCs/>
          <w:color w:val="00B0F0"/>
        </w:rPr>
      </w:pPr>
    </w:p>
    <w:sectPr w:rsidR="00BD70CC" w:rsidSect="00CF351E">
      <w:headerReference w:type="first" r:id="rId11"/>
      <w:pgSz w:w="16838" w:h="11906" w:orient="landscape"/>
      <w:pgMar w:top="1417" w:right="1417" w:bottom="1276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3CAD6" w14:textId="77777777" w:rsidR="00B03489" w:rsidRDefault="00B03489">
      <w:pPr>
        <w:spacing w:after="0" w:line="240" w:lineRule="auto"/>
      </w:pPr>
      <w:r>
        <w:separator/>
      </w:r>
    </w:p>
  </w:endnote>
  <w:endnote w:type="continuationSeparator" w:id="0">
    <w:p w14:paraId="6A7191DE" w14:textId="77777777" w:rsidR="00B03489" w:rsidRDefault="00B03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3A0EF" w14:textId="77777777" w:rsidR="00B03489" w:rsidRDefault="00B0348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678FA0C" w14:textId="77777777" w:rsidR="00B03489" w:rsidRDefault="00B03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F36CF" w14:textId="4633511D" w:rsidR="005058F2" w:rsidRDefault="00143D0B">
    <w:pPr>
      <w:pStyle w:val="Nagwek"/>
    </w:pPr>
    <w:bookmarkStart w:id="2" w:name="_Hlk74147372"/>
    <w:bookmarkEnd w:id="2"/>
    <w:r>
      <w:rPr>
        <w:noProof/>
        <w:lang w:eastAsia="pl-PL"/>
      </w:rPr>
      <w:drawing>
        <wp:inline distT="0" distB="0" distL="0" distR="0" wp14:anchorId="39BB8D04" wp14:editId="6B1DB73B">
          <wp:extent cx="2381885" cy="106172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8188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65479"/>
    <w:multiLevelType w:val="multilevel"/>
    <w:tmpl w:val="887C73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" w15:restartNumberingAfterBreak="0">
    <w:nsid w:val="03701726"/>
    <w:multiLevelType w:val="hybridMultilevel"/>
    <w:tmpl w:val="6CEE4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163CA"/>
    <w:multiLevelType w:val="hybridMultilevel"/>
    <w:tmpl w:val="0DE0BC64"/>
    <w:lvl w:ilvl="0" w:tplc="CEC4EFEE">
      <w:start w:val="1"/>
      <w:numFmt w:val="bullet"/>
      <w:lvlText w:val="•"/>
      <w:lvlJc w:val="left"/>
      <w:pPr>
        <w:ind w:left="1049" w:firstLine="227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0D2743CD"/>
    <w:multiLevelType w:val="hybridMultilevel"/>
    <w:tmpl w:val="C2FA7544"/>
    <w:lvl w:ilvl="0" w:tplc="04150001">
      <w:start w:val="1"/>
      <w:numFmt w:val="bullet"/>
      <w:lvlText w:val=""/>
      <w:lvlJc w:val="left"/>
      <w:pPr>
        <w:ind w:left="-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47" w:hanging="360"/>
      </w:pPr>
      <w:rPr>
        <w:rFonts w:ascii="Wingdings" w:hAnsi="Wingdings" w:hint="default"/>
      </w:rPr>
    </w:lvl>
  </w:abstractNum>
  <w:abstractNum w:abstractNumId="4" w15:restartNumberingAfterBreak="0">
    <w:nsid w:val="0E7A14F3"/>
    <w:multiLevelType w:val="multilevel"/>
    <w:tmpl w:val="887C73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5" w15:restartNumberingAfterBreak="0">
    <w:nsid w:val="14FE0EDD"/>
    <w:multiLevelType w:val="hybridMultilevel"/>
    <w:tmpl w:val="AD006D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F2875"/>
    <w:multiLevelType w:val="hybridMultilevel"/>
    <w:tmpl w:val="1EC49BCA"/>
    <w:lvl w:ilvl="0" w:tplc="5A3E6A7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E83431"/>
    <w:multiLevelType w:val="hybridMultilevel"/>
    <w:tmpl w:val="ABB6E3FC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42910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757CAC"/>
    <w:multiLevelType w:val="multilevel"/>
    <w:tmpl w:val="0A84EA68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0" w15:restartNumberingAfterBreak="0">
    <w:nsid w:val="1B8161C1"/>
    <w:multiLevelType w:val="multilevel"/>
    <w:tmpl w:val="887C73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1" w15:restartNumberingAfterBreak="0">
    <w:nsid w:val="1E346ADB"/>
    <w:multiLevelType w:val="multilevel"/>
    <w:tmpl w:val="887C73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2" w15:restartNumberingAfterBreak="0">
    <w:nsid w:val="21F277A1"/>
    <w:multiLevelType w:val="hybridMultilevel"/>
    <w:tmpl w:val="2884C9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6626E"/>
    <w:multiLevelType w:val="multilevel"/>
    <w:tmpl w:val="887C73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4" w15:restartNumberingAfterBreak="0">
    <w:nsid w:val="2BF91E53"/>
    <w:multiLevelType w:val="hybridMultilevel"/>
    <w:tmpl w:val="E0781596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4F3043"/>
    <w:multiLevelType w:val="hybridMultilevel"/>
    <w:tmpl w:val="7F041AF0"/>
    <w:lvl w:ilvl="0" w:tplc="07E64A3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6" w15:restartNumberingAfterBreak="0">
    <w:nsid w:val="393F60CD"/>
    <w:multiLevelType w:val="hybridMultilevel"/>
    <w:tmpl w:val="75800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E0B82"/>
    <w:multiLevelType w:val="hybridMultilevel"/>
    <w:tmpl w:val="386CF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3C6885"/>
    <w:multiLevelType w:val="hybridMultilevel"/>
    <w:tmpl w:val="0B8EC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340582"/>
    <w:multiLevelType w:val="hybridMultilevel"/>
    <w:tmpl w:val="19703E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1076C3"/>
    <w:multiLevelType w:val="hybridMultilevel"/>
    <w:tmpl w:val="ED3224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5F6E8B"/>
    <w:multiLevelType w:val="multilevel"/>
    <w:tmpl w:val="C32AD0A0"/>
    <w:lvl w:ilvl="0">
      <w:start w:val="1"/>
      <w:numFmt w:val="decimal"/>
      <w:suff w:val="space"/>
      <w:lvlText w:val="%1."/>
      <w:lvlJc w:val="left"/>
      <w:pPr>
        <w:ind w:left="227" w:hanging="227"/>
      </w:pPr>
      <w:rPr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b w:val="0"/>
        <w:bCs/>
        <w:strike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</w:lvl>
    <w:lvl w:ilvl="7">
      <w:start w:val="1"/>
      <w:numFmt w:val="decimal"/>
      <w:lvlText w:val="%1.%2.%3.%4.%5.%6.%7.%8."/>
      <w:lvlJc w:val="left"/>
      <w:pPr>
        <w:ind w:left="3950" w:hanging="1224"/>
      </w:pPr>
    </w:lvl>
    <w:lvl w:ilvl="8">
      <w:start w:val="1"/>
      <w:numFmt w:val="decimal"/>
      <w:lvlText w:val="%1.%2.%3.%4.%5.%6.%7.%8.%9."/>
      <w:lvlJc w:val="left"/>
      <w:pPr>
        <w:ind w:left="4526" w:hanging="1440"/>
      </w:pPr>
    </w:lvl>
  </w:abstractNum>
  <w:abstractNum w:abstractNumId="22" w15:restartNumberingAfterBreak="0">
    <w:nsid w:val="4EBA728E"/>
    <w:multiLevelType w:val="hybridMultilevel"/>
    <w:tmpl w:val="1748AC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072792B"/>
    <w:multiLevelType w:val="hybridMultilevel"/>
    <w:tmpl w:val="75AA86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BB03E5C"/>
    <w:multiLevelType w:val="hybridMultilevel"/>
    <w:tmpl w:val="FF32B6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FF5C7F"/>
    <w:multiLevelType w:val="hybridMultilevel"/>
    <w:tmpl w:val="5AF27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3F0D0B"/>
    <w:multiLevelType w:val="hybridMultilevel"/>
    <w:tmpl w:val="3A2E6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594C8D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311972"/>
    <w:multiLevelType w:val="hybridMultilevel"/>
    <w:tmpl w:val="DFCAC68E"/>
    <w:lvl w:ilvl="0" w:tplc="07C0B9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B22FBC"/>
    <w:multiLevelType w:val="hybridMultilevel"/>
    <w:tmpl w:val="1A128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324C5B"/>
    <w:multiLevelType w:val="hybridMultilevel"/>
    <w:tmpl w:val="01F6A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068946">
    <w:abstractNumId w:val="8"/>
  </w:num>
  <w:num w:numId="2" w16cid:durableId="983047750">
    <w:abstractNumId w:val="6"/>
  </w:num>
  <w:num w:numId="3" w16cid:durableId="912206815">
    <w:abstractNumId w:val="9"/>
  </w:num>
  <w:num w:numId="4" w16cid:durableId="19192415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3262071">
    <w:abstractNumId w:val="27"/>
  </w:num>
  <w:num w:numId="6" w16cid:durableId="1164782895">
    <w:abstractNumId w:val="7"/>
  </w:num>
  <w:num w:numId="7" w16cid:durableId="1764568987">
    <w:abstractNumId w:val="14"/>
  </w:num>
  <w:num w:numId="8" w16cid:durableId="1605840971">
    <w:abstractNumId w:val="15"/>
  </w:num>
  <w:num w:numId="9" w16cid:durableId="969629549">
    <w:abstractNumId w:val="25"/>
  </w:num>
  <w:num w:numId="10" w16cid:durableId="1576276737">
    <w:abstractNumId w:val="3"/>
  </w:num>
  <w:num w:numId="11" w16cid:durableId="409036424">
    <w:abstractNumId w:val="30"/>
  </w:num>
  <w:num w:numId="12" w16cid:durableId="1526747669">
    <w:abstractNumId w:val="5"/>
  </w:num>
  <w:num w:numId="13" w16cid:durableId="1746950255">
    <w:abstractNumId w:val="16"/>
  </w:num>
  <w:num w:numId="14" w16cid:durableId="329715522">
    <w:abstractNumId w:val="18"/>
  </w:num>
  <w:num w:numId="15" w16cid:durableId="1837842867">
    <w:abstractNumId w:val="17"/>
  </w:num>
  <w:num w:numId="16" w16cid:durableId="1970238000">
    <w:abstractNumId w:val="26"/>
  </w:num>
  <w:num w:numId="17" w16cid:durableId="485172914">
    <w:abstractNumId w:val="21"/>
  </w:num>
  <w:num w:numId="18" w16cid:durableId="338780148">
    <w:abstractNumId w:val="11"/>
  </w:num>
  <w:num w:numId="19" w16cid:durableId="1977641737">
    <w:abstractNumId w:val="3"/>
  </w:num>
  <w:num w:numId="20" w16cid:durableId="1099830501">
    <w:abstractNumId w:val="2"/>
  </w:num>
  <w:num w:numId="21" w16cid:durableId="1796680411">
    <w:abstractNumId w:val="23"/>
  </w:num>
  <w:num w:numId="22" w16cid:durableId="1157845039">
    <w:abstractNumId w:val="22"/>
  </w:num>
  <w:num w:numId="23" w16cid:durableId="1318220489">
    <w:abstractNumId w:val="19"/>
  </w:num>
  <w:num w:numId="24" w16cid:durableId="791442922">
    <w:abstractNumId w:val="24"/>
  </w:num>
  <w:num w:numId="25" w16cid:durableId="493031844">
    <w:abstractNumId w:val="0"/>
  </w:num>
  <w:num w:numId="26" w16cid:durableId="2001806445">
    <w:abstractNumId w:val="10"/>
  </w:num>
  <w:num w:numId="27" w16cid:durableId="267157109">
    <w:abstractNumId w:val="13"/>
  </w:num>
  <w:num w:numId="28" w16cid:durableId="542986621">
    <w:abstractNumId w:val="4"/>
  </w:num>
  <w:num w:numId="29" w16cid:durableId="66652830">
    <w:abstractNumId w:val="20"/>
  </w:num>
  <w:num w:numId="30" w16cid:durableId="1707293543">
    <w:abstractNumId w:val="1"/>
  </w:num>
  <w:num w:numId="31" w16cid:durableId="30885514">
    <w:abstractNumId w:val="28"/>
  </w:num>
  <w:num w:numId="32" w16cid:durableId="124618825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147240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8C5"/>
    <w:rsid w:val="00006AE8"/>
    <w:rsid w:val="000263FB"/>
    <w:rsid w:val="00031E9F"/>
    <w:rsid w:val="00033ED5"/>
    <w:rsid w:val="0004009C"/>
    <w:rsid w:val="0005011B"/>
    <w:rsid w:val="00052E44"/>
    <w:rsid w:val="000702E4"/>
    <w:rsid w:val="00070A13"/>
    <w:rsid w:val="00070A89"/>
    <w:rsid w:val="00080C23"/>
    <w:rsid w:val="0008118E"/>
    <w:rsid w:val="00086074"/>
    <w:rsid w:val="0009112E"/>
    <w:rsid w:val="00093AC4"/>
    <w:rsid w:val="00094F94"/>
    <w:rsid w:val="00097B17"/>
    <w:rsid w:val="000A4576"/>
    <w:rsid w:val="000A688D"/>
    <w:rsid w:val="000A6A4A"/>
    <w:rsid w:val="000A6B96"/>
    <w:rsid w:val="000B21F0"/>
    <w:rsid w:val="000B32C4"/>
    <w:rsid w:val="000B7075"/>
    <w:rsid w:val="000D02C0"/>
    <w:rsid w:val="000D2FED"/>
    <w:rsid w:val="000E06C3"/>
    <w:rsid w:val="000E3BBE"/>
    <w:rsid w:val="000E649C"/>
    <w:rsid w:val="000F077F"/>
    <w:rsid w:val="000F3ED2"/>
    <w:rsid w:val="000F5E0B"/>
    <w:rsid w:val="000F5E24"/>
    <w:rsid w:val="001030B2"/>
    <w:rsid w:val="0011293D"/>
    <w:rsid w:val="001204EA"/>
    <w:rsid w:val="0014120D"/>
    <w:rsid w:val="00143D0B"/>
    <w:rsid w:val="00144B55"/>
    <w:rsid w:val="00155C8E"/>
    <w:rsid w:val="00161605"/>
    <w:rsid w:val="00163D32"/>
    <w:rsid w:val="00170D7F"/>
    <w:rsid w:val="00172790"/>
    <w:rsid w:val="00173D8E"/>
    <w:rsid w:val="00180F5C"/>
    <w:rsid w:val="00186C26"/>
    <w:rsid w:val="00186CB7"/>
    <w:rsid w:val="00190358"/>
    <w:rsid w:val="001933DE"/>
    <w:rsid w:val="00194CB4"/>
    <w:rsid w:val="00197FA2"/>
    <w:rsid w:val="001A1A5B"/>
    <w:rsid w:val="001A7E82"/>
    <w:rsid w:val="001B0859"/>
    <w:rsid w:val="001B354B"/>
    <w:rsid w:val="001B440C"/>
    <w:rsid w:val="001B7475"/>
    <w:rsid w:val="001C6836"/>
    <w:rsid w:val="001D6485"/>
    <w:rsid w:val="001E0A40"/>
    <w:rsid w:val="001E2320"/>
    <w:rsid w:val="001E4A45"/>
    <w:rsid w:val="001E610A"/>
    <w:rsid w:val="001E721F"/>
    <w:rsid w:val="00205C55"/>
    <w:rsid w:val="00206C0B"/>
    <w:rsid w:val="00221A2A"/>
    <w:rsid w:val="002270E2"/>
    <w:rsid w:val="00230BB7"/>
    <w:rsid w:val="002358AA"/>
    <w:rsid w:val="0024697E"/>
    <w:rsid w:val="00255E53"/>
    <w:rsid w:val="00275115"/>
    <w:rsid w:val="00275C31"/>
    <w:rsid w:val="00280144"/>
    <w:rsid w:val="00280311"/>
    <w:rsid w:val="00281BE7"/>
    <w:rsid w:val="00286651"/>
    <w:rsid w:val="00287196"/>
    <w:rsid w:val="0029287B"/>
    <w:rsid w:val="0029403F"/>
    <w:rsid w:val="00294265"/>
    <w:rsid w:val="002C0340"/>
    <w:rsid w:val="002C19DE"/>
    <w:rsid w:val="002C7508"/>
    <w:rsid w:val="002D22F9"/>
    <w:rsid w:val="002D55B8"/>
    <w:rsid w:val="002D6ED9"/>
    <w:rsid w:val="002E46AC"/>
    <w:rsid w:val="002F0FB2"/>
    <w:rsid w:val="002F61E3"/>
    <w:rsid w:val="003051DF"/>
    <w:rsid w:val="00306B1C"/>
    <w:rsid w:val="0031104C"/>
    <w:rsid w:val="003130CA"/>
    <w:rsid w:val="00325586"/>
    <w:rsid w:val="00326537"/>
    <w:rsid w:val="003357D9"/>
    <w:rsid w:val="00337B00"/>
    <w:rsid w:val="00341AAF"/>
    <w:rsid w:val="00350CC6"/>
    <w:rsid w:val="00352A2A"/>
    <w:rsid w:val="003533DE"/>
    <w:rsid w:val="00355899"/>
    <w:rsid w:val="00356E75"/>
    <w:rsid w:val="0035733E"/>
    <w:rsid w:val="00370FBC"/>
    <w:rsid w:val="00374DBE"/>
    <w:rsid w:val="0037704D"/>
    <w:rsid w:val="0037714E"/>
    <w:rsid w:val="003841AB"/>
    <w:rsid w:val="00387B03"/>
    <w:rsid w:val="003935E8"/>
    <w:rsid w:val="003975D4"/>
    <w:rsid w:val="003A0F16"/>
    <w:rsid w:val="003A5B7D"/>
    <w:rsid w:val="003A6433"/>
    <w:rsid w:val="003B46BF"/>
    <w:rsid w:val="003C7B2E"/>
    <w:rsid w:val="003D2AE2"/>
    <w:rsid w:val="003D71C6"/>
    <w:rsid w:val="003E7973"/>
    <w:rsid w:val="003F072E"/>
    <w:rsid w:val="00404F9B"/>
    <w:rsid w:val="00411C64"/>
    <w:rsid w:val="004156E6"/>
    <w:rsid w:val="00415707"/>
    <w:rsid w:val="00416F70"/>
    <w:rsid w:val="0041703B"/>
    <w:rsid w:val="0042390D"/>
    <w:rsid w:val="004403B4"/>
    <w:rsid w:val="00446466"/>
    <w:rsid w:val="00447CE9"/>
    <w:rsid w:val="004509A0"/>
    <w:rsid w:val="00453B55"/>
    <w:rsid w:val="00457779"/>
    <w:rsid w:val="00462C37"/>
    <w:rsid w:val="00466FE8"/>
    <w:rsid w:val="004744CD"/>
    <w:rsid w:val="004762AF"/>
    <w:rsid w:val="0048011A"/>
    <w:rsid w:val="004850DC"/>
    <w:rsid w:val="00490715"/>
    <w:rsid w:val="00491267"/>
    <w:rsid w:val="00491300"/>
    <w:rsid w:val="00492285"/>
    <w:rsid w:val="004A12DD"/>
    <w:rsid w:val="004A2F20"/>
    <w:rsid w:val="004A2F45"/>
    <w:rsid w:val="004A5135"/>
    <w:rsid w:val="004B04D9"/>
    <w:rsid w:val="004B2F38"/>
    <w:rsid w:val="004C35E7"/>
    <w:rsid w:val="004D093B"/>
    <w:rsid w:val="004D2191"/>
    <w:rsid w:val="004D7DDC"/>
    <w:rsid w:val="004E4723"/>
    <w:rsid w:val="004E6C17"/>
    <w:rsid w:val="004F3FEF"/>
    <w:rsid w:val="005058F2"/>
    <w:rsid w:val="00512C38"/>
    <w:rsid w:val="00512C7C"/>
    <w:rsid w:val="005130EF"/>
    <w:rsid w:val="005143E4"/>
    <w:rsid w:val="0055182D"/>
    <w:rsid w:val="005551D5"/>
    <w:rsid w:val="0056748F"/>
    <w:rsid w:val="00574D83"/>
    <w:rsid w:val="005871C9"/>
    <w:rsid w:val="005B06B3"/>
    <w:rsid w:val="005B598A"/>
    <w:rsid w:val="005C1959"/>
    <w:rsid w:val="005C499F"/>
    <w:rsid w:val="005C608D"/>
    <w:rsid w:val="005C641F"/>
    <w:rsid w:val="005C6551"/>
    <w:rsid w:val="005D269A"/>
    <w:rsid w:val="005D3140"/>
    <w:rsid w:val="005D5D31"/>
    <w:rsid w:val="005E3DB9"/>
    <w:rsid w:val="005E4CF5"/>
    <w:rsid w:val="005E7898"/>
    <w:rsid w:val="005F70FE"/>
    <w:rsid w:val="006006C8"/>
    <w:rsid w:val="006008CD"/>
    <w:rsid w:val="00633806"/>
    <w:rsid w:val="00633883"/>
    <w:rsid w:val="00634434"/>
    <w:rsid w:val="0064109C"/>
    <w:rsid w:val="0064487F"/>
    <w:rsid w:val="00662A0A"/>
    <w:rsid w:val="006636D7"/>
    <w:rsid w:val="006648F3"/>
    <w:rsid w:val="00670C14"/>
    <w:rsid w:val="0068046C"/>
    <w:rsid w:val="00680B0E"/>
    <w:rsid w:val="00686AC2"/>
    <w:rsid w:val="00687B5F"/>
    <w:rsid w:val="00687E5A"/>
    <w:rsid w:val="006905E7"/>
    <w:rsid w:val="006967BC"/>
    <w:rsid w:val="006A03EB"/>
    <w:rsid w:val="006A533F"/>
    <w:rsid w:val="006A7DCE"/>
    <w:rsid w:val="006B1374"/>
    <w:rsid w:val="006C1B62"/>
    <w:rsid w:val="006C452F"/>
    <w:rsid w:val="006C4ED5"/>
    <w:rsid w:val="006D0466"/>
    <w:rsid w:val="006D079B"/>
    <w:rsid w:val="006D183E"/>
    <w:rsid w:val="006D336E"/>
    <w:rsid w:val="006D7964"/>
    <w:rsid w:val="006E7D46"/>
    <w:rsid w:val="006F498A"/>
    <w:rsid w:val="006F5BEB"/>
    <w:rsid w:val="00702FCA"/>
    <w:rsid w:val="007135A8"/>
    <w:rsid w:val="00714B9D"/>
    <w:rsid w:val="007156F6"/>
    <w:rsid w:val="00715B91"/>
    <w:rsid w:val="007321D8"/>
    <w:rsid w:val="00733AF9"/>
    <w:rsid w:val="00734732"/>
    <w:rsid w:val="00740ABA"/>
    <w:rsid w:val="0074295D"/>
    <w:rsid w:val="00754B71"/>
    <w:rsid w:val="00755E27"/>
    <w:rsid w:val="0078723A"/>
    <w:rsid w:val="00797762"/>
    <w:rsid w:val="007A4FB5"/>
    <w:rsid w:val="007B043E"/>
    <w:rsid w:val="007C4332"/>
    <w:rsid w:val="007C4C95"/>
    <w:rsid w:val="007D0493"/>
    <w:rsid w:val="007D1551"/>
    <w:rsid w:val="007D273D"/>
    <w:rsid w:val="007D6A3A"/>
    <w:rsid w:val="007D6B6F"/>
    <w:rsid w:val="007D74E2"/>
    <w:rsid w:val="007E6483"/>
    <w:rsid w:val="007F016E"/>
    <w:rsid w:val="008008F6"/>
    <w:rsid w:val="008017A7"/>
    <w:rsid w:val="00823875"/>
    <w:rsid w:val="00827817"/>
    <w:rsid w:val="00827986"/>
    <w:rsid w:val="008279BD"/>
    <w:rsid w:val="008373B1"/>
    <w:rsid w:val="00837FA6"/>
    <w:rsid w:val="0084154E"/>
    <w:rsid w:val="00843352"/>
    <w:rsid w:val="00844624"/>
    <w:rsid w:val="008462C0"/>
    <w:rsid w:val="00846834"/>
    <w:rsid w:val="0085266F"/>
    <w:rsid w:val="0085698B"/>
    <w:rsid w:val="0087118E"/>
    <w:rsid w:val="008771C8"/>
    <w:rsid w:val="00882DCA"/>
    <w:rsid w:val="0088727A"/>
    <w:rsid w:val="00896D35"/>
    <w:rsid w:val="008B00C4"/>
    <w:rsid w:val="008B1EB7"/>
    <w:rsid w:val="008B43B0"/>
    <w:rsid w:val="008C0493"/>
    <w:rsid w:val="008C0E92"/>
    <w:rsid w:val="008D3C22"/>
    <w:rsid w:val="008D45C3"/>
    <w:rsid w:val="008E18D7"/>
    <w:rsid w:val="008E33C7"/>
    <w:rsid w:val="008F1D35"/>
    <w:rsid w:val="009066C7"/>
    <w:rsid w:val="0092216D"/>
    <w:rsid w:val="00933339"/>
    <w:rsid w:val="00946C5F"/>
    <w:rsid w:val="009528E0"/>
    <w:rsid w:val="00953B84"/>
    <w:rsid w:val="00970F7A"/>
    <w:rsid w:val="00977DE9"/>
    <w:rsid w:val="00982754"/>
    <w:rsid w:val="009943F4"/>
    <w:rsid w:val="00995FDD"/>
    <w:rsid w:val="00996389"/>
    <w:rsid w:val="009A2234"/>
    <w:rsid w:val="009A6D46"/>
    <w:rsid w:val="009B2F99"/>
    <w:rsid w:val="009B7A4D"/>
    <w:rsid w:val="009C573D"/>
    <w:rsid w:val="009D10B8"/>
    <w:rsid w:val="009D185F"/>
    <w:rsid w:val="009D43CC"/>
    <w:rsid w:val="009E2331"/>
    <w:rsid w:val="009E79D5"/>
    <w:rsid w:val="009F1561"/>
    <w:rsid w:val="009F413F"/>
    <w:rsid w:val="009F550A"/>
    <w:rsid w:val="009F7497"/>
    <w:rsid w:val="00A01F60"/>
    <w:rsid w:val="00A118F0"/>
    <w:rsid w:val="00A122C2"/>
    <w:rsid w:val="00A159DA"/>
    <w:rsid w:val="00A22494"/>
    <w:rsid w:val="00A22A7B"/>
    <w:rsid w:val="00A242D8"/>
    <w:rsid w:val="00A26660"/>
    <w:rsid w:val="00A434EB"/>
    <w:rsid w:val="00A515CA"/>
    <w:rsid w:val="00A5351C"/>
    <w:rsid w:val="00A54C06"/>
    <w:rsid w:val="00A633F0"/>
    <w:rsid w:val="00A6481E"/>
    <w:rsid w:val="00A66140"/>
    <w:rsid w:val="00A66626"/>
    <w:rsid w:val="00A7064A"/>
    <w:rsid w:val="00A7345A"/>
    <w:rsid w:val="00A75027"/>
    <w:rsid w:val="00A8700E"/>
    <w:rsid w:val="00A90397"/>
    <w:rsid w:val="00A90CB0"/>
    <w:rsid w:val="00A9374D"/>
    <w:rsid w:val="00A94461"/>
    <w:rsid w:val="00A960EA"/>
    <w:rsid w:val="00AA4608"/>
    <w:rsid w:val="00AA4A6A"/>
    <w:rsid w:val="00AA6179"/>
    <w:rsid w:val="00AB1235"/>
    <w:rsid w:val="00AB2D5E"/>
    <w:rsid w:val="00AC0511"/>
    <w:rsid w:val="00AD08C5"/>
    <w:rsid w:val="00AE069A"/>
    <w:rsid w:val="00AF1EBC"/>
    <w:rsid w:val="00B03489"/>
    <w:rsid w:val="00B10B0F"/>
    <w:rsid w:val="00B1467F"/>
    <w:rsid w:val="00B1688D"/>
    <w:rsid w:val="00B31928"/>
    <w:rsid w:val="00B326A9"/>
    <w:rsid w:val="00B45ED3"/>
    <w:rsid w:val="00B543E9"/>
    <w:rsid w:val="00B57127"/>
    <w:rsid w:val="00B73663"/>
    <w:rsid w:val="00B74035"/>
    <w:rsid w:val="00B76B2B"/>
    <w:rsid w:val="00B8251D"/>
    <w:rsid w:val="00B94288"/>
    <w:rsid w:val="00B9538B"/>
    <w:rsid w:val="00BA15A9"/>
    <w:rsid w:val="00BB138C"/>
    <w:rsid w:val="00BB30C0"/>
    <w:rsid w:val="00BC376D"/>
    <w:rsid w:val="00BD18E8"/>
    <w:rsid w:val="00BD20BC"/>
    <w:rsid w:val="00BD70CC"/>
    <w:rsid w:val="00C06613"/>
    <w:rsid w:val="00C15673"/>
    <w:rsid w:val="00C15E6F"/>
    <w:rsid w:val="00C210A9"/>
    <w:rsid w:val="00C22821"/>
    <w:rsid w:val="00C243BF"/>
    <w:rsid w:val="00C25F63"/>
    <w:rsid w:val="00C276AE"/>
    <w:rsid w:val="00C4237C"/>
    <w:rsid w:val="00C55C85"/>
    <w:rsid w:val="00C60868"/>
    <w:rsid w:val="00C6097A"/>
    <w:rsid w:val="00C64DAA"/>
    <w:rsid w:val="00C65204"/>
    <w:rsid w:val="00C70530"/>
    <w:rsid w:val="00C77217"/>
    <w:rsid w:val="00C816A5"/>
    <w:rsid w:val="00C83BE1"/>
    <w:rsid w:val="00C97315"/>
    <w:rsid w:val="00CA03C1"/>
    <w:rsid w:val="00CA1AD2"/>
    <w:rsid w:val="00CA2878"/>
    <w:rsid w:val="00CA3B1B"/>
    <w:rsid w:val="00CA7D06"/>
    <w:rsid w:val="00CB2E2B"/>
    <w:rsid w:val="00CB3D33"/>
    <w:rsid w:val="00CC0463"/>
    <w:rsid w:val="00CC42B1"/>
    <w:rsid w:val="00CC7F58"/>
    <w:rsid w:val="00CD47C3"/>
    <w:rsid w:val="00CE099F"/>
    <w:rsid w:val="00CE73E2"/>
    <w:rsid w:val="00CF351E"/>
    <w:rsid w:val="00CF402D"/>
    <w:rsid w:val="00CF5E4F"/>
    <w:rsid w:val="00CF7674"/>
    <w:rsid w:val="00D17D3E"/>
    <w:rsid w:val="00D44A5D"/>
    <w:rsid w:val="00D46ECD"/>
    <w:rsid w:val="00D510E8"/>
    <w:rsid w:val="00D554A2"/>
    <w:rsid w:val="00D5628B"/>
    <w:rsid w:val="00D63F4F"/>
    <w:rsid w:val="00D6426A"/>
    <w:rsid w:val="00D66456"/>
    <w:rsid w:val="00D77CD0"/>
    <w:rsid w:val="00D9306F"/>
    <w:rsid w:val="00DA09D0"/>
    <w:rsid w:val="00DB0B88"/>
    <w:rsid w:val="00DB793C"/>
    <w:rsid w:val="00DD18C6"/>
    <w:rsid w:val="00DD6D00"/>
    <w:rsid w:val="00DE00F0"/>
    <w:rsid w:val="00DE1894"/>
    <w:rsid w:val="00DE5079"/>
    <w:rsid w:val="00DF6B3A"/>
    <w:rsid w:val="00E10271"/>
    <w:rsid w:val="00E10F0D"/>
    <w:rsid w:val="00E32520"/>
    <w:rsid w:val="00E34DF7"/>
    <w:rsid w:val="00E34E3C"/>
    <w:rsid w:val="00E35DF6"/>
    <w:rsid w:val="00E50BF3"/>
    <w:rsid w:val="00E50D44"/>
    <w:rsid w:val="00E52765"/>
    <w:rsid w:val="00E64133"/>
    <w:rsid w:val="00E66456"/>
    <w:rsid w:val="00E7290F"/>
    <w:rsid w:val="00E738D5"/>
    <w:rsid w:val="00E8288D"/>
    <w:rsid w:val="00E8348C"/>
    <w:rsid w:val="00E900DE"/>
    <w:rsid w:val="00E91E64"/>
    <w:rsid w:val="00EA326D"/>
    <w:rsid w:val="00EB1B3E"/>
    <w:rsid w:val="00EB5A68"/>
    <w:rsid w:val="00EB77EA"/>
    <w:rsid w:val="00EC0C4F"/>
    <w:rsid w:val="00EC27E5"/>
    <w:rsid w:val="00EC2B8F"/>
    <w:rsid w:val="00EC74BA"/>
    <w:rsid w:val="00ED15F0"/>
    <w:rsid w:val="00EE4384"/>
    <w:rsid w:val="00EE4BD7"/>
    <w:rsid w:val="00EE5277"/>
    <w:rsid w:val="00EF3551"/>
    <w:rsid w:val="00EF3A08"/>
    <w:rsid w:val="00F017D6"/>
    <w:rsid w:val="00F12CF6"/>
    <w:rsid w:val="00F147FC"/>
    <w:rsid w:val="00F15BD4"/>
    <w:rsid w:val="00F31A79"/>
    <w:rsid w:val="00F42214"/>
    <w:rsid w:val="00F5061B"/>
    <w:rsid w:val="00F61A7D"/>
    <w:rsid w:val="00F63AA8"/>
    <w:rsid w:val="00F67CA2"/>
    <w:rsid w:val="00F859A8"/>
    <w:rsid w:val="00F9203E"/>
    <w:rsid w:val="00F957B7"/>
    <w:rsid w:val="00FA53DF"/>
    <w:rsid w:val="00FB2364"/>
    <w:rsid w:val="00FB30AC"/>
    <w:rsid w:val="00FB3B6F"/>
    <w:rsid w:val="00FC712D"/>
    <w:rsid w:val="00FD39E3"/>
    <w:rsid w:val="00FD48BC"/>
    <w:rsid w:val="00FE1242"/>
    <w:rsid w:val="00FE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1808D"/>
  <w15:docId w15:val="{9907FBD6-CEC2-42E2-A88E-10EDFCF3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4E3C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1,Styl moj,aotm_załączniki,Akapit z listą11,Table Legend,Dot pt,F5 List Paragraph,List Paragraph1,No Spacing1,List Paragraph Char Char Char,Indicator Text,Colorful List - Accent 11,Numbered Para 1,Bullet 1,Bullet Points,MAIN CONTENT"/>
    <w:basedOn w:val="Normalny"/>
    <w:link w:val="AkapitzlistZnak"/>
    <w:uiPriority w:val="34"/>
    <w:qFormat/>
    <w:rsid w:val="008C0E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0E92"/>
  </w:style>
  <w:style w:type="paragraph" w:styleId="Stopka">
    <w:name w:val="footer"/>
    <w:basedOn w:val="Normalny"/>
    <w:link w:val="Stopka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0E92"/>
  </w:style>
  <w:style w:type="paragraph" w:customStyle="1" w:styleId="Style2">
    <w:name w:val="Style2"/>
    <w:basedOn w:val="Normalny"/>
    <w:uiPriority w:val="99"/>
    <w:rsid w:val="00230BB7"/>
    <w:pPr>
      <w:widowControl w:val="0"/>
      <w:suppressAutoHyphens w:val="0"/>
      <w:autoSpaceDE w:val="0"/>
      <w:adjustRightInd w:val="0"/>
      <w:spacing w:after="0" w:line="331" w:lineRule="exact"/>
      <w:jc w:val="both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9">
    <w:name w:val="Font Style19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20">
    <w:name w:val="Font Style20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6C1B6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EastAsia" w:hAnsi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1E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1E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1E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1E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1E9F"/>
    <w:rPr>
      <w:b/>
      <w:bCs/>
      <w:sz w:val="20"/>
      <w:szCs w:val="20"/>
    </w:rPr>
  </w:style>
  <w:style w:type="character" w:customStyle="1" w:styleId="AkapitzlistZnak">
    <w:name w:val="Akapit z listą Znak"/>
    <w:aliases w:val="Bullet1 Znak,Styl moj Znak,aotm_załączniki Znak,Akapit z listą11 Znak,Table Legend Znak,Dot pt Znak,F5 List Paragraph Znak,List Paragraph1 Znak,No Spacing1 Znak,List Paragraph Char Char Char Znak,Indicator Text Znak,Bullet 1 Znak"/>
    <w:basedOn w:val="Domylnaczcionkaakapitu"/>
    <w:link w:val="Akapitzlist"/>
    <w:uiPriority w:val="34"/>
    <w:qFormat/>
    <w:rsid w:val="001933DE"/>
  </w:style>
  <w:style w:type="paragraph" w:styleId="Poprawka">
    <w:name w:val="Revision"/>
    <w:hidden/>
    <w:uiPriority w:val="99"/>
    <w:semiHidden/>
    <w:rsid w:val="005E3DB9"/>
    <w:pPr>
      <w:autoSpaceDN/>
      <w:spacing w:after="0" w:line="240" w:lineRule="auto"/>
      <w:textAlignment w:val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D70C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70C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D70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wrzesie&#324;%202023%20Wykresy%20od%20201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wrzesie&#324;%202023%20Wykresy%20od%20201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wrzesie&#324;%202023%20Wykresy%20wskazania%20od%20201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wrzesie&#324;%202023%20Wykresy%20wskazania%20od%20201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 i="0" baseline="0">
                <a:solidFill>
                  <a:sysClr val="windowText" lastClr="000000"/>
                </a:solidFill>
                <a:effectLst/>
                <a:latin typeface="Lato" panose="020F0502020204030203" pitchFamily="34" charset="-18"/>
              </a:rPr>
              <a:t>Liczba nowych cząsteczko-wskazań w 2023 r. - ONKO/NIEONKO</a:t>
            </a:r>
            <a:endParaRPr lang="pl-PL" sz="800">
              <a:solidFill>
                <a:sysClr val="windowText" lastClr="000000"/>
              </a:solidFill>
              <a:effectLst/>
              <a:latin typeface="Lato" panose="020F0502020204030203" pitchFamily="34" charset="-18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7.7692038495188118E-2"/>
          <c:y val="0.13625000000000001"/>
          <c:w val="0.90286351706036749"/>
          <c:h val="0.6780595765564775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'miesiące 2023'!$A$3</c:f>
              <c:strCache>
                <c:ptCount val="1"/>
                <c:pt idx="0">
                  <c:v>Wskazania onkologiczne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2023'!$B$2:$G$2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2023'!$B$3:$G$3</c:f>
              <c:numCache>
                <c:formatCode>General</c:formatCode>
                <c:ptCount val="6"/>
                <c:pt idx="0">
                  <c:v>21</c:v>
                </c:pt>
                <c:pt idx="1">
                  <c:v>10</c:v>
                </c:pt>
                <c:pt idx="2">
                  <c:v>8</c:v>
                </c:pt>
                <c:pt idx="3">
                  <c:v>7</c:v>
                </c:pt>
                <c:pt idx="4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69-431D-9811-BDA6C8D8F5C1}"/>
            </c:ext>
          </c:extLst>
        </c:ser>
        <c:ser>
          <c:idx val="1"/>
          <c:order val="1"/>
          <c:tx>
            <c:strRef>
              <c:f>'miesiące 2023'!$A$4</c:f>
              <c:strCache>
                <c:ptCount val="1"/>
                <c:pt idx="0">
                  <c:v>Wskazania nieonkologiczne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2023'!$B$2:$G$2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2023'!$B$4:$G$4</c:f>
              <c:numCache>
                <c:formatCode>General</c:formatCode>
                <c:ptCount val="6"/>
                <c:pt idx="0">
                  <c:v>2</c:v>
                </c:pt>
                <c:pt idx="1">
                  <c:v>9</c:v>
                </c:pt>
                <c:pt idx="2">
                  <c:v>8</c:v>
                </c:pt>
                <c:pt idx="3">
                  <c:v>32</c:v>
                </c:pt>
                <c:pt idx="4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769-431D-9811-BDA6C8D8F5C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03835919"/>
        <c:axId val="703834671"/>
      </c:bar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 i="0" baseline="0">
                <a:solidFill>
                  <a:sysClr val="windowText" lastClr="000000"/>
                </a:solidFill>
                <a:effectLst/>
                <a:latin typeface="Lato" panose="020F0502020204030203" pitchFamily="34" charset="-18"/>
              </a:rPr>
              <a:t>Liczba nowych cząsteczko-wskazań w 2023 r. - choroby rzadkie</a:t>
            </a:r>
            <a:endParaRPr lang="pl-PL" sz="800">
              <a:solidFill>
                <a:sysClr val="windowText" lastClr="000000"/>
              </a:solidFill>
              <a:effectLst/>
              <a:latin typeface="Lato" panose="020F0502020204030203" pitchFamily="34" charset="-18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7.7692038495188118E-2"/>
          <c:y val="0.13625000000000001"/>
          <c:w val="0.90286351706036749"/>
          <c:h val="0.6782942997509926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'miesiące 2023'!$A$18</c:f>
              <c:strCache>
                <c:ptCount val="1"/>
                <c:pt idx="0">
                  <c:v>Wskazania rzadkie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2023'!$B$17:$G$17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2023'!$B$18:$G$18</c:f>
              <c:numCache>
                <c:formatCode>General</c:formatCode>
                <c:ptCount val="6"/>
                <c:pt idx="0">
                  <c:v>17</c:v>
                </c:pt>
                <c:pt idx="1">
                  <c:v>2</c:v>
                </c:pt>
                <c:pt idx="2">
                  <c:v>8</c:v>
                </c:pt>
                <c:pt idx="3">
                  <c:v>4</c:v>
                </c:pt>
                <c:pt idx="4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73F-41C1-BB10-F441BB124D23}"/>
            </c:ext>
          </c:extLst>
        </c:ser>
        <c:ser>
          <c:idx val="1"/>
          <c:order val="1"/>
          <c:tx>
            <c:strRef>
              <c:f>'miesiące 2023'!$A$19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2023'!$B$17:$G$17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2023'!$B$19:$G$19</c:f>
              <c:numCache>
                <c:formatCode>General</c:formatCode>
                <c:ptCount val="6"/>
                <c:pt idx="0">
                  <c:v>6</c:v>
                </c:pt>
                <c:pt idx="1">
                  <c:v>17</c:v>
                </c:pt>
                <c:pt idx="2">
                  <c:v>8</c:v>
                </c:pt>
                <c:pt idx="3">
                  <c:v>35</c:v>
                </c:pt>
                <c:pt idx="4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73F-41C1-BB10-F441BB124D2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03835919"/>
        <c:axId val="703834671"/>
      </c:bar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800" b="1" i="0" u="none" strike="noStrike" kern="1200" spc="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>
                <a:solidFill>
                  <a:sysClr val="windowText" lastClr="000000"/>
                </a:solidFill>
                <a:latin typeface="Lato" panose="020F0502020204030203" pitchFamily="34" charset="-18"/>
              </a:rPr>
              <a:t>Cząsteczko-wskazania onkologiczne w 2023 r. (stan na wrzesień)</a:t>
            </a:r>
          </a:p>
        </c:rich>
      </c:tx>
      <c:layout>
        <c:manualLayout>
          <c:xMode val="edge"/>
          <c:yMode val="edge"/>
          <c:x val="0.19201289838770152"/>
          <c:y val="8.6887280981769177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800" b="1" i="0" u="none" strike="noStrike" kern="1200" spc="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13582997522272922"/>
          <c:y val="8.1695291444274148E-2"/>
          <c:w val="0.84009663854336591"/>
          <c:h val="0.82951117687470277"/>
        </c:manualLayout>
      </c:layout>
      <c:barChart>
        <c:barDir val="bar"/>
        <c:grouping val="clustered"/>
        <c:varyColors val="0"/>
        <c:ser>
          <c:idx val="10"/>
          <c:order val="0"/>
          <c:tx>
            <c:strRef>
              <c:f>'miesiące 2023'!$B$2</c:f>
              <c:strCache>
                <c:ptCount val="1"/>
                <c:pt idx="0">
                  <c:v>2023
(stan na wrzesień)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cat>
            <c:strRef>
              <c:f>('miesiące 2023'!$A$3:$A$8,'miesiące 2023'!$A$10:$A$12)</c:f>
              <c:strCache>
                <c:ptCount val="9"/>
                <c:pt idx="0">
                  <c:v>Inne</c:v>
                </c:pt>
                <c:pt idx="1">
                  <c:v>Nowotwory układu 
urologicznego</c:v>
                </c:pt>
                <c:pt idx="2">
                  <c:v>Nowotwory skóry</c:v>
                </c:pt>
                <c:pt idx="3">
                  <c:v>Nowotwory układu 
pokarmowego</c:v>
                </c:pt>
                <c:pt idx="4">
                  <c:v>Nowotwory układu 
oddechowego</c:v>
                </c:pt>
                <c:pt idx="5">
                  <c:v>Nowotwory nerki</c:v>
                </c:pt>
                <c:pt idx="6">
                  <c:v>Nowotwory 
ginekologiczne</c:v>
                </c:pt>
                <c:pt idx="7">
                  <c:v>Nowotwory układu 
endokrynnego</c:v>
                </c:pt>
                <c:pt idx="8">
                  <c:v>Hematoonkologia</c:v>
                </c:pt>
              </c:strCache>
              <c:extLst/>
            </c:strRef>
          </c:cat>
          <c:val>
            <c:numRef>
              <c:f>('miesiące 2023'!$B$3:$B$8,'miesiące 2023'!$B$10:$B$12)</c:f>
              <c:numCache>
                <c:formatCode>General</c:formatCode>
                <c:ptCount val="9"/>
                <c:pt idx="0">
                  <c:v>2</c:v>
                </c:pt>
                <c:pt idx="1">
                  <c:v>5</c:v>
                </c:pt>
                <c:pt idx="2">
                  <c:v>1</c:v>
                </c:pt>
                <c:pt idx="3">
                  <c:v>9</c:v>
                </c:pt>
                <c:pt idx="4">
                  <c:v>11</c:v>
                </c:pt>
                <c:pt idx="5">
                  <c:v>1</c:v>
                </c:pt>
                <c:pt idx="6">
                  <c:v>4</c:v>
                </c:pt>
                <c:pt idx="7">
                  <c:v>1</c:v>
                </c:pt>
                <c:pt idx="8">
                  <c:v>26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7151-4C89-B225-4F676941DD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51046271"/>
        <c:axId val="751054175"/>
      </c:barChart>
      <c:valAx>
        <c:axId val="75105417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51046271"/>
        <c:crosses val="autoZero"/>
        <c:crossBetween val="between"/>
        <c:majorUnit val="2"/>
      </c:valAx>
      <c:catAx>
        <c:axId val="751046271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51054175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spc="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>
                <a:latin typeface="Lato" panose="020F0502020204030203" pitchFamily="34" charset="-18"/>
              </a:rPr>
              <a:t>Cząsteczko-wskazania nieonkologiczne w 2023 r. (stan na wrzesień)</a:t>
            </a:r>
          </a:p>
        </c:rich>
      </c:tx>
      <c:layout>
        <c:manualLayout>
          <c:xMode val="edge"/>
          <c:yMode val="edge"/>
          <c:x val="0.12918032786885245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spc="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0948966438366801"/>
          <c:y val="0.11487919932559683"/>
          <c:w val="0.76644349190079053"/>
          <c:h val="0.7999379405592523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'miesiące 2023'!$B$19</c:f>
              <c:strCache>
                <c:ptCount val="1"/>
                <c:pt idx="0">
                  <c:v>2023
(stan na wrzesień)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cat>
            <c:strRef>
              <c:f>('miesiące 2023'!$A$20:$A$28,'miesiące 2023'!$A$30,'miesiące 2023'!$A$32:$A$36,'miesiące 2023'!$A$38)</c:f>
              <c:strCache>
                <c:ptCount val="16"/>
                <c:pt idx="0">
                  <c:v>Urologia</c:v>
                </c:pt>
                <c:pt idx="1">
                  <c:v>Reumatologia</c:v>
                </c:pt>
                <c:pt idx="2">
                  <c:v>Pulmonologia</c:v>
                </c:pt>
                <c:pt idx="3">
                  <c:v>Psychiatria</c:v>
                </c:pt>
                <c:pt idx="4">
                  <c:v>Okulistyka</c:v>
                </c:pt>
                <c:pt idx="5">
                  <c:v>Neurologia</c:v>
                </c:pt>
                <c:pt idx="6">
                  <c:v>Nefrologia </c:v>
                </c:pt>
                <c:pt idx="7">
                  <c:v>Kardiologia</c:v>
                </c:pt>
                <c:pt idx="8">
                  <c:v>Immunologia</c:v>
                </c:pt>
                <c:pt idx="9">
                  <c:v>Hematologia</c:v>
                </c:pt>
                <c:pt idx="10">
                  <c:v>Gastroenterologia</c:v>
                </c:pt>
                <c:pt idx="11">
                  <c:v>Endokrynologia</c:v>
                </c:pt>
                <c:pt idx="12">
                  <c:v>Diabetologia</c:v>
                </c:pt>
                <c:pt idx="13">
                  <c:v>Dermatologia</c:v>
                </c:pt>
                <c:pt idx="14">
                  <c:v>Choroby metaboliczne</c:v>
                </c:pt>
                <c:pt idx="15">
                  <c:v>Alergologia</c:v>
                </c:pt>
              </c:strCache>
              <c:extLst/>
            </c:strRef>
          </c:cat>
          <c:val>
            <c:numRef>
              <c:f>('miesiące 2023'!$B$20:$B$28,'miesiące 2023'!$B$30,'miesiące 2023'!$B$32:$B$36,'miesiące 2023'!$B$38)</c:f>
              <c:numCache>
                <c:formatCode>General</c:formatCode>
                <c:ptCount val="16"/>
                <c:pt idx="0">
                  <c:v>1</c:v>
                </c:pt>
                <c:pt idx="1">
                  <c:v>7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  <c:pt idx="5">
                  <c:v>3</c:v>
                </c:pt>
                <c:pt idx="6">
                  <c:v>1</c:v>
                </c:pt>
                <c:pt idx="7">
                  <c:v>20</c:v>
                </c:pt>
                <c:pt idx="8">
                  <c:v>2</c:v>
                </c:pt>
                <c:pt idx="9">
                  <c:v>7</c:v>
                </c:pt>
                <c:pt idx="10">
                  <c:v>4</c:v>
                </c:pt>
                <c:pt idx="11">
                  <c:v>1</c:v>
                </c:pt>
                <c:pt idx="12">
                  <c:v>3</c:v>
                </c:pt>
                <c:pt idx="13">
                  <c:v>4</c:v>
                </c:pt>
                <c:pt idx="14">
                  <c:v>1</c:v>
                </c:pt>
                <c:pt idx="15">
                  <c:v>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E24E-4F9C-BFB6-6694C41174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1296495"/>
        <c:axId val="241294831"/>
      </c:barChart>
      <c:valAx>
        <c:axId val="24129483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241296495"/>
        <c:crosses val="autoZero"/>
        <c:crossBetween val="between"/>
        <c:majorUnit val="2"/>
      </c:valAx>
      <c:catAx>
        <c:axId val="24129649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24129483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1545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Oczkowski Mateusz</dc:creator>
  <dc:description/>
  <cp:lastModifiedBy>Tobiaszewski Paweł</cp:lastModifiedBy>
  <cp:revision>3</cp:revision>
  <dcterms:created xsi:type="dcterms:W3CDTF">2023-08-23T18:16:00Z</dcterms:created>
  <dcterms:modified xsi:type="dcterms:W3CDTF">2023-08-24T09:05:00Z</dcterms:modified>
</cp:coreProperties>
</file>