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F8FDA" w14:textId="5270AC8F" w:rsidR="007D7F90" w:rsidRPr="00C46203" w:rsidRDefault="007D7F90" w:rsidP="007D7F90">
      <w:pPr>
        <w:pStyle w:val="Style1"/>
        <w:widowControl/>
        <w:spacing w:before="58"/>
        <w:ind w:left="720"/>
        <w:rPr>
          <w:rStyle w:val="FontStyle13"/>
        </w:rPr>
      </w:pPr>
      <w:bookmarkStart w:id="0" w:name="_GoBack"/>
      <w:r w:rsidRPr="00C46203">
        <w:rPr>
          <w:rStyle w:val="FontStyle13"/>
        </w:rPr>
        <w:t>Regulamin obejmowania honorowym patronatem Ministra Sprawiedliwości</w:t>
      </w:r>
      <w:r w:rsidR="00C4024C">
        <w:rPr>
          <w:rStyle w:val="FontStyle13"/>
        </w:rPr>
        <w:t>,</w:t>
      </w:r>
      <w:r w:rsidRPr="00C46203">
        <w:rPr>
          <w:rStyle w:val="FontStyle13"/>
        </w:rPr>
        <w:t xml:space="preserve"> </w:t>
      </w:r>
      <w:r w:rsidR="007F79DB" w:rsidRPr="00437350">
        <w:rPr>
          <w:rStyle w:val="FontStyle13"/>
          <w:rFonts w:cs="Times New Roman"/>
        </w:rPr>
        <w:t xml:space="preserve">Sekretarza Stanu </w:t>
      </w:r>
      <w:r w:rsidR="00437350">
        <w:rPr>
          <w:rStyle w:val="FontStyle13"/>
          <w:rFonts w:cs="Times New Roman"/>
        </w:rPr>
        <w:t>lub</w:t>
      </w:r>
      <w:r w:rsidR="007F79DB" w:rsidRPr="00437350">
        <w:rPr>
          <w:rStyle w:val="FontStyle13"/>
          <w:rFonts w:cs="Times New Roman"/>
        </w:rPr>
        <w:t xml:space="preserve"> Podsekretarza Stanu w Ministerstwie Sprawiedliwości </w:t>
      </w:r>
      <w:r w:rsidRPr="00C46203">
        <w:rPr>
          <w:rStyle w:val="FontStyle13"/>
        </w:rPr>
        <w:t>oraz</w:t>
      </w:r>
      <w:r w:rsidR="00062822">
        <w:rPr>
          <w:rStyle w:val="FontStyle13"/>
        </w:rPr>
        <w:t> </w:t>
      </w:r>
      <w:r w:rsidRPr="00C46203">
        <w:rPr>
          <w:rStyle w:val="FontStyle13"/>
        </w:rPr>
        <w:t>uczestnictwa w komitecie honorowym</w:t>
      </w:r>
    </w:p>
    <w:bookmarkEnd w:id="0"/>
    <w:p w14:paraId="288826B4" w14:textId="77777777" w:rsidR="007D7F90" w:rsidRDefault="007D7F90" w:rsidP="007D7F90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14:paraId="0A4195C6" w14:textId="77777777" w:rsidR="007D7F90" w:rsidRDefault="007D7F90" w:rsidP="00062822">
      <w:pPr>
        <w:pStyle w:val="Style2"/>
        <w:widowControl/>
        <w:spacing w:before="240" w:after="240"/>
        <w:jc w:val="left"/>
        <w:rPr>
          <w:rStyle w:val="FontStyle13"/>
        </w:rPr>
      </w:pPr>
      <w:r>
        <w:rPr>
          <w:rStyle w:val="FontStyle13"/>
        </w:rPr>
        <w:t>I. Postanowienia ogólne.</w:t>
      </w:r>
    </w:p>
    <w:p w14:paraId="1E055187" w14:textId="77777777" w:rsidR="00C4024C" w:rsidRDefault="00144BEB" w:rsidP="00C4024C">
      <w:pPr>
        <w:pStyle w:val="Style3"/>
        <w:widowControl/>
        <w:numPr>
          <w:ilvl w:val="0"/>
          <w:numId w:val="8"/>
        </w:numPr>
        <w:tabs>
          <w:tab w:val="left" w:pos="274"/>
        </w:tabs>
        <w:spacing w:line="403" w:lineRule="exact"/>
        <w:ind w:left="274" w:right="7"/>
        <w:rPr>
          <w:rStyle w:val="FontStyle14"/>
        </w:rPr>
      </w:pPr>
      <w:r>
        <w:rPr>
          <w:rStyle w:val="FontStyle14"/>
        </w:rPr>
        <w:t>Honorowy patronat oraz udział w komitecie honorowym może zostać udzielony przez Ministra Sprawiedliwości, Sekretarza Stanu lub Podsekretarza Stanu.</w:t>
      </w:r>
    </w:p>
    <w:p w14:paraId="1EEEA6AC" w14:textId="77777777" w:rsidR="00C4024C" w:rsidRDefault="007D7F90" w:rsidP="00C4024C">
      <w:pPr>
        <w:pStyle w:val="Style3"/>
        <w:widowControl/>
        <w:numPr>
          <w:ilvl w:val="0"/>
          <w:numId w:val="8"/>
        </w:numPr>
        <w:tabs>
          <w:tab w:val="left" w:pos="274"/>
        </w:tabs>
        <w:spacing w:line="403" w:lineRule="exact"/>
        <w:ind w:left="274" w:right="7"/>
        <w:rPr>
          <w:rStyle w:val="FontStyle14"/>
        </w:rPr>
      </w:pPr>
      <w:r>
        <w:rPr>
          <w:rStyle w:val="FontStyle14"/>
        </w:rPr>
        <w:t>Honorowy patronat Ministra Sprawiedliwości</w:t>
      </w:r>
      <w:r w:rsidR="009B40DE">
        <w:rPr>
          <w:rStyle w:val="FontStyle14"/>
        </w:rPr>
        <w:t>,</w:t>
      </w:r>
      <w:r>
        <w:rPr>
          <w:rStyle w:val="FontStyle14"/>
        </w:rPr>
        <w:t xml:space="preserve"> lub udział Ministra Sprawiedliwości w</w:t>
      </w:r>
      <w:r w:rsidR="00062822">
        <w:rPr>
          <w:rStyle w:val="FontStyle14"/>
        </w:rPr>
        <w:t> </w:t>
      </w:r>
      <w:r>
        <w:rPr>
          <w:rStyle w:val="FontStyle14"/>
        </w:rPr>
        <w:t xml:space="preserve">komitecie honorowym jest wyróżnieniem podkreślającym szczególny charakter przedsięwzięć </w:t>
      </w:r>
      <w:bookmarkStart w:id="1" w:name="_Hlk50376413"/>
      <w:r>
        <w:rPr>
          <w:rStyle w:val="FontStyle14"/>
        </w:rPr>
        <w:t>bezpośrednio związanych z zakresem działania Ministerstwa Sprawiedliwości</w:t>
      </w:r>
      <w:bookmarkEnd w:id="1"/>
      <w:r>
        <w:rPr>
          <w:rStyle w:val="FontStyle14"/>
        </w:rPr>
        <w:t>.</w:t>
      </w:r>
    </w:p>
    <w:p w14:paraId="599D7551" w14:textId="190DBF4F" w:rsidR="006138FC" w:rsidRDefault="006138FC" w:rsidP="006138FC">
      <w:pPr>
        <w:pStyle w:val="Style3"/>
        <w:widowControl/>
        <w:numPr>
          <w:ilvl w:val="0"/>
          <w:numId w:val="8"/>
        </w:numPr>
        <w:tabs>
          <w:tab w:val="left" w:pos="274"/>
        </w:tabs>
        <w:spacing w:line="403" w:lineRule="exact"/>
        <w:ind w:left="274" w:right="7"/>
        <w:rPr>
          <w:rStyle w:val="FontStyle14"/>
        </w:rPr>
      </w:pPr>
      <w:r w:rsidRPr="00C4024C">
        <w:rPr>
          <w:rStyle w:val="FontStyle14"/>
          <w:rFonts w:cs="Times New Roman"/>
        </w:rPr>
        <w:t>Wydarzenia lub przedsięwzięcia o innej randze niż wymienione w pkt. 2</w:t>
      </w:r>
      <w:r>
        <w:rPr>
          <w:rStyle w:val="FontStyle14"/>
          <w:rFonts w:cs="Times New Roman"/>
        </w:rPr>
        <w:t xml:space="preserve">, które są </w:t>
      </w:r>
      <w:r>
        <w:rPr>
          <w:rStyle w:val="FontStyle14"/>
        </w:rPr>
        <w:t xml:space="preserve">związane </w:t>
      </w:r>
      <w:r>
        <w:rPr>
          <w:rStyle w:val="FontStyle14"/>
        </w:rPr>
        <w:br/>
        <w:t>z zakresem działania Ministerstwa Sprawiedliwości,</w:t>
      </w:r>
      <w:r w:rsidRPr="00C4024C">
        <w:rPr>
          <w:rStyle w:val="FontStyle14"/>
          <w:rFonts w:cs="Times New Roman"/>
        </w:rPr>
        <w:t xml:space="preserve"> mogą zostać objęte patronatem honorowym lub członkostwem w </w:t>
      </w:r>
      <w:r w:rsidR="00C516CB">
        <w:rPr>
          <w:rStyle w:val="FontStyle14"/>
          <w:rFonts w:cs="Times New Roman"/>
        </w:rPr>
        <w:t>k</w:t>
      </w:r>
      <w:r w:rsidRPr="00C4024C">
        <w:rPr>
          <w:rStyle w:val="FontStyle14"/>
          <w:rFonts w:cs="Times New Roman"/>
        </w:rPr>
        <w:t xml:space="preserve">omitecie </w:t>
      </w:r>
      <w:r w:rsidR="00C516CB">
        <w:rPr>
          <w:rStyle w:val="FontStyle14"/>
          <w:rFonts w:cs="Times New Roman"/>
        </w:rPr>
        <w:t>h</w:t>
      </w:r>
      <w:r w:rsidRPr="00C4024C">
        <w:rPr>
          <w:rStyle w:val="FontStyle14"/>
          <w:rFonts w:cs="Times New Roman"/>
        </w:rPr>
        <w:t>onorowym przez Sekretarza Stanu lub Podsekretarza Stanu.</w:t>
      </w:r>
    </w:p>
    <w:p w14:paraId="43743982" w14:textId="4E20DAF4" w:rsidR="00C4024C" w:rsidRDefault="007D7F90" w:rsidP="00C4024C">
      <w:pPr>
        <w:pStyle w:val="Style3"/>
        <w:widowControl/>
        <w:numPr>
          <w:ilvl w:val="0"/>
          <w:numId w:val="8"/>
        </w:numPr>
        <w:tabs>
          <w:tab w:val="left" w:pos="274"/>
        </w:tabs>
        <w:spacing w:line="403" w:lineRule="exact"/>
        <w:ind w:left="274" w:right="7"/>
        <w:rPr>
          <w:rStyle w:val="FontStyle14"/>
        </w:rPr>
      </w:pPr>
      <w:r>
        <w:rPr>
          <w:rStyle w:val="FontStyle14"/>
        </w:rPr>
        <w:t xml:space="preserve">Patronat honorowy lub uczestnictwo w komitecie honorowym przyznawane jest przede wszystkim inicjatywom mającym zasięg i znaczenie międzynarodowe, ogólnopolskie </w:t>
      </w:r>
      <w:r w:rsidR="000A352E">
        <w:rPr>
          <w:rStyle w:val="FontStyle14"/>
        </w:rPr>
        <w:br/>
      </w:r>
      <w:r>
        <w:rPr>
          <w:rStyle w:val="FontStyle14"/>
        </w:rPr>
        <w:t>lub regionalne, których zakres tematyczny dotyczy działań Ministerstwa Sprawiedliwości.</w:t>
      </w:r>
    </w:p>
    <w:p w14:paraId="4D63D639" w14:textId="305B13E9" w:rsidR="003D32EE" w:rsidRDefault="00144BEB" w:rsidP="00C4024C">
      <w:pPr>
        <w:pStyle w:val="Style3"/>
        <w:widowControl/>
        <w:numPr>
          <w:ilvl w:val="0"/>
          <w:numId w:val="8"/>
        </w:numPr>
        <w:tabs>
          <w:tab w:val="left" w:pos="274"/>
        </w:tabs>
        <w:spacing w:line="403" w:lineRule="exact"/>
        <w:ind w:left="274" w:right="7"/>
        <w:rPr>
          <w:rStyle w:val="FontStyle14"/>
        </w:rPr>
      </w:pPr>
      <w:r>
        <w:rPr>
          <w:rStyle w:val="FontStyle14"/>
        </w:rPr>
        <w:t xml:space="preserve">Podmioty wymienione w </w:t>
      </w:r>
      <w:r w:rsidR="00976C21">
        <w:rPr>
          <w:rStyle w:val="FontStyle14"/>
        </w:rPr>
        <w:t>pkt</w:t>
      </w:r>
      <w:r>
        <w:rPr>
          <w:rStyle w:val="FontStyle14"/>
        </w:rPr>
        <w:t>.</w:t>
      </w:r>
      <w:r w:rsidR="00976C21">
        <w:rPr>
          <w:rStyle w:val="FontStyle14"/>
        </w:rPr>
        <w:t xml:space="preserve"> </w:t>
      </w:r>
      <w:r w:rsidR="00771495">
        <w:rPr>
          <w:rStyle w:val="FontStyle14"/>
        </w:rPr>
        <w:t>1</w:t>
      </w:r>
      <w:r w:rsidR="007D7F90">
        <w:rPr>
          <w:rStyle w:val="FontStyle14"/>
        </w:rPr>
        <w:t xml:space="preserve"> mo</w:t>
      </w:r>
      <w:r w:rsidR="00771495">
        <w:rPr>
          <w:rStyle w:val="FontStyle14"/>
        </w:rPr>
        <w:t>gą</w:t>
      </w:r>
      <w:r w:rsidR="007D7F90">
        <w:rPr>
          <w:rStyle w:val="FontStyle14"/>
        </w:rPr>
        <w:t xml:space="preserve"> odmówić objęcia przedsięwzięcia patronatem honorowym lub przystąpienia do komitetu honorowego bez podania przyczyny.</w:t>
      </w:r>
    </w:p>
    <w:p w14:paraId="0A1E1BA8" w14:textId="4759D0E5" w:rsidR="003D32EE" w:rsidRDefault="007D7F90" w:rsidP="003D32EE">
      <w:pPr>
        <w:pStyle w:val="Style3"/>
        <w:widowControl/>
        <w:numPr>
          <w:ilvl w:val="0"/>
          <w:numId w:val="8"/>
        </w:numPr>
        <w:tabs>
          <w:tab w:val="left" w:pos="274"/>
        </w:tabs>
        <w:spacing w:line="403" w:lineRule="exact"/>
        <w:ind w:left="274" w:right="7"/>
        <w:rPr>
          <w:rStyle w:val="FontStyle14"/>
        </w:rPr>
      </w:pPr>
      <w:r>
        <w:rPr>
          <w:rStyle w:val="FontStyle14"/>
        </w:rPr>
        <w:t xml:space="preserve">W przypadku przedsięwzięć o charakterze cyklicznym honorowy patronat </w:t>
      </w:r>
      <w:r w:rsidR="00771495">
        <w:rPr>
          <w:rStyle w:val="FontStyle14"/>
        </w:rPr>
        <w:t xml:space="preserve">podmiotów wymienionych w </w:t>
      </w:r>
      <w:r w:rsidR="00976C21">
        <w:rPr>
          <w:rStyle w:val="FontStyle14"/>
        </w:rPr>
        <w:t>pkt</w:t>
      </w:r>
      <w:r w:rsidR="00771495">
        <w:rPr>
          <w:rStyle w:val="FontStyle14"/>
        </w:rPr>
        <w:t xml:space="preserve">. 1 </w:t>
      </w:r>
      <w:r>
        <w:rPr>
          <w:rStyle w:val="FontStyle14"/>
        </w:rPr>
        <w:t>lub członkostwo w komitecie honorowym przyznawany jest każdorazowo na jedną edycję.</w:t>
      </w:r>
    </w:p>
    <w:p w14:paraId="4017B26E" w14:textId="5BAFB5EF" w:rsidR="003D32EE" w:rsidRDefault="007D7F90" w:rsidP="003D32EE">
      <w:pPr>
        <w:pStyle w:val="Style3"/>
        <w:widowControl/>
        <w:numPr>
          <w:ilvl w:val="0"/>
          <w:numId w:val="8"/>
        </w:numPr>
        <w:tabs>
          <w:tab w:val="left" w:pos="274"/>
        </w:tabs>
        <w:spacing w:line="403" w:lineRule="exact"/>
        <w:ind w:left="274" w:right="7"/>
        <w:rPr>
          <w:rStyle w:val="FontStyle13"/>
          <w:b w:val="0"/>
          <w:bCs w:val="0"/>
        </w:rPr>
      </w:pPr>
      <w:r>
        <w:rPr>
          <w:rStyle w:val="FontStyle14"/>
        </w:rPr>
        <w:t>Przyjęcie honorowego patronatu lub udziału w komitecie honorowym nie oznacza deklaracji wsparcia finansowego, organizacyjnego czy też osobistego udziału Ministra Sprawiedliwości</w:t>
      </w:r>
      <w:r w:rsidR="007F79DB">
        <w:rPr>
          <w:rStyle w:val="FontStyle14"/>
        </w:rPr>
        <w:t xml:space="preserve">, </w:t>
      </w:r>
      <w:r w:rsidR="000B09D9">
        <w:rPr>
          <w:rStyle w:val="FontStyle14"/>
        </w:rPr>
        <w:t xml:space="preserve">Sekretarza Stanu lub Podsekretarza Stanu </w:t>
      </w:r>
      <w:r w:rsidR="00062822">
        <w:rPr>
          <w:rStyle w:val="FontStyle14"/>
        </w:rPr>
        <w:t>jak</w:t>
      </w:r>
      <w:r w:rsidR="000B09D9">
        <w:rPr>
          <w:rStyle w:val="FontStyle14"/>
        </w:rPr>
        <w:t xml:space="preserve"> też </w:t>
      </w:r>
      <w:r>
        <w:rPr>
          <w:rStyle w:val="FontStyle14"/>
        </w:rPr>
        <w:t xml:space="preserve">przedstawiciela </w:t>
      </w:r>
      <w:r w:rsidR="00764996">
        <w:rPr>
          <w:rStyle w:val="FontStyle14"/>
        </w:rPr>
        <w:t xml:space="preserve">wyżej wymienionych osób </w:t>
      </w:r>
      <w:r w:rsidR="009F1556">
        <w:rPr>
          <w:rStyle w:val="FontStyle14"/>
        </w:rPr>
        <w:br/>
      </w:r>
      <w:r>
        <w:rPr>
          <w:rStyle w:val="FontStyle14"/>
        </w:rPr>
        <w:t>w danym wydarzeniu.</w:t>
      </w:r>
    </w:p>
    <w:p w14:paraId="6DB875AD" w14:textId="78272D96" w:rsidR="003D32EE" w:rsidRDefault="006C15E4" w:rsidP="003D32EE">
      <w:pPr>
        <w:pStyle w:val="Style3"/>
        <w:widowControl/>
        <w:numPr>
          <w:ilvl w:val="0"/>
          <w:numId w:val="8"/>
        </w:numPr>
        <w:tabs>
          <w:tab w:val="left" w:pos="274"/>
        </w:tabs>
        <w:spacing w:line="403" w:lineRule="exact"/>
        <w:ind w:left="274" w:right="7"/>
        <w:rPr>
          <w:rStyle w:val="FontStyle14"/>
        </w:rPr>
      </w:pPr>
      <w:r>
        <w:rPr>
          <w:rStyle w:val="FontStyle14"/>
        </w:rPr>
        <w:t xml:space="preserve">Podmioty wymienione w </w:t>
      </w:r>
      <w:r w:rsidR="00976C21">
        <w:rPr>
          <w:rStyle w:val="FontStyle14"/>
        </w:rPr>
        <w:t>pkt</w:t>
      </w:r>
      <w:r>
        <w:rPr>
          <w:rStyle w:val="FontStyle14"/>
        </w:rPr>
        <w:t xml:space="preserve">. </w:t>
      </w:r>
      <w:r w:rsidR="00EE1FBD">
        <w:rPr>
          <w:rStyle w:val="FontStyle14"/>
        </w:rPr>
        <w:t>1</w:t>
      </w:r>
      <w:r>
        <w:rPr>
          <w:rStyle w:val="FontStyle14"/>
        </w:rPr>
        <w:t xml:space="preserve"> </w:t>
      </w:r>
      <w:r w:rsidR="007D7F90">
        <w:rPr>
          <w:rStyle w:val="FontStyle14"/>
        </w:rPr>
        <w:t xml:space="preserve"> nie udziela</w:t>
      </w:r>
      <w:r>
        <w:rPr>
          <w:rStyle w:val="FontStyle14"/>
        </w:rPr>
        <w:t>ją</w:t>
      </w:r>
      <w:r w:rsidR="007D7F90">
        <w:rPr>
          <w:rStyle w:val="FontStyle14"/>
        </w:rPr>
        <w:t xml:space="preserve"> patronatu honorowego i nie przyjmuje członkostwa w komitetach honorowych w przypadku przedsięwzięć o charakterze</w:t>
      </w:r>
      <w:r w:rsidR="009F1556">
        <w:rPr>
          <w:rStyle w:val="FontStyle14"/>
        </w:rPr>
        <w:t xml:space="preserve"> </w:t>
      </w:r>
      <w:r w:rsidR="007D7F90">
        <w:rPr>
          <w:rStyle w:val="FontStyle14"/>
        </w:rPr>
        <w:t>komercyjnym, lobbystycznym lub reklamowym.</w:t>
      </w:r>
    </w:p>
    <w:p w14:paraId="5E5C7C3F" w14:textId="26AB632F" w:rsidR="00C4024C" w:rsidRDefault="007D7F90" w:rsidP="00C4024C">
      <w:pPr>
        <w:pStyle w:val="Style3"/>
        <w:widowControl/>
        <w:numPr>
          <w:ilvl w:val="0"/>
          <w:numId w:val="8"/>
        </w:numPr>
        <w:tabs>
          <w:tab w:val="left" w:pos="274"/>
        </w:tabs>
        <w:spacing w:line="403" w:lineRule="exact"/>
        <w:ind w:left="274" w:right="7"/>
        <w:rPr>
          <w:rStyle w:val="FontStyle14"/>
        </w:rPr>
      </w:pPr>
      <w:r>
        <w:rPr>
          <w:rStyle w:val="FontStyle14"/>
        </w:rPr>
        <w:t>Decyzja Ministra Sprawiedliwości</w:t>
      </w:r>
      <w:r w:rsidR="00EE1FBD">
        <w:rPr>
          <w:rStyle w:val="FontStyle14"/>
        </w:rPr>
        <w:t xml:space="preserve"> lub innych podmiotów wymienionych w </w:t>
      </w:r>
      <w:r w:rsidR="00976C21">
        <w:rPr>
          <w:rStyle w:val="FontStyle14"/>
        </w:rPr>
        <w:t>pkt</w:t>
      </w:r>
      <w:r w:rsidR="00EE1FBD">
        <w:rPr>
          <w:rStyle w:val="FontStyle14"/>
        </w:rPr>
        <w:t>. 1</w:t>
      </w:r>
      <w:r>
        <w:rPr>
          <w:rStyle w:val="FontStyle14"/>
        </w:rPr>
        <w:t xml:space="preserve"> w sprawie objęcia patronatem honorowym lub udziału w komitecie honorowym ma charakter uznaniowy, nie wymaga uzasadnienia, jest ostateczna, nie przysługuje od niej odwołanie.</w:t>
      </w:r>
    </w:p>
    <w:p w14:paraId="3C564CC1" w14:textId="65D24AD9" w:rsidR="007D7F90" w:rsidRPr="00C4024C" w:rsidRDefault="007D7F90" w:rsidP="00C4024C">
      <w:pPr>
        <w:pStyle w:val="Style3"/>
        <w:widowControl/>
        <w:numPr>
          <w:ilvl w:val="0"/>
          <w:numId w:val="8"/>
        </w:numPr>
        <w:tabs>
          <w:tab w:val="left" w:pos="274"/>
        </w:tabs>
        <w:spacing w:line="403" w:lineRule="exact"/>
        <w:ind w:left="274" w:right="7"/>
        <w:rPr>
          <w:rFonts w:cs="Garamond"/>
        </w:rPr>
      </w:pPr>
      <w:r>
        <w:rPr>
          <w:rStyle w:val="FontStyle14"/>
        </w:rPr>
        <w:t>Honorowy patronat lub członkostwo Ministra Sprawiedliwości</w:t>
      </w:r>
      <w:r w:rsidR="00EE1FBD">
        <w:rPr>
          <w:rStyle w:val="FontStyle14"/>
        </w:rPr>
        <w:t xml:space="preserve">, Sekretarza Stanu </w:t>
      </w:r>
      <w:r w:rsidR="000A352E">
        <w:rPr>
          <w:rStyle w:val="FontStyle14"/>
        </w:rPr>
        <w:br/>
      </w:r>
      <w:r w:rsidR="00EE1FBD">
        <w:rPr>
          <w:rStyle w:val="FontStyle14"/>
        </w:rPr>
        <w:t>lub Podsekretarza Stanu</w:t>
      </w:r>
      <w:r>
        <w:rPr>
          <w:rStyle w:val="FontStyle14"/>
        </w:rPr>
        <w:t xml:space="preserve"> w komitecie honorowym nie uprawnia organizatorów przedsięwzięcia do uprzywilejowanego traktowania ani do żądania uprzywilejowanego traktowania ich </w:t>
      </w:r>
      <w:r w:rsidR="00735567">
        <w:rPr>
          <w:rStyle w:val="FontStyle14"/>
        </w:rPr>
        <w:br/>
      </w:r>
      <w:r>
        <w:rPr>
          <w:rStyle w:val="FontStyle14"/>
        </w:rPr>
        <w:lastRenderedPageBreak/>
        <w:t>w relacjach z Ministerstwem Sprawiedliwości, w szczególności w sprawach z zakresu zamówień publicznych czy decyzji administracyjnych. Niestosowanie się do powyższych ograniczeń będzie skutkować odebraniem honorowego patronatu lub wycofaniem z komitetu honorowego z winy organizatorów.</w:t>
      </w:r>
    </w:p>
    <w:p w14:paraId="55CB5ECE" w14:textId="6945FE3B" w:rsidR="007D7F90" w:rsidRDefault="007D7F90" w:rsidP="00062822">
      <w:pPr>
        <w:pStyle w:val="Style5"/>
        <w:widowControl/>
        <w:spacing w:before="240" w:after="240"/>
        <w:ind w:left="288" w:right="43"/>
        <w:jc w:val="both"/>
        <w:rPr>
          <w:rStyle w:val="FontStyle13"/>
        </w:rPr>
      </w:pPr>
      <w:r>
        <w:rPr>
          <w:rStyle w:val="FontStyle13"/>
        </w:rPr>
        <w:t>II.</w:t>
      </w:r>
      <w:r w:rsidR="00062822">
        <w:rPr>
          <w:rStyle w:val="FontStyle13"/>
        </w:rPr>
        <w:t xml:space="preserve"> </w:t>
      </w:r>
      <w:r>
        <w:rPr>
          <w:rStyle w:val="FontStyle13"/>
        </w:rPr>
        <w:t>Procedura obejmowania patronatem honorowym lub udziału Ministra Sprawiedliwości w komitecie honorowym.</w:t>
      </w:r>
    </w:p>
    <w:p w14:paraId="7600E4BE" w14:textId="1808D58C" w:rsidR="003D32EE" w:rsidRDefault="007D7F90" w:rsidP="00062822">
      <w:pPr>
        <w:pStyle w:val="Style3"/>
        <w:widowControl/>
        <w:numPr>
          <w:ilvl w:val="0"/>
          <w:numId w:val="9"/>
        </w:numPr>
        <w:tabs>
          <w:tab w:val="left" w:pos="284"/>
        </w:tabs>
        <w:spacing w:line="403" w:lineRule="exact"/>
        <w:ind w:left="284" w:right="7" w:hanging="284"/>
        <w:rPr>
          <w:rStyle w:val="FontStyle14"/>
        </w:rPr>
      </w:pPr>
      <w:r>
        <w:rPr>
          <w:rStyle w:val="FontStyle14"/>
        </w:rPr>
        <w:t>Organizator ubiegający się o przyznanie patronatu honorowego lub członkostwa Ministra Sprawiedliwości</w:t>
      </w:r>
      <w:r w:rsidR="00EE1FBD">
        <w:rPr>
          <w:rStyle w:val="FontStyle14"/>
        </w:rPr>
        <w:t>, Sekretarza Stanu lub Podsekretarza Stanu</w:t>
      </w:r>
      <w:r>
        <w:rPr>
          <w:rStyle w:val="FontStyle14"/>
        </w:rPr>
        <w:t xml:space="preserve"> w komitecie honorowym powinien złożyć pisemnie wypełniony wniosek stanowiący załącznik nr 1 do niniejszego regulaminu, który należy pobrać ze stron</w:t>
      </w:r>
      <w:r w:rsidR="003D32EE">
        <w:rPr>
          <w:rStyle w:val="FontStyle14"/>
        </w:rPr>
        <w:t>y</w:t>
      </w:r>
      <w:r w:rsidR="00976C21">
        <w:rPr>
          <w:rStyle w:val="FontStyle14"/>
        </w:rPr>
        <w:t xml:space="preserve"> internetowej: </w:t>
      </w:r>
      <w:r w:rsidR="00976C21" w:rsidRPr="00976C21">
        <w:rPr>
          <w:rStyle w:val="FontStyle14"/>
        </w:rPr>
        <w:t>www.gov.pl/web/sprawiedliwosc/patronaty</w:t>
      </w:r>
    </w:p>
    <w:p w14:paraId="1B543A0C" w14:textId="77777777" w:rsidR="003D32EE" w:rsidRDefault="007D7F90" w:rsidP="003D32EE">
      <w:pPr>
        <w:pStyle w:val="Style3"/>
        <w:widowControl/>
        <w:numPr>
          <w:ilvl w:val="0"/>
          <w:numId w:val="9"/>
        </w:numPr>
        <w:tabs>
          <w:tab w:val="left" w:pos="259"/>
        </w:tabs>
        <w:spacing w:line="403" w:lineRule="exact"/>
        <w:ind w:left="259" w:right="7" w:hanging="259"/>
        <w:rPr>
          <w:rStyle w:val="FontStyle14"/>
        </w:rPr>
      </w:pPr>
      <w:r>
        <w:rPr>
          <w:rStyle w:val="FontStyle14"/>
        </w:rPr>
        <w:t>Przed złożeniem wniosku wnioskodawca ma obowiązek zapoznania się z regulaminem.</w:t>
      </w:r>
    </w:p>
    <w:p w14:paraId="09439CEE" w14:textId="77777777" w:rsidR="003D32EE" w:rsidRDefault="007D7F90" w:rsidP="003D32EE">
      <w:pPr>
        <w:pStyle w:val="Style3"/>
        <w:widowControl/>
        <w:numPr>
          <w:ilvl w:val="0"/>
          <w:numId w:val="9"/>
        </w:numPr>
        <w:tabs>
          <w:tab w:val="left" w:pos="259"/>
        </w:tabs>
        <w:spacing w:line="403" w:lineRule="exact"/>
        <w:ind w:left="259" w:right="7" w:hanging="259"/>
        <w:rPr>
          <w:rStyle w:val="FontStyle14"/>
        </w:rPr>
      </w:pPr>
      <w:r>
        <w:rPr>
          <w:rStyle w:val="FontStyle14"/>
        </w:rPr>
        <w:t>Jednostką Ministerstwa odpowiedzialną za rozpatrywanie wniosków i przyznawanie patronatów jest Biuro Ministra.</w:t>
      </w:r>
    </w:p>
    <w:p w14:paraId="01E7FD47" w14:textId="77777777" w:rsidR="003D32EE" w:rsidRDefault="007D7F90" w:rsidP="003D32EE">
      <w:pPr>
        <w:pStyle w:val="Style3"/>
        <w:widowControl/>
        <w:numPr>
          <w:ilvl w:val="0"/>
          <w:numId w:val="9"/>
        </w:numPr>
        <w:tabs>
          <w:tab w:val="left" w:pos="259"/>
        </w:tabs>
        <w:spacing w:line="403" w:lineRule="exact"/>
        <w:ind w:left="259" w:right="7" w:hanging="259"/>
        <w:rPr>
          <w:rStyle w:val="FontStyle14"/>
        </w:rPr>
      </w:pPr>
      <w:r>
        <w:rPr>
          <w:rStyle w:val="FontStyle14"/>
        </w:rPr>
        <w:t>Wypełniony wniosek należy przesłać na co najmniej dwa miesiące przed planowanym terminem przedsięwzięcia:</w:t>
      </w:r>
    </w:p>
    <w:p w14:paraId="3BEC43B7" w14:textId="394A6948" w:rsidR="003D32EE" w:rsidRPr="003D32EE" w:rsidRDefault="007D7F90" w:rsidP="003D32EE">
      <w:pPr>
        <w:pStyle w:val="Style3"/>
        <w:widowControl/>
        <w:numPr>
          <w:ilvl w:val="0"/>
          <w:numId w:val="10"/>
        </w:numPr>
        <w:tabs>
          <w:tab w:val="left" w:pos="259"/>
        </w:tabs>
        <w:spacing w:line="403" w:lineRule="exact"/>
        <w:ind w:left="533" w:right="7"/>
        <w:rPr>
          <w:rStyle w:val="FontStyle11"/>
          <w:sz w:val="24"/>
          <w:szCs w:val="24"/>
        </w:rPr>
      </w:pPr>
      <w:r>
        <w:rPr>
          <w:rStyle w:val="FontStyle14"/>
        </w:rPr>
        <w:t xml:space="preserve">pocztą elektroniczną na adres: </w:t>
      </w:r>
      <w:r w:rsidR="00062822">
        <w:rPr>
          <w:rStyle w:val="FontStyle13"/>
        </w:rPr>
        <w:t>patronaty@ms.gov.pl</w:t>
      </w:r>
    </w:p>
    <w:p w14:paraId="71EEA2CA" w14:textId="77777777" w:rsidR="003D32EE" w:rsidRDefault="007D7F90" w:rsidP="003D32EE">
      <w:pPr>
        <w:pStyle w:val="Style3"/>
        <w:widowControl/>
        <w:numPr>
          <w:ilvl w:val="0"/>
          <w:numId w:val="10"/>
        </w:numPr>
        <w:tabs>
          <w:tab w:val="left" w:pos="259"/>
        </w:tabs>
        <w:spacing w:line="403" w:lineRule="exact"/>
        <w:ind w:left="533" w:right="7"/>
        <w:rPr>
          <w:rStyle w:val="FontStyle14"/>
        </w:rPr>
      </w:pPr>
      <w:r>
        <w:rPr>
          <w:rStyle w:val="FontStyle14"/>
        </w:rPr>
        <w:t xml:space="preserve">pocztą tradycyjną na adres: </w:t>
      </w:r>
    </w:p>
    <w:p w14:paraId="6AE81205" w14:textId="331F88FD" w:rsidR="005C5008" w:rsidRDefault="007D7F90" w:rsidP="00062822">
      <w:pPr>
        <w:pStyle w:val="Style3"/>
        <w:widowControl/>
        <w:tabs>
          <w:tab w:val="left" w:pos="259"/>
        </w:tabs>
        <w:spacing w:line="403" w:lineRule="exact"/>
        <w:ind w:left="708" w:right="7" w:firstLine="0"/>
        <w:rPr>
          <w:rStyle w:val="FontStyle13"/>
        </w:rPr>
      </w:pPr>
      <w:r>
        <w:rPr>
          <w:rStyle w:val="FontStyle13"/>
        </w:rPr>
        <w:t xml:space="preserve">Ministerstwo Sprawiedliwości </w:t>
      </w:r>
    </w:p>
    <w:p w14:paraId="640846B8" w14:textId="77777777" w:rsidR="007D7F90" w:rsidRDefault="007D7F90" w:rsidP="00062822">
      <w:pPr>
        <w:pStyle w:val="Style3"/>
        <w:widowControl/>
        <w:tabs>
          <w:tab w:val="left" w:pos="259"/>
        </w:tabs>
        <w:spacing w:line="403" w:lineRule="exact"/>
        <w:ind w:left="708" w:right="7" w:firstLine="0"/>
        <w:rPr>
          <w:rStyle w:val="FontStyle14"/>
        </w:rPr>
      </w:pPr>
      <w:r>
        <w:rPr>
          <w:rStyle w:val="FontStyle13"/>
        </w:rPr>
        <w:t>Biuro Ministra</w:t>
      </w:r>
    </w:p>
    <w:p w14:paraId="4339FAA9" w14:textId="77777777" w:rsidR="00062822" w:rsidRDefault="007D7F90" w:rsidP="00062822">
      <w:pPr>
        <w:pStyle w:val="Style2"/>
        <w:widowControl/>
        <w:spacing w:line="403" w:lineRule="exact"/>
        <w:ind w:left="730" w:right="6066"/>
        <w:rPr>
          <w:rStyle w:val="FontStyle13"/>
        </w:rPr>
      </w:pPr>
      <w:r>
        <w:rPr>
          <w:rStyle w:val="FontStyle13"/>
        </w:rPr>
        <w:t>Al. Ujazdowskie</w:t>
      </w:r>
      <w:r w:rsidR="00062822">
        <w:rPr>
          <w:rStyle w:val="FontStyle13"/>
        </w:rPr>
        <w:t xml:space="preserve"> </w:t>
      </w:r>
      <w:r>
        <w:rPr>
          <w:rStyle w:val="FontStyle13"/>
        </w:rPr>
        <w:t xml:space="preserve">11 </w:t>
      </w:r>
    </w:p>
    <w:p w14:paraId="2C8DF941" w14:textId="37D00AC5" w:rsidR="007D7F90" w:rsidRDefault="007D7F90" w:rsidP="00062822">
      <w:pPr>
        <w:pStyle w:val="Style2"/>
        <w:widowControl/>
        <w:spacing w:line="403" w:lineRule="exact"/>
        <w:ind w:left="730" w:right="6066"/>
        <w:rPr>
          <w:rStyle w:val="FontStyle13"/>
        </w:rPr>
      </w:pPr>
      <w:r>
        <w:rPr>
          <w:rStyle w:val="FontStyle13"/>
        </w:rPr>
        <w:t>00 - 950 Warszawa</w:t>
      </w:r>
    </w:p>
    <w:p w14:paraId="5DA0087B" w14:textId="77777777" w:rsidR="007D7F90" w:rsidRDefault="007D7F90" w:rsidP="007D7F90">
      <w:pPr>
        <w:pStyle w:val="Style7"/>
        <w:widowControl/>
        <w:numPr>
          <w:ilvl w:val="0"/>
          <w:numId w:val="11"/>
        </w:numPr>
        <w:tabs>
          <w:tab w:val="left" w:pos="641"/>
        </w:tabs>
        <w:spacing w:line="403" w:lineRule="exact"/>
        <w:ind w:left="281"/>
        <w:rPr>
          <w:rStyle w:val="FontStyle14"/>
        </w:rPr>
      </w:pPr>
      <w:r>
        <w:rPr>
          <w:rStyle w:val="FontStyle14"/>
        </w:rPr>
        <w:t>złożyć osobiście na Biurze Podawczym Ministerstwa Sprawiedliwości.</w:t>
      </w:r>
    </w:p>
    <w:p w14:paraId="5F7236AA" w14:textId="53ACF570" w:rsidR="005C5008" w:rsidRDefault="007D7F90" w:rsidP="005C5008">
      <w:pPr>
        <w:pStyle w:val="Style3"/>
        <w:widowControl/>
        <w:numPr>
          <w:ilvl w:val="0"/>
          <w:numId w:val="12"/>
        </w:numPr>
        <w:tabs>
          <w:tab w:val="left" w:pos="259"/>
        </w:tabs>
        <w:spacing w:line="403" w:lineRule="exact"/>
        <w:ind w:left="259" w:right="22" w:hanging="259"/>
        <w:rPr>
          <w:rStyle w:val="FontStyle13"/>
        </w:rPr>
      </w:pPr>
      <w:r>
        <w:rPr>
          <w:rStyle w:val="FontStyle14"/>
        </w:rPr>
        <w:t>Za datę przyjęcia wniosku uznaje się datę jego wpływu do Ministerstwa Sprawiedliwości w</w:t>
      </w:r>
      <w:r w:rsidR="00062822">
        <w:rPr>
          <w:rStyle w:val="FontStyle14"/>
        </w:rPr>
        <w:t> </w:t>
      </w:r>
      <w:r>
        <w:rPr>
          <w:rStyle w:val="FontStyle14"/>
        </w:rPr>
        <w:t>sposób wyszczególniony w punkcie czwartym.</w:t>
      </w:r>
    </w:p>
    <w:p w14:paraId="3BA80BBF" w14:textId="77777777" w:rsidR="005C5008" w:rsidRDefault="007D7F90" w:rsidP="005C5008">
      <w:pPr>
        <w:pStyle w:val="Style3"/>
        <w:widowControl/>
        <w:numPr>
          <w:ilvl w:val="0"/>
          <w:numId w:val="12"/>
        </w:numPr>
        <w:tabs>
          <w:tab w:val="left" w:pos="259"/>
        </w:tabs>
        <w:spacing w:line="403" w:lineRule="exact"/>
        <w:ind w:left="259" w:right="22" w:hanging="259"/>
        <w:rPr>
          <w:rStyle w:val="FontStyle14"/>
          <w:b/>
          <w:bCs/>
        </w:rPr>
      </w:pPr>
      <w:r>
        <w:rPr>
          <w:rStyle w:val="FontStyle14"/>
        </w:rPr>
        <w:t>Wniosek złożony później niż w wyżej wymienionym terminie może być pozostawiony bez rozpoznania.</w:t>
      </w:r>
    </w:p>
    <w:p w14:paraId="38D77F1F" w14:textId="120CD50C" w:rsidR="005C5008" w:rsidRDefault="007D7F90" w:rsidP="005C5008">
      <w:pPr>
        <w:pStyle w:val="Style3"/>
        <w:widowControl/>
        <w:numPr>
          <w:ilvl w:val="0"/>
          <w:numId w:val="12"/>
        </w:numPr>
        <w:tabs>
          <w:tab w:val="left" w:pos="274"/>
        </w:tabs>
        <w:spacing w:line="403" w:lineRule="exact"/>
        <w:ind w:left="259" w:right="22" w:hanging="259"/>
        <w:rPr>
          <w:rStyle w:val="FontStyle14"/>
          <w:b/>
          <w:bCs/>
        </w:rPr>
      </w:pPr>
      <w:r>
        <w:rPr>
          <w:rStyle w:val="FontStyle14"/>
        </w:rPr>
        <w:t xml:space="preserve">Do wniosku należy dołączyć szczegółowy opis przedsięwzięcia, program, planowaną tematykę wystąpień, prelegentów oraz informację o planowanych patronatach innych instytucji (zgodnie z załącznikiem nr </w:t>
      </w:r>
      <w:r w:rsidRPr="009F1556">
        <w:rPr>
          <w:rStyle w:val="FontStyle13"/>
          <w:b w:val="0"/>
          <w:bCs w:val="0"/>
        </w:rPr>
        <w:t>1</w:t>
      </w:r>
      <w:r w:rsidR="009F1556">
        <w:rPr>
          <w:rStyle w:val="FontStyle13"/>
          <w:b w:val="0"/>
          <w:bCs w:val="0"/>
        </w:rPr>
        <w:t>)</w:t>
      </w:r>
      <w:r w:rsidRPr="009F1556">
        <w:rPr>
          <w:rStyle w:val="FontStyle13"/>
          <w:b w:val="0"/>
          <w:bCs w:val="0"/>
        </w:rPr>
        <w:t>.</w:t>
      </w:r>
    </w:p>
    <w:p w14:paraId="3E348ED8" w14:textId="77777777" w:rsidR="005C5008" w:rsidRDefault="007D7F90" w:rsidP="005C5008">
      <w:pPr>
        <w:pStyle w:val="Style3"/>
        <w:widowControl/>
        <w:numPr>
          <w:ilvl w:val="0"/>
          <w:numId w:val="12"/>
        </w:numPr>
        <w:tabs>
          <w:tab w:val="left" w:pos="274"/>
        </w:tabs>
        <w:spacing w:line="403" w:lineRule="exact"/>
        <w:ind w:left="259" w:right="22" w:hanging="259"/>
        <w:rPr>
          <w:rStyle w:val="FontStyle14"/>
          <w:b/>
          <w:bCs/>
        </w:rPr>
      </w:pPr>
      <w:r>
        <w:rPr>
          <w:rStyle w:val="FontStyle14"/>
        </w:rPr>
        <w:t>W przypadku niewystarczającej wiedzy na temat planowanego przedsięwzięcia Ministerstwo Sprawiedliwości zastrzega sobie możliwość zwrócenia się do wnioskodawcy o przekazanie dodatkowych informacji lub udzielenie wyjaśnień.</w:t>
      </w:r>
    </w:p>
    <w:p w14:paraId="4D45EAA6" w14:textId="26057018" w:rsidR="00062822" w:rsidRDefault="007D7F90" w:rsidP="00062822">
      <w:pPr>
        <w:pStyle w:val="Style3"/>
        <w:widowControl/>
        <w:numPr>
          <w:ilvl w:val="0"/>
          <w:numId w:val="12"/>
        </w:numPr>
        <w:tabs>
          <w:tab w:val="left" w:pos="259"/>
        </w:tabs>
        <w:spacing w:line="403" w:lineRule="exact"/>
        <w:ind w:left="259" w:right="22" w:hanging="259"/>
        <w:rPr>
          <w:rStyle w:val="FontStyle14"/>
          <w:b/>
          <w:bCs/>
        </w:rPr>
      </w:pPr>
      <w:r>
        <w:rPr>
          <w:rStyle w:val="FontStyle14"/>
        </w:rPr>
        <w:lastRenderedPageBreak/>
        <w:t xml:space="preserve">O decyzji Ministra </w:t>
      </w:r>
      <w:r w:rsidR="00F921D5">
        <w:rPr>
          <w:rStyle w:val="FontStyle14"/>
        </w:rPr>
        <w:t xml:space="preserve">Sprawiedliwości, Sekretarza Stanu lub Podsekretarza Stanu </w:t>
      </w:r>
      <w:r>
        <w:rPr>
          <w:rStyle w:val="FontStyle14"/>
        </w:rPr>
        <w:t>organizator zostaje poinformowany pisemnie lub w drodze korespondencji mailowej</w:t>
      </w:r>
      <w:r w:rsidR="002550E5">
        <w:rPr>
          <w:rStyle w:val="FontStyle14"/>
        </w:rPr>
        <w:t>.</w:t>
      </w:r>
      <w:r>
        <w:rPr>
          <w:rStyle w:val="FontStyle14"/>
        </w:rPr>
        <w:t xml:space="preserve"> </w:t>
      </w:r>
    </w:p>
    <w:p w14:paraId="129439D8" w14:textId="0545A52D" w:rsidR="00062822" w:rsidRDefault="007D7F90" w:rsidP="00062822">
      <w:pPr>
        <w:pStyle w:val="Style3"/>
        <w:widowControl/>
        <w:numPr>
          <w:ilvl w:val="0"/>
          <w:numId w:val="12"/>
        </w:numPr>
        <w:tabs>
          <w:tab w:val="left" w:pos="259"/>
        </w:tabs>
        <w:spacing w:line="403" w:lineRule="exact"/>
        <w:ind w:left="259" w:right="22" w:hanging="259"/>
        <w:rPr>
          <w:rStyle w:val="FontStyle14"/>
          <w:b/>
          <w:bCs/>
        </w:rPr>
      </w:pPr>
      <w:r>
        <w:rPr>
          <w:rStyle w:val="FontStyle14"/>
        </w:rPr>
        <w:t>Organizator może posługiwać się informacją o przyznanym wyróżnieniu dopiero po otrzymaniu pozytywnej informacji z Ministerstwa Sprawiedliwości.</w:t>
      </w:r>
    </w:p>
    <w:p w14:paraId="5D5DB16D" w14:textId="77777777" w:rsidR="00062822" w:rsidRDefault="007D7F90" w:rsidP="00062822">
      <w:pPr>
        <w:pStyle w:val="Style3"/>
        <w:widowControl/>
        <w:numPr>
          <w:ilvl w:val="0"/>
          <w:numId w:val="12"/>
        </w:numPr>
        <w:tabs>
          <w:tab w:val="left" w:pos="259"/>
        </w:tabs>
        <w:spacing w:line="403" w:lineRule="exact"/>
        <w:ind w:left="259" w:right="22" w:hanging="259"/>
        <w:rPr>
          <w:rStyle w:val="FontStyle14"/>
          <w:b/>
          <w:bCs/>
        </w:rPr>
      </w:pPr>
      <w:r>
        <w:rPr>
          <w:rStyle w:val="FontStyle14"/>
        </w:rPr>
        <w:t>W przypadku objęcia patronatem honorowym lub wyrażenia zgody na udział w komitecie honorowym organizator zobowiązany jest do umieszczenia w materiałach informacyjno-promocyjnych związanych z tym wydarzeniem, informacji o przyznanym wyróżnieniu oraz logo Ministerstwa Sprawiedliwości, które zostanie przesłane w formie elektronicznej na adres e-mail wskazany przez organizatora we wniosku.</w:t>
      </w:r>
    </w:p>
    <w:p w14:paraId="2F4CF18F" w14:textId="547874A4" w:rsidR="007D7F90" w:rsidRPr="00062822" w:rsidRDefault="007D7F90" w:rsidP="00062822">
      <w:pPr>
        <w:pStyle w:val="Style3"/>
        <w:widowControl/>
        <w:numPr>
          <w:ilvl w:val="0"/>
          <w:numId w:val="12"/>
        </w:numPr>
        <w:tabs>
          <w:tab w:val="left" w:pos="259"/>
        </w:tabs>
        <w:spacing w:line="403" w:lineRule="exact"/>
        <w:ind w:left="259" w:right="22" w:hanging="259"/>
        <w:rPr>
          <w:rStyle w:val="FontStyle14"/>
          <w:b/>
          <w:bCs/>
        </w:rPr>
      </w:pPr>
      <w:r>
        <w:rPr>
          <w:rStyle w:val="FontStyle14"/>
        </w:rPr>
        <w:t>W szczególnych przypadkach Minister</w:t>
      </w:r>
      <w:r w:rsidR="00ED252E">
        <w:rPr>
          <w:rStyle w:val="FontStyle14"/>
        </w:rPr>
        <w:t>, Sekretarz Stanu lub Podsekretarz Stanu</w:t>
      </w:r>
      <w:r>
        <w:rPr>
          <w:rStyle w:val="FontStyle14"/>
        </w:rPr>
        <w:t xml:space="preserve"> może unieważnić decyzję przyznającą dane wyróżnienie, o czym organizator jest informowany niezwłocznie w formie pisemnej. Odebranie patronatu honorowego lub wycofanie z</w:t>
      </w:r>
      <w:r w:rsidR="00062822">
        <w:rPr>
          <w:rStyle w:val="FontStyle14"/>
        </w:rPr>
        <w:t> </w:t>
      </w:r>
      <w:r>
        <w:rPr>
          <w:rStyle w:val="FontStyle14"/>
        </w:rPr>
        <w:t>członkostwa w komitecie honorowym nakłada na organizatora obowiązek usunięcia informacji o przyznanym wyróżnieniu, w tym rezygnacji z używania logo Ministerstwa Sprawiedliwości.</w:t>
      </w:r>
    </w:p>
    <w:p w14:paraId="35DBC055" w14:textId="77777777" w:rsidR="00D53FA7" w:rsidRDefault="00D53FA7"/>
    <w:sectPr w:rsidR="00D53FA7" w:rsidSect="00C4024C">
      <w:pgSz w:w="11905" w:h="16837"/>
      <w:pgMar w:top="1417" w:right="1417" w:bottom="1417" w:left="1417" w:header="708" w:footer="708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8CC57" w14:textId="77777777" w:rsidR="00120C1A" w:rsidRDefault="00120C1A">
      <w:pPr>
        <w:spacing w:after="0" w:line="240" w:lineRule="auto"/>
      </w:pPr>
      <w:r>
        <w:separator/>
      </w:r>
    </w:p>
  </w:endnote>
  <w:endnote w:type="continuationSeparator" w:id="0">
    <w:p w14:paraId="090911CB" w14:textId="77777777" w:rsidR="00120C1A" w:rsidRDefault="0012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1351B" w14:textId="77777777" w:rsidR="00120C1A" w:rsidRDefault="00120C1A">
      <w:pPr>
        <w:spacing w:after="0" w:line="240" w:lineRule="auto"/>
      </w:pPr>
      <w:r>
        <w:separator/>
      </w:r>
    </w:p>
  </w:footnote>
  <w:footnote w:type="continuationSeparator" w:id="0">
    <w:p w14:paraId="50EDB50B" w14:textId="77777777" w:rsidR="00120C1A" w:rsidRDefault="00120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74898"/>
    <w:multiLevelType w:val="singleLevel"/>
    <w:tmpl w:val="75E8E4D2"/>
    <w:lvl w:ilvl="0">
      <w:start w:val="11"/>
      <w:numFmt w:val="decimal"/>
      <w:lvlText w:val="%1."/>
      <w:legacy w:legacy="1" w:legacySpace="0" w:legacyIndent="259"/>
      <w:lvlJc w:val="left"/>
      <w:rPr>
        <w:rFonts w:ascii="Garamond" w:hAnsi="Garamond" w:hint="default"/>
      </w:rPr>
    </w:lvl>
  </w:abstractNum>
  <w:abstractNum w:abstractNumId="1" w15:restartNumberingAfterBreak="0">
    <w:nsid w:val="09941773"/>
    <w:multiLevelType w:val="singleLevel"/>
    <w:tmpl w:val="8FB0E4B6"/>
    <w:lvl w:ilvl="0">
      <w:start w:val="5"/>
      <w:numFmt w:val="decimal"/>
      <w:lvlText w:val="%1."/>
      <w:legacy w:legacy="1" w:legacySpace="0" w:legacyIndent="259"/>
      <w:lvlJc w:val="left"/>
      <w:rPr>
        <w:rFonts w:ascii="Garamond" w:hAnsi="Garamond" w:hint="default"/>
        <w:b w:val="0"/>
        <w:bCs w:val="0"/>
      </w:rPr>
    </w:lvl>
  </w:abstractNum>
  <w:abstractNum w:abstractNumId="2" w15:restartNumberingAfterBreak="0">
    <w:nsid w:val="0C3E4CD1"/>
    <w:multiLevelType w:val="singleLevel"/>
    <w:tmpl w:val="4CCEE448"/>
    <w:lvl w:ilvl="0">
      <w:start w:val="1"/>
      <w:numFmt w:val="decimal"/>
      <w:lvlText w:val="%1."/>
      <w:legacy w:legacy="1" w:legacySpace="0" w:legacyIndent="259"/>
      <w:lvlJc w:val="left"/>
      <w:rPr>
        <w:rFonts w:ascii="Garamond" w:hAnsi="Garamond" w:hint="default"/>
      </w:rPr>
    </w:lvl>
  </w:abstractNum>
  <w:abstractNum w:abstractNumId="3" w15:restartNumberingAfterBreak="0">
    <w:nsid w:val="0E295EFC"/>
    <w:multiLevelType w:val="singleLevel"/>
    <w:tmpl w:val="836A0174"/>
    <w:lvl w:ilvl="0">
      <w:start w:val="1"/>
      <w:numFmt w:val="decimal"/>
      <w:lvlText w:val="%1."/>
      <w:legacy w:legacy="1" w:legacySpace="0" w:legacyIndent="274"/>
      <w:lvlJc w:val="left"/>
      <w:rPr>
        <w:rFonts w:ascii="Garamond" w:hAnsi="Garamond" w:hint="default"/>
      </w:rPr>
    </w:lvl>
  </w:abstractNum>
  <w:abstractNum w:abstractNumId="4" w15:restartNumberingAfterBreak="0">
    <w:nsid w:val="12627A4F"/>
    <w:multiLevelType w:val="singleLevel"/>
    <w:tmpl w:val="E392F38A"/>
    <w:lvl w:ilvl="0">
      <w:start w:val="11"/>
      <w:numFmt w:val="decimal"/>
      <w:lvlText w:val="%1."/>
      <w:legacy w:legacy="1" w:legacySpace="0" w:legacyIndent="259"/>
      <w:lvlJc w:val="left"/>
      <w:rPr>
        <w:rFonts w:ascii="Garamond" w:hAnsi="Garamond" w:hint="default"/>
      </w:rPr>
    </w:lvl>
  </w:abstractNum>
  <w:abstractNum w:abstractNumId="5" w15:restartNumberingAfterBreak="0">
    <w:nsid w:val="19057EB5"/>
    <w:multiLevelType w:val="singleLevel"/>
    <w:tmpl w:val="68FE59A0"/>
    <w:lvl w:ilvl="0">
      <w:start w:val="1"/>
      <w:numFmt w:val="lowerLetter"/>
      <w:lvlText w:val="%1)"/>
      <w:legacy w:legacy="1" w:legacySpace="0" w:legacyIndent="360"/>
      <w:lvlJc w:val="left"/>
      <w:rPr>
        <w:rFonts w:ascii="Garamond" w:hAnsi="Garamond" w:hint="default"/>
      </w:rPr>
    </w:lvl>
  </w:abstractNum>
  <w:abstractNum w:abstractNumId="6" w15:restartNumberingAfterBreak="0">
    <w:nsid w:val="34E90390"/>
    <w:multiLevelType w:val="singleLevel"/>
    <w:tmpl w:val="AEF8E6DC"/>
    <w:lvl w:ilvl="0">
      <w:start w:val="3"/>
      <w:numFmt w:val="lowerLetter"/>
      <w:lvlText w:val="%1)"/>
      <w:legacy w:legacy="1" w:legacySpace="0" w:legacyIndent="360"/>
      <w:lvlJc w:val="left"/>
      <w:rPr>
        <w:rFonts w:ascii="Garamond" w:hAnsi="Garamond" w:hint="default"/>
      </w:rPr>
    </w:lvl>
  </w:abstractNum>
  <w:abstractNum w:abstractNumId="7" w15:restartNumberingAfterBreak="0">
    <w:nsid w:val="40DB44DB"/>
    <w:multiLevelType w:val="singleLevel"/>
    <w:tmpl w:val="944463B4"/>
    <w:lvl w:ilvl="0">
      <w:start w:val="1"/>
      <w:numFmt w:val="lowerLetter"/>
      <w:lvlText w:val="%1)"/>
      <w:legacy w:legacy="1" w:legacySpace="0" w:legacyIndent="360"/>
      <w:lvlJc w:val="left"/>
      <w:rPr>
        <w:rFonts w:ascii="Garamond" w:hAnsi="Garamond" w:hint="default"/>
      </w:rPr>
    </w:lvl>
  </w:abstractNum>
  <w:abstractNum w:abstractNumId="8" w15:restartNumberingAfterBreak="0">
    <w:nsid w:val="44912F4E"/>
    <w:multiLevelType w:val="singleLevel"/>
    <w:tmpl w:val="E1A41356"/>
    <w:lvl w:ilvl="0">
      <w:start w:val="5"/>
      <w:numFmt w:val="decimal"/>
      <w:lvlText w:val="%1."/>
      <w:legacy w:legacy="1" w:legacySpace="0" w:legacyIndent="259"/>
      <w:lvlJc w:val="left"/>
      <w:rPr>
        <w:rFonts w:ascii="Garamond" w:hAnsi="Garamond" w:hint="default"/>
      </w:rPr>
    </w:lvl>
  </w:abstractNum>
  <w:abstractNum w:abstractNumId="9" w15:restartNumberingAfterBreak="0">
    <w:nsid w:val="694675CD"/>
    <w:multiLevelType w:val="singleLevel"/>
    <w:tmpl w:val="37703408"/>
    <w:lvl w:ilvl="0">
      <w:start w:val="1"/>
      <w:numFmt w:val="decimal"/>
      <w:lvlText w:val="%1."/>
      <w:legacy w:legacy="1" w:legacySpace="0" w:legacyIndent="259"/>
      <w:lvlJc w:val="left"/>
      <w:rPr>
        <w:rFonts w:ascii="Garamond" w:hAnsi="Garamond" w:hint="default"/>
      </w:rPr>
    </w:lvl>
  </w:abstractNum>
  <w:abstractNum w:abstractNumId="10" w15:restartNumberingAfterBreak="0">
    <w:nsid w:val="709A0F35"/>
    <w:multiLevelType w:val="singleLevel"/>
    <w:tmpl w:val="1F4887D6"/>
    <w:lvl w:ilvl="0">
      <w:start w:val="3"/>
      <w:numFmt w:val="lowerLetter"/>
      <w:lvlText w:val="%1)"/>
      <w:legacy w:legacy="1" w:legacySpace="0" w:legacyIndent="360"/>
      <w:lvlJc w:val="left"/>
      <w:rPr>
        <w:rFonts w:ascii="Garamond" w:hAnsi="Garamond" w:hint="default"/>
      </w:rPr>
    </w:lvl>
  </w:abstractNum>
  <w:abstractNum w:abstractNumId="11" w15:restartNumberingAfterBreak="0">
    <w:nsid w:val="76CD7A59"/>
    <w:multiLevelType w:val="singleLevel"/>
    <w:tmpl w:val="0D8E77EA"/>
    <w:lvl w:ilvl="0">
      <w:start w:val="1"/>
      <w:numFmt w:val="decimal"/>
      <w:lvlText w:val="%1."/>
      <w:legacy w:legacy="1" w:legacySpace="0" w:legacyIndent="274"/>
      <w:lvlJc w:val="left"/>
      <w:rPr>
        <w:rFonts w:ascii="Garamond" w:hAnsi="Garamond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0"/>
  </w:num>
  <w:num w:numId="5">
    <w:abstractNumId w:val="8"/>
  </w:num>
  <w:num w:numId="6">
    <w:abstractNumId w:val="8"/>
    <w:lvlOverride w:ilvl="0">
      <w:lvl w:ilvl="0">
        <w:start w:val="8"/>
        <w:numFmt w:val="decimal"/>
        <w:lvlText w:val="%1."/>
        <w:legacy w:legacy="1" w:legacySpace="0" w:legacyIndent="274"/>
        <w:lvlJc w:val="left"/>
        <w:rPr>
          <w:rFonts w:ascii="Garamond" w:hAnsi="Garamond" w:hint="default"/>
        </w:rPr>
      </w:lvl>
    </w:lvlOverride>
  </w:num>
  <w:num w:numId="7">
    <w:abstractNumId w:val="4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1"/>
  </w:num>
  <w:num w:numId="13">
    <w:abstractNumId w:val="1"/>
    <w:lvlOverride w:ilvl="0">
      <w:lvl w:ilvl="0">
        <w:start w:val="8"/>
        <w:numFmt w:val="decimal"/>
        <w:lvlText w:val="%1."/>
        <w:legacy w:legacy="1" w:legacySpace="0" w:legacyIndent="274"/>
        <w:lvlJc w:val="left"/>
        <w:rPr>
          <w:rFonts w:ascii="Garamond" w:hAnsi="Garamond" w:hint="default"/>
        </w:rPr>
      </w:lvl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24"/>
    <w:rsid w:val="00062822"/>
    <w:rsid w:val="00077A9D"/>
    <w:rsid w:val="000A352E"/>
    <w:rsid w:val="000B09D9"/>
    <w:rsid w:val="00120C1A"/>
    <w:rsid w:val="00144BEB"/>
    <w:rsid w:val="00172D8A"/>
    <w:rsid w:val="00186453"/>
    <w:rsid w:val="00245038"/>
    <w:rsid w:val="002550E5"/>
    <w:rsid w:val="003D32EE"/>
    <w:rsid w:val="00437350"/>
    <w:rsid w:val="00514B62"/>
    <w:rsid w:val="005C5008"/>
    <w:rsid w:val="005F5287"/>
    <w:rsid w:val="006138FC"/>
    <w:rsid w:val="006C15E4"/>
    <w:rsid w:val="00735567"/>
    <w:rsid w:val="00764996"/>
    <w:rsid w:val="00771495"/>
    <w:rsid w:val="007D7F90"/>
    <w:rsid w:val="007F79DB"/>
    <w:rsid w:val="008B0224"/>
    <w:rsid w:val="00976C21"/>
    <w:rsid w:val="00990E79"/>
    <w:rsid w:val="009B40DE"/>
    <w:rsid w:val="009F1556"/>
    <w:rsid w:val="00A67DF6"/>
    <w:rsid w:val="00B560E9"/>
    <w:rsid w:val="00C4024C"/>
    <w:rsid w:val="00C46203"/>
    <w:rsid w:val="00C516CB"/>
    <w:rsid w:val="00C7529D"/>
    <w:rsid w:val="00CB70DC"/>
    <w:rsid w:val="00CC739D"/>
    <w:rsid w:val="00D53FA7"/>
    <w:rsid w:val="00ED252E"/>
    <w:rsid w:val="00EE1FBD"/>
    <w:rsid w:val="00F9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E2B6"/>
  <w15:chartTrackingRefBased/>
  <w15:docId w15:val="{630F700A-9B6E-47CC-B4F4-94027007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7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D7F90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ny"/>
    <w:uiPriority w:val="99"/>
    <w:rsid w:val="007D7F90"/>
    <w:pPr>
      <w:widowControl w:val="0"/>
      <w:autoSpaceDE w:val="0"/>
      <w:autoSpaceDN w:val="0"/>
      <w:adjustRightInd w:val="0"/>
      <w:spacing w:after="0" w:line="410" w:lineRule="exact"/>
      <w:jc w:val="center"/>
    </w:pPr>
    <w:rPr>
      <w:rFonts w:ascii="Garamond" w:eastAsia="Times New Roman" w:hAnsi="Garamond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7D7F9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aramond" w:eastAsia="Times New Roman" w:hAnsi="Garamond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7D7F90"/>
    <w:pPr>
      <w:widowControl w:val="0"/>
      <w:autoSpaceDE w:val="0"/>
      <w:autoSpaceDN w:val="0"/>
      <w:adjustRightInd w:val="0"/>
      <w:spacing w:after="0" w:line="407" w:lineRule="exact"/>
      <w:ind w:hanging="274"/>
      <w:jc w:val="both"/>
    </w:pPr>
    <w:rPr>
      <w:rFonts w:ascii="Garamond" w:eastAsia="Times New Roman" w:hAnsi="Garamond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7D7F90"/>
    <w:pPr>
      <w:widowControl w:val="0"/>
      <w:autoSpaceDE w:val="0"/>
      <w:autoSpaceDN w:val="0"/>
      <w:adjustRightInd w:val="0"/>
      <w:spacing w:after="0" w:line="407" w:lineRule="exact"/>
      <w:ind w:hanging="266"/>
    </w:pPr>
    <w:rPr>
      <w:rFonts w:ascii="Garamond" w:eastAsia="Times New Roman" w:hAnsi="Garamond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7D7F90"/>
    <w:pPr>
      <w:widowControl w:val="0"/>
      <w:autoSpaceDE w:val="0"/>
      <w:autoSpaceDN w:val="0"/>
      <w:adjustRightInd w:val="0"/>
      <w:spacing w:after="0" w:line="410" w:lineRule="exact"/>
      <w:ind w:hanging="288"/>
    </w:pPr>
    <w:rPr>
      <w:rFonts w:ascii="Garamond" w:eastAsia="Times New Roman" w:hAnsi="Garamond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D7F90"/>
    <w:pPr>
      <w:widowControl w:val="0"/>
      <w:autoSpaceDE w:val="0"/>
      <w:autoSpaceDN w:val="0"/>
      <w:adjustRightInd w:val="0"/>
      <w:spacing w:after="0" w:line="410" w:lineRule="exact"/>
    </w:pPr>
    <w:rPr>
      <w:rFonts w:ascii="Garamond" w:eastAsia="Times New Roman" w:hAnsi="Garamond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D7F90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/>
      <w:sz w:val="24"/>
      <w:szCs w:val="24"/>
      <w:lang w:eastAsia="pl-PL"/>
    </w:rPr>
  </w:style>
  <w:style w:type="character" w:customStyle="1" w:styleId="FontStyle12">
    <w:name w:val="Font Style12"/>
    <w:uiPriority w:val="99"/>
    <w:rsid w:val="007D7F90"/>
    <w:rPr>
      <w:rFonts w:ascii="Garamond" w:hAnsi="Garamond" w:cs="Garamond"/>
      <w:spacing w:val="-20"/>
      <w:sz w:val="28"/>
      <w:szCs w:val="28"/>
    </w:rPr>
  </w:style>
  <w:style w:type="character" w:customStyle="1" w:styleId="FontStyle13">
    <w:name w:val="Font Style13"/>
    <w:uiPriority w:val="99"/>
    <w:rsid w:val="007D7F90"/>
    <w:rPr>
      <w:rFonts w:ascii="Garamond" w:hAnsi="Garamond" w:cs="Garamond"/>
      <w:b/>
      <w:bCs/>
      <w:sz w:val="24"/>
      <w:szCs w:val="24"/>
    </w:rPr>
  </w:style>
  <w:style w:type="character" w:customStyle="1" w:styleId="FontStyle14">
    <w:name w:val="Font Style14"/>
    <w:uiPriority w:val="99"/>
    <w:rsid w:val="007D7F90"/>
    <w:rPr>
      <w:rFonts w:ascii="Garamond" w:hAnsi="Garamond" w:cs="Garamond"/>
      <w:sz w:val="24"/>
      <w:szCs w:val="24"/>
    </w:rPr>
  </w:style>
  <w:style w:type="character" w:styleId="Hipercze">
    <w:name w:val="Hyperlink"/>
    <w:uiPriority w:val="99"/>
    <w:rsid w:val="007D7F90"/>
    <w:rPr>
      <w:color w:val="0066CC"/>
      <w:u w:val="single"/>
    </w:rPr>
  </w:style>
  <w:style w:type="character" w:customStyle="1" w:styleId="FontStyle11">
    <w:name w:val="Font Style11"/>
    <w:uiPriority w:val="99"/>
    <w:rsid w:val="007D7F90"/>
    <w:rPr>
      <w:rFonts w:ascii="Garamond" w:hAnsi="Garamond" w:cs="Garamond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EE1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FB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E1F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F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E1FB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Links>
    <vt:vector size="6" baseType="variant">
      <vt:variant>
        <vt:i4>7012452</vt:i4>
      </vt:variant>
      <vt:variant>
        <vt:i4>0</vt:i4>
      </vt:variant>
      <vt:variant>
        <vt:i4>0</vt:i4>
      </vt:variant>
      <vt:variant>
        <vt:i4>5</vt:i4>
      </vt:variant>
      <vt:variant>
        <vt:lpwstr>http://mgoz.pl/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Szymon  (BM)</dc:creator>
  <cp:keywords/>
  <dc:description/>
  <cp:lastModifiedBy>Urbańska Magdalena (BM)</cp:lastModifiedBy>
  <cp:revision>2</cp:revision>
  <cp:lastPrinted>2020-09-18T12:30:00Z</cp:lastPrinted>
  <dcterms:created xsi:type="dcterms:W3CDTF">2020-09-30T06:42:00Z</dcterms:created>
  <dcterms:modified xsi:type="dcterms:W3CDTF">2020-09-30T06:42:00Z</dcterms:modified>
</cp:coreProperties>
</file>