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360" w:lineRule="exact"/>
      </w:pPr>
      <w: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325755</wp:posOffset>
            </wp:positionH>
            <wp:positionV relativeFrom="margin">
              <wp:posOffset>0</wp:posOffset>
            </wp:positionV>
            <wp:extent cx="3151505" cy="1060450"/>
            <wp:wrapNone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3151505" cy="10604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89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591" w:right="1898" w:bottom="487" w:left="513" w:header="163" w:footer="59" w:gutter="0"/>
          <w:pgNumType w:start="1"/>
          <w:cols w:space="720"/>
          <w:noEndnote/>
          <w:rtlGutter w:val="0"/>
          <w:docGrid w:linePitch="360"/>
        </w:sectPr>
      </w:pP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340" w:line="259" w:lineRule="auto"/>
        <w:ind w:left="0" w:right="0" w:firstLine="0"/>
        <w:jc w:val="both"/>
      </w:pPr>
      <w:r>
        <w:rPr>
          <w:rStyle w:val="CharStyle8"/>
        </w:rPr>
        <w:t xml:space="preserve">DLŁ-WNO.053.14.2026.AP </w:t>
      </w:r>
      <w:r>
        <w:rPr>
          <w:rStyle w:val="CharStyle8"/>
          <w:sz w:val="17"/>
          <w:szCs w:val="17"/>
        </w:rPr>
        <w:t xml:space="preserve">4489916.19009508.15309313 </w:t>
      </w:r>
      <w:r>
        <w:rPr>
          <w:rStyle w:val="CharStyle8"/>
        </w:rPr>
        <w:t>Warszawa, 14-10-2026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460" w:line="264" w:lineRule="auto"/>
        <w:ind w:left="0" w:right="0" w:firstLine="0"/>
        <w:jc w:val="both"/>
      </w:pPr>
      <w:r>
        <w:rPr>
          <w:rStyle w:val="CharStyle8"/>
          <w:b/>
          <w:bCs/>
          <w:sz w:val="18"/>
          <w:szCs w:val="18"/>
        </w:rPr>
        <w:t xml:space="preserve">Dotyczy: </w:t>
      </w:r>
      <w:r>
        <w:rPr>
          <w:rStyle w:val="CharStyle8"/>
        </w:rPr>
        <w:t>Zawiadomienie o sposobie załatwienia petycji z 22 lipca 2026 r.</w:t>
      </w:r>
      <w:r>
        <w:rPr>
          <w:rStyle w:val="CharStyle8"/>
          <w:vertAlign w:val="superscript"/>
        </w:rPr>
        <w:t>1</w:t>
      </w:r>
      <w:r>
        <w:rPr>
          <w:rStyle w:val="CharStyle8"/>
        </w:rPr>
        <w:t xml:space="preserve"> w sprawie doprecyzowania obowiązującej procedury szacowania szkód łowieckich i wprowadzenia stosownych regulacji prawnych.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1560" w:line="240" w:lineRule="auto"/>
        <w:ind w:left="0" w:right="0" w:firstLine="0"/>
        <w:jc w:val="both"/>
        <w:rPr>
          <w:sz w:val="18"/>
          <w:szCs w:val="18"/>
        </w:rPr>
      </w:pPr>
      <w:r>
        <w:rPr>
          <w:rStyle w:val="CharStyle8"/>
          <w:b/>
          <w:bCs/>
          <w:sz w:val="18"/>
          <w:szCs w:val="18"/>
        </w:rPr>
        <w:t>Pan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line="288" w:lineRule="auto"/>
        <w:ind w:left="0" w:right="0" w:firstLine="0"/>
        <w:jc w:val="both"/>
      </w:pPr>
      <w:r>
        <w:rPr>
          <w:rStyle w:val="CharStyle8"/>
        </w:rPr>
        <w:t>Szanowny Panie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line="293" w:lineRule="auto"/>
        <w:ind w:left="0" w:right="0" w:firstLine="0"/>
        <w:jc w:val="both"/>
        <w:rPr>
          <w:sz w:val="18"/>
          <w:szCs w:val="18"/>
        </w:rPr>
      </w:pPr>
      <w:r>
        <w:rPr>
          <w:rStyle w:val="CharStyle8"/>
        </w:rPr>
        <w:t xml:space="preserve">po przeanalizowaniu przesłanej petycji informuję, że </w:t>
      </w:r>
      <w:r>
        <w:rPr>
          <w:rStyle w:val="CharStyle8"/>
          <w:b/>
          <w:bCs/>
          <w:sz w:val="18"/>
          <w:szCs w:val="18"/>
        </w:rPr>
        <w:t>na chwilę obecną nie została ona uwzględniona.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line="305" w:lineRule="auto"/>
        <w:ind w:left="0" w:right="0" w:firstLine="0"/>
        <w:jc w:val="both"/>
        <w:rPr>
          <w:sz w:val="18"/>
          <w:szCs w:val="18"/>
        </w:rPr>
      </w:pPr>
      <w:r>
        <w:rPr>
          <w:rStyle w:val="CharStyle8"/>
          <w:b/>
          <w:bCs/>
          <w:sz w:val="18"/>
          <w:szCs w:val="18"/>
        </w:rPr>
        <w:t>Uzasadnienie: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line="288" w:lineRule="auto"/>
        <w:ind w:left="0" w:right="0" w:firstLine="0"/>
        <w:jc w:val="both"/>
      </w:pPr>
      <w:r>
        <w:rPr>
          <w:rStyle w:val="CharStyle8"/>
        </w:rPr>
        <w:t xml:space="preserve">Petycja obejmuje postulaty doprecyzowania zasad szacowania szkód łowieckich i podjęcia prac legislacyjnych w zakresie zmian obowiązującego rozporządzenia Ministra Środowiska z dnia 16 kwietnia 2019 r. </w:t>
      </w:r>
      <w:r>
        <w:rPr>
          <w:rStyle w:val="CharStyle8"/>
          <w:i/>
          <w:iCs/>
        </w:rPr>
        <w:t>w sprawie szczegółowych warunków szacowania szkód w uprawach i płodach rolnych</w:t>
      </w:r>
      <w:r>
        <w:rPr>
          <w:rStyle w:val="CharStyle8"/>
          <w:vertAlign w:val="superscript"/>
        </w:rPr>
        <w:t>2</w:t>
      </w:r>
      <w:r>
        <w:rPr>
          <w:rStyle w:val="CharStyle8"/>
        </w:rPr>
        <w:t xml:space="preserve">. Pismo zawiera również uwagi oraz informacje wynikające z doświadczeń samorządu Województwa Lubelskiego w realizacji zadań określonych w art. 50 ustawy z dnia 13 października 1995 r. - </w:t>
      </w:r>
      <w:r>
        <w:rPr>
          <w:rStyle w:val="CharStyle8"/>
          <w:i/>
          <w:iCs/>
        </w:rPr>
        <w:t>Prawo łowieckie</w:t>
      </w:r>
      <w:r>
        <w:rPr>
          <w:rStyle w:val="CharStyle8"/>
          <w:i/>
          <w:iCs/>
          <w:vertAlign w:val="superscript"/>
        </w:rPr>
        <w:t>3</w:t>
      </w:r>
      <w:r>
        <w:rPr>
          <w:rStyle w:val="CharStyle8"/>
        </w:rPr>
        <w:t xml:space="preserve"> (dalej: ustawy </w:t>
      </w:r>
      <w:r>
        <w:rPr>
          <w:rStyle w:val="CharStyle8"/>
          <w:i/>
          <w:iCs/>
        </w:rPr>
        <w:t>- Prawo łowieckie</w:t>
      </w:r>
      <w:r>
        <w:rPr>
          <w:rStyle w:val="CharStyle8"/>
        </w:rPr>
        <w:t>). Przedstawione w piśmie zagadnienia zostały przeanalizowane pod kątem obowiązujących przepisów prawa oraz praktyki stosowania regulacji dotyczących szacowania szkód łowieckich.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8"/>
          <w:b/>
          <w:bCs/>
          <w:sz w:val="18"/>
          <w:szCs w:val="18"/>
        </w:rPr>
        <w:t xml:space="preserve">Odnosząc się do postulatu ograniczenia możliwości wielokrotnego szacowania szkód w jednym okresie wegetacyjnym </w:t>
      </w:r>
      <w:r>
        <w:rPr>
          <w:rStyle w:val="CharStyle8"/>
        </w:rPr>
        <w:t xml:space="preserve">należy zauważyć, że problem wskazany w piśmie dotyczy przede wszystkim przypadków, w których szkoda osiąga rozmiar uzasadniający likwidację uprawy poprzez jej zaoranie, a następnie na tym samym gruncie zakładana jest kolejna uprawa podlegająca ponownemu szacowaniu. Zagadnienie to było przedmiotem analiz prowadzonych przez </w:t>
      </w:r>
      <w:r>
        <w:rPr>
          <w:rStyle w:val="CharStyle8"/>
          <w:i/>
          <w:iCs/>
        </w:rPr>
        <w:t>Zespół ds. zmian systemowych w łowiectwie</w:t>
      </w:r>
      <w:r>
        <w:rPr>
          <w:rStyle w:val="CharStyle8"/>
        </w:rPr>
        <w:t>. W toku prac przygotowano rekomendację do zmian przepisów w tym zakresie. Aktualnie jest ona przedmiotem analiz Kierownictwa resortu i oczekuje na decyzję co do jej ewentualnej akceptacji.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340" w:line="293" w:lineRule="auto"/>
        <w:ind w:left="0" w:right="0" w:firstLine="0"/>
        <w:jc w:val="both"/>
      </w:pPr>
      <w:r>
        <w:rPr>
          <w:rStyle w:val="CharStyle8"/>
          <w:b/>
          <w:bCs/>
          <w:sz w:val="18"/>
          <w:szCs w:val="18"/>
        </w:rPr>
        <w:t xml:space="preserve">W zakresie propozycji nałożenia obowiązku zabezpieczania upraw na terenach szczególnie narażonych na szkody łowieckie </w:t>
      </w:r>
      <w:r>
        <w:rPr>
          <w:rStyle w:val="CharStyle8"/>
        </w:rPr>
        <w:t xml:space="preserve">należy zauważyć, że obecnie obowiązujące przepisy ustawy </w:t>
      </w:r>
      <w:r>
        <w:rPr>
          <w:rStyle w:val="CharStyle8"/>
          <w:i/>
          <w:iCs/>
        </w:rPr>
        <w:t>– Prawo łowieckie</w:t>
      </w:r>
      <w:r>
        <w:rPr>
          <w:rStyle w:val="CharStyle8"/>
        </w:rPr>
        <w:t xml:space="preserve"> wprowadzają obowiązek współdziałania właścicieli lub posiadaczy gruntów rolnych z podmiotami odpowiedzialnymi za gospodarkę łowiecką w zakresie</w:t>
      </w:r>
    </w:p>
    <w:p>
      <w:pPr>
        <w:pStyle w:val="Style7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93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8"/>
        </w:rPr>
        <w:t>Wpływ do tut. organu: 27 lipca 2026 r.; znak pisma: RR-VII.052.2.7.2026.MGDW.</w:t>
      </w:r>
    </w:p>
    <w:p>
      <w:pPr>
        <w:pStyle w:val="Style7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98" w:val="left"/>
        </w:tabs>
        <w:bidi w:val="0"/>
        <w:spacing w:before="0" w:after="0" w:line="240" w:lineRule="auto"/>
        <w:ind w:left="0" w:right="0" w:firstLine="0"/>
        <w:jc w:val="both"/>
      </w:pPr>
      <w:r>
        <w:rPr>
          <w:rStyle w:val="CharStyle8"/>
        </w:rPr>
        <w:t>Dz. U. z 2019 r., poz. 776.</w:t>
      </w:r>
    </w:p>
    <w:p>
      <w:pPr>
        <w:pStyle w:val="Style7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98" w:val="left"/>
        </w:tabs>
        <w:bidi w:val="0"/>
        <w:spacing w:before="0" w:after="540" w:line="240" w:lineRule="auto"/>
        <w:ind w:left="0" w:right="0" w:firstLine="0"/>
        <w:jc w:val="both"/>
      </w:pPr>
      <w:r>
        <w:rPr>
          <w:rStyle w:val="CharStyle8"/>
        </w:rPr>
        <w:t>Dz. U. z 2025 r., poz. 539, z późn. zm.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4486275</wp:posOffset>
                </wp:positionH>
                <wp:positionV relativeFrom="paragraph">
                  <wp:posOffset>12700</wp:posOffset>
                </wp:positionV>
                <wp:extent cx="1761490" cy="250190"/>
                <wp:wrapSquare wrapText="left"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761490" cy="2501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CharStyle3"/>
                                <w:sz w:val="16"/>
                                <w:szCs w:val="16"/>
                              </w:rPr>
                              <w:t>ul. Wawelska 52/54, 00-922 Warszawa Ministerstwo Klimatu i Środowiska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353.25pt;margin-top:1.pt;width:138.70000000000002pt;height:19.699999999999999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Style w:val="CharStyle3"/>
                          <w:sz w:val="16"/>
                          <w:szCs w:val="16"/>
                        </w:rPr>
                        <w:t>ul. Wawelska 52/54, 00-922 Warszawa Ministerstwo Klimatu i Środowiska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3"/>
          <w:sz w:val="16"/>
          <w:szCs w:val="16"/>
        </w:rPr>
        <w:t>Telefon: (+48) 22 369 29 00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rPr>
          <w:sz w:val="16"/>
          <w:szCs w:val="16"/>
        </w:rPr>
      </w:pPr>
      <w:r>
        <w:fldChar w:fldCharType="begin"/>
      </w:r>
      <w:r>
        <w:rPr/>
        <w:instrText> HYPERLINK "mailto:info@klimat.gov.pl" </w:instrText>
      </w:r>
      <w:r>
        <w:fldChar w:fldCharType="separate"/>
      </w:r>
      <w:r>
        <w:rPr>
          <w:rStyle w:val="CharStyle3"/>
          <w:sz w:val="16"/>
          <w:szCs w:val="16"/>
        </w:rPr>
        <w:t>info@klimat.gov.pl</w:t>
      </w:r>
      <w:r>
        <w:fldChar w:fldCharType="end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both"/>
        <w:rPr>
          <w:sz w:val="16"/>
          <w:szCs w:val="16"/>
        </w:rPr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591" w:right="1898" w:bottom="487" w:left="1953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2392045</wp:posOffset>
                </wp:positionH>
                <wp:positionV relativeFrom="paragraph">
                  <wp:posOffset>127000</wp:posOffset>
                </wp:positionV>
                <wp:extent cx="2776855" cy="115570"/>
                <wp:wrapTopAndBottom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776855" cy="1155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6"/>
                              </w:rPr>
                              <w:t>Działamy zgodnie z EMAS - zarządzając instytucją, dbamy o środowisko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188.34999999999999pt;margin-top:10.pt;width:218.65000000000001pt;height:9.0999999999999996pt;z-index:-125829373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6"/>
                        </w:rPr>
                        <w:t>Działamy zgodnie z EMAS - zarządzając instytucją, dbamy o środowisko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fldChar w:fldCharType="begin"/>
      </w:r>
      <w:r>
        <w:rPr/>
        <w:instrText> HYPERLINK "http://www.gov.pl/klimat" </w:instrText>
      </w:r>
      <w:r>
        <w:fldChar w:fldCharType="separate"/>
      </w:r>
      <w:r>
        <w:rPr>
          <w:rStyle w:val="CharStyle3"/>
          <w:sz w:val="16"/>
          <w:szCs w:val="16"/>
        </w:rPr>
        <w:t>www.gov.pl/klimat</w:t>
      </w:r>
      <w:r>
        <w:fldChar w:fldCharType="end"/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line="288" w:lineRule="auto"/>
        <w:ind w:left="0" w:right="0" w:firstLine="0"/>
        <w:jc w:val="both"/>
      </w:pPr>
      <w:r>
        <w:rPr>
          <w:rStyle w:val="CharStyle8"/>
        </w:rPr>
        <w:t xml:space="preserve">ograniczania szkód. Rekomendacja </w:t>
      </w:r>
      <w:r>
        <w:rPr>
          <w:rStyle w:val="CharStyle8"/>
          <w:i/>
          <w:iCs/>
        </w:rPr>
        <w:t>Zespołu ds. zmian systemowychwłowiectwie</w:t>
      </w:r>
      <w:r>
        <w:rPr>
          <w:rStyle w:val="CharStyle8"/>
        </w:rPr>
        <w:t>, dotycząca ewentualnego wprowadzenia dodatkowego mechanizmu, który będzie wpływał na poprawę efektywności współpracy w celu zabezpieczeniu upraw przed szkodami, aktualnie pozostaje również przedmiotem analiz i decyzji Kierownictwa resortu.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460"/>
        <w:ind w:left="0" w:right="0" w:firstLine="0"/>
        <w:jc w:val="both"/>
      </w:pPr>
      <w:r>
        <w:rPr>
          <w:rStyle w:val="CharStyle8"/>
          <w:b/>
          <w:bCs/>
          <w:sz w:val="18"/>
          <w:szCs w:val="18"/>
        </w:rPr>
        <w:t>Odnosząc się do propozycji przyznania organom szacującym, w tym podmiotom reprezentującym Skarb Państwa, uprawnienia do żądania dodatkowych dokumentów potwierdzających stan faktyczny i prawny upraw</w:t>
      </w:r>
      <w:r>
        <w:rPr>
          <w:rStyle w:val="CharStyle8"/>
        </w:rPr>
        <w:t xml:space="preserve">, należy podkreślić, że procedura szacowania szkód łowieckich powinna zachować możliwie prosty i odformalizowany charakter, umożliwiający sprawne dochodzenie roszczeń przez poszkodowanych. Jednocześnie obowiązujące przepisy ustawy </w:t>
      </w:r>
      <w:r>
        <w:rPr>
          <w:rStyle w:val="CharStyle8"/>
          <w:i/>
          <w:iCs/>
        </w:rPr>
        <w:t>– Prawo łowieckie</w:t>
      </w:r>
      <w:r>
        <w:rPr>
          <w:rStyle w:val="CharStyle8"/>
        </w:rPr>
        <w:t xml:space="preserve"> nie wyłączają podmiotowi reprezentującemu Skarb Państwa, prowadzącemu postępowanie, możliwości dodatkowego weryfikowania okoliczności mających znaczenie dla ustalenia uprawnienia do uzyskania odszkodowania, jeżeli w konkretnym przypadku powstaną uzasadnione wątpliwości co do statusu osoby zgłaszającej szkodę. W ocenie Ministerstwa bardziej właściwe jest pozostawienie aktualnie istniejącej możliwości do zastosowania w indywidualnych, uzasadnionych przypadkach niż nakładanie powszechnego obowiązku dokumentacyjnego na wszystkich poszkodowanych. Natomiast uwagi przedstawione w piśmie zostaną uwzględnione w dalszych analizach funkcjonowania systemu szacowania szkód łowieckich.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40" w:line="302" w:lineRule="auto"/>
        <w:ind w:left="0" w:right="0" w:firstLine="0"/>
        <w:jc w:val="both"/>
        <w:rPr>
          <w:sz w:val="18"/>
          <w:szCs w:val="18"/>
        </w:rPr>
      </w:pPr>
      <w:r>
        <w:rPr>
          <w:rStyle w:val="CharStyle8"/>
          <w:b/>
          <w:bCs/>
          <w:sz w:val="18"/>
          <w:szCs w:val="18"/>
        </w:rPr>
        <w:t>Podstawa prawna: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340" w:line="288" w:lineRule="auto"/>
        <w:ind w:left="0" w:right="0" w:firstLine="0"/>
        <w:jc w:val="both"/>
      </w:pPr>
      <w:r>
        <w:rPr>
          <w:rStyle w:val="CharStyle8"/>
        </w:rPr>
        <w:t>Art. 12 i 13 ustawy z dnia 11 lipca 2014 r. o petycjach.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both"/>
        <w:rPr>
          <w:sz w:val="18"/>
          <w:szCs w:val="18"/>
        </w:rPr>
      </w:pPr>
      <w:r>
        <w:rPr>
          <w:rStyle w:val="CharStyle8"/>
          <w:b/>
          <w:bCs/>
          <w:sz w:val="18"/>
          <w:szCs w:val="18"/>
        </w:rPr>
        <w:t>Pouczenie: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0" w:line="343" w:lineRule="auto"/>
        <w:ind w:left="0" w:right="0" w:firstLine="0"/>
        <w:jc w:val="both"/>
      </w:pPr>
      <w:r>
        <w:rPr>
          <w:rStyle w:val="CharStyle8"/>
        </w:rPr>
        <w:t>Informuję, że na sposób załatwienia petycji nie służy Państwu prawo wniesienia skargi w trybie określonym w Rozdziale 2 Działu VIII Kodeksu postępowania administracyjnego.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340" w:line="343" w:lineRule="auto"/>
        <w:ind w:left="0" w:right="0" w:firstLine="0"/>
        <w:jc w:val="both"/>
      </w:pPr>
      <w:r>
        <w:rPr>
          <w:rStyle w:val="CharStyle8"/>
        </w:rPr>
        <w:t>Minister Klimatu i Środowiska może pozostawić bez rozpatrzenia petycję złożoną w sprawie, która była przedmiotem petycji już rozpatrzonej, jeżeli w petycji nie powołano się na nowe fakty lub dowody nieznane Ministrowi Klimatu i Środowiska.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line="288" w:lineRule="auto"/>
        <w:ind w:left="0" w:right="0" w:firstLine="0"/>
        <w:jc w:val="both"/>
      </w:pPr>
      <w:r>
        <w:rPr>
          <w:rStyle w:val="CharStyle8"/>
        </w:rPr>
        <w:t>Z wyrazami szacunku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400" w:line="288" w:lineRule="auto"/>
        <w:ind w:left="0" w:right="0" w:firstLine="0"/>
        <w:jc w:val="both"/>
      </w:pPr>
      <w:r>
        <w:rPr>
          <w:rStyle w:val="CharStyle8"/>
        </w:rPr>
        <w:t>Z up. Ministra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0"/>
        <w:jc w:val="both"/>
      </w:pPr>
      <w:r>
        <w:rPr>
          <w:rStyle w:val="CharStyle8"/>
        </w:rPr>
        <w:t>Zastępca Dyrektora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0"/>
        <w:jc w:val="both"/>
      </w:pPr>
      <w:r>
        <w:rPr>
          <w:rStyle w:val="CharStyle8"/>
        </w:rPr>
        <w:t>Departament Leśnictwa i Łowiectwa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0" w:line="288" w:lineRule="auto"/>
        <w:ind w:left="0" w:right="0" w:firstLine="0"/>
        <w:jc w:val="both"/>
      </w:pPr>
      <w:r>
        <w:rPr>
          <w:rStyle w:val="CharStyle8"/>
        </w:rPr>
        <w:t>Ministerstwo Klimatu i Środowiska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620" w:line="288" w:lineRule="auto"/>
        <w:ind w:left="0" w:right="0" w:firstLine="0"/>
        <w:jc w:val="both"/>
      </w:pPr>
      <w:r>
        <w:rPr>
          <w:rStyle w:val="CharStyle8"/>
        </w:rPr>
        <w:t>/ – podpisany cyfrowo/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both"/>
        <w:rPr>
          <w:sz w:val="18"/>
          <w:szCs w:val="18"/>
        </w:rPr>
      </w:pPr>
      <w:r>
        <w:rPr>
          <w:rStyle w:val="CharStyle8"/>
          <w:b/>
          <w:bCs/>
          <w:sz w:val="18"/>
          <w:szCs w:val="18"/>
          <w:u w:val="single"/>
        </w:rPr>
        <w:t>Do wiadomości: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both"/>
      </w:pPr>
      <w:r>
        <w:rPr>
          <w:rStyle w:val="CharStyle8"/>
        </w:rPr>
        <w:t>Biuro Kontroli i Audytu w Ministerstwie Klimatu i Środowiska</w:t>
      </w:r>
    </w:p>
    <w:p>
      <w:pPr>
        <w:pStyle w:val="Style16"/>
        <w:keepNext/>
        <w:keepLines/>
        <w:widowControl w:val="0"/>
        <w:shd w:val="clear" w:color="auto" w:fill="auto"/>
        <w:bidi w:val="0"/>
        <w:spacing w:before="0" w:after="200"/>
        <w:ind w:left="0" w:right="0" w:firstLine="0"/>
        <w:jc w:val="center"/>
      </w:pPr>
      <w:bookmarkStart w:id="0" w:name="bookmark0"/>
      <w:r>
        <w:rPr>
          <w:rStyle w:val="CharStyle17"/>
          <w:b/>
          <w:bCs/>
        </w:rPr>
        <w:t>Klauzula informacyjna</w:t>
        <w:br/>
        <w:t>dotycząca przetwarzania danych osobowych osób wnoszących petycję</w:t>
      </w:r>
      <w:bookmarkEnd w:id="0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(Dz. Urz. UE L 119 z 04.05.2016, str. 1 z późn. zm., dalej: RODO) uprzejmie informuję, że:</w:t>
      </w:r>
    </w:p>
    <w:p>
      <w:pPr>
        <w:pStyle w:val="Style16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2" w:name="bookmark2"/>
      <w:r>
        <w:rPr>
          <w:rStyle w:val="CharStyle17"/>
          <w:b/>
          <w:bCs/>
        </w:rPr>
        <w:t>Tożsamość administratora</w:t>
      </w:r>
      <w:bookmarkEnd w:id="2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</w:rPr>
        <w:t>Administratorem Pani/Pana danych osobowych jest Minister Klimatu i Środowiska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</w:rPr>
        <w:t>Może się Pani/Pan z nami kontaktować w następujący sposób: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listownie na adres: ul. Wawelska 52/54, 00-922 Warszawa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poprzez elektroniczną skrzynkę podawczą: /mos/skrytka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adres eDoręczeń: AE:PL-76338-88700-JTFJE-30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poprzez e-mail:</w:t>
      </w:r>
      <w:r>
        <w:fldChar w:fldCharType="begin"/>
      </w:r>
      <w:r>
        <w:rPr/>
        <w:instrText> HYPERLINK "mailto:info@klimat.gov.pl" </w:instrText>
      </w:r>
      <w:r>
        <w:fldChar w:fldCharType="separate"/>
      </w:r>
      <w:r>
        <w:rPr>
          <w:rStyle w:val="CharStyle3"/>
        </w:rPr>
        <w:t xml:space="preserve"> </w:t>
      </w:r>
      <w:r>
        <w:rPr>
          <w:rStyle w:val="CharStyle3"/>
          <w:color w:val="0000FF"/>
          <w:u w:val="single"/>
        </w:rPr>
        <w:t>info@klimat.gov.pl</w:t>
      </w:r>
      <w:r>
        <w:fldChar w:fldCharType="end"/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738" w:val="left"/>
        </w:tabs>
        <w:bidi w:val="0"/>
        <w:spacing w:before="0"/>
        <w:ind w:left="0" w:right="0" w:firstLine="380"/>
        <w:jc w:val="left"/>
      </w:pPr>
      <w:r>
        <w:rPr>
          <w:rStyle w:val="CharStyle3"/>
        </w:rPr>
        <w:t>telefonicznie: 22 36 92 900.</w:t>
      </w:r>
    </w:p>
    <w:p>
      <w:pPr>
        <w:pStyle w:val="Style16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4" w:name="bookmark4"/>
      <w:r>
        <w:rPr>
          <w:rStyle w:val="CharStyle17"/>
          <w:b/>
          <w:bCs/>
        </w:rPr>
        <w:t>Dane kontaktowe inspektora ochrony danych osobowych</w:t>
      </w:r>
      <w:bookmarkEnd w:id="4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</w:rPr>
        <w:t>Nad prawidłowością przetwarzania Pani/Pana danych osobowych czuwa wyznaczony przez Administratora inspektor ochrony danych, z którym można się kontaktować: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listownie na adres: ul. Wawelska 52/54, 00-922 Warszawa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poprzez elektroniczną skrzynkę podawczą: /mos/skrytka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738" w:val="left"/>
        </w:tabs>
        <w:bidi w:val="0"/>
        <w:spacing w:before="0"/>
        <w:ind w:left="0" w:right="0" w:firstLine="380"/>
        <w:jc w:val="left"/>
      </w:pPr>
      <w:r>
        <w:rPr>
          <w:rStyle w:val="CharStyle3"/>
        </w:rPr>
        <w:t xml:space="preserve">poprzez e-mail: </w:t>
      </w:r>
      <w:r>
        <w:fldChar w:fldCharType="begin"/>
      </w:r>
      <w:r>
        <w:rPr/>
        <w:instrText> HYPERLINK "mailto:inspektor.ochrony.danych@klimat.gov.pl" </w:instrText>
      </w:r>
      <w:r>
        <w:fldChar w:fldCharType="separate"/>
      </w:r>
      <w:r>
        <w:rPr>
          <w:rStyle w:val="CharStyle3"/>
        </w:rPr>
        <w:t>inspektor.ochrony.danych@klimat.gov.pl</w:t>
      </w:r>
      <w:r>
        <w:fldChar w:fldCharType="end"/>
      </w:r>
      <w:r>
        <w:rPr>
          <w:rStyle w:val="CharStyle3"/>
        </w:rPr>
        <w:t>.</w:t>
      </w:r>
    </w:p>
    <w:p>
      <w:pPr>
        <w:pStyle w:val="Style16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6" w:name="bookmark6"/>
      <w:r>
        <w:rPr>
          <w:rStyle w:val="CharStyle17"/>
          <w:b/>
          <w:bCs/>
        </w:rPr>
        <w:t>Cele przetwarzania danych osobowych i podstawa prawna</w:t>
      </w:r>
      <w:bookmarkEnd w:id="6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Pani/Pana dane osobowe będą przetwarzane na podstawie art. 6 ust. 1 lit. c RODO (przetwarzanie jest niezbędne do wypełnienia obowiązku prawnego ciążącego na administratorze) w celu rozpatrzenia petycji, na podstawie przepisów ustawy z dnia 11 lipca 2014 r. o petycjach oraz w celu archiwizacji dokumentów, na podstawie przepisów ustawy z dnia 14 lipca 1983 r. o narodowym zasobie archiwalnym i archiwach.</w:t>
      </w:r>
    </w:p>
    <w:p>
      <w:pPr>
        <w:pStyle w:val="Style16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8" w:name="bookmark8"/>
      <w:r>
        <w:rPr>
          <w:rStyle w:val="CharStyle17"/>
          <w:b/>
          <w:bCs/>
        </w:rPr>
        <w:t>Odbiorcy danych osobowych lub kategorie odbiorców danych osobowych</w:t>
      </w:r>
      <w:bookmarkEnd w:id="8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</w:rPr>
        <w:t>Pani/Pana dane osobowe mogą być udostępnione organom upoważnionym na podstawie przepisów prawa powszechnie obowiązującego, nie stanowią jednak one odbiorców danych w rozumieniu przepisów RODO.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 xml:space="preserve">Pani/Pana dane osobowe, tj. imię i nazwisko mogą być opublikowane na stronie internetowej Ministerstwa Klimatu i Środowiska łącznie z treścią petycji, tylko w przypadku wyrażenia przez Panią/Pana zgody. Zgodę można w każdej chwili wycofać wysyłając wiadomość na adres </w:t>
      </w:r>
      <w:r>
        <w:fldChar w:fldCharType="begin"/>
      </w:r>
      <w:r>
        <w:rPr/>
        <w:instrText> HYPERLINK "mailto:inspektor.ochrony.danych@klimat.gov.pl" </w:instrText>
      </w:r>
      <w:r>
        <w:fldChar w:fldCharType="separate"/>
      </w:r>
      <w:r>
        <w:rPr>
          <w:rStyle w:val="CharStyle3"/>
        </w:rPr>
        <w:t>inspektor.ochrony.danych@klimat.gov.pl</w:t>
      </w:r>
      <w:r>
        <w:fldChar w:fldCharType="end"/>
      </w:r>
      <w:r>
        <w:rPr>
          <w:rStyle w:val="CharStyle3"/>
        </w:rPr>
        <w:t>.</w:t>
      </w:r>
    </w:p>
    <w:p>
      <w:pPr>
        <w:pStyle w:val="Style16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10" w:name="bookmark10"/>
      <w:r>
        <w:rPr>
          <w:rStyle w:val="CharStyle17"/>
          <w:b/>
          <w:bCs/>
        </w:rPr>
        <w:t>Okres przechowywania danych osobowych</w:t>
      </w:r>
      <w:bookmarkEnd w:id="10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Pani/Pana dane osobowe będą przechowywane przez okres niezbędny do realizacji celu przetwarzania, a następnie 25 lat (kat. archiwalna A) na podstawie Instrukcji Kancelaryjnej obowiązującej w Ministerstwie Klimatu i Środowiska) i przepisów ustawy z dnia 14 lipca 1983 r. o narodowym zasobie archiwalnym i archiwach.</w:t>
      </w:r>
    </w:p>
    <w:p>
      <w:pPr>
        <w:pStyle w:val="Style16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12" w:name="bookmark12"/>
      <w:r>
        <w:rPr>
          <w:rStyle w:val="CharStyle17"/>
          <w:b/>
          <w:bCs/>
        </w:rPr>
        <w:t>Przysługujące uprawnienia związane z przetwarzaniem danych osobowych</w:t>
      </w:r>
      <w:bookmarkEnd w:id="12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3"/>
        </w:rPr>
        <w:t>Przysługują Pani/Panu następujące uprawnienia: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prawo dostępu do danych osobowych i uzyskania ich kopii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prawo do sprostowania danych osobowych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prawo do usunięcia danych osobowych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738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prawo ograniczenia przetwarzania.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Aby skorzystać z powyższych praw należy skontaktować się z nami lub z naszym inspektorem ochrony danych (dane kontaktowe zawarte są powyżej).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735" w:val="left"/>
        </w:tabs>
        <w:bidi w:val="0"/>
        <w:spacing w:before="0" w:after="0"/>
        <w:ind w:left="0" w:right="0" w:firstLine="380"/>
        <w:jc w:val="left"/>
      </w:pPr>
      <w:r>
        <w:rPr>
          <w:rStyle w:val="CharStyle3"/>
        </w:rPr>
        <w:t>prawo do wniesienia skargi do Prezesa Urzędu Ochrony Danych Osobowych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740" w:right="0" w:firstLine="0"/>
        <w:jc w:val="left"/>
      </w:pPr>
      <w:r>
        <w:rPr>
          <w:rStyle w:val="CharStyle3"/>
        </w:rPr>
        <w:t>(ul. Moniuszki 1A, 00-014 Warszawa), jeśli uzna Pani/Pan, że przetwarzamy Pani/Pana dane osobowe niezgodnie z prawem.</w:t>
      </w:r>
    </w:p>
    <w:p>
      <w:pPr>
        <w:pStyle w:val="Style16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14" w:name="bookmark14"/>
      <w:r>
        <w:rPr>
          <w:rStyle w:val="CharStyle17"/>
          <w:b/>
          <w:bCs/>
        </w:rPr>
        <w:t>Informacja o przekazywaniu danych osobowych do państw trzecich</w:t>
      </w:r>
      <w:bookmarkEnd w:id="14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Nie przekazujemy Pani/Pana danych osobowych do państw trzecich.</w:t>
      </w:r>
    </w:p>
    <w:p>
      <w:pPr>
        <w:pStyle w:val="Style16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16" w:name="bookmark16"/>
      <w:r>
        <w:rPr>
          <w:rStyle w:val="CharStyle17"/>
          <w:b/>
          <w:bCs/>
        </w:rPr>
        <w:t>Informacja o profilowaniu</w:t>
      </w:r>
      <w:bookmarkEnd w:id="16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Pani/Pana dane osobowe nie podlegają zautomatyzowanemu przetwarzaniu, w tym profilowaniu.</w:t>
      </w:r>
    </w:p>
    <w:p>
      <w:pPr>
        <w:pStyle w:val="Style16"/>
        <w:keepNext/>
        <w:keepLines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bookmarkStart w:id="18" w:name="bookmark18"/>
      <w:r>
        <w:rPr>
          <w:rStyle w:val="CharStyle17"/>
          <w:b/>
          <w:bCs/>
        </w:rPr>
        <w:t>Informacja o dowolności lub obowiązku podania danych</w:t>
      </w:r>
      <w:bookmarkEnd w:id="18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Podanie przez Panią/Pana danych osobowych jest wymogiem ustawowym. Skutkiem niepodania danych osobowych będzie pozostawienie petycji bez rozpoznania.</w:t>
      </w:r>
    </w:p>
    <w:sectPr>
      <w:footerReference w:type="default" r:id="rId7"/>
      <w:footnotePr>
        <w:pos w:val="pageBottom"/>
        <w:numFmt w:val="decimal"/>
        <w:numRestart w:val="continuous"/>
      </w:footnotePr>
      <w:pgSz w:w="11900" w:h="16840"/>
      <w:pgMar w:top="2310" w:right="1981" w:bottom="2643" w:left="1923" w:header="1882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1" behindDoc="1" locked="0" layoutInCell="1" allowOverlap="1">
              <wp:simplePos x="0" y="0"/>
              <wp:positionH relativeFrom="page">
                <wp:posOffset>3735705</wp:posOffset>
              </wp:positionH>
              <wp:positionV relativeFrom="page">
                <wp:posOffset>10144125</wp:posOffset>
              </wp:positionV>
              <wp:extent cx="48895" cy="73025"/>
              <wp:wrapNone/>
              <wp:docPr id="7" name="Shape 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8895" cy="7302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fldSimple w:instr=" PAGE \* MERGEFORMAT ">
                            <w:r>
                              <w:rPr>
                                <w:rStyle w:val="CharStyle13"/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position:absolute;margin-left:294.15000000000003pt;margin-top:798.75pt;width:3.8500000000000001pt;height:5.75pt;z-index:-18874406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fldSimple w:instr=" PAGE \* MERGEFORMAT ">
                      <w:r>
                        <w:rPr>
                          <w:rStyle w:val="CharStyle13"/>
                          <w:rFonts w:ascii="Arial" w:eastAsia="Arial" w:hAnsi="Arial" w:cs="Arial"/>
                          <w:sz w:val="16"/>
                          <w:szCs w:val="16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vertAlign w:val="superscript"/>
        <w:lang w:val="pl-PL" w:eastAsia="pl-PL"/>
      </w:rPr>
    </w:lvl>
  </w:abstractNum>
  <w:abstractNum w:abstractNumId="2">
    <w:multiLevelType w:val="multilevel"/>
    <w:lvl w:ilvl="0">
      <w:start w:val="1"/>
      <w:numFmt w:val="decimal"/>
      <w:lvlText w:val="%1)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pl-PL" w:eastAsia="pl-PL"/>
      </w:rPr>
    </w:lvl>
  </w:abstractNum>
  <w:abstractNum w:abstractNumId="4">
    <w:multiLevelType w:val="multilevel"/>
    <w:lvl w:ilvl="0">
      <w:start w:val="1"/>
      <w:numFmt w:val="decimal"/>
      <w:lvlText w:val="%1)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pl-PL" w:eastAsia="pl-PL"/>
      </w:rPr>
    </w:lvl>
  </w:abstractNum>
  <w:abstractNum w:abstractNumId="6">
    <w:multiLevelType w:val="multilevel"/>
    <w:lvl w:ilvl="0">
      <w:start w:val="1"/>
      <w:numFmt w:val="decimal"/>
      <w:lvlText w:val="%1)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pl-PL" w:eastAsia="pl-PL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pl-PL" w:eastAsia="pl-PL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/>
    </w:rPr>
  </w:style>
  <w:style w:type="character" w:customStyle="1" w:styleId="CharStyle3">
    <w:name w:val="Body text (2)_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harStyle6">
    <w:name w:val="Body text (3)_"/>
    <w:basedOn w:val="DefaultParagraphFont"/>
    <w:link w:val="Style5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CharStyle8">
    <w:name w:val="Body text_"/>
    <w:basedOn w:val="DefaultParagraphFont"/>
    <w:link w:val="Style7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harStyle13">
    <w:name w:val="Header or footer (2)_"/>
    <w:basedOn w:val="DefaultParagraphFont"/>
    <w:link w:val="Style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7">
    <w:name w:val="Heading #1_"/>
    <w:basedOn w:val="DefaultParagraphFont"/>
    <w:link w:val="Style16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paragraph" w:customStyle="1" w:styleId="Style2">
    <w:name w:val="Body text (2)"/>
    <w:basedOn w:val="Normal"/>
    <w:link w:val="CharStyle3"/>
    <w:pPr>
      <w:widowControl w:val="0"/>
      <w:shd w:val="clear" w:color="auto" w:fill="auto"/>
      <w:spacing w:after="200" w:line="266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Style5">
    <w:name w:val="Body text (3)"/>
    <w:basedOn w:val="Normal"/>
    <w:link w:val="CharStyle6"/>
    <w:pPr>
      <w:widowControl w:val="0"/>
      <w:shd w:val="clear" w:color="auto" w:fill="auto"/>
      <w:jc w:val="center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styleId="Style7">
    <w:name w:val="Body text"/>
    <w:basedOn w:val="Normal"/>
    <w:link w:val="CharStyle8"/>
    <w:qFormat/>
    <w:pPr>
      <w:widowControl w:val="0"/>
      <w:shd w:val="clear" w:color="auto" w:fill="auto"/>
      <w:spacing w:after="100" w:line="290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Style12">
    <w:name w:val="Header or footer (2)"/>
    <w:basedOn w:val="Normal"/>
    <w:link w:val="CharStyle13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6">
    <w:name w:val="Heading #1"/>
    <w:basedOn w:val="Normal"/>
    <w:link w:val="CharStyle17"/>
    <w:pPr>
      <w:widowControl w:val="0"/>
      <w:shd w:val="clear" w:color="auto" w:fill="auto"/>
      <w:spacing w:line="283" w:lineRule="auto"/>
      <w:outlineLvl w:val="0"/>
    </w:pPr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Odpowiedź na petycję</dc:title>
  <dc:subject/>
  <dc:creator>Zygadlewicz Małgorzata</dc:creator>
  <cp:keywords>PL, KOLOR</cp:keywords>
</cp:coreProperties>
</file>