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51D" w:rsidRDefault="006D351D">
      <w:pPr>
        <w:pStyle w:val="Bodytext30"/>
        <w:framePr w:w="2153" w:h="346" w:wrap="none" w:hAnchor="page" w:x="702" w:y="1"/>
        <w:pBdr>
          <w:bottom w:val="single" w:sz="4" w:space="0" w:color="auto"/>
        </w:pBdr>
      </w:pPr>
    </w:p>
    <w:p w:rsidR="006D351D" w:rsidRDefault="006D351D">
      <w:pPr>
        <w:spacing w:after="345" w:line="1" w:lineRule="exact"/>
      </w:pPr>
    </w:p>
    <w:p w:rsidR="00A27887" w:rsidRDefault="00A27887">
      <w:pPr>
        <w:spacing w:line="1" w:lineRule="exact"/>
      </w:pPr>
    </w:p>
    <w:p w:rsidR="00A27887" w:rsidRDefault="00A27887" w:rsidP="00A27887"/>
    <w:p w:rsidR="006D351D" w:rsidRDefault="00C5448E" w:rsidP="00A27887">
      <w:pPr>
        <w:tabs>
          <w:tab w:val="left" w:pos="4500"/>
        </w:tabs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12700</wp:posOffset>
                </wp:positionV>
                <wp:extent cx="585470" cy="6858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D351D" w:rsidRDefault="00C5448E">
                            <w:pPr>
                              <w:pStyle w:val="Bodytext20"/>
                              <w:spacing w:line="290" w:lineRule="auto"/>
                              <w:ind w:left="0" w:firstLine="0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</w:rPr>
                              <w:t>Od: Wysłano: Do: Temat: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5.050000000000004pt;margin-top:1.pt;width:46.100000000000001pt;height:54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8"/>
                          <w:b/>
                          <w:bCs/>
                        </w:rPr>
                        <w:t>Od: Wysłano: Do: Temat: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6D351D" w:rsidRDefault="00C5448E">
      <w:pPr>
        <w:pStyle w:val="Bodytext20"/>
        <w:spacing w:line="286" w:lineRule="auto"/>
      </w:pPr>
      <w:r>
        <w:rPr>
          <w:rStyle w:val="Bodytext2"/>
        </w:rPr>
        <w:t>ś</w:t>
      </w:r>
      <w:r>
        <w:rPr>
          <w:rStyle w:val="Bodytext2"/>
        </w:rPr>
        <w:t>roda, 3 czerwca 2026 12:15</w:t>
      </w:r>
    </w:p>
    <w:p w:rsidR="006D351D" w:rsidRDefault="00C5448E">
      <w:pPr>
        <w:pStyle w:val="Bodytext20"/>
        <w:spacing w:line="286" w:lineRule="auto"/>
      </w:pPr>
      <w:r>
        <w:rPr>
          <w:rStyle w:val="Bodytext2"/>
        </w:rPr>
        <w:t>kontakt</w:t>
      </w:r>
    </w:p>
    <w:p w:rsidR="006D351D" w:rsidRDefault="00C5448E">
      <w:pPr>
        <w:pStyle w:val="Bodytext20"/>
        <w:spacing w:after="500" w:line="286" w:lineRule="auto"/>
      </w:pPr>
      <w:r>
        <w:rPr>
          <w:rStyle w:val="Bodytext2"/>
        </w:rPr>
        <w:t>= = Petycja = =Wdrożenie przełomowych wyroków Sądów WSA I NSA= = Pozwolenia na broń do ochrony osobistej = =</w:t>
      </w:r>
    </w:p>
    <w:p w:rsidR="006D351D" w:rsidRDefault="00C5448E">
      <w:pPr>
        <w:pStyle w:val="Heading110"/>
        <w:keepNext/>
        <w:keepLines/>
      </w:pPr>
      <w:bookmarkStart w:id="0" w:name="bookmark0"/>
      <w:r>
        <w:rPr>
          <w:rStyle w:val="Heading11"/>
          <w:b/>
          <w:bCs/>
        </w:rPr>
        <w:t>Uwaga! Wiadomość pochodzi od zewnętrznego nadawcy.</w:t>
      </w:r>
      <w:bookmarkEnd w:id="0"/>
    </w:p>
    <w:p w:rsidR="006D351D" w:rsidRDefault="00C5448E">
      <w:pPr>
        <w:pStyle w:val="Bodytext10"/>
        <w:spacing w:after="820"/>
      </w:pPr>
      <w:r>
        <w:rPr>
          <w:rStyle w:val="Bodytext1"/>
        </w:rPr>
        <w:t>Witam</w:t>
      </w:r>
    </w:p>
    <w:p w:rsidR="006D351D" w:rsidRDefault="00C5448E">
      <w:pPr>
        <w:pStyle w:val="Bodytext10"/>
        <w:spacing w:after="820"/>
        <w:ind w:firstLine="240"/>
      </w:pPr>
      <w:r>
        <w:rPr>
          <w:rStyle w:val="Bodytext1"/>
        </w:rPr>
        <w:t xml:space="preserve">Proszę Ministerstwo Spraw Wewnętrznych o wydanie wytycznych do KGP by KGP wydała wytyczne do wszystkich Wydziałów Postępowań Administracyjnych by wdrożyli przełomowe wyroki Sądów które </w:t>
      </w:r>
      <w:r>
        <w:rPr>
          <w:rStyle w:val="Bodytext1"/>
          <w:b/>
          <w:bCs/>
          <w:u w:val="single"/>
        </w:rPr>
        <w:t>bardzo mocno ograniczyły uznaniowość wszystkich Wydziałów Postępowań Ad</w:t>
      </w:r>
      <w:r>
        <w:rPr>
          <w:rStyle w:val="Bodytext1"/>
          <w:b/>
          <w:bCs/>
          <w:u w:val="single"/>
        </w:rPr>
        <w:t xml:space="preserve">ministracyjnych w kwestii wydawania pozwoleń do ochrony osobistej </w:t>
      </w:r>
      <w:hyperlink r:id="rId6" w:history="1">
        <w:r w:rsidRPr="00A27887">
          <w:rPr>
            <w:rStyle w:val="Bodytext1"/>
            <w:color w:val="0606ED"/>
            <w:u w:val="single"/>
            <w:lang w:eastAsia="en-US" w:bidi="en-US"/>
          </w:rPr>
          <w:t xml:space="preserve">https://trybun.org.pl/2015/07/08/przeslanka-warunkujaca-przyznanie-broni-do-ochrony-osobistej-jest-samo- </w:t>
        </w:r>
        <w:r>
          <w:rPr>
            <w:rStyle w:val="Bodytext1"/>
            <w:color w:val="0606ED"/>
            <w:u w:val="single"/>
          </w:rPr>
          <w:t>kwalifikowane-zagrozenie-nie-zas-skutek-w-postaci-udanego-zamachu-na-zycie-lub-zdrowie/</w:t>
        </w:r>
      </w:hyperlink>
    </w:p>
    <w:p w:rsidR="006D351D" w:rsidRDefault="00C5448E">
      <w:pPr>
        <w:pStyle w:val="Heading210"/>
        <w:keepNext/>
        <w:keepLines/>
        <w:spacing w:line="233" w:lineRule="auto"/>
      </w:pPr>
      <w:bookmarkStart w:id="1" w:name="bookmark2"/>
      <w:r>
        <w:rPr>
          <w:rStyle w:val="Heading21"/>
          <w:b/>
          <w:bCs/>
        </w:rPr>
        <w:t xml:space="preserve">Wojewódzki Sąd Administracyjny w Warszawie, </w:t>
      </w:r>
      <w:r>
        <w:rPr>
          <w:rStyle w:val="Heading21"/>
          <w:b/>
          <w:bCs/>
          <w:color w:val="0606ED"/>
        </w:rPr>
        <w:t>w w</w:t>
      </w:r>
      <w:r>
        <w:rPr>
          <w:rStyle w:val="Heading21"/>
          <w:b/>
          <w:bCs/>
          <w:color w:val="0606ED"/>
        </w:rPr>
        <w:t xml:space="preserve">yroku z dnia 26.03.2015 r. w sprawie II SA/Wa </w:t>
      </w:r>
      <w:r>
        <w:rPr>
          <w:rStyle w:val="Heading21"/>
          <w:b/>
          <w:bCs/>
          <w:color w:val="0606ED"/>
          <w:u w:val="none"/>
        </w:rPr>
        <w:t>1891/14</w:t>
      </w:r>
      <w:bookmarkEnd w:id="1"/>
    </w:p>
    <w:p w:rsidR="006D351D" w:rsidRDefault="00C5448E">
      <w:pPr>
        <w:pStyle w:val="Bodytext10"/>
        <w:spacing w:after="280"/>
      </w:pPr>
      <w:r>
        <w:rPr>
          <w:rStyle w:val="Bodytext1"/>
          <w:i/>
          <w:iCs/>
        </w:rPr>
        <w:t xml:space="preserve">Podstawową przesłanką warunkującą przyznanie prawa posiadania broni palnej do ochrony osobistej, w świetle </w:t>
      </w:r>
      <w:r w:rsidRPr="00A27887">
        <w:rPr>
          <w:rStyle w:val="Bodytext1"/>
          <w:i/>
          <w:iCs/>
          <w:lang w:eastAsia="en-US" w:bidi="en-US"/>
        </w:rPr>
        <w:t xml:space="preserve">art. </w:t>
      </w:r>
      <w:r>
        <w:rPr>
          <w:rStyle w:val="Bodytext1"/>
          <w:i/>
          <w:iCs/>
        </w:rPr>
        <w:t xml:space="preserve">10 ust. 3 </w:t>
      </w:r>
      <w:r w:rsidRPr="00A27887">
        <w:rPr>
          <w:rStyle w:val="Bodytext1"/>
          <w:i/>
          <w:iCs/>
          <w:lang w:eastAsia="en-US" w:bidi="en-US"/>
        </w:rPr>
        <w:t xml:space="preserve">pkt </w:t>
      </w:r>
      <w:r>
        <w:rPr>
          <w:rStyle w:val="Bodytext1"/>
          <w:i/>
          <w:iCs/>
        </w:rPr>
        <w:t xml:space="preserve">1 ustawy o broni i amunicji, jest samo kwalifikowane zagrożenie, nie zaś </w:t>
      </w:r>
      <w:r>
        <w:rPr>
          <w:rStyle w:val="Bodytext1"/>
          <w:i/>
          <w:iCs/>
        </w:rPr>
        <w:t>skutek w postaci udanego zamachu na życie lub zdrowie osoby ubiegającej się o pozwolenie na taką broń</w:t>
      </w:r>
    </w:p>
    <w:p w:rsidR="006D351D" w:rsidRDefault="00C5448E">
      <w:pPr>
        <w:pStyle w:val="Bodytext10"/>
        <w:spacing w:after="280"/>
      </w:pPr>
      <w:r>
        <w:rPr>
          <w:rStyle w:val="Bodytext1"/>
        </w:rPr>
        <w:t>Oraz</w:t>
      </w:r>
    </w:p>
    <w:p w:rsidR="006D351D" w:rsidRDefault="00C5448E">
      <w:pPr>
        <w:pStyle w:val="Bodytext10"/>
        <w:spacing w:after="540"/>
      </w:pPr>
      <w:r>
        <w:rPr>
          <w:rStyle w:val="Bodytext1"/>
          <w:i/>
          <w:iCs/>
        </w:rPr>
        <w:t>Jako niepożądaną w Państwie praworządnym należy postrzegać sytuację, gdy osoby narażone na stałe, realne zagrożenie ze strony nieustalonych sprawców,</w:t>
      </w:r>
      <w:r>
        <w:rPr>
          <w:rStyle w:val="Bodytext1"/>
          <w:i/>
          <w:iCs/>
        </w:rPr>
        <w:t xml:space="preserve"> nie uzyskując pomocy od Policji (we wszystkich sprawach zgłaszanych przez skarżącego nie wykryto sprawców), </w:t>
      </w:r>
      <w:r>
        <w:rPr>
          <w:rStyle w:val="Bodytext1"/>
          <w:i/>
          <w:iCs/>
          <w:u w:val="single"/>
        </w:rPr>
        <w:t>bez możliwości skutecznej ochrony siebie i bliskich, zwłaszcza o charakterze prewencyjnym”</w:t>
      </w:r>
    </w:p>
    <w:p w:rsidR="006D351D" w:rsidRDefault="00C5448E">
      <w:pPr>
        <w:pStyle w:val="Bodytext10"/>
        <w:spacing w:after="280"/>
      </w:pPr>
      <w:r>
        <w:rPr>
          <w:rStyle w:val="Bodytext1"/>
        </w:rPr>
        <w:t xml:space="preserve">Oraz </w:t>
      </w:r>
      <w:hyperlink r:id="rId7" w:history="1">
        <w:r w:rsidRPr="00A27887">
          <w:rPr>
            <w:rStyle w:val="Bodytext1"/>
            <w:color w:val="0606ED"/>
            <w:u w:val="single"/>
            <w:lang w:eastAsia="en-US" w:bidi="en-US"/>
          </w:rPr>
          <w:t xml:space="preserve">https://trybun.org.pl/2021/04/15/sad-posiadanie-pozwolenia-na-bron-w-celu-ochrony-osobistej-powinno- </w:t>
        </w:r>
        <w:r>
          <w:rPr>
            <w:rStyle w:val="Bodytext1"/>
            <w:color w:val="0606ED"/>
            <w:u w:val="single"/>
          </w:rPr>
          <w:t>sluzyc-g</w:t>
        </w:r>
        <w:r>
          <w:rPr>
            <w:rStyle w:val="Bodytext1"/>
            <w:color w:val="0606ED"/>
            <w:u w:val="single"/>
          </w:rPr>
          <w:t>lownie-celom-prewencyinym-odstraszac-i-zapobiegac-zamachom-na-zycie-i-zdrowie/</w:t>
        </w:r>
      </w:hyperlink>
    </w:p>
    <w:p w:rsidR="006D351D" w:rsidRDefault="00C5448E">
      <w:pPr>
        <w:pStyle w:val="Bodytext10"/>
        <w:spacing w:after="0"/>
      </w:pPr>
      <w:r>
        <w:rPr>
          <w:rStyle w:val="Bodytext1"/>
          <w:b/>
          <w:bCs/>
          <w:color w:val="0606ED"/>
          <w:u w:val="single"/>
        </w:rPr>
        <w:t>Wyrok Wojewódzkiego Sądu Administracyjnego w Warszawie sygn. akt II SA/Wa 1611/20.</w:t>
      </w:r>
      <w:r>
        <w:br w:type="page"/>
      </w:r>
    </w:p>
    <w:p w:rsidR="006D351D" w:rsidRDefault="00C5448E">
      <w:pPr>
        <w:pStyle w:val="Bodytext10"/>
        <w:spacing w:after="820"/>
      </w:pPr>
      <w:r>
        <w:rPr>
          <w:rStyle w:val="Bodytext1"/>
          <w:b/>
          <w:bCs/>
          <w:color w:val="FB0101"/>
        </w:rPr>
        <w:lastRenderedPageBreak/>
        <w:t xml:space="preserve">Po drugie, </w:t>
      </w:r>
      <w:r>
        <w:rPr>
          <w:rStyle w:val="Bodytext1"/>
          <w:b/>
          <w:bCs/>
          <w:color w:val="FB0101"/>
          <w:u w:val="single"/>
        </w:rPr>
        <w:t>posiadanie pozwolenia na broń w celu ochrony osobistej powinno, zdaniem Sądu, s</w:t>
      </w:r>
      <w:r>
        <w:rPr>
          <w:rStyle w:val="Bodytext1"/>
          <w:b/>
          <w:bCs/>
          <w:color w:val="FB0101"/>
          <w:u w:val="single"/>
        </w:rPr>
        <w:t>łużyć głównie celom prewencyjnym</w:t>
      </w:r>
      <w:r>
        <w:rPr>
          <w:rStyle w:val="Bodytext1"/>
          <w:b/>
          <w:bCs/>
          <w:color w:val="FB0101"/>
        </w:rPr>
        <w:t>, odstraszać i zapobiegać zamachom na życie i zdrowie, a nie dawać możliwość ewentualnego odreagowania na działania godzące w te podstawowe dobra osobiste.</w:t>
      </w:r>
    </w:p>
    <w:p w:rsidR="006D351D" w:rsidRDefault="00C5448E">
      <w:pPr>
        <w:pStyle w:val="Heading210"/>
        <w:keepNext/>
        <w:keepLines/>
        <w:spacing w:after="560"/>
      </w:pPr>
      <w:bookmarkStart w:id="2" w:name="bookmark4"/>
      <w:r>
        <w:rPr>
          <w:rStyle w:val="Heading21"/>
          <w:b/>
          <w:bCs/>
        </w:rPr>
        <w:t>Oraz najnowsze wyroki z 21 Maja 2025 roku</w:t>
      </w:r>
      <w:bookmarkEnd w:id="2"/>
    </w:p>
    <w:p w:rsidR="006D351D" w:rsidRDefault="00C5448E">
      <w:pPr>
        <w:pStyle w:val="Bodytext10"/>
      </w:pPr>
      <w:r>
        <w:rPr>
          <w:rStyle w:val="Bodytext1"/>
        </w:rPr>
        <w:t>===VI SA/Wa 139/25 - Wyrok</w:t>
      </w:r>
      <w:r>
        <w:rPr>
          <w:rStyle w:val="Bodytext1"/>
        </w:rPr>
        <w:t xml:space="preserve"> WSA w Warszawie==</w:t>
      </w:r>
    </w:p>
    <w:p w:rsidR="006D351D" w:rsidRPr="00A27887" w:rsidRDefault="00C5448E">
      <w:pPr>
        <w:pStyle w:val="Bodytext10"/>
        <w:spacing w:after="260"/>
        <w:rPr>
          <w:lang w:val="en-US"/>
        </w:rPr>
      </w:pPr>
      <w:hyperlink r:id="rId8" w:history="1">
        <w:r>
          <w:rPr>
            <w:rStyle w:val="Bodytext1"/>
            <w:color w:val="0606ED"/>
            <w:u w:val="single"/>
            <w:lang w:val="en-US" w:eastAsia="en-US" w:bidi="en-US"/>
          </w:rPr>
          <w:t xml:space="preserve">https://orzeczenia.nsa.gov.pl/doc/2E </w:t>
        </w:r>
        <w:r w:rsidRPr="00A27887">
          <w:rPr>
            <w:rStyle w:val="Bodytext1"/>
            <w:color w:val="0606ED"/>
            <w:u w:val="single"/>
            <w:lang w:val="en-US"/>
          </w:rPr>
          <w:t>1A2331BF</w:t>
        </w:r>
      </w:hyperlink>
    </w:p>
    <w:p w:rsidR="006D351D" w:rsidRDefault="00C5448E">
      <w:pPr>
        <w:pStyle w:val="Bodytext10"/>
        <w:spacing w:after="260"/>
        <w:ind w:firstLine="240"/>
      </w:pPr>
      <w:r>
        <w:rPr>
          <w:rStyle w:val="Bodytext1"/>
        </w:rPr>
        <w:t>Ocena zagrożenia musi mieć charakter całościowy</w:t>
      </w:r>
    </w:p>
    <w:p w:rsidR="006D351D" w:rsidRDefault="00C5448E">
      <w:pPr>
        <w:pStyle w:val="Bodytext10"/>
        <w:ind w:firstLine="480"/>
      </w:pPr>
      <w:r>
        <w:rPr>
          <w:rStyle w:val="Bodytext1"/>
        </w:rPr>
        <w:t>Organ nie może oceniać pojedynczych zdarzeń w oderwaniu od siebie - obowiązany jest</w:t>
      </w:r>
      <w:r>
        <w:rPr>
          <w:rStyle w:val="Bodytext1"/>
        </w:rPr>
        <w:t xml:space="preserve"> badać całokształt okoliczności faktycznych. Jednorazowe zdarzenie nie wyklucza „stałości” zagrożenia Nawet incydent jednostkowy (np. sabotaż, zniszczenie mienia), w powiązaniu z innymi okolicznościami, może współtworzyć stałe i realne zagrożenie.</w:t>
      </w:r>
    </w:p>
    <w:p w:rsidR="006D351D" w:rsidRDefault="00C5448E">
      <w:pPr>
        <w:pStyle w:val="Bodytext10"/>
        <w:spacing w:after="260"/>
        <w:ind w:firstLine="240"/>
      </w:pPr>
      <w:r>
        <w:rPr>
          <w:rStyle w:val="Bodytext1"/>
        </w:rPr>
        <w:t>„Hipotet</w:t>
      </w:r>
      <w:r>
        <w:rPr>
          <w:rStyle w:val="Bodytext1"/>
        </w:rPr>
        <w:t>yczność" zagrożenia wymaga uzasadnienia</w:t>
      </w:r>
    </w:p>
    <w:p w:rsidR="006D351D" w:rsidRDefault="00C5448E">
      <w:pPr>
        <w:pStyle w:val="Bodytext10"/>
        <w:spacing w:after="820"/>
        <w:ind w:firstLine="480"/>
      </w:pPr>
      <w:r>
        <w:rPr>
          <w:rStyle w:val="Bodytext1"/>
        </w:rPr>
        <w:t xml:space="preserve">Samo stwierdzenie organu, że zagrożenie jest „hipotetyczne”, bez wyjaśnienia dlaczego, narusza </w:t>
      </w:r>
      <w:r w:rsidRPr="00A27887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7, 77 §1 i 107 §3 k.p.a. Znaczenie praktyczne:</w:t>
      </w:r>
    </w:p>
    <w:p w:rsidR="006D351D" w:rsidRDefault="00C5448E">
      <w:pPr>
        <w:pStyle w:val="Bodytext10"/>
        <w:spacing w:after="0"/>
      </w:pPr>
      <w:r>
        <w:rPr>
          <w:rStyle w:val="Bodytext1"/>
        </w:rPr>
        <w:t>— Wyrok rozbija standardowe schematy odmów WPA oparte na „pojedynczym</w:t>
      </w:r>
      <w:r>
        <w:rPr>
          <w:rStyle w:val="Bodytext1"/>
        </w:rPr>
        <w:t xml:space="preserve"> zdarzeniu” lub „braku eskalacji”.</w:t>
      </w:r>
    </w:p>
    <w:p w:rsidR="006D351D" w:rsidRDefault="00C5448E">
      <w:pPr>
        <w:pStyle w:val="Bodytext10"/>
        <w:spacing w:after="820"/>
      </w:pPr>
      <w:r>
        <w:rPr>
          <w:rStyle w:val="Bodytext1"/>
        </w:rPr>
        <w:t>Oraz</w:t>
      </w:r>
    </w:p>
    <w:p w:rsidR="006D351D" w:rsidRDefault="00C5448E">
      <w:pPr>
        <w:pStyle w:val="Heading210"/>
        <w:keepNext/>
        <w:keepLines/>
        <w:spacing w:after="560"/>
      </w:pPr>
      <w:bookmarkStart w:id="3" w:name="bookmark6"/>
      <w:r>
        <w:rPr>
          <w:rStyle w:val="Heading21"/>
          <w:b/>
          <w:bCs/>
        </w:rPr>
        <w:t>Jest jeszcze nowszy wyrok</w:t>
      </w:r>
      <w:bookmarkEnd w:id="3"/>
    </w:p>
    <w:p w:rsidR="006D351D" w:rsidRDefault="00C5448E">
      <w:pPr>
        <w:pStyle w:val="Bodytext10"/>
      </w:pPr>
      <w:r>
        <w:rPr>
          <w:rStyle w:val="Bodytext1"/>
        </w:rPr>
        <w:t>VI SA/Wa 444/25 - WSA w Warszawie (29 maja 2025 r.)</w:t>
      </w:r>
    </w:p>
    <w:p w:rsidR="006D351D" w:rsidRDefault="00C5448E">
      <w:pPr>
        <w:pStyle w:val="Bodytext10"/>
      </w:pPr>
      <w:hyperlink r:id="rId9" w:history="1">
        <w:r w:rsidRPr="00A27887">
          <w:rPr>
            <w:rStyle w:val="Bodytext1"/>
            <w:color w:val="0606ED"/>
            <w:u w:val="single"/>
            <w:lang w:eastAsia="en-US" w:bidi="en-US"/>
          </w:rPr>
          <w:t>https://orzeczenia.nsa.gov.pl/doc/07DlC23778</w:t>
        </w:r>
      </w:hyperlink>
    </w:p>
    <w:p w:rsidR="006D351D" w:rsidRDefault="00C5448E">
      <w:pPr>
        <w:pStyle w:val="Bodytext10"/>
        <w:spacing w:line="161" w:lineRule="auto"/>
      </w:pPr>
      <w:r>
        <w:rPr>
          <w:rStyle w:val="Bodytext1"/>
        </w:rPr>
        <w:t>Tezy przełomowe (najsilniejsze w</w:t>
      </w:r>
      <w:r>
        <w:rPr>
          <w:rStyle w:val="Bodytext1"/>
        </w:rPr>
        <w:t xml:space="preserve"> linii orzeczniczej)</w:t>
      </w:r>
    </w:p>
    <w:p w:rsidR="006D351D" w:rsidRDefault="00C5448E">
      <w:pPr>
        <w:pStyle w:val="Heading210"/>
        <w:keepNext/>
        <w:keepLines/>
        <w:spacing w:after="560"/>
        <w:ind w:firstLine="240"/>
      </w:pPr>
      <w:bookmarkStart w:id="4" w:name="bookmark8"/>
      <w:r>
        <w:rPr>
          <w:rStyle w:val="Heading21"/>
          <w:b/>
          <w:bCs/>
        </w:rPr>
        <w:t>Funkcja prewencyjna ochrony osobistej</w:t>
      </w:r>
      <w:bookmarkEnd w:id="4"/>
    </w:p>
    <w:p w:rsidR="006D351D" w:rsidRDefault="00C5448E">
      <w:pPr>
        <w:pStyle w:val="Bodytext10"/>
        <w:spacing w:after="0"/>
        <w:ind w:firstLine="480"/>
      </w:pPr>
      <w:r>
        <w:rPr>
          <w:rStyle w:val="Bodytext1"/>
        </w:rPr>
        <w:t>Pozwolenie na broń nie służy reagowaniu na zamach, lecz zapobieganiu jego wystąpieniu.</w:t>
      </w:r>
    </w:p>
    <w:p w:rsidR="006D351D" w:rsidRDefault="00C5448E">
      <w:pPr>
        <w:pStyle w:val="Bodytext10"/>
        <w:spacing w:after="0"/>
        <w:ind w:firstLine="240"/>
      </w:pPr>
      <w:r>
        <w:rPr>
          <w:rStyle w:val="Bodytext1"/>
        </w:rPr>
        <w:t>Nie jest wymagany „udany zamach”</w:t>
      </w:r>
      <w:r>
        <w:br w:type="page"/>
      </w:r>
    </w:p>
    <w:p w:rsidR="006D351D" w:rsidRDefault="00C5448E">
      <w:pPr>
        <w:pStyle w:val="Bodytext10"/>
        <w:spacing w:after="1100"/>
        <w:ind w:left="240" w:firstLine="240"/>
      </w:pPr>
      <w:r>
        <w:rPr>
          <w:rStyle w:val="Bodytext1"/>
        </w:rPr>
        <w:lastRenderedPageBreak/>
        <w:t>Przesłanką nie jest skutek (np. obrażenia), lecz kwalifikowane zagrożenie. S</w:t>
      </w:r>
      <w:r>
        <w:rPr>
          <w:rStyle w:val="Bodytext1"/>
        </w:rPr>
        <w:t>tałość zagrożenia # ciągłość zdarzeń</w:t>
      </w:r>
    </w:p>
    <w:p w:rsidR="006D351D" w:rsidRDefault="00C5448E">
      <w:pPr>
        <w:pStyle w:val="Bodytext10"/>
        <w:spacing w:after="1100"/>
        <w:ind w:firstLine="480"/>
      </w:pPr>
      <w:r>
        <w:rPr>
          <w:rStyle w:val="Bodytext1"/>
        </w:rPr>
        <w:t>Brak kolejnych incydentów nie obala stałości zagrożenia, jeśli wcześniejsze miały ciężar jakościowy</w:t>
      </w:r>
    </w:p>
    <w:p w:rsidR="006D351D" w:rsidRDefault="00C5448E">
      <w:pPr>
        <w:pStyle w:val="Bodytext10"/>
        <w:spacing w:after="1100"/>
      </w:pPr>
      <w:r>
        <w:rPr>
          <w:rStyle w:val="Bodytext1"/>
        </w:rPr>
        <w:t>Znaczenie praktyczne:</w:t>
      </w:r>
    </w:p>
    <w:p w:rsidR="006D351D" w:rsidRDefault="00C5448E">
      <w:pPr>
        <w:pStyle w:val="Heading210"/>
        <w:keepNext/>
        <w:keepLines/>
        <w:spacing w:after="1100"/>
      </w:pPr>
      <w:bookmarkStart w:id="5" w:name="bookmark10"/>
      <w:r>
        <w:rPr>
          <w:rStyle w:val="Heading21"/>
          <w:b/>
          <w:bCs/>
        </w:rPr>
        <w:t>—» Wyrok legalizuje prewencyjne podejście, dokładnie przeciwne dotychczasowej praktyce WPA.</w:t>
      </w:r>
      <w:bookmarkEnd w:id="5"/>
    </w:p>
    <w:p w:rsidR="006D351D" w:rsidRDefault="00C5448E">
      <w:pPr>
        <w:pStyle w:val="Bodytext10"/>
        <w:spacing w:after="820"/>
      </w:pPr>
      <w:r>
        <w:rPr>
          <w:rStyle w:val="Bodytext1"/>
        </w:rPr>
        <w:t>Najwa</w:t>
      </w:r>
      <w:r>
        <w:rPr>
          <w:rStyle w:val="Bodytext1"/>
        </w:rPr>
        <w:t>żniejsza teza z wyroku z dnia 29 Maja 2025 roku !!!</w:t>
      </w:r>
    </w:p>
    <w:p w:rsidR="006D351D" w:rsidRDefault="00C5448E">
      <w:pPr>
        <w:pStyle w:val="Bodytext10"/>
        <w:spacing w:after="1940"/>
        <w:ind w:firstLine="280"/>
      </w:pPr>
      <w:r>
        <w:rPr>
          <w:rStyle w:val="Bodytext1"/>
        </w:rPr>
        <w:t xml:space="preserve">Jednakże, mając na względzie ujęte w zaskarżonej decyzji stanowisko organu odwoławczego, w myśl którego "pozwolenia na broń palną do celu ochrony osobistej nie wydaje się na bliżej nieokreślone, przyszłe </w:t>
      </w:r>
      <w:r>
        <w:rPr>
          <w:rStyle w:val="Bodytext1"/>
        </w:rPr>
        <w:t>i nieznane zdarzenie", Sąd zaznacza, że w toku ponownego rozpatrzenia sprawy, organ odwoławczy winien mieć na uwadze, iż posiadanie pozwolenia na broń w celu ochrony osobistej powinno służyć głównie celom prewencyjnym, odstraszać i zapobiegać zamachom na ż</w:t>
      </w:r>
      <w:r>
        <w:rPr>
          <w:rStyle w:val="Bodytext1"/>
        </w:rPr>
        <w:t xml:space="preserve">ycie i zdrowie, a nie dawać możliwość ewentualnego odreagowania na działania godzące w te podstawowe dobra osobiste (p. wyrok WSA w Warszawie z dnia 18 grudnia 2020 r. sygn. akt II SA/Wa 1611/20 publ. </w:t>
      </w:r>
      <w:r w:rsidRPr="00A27887">
        <w:rPr>
          <w:rStyle w:val="Bodytext1"/>
          <w:lang w:eastAsia="en-US" w:bidi="en-US"/>
        </w:rPr>
        <w:t xml:space="preserve">LEX </w:t>
      </w:r>
      <w:r>
        <w:rPr>
          <w:rStyle w:val="Bodytext1"/>
        </w:rPr>
        <w:t>nr 3157091).</w:t>
      </w:r>
    </w:p>
    <w:p w:rsidR="006D351D" w:rsidRDefault="00C5448E">
      <w:pPr>
        <w:pStyle w:val="Heading210"/>
        <w:keepNext/>
        <w:keepLines/>
        <w:spacing w:after="1940"/>
      </w:pPr>
      <w:bookmarkStart w:id="6" w:name="bookmark12"/>
      <w:r>
        <w:rPr>
          <w:rStyle w:val="Heading21"/>
          <w:b/>
          <w:bCs/>
        </w:rPr>
        <w:t>Nie wyrażam zgody na udostępnienie moi</w:t>
      </w:r>
      <w:r>
        <w:rPr>
          <w:rStyle w:val="Heading21"/>
          <w:b/>
          <w:bCs/>
        </w:rPr>
        <w:t>ch danych osobowych</w:t>
      </w:r>
      <w:bookmarkEnd w:id="6"/>
    </w:p>
    <w:p w:rsidR="006D351D" w:rsidRDefault="00C5448E">
      <w:pPr>
        <w:pStyle w:val="Bodytext10"/>
        <w:spacing w:after="0"/>
      </w:pPr>
      <w:r>
        <w:rPr>
          <w:rStyle w:val="Bodytext1"/>
        </w:rPr>
        <w:t>Z wyrazami szacunku</w:t>
      </w:r>
      <w:bookmarkStart w:id="7" w:name="_GoBack"/>
      <w:bookmarkEnd w:id="7"/>
    </w:p>
    <w:sectPr w:rsidR="006D351D">
      <w:footerReference w:type="default" r:id="rId10"/>
      <w:pgSz w:w="11900" w:h="16840"/>
      <w:pgMar w:top="1199" w:right="723" w:bottom="955" w:left="716" w:header="7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48E" w:rsidRDefault="00C5448E">
      <w:r>
        <w:separator/>
      </w:r>
    </w:p>
  </w:endnote>
  <w:endnote w:type="continuationSeparator" w:id="0">
    <w:p w:rsidR="00C5448E" w:rsidRDefault="00C5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51D" w:rsidRDefault="00C5448E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3764280</wp:posOffset>
              </wp:positionH>
              <wp:positionV relativeFrom="page">
                <wp:posOffset>10160000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D351D" w:rsidRDefault="00C5448E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27887" w:rsidRPr="00A27887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296.4pt;margin-top:800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" filled="f" stroked="f">
              <v:textbox style="mso-fit-shape-to-text:t" inset="0,0,0,0">
                <w:txbxContent>
                  <w:p w:rsidR="006D351D" w:rsidRDefault="00C5448E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27887" w:rsidRPr="00A27887">
                      <w:rPr>
                        <w:rStyle w:val="Headerorfooter2"/>
                        <w:noProof/>
                        <w:sz w:val="17"/>
                        <w:szCs w:val="17"/>
                      </w:rPr>
                      <w:t>1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48E" w:rsidRDefault="00C5448E"/>
  </w:footnote>
  <w:footnote w:type="continuationSeparator" w:id="0">
    <w:p w:rsidR="00C5448E" w:rsidRDefault="00C544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1D"/>
    <w:rsid w:val="006D351D"/>
    <w:rsid w:val="00A27887"/>
    <w:rsid w:val="00C5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B2EC"/>
  <w15:docId w15:val="{A7425632-A987-4FF2-8254-A0B128C3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1">
    <w:name w:val="Heading #1|1_"/>
    <w:basedOn w:val="Domylnaczcionkaakapitu"/>
    <w:link w:val="Heading110"/>
    <w:rPr>
      <w:b/>
      <w:bCs/>
      <w:i w:val="0"/>
      <w:iCs w:val="0"/>
      <w:smallCaps w:val="0"/>
      <w:strike w:val="0"/>
      <w:color w:val="BE0101"/>
      <w:sz w:val="28"/>
      <w:szCs w:val="28"/>
      <w:u w:val="none"/>
    </w:rPr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21">
    <w:name w:val="Heading #2|1_"/>
    <w:basedOn w:val="Domylnaczcionkaakapitu"/>
    <w:link w:val="Heading210"/>
    <w:rPr>
      <w:b/>
      <w:bCs/>
      <w:i w:val="0"/>
      <w:iCs w:val="0"/>
      <w:smallCaps w:val="0"/>
      <w:strike w:val="0"/>
      <w:u w:val="single"/>
    </w:rPr>
  </w:style>
  <w:style w:type="paragraph" w:customStyle="1" w:styleId="Bodytext30">
    <w:name w:val="Body text|3"/>
    <w:basedOn w:val="Normalny"/>
    <w:link w:val="Bodytext3"/>
    <w:rPr>
      <w:rFonts w:ascii="Arial" w:eastAsia="Arial" w:hAnsi="Arial" w:cs="Arial"/>
      <w:b/>
      <w:bCs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20">
    <w:name w:val="Body text|2"/>
    <w:basedOn w:val="Normalny"/>
    <w:link w:val="Bodytext2"/>
    <w:pPr>
      <w:spacing w:line="288" w:lineRule="auto"/>
      <w:ind w:left="1960" w:firstLine="20"/>
    </w:pPr>
    <w:rPr>
      <w:rFonts w:ascii="Arial" w:eastAsia="Arial" w:hAnsi="Arial" w:cs="Arial"/>
      <w:sz w:val="19"/>
      <w:szCs w:val="19"/>
    </w:rPr>
  </w:style>
  <w:style w:type="paragraph" w:customStyle="1" w:styleId="Heading110">
    <w:name w:val="Heading #1|1"/>
    <w:basedOn w:val="Normalny"/>
    <w:link w:val="Heading11"/>
    <w:pPr>
      <w:spacing w:after="820"/>
      <w:outlineLvl w:val="0"/>
    </w:pPr>
    <w:rPr>
      <w:b/>
      <w:bCs/>
      <w:color w:val="BE0101"/>
      <w:sz w:val="28"/>
      <w:szCs w:val="28"/>
    </w:rPr>
  </w:style>
  <w:style w:type="paragraph" w:customStyle="1" w:styleId="Bodytext10">
    <w:name w:val="Body text|1"/>
    <w:basedOn w:val="Normalny"/>
    <w:link w:val="Bodytext1"/>
    <w:pPr>
      <w:spacing w:after="560"/>
    </w:pPr>
  </w:style>
  <w:style w:type="paragraph" w:customStyle="1" w:styleId="Heading210">
    <w:name w:val="Heading #2|1"/>
    <w:basedOn w:val="Normalny"/>
    <w:link w:val="Heading21"/>
    <w:pPr>
      <w:spacing w:after="820"/>
      <w:outlineLvl w:val="1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zeczenia.nsa.gov.pl/doc/2E_1A2331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rybun.org.pl/2021/04/15/sad-posiadanie-pozwolenia-na-bron-w-celu-ochrony-osobistej-powinno-sluzyc-glownie-celom-prewencyinym-odstraszac-i-zapobiegac-zamachom-na-zycie-i-zdrowi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ybun.org.pl/2015/07/08/przeslanka-warunkujaca-przyznanie-broni-do-ochrony-osobistej-jest-samo-kwalifikowane-zagrozenie-nie-zas-skutek-w-postaci-udanego-zamachu-na-zycie-lub-zdrowi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orzeczenia.nsa.gov.pl/doc/07DlC2377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4127</Characters>
  <Application>Microsoft Office Word</Application>
  <DocSecurity>0</DocSecurity>
  <Lines>34</Lines>
  <Paragraphs>9</Paragraphs>
  <ScaleCrop>false</ScaleCrop>
  <Company>MSWiA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2026-09-03T12:34:00Z</dcterms:created>
  <dcterms:modified xsi:type="dcterms:W3CDTF">2026-09-03T12:34:00Z</dcterms:modified>
</cp:coreProperties>
</file>