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41A" w:rsidRDefault="00FF2B61">
      <w:pPr>
        <w:pStyle w:val="Bodytext10"/>
        <w:spacing w:after="0"/>
        <w:ind w:left="4680"/>
      </w:pPr>
      <w:r>
        <w:rPr>
          <w:rStyle w:val="Bodytext1"/>
        </w:rPr>
        <w:t>Ministerstwo Spraw Wewnętrznych i</w:t>
      </w:r>
      <w:r w:rsidR="00BA523C">
        <w:rPr>
          <w:rStyle w:val="Bodytext1"/>
        </w:rPr>
        <w:t> </w:t>
      </w:r>
      <w:r>
        <w:rPr>
          <w:rStyle w:val="Bodytext1"/>
        </w:rPr>
        <w:t>Administracji</w:t>
      </w:r>
    </w:p>
    <w:p w:rsidR="002F341A" w:rsidRDefault="00FF2B61">
      <w:pPr>
        <w:pStyle w:val="Bodytext10"/>
        <w:ind w:left="4680"/>
      </w:pPr>
      <w:r>
        <w:rPr>
          <w:rStyle w:val="Bodytext1"/>
        </w:rPr>
        <w:t>ul. Stefana Batorego 5, 02-591 Warszawa</w:t>
      </w:r>
    </w:p>
    <w:p w:rsidR="002F341A" w:rsidRDefault="002F341A">
      <w:pPr>
        <w:pStyle w:val="Bodytext10"/>
      </w:pPr>
    </w:p>
    <w:p w:rsidR="002F341A" w:rsidRDefault="00FF2B61">
      <w:pPr>
        <w:pStyle w:val="Bodytext10"/>
        <w:spacing w:line="266" w:lineRule="auto"/>
      </w:pPr>
      <w:r>
        <w:rPr>
          <w:rStyle w:val="Bodytext1"/>
        </w:rPr>
        <w:t>Nałożenie na operatora technicznego Regionalnego Systemu Ostrzegania (RSO) wymogu udostępnienia otwartego, publicznego</w:t>
      </w:r>
      <w:r>
        <w:rPr>
          <w:rStyle w:val="Bodytext1"/>
        </w:rPr>
        <w:t xml:space="preserve"> feedu danych w standardzie CAP.</w:t>
      </w:r>
    </w:p>
    <w:p w:rsidR="002F341A" w:rsidRDefault="00FF2B61">
      <w:pPr>
        <w:pStyle w:val="Bodytext10"/>
      </w:pPr>
      <w:r>
        <w:rPr>
          <w:rStyle w:val="Bodytext1"/>
        </w:rPr>
        <w:t>Treść żądania</w:t>
      </w:r>
    </w:p>
    <w:p w:rsidR="002F341A" w:rsidRDefault="00FF2B61">
      <w:pPr>
        <w:pStyle w:val="Bodytext10"/>
      </w:pPr>
      <w:r>
        <w:rPr>
          <w:rStyle w:val="Bodytext1"/>
        </w:rPr>
        <w:t xml:space="preserve">Na podstawie </w:t>
      </w:r>
      <w:r w:rsidRPr="004449AB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63 Konstytucji RP oraz Ustawy o petycjach, wnoszę o to, aby Ministerstwo Spraw Wewnętrznych i Administracji, jako dysponent Regionalnego Systemu Ostrzegania, nałożyło na operatora techniczneg</w:t>
      </w:r>
      <w:r>
        <w:rPr>
          <w:rStyle w:val="Bodytext1"/>
        </w:rPr>
        <w:t xml:space="preserve">o tego systemu - niezależnie od tego, jaki podmiot będzie tę funkcję pełnił obecnie i w przyszłości - wymóg udostępnienia publicznego, bezobsługowego feedu danych w formacie zgodnym ze standardem </w:t>
      </w:r>
      <w:r w:rsidRPr="004449AB">
        <w:rPr>
          <w:rStyle w:val="Bodytext1"/>
          <w:lang w:eastAsia="en-US" w:bidi="en-US"/>
        </w:rPr>
        <w:t xml:space="preserve">OASIS Common Alerting Protocol (CAP) 1.2, pod </w:t>
      </w:r>
      <w:r>
        <w:rPr>
          <w:rStyle w:val="Bodytext1"/>
        </w:rPr>
        <w:t>stałym adresem</w:t>
      </w:r>
      <w:r>
        <w:rPr>
          <w:rStyle w:val="Bodytext1"/>
        </w:rPr>
        <w:t xml:space="preserve"> </w:t>
      </w:r>
      <w:r w:rsidRPr="004449AB">
        <w:rPr>
          <w:rStyle w:val="Bodytext1"/>
          <w:lang w:eastAsia="en-US" w:bidi="en-US"/>
        </w:rPr>
        <w:t xml:space="preserve">URL, </w:t>
      </w:r>
      <w:r>
        <w:rPr>
          <w:rStyle w:val="Bodytext1"/>
        </w:rPr>
        <w:t xml:space="preserve">bez konieczności rejestracji, logowania czy uzyskiwania indywidualnych kluczy </w:t>
      </w:r>
      <w:r w:rsidRPr="004449AB">
        <w:rPr>
          <w:rStyle w:val="Bodytext1"/>
          <w:lang w:eastAsia="en-US" w:bidi="en-US"/>
        </w:rPr>
        <w:t>API.</w:t>
      </w:r>
    </w:p>
    <w:p w:rsidR="002F341A" w:rsidRDefault="00FF2B61">
      <w:pPr>
        <w:pStyle w:val="Bodytext10"/>
      </w:pPr>
      <w:r>
        <w:rPr>
          <w:rStyle w:val="Bodytext1"/>
          <w:b/>
          <w:bCs/>
          <w:u w:val="single"/>
        </w:rPr>
        <w:t>Uzasadnienie</w:t>
      </w:r>
    </w:p>
    <w:p w:rsidR="002F341A" w:rsidRDefault="00FF2B61">
      <w:pPr>
        <w:pStyle w:val="Heading110"/>
        <w:keepNext/>
        <w:keepLines/>
        <w:numPr>
          <w:ilvl w:val="0"/>
          <w:numId w:val="1"/>
        </w:numPr>
        <w:tabs>
          <w:tab w:val="left" w:pos="306"/>
        </w:tabs>
      </w:pPr>
      <w:bookmarkStart w:id="0" w:name="bookmark0"/>
      <w:r>
        <w:rPr>
          <w:rStyle w:val="Heading11"/>
          <w:b/>
          <w:bCs/>
        </w:rPr>
        <w:t>Zdarzenie z 30 lipca 2026 r. pokazało, że mieszkańcy nie otrzymali ostrzeżenia żadnym z dostępnych kanałów cyfrowych</w:t>
      </w:r>
      <w:bookmarkEnd w:id="0"/>
    </w:p>
    <w:p w:rsidR="002F341A" w:rsidRDefault="00FF2B61">
      <w:pPr>
        <w:pStyle w:val="Bodytext10"/>
      </w:pPr>
      <w:r>
        <w:rPr>
          <w:rStyle w:val="Bodytext1"/>
        </w:rPr>
        <w:t>W nocy z 29 na 30 lipca 2026 r. w mie</w:t>
      </w:r>
      <w:r>
        <w:rPr>
          <w:rStyle w:val="Bodytext1"/>
        </w:rPr>
        <w:t>jscowości Tarnawa-Kolonia (woj. lubelskie) doszło do</w:t>
      </w:r>
      <w:r w:rsidR="00BA523C">
        <w:rPr>
          <w:rStyle w:val="Bodytext1"/>
        </w:rPr>
        <w:t> </w:t>
      </w:r>
      <w:r>
        <w:rPr>
          <w:rStyle w:val="Bodytext1"/>
        </w:rPr>
        <w:t>naruszenia polskiej przestrzeni powietrznej i upadku rosyjskiego pocisku manewrującego Ch-101. Zagrożenie trwało ok. 13 minut. Syreny alarmowe uruchomiono jedynie w części powiatów, mieszkańcy nie otrzym</w:t>
      </w:r>
      <w:r>
        <w:rPr>
          <w:rStyle w:val="Bodytext1"/>
        </w:rPr>
        <w:t xml:space="preserve">ali Alertu RGB </w:t>
      </w:r>
      <w:r w:rsidRPr="004449AB">
        <w:rPr>
          <w:rStyle w:val="Bodytext1"/>
          <w:lang w:eastAsia="en-US" w:bidi="en-US"/>
        </w:rPr>
        <w:t xml:space="preserve">(SMS), </w:t>
      </w:r>
      <w:r>
        <w:rPr>
          <w:rStyle w:val="Bodytext1"/>
        </w:rPr>
        <w:t>a w aplikacji RSO - zgodnie z</w:t>
      </w:r>
      <w:r w:rsidR="00BA523C">
        <w:rPr>
          <w:rStyle w:val="Bodytext1"/>
        </w:rPr>
        <w:t> </w:t>
      </w:r>
      <w:r>
        <w:rPr>
          <w:rStyle w:val="Bodytext1"/>
        </w:rPr>
        <w:t>ustaleniami dziennikarskimi - nie pojawiło się żadne powiadomienie o zdarzeniu. Cały czas reakcji cyfrowej systemów ostrzegania wyniósł de facto zero.</w:t>
      </w:r>
    </w:p>
    <w:p w:rsidR="002F341A" w:rsidRDefault="00FF2B61">
      <w:pPr>
        <w:pStyle w:val="Bodytext10"/>
      </w:pPr>
      <w:r>
        <w:rPr>
          <w:rStyle w:val="Bodytext1"/>
        </w:rPr>
        <w:t xml:space="preserve">Rozumiemy, że wdrożenie technologii </w:t>
      </w:r>
      <w:r w:rsidRPr="004449AB">
        <w:rPr>
          <w:rStyle w:val="Bodytext1"/>
          <w:lang w:eastAsia="en-US" w:bidi="en-US"/>
        </w:rPr>
        <w:t xml:space="preserve">cell broadcast </w:t>
      </w:r>
      <w:r>
        <w:rPr>
          <w:rStyle w:val="Bodytext1"/>
        </w:rPr>
        <w:t>cz</w:t>
      </w:r>
      <w:r>
        <w:rPr>
          <w:rStyle w:val="Bodytext1"/>
        </w:rPr>
        <w:t>y zmiana procedur SMS to decyzje o</w:t>
      </w:r>
      <w:r w:rsidR="00BA523C">
        <w:rPr>
          <w:rStyle w:val="Bodytext1"/>
        </w:rPr>
        <w:t> </w:t>
      </w:r>
      <w:r>
        <w:rPr>
          <w:rStyle w:val="Bodytext1"/>
        </w:rPr>
        <w:t>szerszym zakresie, które MSWiAjuż zapowiedziało. Niniejsza petycja dotyczy jednak elementu, który nie wymaga nowej infrastruktury ani zmiany procedur alarmowania - wyłącznie zmiany polityki dostępu do danych, które system</w:t>
      </w:r>
      <w:r>
        <w:rPr>
          <w:rStyle w:val="Bodytext1"/>
        </w:rPr>
        <w:t xml:space="preserve"> RSO i tak już generuje.</w:t>
      </w:r>
    </w:p>
    <w:p w:rsidR="002F341A" w:rsidRDefault="00FF2B61">
      <w:pPr>
        <w:pStyle w:val="Heading110"/>
        <w:keepNext/>
        <w:keepLines/>
        <w:numPr>
          <w:ilvl w:val="0"/>
          <w:numId w:val="1"/>
        </w:numPr>
        <w:tabs>
          <w:tab w:val="left" w:pos="306"/>
        </w:tabs>
      </w:pPr>
      <w:bookmarkStart w:id="1" w:name="bookmark2"/>
      <w:r>
        <w:rPr>
          <w:rStyle w:val="Heading11"/>
          <w:b/>
          <w:bCs/>
        </w:rPr>
        <w:t xml:space="preserve">Otwarty </w:t>
      </w:r>
      <w:r w:rsidRPr="004449AB">
        <w:rPr>
          <w:rStyle w:val="Heading11"/>
          <w:b/>
          <w:bCs/>
          <w:lang w:eastAsia="en-US" w:bidi="en-US"/>
        </w:rPr>
        <w:t xml:space="preserve">feed </w:t>
      </w:r>
      <w:r>
        <w:rPr>
          <w:rStyle w:val="Heading11"/>
          <w:b/>
          <w:bCs/>
        </w:rPr>
        <w:t>CAP umożliwiłby automatyczną reakcję systemów domowych, niezależną od czasu decyzji administracyjnej</w:t>
      </w:r>
      <w:bookmarkEnd w:id="1"/>
    </w:p>
    <w:p w:rsidR="002F341A" w:rsidRDefault="00FF2B61">
      <w:pPr>
        <w:pStyle w:val="Bodytext10"/>
      </w:pPr>
      <w:r>
        <w:rPr>
          <w:rStyle w:val="Bodytext1"/>
        </w:rPr>
        <w:t>Automatyka domowa nie jest tu udogodnieniem drugorzędnym, lecz realnym narzędziem ochrony życia i mienia w pierwszych</w:t>
      </w:r>
      <w:r>
        <w:rPr>
          <w:rStyle w:val="Bodytext1"/>
        </w:rPr>
        <w:t xml:space="preserve"> minutach zagrożenia, zanim zadziałają kanały wymagające ręcznej reakcji człowieka. Otwarty, maszynowo czytelny </w:t>
      </w:r>
      <w:r w:rsidRPr="004449AB">
        <w:rPr>
          <w:rStyle w:val="Bodytext1"/>
          <w:lang w:eastAsia="en-US" w:bidi="en-US"/>
        </w:rPr>
        <w:t xml:space="preserve">feed </w:t>
      </w:r>
      <w:r>
        <w:rPr>
          <w:rStyle w:val="Bodytext1"/>
        </w:rPr>
        <w:t xml:space="preserve">danych RSO pozwoliłby systemom automatyki domowej (np. </w:t>
      </w:r>
      <w:r w:rsidRPr="004449AB">
        <w:rPr>
          <w:rStyle w:val="Bodytext1"/>
          <w:lang w:eastAsia="en-US" w:bidi="en-US"/>
        </w:rPr>
        <w:t xml:space="preserve">Home Assistant) </w:t>
      </w:r>
      <w:r>
        <w:rPr>
          <w:rStyle w:val="Bodytext1"/>
        </w:rPr>
        <w:t>na natychmiastową, bezobsługową reakcję na komunikat ostrzegawczy, n</w:t>
      </w:r>
      <w:r>
        <w:rPr>
          <w:rStyle w:val="Bodytext1"/>
        </w:rPr>
        <w:t>p. poprzez:</w:t>
      </w:r>
      <w:r>
        <w:br w:type="page"/>
      </w:r>
    </w:p>
    <w:p w:rsidR="002F341A" w:rsidRDefault="00FF2B61">
      <w:pPr>
        <w:pStyle w:val="Bodytext10"/>
        <w:numPr>
          <w:ilvl w:val="0"/>
          <w:numId w:val="2"/>
        </w:numPr>
        <w:tabs>
          <w:tab w:val="left" w:pos="733"/>
        </w:tabs>
        <w:spacing w:after="0"/>
        <w:ind w:left="720" w:hanging="340"/>
      </w:pPr>
      <w:r>
        <w:rPr>
          <w:rStyle w:val="Bodytext1"/>
        </w:rPr>
        <w:lastRenderedPageBreak/>
        <w:t>automatyczne zamknięcie rolet zewnętrznych i żaluzji - ochrona przed odłamkami szkła i falą uderzeniową;</w:t>
      </w:r>
    </w:p>
    <w:p w:rsidR="002F341A" w:rsidRDefault="00FF2B61">
      <w:pPr>
        <w:pStyle w:val="Bodytext10"/>
        <w:numPr>
          <w:ilvl w:val="0"/>
          <w:numId w:val="2"/>
        </w:numPr>
        <w:tabs>
          <w:tab w:val="left" w:pos="733"/>
        </w:tabs>
        <w:spacing w:after="0"/>
        <w:ind w:left="720" w:hanging="340"/>
      </w:pPr>
      <w:r>
        <w:rPr>
          <w:rStyle w:val="Bodytext1"/>
        </w:rPr>
        <w:t>automatyczne zamknięcie bram garażowych i innych otworów budynku - ograniczenie dostępu i ochrona mienia w sytuacji ewakuacji lub chaosu;</w:t>
      </w:r>
    </w:p>
    <w:p w:rsidR="002F341A" w:rsidRDefault="00FF2B61">
      <w:pPr>
        <w:pStyle w:val="Bodytext10"/>
        <w:numPr>
          <w:ilvl w:val="0"/>
          <w:numId w:val="2"/>
        </w:numPr>
        <w:tabs>
          <w:tab w:val="left" w:pos="733"/>
        </w:tabs>
        <w:spacing w:after="0"/>
        <w:ind w:left="720" w:hanging="340"/>
      </w:pPr>
      <w:r>
        <w:rPr>
          <w:rStyle w:val="Bodytext1"/>
        </w:rPr>
        <w:t>wyłączenie systemów klimatyzacji i wentylacji mechanicznej - kluczowe przy zagrożeniach chemicznych lub skażeniu powietrza;</w:t>
      </w:r>
    </w:p>
    <w:p w:rsidR="002F341A" w:rsidRDefault="00FF2B61">
      <w:pPr>
        <w:pStyle w:val="Bodytext10"/>
        <w:numPr>
          <w:ilvl w:val="0"/>
          <w:numId w:val="2"/>
        </w:numPr>
        <w:tabs>
          <w:tab w:val="left" w:pos="733"/>
        </w:tabs>
        <w:ind w:left="720" w:hanging="340"/>
      </w:pPr>
      <w:r>
        <w:rPr>
          <w:rStyle w:val="Bodytext1"/>
        </w:rPr>
        <w:t xml:space="preserve">włączenie oświetlenia awaryjnego i komunikatów głosowych w budynku - poinformowanie domowników, w tym osób starszych, niesłyszących </w:t>
      </w:r>
      <w:r>
        <w:rPr>
          <w:rStyle w:val="Bodytext1"/>
        </w:rPr>
        <w:t>lub śpiących, które mogą nie usłyszeć syren ani nie zauważyć powiadomienia w telefonie.</w:t>
      </w:r>
    </w:p>
    <w:p w:rsidR="002F341A" w:rsidRDefault="00FF2B61">
      <w:pPr>
        <w:pStyle w:val="Bodytext10"/>
      </w:pPr>
      <w:r>
        <w:rPr>
          <w:rStyle w:val="Bodytext1"/>
        </w:rPr>
        <w:t xml:space="preserve">Tego rodzaju automatyzacje działają dziś w praktyce w innych krajach, w tym w Ukrainie, gdzie funkcjonuje oficjalna integracja </w:t>
      </w:r>
      <w:r w:rsidRPr="004449AB">
        <w:rPr>
          <w:rStyle w:val="Bodytext1"/>
          <w:lang w:eastAsia="en-US" w:bidi="en-US"/>
        </w:rPr>
        <w:t xml:space="preserve">"Ukraine </w:t>
      </w:r>
      <w:r>
        <w:rPr>
          <w:rStyle w:val="Bodytext1"/>
        </w:rPr>
        <w:t xml:space="preserve">Alarm" dla platformy </w:t>
      </w:r>
      <w:r w:rsidRPr="004449AB">
        <w:rPr>
          <w:rStyle w:val="Bodytext1"/>
          <w:lang w:eastAsia="en-US" w:bidi="en-US"/>
        </w:rPr>
        <w:t>Home Assist</w:t>
      </w:r>
      <w:r w:rsidRPr="004449AB">
        <w:rPr>
          <w:rStyle w:val="Bodytext1"/>
          <w:lang w:eastAsia="en-US" w:bidi="en-US"/>
        </w:rPr>
        <w:t xml:space="preserve">ant, </w:t>
      </w:r>
      <w:r>
        <w:rPr>
          <w:rStyle w:val="Bodytext1"/>
        </w:rPr>
        <w:t xml:space="preserve">korzystająca z publicznego </w:t>
      </w:r>
      <w:r w:rsidRPr="004449AB">
        <w:rPr>
          <w:rStyle w:val="Bodytext1"/>
          <w:lang w:eastAsia="en-US" w:bidi="en-US"/>
        </w:rPr>
        <w:t xml:space="preserve">API </w:t>
      </w:r>
      <w:r>
        <w:rPr>
          <w:rStyle w:val="Bodytext1"/>
        </w:rPr>
        <w:t xml:space="preserve">ostrzeżeń o nalotach (serwis </w:t>
      </w:r>
      <w:r w:rsidRPr="004449AB">
        <w:rPr>
          <w:rStyle w:val="Bodytext1"/>
          <w:lang w:eastAsia="en-US" w:bidi="en-US"/>
        </w:rPr>
        <w:t xml:space="preserve">siren.pp.ua, </w:t>
      </w:r>
      <w:r>
        <w:rPr>
          <w:rStyle w:val="Bodytext1"/>
        </w:rPr>
        <w:t xml:space="preserve">wykorzystujący dane </w:t>
      </w:r>
      <w:r w:rsidRPr="004449AB">
        <w:rPr>
          <w:rStyle w:val="Bodytext1"/>
          <w:lang w:eastAsia="en-US" w:bidi="en-US"/>
        </w:rPr>
        <w:t xml:space="preserve">Ukraine </w:t>
      </w:r>
      <w:r>
        <w:rPr>
          <w:rStyle w:val="Bodytext1"/>
        </w:rPr>
        <w:t xml:space="preserve">Alarm). Integracja ta, obecna w oficjalnym katalogu integracji </w:t>
      </w:r>
      <w:r w:rsidRPr="004449AB">
        <w:rPr>
          <w:rStyle w:val="Bodytext1"/>
          <w:lang w:eastAsia="en-US" w:bidi="en-US"/>
        </w:rPr>
        <w:t xml:space="preserve">Home Assistant, </w:t>
      </w:r>
      <w:r>
        <w:rPr>
          <w:rStyle w:val="Bodytext1"/>
        </w:rPr>
        <w:t>tworzy czujniki binarne informujące o zagrożeniu lotniczym, artyleryjsk</w:t>
      </w:r>
      <w:r>
        <w:rPr>
          <w:rStyle w:val="Bodytext1"/>
        </w:rPr>
        <w:t>im, chemicznym, nuklearnym oraz walkach miejskich dla wybranego regionu, umożliwiając mieszkańcom zbudowanie w pełni automatycznych scenariuszy bezpieczeństwa bez potrzeby ręcznej reakcji na powiadomienie. Polska, znajdując się w podobnym otoczeniu geopoli</w:t>
      </w:r>
      <w:r>
        <w:rPr>
          <w:rStyle w:val="Bodytext1"/>
        </w:rPr>
        <w:t>tycznym, nie dysponuje żadnym analogicznym rozwiązaniem.</w:t>
      </w:r>
    </w:p>
    <w:p w:rsidR="002F341A" w:rsidRDefault="00FF2B61">
      <w:pPr>
        <w:pStyle w:val="Heading110"/>
        <w:keepNext/>
        <w:keepLines/>
        <w:numPr>
          <w:ilvl w:val="0"/>
          <w:numId w:val="1"/>
        </w:numPr>
        <w:tabs>
          <w:tab w:val="left" w:pos="298"/>
        </w:tabs>
      </w:pPr>
      <w:bookmarkStart w:id="2" w:name="bookmark4"/>
      <w:r>
        <w:rPr>
          <w:rStyle w:val="Heading11"/>
          <w:b/>
          <w:bCs/>
        </w:rPr>
        <w:t xml:space="preserve">Wymóg otwartego </w:t>
      </w:r>
      <w:r w:rsidRPr="004449AB">
        <w:rPr>
          <w:rStyle w:val="Heading11"/>
          <w:b/>
          <w:bCs/>
          <w:lang w:eastAsia="en-US" w:bidi="en-US"/>
        </w:rPr>
        <w:t xml:space="preserve">API </w:t>
      </w:r>
      <w:r>
        <w:rPr>
          <w:rStyle w:val="Heading11"/>
          <w:b/>
          <w:bCs/>
        </w:rPr>
        <w:t>nie zależy od statusu prawnego operatora technicznego</w:t>
      </w:r>
      <w:bookmarkEnd w:id="2"/>
    </w:p>
    <w:p w:rsidR="002F341A" w:rsidRDefault="00FF2B61">
      <w:pPr>
        <w:pStyle w:val="Bodytext10"/>
      </w:pPr>
      <w:r>
        <w:rPr>
          <w:rStyle w:val="Bodytext1"/>
        </w:rPr>
        <w:t>Obecny operator techniczny RSO, Telewizja Polska S.A., pozostaje od stycznia 2024 r. w</w:t>
      </w:r>
      <w:r w:rsidR="00BA523C">
        <w:rPr>
          <w:rStyle w:val="Bodytext1"/>
        </w:rPr>
        <w:t> </w:t>
      </w:r>
      <w:r>
        <w:rPr>
          <w:rStyle w:val="Bodytext1"/>
        </w:rPr>
        <w:t>stanie likwidacji, zarządzana przez li</w:t>
      </w:r>
      <w:r>
        <w:rPr>
          <w:rStyle w:val="Bodytext1"/>
        </w:rPr>
        <w:t xml:space="preserve">kwidatora, którego ustawowy zakres kompetencji nie obejmuje podejmowania decyzji rozwojowych dotyczących architektury systemów </w:t>
      </w:r>
      <w:r w:rsidRPr="004449AB">
        <w:rPr>
          <w:rStyle w:val="Bodytext1"/>
          <w:lang w:eastAsia="en-US" w:bidi="en-US"/>
        </w:rPr>
        <w:t xml:space="preserve">IT. </w:t>
      </w:r>
      <w:r>
        <w:rPr>
          <w:rStyle w:val="Bodytext1"/>
        </w:rPr>
        <w:t xml:space="preserve">Dlatego wymóg otwartego </w:t>
      </w:r>
      <w:r w:rsidRPr="004449AB">
        <w:rPr>
          <w:rStyle w:val="Bodytext1"/>
          <w:lang w:eastAsia="en-US" w:bidi="en-US"/>
        </w:rPr>
        <w:t xml:space="preserve">API </w:t>
      </w:r>
      <w:r>
        <w:rPr>
          <w:rStyle w:val="Bodytext1"/>
        </w:rPr>
        <w:t>powinien zostać nałożony przez MSWiA jako dysponenta systemu - na poziomie umowy lub wytycznych d</w:t>
      </w:r>
      <w:r>
        <w:rPr>
          <w:rStyle w:val="Bodytext1"/>
        </w:rPr>
        <w:t>la operatora technicznego - a nie oczekiwany od samego operatora, który obecnie nie ma mandatu do podjęcia takiej decyzji z</w:t>
      </w:r>
      <w:r w:rsidR="00BA523C">
        <w:rPr>
          <w:rStyle w:val="Bodytext1"/>
        </w:rPr>
        <w:t> </w:t>
      </w:r>
      <w:bookmarkStart w:id="3" w:name="_GoBack"/>
      <w:bookmarkEnd w:id="3"/>
      <w:r>
        <w:rPr>
          <w:rStyle w:val="Bodytext1"/>
        </w:rPr>
        <w:t>własnej inicjatywy.</w:t>
      </w:r>
    </w:p>
    <w:p w:rsidR="002F341A" w:rsidRDefault="00FF2B61">
      <w:pPr>
        <w:pStyle w:val="Heading110"/>
        <w:keepNext/>
        <w:keepLines/>
        <w:numPr>
          <w:ilvl w:val="0"/>
          <w:numId w:val="1"/>
        </w:numPr>
        <w:tabs>
          <w:tab w:val="left" w:pos="306"/>
        </w:tabs>
      </w:pPr>
      <w:bookmarkStart w:id="4" w:name="bookmark6"/>
      <w:r>
        <w:rPr>
          <w:rStyle w:val="Heading11"/>
          <w:b/>
          <w:bCs/>
        </w:rPr>
        <w:t>Argument o zagrożeniu przeciążeniem serwerów nie uzasadnia zamknięcia dostępu</w:t>
      </w:r>
      <w:bookmarkEnd w:id="4"/>
    </w:p>
    <w:p w:rsidR="002F341A" w:rsidRDefault="00FF2B61">
      <w:pPr>
        <w:pStyle w:val="Bodytext10"/>
      </w:pPr>
      <w:r>
        <w:rPr>
          <w:rStyle w:val="Bodytext1"/>
        </w:rPr>
        <w:t xml:space="preserve">Udostępnienie statycznego pliku odpornego na duży ruch jest zadaniem podstawowej klasy technologicznej, rozwiązywanym od lat przez zastosowanie buforowania brzegowego </w:t>
      </w:r>
      <w:r w:rsidRPr="004449AB">
        <w:rPr>
          <w:rStyle w:val="Bodytext1"/>
          <w:lang w:eastAsia="en-US" w:bidi="en-US"/>
        </w:rPr>
        <w:t xml:space="preserve">(Edge Caching, </w:t>
      </w:r>
      <w:r>
        <w:rPr>
          <w:rStyle w:val="Bodytext1"/>
        </w:rPr>
        <w:t>CDN). Nie wymaga to nowych inwestycji infrastrukturalnych porównywalnych d</w:t>
      </w:r>
      <w:r>
        <w:rPr>
          <w:rStyle w:val="Bodytext1"/>
        </w:rPr>
        <w:t xml:space="preserve">o budowy </w:t>
      </w:r>
      <w:r w:rsidRPr="004449AB">
        <w:rPr>
          <w:rStyle w:val="Bodytext1"/>
          <w:lang w:eastAsia="en-US" w:bidi="en-US"/>
        </w:rPr>
        <w:t xml:space="preserve">cell broadcast </w:t>
      </w:r>
      <w:r>
        <w:rPr>
          <w:rStyle w:val="Bodytext1"/>
        </w:rPr>
        <w:t>- jedynie zmiany polityki dostępu do już istniejącego zasobu danych.</w:t>
      </w:r>
    </w:p>
    <w:p w:rsidR="002F341A" w:rsidRDefault="00FF2B61">
      <w:pPr>
        <w:pStyle w:val="Bodytext10"/>
        <w:spacing w:after="380"/>
      </w:pPr>
      <w:r>
        <w:rPr>
          <w:rStyle w:val="Bodytext1"/>
        </w:rPr>
        <w:t>Wnoszę o rozpatrzenie niniejszej petycji zgodnie z Ustawą o petycjach oraz o pisemną odpowiedź w ustawowym terminie. Postulat zawarty w petycji jest wąski i konkre</w:t>
      </w:r>
      <w:r>
        <w:rPr>
          <w:rStyle w:val="Bodytext1"/>
        </w:rPr>
        <w:t xml:space="preserve">tny: nałożenie na operatora RSO wymogu otwartego, publicznego dostępu do danych, które system i tak już generuje - bez oczekiwania na zakończenie odrębnych, długofalowych prac nad </w:t>
      </w:r>
      <w:r w:rsidRPr="004449AB">
        <w:rPr>
          <w:rStyle w:val="Bodytext1"/>
          <w:lang w:eastAsia="en-US" w:bidi="en-US"/>
        </w:rPr>
        <w:t xml:space="preserve">cell broadcast </w:t>
      </w:r>
      <w:r>
        <w:rPr>
          <w:rStyle w:val="Bodytext1"/>
        </w:rPr>
        <w:t>czy nową aplikacją ostrzegawczą.</w:t>
      </w:r>
    </w:p>
    <w:p w:rsidR="002F341A" w:rsidRDefault="00FF2B61">
      <w:pPr>
        <w:pStyle w:val="Bodytext10"/>
        <w:jc w:val="center"/>
      </w:pPr>
      <w:r>
        <w:rPr>
          <w:rStyle w:val="Bodytext1"/>
        </w:rPr>
        <w:t>Z poważaniem</w:t>
      </w:r>
      <w:r>
        <w:rPr>
          <w:rStyle w:val="Bodytext1"/>
        </w:rPr>
        <w:br/>
      </w:r>
    </w:p>
    <w:sectPr w:rsidR="002F341A">
      <w:pgSz w:w="11900" w:h="16840"/>
      <w:pgMar w:top="1432" w:right="1428" w:bottom="1693" w:left="1400" w:header="1004" w:footer="126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B61" w:rsidRDefault="00FF2B61">
      <w:r>
        <w:separator/>
      </w:r>
    </w:p>
  </w:endnote>
  <w:endnote w:type="continuationSeparator" w:id="0">
    <w:p w:rsidR="00FF2B61" w:rsidRDefault="00FF2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B61" w:rsidRDefault="00FF2B61"/>
  </w:footnote>
  <w:footnote w:type="continuationSeparator" w:id="0">
    <w:p w:rsidR="00FF2B61" w:rsidRDefault="00FF2B6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127B"/>
    <w:multiLevelType w:val="multilevel"/>
    <w:tmpl w:val="44E0A94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8C69A0"/>
    <w:multiLevelType w:val="multilevel"/>
    <w:tmpl w:val="CB60984C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41A"/>
    <w:rsid w:val="002F341A"/>
    <w:rsid w:val="004449AB"/>
    <w:rsid w:val="00BA523C"/>
    <w:rsid w:val="00FA1FBE"/>
    <w:rsid w:val="00FF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248CB"/>
  <w15:docId w15:val="{45B68062-4E8E-42FC-9604-BFE8F224B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">
    <w:name w:val="Body text|1_"/>
    <w:basedOn w:val="Domylnaczcionkaakapitu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1">
    <w:name w:val="Heading #1|1_"/>
    <w:basedOn w:val="Domylnaczcionkaakapitu"/>
    <w:link w:val="Heading11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Bodytext10">
    <w:name w:val="Body text|1"/>
    <w:basedOn w:val="Normalny"/>
    <w:link w:val="Bodytext1"/>
    <w:pPr>
      <w:spacing w:after="280" w:line="276" w:lineRule="auto"/>
    </w:pPr>
    <w:rPr>
      <w:rFonts w:ascii="Arial" w:eastAsia="Arial" w:hAnsi="Arial" w:cs="Arial"/>
      <w:sz w:val="22"/>
      <w:szCs w:val="22"/>
    </w:rPr>
  </w:style>
  <w:style w:type="paragraph" w:customStyle="1" w:styleId="Heading110">
    <w:name w:val="Heading #1|1"/>
    <w:basedOn w:val="Normalny"/>
    <w:link w:val="Heading11"/>
    <w:pPr>
      <w:spacing w:after="280" w:line="276" w:lineRule="auto"/>
      <w:outlineLvl w:val="0"/>
    </w:pPr>
    <w:rPr>
      <w:rFonts w:ascii="Arial" w:eastAsia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3</cp:revision>
  <dcterms:created xsi:type="dcterms:W3CDTF">2026-10-14T10:39:00Z</dcterms:created>
  <dcterms:modified xsi:type="dcterms:W3CDTF">2026-10-14T10:41:00Z</dcterms:modified>
</cp:coreProperties>
</file>