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A615F" w14:textId="44D63B90" w:rsidR="00362ADD" w:rsidRDefault="00362ADD">
      <w:r w:rsidRPr="00362ADD">
        <w:t>PET XII/</w:t>
      </w:r>
      <w:r w:rsidR="006C11C3">
        <w:t>76</w:t>
      </w:r>
      <w:r w:rsidRPr="00362ADD">
        <w:t xml:space="preserve">/2020 </w:t>
      </w:r>
      <w:r>
        <w:t>–</w:t>
      </w:r>
      <w:r w:rsidRPr="00362ADD">
        <w:t xml:space="preserve"> petycja</w:t>
      </w:r>
    </w:p>
    <w:p w14:paraId="28A58630" w14:textId="77777777" w:rsidR="006C11C3" w:rsidRDefault="00362ADD" w:rsidP="006C11C3">
      <w:pPr>
        <w:pStyle w:val="NormalnyWeb"/>
        <w:spacing w:after="0" w:afterAutospacing="0"/>
      </w:pPr>
      <w:r>
        <w:rPr>
          <w:rFonts w:eastAsia="Times New Roman"/>
        </w:rPr>
        <w:t xml:space="preserve">I. </w:t>
      </w:r>
      <w:r w:rsidR="00AB4C2E" w:rsidRPr="00362ADD">
        <w:rPr>
          <w:rFonts w:eastAsia="Times New Roman"/>
        </w:rPr>
        <w:t>Nadawca petycji i dane wytworzenia (nadania) adres pocztowy, adres poczty elektronicznej podmiotu wnoszącego petycję: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</w:r>
      <w:r>
        <w:br/>
      </w:r>
      <w:r w:rsidR="006C11C3">
        <w:rPr>
          <w:b/>
          <w:bCs/>
        </w:rPr>
        <w:t xml:space="preserve">II. Adresat petycji: </w:t>
      </w:r>
      <w:r w:rsidR="006C11C3">
        <w:br/>
        <w:t>Kancelaria Prezesa Rady Ministrów</w:t>
      </w:r>
    </w:p>
    <w:p w14:paraId="71199AB4" w14:textId="77777777" w:rsidR="006C11C3" w:rsidRDefault="006C11C3" w:rsidP="006C11C3">
      <w:pPr>
        <w:pStyle w:val="NormalnyWeb"/>
        <w:spacing w:after="0" w:afterAutospacing="0"/>
      </w:pPr>
      <w:r>
        <w:t>Ministerstwo Zdrowia</w:t>
      </w:r>
    </w:p>
    <w:p w14:paraId="7E50DF3A" w14:textId="77777777" w:rsidR="006C11C3" w:rsidRDefault="006C11C3" w:rsidP="006C11C3">
      <w:pPr>
        <w:pStyle w:val="NormalnyWeb"/>
        <w:spacing w:after="0" w:afterAutospacing="0"/>
      </w:pPr>
      <w:r>
        <w:t>Komenda Główna Policji</w:t>
      </w:r>
    </w:p>
    <w:p w14:paraId="7F90AD60" w14:textId="77777777" w:rsidR="006C11C3" w:rsidRDefault="006C11C3" w:rsidP="006C11C3">
      <w:pPr>
        <w:pStyle w:val="NormalnyWeb"/>
        <w:spacing w:after="0" w:afterAutospacing="0"/>
      </w:pPr>
      <w:r>
        <w:t>Komenda Główna Państwowej Straży Pożarnej</w:t>
      </w:r>
    </w:p>
    <w:p w14:paraId="6C583F12" w14:textId="77777777" w:rsidR="006C11C3" w:rsidRDefault="006C11C3" w:rsidP="006C11C3">
      <w:pPr>
        <w:pStyle w:val="NormalnyWeb"/>
        <w:spacing w:after="0" w:afterAutospacing="0"/>
      </w:pPr>
      <w:r>
        <w:t>Biuro ds. Ochrony Ludności i Obrony Cywilnej KGPSP</w:t>
      </w:r>
      <w:r>
        <w:br/>
        <w:t>Komendy Wojewódzkie Policji, Stołeczna oraz w rejonie Częstochowskim (</w:t>
      </w:r>
      <w:proofErr w:type="spellStart"/>
      <w:r>
        <w:t>dw</w:t>
      </w:r>
      <w:proofErr w:type="spellEnd"/>
      <w:r>
        <w:t xml:space="preserve">) </w:t>
      </w:r>
      <w:r>
        <w:br/>
        <w:t>Komendy Wojewódzkie PSP oraz w rejonie Częstochowskim (</w:t>
      </w:r>
      <w:proofErr w:type="spellStart"/>
      <w:r>
        <w:t>dw</w:t>
      </w:r>
      <w:proofErr w:type="spellEnd"/>
      <w:r>
        <w:t xml:space="preserve">) </w:t>
      </w:r>
    </w:p>
    <w:p w14:paraId="107897D8" w14:textId="77777777" w:rsidR="006C11C3" w:rsidRDefault="006C11C3" w:rsidP="006C11C3">
      <w:pPr>
        <w:pStyle w:val="NormalnyWeb"/>
        <w:spacing w:after="0" w:afterAutospacing="0"/>
      </w:pPr>
      <w:r>
        <w:t>Rządowe Centrum Bezpieczeństwa</w:t>
      </w:r>
    </w:p>
    <w:p w14:paraId="7D65E825" w14:textId="77777777" w:rsidR="006C11C3" w:rsidRDefault="006C11C3" w:rsidP="006C11C3">
      <w:pPr>
        <w:pStyle w:val="NormalnyWeb"/>
        <w:spacing w:after="0" w:afterAutospacing="0"/>
      </w:pPr>
      <w:r>
        <w:t xml:space="preserve">Rządowe Centrum Legislacji </w:t>
      </w:r>
      <w:r>
        <w:br/>
      </w:r>
      <w:r>
        <w:br/>
      </w:r>
      <w:r>
        <w:rPr>
          <w:b/>
          <w:bCs/>
        </w:rPr>
        <w:t>Petycja w interesie publicznym o sygnaturze własnej PET XII/76/2020</w:t>
      </w:r>
      <w:r>
        <w:br/>
      </w:r>
      <w:r>
        <w:br/>
      </w:r>
      <w:r>
        <w:rPr>
          <w:b/>
          <w:bCs/>
        </w:rPr>
        <w:t>III. Przedmiot petycji i podstawa prawna, uzasadnienie merytoryczne, faktyczne, prawne lub celowość jako zasadność złożenia:</w:t>
      </w:r>
      <w:r>
        <w:br/>
        <w:t>Na mocy art. 2 ust. 1 w zbiegu z art. 2 ust. 2 pkt. 1) – Ustawy o petycjach z dnia 11 lipca 2014 roku (tj. Dz.U. 2018 poz. 870) w związku z art. 63 w związku Konstytucji z dnia 2 kwietnia 1997 roku Dzień dobry, przekładam petycję w której postuluje i domagam się zgodnie z ustawą o petycjach według treści żądania wprowadzenia następujących postulatów :</w:t>
      </w:r>
    </w:p>
    <w:p w14:paraId="4987D9DD" w14:textId="77777777" w:rsidR="006C11C3" w:rsidRDefault="006C11C3" w:rsidP="006C11C3">
      <w:pPr>
        <w:pStyle w:val="NormalnyWeb"/>
        <w:spacing w:after="0" w:afterAutospacing="0"/>
      </w:pPr>
    </w:p>
    <w:p w14:paraId="7BBDC807" w14:textId="77777777" w:rsidR="006C11C3" w:rsidRDefault="006C11C3" w:rsidP="006C11C3">
      <w:pPr>
        <w:pStyle w:val="NormalnyWeb"/>
        <w:spacing w:after="240" w:afterAutospacing="0"/>
      </w:pPr>
      <w:r>
        <w:rPr>
          <w:b/>
          <w:bCs/>
        </w:rPr>
        <w:t xml:space="preserve">Poprzez wprowadzenie przepisów wykonawczych w postaci : wytycznych lub Zarządzenia w celu najszybszego dotarcia na miejsce, zabezpieczenia terenu, skrócenie czasu dotarcia: </w:t>
      </w:r>
    </w:p>
    <w:p w14:paraId="3AAF9F17" w14:textId="77777777" w:rsidR="006C11C3" w:rsidRDefault="006C11C3" w:rsidP="006C11C3">
      <w:pPr>
        <w:pStyle w:val="NormalnyWeb"/>
        <w:spacing w:after="0" w:afterAutospacing="0"/>
      </w:pPr>
      <w:r>
        <w:rPr>
          <w:b/>
          <w:bCs/>
        </w:rPr>
        <w:t xml:space="preserve">1) Każda jednostka OSP, KSRG wyposażona jest w ześlizg strażacki; </w:t>
      </w:r>
      <w:r>
        <w:rPr>
          <w:b/>
          <w:bCs/>
        </w:rPr>
        <w:br/>
        <w:t xml:space="preserve">2) Droga w pobliżu jednostki OSP, KSRG wyposażona jest w sygnalizator ostrzegawczy, który wstrzymuje ruch w pobliżu jednostki OSP/KSRG w przypadku zgłoszenia wyjazdu do zdarzenia; </w:t>
      </w:r>
      <w:r>
        <w:rPr>
          <w:b/>
          <w:bCs/>
        </w:rPr>
        <w:br/>
        <w:t xml:space="preserve">3) Droga w pobliżu szpitala, SOR, Izby Przyjęć wyposażona jest w sygnalizator ostrzegawczy, który wstrzymuje ruch w celu szybkiego włączenia się do ruchu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br/>
        <w:t xml:space="preserve">4) Droga w pobliżu jednostek Policji, Żandarmerii Wojskowej, Służby Więziennej wyposażona jest w sygnalizator ostrzegawczy, który wstrzymuje ruch w celu szybkiego włączenia się do ruchu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br/>
        <w:t xml:space="preserve">5) Droga w pobliżu jednostek pogotowia technicznego : elektrycznego, gazowego, ciepłowniczego, wodno-kanalizacyjnego; a ponadto straży granicznej, służby administracji skarbowej, straży leśnej, straży ochrony kolei wyposażona jest w sygnalizator ostrzegawczy, który wstrzymuje ruch w celu </w:t>
      </w:r>
      <w:r>
        <w:rPr>
          <w:b/>
          <w:bCs/>
        </w:rPr>
        <w:lastRenderedPageBreak/>
        <w:t xml:space="preserve">szybkiego włączenia się do ruchu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br/>
        <w:t xml:space="preserve">6) Każda jednostka służby alarmowej w szczególności położona przy drodze : krajowej, wojewódzkiej, powiatowej lub gminnej o natężeniu dużym ruchu zobowiązana jest do zamontowania sygnalizatora ostrzegawczego wstrzymującego ruch podczas planowanego wyjazdu; </w:t>
      </w:r>
      <w:r>
        <w:rPr>
          <w:b/>
          <w:bCs/>
        </w:rPr>
        <w:br/>
        <w:t xml:space="preserve">7) Każdy wyjazd do zgłoszenia (przez policję, straż pożarną, zespół ratownictwa medycznego, pogotowie gazowe, pogotowie elektryczne, pogotowie wodno-kanalizacyjne, pogotowie ciepłownicze), straż leśną, straż ochrony kolei – winno odbywać się w sposób alarmowy przy użyciu sygnałów akustycznych (dźwiękowych) i błyskowych celem szybkiego dojazdu do miejsca zgłoszenia; </w:t>
      </w:r>
      <w:r>
        <w:rPr>
          <w:b/>
          <w:bCs/>
        </w:rPr>
        <w:br/>
        <w:t xml:space="preserve">z tego co wiem to tylko straż pożarna na każde zgłoszenie (pożar, miejscowe zagrożenia, zabezpieczenie rejonu) uruchomia sygnały. </w:t>
      </w:r>
      <w:r>
        <w:rPr>
          <w:b/>
          <w:bCs/>
        </w:rPr>
        <w:br/>
        <w:t>8) Porozumienie z Zarządcami Dróg w sprawie zamontowania :</w:t>
      </w:r>
      <w:r>
        <w:rPr>
          <w:b/>
          <w:bCs/>
        </w:rPr>
        <w:br/>
        <w:t xml:space="preserve">a) zielonej fazy dla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t xml:space="preserve"> na drodze przejazdu;</w:t>
      </w:r>
      <w:r>
        <w:rPr>
          <w:b/>
          <w:bCs/>
        </w:rPr>
        <w:br/>
        <w:t>b) czerwonych faz dla innych wjazdów na skrzyżowaniu na drodze przejazdu</w:t>
      </w:r>
      <w:r>
        <w:rPr>
          <w:b/>
          <w:bCs/>
        </w:rPr>
        <w:br/>
        <w:t xml:space="preserve">9) Po zakończeniu interwencji pojazdy : policji, straży pożarnej, zespołu ratownictwa medycznego, pogotowia technicznego, straży ochrony kolei, straży granicznej, straży leśnej mogą używać sygnałów błyskowych i dźwiękowych celem szybkiego dotarcia do bazy lub innego miejsca stacjonowania celem skrócenia czasu gotowości operacyjnej; </w:t>
      </w:r>
      <w:r>
        <w:rPr>
          <w:b/>
          <w:bCs/>
        </w:rPr>
        <w:br/>
        <w:t xml:space="preserve">10) Każdy transport do szpitala przez eskortę, przez Policję, przez ZRM, przez Straż Pożarną odbywa się w trybie alarmowym; </w:t>
      </w:r>
      <w:r>
        <w:rPr>
          <w:b/>
          <w:bCs/>
        </w:rPr>
        <w:br/>
        <w:t xml:space="preserve">11) Przekazanie pojazdu służb alarmowych : na tankowanie, mycie, przegląd może odbywać się w trybie alarmowym w celu skrócenia czasu gotowości operacyjnej; </w:t>
      </w:r>
      <w:r>
        <w:rPr>
          <w:b/>
          <w:bCs/>
        </w:rPr>
        <w:br/>
        <w:t>12) W Systemie Wspomagania Dowodzenia : Zespołów Ratownictwa Medycznego, Policji, Straży Pożarnej umieszcza się :</w:t>
      </w:r>
      <w:r>
        <w:rPr>
          <w:b/>
          <w:bCs/>
        </w:rPr>
        <w:br/>
        <w:t xml:space="preserve">a) czas wyjazdu / ruszenia (minimalny, średni, maksymalny) </w:t>
      </w:r>
      <w:r>
        <w:rPr>
          <w:b/>
          <w:bCs/>
        </w:rPr>
        <w:br/>
        <w:t xml:space="preserve">b) prędkość na zgłoszenie (średnią) </w:t>
      </w:r>
      <w:r>
        <w:rPr>
          <w:b/>
          <w:bCs/>
        </w:rPr>
        <w:br/>
        <w:t xml:space="preserve">c) dystans przestrzenny w postaci kilometrów na dane zgłoszenie </w:t>
      </w:r>
      <w:r>
        <w:rPr>
          <w:b/>
          <w:bCs/>
        </w:rPr>
        <w:br/>
        <w:t>13) Wprowadzenie :</w:t>
      </w:r>
      <w:r>
        <w:rPr>
          <w:b/>
          <w:bCs/>
        </w:rPr>
        <w:br/>
        <w:t xml:space="preserve">a) u górze nad lampą stroboskopową samochodową umieszcza się kolejną lampę stroboskopową gdzie w przypadku awarii sygnału błyskowego lub dźwiękowego zastąpi go albo niższa albo wyższa kondygnacja lampy stroboskopowej </w:t>
      </w:r>
      <w:r>
        <w:rPr>
          <w:b/>
          <w:bCs/>
        </w:rPr>
        <w:br/>
        <w:t xml:space="preserve">b) po 30 sekundach od zatrzymania przy włączonych sygnałach błyskowych uruchamia się automatycznie światła awaryjne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br/>
        <w:t>14) Wprowadzenie :</w:t>
      </w:r>
      <w:r>
        <w:rPr>
          <w:b/>
          <w:bCs/>
        </w:rPr>
        <w:br/>
        <w:t xml:space="preserve">a) zakazu wyprzedzania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t xml:space="preserve"> choćby było więcej kierunków pasów w tym samym kierunku</w:t>
      </w:r>
      <w:r>
        <w:rPr>
          <w:b/>
          <w:bCs/>
        </w:rPr>
        <w:br/>
        <w:t xml:space="preserve">b) zakazu wyprzedzania pojazdu </w:t>
      </w:r>
      <w:proofErr w:type="spellStart"/>
      <w:r>
        <w:rPr>
          <w:b/>
          <w:bCs/>
        </w:rPr>
        <w:t>uprzewilejowanego</w:t>
      </w:r>
      <w:proofErr w:type="spellEnd"/>
      <w:r>
        <w:rPr>
          <w:b/>
          <w:bCs/>
        </w:rPr>
        <w:t xml:space="preserve"> poza obszarem zabudowanym </w:t>
      </w:r>
    </w:p>
    <w:p w14:paraId="5F5C5C2A" w14:textId="7E771A95" w:rsidR="00362ADD" w:rsidRPr="00362ADD" w:rsidRDefault="006C11C3" w:rsidP="006C11C3">
      <w:pPr>
        <w:pStyle w:val="Akapitzlist"/>
        <w:ind w:left="0"/>
        <w:rPr>
          <w:rFonts w:eastAsia="Times New Roman"/>
        </w:rPr>
      </w:pPr>
      <w:r>
        <w:br/>
        <w:t xml:space="preserve">Uważam, że takie rozwiązania skrócą czas dotarcia, skrócą czas interwencji służb alarmowych co zmniejszy się czas gotowości operacyjnej na kolejne zgłoszenie alarmowe (interwencję) własną lub zgłoszoną przez 112. </w:t>
      </w:r>
      <w:r>
        <w:br/>
      </w:r>
      <w:r>
        <w:br/>
      </w:r>
      <w:r>
        <w:rPr>
          <w:b/>
          <w:bCs/>
        </w:rPr>
        <w:t>IV. Adnotacje:</w:t>
      </w:r>
      <w:r>
        <w:br/>
        <w:t>1. Zgodnie z art. 4 ust. 1 i ust. 5 ustawy o petycjach proszę tylko i wyłącznie o odpowiedź elektroniczna na mail z uwagi na sposób wnoszenia pisma do organu rozpatrującego, a ponadto z uwagi na stan epidemii.</w:t>
      </w:r>
      <w:r>
        <w:br/>
        <w:t>2. Zgodnie z art. 4 ust. 3 ustawy o petycjach nie wyrażam zgody na publikację danych osobowych na odwzorowanej treści petycji lub jego odwzorowania cyfrowego ( zdjęcie, skan ) na serwisie internetowym organu lub  stronie internetowej BIP.</w:t>
      </w:r>
      <w:r>
        <w:br/>
        <w:t>* - Wers (linijka tekstu) podlegająca usunięciu danych celem opublikowania treści pisma na stronie BIP, zgodnie z pkt. 1., 2. celem zwiększenia ochrony danych osobowych.</w:t>
      </w:r>
      <w:r>
        <w:br/>
      </w:r>
      <w:r>
        <w:lastRenderedPageBreak/>
        <w:t>3. Za ewentualne błędy oraz niewiedzę przepraszam oraz ilość składanych pism. Niniejsze pismo1. nie jest z złośliwości, swawoli a intencją jest dobro publiczne.</w:t>
      </w:r>
      <w:r>
        <w:br/>
        <w:t xml:space="preserve">4. Proszę uprzejmie o potwierdzenie odbioru i podawania sygnatury PET. </w:t>
      </w:r>
      <w:r>
        <w:br/>
      </w:r>
      <w:r>
        <w:br/>
      </w:r>
      <w:r w:rsidR="00362ADD" w:rsidRPr="00362ADD">
        <w:rPr>
          <w:rFonts w:eastAsia="Times New Roman"/>
        </w:rPr>
        <w:t>Z poważaniem,</w:t>
      </w:r>
    </w:p>
    <w:p w14:paraId="25900386" w14:textId="06A4123D" w:rsidR="00AB4C2E" w:rsidRDefault="00AB4C2E" w:rsidP="00362ADD">
      <w:r w:rsidRPr="00362ADD">
        <w:rPr>
          <w:rFonts w:eastAsia="Times New Roman"/>
        </w:rPr>
        <w:t>------------------------------------*</w:t>
      </w:r>
      <w:r w:rsidRPr="00362ADD">
        <w:rPr>
          <w:rFonts w:eastAsia="Times New Roman"/>
        </w:rPr>
        <w:br/>
      </w:r>
    </w:p>
    <w:sectPr w:rsidR="00AB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1839"/>
    <w:multiLevelType w:val="hybridMultilevel"/>
    <w:tmpl w:val="EAD80462"/>
    <w:lvl w:ilvl="0" w:tplc="38A6B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0"/>
    <w:rsid w:val="00175880"/>
    <w:rsid w:val="00362ADD"/>
    <w:rsid w:val="006C11C3"/>
    <w:rsid w:val="008A6EAA"/>
    <w:rsid w:val="009106E6"/>
    <w:rsid w:val="00A26FB1"/>
    <w:rsid w:val="00AB4C2E"/>
    <w:rsid w:val="00E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BCE"/>
  <w15:chartTrackingRefBased/>
  <w15:docId w15:val="{5B85E52F-B64D-4BE7-9FDA-8AE5617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4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C2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C11C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2021-03-03T16:43:00Z</dcterms:created>
  <dcterms:modified xsi:type="dcterms:W3CDTF">2021-03-03T16:43:00Z</dcterms:modified>
</cp:coreProperties>
</file>