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A4C0" w14:textId="7D4EA070" w:rsidR="00E87C07" w:rsidRDefault="005C46BE" w:rsidP="00615EE8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z</w:t>
      </w:r>
      <w:r w:rsidR="00E87C07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ałącznik nr </w:t>
      </w:r>
      <w:r w:rsidR="00047CCE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2</w:t>
      </w:r>
    </w:p>
    <w:p w14:paraId="1628A371" w14:textId="690156F3" w:rsidR="00E87C07" w:rsidRDefault="00E87C07" w:rsidP="00615EE8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do </w:t>
      </w:r>
      <w:r w:rsidR="001C2DF2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U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mowy</w:t>
      </w:r>
    </w:p>
    <w:p w14:paraId="34BA7907" w14:textId="1407CC3D" w:rsidR="00C93203" w:rsidRDefault="00E87C07" w:rsidP="00615EE8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nr </w:t>
      </w:r>
      <w:r w:rsidR="00111B92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…………..</w:t>
      </w:r>
    </w:p>
    <w:p w14:paraId="2C6F291D" w14:textId="77777777" w:rsidR="00E87C07" w:rsidRPr="00642192" w:rsidRDefault="00E87C07" w:rsidP="00E87C07">
      <w:pPr>
        <w:spacing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684C2C" w14:textId="351A3126" w:rsidR="00C66489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489">
        <w:rPr>
          <w:rFonts w:ascii="Times New Roman" w:eastAsia="Times New Roman" w:hAnsi="Times New Roman" w:cs="Times New Roman"/>
          <w:sz w:val="24"/>
          <w:szCs w:val="24"/>
        </w:rPr>
        <w:t xml:space="preserve">w dniu …….….. w Warszawie </w:t>
      </w:r>
    </w:p>
    <w:p w14:paraId="50E55E9C" w14:textId="4BA6A055" w:rsidR="00F72603" w:rsidRDefault="00F72603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albo</w:t>
      </w:r>
    </w:p>
    <w:p w14:paraId="28D718B1" w14:textId="043D6148" w:rsidR="00D57614" w:rsidRDefault="00F72603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zawarta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pomiędzy:</w:t>
      </w:r>
    </w:p>
    <w:p w14:paraId="71323FBB" w14:textId="0A2533A2" w:rsidR="00F72603" w:rsidRPr="00D57614" w:rsidRDefault="00F72603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(niewłaściwe usunąć)</w:t>
      </w:r>
    </w:p>
    <w:p w14:paraId="5EDB0EEC" w14:textId="4546EE7A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07">
        <w:rPr>
          <w:rFonts w:ascii="Times New Roman" w:eastAsia="Times New Roman" w:hAnsi="Times New Roman" w:cs="Times New Roman"/>
          <w:b/>
          <w:bCs/>
          <w:sz w:val="24"/>
          <w:szCs w:val="24"/>
        </w:rPr>
        <w:t>reprezentowanym przez Ministra Sprawiedliwości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z siedzibą przy Al. Ujazdowskich 11, 00-950 Warszawa, zwanym w dalszej części Umowy „Administratorem”,</w:t>
      </w:r>
    </w:p>
    <w:p w14:paraId="14D85EA9" w14:textId="04443D61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59621B">
        <w:rPr>
          <w:rFonts w:ascii="Times New Roman" w:eastAsia="Times New Roman" w:hAnsi="Times New Roman" w:cs="Times New Roman"/>
          <w:sz w:val="24"/>
          <w:szCs w:val="24"/>
        </w:rPr>
        <w:t xml:space="preserve">Panią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Anitę </w:t>
      </w:r>
      <w:proofErr w:type="spellStart"/>
      <w:r w:rsidR="00F023F3">
        <w:rPr>
          <w:rFonts w:ascii="Times New Roman" w:eastAsia="Times New Roman" w:hAnsi="Times New Roman" w:cs="Times New Roman"/>
          <w:sz w:val="24"/>
          <w:szCs w:val="24"/>
        </w:rPr>
        <w:t>Fraj-Milczarską</w:t>
      </w:r>
      <w:proofErr w:type="spellEnd"/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356D1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312E69">
        <w:rPr>
          <w:rFonts w:ascii="Times New Roman" w:eastAsia="Calibri" w:hAnsi="Times New Roman" w:cs="Times New Roman"/>
          <w:sz w:val="24"/>
          <w:szCs w:val="24"/>
          <w:lang w:eastAsia="pl-PL"/>
        </w:rPr>
        <w:t>DG/38/2024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312E69">
        <w:rPr>
          <w:rFonts w:ascii="Times New Roman" w:eastAsia="Calibri" w:hAnsi="Times New Roman" w:cs="Times New Roman"/>
          <w:sz w:val="24"/>
          <w:szCs w:val="24"/>
          <w:lang w:eastAsia="pl-PL"/>
        </w:rPr>
        <w:t>11 lipca 2024 r.</w:t>
      </w:r>
      <w:r w:rsidR="00503BAC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5B524B5D" w14:textId="70AC0D99" w:rsidR="00D57614" w:rsidRPr="00D57614" w:rsidRDefault="00111B92" w:rsidP="00503B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……………………………………..</w:t>
      </w:r>
      <w:r w:rsidR="00503BA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zwaną/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2054BC">
        <w:rPr>
          <w:rFonts w:ascii="Times New Roman" w:eastAsia="Times New Roman" w:hAnsi="Times New Roman" w:cs="Times New Roman"/>
          <w:sz w:val="24"/>
          <w:szCs w:val="24"/>
        </w:rPr>
        <w:t>ym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</w:p>
    <w:p w14:paraId="5438385C" w14:textId="77777777" w:rsidR="00503BAC" w:rsidRDefault="00503BAC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150D7" w14:textId="63FAD334" w:rsid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Strony zawarły umowę nr </w:t>
      </w:r>
      <w:r w:rsidR="00111B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„Umową o współpracę”, której przedmiotem jest </w:t>
      </w:r>
      <w:r w:rsidR="008A11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usług recepcyjnych w obiektach </w:t>
      </w:r>
      <w:r w:rsidR="002054BC" w:rsidRPr="00A25269">
        <w:rPr>
          <w:rFonts w:ascii="Times New Roman" w:hAnsi="Times New Roman" w:cs="Times New Roman"/>
          <w:sz w:val="24"/>
          <w:szCs w:val="24"/>
        </w:rPr>
        <w:t>Ministerstwa Sprawiedliwości</w:t>
      </w:r>
      <w:r w:rsidR="002054BC" w:rsidRPr="00BA7D13">
        <w:rPr>
          <w:rFonts w:ascii="Times New Roman" w:hAnsi="Times New Roman" w:cs="Times New Roman"/>
          <w:sz w:val="24"/>
          <w:szCs w:val="24"/>
        </w:rPr>
        <w:t xml:space="preserve"> położonych w</w:t>
      </w:r>
      <w:r w:rsidR="002054BC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BA7D13">
        <w:rPr>
          <w:rFonts w:ascii="Times New Roman" w:hAnsi="Times New Roman" w:cs="Times New Roman"/>
          <w:sz w:val="24"/>
          <w:szCs w:val="24"/>
        </w:rPr>
        <w:t>Warszawie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0B859E23" w14:textId="77777777" w:rsidR="00615EE8" w:rsidRPr="00D57614" w:rsidRDefault="00615EE8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6FBFEA1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27A604" w14:textId="643DA8A5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 wydawanie kart dostępu do </w:t>
      </w:r>
      <w:r w:rsidR="000A0C45">
        <w:rPr>
          <w:rFonts w:cs="Arial"/>
          <w:color w:val="000000"/>
        </w:rPr>
        <w:t xml:space="preserve">obiektów </w:t>
      </w:r>
      <w:r>
        <w:rPr>
          <w:rFonts w:cs="Arial"/>
          <w:color w:val="000000"/>
        </w:rPr>
        <w:t>Ministerstwa Sprawiedliwości,</w:t>
      </w:r>
    </w:p>
    <w:p w14:paraId="2E189E27" w14:textId="2161B0B5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rodzaj danych osobowych: imię i nazwisko, fotografia,</w:t>
      </w:r>
      <w:r w:rsidR="00837736">
        <w:rPr>
          <w:rFonts w:cs="Arial"/>
          <w:color w:val="000000"/>
        </w:rPr>
        <w:t xml:space="preserve"> numer i seria dokumentu tożsamości,</w:t>
      </w:r>
    </w:p>
    <w:p w14:paraId="01780893" w14:textId="3399D8A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 xml:space="preserve">kategorie osób, których dane dotyczą: pracownicy, goście, </w:t>
      </w:r>
      <w:r w:rsidR="00837736">
        <w:rPr>
          <w:rFonts w:cs="Arial"/>
          <w:color w:val="000000"/>
        </w:rPr>
        <w:t>interesanci</w:t>
      </w:r>
      <w:r w:rsidR="00374519">
        <w:rPr>
          <w:rFonts w:cs="Arial"/>
          <w:color w:val="000000"/>
        </w:rPr>
        <w:t xml:space="preserve">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675BF05F" w14:textId="7A68F88F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nazwa czynności przetwarzania (zbioru danych): </w:t>
      </w:r>
      <w:r w:rsidR="00833F2A">
        <w:rPr>
          <w:rFonts w:cs="Arial"/>
          <w:color w:val="000000"/>
        </w:rPr>
        <w:t>m</w:t>
      </w:r>
      <w:r w:rsidR="009C7B59">
        <w:rPr>
          <w:rFonts w:cs="Arial"/>
          <w:color w:val="000000"/>
        </w:rPr>
        <w:t>onitorowanie, przeglądanie oraz nagrywanie obrazu z kamer umieszczonych w budynkach Ministerstwa Sprawiedliwości,</w:t>
      </w:r>
    </w:p>
    <w:p w14:paraId="4D215530" w14:textId="26BA8AC4" w:rsidR="00374519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rodzaj danych osobowych: </w:t>
      </w:r>
      <w:r w:rsidR="009C7B59">
        <w:rPr>
          <w:rFonts w:cs="Arial"/>
          <w:color w:val="000000"/>
        </w:rPr>
        <w:t>obraz z kamery,</w:t>
      </w:r>
    </w:p>
    <w:p w14:paraId="12CDE2C4" w14:textId="1431C366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 xml:space="preserve">kategorie osób, których dane dotyczą: pracownicy, goście, </w:t>
      </w:r>
      <w:r w:rsidR="00837736">
        <w:rPr>
          <w:rFonts w:cs="Arial"/>
          <w:color w:val="000000"/>
        </w:rPr>
        <w:t>interesanci</w:t>
      </w:r>
      <w:r w:rsidR="00374519">
        <w:rPr>
          <w:rFonts w:cs="Arial"/>
          <w:color w:val="000000"/>
        </w:rPr>
        <w:t xml:space="preserve">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5D6A56D8" w14:textId="26DE22A9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 baza gości – książka wejść i wyjść – zapisywanie danych gości, </w:t>
      </w:r>
      <w:r w:rsidR="00837736">
        <w:rPr>
          <w:rFonts w:cs="Arial"/>
          <w:color w:val="000000"/>
        </w:rPr>
        <w:t>interesantów</w:t>
      </w:r>
      <w:r>
        <w:rPr>
          <w:rFonts w:cs="Arial"/>
          <w:color w:val="000000"/>
        </w:rPr>
        <w:t xml:space="preserve"> wchodzących poza godzinami pracy do </w:t>
      </w:r>
      <w:r w:rsidR="00837736">
        <w:rPr>
          <w:rFonts w:cs="Arial"/>
          <w:color w:val="000000"/>
        </w:rPr>
        <w:t>obiektów</w:t>
      </w:r>
      <w:r>
        <w:rPr>
          <w:rFonts w:cs="Arial"/>
          <w:color w:val="000000"/>
        </w:rPr>
        <w:t xml:space="preserve"> Ministerstwa Sprawiedliwości,</w:t>
      </w:r>
    </w:p>
    <w:p w14:paraId="53928DE9" w14:textId="4154795E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rodzaj danych osobowych: imię i nazwisko,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74EDB109" w14:textId="541A63BF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0A0C45">
        <w:rPr>
          <w:rFonts w:cs="Arial"/>
          <w:i/>
        </w:rPr>
        <w:t>zbieranie, utrwalanie, porządkowanie, adaptowanie lub modyfikowanie, pobieranie, przeglądanie, wykorzystanie, dopasowywanie lub łączenie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dopuścić do obsługi systemu informatycznego oraz urządzeń wchodzących w jego skład, służących do przetwarzania danych, wyłącznie osoby posiadające wydane przez niego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5CC8B05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2106F631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danych osobowych, o których mowa w niniejszej umowie - wszystkie obowiązki przewidziane niniejszą umową dla Podmiotu przetwarzającego. </w:t>
      </w: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7E6CD210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39C07243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</w:t>
      </w:r>
      <w:r w:rsidR="00816AE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6FC821F4" w14:textId="77777777" w:rsidR="00F72603" w:rsidRDefault="00F72603" w:rsidP="00F7260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zasądzono odszkodowanie za szkodę w związku z naruszeniem przez Podmiot przetwarzający 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615E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615EE8">
      <w:pPr>
        <w:numPr>
          <w:ilvl w:val="0"/>
          <w:numId w:val="8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615EE8">
      <w:pPr>
        <w:numPr>
          <w:ilvl w:val="2"/>
          <w:numId w:val="2"/>
        </w:numPr>
        <w:tabs>
          <w:tab w:val="num" w:pos="426"/>
        </w:tabs>
        <w:spacing w:after="20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398AE953" w:rsidR="00D57614" w:rsidRPr="005613BE" w:rsidRDefault="00D57614" w:rsidP="00615EE8">
      <w:pPr>
        <w:numPr>
          <w:ilvl w:val="3"/>
          <w:numId w:val="2"/>
        </w:numPr>
        <w:spacing w:after="20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3E920AD3" w:rsidR="00776A88" w:rsidRPr="00776A88" w:rsidRDefault="00776A88" w:rsidP="00615EE8">
      <w:pPr>
        <w:numPr>
          <w:ilvl w:val="3"/>
          <w:numId w:val="2"/>
        </w:numPr>
        <w:spacing w:after="20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C62A74">
        <w:rPr>
          <w:rFonts w:ascii="Times New Roman" w:hAnsi="Times New Roman" w:cs="Times New Roman"/>
          <w:sz w:val="24"/>
          <w:szCs w:val="24"/>
        </w:rPr>
        <w:t xml:space="preserve">Pan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</w:t>
      </w:r>
      <w:r w:rsidR="00642192">
        <w:rPr>
          <w:rFonts w:ascii="Times New Roman" w:hAnsi="Times New Roman" w:cs="Times New Roman"/>
          <w:sz w:val="24"/>
          <w:szCs w:val="24"/>
        </w:rPr>
        <w:br/>
      </w:r>
      <w:r w:rsidRPr="00776A88">
        <w:rPr>
          <w:rFonts w:ascii="Times New Roman" w:hAnsi="Times New Roman" w:cs="Times New Roman"/>
          <w:sz w:val="24"/>
          <w:szCs w:val="24"/>
        </w:rPr>
        <w:t>tel. 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4CADD881" w14:textId="0A264578" w:rsidR="00776A88" w:rsidRPr="00F72603" w:rsidRDefault="00D57614" w:rsidP="00BC50E2">
      <w:pPr>
        <w:pStyle w:val="Akapitzlist"/>
        <w:numPr>
          <w:ilvl w:val="0"/>
          <w:numId w:val="16"/>
        </w:numPr>
        <w:spacing w:after="200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2603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  <w:r w:rsidR="00F72603" w:rsidRPr="00F72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2E2" w:rsidRPr="00F72603">
        <w:rPr>
          <w:rFonts w:ascii="Times New Roman" w:hAnsi="Times New Roman" w:cs="Times New Roman"/>
          <w:sz w:val="24"/>
          <w:szCs w:val="24"/>
        </w:rPr>
        <w:t xml:space="preserve">inspektor ochrony danych/ </w:t>
      </w:r>
      <w:r w:rsidR="00655E34" w:rsidRPr="00F72603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="00776A88" w:rsidRPr="00F7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 w:rsidRPr="00F7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2E2" w:rsidRPr="00F72603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="00776A88" w:rsidRPr="00F72603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 w:rsidRPr="00F7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2E2" w:rsidRPr="00F72603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="00776A88" w:rsidRPr="00F72603">
        <w:rPr>
          <w:rFonts w:ascii="Times New Roman" w:hAnsi="Times New Roman" w:cs="Times New Roman"/>
          <w:color w:val="000000" w:themeColor="text1"/>
          <w:sz w:val="24"/>
          <w:szCs w:val="24"/>
        </w:rPr>
        <w:t>, e-mail:</w:t>
      </w:r>
      <w:r w:rsidR="009D02E2" w:rsidRPr="00F7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</w:t>
      </w:r>
      <w:hyperlink r:id="rId8" w:history="1"/>
      <w:r w:rsidR="00655E34" w:rsidRPr="00F726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9" w:history="1"/>
    </w:p>
    <w:p w14:paraId="6B827045" w14:textId="77777777" w:rsidR="00D57614" w:rsidRPr="00D57614" w:rsidRDefault="00D57614" w:rsidP="00615EE8">
      <w:pPr>
        <w:numPr>
          <w:ilvl w:val="0"/>
          <w:numId w:val="8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4B1A2811" w14:textId="06012F36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1DE1B65D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</w:t>
      </w:r>
      <w:r w:rsidR="00A14517">
        <w:rPr>
          <w:rFonts w:ascii="Times New Roman" w:eastAsia="Times New Roman" w:hAnsi="Times New Roman" w:cs="Times New Roman"/>
          <w:sz w:val="24"/>
          <w:szCs w:val="24"/>
        </w:rPr>
        <w:t xml:space="preserve"> albo elektronicznej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2C4C9EC4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</w:t>
      </w:r>
      <w:r w:rsidR="000C117A">
        <w:rPr>
          <w:rFonts w:ascii="Times New Roman" w:eastAsia="Times New Roman" w:hAnsi="Times New Roman" w:cs="Times New Roman"/>
          <w:sz w:val="24"/>
          <w:szCs w:val="24"/>
        </w:rPr>
        <w:t xml:space="preserve">i zawarto w formie </w:t>
      </w:r>
      <w:r w:rsidR="008A6DB1">
        <w:rPr>
          <w:rFonts w:ascii="Times New Roman" w:eastAsia="Times New Roman" w:hAnsi="Times New Roman" w:cs="Times New Roman"/>
          <w:sz w:val="24"/>
          <w:szCs w:val="24"/>
        </w:rPr>
        <w:t>pisemnej/</w:t>
      </w:r>
      <w:r w:rsidR="000C117A">
        <w:rPr>
          <w:rFonts w:ascii="Times New Roman" w:eastAsia="Times New Roman" w:hAnsi="Times New Roman" w:cs="Times New Roman"/>
          <w:sz w:val="24"/>
          <w:szCs w:val="24"/>
        </w:rPr>
        <w:t>elektronicznej</w:t>
      </w:r>
      <w:r w:rsidR="008A6DB1">
        <w:rPr>
          <w:rFonts w:ascii="Times New Roman" w:eastAsia="Times New Roman" w:hAnsi="Times New Roman" w:cs="Times New Roman"/>
          <w:sz w:val="24"/>
          <w:szCs w:val="24"/>
        </w:rPr>
        <w:t xml:space="preserve"> (wybrać właściw</w:t>
      </w:r>
      <w:r w:rsidR="009706A5">
        <w:rPr>
          <w:rFonts w:ascii="Times New Roman" w:eastAsia="Times New Roman" w:hAnsi="Times New Roman" w:cs="Times New Roman"/>
          <w:sz w:val="24"/>
          <w:szCs w:val="24"/>
        </w:rPr>
        <w:t>e)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48AB10" w14:textId="222C02BB" w:rsid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D22F96">
      <w:footerReference w:type="even" r:id="rId10"/>
      <w:footerReference w:type="default" r:id="rId11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30F3" w14:textId="77777777" w:rsidR="005E353C" w:rsidRDefault="005E353C">
      <w:pPr>
        <w:spacing w:after="0" w:line="240" w:lineRule="auto"/>
      </w:pPr>
      <w:r>
        <w:separator/>
      </w:r>
    </w:p>
  </w:endnote>
  <w:endnote w:type="continuationSeparator" w:id="0">
    <w:p w14:paraId="27BCD9E0" w14:textId="77777777" w:rsidR="005E353C" w:rsidRDefault="005E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85E6" w14:textId="77777777" w:rsidR="00897EB6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897EB6" w:rsidRDefault="00897EB6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F4EA" w14:textId="77777777" w:rsidR="00897EB6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897EB6" w:rsidRDefault="00897EB6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7D17" w14:textId="77777777" w:rsidR="005E353C" w:rsidRDefault="005E353C">
      <w:pPr>
        <w:spacing w:after="0" w:line="240" w:lineRule="auto"/>
      </w:pPr>
      <w:r>
        <w:separator/>
      </w:r>
    </w:p>
  </w:footnote>
  <w:footnote w:type="continuationSeparator" w:id="0">
    <w:p w14:paraId="66530FA1" w14:textId="77777777" w:rsidR="005E353C" w:rsidRDefault="005E3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2556"/>
    <w:rsid w:val="00023EFC"/>
    <w:rsid w:val="0003581F"/>
    <w:rsid w:val="00047CCE"/>
    <w:rsid w:val="00056AA8"/>
    <w:rsid w:val="00056CB2"/>
    <w:rsid w:val="00057A1E"/>
    <w:rsid w:val="00060169"/>
    <w:rsid w:val="00061E2A"/>
    <w:rsid w:val="000A0C45"/>
    <w:rsid w:val="000C117A"/>
    <w:rsid w:val="000C2EFE"/>
    <w:rsid w:val="000E0B78"/>
    <w:rsid w:val="00111B92"/>
    <w:rsid w:val="00122D37"/>
    <w:rsid w:val="00141D58"/>
    <w:rsid w:val="00155835"/>
    <w:rsid w:val="001576FB"/>
    <w:rsid w:val="00187BAE"/>
    <w:rsid w:val="001A758E"/>
    <w:rsid w:val="001C2DF2"/>
    <w:rsid w:val="001C42BE"/>
    <w:rsid w:val="001D7AEF"/>
    <w:rsid w:val="002054BC"/>
    <w:rsid w:val="00206485"/>
    <w:rsid w:val="00240750"/>
    <w:rsid w:val="0027469D"/>
    <w:rsid w:val="00280F08"/>
    <w:rsid w:val="002A1EF1"/>
    <w:rsid w:val="002D5B09"/>
    <w:rsid w:val="00312E69"/>
    <w:rsid w:val="00374519"/>
    <w:rsid w:val="00390827"/>
    <w:rsid w:val="003D3C58"/>
    <w:rsid w:val="003D7294"/>
    <w:rsid w:val="004001F2"/>
    <w:rsid w:val="004045F0"/>
    <w:rsid w:val="00430D4B"/>
    <w:rsid w:val="004A4B54"/>
    <w:rsid w:val="004F28A5"/>
    <w:rsid w:val="00503BAC"/>
    <w:rsid w:val="005070FA"/>
    <w:rsid w:val="00550C38"/>
    <w:rsid w:val="0055498C"/>
    <w:rsid w:val="005613BE"/>
    <w:rsid w:val="005674F8"/>
    <w:rsid w:val="0059621B"/>
    <w:rsid w:val="005B028E"/>
    <w:rsid w:val="005C46BE"/>
    <w:rsid w:val="005D02C0"/>
    <w:rsid w:val="005E353C"/>
    <w:rsid w:val="00615EE8"/>
    <w:rsid w:val="00642192"/>
    <w:rsid w:val="00655E34"/>
    <w:rsid w:val="00661F62"/>
    <w:rsid w:val="00667BDF"/>
    <w:rsid w:val="006C39CD"/>
    <w:rsid w:val="00735FD4"/>
    <w:rsid w:val="00740A8A"/>
    <w:rsid w:val="0075305C"/>
    <w:rsid w:val="00754451"/>
    <w:rsid w:val="00776A88"/>
    <w:rsid w:val="007A69F5"/>
    <w:rsid w:val="007C5178"/>
    <w:rsid w:val="007D1366"/>
    <w:rsid w:val="007E7848"/>
    <w:rsid w:val="00816AE4"/>
    <w:rsid w:val="00833F2A"/>
    <w:rsid w:val="00837736"/>
    <w:rsid w:val="00897EB6"/>
    <w:rsid w:val="008A11B0"/>
    <w:rsid w:val="008A267F"/>
    <w:rsid w:val="008A6DB1"/>
    <w:rsid w:val="008B1EB2"/>
    <w:rsid w:val="008B2946"/>
    <w:rsid w:val="008B73D0"/>
    <w:rsid w:val="009040AE"/>
    <w:rsid w:val="00917B38"/>
    <w:rsid w:val="009348EE"/>
    <w:rsid w:val="009356D1"/>
    <w:rsid w:val="009706A5"/>
    <w:rsid w:val="009A2BDC"/>
    <w:rsid w:val="009A48E2"/>
    <w:rsid w:val="009B5FA3"/>
    <w:rsid w:val="009C3820"/>
    <w:rsid w:val="009C386D"/>
    <w:rsid w:val="009C7B59"/>
    <w:rsid w:val="009D02E2"/>
    <w:rsid w:val="009D448E"/>
    <w:rsid w:val="009F4721"/>
    <w:rsid w:val="00A01B74"/>
    <w:rsid w:val="00A04D13"/>
    <w:rsid w:val="00A14517"/>
    <w:rsid w:val="00A378F5"/>
    <w:rsid w:val="00A47E12"/>
    <w:rsid w:val="00A54A52"/>
    <w:rsid w:val="00A61C0C"/>
    <w:rsid w:val="00A6595C"/>
    <w:rsid w:val="00A74DF9"/>
    <w:rsid w:val="00A757A6"/>
    <w:rsid w:val="00AD2F89"/>
    <w:rsid w:val="00B0646E"/>
    <w:rsid w:val="00B41B17"/>
    <w:rsid w:val="00B513E5"/>
    <w:rsid w:val="00B659F1"/>
    <w:rsid w:val="00B863E5"/>
    <w:rsid w:val="00BD2EDF"/>
    <w:rsid w:val="00C520EA"/>
    <w:rsid w:val="00C62A74"/>
    <w:rsid w:val="00C66489"/>
    <w:rsid w:val="00C90BEC"/>
    <w:rsid w:val="00C93203"/>
    <w:rsid w:val="00CB65ED"/>
    <w:rsid w:val="00CE0BEA"/>
    <w:rsid w:val="00CE4A4B"/>
    <w:rsid w:val="00CF1549"/>
    <w:rsid w:val="00D0116E"/>
    <w:rsid w:val="00D06AB7"/>
    <w:rsid w:val="00D211DD"/>
    <w:rsid w:val="00D57614"/>
    <w:rsid w:val="00D90D75"/>
    <w:rsid w:val="00D93849"/>
    <w:rsid w:val="00DC7E88"/>
    <w:rsid w:val="00E023C1"/>
    <w:rsid w:val="00E20CDB"/>
    <w:rsid w:val="00E62FEB"/>
    <w:rsid w:val="00E87C07"/>
    <w:rsid w:val="00E93C42"/>
    <w:rsid w:val="00EA37A2"/>
    <w:rsid w:val="00EF534F"/>
    <w:rsid w:val="00F023F3"/>
    <w:rsid w:val="00F16758"/>
    <w:rsid w:val="00F47739"/>
    <w:rsid w:val="00F567B2"/>
    <w:rsid w:val="00F6384B"/>
    <w:rsid w:val="00F7232D"/>
    <w:rsid w:val="00F72603"/>
    <w:rsid w:val="00F8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85C92-B57D-46D6-A4B8-D5EF2041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2853</Words>
  <Characters>17119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Gajda Anna  (BB)</cp:lastModifiedBy>
  <cp:revision>2</cp:revision>
  <dcterms:created xsi:type="dcterms:W3CDTF">2026-06-03T06:30:00Z</dcterms:created>
  <dcterms:modified xsi:type="dcterms:W3CDTF">2026-06-03T06:30:00Z</dcterms:modified>
</cp:coreProperties>
</file>