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755D5" w14:textId="017DC4BE" w:rsidR="00AA049A" w:rsidRDefault="00AA049A" w:rsidP="00AA049A">
      <w:pPr>
        <w:jc w:val="right"/>
        <w:rPr>
          <w:rFonts w:eastAsia="Times New Roman"/>
        </w:rPr>
      </w:pPr>
      <w:r>
        <w:rPr>
          <w:rFonts w:eastAsia="Times New Roman"/>
        </w:rPr>
        <w:t xml:space="preserve">12 kwietnia 2021 r. </w:t>
      </w:r>
    </w:p>
    <w:p w14:paraId="32D02CDC" w14:textId="69E498D0" w:rsidR="005740F4" w:rsidRDefault="005740F4" w:rsidP="005740F4">
      <w:pPr>
        <w:rPr>
          <w:rFonts w:eastAsia="Times New Roman"/>
        </w:rPr>
      </w:pPr>
      <w:proofErr w:type="spellStart"/>
      <w:r>
        <w:rPr>
          <w:rFonts w:eastAsia="Times New Roman"/>
        </w:rPr>
        <w:t>Xxxxxxxx</w:t>
      </w:r>
      <w:proofErr w:type="spellEnd"/>
      <w:r>
        <w:rPr>
          <w:rFonts w:eastAsia="Times New Roman"/>
        </w:rPr>
        <w:t xml:space="preserve"> </w:t>
      </w:r>
      <w:r>
        <w:rPr>
          <w:rFonts w:eastAsia="Times New Roman"/>
        </w:rPr>
        <w:t xml:space="preserve">, </w:t>
      </w:r>
      <w:r>
        <w:rPr>
          <w:rFonts w:eastAsia="Times New Roman"/>
        </w:rPr>
        <w:t>xx</w:t>
      </w:r>
      <w:r>
        <w:rPr>
          <w:rFonts w:eastAsia="Times New Roman"/>
        </w:rPr>
        <w:t>-</w:t>
      </w:r>
      <w:r>
        <w:rPr>
          <w:rFonts w:eastAsia="Times New Roman"/>
        </w:rPr>
        <w:t>xxx</w:t>
      </w:r>
      <w:r>
        <w:rPr>
          <w:rFonts w:eastAsia="Times New Roman"/>
        </w:rPr>
        <w:t xml:space="preserve"> </w:t>
      </w:r>
      <w:r>
        <w:rPr>
          <w:rFonts w:eastAsia="Times New Roman"/>
        </w:rPr>
        <w:t>XXXXXX</w:t>
      </w:r>
      <w:r>
        <w:rPr>
          <w:rFonts w:eastAsia="Times New Roman"/>
        </w:rPr>
        <w:t xml:space="preserve">, ul. </w:t>
      </w:r>
      <w:proofErr w:type="spellStart"/>
      <w:r>
        <w:rPr>
          <w:rFonts w:eastAsia="Times New Roman"/>
        </w:rPr>
        <w:t>xxxxxxxxx</w:t>
      </w:r>
      <w:proofErr w:type="spellEnd"/>
      <w:r>
        <w:rPr>
          <w:rFonts w:eastAsia="Times New Roman"/>
        </w:rPr>
        <w:t>,</w:t>
      </w:r>
    </w:p>
    <w:p w14:paraId="3C352139" w14:textId="08741F62" w:rsidR="005740F4" w:rsidRDefault="005740F4" w:rsidP="005740F4">
      <w:pPr>
        <w:rPr>
          <w:rFonts w:eastAsia="Times New Roman"/>
        </w:rPr>
      </w:pPr>
      <w:r>
        <w:rPr>
          <w:rFonts w:eastAsia="Times New Roman"/>
        </w:rPr>
        <w:t xml:space="preserve">Doręczenia, potrzeba </w:t>
      </w:r>
      <w:proofErr w:type="spellStart"/>
      <w:r>
        <w:rPr>
          <w:rFonts w:eastAsia="Times New Roman"/>
        </w:rPr>
        <w:t>kontaktu,odpowiedź</w:t>
      </w:r>
      <w:proofErr w:type="spellEnd"/>
      <w:r>
        <w:rPr>
          <w:rFonts w:eastAsia="Times New Roman"/>
        </w:rPr>
        <w:t xml:space="preserve">: </w:t>
      </w:r>
      <w:hyperlink r:id="rId4" w:history="1">
        <w:r w:rsidR="00AA049A">
          <w:rPr>
            <w:rStyle w:val="Hipercze"/>
            <w:rFonts w:eastAsia="Times New Roman"/>
          </w:rPr>
          <w:t>XXXXX</w:t>
        </w:r>
      </w:hyperlink>
    </w:p>
    <w:p w14:paraId="04CF9E28" w14:textId="60E2A148" w:rsidR="00362EA8" w:rsidRDefault="005740F4" w:rsidP="005740F4">
      <w:proofErr w:type="spellStart"/>
      <w:r>
        <w:rPr>
          <w:rFonts w:eastAsia="Times New Roman"/>
        </w:rPr>
        <w:t>xxxxx</w:t>
      </w:r>
      <w:proofErr w:type="spellEnd"/>
      <w:r>
        <w:rPr>
          <w:rFonts w:eastAsia="Times New Roman"/>
        </w:rPr>
        <w:t xml:space="preserve">, </w:t>
      </w:r>
      <w:proofErr w:type="spellStart"/>
      <w:r>
        <w:rPr>
          <w:rFonts w:eastAsia="Times New Roman"/>
        </w:rPr>
        <w:t>xxxxxxxx</w:t>
      </w:r>
      <w:proofErr w:type="spellEnd"/>
      <w:r>
        <w:rPr>
          <w:rFonts w:eastAsia="Times New Roman"/>
        </w:rPr>
        <w:t xml:space="preserve"> </w:t>
      </w:r>
      <w:r>
        <w:rPr>
          <w:rFonts w:eastAsia="Times New Roman"/>
        </w:rPr>
        <w:t>roku</w:t>
      </w:r>
      <w:r>
        <w:rPr>
          <w:rFonts w:eastAsia="Times New Roman"/>
        </w:rPr>
        <w:br/>
        <w:t>Proszę uprzejmie o potwierdzenie odbioru.</w:t>
      </w:r>
      <w:r>
        <w:rPr>
          <w:rFonts w:eastAsia="Times New Roman"/>
        </w:rPr>
        <w:br/>
        <w:t>(nadawca petycji)</w:t>
      </w:r>
      <w:r>
        <w:rPr>
          <w:rFonts w:eastAsia="Times New Roman"/>
        </w:rPr>
        <w:br/>
      </w:r>
      <w:r>
        <w:rPr>
          <w:rFonts w:eastAsia="Times New Roman"/>
        </w:rPr>
        <w:br/>
        <w:t>Szanowni Państwo :</w:t>
      </w:r>
      <w:r>
        <w:rPr>
          <w:rFonts w:eastAsia="Times New Roman"/>
        </w:rPr>
        <w:br/>
        <w:t>Ministerstwo Zdrowia</w:t>
      </w:r>
      <w:r>
        <w:rPr>
          <w:rFonts w:eastAsia="Times New Roman"/>
        </w:rPr>
        <w:br/>
        <w:t>Ministerstwo Pracy</w:t>
      </w:r>
      <w:r>
        <w:rPr>
          <w:rFonts w:eastAsia="Times New Roman"/>
        </w:rPr>
        <w:br/>
        <w:t>Ministerstwo Rolnictwa  </w:t>
      </w:r>
      <w:r>
        <w:rPr>
          <w:rFonts w:eastAsia="Times New Roman"/>
        </w:rPr>
        <w:br/>
        <w:t>Rządowe Centrum Legislacji</w:t>
      </w:r>
      <w:r>
        <w:rPr>
          <w:rFonts w:eastAsia="Times New Roman"/>
        </w:rPr>
        <w:br/>
      </w:r>
      <w:r>
        <w:rPr>
          <w:rFonts w:eastAsia="Times New Roman"/>
        </w:rPr>
        <w:br/>
        <w:t>Inicjatywa Obywatelska w trybie „E-Petycji” w interesie publicznym o sygnaturze własnej PET/IV/38/21 złożona przy pomocy środka pomocy elektronicznej „poczty elektronicznej” celem wykorzystania treści w przyszłości lub teraźniejszości.</w:t>
      </w:r>
      <w:r>
        <w:rPr>
          <w:rFonts w:eastAsia="Times New Roman"/>
        </w:rPr>
        <w:br/>
      </w:r>
      <w:r>
        <w:rPr>
          <w:rFonts w:eastAsia="Times New Roman"/>
        </w:rPr>
        <w:br/>
        <w:t xml:space="preserve">Dzień dobry, ja niżej podpisana </w:t>
      </w:r>
      <w:proofErr w:type="spellStart"/>
      <w:r>
        <w:rPr>
          <w:rFonts w:eastAsia="Times New Roman"/>
        </w:rPr>
        <w:t>xxxxxxx</w:t>
      </w:r>
      <w:proofErr w:type="spellEnd"/>
      <w:r>
        <w:rPr>
          <w:rFonts w:eastAsia="Times New Roman"/>
        </w:rPr>
        <w:t xml:space="preserve"> </w:t>
      </w:r>
      <w:r>
        <w:rPr>
          <w:rFonts w:eastAsia="Times New Roman"/>
        </w:rPr>
        <w:t xml:space="preserve">zam. w </w:t>
      </w:r>
      <w:proofErr w:type="spellStart"/>
      <w:r>
        <w:rPr>
          <w:rFonts w:eastAsia="Times New Roman"/>
        </w:rPr>
        <w:t>xxxxxxxxxxxxx</w:t>
      </w:r>
      <w:proofErr w:type="spellEnd"/>
      <w:r>
        <w:rPr>
          <w:rFonts w:eastAsia="Times New Roman"/>
        </w:rPr>
        <w:t xml:space="preserve"> </w:t>
      </w:r>
      <w:r>
        <w:rPr>
          <w:rFonts w:eastAsia="Times New Roman"/>
        </w:rPr>
        <w:t>korzystająca z adresu poczty elektronicznej (środka komunikacji elektronicznej)"</w:t>
      </w:r>
      <w:proofErr w:type="spellStart"/>
      <w:r>
        <w:rPr>
          <w:rFonts w:eastAsia="Times New Roman"/>
        </w:rPr>
        <w:t>xxxxxxxxx</w:t>
      </w:r>
      <w:proofErr w:type="spellEnd"/>
      <w:r>
        <w:rPr>
          <w:rFonts w:eastAsia="Times New Roman"/>
        </w:rPr>
        <w:t xml:space="preserve">” </w:t>
      </w:r>
      <w:r>
        <w:rPr>
          <w:rFonts w:eastAsia="Times New Roman"/>
        </w:rPr>
        <w:t>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poprzez :</w:t>
      </w:r>
      <w:r>
        <w:rPr>
          <w:rFonts w:eastAsia="Times New Roman"/>
        </w:rPr>
        <w:br/>
      </w:r>
      <w:r>
        <w:rPr>
          <w:rFonts w:eastAsia="Times New Roman"/>
        </w:rPr>
        <w:br/>
        <w:t>Rozdział I - w zakresie Ministerstwa Zdrowia :</w:t>
      </w:r>
      <w:r>
        <w:rPr>
          <w:rFonts w:eastAsia="Times New Roman"/>
        </w:rPr>
        <w:br/>
        <w:t>1. Wprowadzenie kodu ICD-10:</w:t>
      </w:r>
      <w:r>
        <w:rPr>
          <w:rFonts w:eastAsia="Times New Roman"/>
        </w:rPr>
        <w:br/>
        <w:t xml:space="preserve">1) "R20.4" </w:t>
      </w:r>
      <w:proofErr w:type="spellStart"/>
      <w:r>
        <w:rPr>
          <w:rFonts w:eastAsia="Times New Roman"/>
        </w:rPr>
        <w:t>hiporestezja</w:t>
      </w:r>
      <w:proofErr w:type="spellEnd"/>
      <w:r>
        <w:rPr>
          <w:rFonts w:eastAsia="Times New Roman"/>
        </w:rPr>
        <w:t xml:space="preserve"> jako osłabiona wrażliwość na ból lub ogłuszona z powodu nieprzytomności lub innych stanów</w:t>
      </w:r>
      <w:r>
        <w:rPr>
          <w:rFonts w:eastAsia="Times New Roman"/>
        </w:rPr>
        <w:br/>
        <w:t>2) "R20.3a" przeczulica na skutek adrenaliny</w:t>
      </w:r>
      <w:r>
        <w:rPr>
          <w:rFonts w:eastAsia="Times New Roman"/>
        </w:rPr>
        <w:br/>
        <w:t>2. Wprowadzenie kodu ICD-9:</w:t>
      </w:r>
      <w:r>
        <w:rPr>
          <w:rFonts w:eastAsia="Times New Roman"/>
        </w:rPr>
        <w:br/>
        <w:t>101.0 - jednorazowy pomiar ciśnienia tętniczego</w:t>
      </w:r>
      <w:r>
        <w:rPr>
          <w:rFonts w:eastAsia="Times New Roman"/>
        </w:rPr>
        <w:br/>
        <w:t xml:space="preserve">101.2 - </w:t>
      </w:r>
      <w:proofErr w:type="spellStart"/>
      <w:r>
        <w:rPr>
          <w:rFonts w:eastAsia="Times New Roman"/>
        </w:rPr>
        <w:t>pulsoksymetria</w:t>
      </w:r>
      <w:proofErr w:type="spellEnd"/>
      <w:r>
        <w:rPr>
          <w:rFonts w:eastAsia="Times New Roman"/>
        </w:rPr>
        <w:t xml:space="preserve"> z ciśnieniem tętniczym</w:t>
      </w:r>
      <w:r>
        <w:rPr>
          <w:rFonts w:eastAsia="Times New Roman"/>
        </w:rPr>
        <w:br/>
        <w:t>101.3 - monitorowanie NEWS / HEWS  </w:t>
      </w:r>
      <w:r>
        <w:rPr>
          <w:rFonts w:eastAsia="Times New Roman"/>
        </w:rPr>
        <w:br/>
        <w:t>101.4 - monitorowanie inwazyjne ciśnienia</w:t>
      </w:r>
      <w:r>
        <w:rPr>
          <w:rFonts w:eastAsia="Times New Roman"/>
        </w:rPr>
        <w:br/>
        <w:t>101.5 - monitorowanie w sali wzmożonego nadzoru, sali intensywnego nadzoru, wczesnego reagowania czy wypełnienie karty interwencji wczesnego reagowania : saturacji, stan świadomości, tętno, ciśnienie tętnicze w szczególności skurczowe, częstość oddechów, temperatura, dieta, tlenoterapia, stolec, wymioty, diureza, masa ciała</w:t>
      </w:r>
      <w:r>
        <w:rPr>
          <w:rFonts w:eastAsia="Times New Roman"/>
        </w:rPr>
        <w:br/>
        <w:t xml:space="preserve">101.60 - monitorowanie oceny stanu zdrowia pacjenta i podjęcie decyzji co do odstąpienia lub przystąpienia czynności ratunkowych (rano i wieczorem) w postaci : SAMPLE, AVPU, GCG, RTS, DTLS, wywiad; badanie przedmiotowe: obserwacja, obmacywanie, opłukiwanie, osłuchowe, drżenie głosowe, oglądanie; badanie podstawowych parametrów życiowych : ciśnienie tętnicze, tętno, saturacja, ciśnienie tętna, częstość oddechów, ciepłota ciała, eTCO2, cechy tętna, formy zaburzeń oddychania, kolorymetria, kapnometria, glukoza*, </w:t>
      </w:r>
      <w:proofErr w:type="spellStart"/>
      <w:r>
        <w:rPr>
          <w:rFonts w:eastAsia="Times New Roman"/>
        </w:rPr>
        <w:t>ekg</w:t>
      </w:r>
      <w:proofErr w:type="spellEnd"/>
      <w:r>
        <w:rPr>
          <w:rFonts w:eastAsia="Times New Roman"/>
        </w:rPr>
        <w:t>*</w:t>
      </w:r>
      <w:r>
        <w:rPr>
          <w:rFonts w:eastAsia="Times New Roman"/>
        </w:rPr>
        <w:br/>
      </w:r>
      <w:hyperlink r:id="rId5" w:history="1">
        <w:r>
          <w:rPr>
            <w:rStyle w:val="Hipercze"/>
            <w:rFonts w:eastAsia="Times New Roman"/>
          </w:rPr>
          <w:t>http://www.ratownikmed.pl/czynnosci/czynnosci_ocena_stanu_pacjenta.html</w:t>
        </w:r>
      </w:hyperlink>
      <w:r>
        <w:rPr>
          <w:rFonts w:eastAsia="Times New Roman"/>
        </w:rPr>
        <w:br/>
        <w:t xml:space="preserve">101.601 - monitorowanie oceny stanu zdrowia pacjenta i podjęcie decyzji co do odstąpienia lub </w:t>
      </w:r>
      <w:r>
        <w:rPr>
          <w:rFonts w:eastAsia="Times New Roman"/>
        </w:rPr>
        <w:lastRenderedPageBreak/>
        <w:t xml:space="preserve">przystąpienia czynności ratunkowych (rano 5:00, popołudniu 12:00, wieczorem 17:00) w postaci : SAMPLE, AVPU, GCG, RTS, DTLS, wywiad; badanie przedmiotowe: obserwacja, obmacywanie, opłukiwanie, osłuchowe, drżenie głosowe, oglądanie; badanie podstawowych parametrów życiowych : ciśnienie tętnicze, tętno, saturacja, ciśnienie tętna, częstość oddechów, ciepłota ciała, eTCO2, cechy tętna, formy zaburzeń oddychania, kolorymetria, kapnometria, glukoza*, </w:t>
      </w:r>
      <w:proofErr w:type="spellStart"/>
      <w:r>
        <w:rPr>
          <w:rFonts w:eastAsia="Times New Roman"/>
        </w:rPr>
        <w:t>ekg</w:t>
      </w:r>
      <w:proofErr w:type="spellEnd"/>
      <w:r>
        <w:rPr>
          <w:rFonts w:eastAsia="Times New Roman"/>
        </w:rPr>
        <w:t>*</w:t>
      </w:r>
      <w:r>
        <w:rPr>
          <w:rFonts w:eastAsia="Times New Roman"/>
        </w:rPr>
        <w:br/>
        <w:t xml:space="preserve">101.602 - monitorowanie oceny stanu zdrowia pacjenta i podjęcie decyzji co do odstąpienia lub przystąpienia czynności ratunkowych (rano 5:00, obchodu 10:00, popołudniu 12:00, wieczorem 17:00, obchodu 19:00) w postaci : SAMPLE, AVPU, GCG, RTS, DTLS, wywiad; badanie przedmiotowe: obserwacja, obmacywanie, opłukiwanie, osłuchowe, drżenie głosowe, oglądanie; badanie podstawowych parametrów życiowych : ciśnienie tętnicze, tętno, saturacja, ciśnienie tętna, częstość oddechów, ciepłota ciała, eTCO2, cechy tętna, formy zaburzeń oddychania, kolorymetria, kapnometria, glukoza*, </w:t>
      </w:r>
      <w:proofErr w:type="spellStart"/>
      <w:r>
        <w:rPr>
          <w:rFonts w:eastAsia="Times New Roman"/>
        </w:rPr>
        <w:t>ekg</w:t>
      </w:r>
      <w:proofErr w:type="spellEnd"/>
      <w:r>
        <w:rPr>
          <w:rFonts w:eastAsia="Times New Roman"/>
        </w:rPr>
        <w:t xml:space="preserve">*, skala </w:t>
      </w:r>
      <w:proofErr w:type="spellStart"/>
      <w:r>
        <w:rPr>
          <w:rFonts w:eastAsia="Times New Roman"/>
        </w:rPr>
        <w:t>Barthel</w:t>
      </w:r>
      <w:proofErr w:type="spellEnd"/>
      <w:r>
        <w:rPr>
          <w:rFonts w:eastAsia="Times New Roman"/>
        </w:rPr>
        <w:t xml:space="preserve"> i kategorii </w:t>
      </w:r>
      <w:proofErr w:type="spellStart"/>
      <w:r>
        <w:rPr>
          <w:rFonts w:eastAsia="Times New Roman"/>
        </w:rPr>
        <w:t>pielegnowania</w:t>
      </w:r>
      <w:proofErr w:type="spellEnd"/>
      <w:r>
        <w:rPr>
          <w:rFonts w:eastAsia="Times New Roman"/>
        </w:rPr>
        <w:t xml:space="preserve"> oraz segregacji oddziałowej </w:t>
      </w:r>
      <w:proofErr w:type="spellStart"/>
      <w:r>
        <w:rPr>
          <w:rFonts w:eastAsia="Times New Roman"/>
        </w:rPr>
        <w:t>trage</w:t>
      </w:r>
      <w:proofErr w:type="spellEnd"/>
      <w:r>
        <w:rPr>
          <w:rFonts w:eastAsia="Times New Roman"/>
        </w:rPr>
        <w:t>/</w:t>
      </w:r>
      <w:proofErr w:type="spellStart"/>
      <w:r>
        <w:rPr>
          <w:rFonts w:eastAsia="Times New Roman"/>
        </w:rPr>
        <w:t>retriage</w:t>
      </w:r>
      <w:proofErr w:type="spellEnd"/>
      <w:r>
        <w:rPr>
          <w:rFonts w:eastAsia="Times New Roman"/>
        </w:rPr>
        <w:t>*</w:t>
      </w:r>
      <w:r>
        <w:rPr>
          <w:rFonts w:eastAsia="Times New Roman"/>
        </w:rPr>
        <w:br/>
        <w:t xml:space="preserve">101.603 - monitorowanie oceny stanu zdrowia pacjenta i podjęcie decyzji co do odstąpienia lub przystąpienia czynności ratunkowych (monitorowanie co 1h/24h) w postaci : SAMPLE, AVPU, GCG, RTS, DTLS, wywiad; badanie przedmiotowe: obserwacja, obmacywanie, opłukiwanie, osłuchowe, drżenie głosowe, oglądanie; badanie podstawowych parametrów życiowych : ciśnienie tętnicze, tętno, saturacja, ciśnienie tętna, częstość oddechów, ciepłota ciała, eTCO2, cechy tętna, formy zaburzeń oddychania, kolorymetria, kapnometria, glukoza*, </w:t>
      </w:r>
      <w:proofErr w:type="spellStart"/>
      <w:r>
        <w:rPr>
          <w:rFonts w:eastAsia="Times New Roman"/>
        </w:rPr>
        <w:t>ekg</w:t>
      </w:r>
      <w:proofErr w:type="spellEnd"/>
      <w:r>
        <w:rPr>
          <w:rFonts w:eastAsia="Times New Roman"/>
        </w:rPr>
        <w:t xml:space="preserve">*, skala </w:t>
      </w:r>
      <w:proofErr w:type="spellStart"/>
      <w:r>
        <w:rPr>
          <w:rFonts w:eastAsia="Times New Roman"/>
        </w:rPr>
        <w:t>Barthel</w:t>
      </w:r>
      <w:proofErr w:type="spellEnd"/>
      <w:r>
        <w:rPr>
          <w:rFonts w:eastAsia="Times New Roman"/>
        </w:rPr>
        <w:t xml:space="preserve"> i kategorii </w:t>
      </w:r>
      <w:proofErr w:type="spellStart"/>
      <w:r>
        <w:rPr>
          <w:rFonts w:eastAsia="Times New Roman"/>
        </w:rPr>
        <w:t>pielegnowania</w:t>
      </w:r>
      <w:proofErr w:type="spellEnd"/>
      <w:r>
        <w:rPr>
          <w:rFonts w:eastAsia="Times New Roman"/>
        </w:rPr>
        <w:t xml:space="preserve"> oraz segregacji oddziałowej </w:t>
      </w:r>
      <w:proofErr w:type="spellStart"/>
      <w:r>
        <w:rPr>
          <w:rFonts w:eastAsia="Times New Roman"/>
        </w:rPr>
        <w:t>trage</w:t>
      </w:r>
      <w:proofErr w:type="spellEnd"/>
      <w:r>
        <w:rPr>
          <w:rFonts w:eastAsia="Times New Roman"/>
        </w:rPr>
        <w:t>/</w:t>
      </w:r>
      <w:proofErr w:type="spellStart"/>
      <w:r>
        <w:rPr>
          <w:rFonts w:eastAsia="Times New Roman"/>
        </w:rPr>
        <w:t>retriage</w:t>
      </w:r>
      <w:proofErr w:type="spellEnd"/>
      <w:r>
        <w:rPr>
          <w:rFonts w:eastAsia="Times New Roman"/>
        </w:rPr>
        <w:t>*      </w:t>
      </w:r>
      <w:r>
        <w:rPr>
          <w:rFonts w:eastAsia="Times New Roman"/>
        </w:rPr>
        <w:br/>
        <w:t xml:space="preserve">101.604 - monitorowanie oceny stanu zdrowia pacjenta i podjęcie decyzji co do odstąpienia lub przystąpienia czynności ratunkowych (monitorowanie co 1h/24h) w postaci : SAMPLE, AVPU, GCG, RTS, DTLS, wywiad; badanie przedmiotowe: obserwacja, obmacywanie, opłukiwanie, osłuchowe, drżenie głosowe, oglądanie; badanie podstawowych parametrów życiowych : ciśnienie tętnicze, tętno, saturacja, ciśnienie tętna, częstość oddechów, ciepłota ciała, eTCO2, cechy tętna, formy zaburzeń oddychania, kolorymetria, kapnometria, glukoza*, </w:t>
      </w:r>
      <w:proofErr w:type="spellStart"/>
      <w:r>
        <w:rPr>
          <w:rFonts w:eastAsia="Times New Roman"/>
        </w:rPr>
        <w:t>ekg</w:t>
      </w:r>
      <w:proofErr w:type="spellEnd"/>
      <w:r>
        <w:rPr>
          <w:rFonts w:eastAsia="Times New Roman"/>
        </w:rPr>
        <w:t xml:space="preserve">*, skala </w:t>
      </w:r>
      <w:proofErr w:type="spellStart"/>
      <w:r>
        <w:rPr>
          <w:rFonts w:eastAsia="Times New Roman"/>
        </w:rPr>
        <w:t>Barthel</w:t>
      </w:r>
      <w:proofErr w:type="spellEnd"/>
      <w:r>
        <w:rPr>
          <w:rFonts w:eastAsia="Times New Roman"/>
        </w:rPr>
        <w:t xml:space="preserve"> i kategorii </w:t>
      </w:r>
      <w:proofErr w:type="spellStart"/>
      <w:r>
        <w:rPr>
          <w:rFonts w:eastAsia="Times New Roman"/>
        </w:rPr>
        <w:t>pielegnowania</w:t>
      </w:r>
      <w:proofErr w:type="spellEnd"/>
      <w:r>
        <w:rPr>
          <w:rFonts w:eastAsia="Times New Roman"/>
        </w:rPr>
        <w:t xml:space="preserve"> oraz segregacji oddziałowej </w:t>
      </w:r>
      <w:proofErr w:type="spellStart"/>
      <w:r>
        <w:rPr>
          <w:rFonts w:eastAsia="Times New Roman"/>
        </w:rPr>
        <w:t>trage</w:t>
      </w:r>
      <w:proofErr w:type="spellEnd"/>
      <w:r>
        <w:rPr>
          <w:rFonts w:eastAsia="Times New Roman"/>
        </w:rPr>
        <w:t>/</w:t>
      </w:r>
      <w:proofErr w:type="spellStart"/>
      <w:r>
        <w:rPr>
          <w:rFonts w:eastAsia="Times New Roman"/>
        </w:rPr>
        <w:t>retriage</w:t>
      </w:r>
      <w:proofErr w:type="spellEnd"/>
      <w:r>
        <w:rPr>
          <w:rFonts w:eastAsia="Times New Roman"/>
        </w:rPr>
        <w:t>*  </w:t>
      </w:r>
      <w:r>
        <w:rPr>
          <w:rFonts w:eastAsia="Times New Roman"/>
        </w:rPr>
        <w:br/>
        <w:t xml:space="preserve">101.605 - monitorowanie oceny stanu zdrowia pacjenta i podjęcie decyzji co do odstąpienia lub przystąpienia czynności ratunkowych (monitorowanie co 30'/24h) w postaci : SAMPLE, AVPU, GCG, RTS, DTLS, wywiad; badanie przedmiotowe: obserwacja, obmacywanie, opłukiwanie, osłuchowe, drżenie głosowe, oglądanie; badanie podstawowych parametrów życiowych : ciśnienie tętnicze, tętno, saturacja, ciśnienie tętna, częstość oddechów, ciepłota ciała, eTCO2, cechy tętna, formy zaburzeń oddychania, kolorymetria, kapnometria, glukoza*, </w:t>
      </w:r>
      <w:proofErr w:type="spellStart"/>
      <w:r>
        <w:rPr>
          <w:rFonts w:eastAsia="Times New Roman"/>
        </w:rPr>
        <w:t>ekg</w:t>
      </w:r>
      <w:proofErr w:type="spellEnd"/>
      <w:r>
        <w:rPr>
          <w:rFonts w:eastAsia="Times New Roman"/>
        </w:rPr>
        <w:t xml:space="preserve">*, skala </w:t>
      </w:r>
      <w:proofErr w:type="spellStart"/>
      <w:r>
        <w:rPr>
          <w:rFonts w:eastAsia="Times New Roman"/>
        </w:rPr>
        <w:t>Barthel</w:t>
      </w:r>
      <w:proofErr w:type="spellEnd"/>
      <w:r>
        <w:rPr>
          <w:rFonts w:eastAsia="Times New Roman"/>
        </w:rPr>
        <w:t xml:space="preserve"> i kategorii </w:t>
      </w:r>
      <w:proofErr w:type="spellStart"/>
      <w:r>
        <w:rPr>
          <w:rFonts w:eastAsia="Times New Roman"/>
        </w:rPr>
        <w:t>pielegnowania</w:t>
      </w:r>
      <w:proofErr w:type="spellEnd"/>
      <w:r>
        <w:rPr>
          <w:rFonts w:eastAsia="Times New Roman"/>
        </w:rPr>
        <w:t xml:space="preserve"> oraz segregacji oddziałowej </w:t>
      </w:r>
      <w:proofErr w:type="spellStart"/>
      <w:r>
        <w:rPr>
          <w:rFonts w:eastAsia="Times New Roman"/>
        </w:rPr>
        <w:t>trage</w:t>
      </w:r>
      <w:proofErr w:type="spellEnd"/>
      <w:r>
        <w:rPr>
          <w:rFonts w:eastAsia="Times New Roman"/>
        </w:rPr>
        <w:t>/</w:t>
      </w:r>
      <w:proofErr w:type="spellStart"/>
      <w:r>
        <w:rPr>
          <w:rFonts w:eastAsia="Times New Roman"/>
        </w:rPr>
        <w:t>retriage</w:t>
      </w:r>
      <w:proofErr w:type="spellEnd"/>
      <w:r>
        <w:rPr>
          <w:rFonts w:eastAsia="Times New Roman"/>
        </w:rPr>
        <w:t xml:space="preserve">* </w:t>
      </w:r>
      <w:r>
        <w:rPr>
          <w:rFonts w:eastAsia="Times New Roman"/>
        </w:rPr>
        <w:br/>
        <w:t xml:space="preserve">101.606 - monitorowanie oceny stanu zdrowia pacjenta i podjęcie decyzji co do odstąpienia lub przystąpienia czynności ratunkowych (monitorowanie co 15'/24h) w postaci : SAMPLE, AVPU, GCG, RTS, DTLS, wywiad; badanie przedmiotowe: obserwacja, obmacywanie, opłukiwanie, osłuchowe, drżenie głosowe, oglądanie; badanie podstawowych parametrów życiowych : ciśnienie tętnicze, tętno, saturacja, ciśnienie tętna, częstość oddechów, ciepłota ciała, eTCO2, cechy tętna, formy zaburzeń oddychania, kolorymetria, kapnometria, glukoza*, </w:t>
      </w:r>
      <w:proofErr w:type="spellStart"/>
      <w:r>
        <w:rPr>
          <w:rFonts w:eastAsia="Times New Roman"/>
        </w:rPr>
        <w:t>ekg</w:t>
      </w:r>
      <w:proofErr w:type="spellEnd"/>
      <w:r>
        <w:rPr>
          <w:rFonts w:eastAsia="Times New Roman"/>
        </w:rPr>
        <w:t xml:space="preserve">*, skala </w:t>
      </w:r>
      <w:proofErr w:type="spellStart"/>
      <w:r>
        <w:rPr>
          <w:rFonts w:eastAsia="Times New Roman"/>
        </w:rPr>
        <w:t>Barthel</w:t>
      </w:r>
      <w:proofErr w:type="spellEnd"/>
      <w:r>
        <w:rPr>
          <w:rFonts w:eastAsia="Times New Roman"/>
        </w:rPr>
        <w:t xml:space="preserve"> i kategorii </w:t>
      </w:r>
      <w:proofErr w:type="spellStart"/>
      <w:r>
        <w:rPr>
          <w:rFonts w:eastAsia="Times New Roman"/>
        </w:rPr>
        <w:t>pielegnowania</w:t>
      </w:r>
      <w:proofErr w:type="spellEnd"/>
      <w:r>
        <w:rPr>
          <w:rFonts w:eastAsia="Times New Roman"/>
        </w:rPr>
        <w:t xml:space="preserve"> oraz segregacji oddziałowej </w:t>
      </w:r>
      <w:proofErr w:type="spellStart"/>
      <w:r>
        <w:rPr>
          <w:rFonts w:eastAsia="Times New Roman"/>
        </w:rPr>
        <w:t>trage</w:t>
      </w:r>
      <w:proofErr w:type="spellEnd"/>
      <w:r>
        <w:rPr>
          <w:rFonts w:eastAsia="Times New Roman"/>
        </w:rPr>
        <w:t>/</w:t>
      </w:r>
      <w:proofErr w:type="spellStart"/>
      <w:r>
        <w:rPr>
          <w:rFonts w:eastAsia="Times New Roman"/>
        </w:rPr>
        <w:t>retriage</w:t>
      </w:r>
      <w:proofErr w:type="spellEnd"/>
      <w:r>
        <w:rPr>
          <w:rFonts w:eastAsia="Times New Roman"/>
        </w:rPr>
        <w:t>*</w:t>
      </w:r>
      <w:r>
        <w:rPr>
          <w:rFonts w:eastAsia="Times New Roman"/>
        </w:rPr>
        <w:br/>
        <w:t xml:space="preserve">101.607 - monitorowanie oceny stanu zdrowia pacjenta i podjęcie decyzji co do odstąpienia lub przystąpienia czynności ratunkowych (monitorowanie co ok. 5'/24h) w postaci : SAMPLE, AVPU, GCG, RTS, DTLS, wywiad; badanie przedmiotowe: obserwacja, obmacywanie, opłukiwanie, osłuchowe, drżenie głosowe, oglądanie; badanie podstawowych parametrów życiowych : ciśnienie tętnicze, tętno, saturacja, ciśnienie tętna, częstość oddechów, ciepłota ciała, eTCO2, cechy tętna, formy zaburzeń oddychania, kolorymetria, kapnometria, glukoza*, </w:t>
      </w:r>
      <w:proofErr w:type="spellStart"/>
      <w:r>
        <w:rPr>
          <w:rFonts w:eastAsia="Times New Roman"/>
        </w:rPr>
        <w:t>ekg</w:t>
      </w:r>
      <w:proofErr w:type="spellEnd"/>
      <w:r>
        <w:rPr>
          <w:rFonts w:eastAsia="Times New Roman"/>
        </w:rPr>
        <w:t xml:space="preserve">*, skala </w:t>
      </w:r>
      <w:proofErr w:type="spellStart"/>
      <w:r>
        <w:rPr>
          <w:rFonts w:eastAsia="Times New Roman"/>
        </w:rPr>
        <w:t>Barthel</w:t>
      </w:r>
      <w:proofErr w:type="spellEnd"/>
      <w:r>
        <w:rPr>
          <w:rFonts w:eastAsia="Times New Roman"/>
        </w:rPr>
        <w:t xml:space="preserve"> i kategorii </w:t>
      </w:r>
      <w:proofErr w:type="spellStart"/>
      <w:r>
        <w:rPr>
          <w:rFonts w:eastAsia="Times New Roman"/>
        </w:rPr>
        <w:t>pielegnowania</w:t>
      </w:r>
      <w:proofErr w:type="spellEnd"/>
      <w:r>
        <w:rPr>
          <w:rFonts w:eastAsia="Times New Roman"/>
        </w:rPr>
        <w:t xml:space="preserve"> oraz segregacji oddziałowej </w:t>
      </w:r>
      <w:proofErr w:type="spellStart"/>
      <w:r>
        <w:rPr>
          <w:rFonts w:eastAsia="Times New Roman"/>
        </w:rPr>
        <w:t>trage</w:t>
      </w:r>
      <w:proofErr w:type="spellEnd"/>
      <w:r>
        <w:rPr>
          <w:rFonts w:eastAsia="Times New Roman"/>
        </w:rPr>
        <w:t>/</w:t>
      </w:r>
      <w:proofErr w:type="spellStart"/>
      <w:r>
        <w:rPr>
          <w:rFonts w:eastAsia="Times New Roman"/>
        </w:rPr>
        <w:t>retriage</w:t>
      </w:r>
      <w:proofErr w:type="spellEnd"/>
      <w:r>
        <w:rPr>
          <w:rFonts w:eastAsia="Times New Roman"/>
        </w:rPr>
        <w:t>*</w:t>
      </w:r>
      <w:r>
        <w:rPr>
          <w:rFonts w:eastAsia="Times New Roman"/>
        </w:rPr>
        <w:br/>
      </w:r>
      <w:r>
        <w:rPr>
          <w:rFonts w:eastAsia="Times New Roman"/>
        </w:rPr>
        <w:lastRenderedPageBreak/>
        <w:t xml:space="preserve">101.68 - monitorowanie pacjenta zorganizowany sposób obserwacji, zwykle ciągły i długoterminowy, przy pomocy kamery, </w:t>
      </w:r>
      <w:proofErr w:type="spellStart"/>
      <w:r>
        <w:rPr>
          <w:rFonts w:eastAsia="Times New Roman"/>
        </w:rPr>
        <w:t>wideorejestratora</w:t>
      </w:r>
      <w:proofErr w:type="spellEnd"/>
      <w:r>
        <w:rPr>
          <w:rFonts w:eastAsia="Times New Roman"/>
        </w:rPr>
        <w:t xml:space="preserve"> lub urządzeń pomiarowych lub stały nadzór i kontrola </w:t>
      </w:r>
      <w:r>
        <w:rPr>
          <w:rFonts w:eastAsia="Times New Roman"/>
        </w:rPr>
        <w:br/>
        <w:t xml:space="preserve">Źródło monitorowanie : SJP / </w:t>
      </w:r>
      <w:proofErr w:type="spellStart"/>
      <w:r>
        <w:rPr>
          <w:rFonts w:eastAsia="Times New Roman"/>
        </w:rPr>
        <w:t>wikipedia</w:t>
      </w:r>
      <w:proofErr w:type="spellEnd"/>
      <w:r>
        <w:rPr>
          <w:rFonts w:eastAsia="Times New Roman"/>
        </w:rPr>
        <w:t xml:space="preserve"> </w:t>
      </w:r>
      <w:r>
        <w:rPr>
          <w:rFonts w:eastAsia="Times New Roman"/>
        </w:rPr>
        <w:br/>
        <w:t xml:space="preserve">101.69 - monitorowanie pacjenta przez dozór monitoringu oddziałowego, salowego lub kompleksu szpitalnego </w:t>
      </w:r>
      <w:r>
        <w:rPr>
          <w:rFonts w:eastAsia="Times New Roman"/>
        </w:rPr>
        <w:br/>
        <w:t xml:space="preserve">101.70 - monitorowanie pacjenta poprzez centralę monitorującą </w:t>
      </w:r>
      <w:r>
        <w:rPr>
          <w:rFonts w:eastAsia="Times New Roman"/>
        </w:rPr>
        <w:br/>
        <w:t xml:space="preserve">101.71 - podgląd zrzutu kardiomonitora na innym kardiomonitorze wszystkich pacjentów, centrali monitorującej lub innym urządzeniu elektronicznym </w:t>
      </w:r>
      <w:r>
        <w:rPr>
          <w:rFonts w:eastAsia="Times New Roman"/>
        </w:rPr>
        <w:br/>
      </w:r>
      <w:r>
        <w:rPr>
          <w:rFonts w:eastAsia="Times New Roman"/>
        </w:rPr>
        <w:br/>
        <w:t>Rozdział II - w zakresie Ministerstwa Zdrowia</w:t>
      </w:r>
      <w:r>
        <w:rPr>
          <w:rFonts w:eastAsia="Times New Roman"/>
        </w:rPr>
        <w:br/>
        <w:t xml:space="preserve">1. Likwidacja Narodowego Funduszu Zdrowia </w:t>
      </w:r>
      <w:r>
        <w:rPr>
          <w:rFonts w:eastAsia="Times New Roman"/>
        </w:rPr>
        <w:br/>
        <w:t xml:space="preserve">1) zadanie ubezpieczenia zdrowotnego i składek przyjmuje Departament Ubezpieczeń Zdrowotnych Ministerstwa Zdrowia oraz Ośrodki Pomocy Społecznej </w:t>
      </w:r>
      <w:r>
        <w:rPr>
          <w:rFonts w:eastAsia="Times New Roman"/>
        </w:rPr>
        <w:br/>
        <w:t xml:space="preserve">2) umowy na świadczenie usług medycznych przyjmują Wydziały Zdrowia : podmiotu tworzącego, wojewodowie i Minister Zdrowia </w:t>
      </w:r>
      <w:r>
        <w:rPr>
          <w:rFonts w:eastAsia="Times New Roman"/>
        </w:rPr>
        <w:br/>
        <w:t xml:space="preserve">3) nadzór i kontrola przyjmują Wydziały Mienia </w:t>
      </w:r>
      <w:proofErr w:type="spellStart"/>
      <w:r>
        <w:rPr>
          <w:rFonts w:eastAsia="Times New Roman"/>
        </w:rPr>
        <w:t>Własnosciowego</w:t>
      </w:r>
      <w:proofErr w:type="spellEnd"/>
      <w:r>
        <w:rPr>
          <w:rFonts w:eastAsia="Times New Roman"/>
        </w:rPr>
        <w:t xml:space="preserve"> i Kontroli podmiotu tworzącego, wojewodowie i Minister Zdrowia </w:t>
      </w:r>
      <w:r>
        <w:rPr>
          <w:rFonts w:eastAsia="Times New Roman"/>
        </w:rPr>
        <w:br/>
      </w:r>
      <w:r>
        <w:rPr>
          <w:rFonts w:eastAsia="Times New Roman"/>
        </w:rPr>
        <w:br/>
        <w:t xml:space="preserve">Rozdział III w zakresie : Ministerstwa Rolnictwa i Ministerstwa Pracy </w:t>
      </w:r>
      <w:r>
        <w:rPr>
          <w:rFonts w:eastAsia="Times New Roman"/>
        </w:rPr>
        <w:br/>
        <w:t xml:space="preserve">1. Likwidacja Zakładu Ubezpieczeń Społecznych </w:t>
      </w:r>
      <w:r>
        <w:rPr>
          <w:rFonts w:eastAsia="Times New Roman"/>
        </w:rPr>
        <w:br/>
        <w:t>2. Likwidacja Koła Rolniczego Ubezpieczenia Społecznego</w:t>
      </w:r>
      <w:r>
        <w:rPr>
          <w:rFonts w:eastAsia="Times New Roman"/>
        </w:rPr>
        <w:br/>
        <w:t>3. Likwidacja Zakładu Rentowo-Emerytalnego MSWIA</w:t>
      </w:r>
      <w:r>
        <w:rPr>
          <w:rFonts w:eastAsia="Times New Roman"/>
        </w:rPr>
        <w:br/>
        <w:t xml:space="preserve">1) zadania rentowe przyjmują : Ośrodki Pomocy Społecznej w zakresie osób z niepełnosprawnością, Wydziały Ubezpieczeń Społecznych Wojewody, które przekazują środki do zakładów pracy rencisty lub emeryta lub przekazują środki bezpośrednio </w:t>
      </w:r>
      <w:r>
        <w:rPr>
          <w:rFonts w:eastAsia="Times New Roman"/>
        </w:rPr>
        <w:br/>
        <w:t xml:space="preserve">2) na orzeczeniu rentowym orzecznik lub lekarz medycyny pracy, lekarz rodzinny określa niezdolność: </w:t>
      </w:r>
      <w:r>
        <w:rPr>
          <w:rFonts w:eastAsia="Times New Roman"/>
        </w:rPr>
        <w:br/>
        <w:t xml:space="preserve">1)) stałą (całkowitą) </w:t>
      </w:r>
      <w:r>
        <w:rPr>
          <w:rFonts w:eastAsia="Times New Roman"/>
        </w:rPr>
        <w:br/>
        <w:t xml:space="preserve">2)) czasową (przekwalifikowania okres, deficyt i </w:t>
      </w:r>
      <w:proofErr w:type="spellStart"/>
      <w:r>
        <w:rPr>
          <w:rFonts w:eastAsia="Times New Roman"/>
        </w:rPr>
        <w:t>nadzwyżka</w:t>
      </w:r>
      <w:proofErr w:type="spellEnd"/>
      <w:r>
        <w:rPr>
          <w:rFonts w:eastAsia="Times New Roman"/>
        </w:rPr>
        <w:t xml:space="preserve"> etatów i grup zawodowych w okolicy i ofert pracy oraz wolnych etatów czy zakładów chronionych czy na danym zawodzie wyuczonym)</w:t>
      </w:r>
      <w:r>
        <w:rPr>
          <w:rFonts w:eastAsia="Times New Roman"/>
        </w:rPr>
        <w:br/>
        <w:t xml:space="preserve">3)) czasową (problemy rodzinne, wykluczenia komunikacyjnego </w:t>
      </w:r>
      <w:proofErr w:type="spellStart"/>
      <w:r>
        <w:rPr>
          <w:rFonts w:eastAsia="Times New Roman"/>
        </w:rPr>
        <w:t>itd</w:t>
      </w:r>
      <w:proofErr w:type="spellEnd"/>
      <w:r>
        <w:rPr>
          <w:rFonts w:eastAsia="Times New Roman"/>
        </w:rPr>
        <w:t xml:space="preserve">) </w:t>
      </w:r>
      <w:r>
        <w:rPr>
          <w:rFonts w:eastAsia="Times New Roman"/>
        </w:rPr>
        <w:br/>
        <w:t xml:space="preserve">4)) czasowo-stałą (rokowania i stopień niepełnosprawności) </w:t>
      </w:r>
      <w:r>
        <w:rPr>
          <w:rFonts w:eastAsia="Times New Roman"/>
        </w:rPr>
        <w:br/>
        <w:t xml:space="preserve">5)) czasową (macierzyństwo, </w:t>
      </w:r>
      <w:proofErr w:type="spellStart"/>
      <w:r>
        <w:rPr>
          <w:rFonts w:eastAsia="Times New Roman"/>
        </w:rPr>
        <w:t>tacierzyństwo</w:t>
      </w:r>
      <w:proofErr w:type="spellEnd"/>
      <w:r>
        <w:rPr>
          <w:rFonts w:eastAsia="Times New Roman"/>
        </w:rPr>
        <w:t xml:space="preserve">, opieka) </w:t>
      </w:r>
      <w:r>
        <w:rPr>
          <w:rFonts w:eastAsia="Times New Roman"/>
        </w:rPr>
        <w:br/>
        <w:t xml:space="preserve">6)) okresową (posiadane zaświadczenie ZUS ZZA o niezdolności do pracy) </w:t>
      </w:r>
      <w:r>
        <w:rPr>
          <w:rFonts w:eastAsia="Times New Roman"/>
        </w:rPr>
        <w:br/>
        <w:t xml:space="preserve">7)) stało-czasową (posiadanie chorób zawodowych, cywilizacyjnych, przewlekłych w związku z zatrudnieniem i bez) </w:t>
      </w:r>
      <w:r>
        <w:rPr>
          <w:rFonts w:eastAsia="Times New Roman"/>
        </w:rPr>
        <w:br/>
        <w:t xml:space="preserve">8)) stało-czasową (kwalifikacja wojskowa) </w:t>
      </w:r>
      <w:r>
        <w:rPr>
          <w:rFonts w:eastAsia="Times New Roman"/>
        </w:rPr>
        <w:br/>
        <w:t>9)) łączną w/w</w:t>
      </w:r>
      <w:r>
        <w:rPr>
          <w:rFonts w:eastAsia="Times New Roman"/>
        </w:rPr>
        <w:br/>
        <w:t xml:space="preserve">3) Kierownik Wydziału Ubezpieczeń Społecznych lub były pracodawca może przyznać rentę wbrew orzeczeniu jeśli uzna to za zasadne </w:t>
      </w:r>
      <w:r>
        <w:rPr>
          <w:rFonts w:eastAsia="Times New Roman"/>
        </w:rPr>
        <w:br/>
        <w:t>4) Kierownik Wydziału Ubezpieczeń Społecznych lub były pracodawca może przyznać w drodze wyjątku świadczenie lub w drodze specjalnej świadczenie przysługujące dawniej Prezesowi Rady Ministrów i Prezesowi ZUS / KRUS</w:t>
      </w:r>
      <w:r>
        <w:rPr>
          <w:rFonts w:eastAsia="Times New Roman"/>
        </w:rPr>
        <w:br/>
        <w:t xml:space="preserve">5) Obliczaniem składek zajmuje się Wydział Ubezpieczeń Społecznych i były pracodawca na podstawie Instytutu Pracy i Polityki Społecznej   </w:t>
      </w:r>
      <w:r>
        <w:rPr>
          <w:rFonts w:eastAsia="Times New Roman"/>
        </w:rPr>
        <w:br/>
      </w:r>
      <w:r>
        <w:rPr>
          <w:rFonts w:eastAsia="Times New Roman"/>
        </w:rPr>
        <w:br/>
      </w:r>
      <w:r>
        <w:rPr>
          <w:rFonts w:eastAsia="Times New Roman"/>
        </w:rPr>
        <w:br/>
        <w:t>Adnotacje:</w:t>
      </w:r>
      <w:r>
        <w:rPr>
          <w:rFonts w:eastAsia="Times New Roman"/>
        </w:rPr>
        <w:br/>
        <w:t xml:space="preserve">1.Zgodnie z art. 4 ust. 1 i ust. 5, art. 13 ust. 1 ustawy o petycjach z dnia 11 lipca 2014 roku (tj. Dz. U. </w:t>
      </w:r>
      <w:r>
        <w:rPr>
          <w:rFonts w:eastAsia="Times New Roman"/>
        </w:rPr>
        <w:lastRenderedPageBreak/>
        <w:t>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w odpowiedzi zwrotnej celem sprawniejszej wymianie informacji w danej sprawie.</w:t>
      </w:r>
      <w:r>
        <w:rPr>
          <w:rFonts w:eastAsia="Times New Roman"/>
        </w:rP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Pr>
          <w:rFonts w:eastAsia="Times New Roman"/>
        </w:rPr>
        <w:br/>
        <w:t xml:space="preserve">7. W przypadku opublikowania danych osobowych zawartych w petycji (imienia, nazwiska, adresu, miejscowości sporządzenia, adresu e-mailowego) zostanie złożona skarga do Prezesa Urzędu Ochrony Danych Osobowych na mocy art. 33 i 34 RODO oraz mogę rozważyć inicjację postępowania </w:t>
      </w:r>
      <w:proofErr w:type="spellStart"/>
      <w:r>
        <w:rPr>
          <w:rFonts w:eastAsia="Times New Roman"/>
        </w:rPr>
        <w:t>skargowego,sądowo</w:t>
      </w:r>
      <w:proofErr w:type="spellEnd"/>
      <w:r>
        <w:rPr>
          <w:rFonts w:eastAsia="Times New Roman"/>
        </w:rPr>
        <w:t xml:space="preserve">-odszkodowawczego z art. 415 </w:t>
      </w:r>
      <w:proofErr w:type="spellStart"/>
      <w:r>
        <w:rPr>
          <w:rFonts w:eastAsia="Times New Roman"/>
        </w:rPr>
        <w:t>kc</w:t>
      </w:r>
      <w:proofErr w:type="spellEnd"/>
      <w:r>
        <w:rPr>
          <w:rFonts w:eastAsia="Times New Roman"/>
        </w:rPr>
        <w:t xml:space="preserve">, art. 416 </w:t>
      </w:r>
      <w:proofErr w:type="spellStart"/>
      <w:r>
        <w:rPr>
          <w:rFonts w:eastAsia="Times New Roman"/>
        </w:rPr>
        <w:t>kc</w:t>
      </w:r>
      <w:proofErr w:type="spellEnd"/>
      <w:r>
        <w:rPr>
          <w:rFonts w:eastAsia="Times New Roman"/>
        </w:rPr>
        <w:t xml:space="preserve">, art. 417 kc,190a kk, 231 kk za niedopełnienie obowiązków służbowo-zawodowych, które doprowadziło do naruszenia prywatności, a więc do związku </w:t>
      </w:r>
      <w:proofErr w:type="spellStart"/>
      <w:r>
        <w:rPr>
          <w:rFonts w:eastAsia="Times New Roman"/>
        </w:rPr>
        <w:t>przyczynowo-skutkowego</w:t>
      </w:r>
      <w:proofErr w:type="spellEnd"/>
      <w:r>
        <w:rPr>
          <w:rFonts w:eastAsia="Times New Roman"/>
        </w:rPr>
        <w:t>.</w:t>
      </w:r>
      <w:r>
        <w:rPr>
          <w:rFonts w:eastAsia="Times New Roman"/>
        </w:rPr>
        <w:br/>
        <w:t>8. Proszę o podanie kategorii archiwalnej pisma w odpowiedzi zwrotnej.</w:t>
      </w:r>
      <w:r>
        <w:rPr>
          <w:rFonts w:eastAsia="Times New Roman"/>
        </w:rPr>
        <w:br/>
      </w:r>
      <w:r>
        <w:rPr>
          <w:rFonts w:eastAsia="Times New Roman"/>
        </w:rPr>
        <w:br/>
        <w:t>Z poważaniem,</w:t>
      </w:r>
      <w:r>
        <w:rPr>
          <w:rFonts w:eastAsia="Times New Roman"/>
        </w:rPr>
        <w:br/>
      </w:r>
      <w:r>
        <w:t>XXXX XXXXXX</w:t>
      </w:r>
    </w:p>
    <w:sectPr w:rsidR="00362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F4"/>
    <w:rsid w:val="00362EA8"/>
    <w:rsid w:val="005740F4"/>
    <w:rsid w:val="00AA0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BE9B"/>
  <w15:chartTrackingRefBased/>
  <w15:docId w15:val="{34D6AD29-5965-468A-8446-AA07941C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74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townikmed.pl/czynnosci/czynnosci_ocena_stanu_pacjenta.html" TargetMode="External"/><Relationship Id="rId4" Type="http://schemas.openxmlformats.org/officeDocument/2006/relationships/hyperlink" Target="mailto:inicjatorka.spoleczna@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1728</Words>
  <Characters>10368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Wilkoszewska Ewa</dc:creator>
  <cp:keywords/>
  <dc:description/>
  <cp:lastModifiedBy>Wilkoszewska Ewa</cp:lastModifiedBy>
  <cp:revision>1</cp:revision>
  <dcterms:created xsi:type="dcterms:W3CDTF">2021-04-12T12:17:00Z</dcterms:created>
  <dcterms:modified xsi:type="dcterms:W3CDTF">2021-04-12T12:54:00Z</dcterms:modified>
</cp:coreProperties>
</file>