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EA6A" w14:textId="77777777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E6CC743" w14:textId="61F91209" w:rsidR="00D95A8F" w:rsidRPr="001712F7" w:rsidRDefault="00D95A8F" w:rsidP="001712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2F7">
        <w:rPr>
          <w:rFonts w:ascii="Times New Roman" w:hAnsi="Times New Roman" w:cs="Times New Roman"/>
          <w:b/>
          <w:bCs/>
          <w:sz w:val="28"/>
          <w:szCs w:val="28"/>
        </w:rPr>
        <w:t xml:space="preserve">Prawo do sądu w postępowaniu cywilnym, w aspekcie korzystania </w:t>
      </w:r>
      <w:r w:rsidR="006E323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12F7">
        <w:rPr>
          <w:rFonts w:ascii="Times New Roman" w:hAnsi="Times New Roman" w:cs="Times New Roman"/>
          <w:b/>
          <w:bCs/>
          <w:sz w:val="28"/>
          <w:szCs w:val="28"/>
        </w:rPr>
        <w:t>z pomocy pełnomocnika z urzędu</w:t>
      </w:r>
    </w:p>
    <w:p w14:paraId="0A0D48FD" w14:textId="77777777" w:rsidR="001712F7" w:rsidRDefault="001712F7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5646F66" w14:textId="1FEC6818" w:rsidR="001712F7" w:rsidRPr="001712F7" w:rsidRDefault="001712F7" w:rsidP="001712F7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712F7">
        <w:rPr>
          <w:rFonts w:ascii="Times New Roman" w:hAnsi="Times New Roman" w:cs="Times New Roman"/>
          <w:b/>
          <w:bCs/>
          <w:sz w:val="23"/>
          <w:szCs w:val="23"/>
        </w:rPr>
        <w:t>I.</w:t>
      </w:r>
    </w:p>
    <w:p w14:paraId="113FA407" w14:textId="4F08A8CA" w:rsidR="00D95A8F" w:rsidRPr="001712F7" w:rsidRDefault="00D95A8F" w:rsidP="001712F7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712F7">
        <w:rPr>
          <w:rFonts w:ascii="Times New Roman" w:hAnsi="Times New Roman" w:cs="Times New Roman"/>
          <w:b/>
          <w:bCs/>
          <w:sz w:val="23"/>
          <w:szCs w:val="23"/>
        </w:rPr>
        <w:t>Zasady ogólne</w:t>
      </w:r>
    </w:p>
    <w:p w14:paraId="1192DB74" w14:textId="77777777" w:rsidR="001712F7" w:rsidRPr="001712F7" w:rsidRDefault="001712F7" w:rsidP="001712F7"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1845883" w14:textId="2B35C281" w:rsidR="00D95A8F" w:rsidRPr="00D95A8F" w:rsidRDefault="00D95A8F" w:rsidP="00974A81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74A81">
        <w:rPr>
          <w:rFonts w:ascii="Times New Roman" w:hAnsi="Times New Roman" w:cs="Times New Roman"/>
          <w:b/>
          <w:bCs/>
          <w:sz w:val="23"/>
          <w:szCs w:val="23"/>
        </w:rPr>
        <w:t xml:space="preserve">Celem Konwencji jest gwarancja wykonywania praw w sposób praktyczny </w:t>
      </w:r>
      <w:r w:rsidR="006E3239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974A81">
        <w:rPr>
          <w:rFonts w:ascii="Times New Roman" w:hAnsi="Times New Roman" w:cs="Times New Roman"/>
          <w:b/>
          <w:bCs/>
          <w:sz w:val="23"/>
          <w:szCs w:val="23"/>
        </w:rPr>
        <w:t>i skuteczny</w:t>
      </w:r>
      <w:r w:rsidRPr="00974A81">
        <w:rPr>
          <w:rFonts w:ascii="Times New Roman" w:hAnsi="Times New Roman" w:cs="Times New Roman"/>
          <w:sz w:val="23"/>
          <w:szCs w:val="23"/>
        </w:rPr>
        <w:t>.</w:t>
      </w:r>
      <w:r w:rsidR="00974A81">
        <w:rPr>
          <w:rFonts w:ascii="Times New Roman" w:hAnsi="Times New Roman" w:cs="Times New Roman"/>
          <w:sz w:val="23"/>
          <w:szCs w:val="23"/>
        </w:rPr>
        <w:t xml:space="preserve"> </w:t>
      </w:r>
      <w:r w:rsidRPr="00D95A8F">
        <w:rPr>
          <w:rFonts w:ascii="Times New Roman" w:hAnsi="Times New Roman" w:cs="Times New Roman"/>
          <w:sz w:val="23"/>
          <w:szCs w:val="23"/>
        </w:rPr>
        <w:t>Zasada ta ma szczególne zastosowanie wobec prawa dostępu do sądu, biorąc pod uwagę wyjątkową pozycję, jaką w państwach demokratycznych zajmuje prawo do rzetelnego procesu sądowego</w:t>
      </w:r>
      <w:r w:rsidR="00D7017C" w:rsidRPr="00A41E2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"/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5D448DBA" w14:textId="7C9245C4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Zgodnie z Konwencją, </w:t>
      </w:r>
      <w:r w:rsidRPr="00974A81">
        <w:rPr>
          <w:rFonts w:ascii="Times New Roman" w:hAnsi="Times New Roman" w:cs="Times New Roman"/>
          <w:b/>
          <w:bCs/>
          <w:sz w:val="23"/>
          <w:szCs w:val="23"/>
        </w:rPr>
        <w:t>na Układających się Stronach Konwencji nie ciąży obowiązek, aby zapewnić dostęp do pomocy prawnej w każdym postępowaniu cywilnym</w:t>
      </w:r>
      <w:r w:rsidRPr="00974A81">
        <w:rPr>
          <w:rFonts w:ascii="Times New Roman" w:hAnsi="Times New Roman" w:cs="Times New Roman"/>
          <w:sz w:val="23"/>
          <w:szCs w:val="23"/>
        </w:rPr>
        <w:t>.</w:t>
      </w:r>
      <w:r w:rsidRPr="00D95A8F">
        <w:rPr>
          <w:rFonts w:ascii="Times New Roman" w:hAnsi="Times New Roman" w:cs="Times New Roman"/>
          <w:sz w:val="23"/>
          <w:szCs w:val="23"/>
        </w:rPr>
        <w:t xml:space="preserve"> Według Trybunału, zachodzi bowiem różnica pomiędzy treścią Artykułu 6 § 3(c) Konwencji a treścią Artykułu 6 § 1 Konwencji</w:t>
      </w:r>
      <w:r w:rsidR="00D7017C" w:rsidRPr="00A41E2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2"/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29FE073E" w14:textId="744F4D03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Kluczowym jest jednak, aby zarówno w postępowaniu karnym jak i cywilnym, </w:t>
      </w:r>
      <w:r w:rsidRPr="00974A81">
        <w:rPr>
          <w:rFonts w:ascii="Times New Roman" w:hAnsi="Times New Roman" w:cs="Times New Roman"/>
          <w:b/>
          <w:bCs/>
          <w:sz w:val="23"/>
          <w:szCs w:val="23"/>
        </w:rPr>
        <w:t>strona nie była pozbawiona możliwości przedstawienia swoich racji przed sądem</w:t>
      </w:r>
      <w:r w:rsidRPr="00D95A8F">
        <w:rPr>
          <w:rFonts w:ascii="Times New Roman" w:hAnsi="Times New Roman" w:cs="Times New Roman"/>
          <w:sz w:val="23"/>
          <w:szCs w:val="23"/>
        </w:rPr>
        <w:t xml:space="preserve">, oraz </w:t>
      </w:r>
      <w:r w:rsidRPr="00974A81">
        <w:rPr>
          <w:rFonts w:ascii="Times New Roman" w:hAnsi="Times New Roman" w:cs="Times New Roman"/>
          <w:b/>
          <w:bCs/>
          <w:sz w:val="23"/>
          <w:szCs w:val="23"/>
        </w:rPr>
        <w:t>żeby uczestniczyła w procesie na równych warunkach co strona przeciwna</w:t>
      </w:r>
      <w:r w:rsidR="00D7017C" w:rsidRPr="00A41E2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3"/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116893DE" w14:textId="04DB09E7" w:rsidR="00D95A8F" w:rsidRPr="00D95A8F" w:rsidRDefault="00D95A8F" w:rsidP="00A41E2E">
      <w:pPr>
        <w:spacing w:before="10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 xml:space="preserve">Wobec tego, </w:t>
      </w:r>
      <w:r w:rsidRPr="00D7017C">
        <w:rPr>
          <w:rFonts w:ascii="Times New Roman" w:hAnsi="Times New Roman" w:cs="Times New Roman"/>
          <w:b/>
          <w:bCs/>
          <w:color w:val="C00000"/>
          <w:sz w:val="23"/>
          <w:szCs w:val="23"/>
        </w:rPr>
        <w:t>niezapewnienie pomocy prawnej może naruszać Artykuł 6 § 1 Konwencji, jeśli</w:t>
      </w:r>
      <w:r w:rsidRPr="00D95A8F">
        <w:rPr>
          <w:rFonts w:ascii="Times New Roman" w:hAnsi="Times New Roman" w:cs="Times New Roman"/>
          <w:sz w:val="23"/>
          <w:szCs w:val="23"/>
        </w:rPr>
        <w:t>:</w:t>
      </w:r>
    </w:p>
    <w:p w14:paraId="2B7C6831" w14:textId="77777777" w:rsidR="00A41E2E" w:rsidRPr="00876910" w:rsidRDefault="00D95A8F" w:rsidP="0087691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6910">
        <w:rPr>
          <w:rFonts w:ascii="Times New Roman" w:hAnsi="Times New Roman" w:cs="Times New Roman"/>
          <w:b/>
          <w:bCs/>
          <w:sz w:val="23"/>
          <w:szCs w:val="23"/>
        </w:rPr>
        <w:t>obecność pełnomocnika jest niezbędna dla zapewnienia skutecznego dostępu do sądu</w:t>
      </w:r>
      <w:r w:rsidRPr="00876910">
        <w:rPr>
          <w:rFonts w:ascii="Times New Roman" w:hAnsi="Times New Roman" w:cs="Times New Roman"/>
          <w:sz w:val="23"/>
          <w:szCs w:val="23"/>
        </w:rPr>
        <w:t xml:space="preserve"> (</w:t>
      </w:r>
      <w:r w:rsidRPr="00876910">
        <w:rPr>
          <w:rFonts w:ascii="Times New Roman" w:hAnsi="Times New Roman" w:cs="Times New Roman"/>
          <w:sz w:val="23"/>
          <w:szCs w:val="23"/>
          <w:u w:val="single"/>
        </w:rPr>
        <w:t>aspekt rzetelności</w:t>
      </w:r>
      <w:r w:rsidRPr="00876910">
        <w:rPr>
          <w:rFonts w:ascii="Times New Roman" w:hAnsi="Times New Roman" w:cs="Times New Roman"/>
          <w:sz w:val="23"/>
          <w:szCs w:val="23"/>
        </w:rPr>
        <w:t>), lub</w:t>
      </w:r>
      <w:r w:rsidR="00A41E2E" w:rsidRPr="0087691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9DB63D0" w14:textId="77777777" w:rsidR="00501AAD" w:rsidRPr="00876910" w:rsidRDefault="00D95A8F" w:rsidP="0087691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6910">
        <w:rPr>
          <w:rFonts w:ascii="Times New Roman" w:hAnsi="Times New Roman" w:cs="Times New Roman"/>
          <w:b/>
          <w:bCs/>
          <w:sz w:val="23"/>
          <w:szCs w:val="23"/>
        </w:rPr>
        <w:t>profesjonalna reprezentacja prawna jest we wskazanym postępowaniu krajowym uznana za obowiązkową</w:t>
      </w:r>
      <w:r w:rsidR="00A41E2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4"/>
      </w:r>
      <w:r w:rsidRPr="00876910">
        <w:rPr>
          <w:rFonts w:ascii="Times New Roman" w:hAnsi="Times New Roman" w:cs="Times New Roman"/>
          <w:sz w:val="23"/>
          <w:szCs w:val="23"/>
        </w:rPr>
        <w:t xml:space="preserve"> (</w:t>
      </w:r>
      <w:r w:rsidRPr="00876910">
        <w:rPr>
          <w:rFonts w:ascii="Times New Roman" w:hAnsi="Times New Roman" w:cs="Times New Roman"/>
          <w:sz w:val="23"/>
          <w:szCs w:val="23"/>
          <w:u w:val="single"/>
        </w:rPr>
        <w:t>aspekt dostępu do sądu</w:t>
      </w:r>
      <w:r w:rsidRPr="00876910">
        <w:rPr>
          <w:rFonts w:ascii="Times New Roman" w:hAnsi="Times New Roman" w:cs="Times New Roman"/>
          <w:sz w:val="23"/>
          <w:szCs w:val="23"/>
        </w:rPr>
        <w:t>).</w:t>
      </w:r>
    </w:p>
    <w:p w14:paraId="21795627" w14:textId="400415C5" w:rsidR="00FF339E" w:rsidRPr="00501AAD" w:rsidRDefault="00FF339E" w:rsidP="00501AAD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AFC869F" w14:textId="77777777" w:rsidR="00FF339E" w:rsidRPr="00FF339E" w:rsidRDefault="00FF339E" w:rsidP="00FF339E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F339E">
        <w:rPr>
          <w:rFonts w:ascii="Times New Roman" w:hAnsi="Times New Roman" w:cs="Times New Roman"/>
          <w:b/>
          <w:bCs/>
          <w:sz w:val="23"/>
          <w:szCs w:val="23"/>
        </w:rPr>
        <w:t>II.</w:t>
      </w:r>
    </w:p>
    <w:p w14:paraId="46EAE3F2" w14:textId="0688038A" w:rsidR="00D95A8F" w:rsidRPr="00FF339E" w:rsidRDefault="00D95A8F" w:rsidP="00FF339E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F339E">
        <w:rPr>
          <w:rFonts w:ascii="Times New Roman" w:hAnsi="Times New Roman" w:cs="Times New Roman"/>
          <w:b/>
          <w:bCs/>
          <w:sz w:val="23"/>
          <w:szCs w:val="23"/>
        </w:rPr>
        <w:t>Pomoc prawna a rzetelność postępowania cywilnego</w:t>
      </w:r>
    </w:p>
    <w:p w14:paraId="3C378338" w14:textId="77777777" w:rsidR="00D95A8F" w:rsidRPr="00D95A8F" w:rsidRDefault="00D95A8F" w:rsidP="00FF339E"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8B1E00C" w14:textId="0CA80C91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</w:r>
      <w:r w:rsidRPr="00FF339E">
        <w:rPr>
          <w:rFonts w:ascii="Times New Roman" w:hAnsi="Times New Roman" w:cs="Times New Roman"/>
          <w:b/>
          <w:bCs/>
          <w:sz w:val="23"/>
          <w:szCs w:val="23"/>
        </w:rPr>
        <w:t>Prawo dostępu do sądu nie jest absolutne i może podlegać ograniczeniom.</w:t>
      </w:r>
      <w:r w:rsidRPr="00D95A8F">
        <w:rPr>
          <w:rFonts w:ascii="Times New Roman" w:hAnsi="Times New Roman" w:cs="Times New Roman"/>
          <w:sz w:val="23"/>
          <w:szCs w:val="23"/>
        </w:rPr>
        <w:t xml:space="preserve"> Państwo może więc uzależnić udzielenie bezpłatnej pomocy prawnej od spełnienia </w:t>
      </w:r>
      <w:r w:rsidR="00FF339E" w:rsidRPr="00D95A8F">
        <w:rPr>
          <w:rFonts w:ascii="Times New Roman" w:hAnsi="Times New Roman" w:cs="Times New Roman"/>
          <w:sz w:val="23"/>
          <w:szCs w:val="23"/>
        </w:rPr>
        <w:t>pewnych</w:t>
      </w:r>
      <w:r w:rsidRPr="00D95A8F">
        <w:rPr>
          <w:rFonts w:ascii="Times New Roman" w:hAnsi="Times New Roman" w:cs="Times New Roman"/>
          <w:sz w:val="23"/>
          <w:szCs w:val="23"/>
        </w:rPr>
        <w:t xml:space="preserve"> warunków, takich jak ciężka </w:t>
      </w:r>
      <w:r w:rsidRPr="00501AAD">
        <w:rPr>
          <w:rFonts w:ascii="Times New Roman" w:hAnsi="Times New Roman" w:cs="Times New Roman"/>
          <w:b/>
          <w:bCs/>
          <w:sz w:val="23"/>
          <w:szCs w:val="23"/>
        </w:rPr>
        <w:t>sytuacja finansowa</w:t>
      </w:r>
      <w:r w:rsidRPr="00D95A8F">
        <w:rPr>
          <w:rFonts w:ascii="Times New Roman" w:hAnsi="Times New Roman" w:cs="Times New Roman"/>
          <w:sz w:val="23"/>
          <w:szCs w:val="23"/>
        </w:rPr>
        <w:t xml:space="preserve"> czy pozytywna </w:t>
      </w:r>
      <w:r w:rsidRPr="00501AAD">
        <w:rPr>
          <w:rFonts w:ascii="Times New Roman" w:hAnsi="Times New Roman" w:cs="Times New Roman"/>
          <w:b/>
          <w:bCs/>
          <w:sz w:val="23"/>
          <w:szCs w:val="23"/>
        </w:rPr>
        <w:t>ocena prawdopodobieństwa odniesienia sukcesu w postępowaniu</w:t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1AED0AFF" w14:textId="29225D26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lastRenderedPageBreak/>
        <w:tab/>
        <w:t>Trybunał wyraził kryteria istotne do oceny tego, czy obecność pełnomocnika była konieczna dla umożliwienia stronie - w sposób praktyczny i skuteczny - przedstawienia swojej sprawy</w:t>
      </w:r>
      <w:r w:rsidR="00F540B4" w:rsidRPr="00F540B4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5"/>
      </w:r>
      <w:r w:rsidRPr="00D95A8F">
        <w:rPr>
          <w:rFonts w:ascii="Times New Roman" w:hAnsi="Times New Roman" w:cs="Times New Roman"/>
          <w:sz w:val="23"/>
          <w:szCs w:val="23"/>
        </w:rPr>
        <w:t>. Są to kolejno:</w:t>
      </w:r>
    </w:p>
    <w:p w14:paraId="12CB9BED" w14:textId="2525C63D" w:rsidR="00D95A8F" w:rsidRPr="00F540B4" w:rsidRDefault="00D95A8F" w:rsidP="00F540B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540B4">
        <w:rPr>
          <w:rFonts w:ascii="Times New Roman" w:hAnsi="Times New Roman" w:cs="Times New Roman"/>
          <w:b/>
          <w:bCs/>
          <w:sz w:val="23"/>
          <w:szCs w:val="23"/>
        </w:rPr>
        <w:t>poziom złożoności procedury</w:t>
      </w:r>
      <w:r w:rsidRPr="00F540B4">
        <w:rPr>
          <w:rFonts w:ascii="Times New Roman" w:hAnsi="Times New Roman" w:cs="Times New Roman"/>
          <w:sz w:val="23"/>
          <w:szCs w:val="23"/>
        </w:rPr>
        <w:t>;</w:t>
      </w:r>
    </w:p>
    <w:p w14:paraId="28298AEC" w14:textId="43133303" w:rsidR="00D95A8F" w:rsidRPr="00F540B4" w:rsidRDefault="00D95A8F" w:rsidP="00F540B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540B4">
        <w:rPr>
          <w:rFonts w:ascii="Times New Roman" w:hAnsi="Times New Roman" w:cs="Times New Roman"/>
          <w:b/>
          <w:bCs/>
          <w:sz w:val="23"/>
          <w:szCs w:val="23"/>
        </w:rPr>
        <w:t>występowanie w sprawie skomplikowanych zagadnień prawnych</w:t>
      </w:r>
      <w:r w:rsidRPr="00F540B4">
        <w:rPr>
          <w:rFonts w:ascii="Times New Roman" w:hAnsi="Times New Roman" w:cs="Times New Roman"/>
          <w:sz w:val="23"/>
          <w:szCs w:val="23"/>
        </w:rPr>
        <w:t>;</w:t>
      </w:r>
    </w:p>
    <w:p w14:paraId="5CC33F92" w14:textId="4122B8DE" w:rsidR="00D95A8F" w:rsidRPr="00F540B4" w:rsidRDefault="00D95A8F" w:rsidP="00F540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540B4">
        <w:rPr>
          <w:rFonts w:ascii="Times New Roman" w:hAnsi="Times New Roman" w:cs="Times New Roman"/>
          <w:b/>
          <w:bCs/>
          <w:sz w:val="23"/>
          <w:szCs w:val="23"/>
        </w:rPr>
        <w:t>stopień emocjonalnego zaangażowania stron</w:t>
      </w:r>
      <w:r w:rsidR="00F540B4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6"/>
      </w:r>
      <w:r w:rsidRPr="00F540B4">
        <w:rPr>
          <w:rFonts w:ascii="Times New Roman" w:hAnsi="Times New Roman" w:cs="Times New Roman"/>
          <w:sz w:val="23"/>
          <w:szCs w:val="23"/>
        </w:rPr>
        <w:t>.</w:t>
      </w:r>
    </w:p>
    <w:p w14:paraId="496ABAF3" w14:textId="77777777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E92E03C" w14:textId="58893F00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</w:r>
      <w:r w:rsidRPr="0087682D">
        <w:rPr>
          <w:rFonts w:ascii="Times New Roman" w:hAnsi="Times New Roman" w:cs="Times New Roman"/>
          <w:b/>
          <w:bCs/>
          <w:sz w:val="23"/>
          <w:szCs w:val="23"/>
        </w:rPr>
        <w:t>Na Państwie</w:t>
      </w:r>
      <w:r w:rsidRPr="00D95A8F">
        <w:rPr>
          <w:rFonts w:ascii="Times New Roman" w:hAnsi="Times New Roman" w:cs="Times New Roman"/>
          <w:sz w:val="23"/>
          <w:szCs w:val="23"/>
        </w:rPr>
        <w:t xml:space="preserve"> </w:t>
      </w:r>
      <w:r w:rsidRPr="00F540B4">
        <w:rPr>
          <w:rFonts w:ascii="Times New Roman" w:hAnsi="Times New Roman" w:cs="Times New Roman"/>
          <w:b/>
          <w:bCs/>
          <w:sz w:val="23"/>
          <w:szCs w:val="23"/>
        </w:rPr>
        <w:t>nie spoczywa obowiązek zapewnienia całkowicie jednakowej jakości reprezentacji prawnej pomiędzy stronami</w:t>
      </w:r>
      <w:r w:rsidRPr="00D95A8F">
        <w:rPr>
          <w:rFonts w:ascii="Times New Roman" w:hAnsi="Times New Roman" w:cs="Times New Roman"/>
          <w:sz w:val="23"/>
          <w:szCs w:val="23"/>
        </w:rPr>
        <w:t xml:space="preserve">, z których jedna korzysta z bezpłatnej pomocy prawnej z urzędu. </w:t>
      </w:r>
      <w:r w:rsidRPr="00F540B4">
        <w:rPr>
          <w:rFonts w:ascii="Times New Roman" w:hAnsi="Times New Roman" w:cs="Times New Roman"/>
          <w:b/>
          <w:bCs/>
          <w:sz w:val="23"/>
          <w:szCs w:val="23"/>
        </w:rPr>
        <w:t>Musi jednakże zagwarantować stronom realną możliwość przedstawienia swoich racji, a żadna ze stron nie może znajdować się w znacznie gorszej sytuacji niż jej przeciwnik procesowy</w:t>
      </w:r>
      <w:r w:rsidR="0087682D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7"/>
      </w:r>
      <w:r w:rsidRPr="00F540B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A8DD4B8" w14:textId="06C10C6C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4B75DD4" w14:textId="77777777" w:rsidR="00F540B4" w:rsidRPr="00F540B4" w:rsidRDefault="00F540B4" w:rsidP="00F540B4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540B4">
        <w:rPr>
          <w:rFonts w:ascii="Times New Roman" w:hAnsi="Times New Roman" w:cs="Times New Roman"/>
          <w:b/>
          <w:bCs/>
          <w:sz w:val="23"/>
          <w:szCs w:val="23"/>
        </w:rPr>
        <w:t>III.</w:t>
      </w:r>
    </w:p>
    <w:p w14:paraId="3CB6A7AB" w14:textId="61D2F2BE" w:rsidR="00D95A8F" w:rsidRDefault="00D95A8F" w:rsidP="00F540B4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540B4">
        <w:rPr>
          <w:rFonts w:ascii="Times New Roman" w:hAnsi="Times New Roman" w:cs="Times New Roman"/>
          <w:b/>
          <w:bCs/>
          <w:sz w:val="23"/>
          <w:szCs w:val="23"/>
        </w:rPr>
        <w:t>Pomoc prawna a przymus adwokacko-radcowski</w:t>
      </w:r>
    </w:p>
    <w:p w14:paraId="2E5C60DA" w14:textId="77777777" w:rsidR="008C55DD" w:rsidRPr="00F540B4" w:rsidRDefault="008C55DD" w:rsidP="00F540B4">
      <w:pPr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AD531F1" w14:textId="54F35119" w:rsidR="008C55DD" w:rsidRPr="008C55DD" w:rsidRDefault="008C55DD" w:rsidP="007A795F">
      <w:pPr>
        <w:pStyle w:val="Akapitzlist"/>
        <w:numPr>
          <w:ilvl w:val="0"/>
          <w:numId w:val="11"/>
        </w:numPr>
        <w:spacing w:after="20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5C29">
        <w:rPr>
          <w:rFonts w:ascii="Times New Roman" w:hAnsi="Times New Roman" w:cs="Times New Roman"/>
          <w:b/>
          <w:bCs/>
          <w:sz w:val="23"/>
          <w:szCs w:val="23"/>
        </w:rPr>
        <w:t>Naruszenie Artykułu 6 § 1 Konwencji a</w:t>
      </w:r>
      <w:r w:rsidRPr="008C55DD">
        <w:rPr>
          <w:rFonts w:ascii="Times New Roman" w:hAnsi="Times New Roman" w:cs="Times New Roman"/>
          <w:b/>
          <w:bCs/>
          <w:sz w:val="23"/>
          <w:szCs w:val="23"/>
        </w:rPr>
        <w:t xml:space="preserve"> ustawowy wymóg sporządzenia skargi kasacyjnej przez profesjonalnego pełnomocnika procesowego</w:t>
      </w:r>
    </w:p>
    <w:p w14:paraId="211865BF" w14:textId="77777777" w:rsidR="00686506" w:rsidRDefault="00686506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ECC201" w14:textId="0AA21EFC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Skarga kasacyjna jest </w:t>
      </w:r>
      <w:r w:rsidRPr="00D974C1">
        <w:rPr>
          <w:rFonts w:ascii="Times New Roman" w:hAnsi="Times New Roman" w:cs="Times New Roman"/>
          <w:b/>
          <w:bCs/>
          <w:sz w:val="23"/>
          <w:szCs w:val="23"/>
        </w:rPr>
        <w:t>nadzwyczajnym środkiem zaskarżenia</w:t>
      </w:r>
      <w:r w:rsidRPr="00D95A8F">
        <w:rPr>
          <w:rFonts w:ascii="Times New Roman" w:hAnsi="Times New Roman" w:cs="Times New Roman"/>
          <w:sz w:val="23"/>
          <w:szCs w:val="23"/>
        </w:rPr>
        <w:t xml:space="preserve">, służącym do odwoływania się od </w:t>
      </w:r>
      <w:r w:rsidR="006E3239">
        <w:rPr>
          <w:rFonts w:ascii="Times New Roman" w:hAnsi="Times New Roman" w:cs="Times New Roman"/>
          <w:sz w:val="23"/>
          <w:szCs w:val="23"/>
        </w:rPr>
        <w:t>prawomocnie zakończonego</w:t>
      </w:r>
      <w:r w:rsidRPr="00D95A8F">
        <w:rPr>
          <w:rFonts w:ascii="Times New Roman" w:hAnsi="Times New Roman" w:cs="Times New Roman"/>
          <w:sz w:val="23"/>
          <w:szCs w:val="23"/>
        </w:rPr>
        <w:t xml:space="preserve"> postępowania przez sąd drugiej instancji. Ponieważ rozpoznawanie skarg kasacyjnych </w:t>
      </w:r>
      <w:r w:rsidRPr="00D974C1">
        <w:rPr>
          <w:rFonts w:ascii="Times New Roman" w:hAnsi="Times New Roman" w:cs="Times New Roman"/>
          <w:b/>
          <w:bCs/>
          <w:sz w:val="23"/>
          <w:szCs w:val="23"/>
        </w:rPr>
        <w:t>należy do wyłącznych kompetencji Sądu Najwyższego</w:t>
      </w:r>
      <w:r w:rsidRPr="00D95A8F">
        <w:rPr>
          <w:rFonts w:ascii="Times New Roman" w:hAnsi="Times New Roman" w:cs="Times New Roman"/>
          <w:sz w:val="23"/>
          <w:szCs w:val="23"/>
        </w:rPr>
        <w:t xml:space="preserve">, sporządzenie skargi kasacyjnej </w:t>
      </w:r>
      <w:r w:rsidRPr="00D974C1">
        <w:rPr>
          <w:rFonts w:ascii="Times New Roman" w:hAnsi="Times New Roman" w:cs="Times New Roman"/>
          <w:b/>
          <w:bCs/>
          <w:sz w:val="23"/>
          <w:szCs w:val="23"/>
        </w:rPr>
        <w:t>musi zostać dokonane przez odpowiednio wykwalifikowaną osobę</w:t>
      </w:r>
      <w:r w:rsidRPr="00D95A8F">
        <w:rPr>
          <w:rFonts w:ascii="Times New Roman" w:hAnsi="Times New Roman" w:cs="Times New Roman"/>
          <w:sz w:val="23"/>
          <w:szCs w:val="23"/>
        </w:rPr>
        <w:t>. Uzasadnione jest to potrzebą zapewnienia wysokiego poziomu pism procesowych kierowanych do najwyższej instancji sądowej w kraju.</w:t>
      </w:r>
    </w:p>
    <w:p w14:paraId="66FAFB7D" w14:textId="088B4E44" w:rsidR="006D17E7" w:rsidRPr="006D17E7" w:rsidRDefault="00D95A8F" w:rsidP="00D95A8F">
      <w:pPr>
        <w:spacing w:line="360" w:lineRule="auto"/>
        <w:jc w:val="both"/>
        <w:rPr>
          <w:rFonts w:ascii="Times New Roman" w:hAnsi="Times New Roman" w:cs="Times New Roman"/>
          <w:color w:val="C00000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</w:r>
      <w:r w:rsidRPr="00D974C1">
        <w:rPr>
          <w:rFonts w:ascii="Times New Roman" w:hAnsi="Times New Roman" w:cs="Times New Roman"/>
          <w:b/>
          <w:bCs/>
          <w:sz w:val="23"/>
          <w:szCs w:val="23"/>
        </w:rPr>
        <w:t>Takie rozwiązanie jest akceptowane przez Trybunał</w:t>
      </w:r>
      <w:r w:rsidR="00D974C1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8"/>
      </w:r>
      <w:r w:rsidRPr="00D95A8F">
        <w:rPr>
          <w:rFonts w:ascii="Times New Roman" w:hAnsi="Times New Roman" w:cs="Times New Roman"/>
          <w:sz w:val="23"/>
          <w:szCs w:val="23"/>
        </w:rPr>
        <w:t xml:space="preserve"> - wymóg ten jest całkowicie zgodny z charakterystyką działania Sądu Najwyższego, jako sądu najwyższej instancji, rozstrzygającego odwołania co do prawa. Wobec tego, </w:t>
      </w:r>
      <w:r w:rsidRPr="0045640E">
        <w:rPr>
          <w:rFonts w:ascii="Times New Roman" w:hAnsi="Times New Roman" w:cs="Times New Roman"/>
          <w:b/>
          <w:bCs/>
          <w:sz w:val="23"/>
          <w:szCs w:val="23"/>
        </w:rPr>
        <w:t xml:space="preserve">oczekiwanie, że strona będzie przed sądem kasacyjnym reprezentowana przez wykwalifikowanego pełnomocnika, </w:t>
      </w:r>
      <w:r w:rsidRPr="0045640E">
        <w:rPr>
          <w:rFonts w:ascii="Times New Roman" w:hAnsi="Times New Roman" w:cs="Times New Roman"/>
          <w:b/>
          <w:bCs/>
          <w:color w:val="C00000"/>
          <w:sz w:val="23"/>
          <w:szCs w:val="23"/>
        </w:rPr>
        <w:t xml:space="preserve">nie może być samo </w:t>
      </w:r>
      <w:r w:rsidR="006E3239">
        <w:rPr>
          <w:rFonts w:ascii="Times New Roman" w:hAnsi="Times New Roman" w:cs="Times New Roman"/>
          <w:b/>
          <w:bCs/>
          <w:color w:val="C00000"/>
          <w:sz w:val="23"/>
          <w:szCs w:val="23"/>
        </w:rPr>
        <w:br/>
      </w:r>
      <w:r w:rsidRPr="0045640E">
        <w:rPr>
          <w:rFonts w:ascii="Times New Roman" w:hAnsi="Times New Roman" w:cs="Times New Roman"/>
          <w:b/>
          <w:bCs/>
          <w:color w:val="C00000"/>
          <w:sz w:val="23"/>
          <w:szCs w:val="23"/>
        </w:rPr>
        <w:t>w sobie postrzegane jako sprzeczne z Artykułem 6 § 1 Konwencji</w:t>
      </w:r>
      <w:r w:rsidRPr="0045640E">
        <w:rPr>
          <w:rFonts w:ascii="Times New Roman" w:hAnsi="Times New Roman" w:cs="Times New Roman"/>
          <w:color w:val="C00000"/>
          <w:sz w:val="23"/>
          <w:szCs w:val="23"/>
        </w:rPr>
        <w:t>.</w:t>
      </w:r>
    </w:p>
    <w:p w14:paraId="03A9A608" w14:textId="77777777" w:rsid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6AB788C" w14:textId="2D6A82F7" w:rsidR="006D17E7" w:rsidRPr="006D17E7" w:rsidRDefault="006D17E7" w:rsidP="007A795F">
      <w:pPr>
        <w:pStyle w:val="Akapitzlist"/>
        <w:numPr>
          <w:ilvl w:val="0"/>
          <w:numId w:val="11"/>
        </w:numPr>
        <w:spacing w:after="200" w:line="36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7E5C29">
        <w:rPr>
          <w:rFonts w:ascii="Times New Roman" w:hAnsi="Times New Roman" w:cs="Times New Roman"/>
          <w:b/>
          <w:bCs/>
          <w:sz w:val="23"/>
          <w:szCs w:val="23"/>
        </w:rPr>
        <w:lastRenderedPageBreak/>
        <w:t>Naruszenie Artykułu 6 § 1 Konwencji 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D17E7">
        <w:rPr>
          <w:rFonts w:ascii="Times New Roman" w:hAnsi="Times New Roman" w:cs="Times New Roman"/>
          <w:b/>
          <w:bCs/>
          <w:sz w:val="23"/>
          <w:szCs w:val="23"/>
        </w:rPr>
        <w:t>prawo pełnomocnika procesowego z urzędu do odmowy sporządzenia i wniesienia skargi kasacyjnej</w:t>
      </w:r>
    </w:p>
    <w:p w14:paraId="7A6DFF08" w14:textId="77777777" w:rsidR="00686506" w:rsidRDefault="00686506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E53307D" w14:textId="634645D4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Według orzecznictwa Sądu Najwyższego, </w:t>
      </w:r>
      <w:r w:rsidRPr="0045640E">
        <w:rPr>
          <w:rFonts w:ascii="Times New Roman" w:hAnsi="Times New Roman" w:cs="Times New Roman"/>
          <w:i/>
          <w:iCs/>
          <w:sz w:val="23"/>
          <w:szCs w:val="23"/>
        </w:rPr>
        <w:t>adwokat nie jest wyłącznie ślepym wykonawcą udzielonych mu przez stronę zleceń, ale jest - i na tym głównie polega jego zadanie - jej doradcą prawnym</w:t>
      </w:r>
      <w:r w:rsidR="00F755B7" w:rsidRPr="0045640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9"/>
      </w:r>
      <w:r w:rsidRPr="00D95A8F">
        <w:rPr>
          <w:rFonts w:ascii="Times New Roman" w:hAnsi="Times New Roman" w:cs="Times New Roman"/>
          <w:sz w:val="23"/>
          <w:szCs w:val="23"/>
        </w:rPr>
        <w:t xml:space="preserve">, a </w:t>
      </w:r>
      <w:r w:rsidRPr="00F755B7">
        <w:rPr>
          <w:rFonts w:ascii="Times New Roman" w:hAnsi="Times New Roman" w:cs="Times New Roman"/>
          <w:i/>
          <w:iCs/>
          <w:sz w:val="23"/>
          <w:szCs w:val="23"/>
        </w:rPr>
        <w:t xml:space="preserve">adwokat ustanowiony przez sąd dla strony w postępowaniu cywilnym powinien </w:t>
      </w:r>
      <w:r w:rsidR="006E3239">
        <w:rPr>
          <w:rFonts w:ascii="Times New Roman" w:hAnsi="Times New Roman" w:cs="Times New Roman"/>
          <w:i/>
          <w:iCs/>
          <w:sz w:val="23"/>
          <w:szCs w:val="23"/>
        </w:rPr>
        <w:br/>
      </w:r>
      <w:r w:rsidRPr="00F755B7">
        <w:rPr>
          <w:rFonts w:ascii="Times New Roman" w:hAnsi="Times New Roman" w:cs="Times New Roman"/>
          <w:i/>
          <w:iCs/>
          <w:sz w:val="23"/>
          <w:szCs w:val="23"/>
        </w:rPr>
        <w:t>z pełnym wykorzystaniem wiedzy fachowej odpowiedzialnie ocenić, czy kasacja przysługuje i czy nie byłaby oczywiście bezzasadna</w:t>
      </w:r>
      <w:r w:rsidR="0045640E" w:rsidRPr="0045640E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0"/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2BA58582" w14:textId="689E5900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Wobec tego, </w:t>
      </w:r>
      <w:r w:rsidRPr="0045640E">
        <w:rPr>
          <w:rFonts w:ascii="Times New Roman" w:hAnsi="Times New Roman" w:cs="Times New Roman"/>
          <w:b/>
          <w:bCs/>
          <w:sz w:val="23"/>
          <w:szCs w:val="23"/>
        </w:rPr>
        <w:t>pomoc prawna udzielona stronie przez pełnomocnika ustanowionego dla niej z urzędu nie może się sprowadzić do bezwzględnego obowiązku sporządzenia kasacji</w:t>
      </w:r>
      <w:r w:rsidRPr="00D95A8F">
        <w:rPr>
          <w:rFonts w:ascii="Times New Roman" w:hAnsi="Times New Roman" w:cs="Times New Roman"/>
          <w:sz w:val="23"/>
          <w:szCs w:val="23"/>
        </w:rPr>
        <w:t xml:space="preserve">, </w:t>
      </w:r>
      <w:r w:rsidR="0045640E">
        <w:rPr>
          <w:rFonts w:ascii="Times New Roman" w:hAnsi="Times New Roman" w:cs="Times New Roman"/>
          <w:sz w:val="23"/>
          <w:szCs w:val="23"/>
        </w:rPr>
        <w:t xml:space="preserve">jeżeli </w:t>
      </w:r>
      <w:r w:rsidRPr="00D95A8F">
        <w:rPr>
          <w:rFonts w:ascii="Times New Roman" w:hAnsi="Times New Roman" w:cs="Times New Roman"/>
          <w:sz w:val="23"/>
          <w:szCs w:val="23"/>
        </w:rPr>
        <w:t xml:space="preserve">strona wyrazi tylko takie żądanie. </w:t>
      </w:r>
      <w:r w:rsidRPr="00E225BF">
        <w:rPr>
          <w:rFonts w:ascii="Times New Roman" w:hAnsi="Times New Roman" w:cs="Times New Roman"/>
          <w:sz w:val="23"/>
          <w:szCs w:val="23"/>
        </w:rPr>
        <w:t>Niniejsze stanowisko Sądu Najwyższego</w:t>
      </w:r>
      <w:r w:rsidRPr="00E225BF">
        <w:rPr>
          <w:rFonts w:ascii="Times New Roman" w:hAnsi="Times New Roman" w:cs="Times New Roman"/>
          <w:b/>
          <w:bCs/>
          <w:sz w:val="23"/>
          <w:szCs w:val="23"/>
        </w:rPr>
        <w:t xml:space="preserve"> zostało w pełni zaakceptowane przez Europejski Trybunał Praw Człowieka</w:t>
      </w:r>
      <w:r w:rsidR="00E225BF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1"/>
      </w:r>
      <w:r w:rsidRPr="00D95A8F">
        <w:rPr>
          <w:rFonts w:ascii="Times New Roman" w:hAnsi="Times New Roman" w:cs="Times New Roman"/>
          <w:sz w:val="23"/>
          <w:szCs w:val="23"/>
        </w:rPr>
        <w:t xml:space="preserve">. Stwierdził on także, że </w:t>
      </w:r>
      <w:r w:rsidRPr="00E225BF">
        <w:rPr>
          <w:rFonts w:ascii="Times New Roman" w:hAnsi="Times New Roman" w:cs="Times New Roman"/>
          <w:b/>
          <w:bCs/>
          <w:sz w:val="23"/>
          <w:szCs w:val="23"/>
        </w:rPr>
        <w:t>odmowa sporządzenia i wniesienia kasacji przez pełnomocnika ustanowionego z urzędu wyczerpuje obowiązek państwa do zapewnienia zainteresowanemu bezpłatnej pomocy prawnej, pod warunkiem zachowania należytej staranności w ocenie zasadności wniesienia skargi kasacyjnej.</w:t>
      </w:r>
      <w:r w:rsidRPr="00D95A8F">
        <w:rPr>
          <w:rFonts w:ascii="Times New Roman" w:hAnsi="Times New Roman" w:cs="Times New Roman"/>
          <w:sz w:val="23"/>
          <w:szCs w:val="23"/>
        </w:rPr>
        <w:t xml:space="preserve"> Dodatkowo, opinia w tej sprawie musi zostać sporządzona przez pełnomocnika na piśmie. Pełnomocnik jest zobowiązany do poinformowania strony o swoim stanowisku w tej samej formie.</w:t>
      </w:r>
    </w:p>
    <w:p w14:paraId="07FF870D" w14:textId="2CBCC067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Podsumowując, </w:t>
      </w:r>
      <w:r w:rsidRPr="00E225BF">
        <w:rPr>
          <w:rFonts w:ascii="Times New Roman" w:hAnsi="Times New Roman" w:cs="Times New Roman"/>
          <w:b/>
          <w:bCs/>
          <w:sz w:val="23"/>
          <w:szCs w:val="23"/>
        </w:rPr>
        <w:t xml:space="preserve">zarówno istnienie wymogu posiadania wykwalifikowanej reprezentacji prawnej w postępowaniu kasacyjnym, jak i prawa tejże reprezentacji do odmowy sporządzenia i wniesienia skargi kasacyjnej - </w:t>
      </w:r>
      <w:r w:rsidR="00E225BF" w:rsidRPr="00E225BF">
        <w:rPr>
          <w:rFonts w:ascii="Times New Roman" w:hAnsi="Times New Roman" w:cs="Times New Roman"/>
          <w:b/>
          <w:bCs/>
          <w:sz w:val="23"/>
          <w:szCs w:val="23"/>
        </w:rPr>
        <w:t>jeżeli</w:t>
      </w:r>
      <w:r w:rsidRPr="00E225BF">
        <w:rPr>
          <w:rFonts w:ascii="Times New Roman" w:hAnsi="Times New Roman" w:cs="Times New Roman"/>
          <w:b/>
          <w:bCs/>
          <w:sz w:val="23"/>
          <w:szCs w:val="23"/>
        </w:rPr>
        <w:t xml:space="preserve"> skarga taka byłaby niedopuszczalna lub oczywiście bezzasadna -</w:t>
      </w:r>
      <w:r w:rsidRPr="00D95A8F">
        <w:rPr>
          <w:rFonts w:ascii="Times New Roman" w:hAnsi="Times New Roman" w:cs="Times New Roman"/>
          <w:sz w:val="23"/>
          <w:szCs w:val="23"/>
        </w:rPr>
        <w:t xml:space="preserve"> </w:t>
      </w:r>
      <w:r w:rsidRPr="00E225BF">
        <w:rPr>
          <w:rFonts w:ascii="Times New Roman" w:hAnsi="Times New Roman" w:cs="Times New Roman"/>
          <w:b/>
          <w:bCs/>
          <w:color w:val="C00000"/>
          <w:sz w:val="23"/>
          <w:szCs w:val="23"/>
        </w:rPr>
        <w:t>nie narusza Artykułu 6 § 1 Konwencji</w:t>
      </w:r>
      <w:r w:rsidRPr="00D95A8F">
        <w:rPr>
          <w:rFonts w:ascii="Times New Roman" w:hAnsi="Times New Roman" w:cs="Times New Roman"/>
          <w:sz w:val="23"/>
          <w:szCs w:val="23"/>
        </w:rPr>
        <w:t>. Na Państwie spoczywa jednak pozytywny obowiązek prawidłowego zorganizowania systemu pomocy prawnej, w zakresie jego skuteczności i rzetelności; w szczególności zagwarantowanie spełnienia wymienionych wyżej wymogów jakościowych odmowy sporządzenia skargi kasacyjnej przez pełnomocnika procesowego z urzędu.</w:t>
      </w:r>
    </w:p>
    <w:p w14:paraId="33E0F5EA" w14:textId="5846E2C8" w:rsidR="00D95A8F" w:rsidRDefault="006C6768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14:paraId="4CD9DFF6" w14:textId="103CEF2C" w:rsidR="007A795F" w:rsidRPr="007A795F" w:rsidRDefault="007A795F" w:rsidP="007A795F">
      <w:pPr>
        <w:pStyle w:val="Akapitzlist"/>
        <w:numPr>
          <w:ilvl w:val="0"/>
          <w:numId w:val="11"/>
        </w:numPr>
        <w:spacing w:after="100" w:line="36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7E5C29">
        <w:rPr>
          <w:rFonts w:ascii="Times New Roman" w:hAnsi="Times New Roman" w:cs="Times New Roman"/>
          <w:b/>
          <w:bCs/>
          <w:sz w:val="23"/>
          <w:szCs w:val="23"/>
        </w:rPr>
        <w:lastRenderedPageBreak/>
        <w:t>Naruszenie Artykułu 6 § 1 Konwencji 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A795F">
        <w:rPr>
          <w:rFonts w:ascii="Times New Roman" w:hAnsi="Times New Roman" w:cs="Times New Roman"/>
          <w:b/>
          <w:bCs/>
          <w:sz w:val="23"/>
          <w:szCs w:val="23"/>
        </w:rPr>
        <w:t>czas sporządzenia opinii odmawiającej sporządzenia i wniesienia skargi kasacyjnej przez pełnomocnika procesowego z urzędu</w:t>
      </w:r>
    </w:p>
    <w:p w14:paraId="39EE6193" w14:textId="77777777" w:rsidR="00686506" w:rsidRDefault="00686506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820E11" w14:textId="6A61ED42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Termin do wniesienia skargi kasacyjnej biegnie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 xml:space="preserve">od dnia doręczenia pełnomocnikowi </w:t>
      </w:r>
      <w:r w:rsidR="006E3239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z urzędu orzeczenia wraz z uzasadnieniem</w:t>
      </w:r>
      <w:r w:rsidR="003258D1" w:rsidRPr="003258D1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2"/>
      </w:r>
      <w:r w:rsidRPr="00D95A8F">
        <w:rPr>
          <w:rFonts w:ascii="Times New Roman" w:hAnsi="Times New Roman" w:cs="Times New Roman"/>
          <w:sz w:val="23"/>
          <w:szCs w:val="23"/>
        </w:rPr>
        <w:t xml:space="preserve">, natomiast w przypadku oddalenia wniosku </w:t>
      </w:r>
      <w:r w:rsidR="006E3239">
        <w:rPr>
          <w:rFonts w:ascii="Times New Roman" w:hAnsi="Times New Roman" w:cs="Times New Roman"/>
          <w:sz w:val="23"/>
          <w:szCs w:val="23"/>
        </w:rPr>
        <w:br/>
      </w:r>
      <w:r w:rsidRPr="00D95A8F">
        <w:rPr>
          <w:rFonts w:ascii="Times New Roman" w:hAnsi="Times New Roman" w:cs="Times New Roman"/>
          <w:sz w:val="23"/>
          <w:szCs w:val="23"/>
        </w:rPr>
        <w:t xml:space="preserve">o ustanowienie pełnomocnika z urzędu -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 xml:space="preserve">od dnia doręczenia stronie postanowienia wraz </w:t>
      </w:r>
      <w:r w:rsidR="006E3239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z uzasadnieniem</w:t>
      </w:r>
      <w:r w:rsidRPr="00D95A8F">
        <w:rPr>
          <w:rFonts w:ascii="Times New Roman" w:hAnsi="Times New Roman" w:cs="Times New Roman"/>
          <w:sz w:val="23"/>
          <w:szCs w:val="23"/>
        </w:rPr>
        <w:t xml:space="preserve"> (odpowiednio: ogłoszenia, jeśli oddalenie nastąpiło na posiedzeniu jawnym). </w:t>
      </w:r>
      <w:r w:rsidR="006E3239">
        <w:rPr>
          <w:rFonts w:ascii="Times New Roman" w:hAnsi="Times New Roman" w:cs="Times New Roman"/>
          <w:sz w:val="23"/>
          <w:szCs w:val="23"/>
        </w:rPr>
        <w:br/>
      </w:r>
      <w:r w:rsidRPr="00D95A8F">
        <w:rPr>
          <w:rFonts w:ascii="Times New Roman" w:hAnsi="Times New Roman" w:cs="Times New Roman"/>
          <w:sz w:val="23"/>
          <w:szCs w:val="23"/>
        </w:rPr>
        <w:t xml:space="preserve">W przypadku jego nieskutecznego zaskarżenia, termin biegnie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od doręczenia stronie postanowienia sądu odwoławczego oddalającego zażalenie</w:t>
      </w:r>
      <w:r w:rsidR="003258D1" w:rsidRPr="003258D1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3"/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2E624EAF" w14:textId="7CEAD86C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Trybunał stwierdził, że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podejście sądów cywilnych</w:t>
      </w:r>
      <w:r w:rsidRPr="00D95A8F">
        <w:rPr>
          <w:rFonts w:ascii="Times New Roman" w:hAnsi="Times New Roman" w:cs="Times New Roman"/>
          <w:sz w:val="23"/>
          <w:szCs w:val="23"/>
        </w:rPr>
        <w:t xml:space="preserve"> do sposobu obliczania terminu na wniesienie skargi kasacyjnej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jest bardziej rygorystyczne</w:t>
      </w:r>
      <w:r w:rsidRPr="00D95A8F">
        <w:rPr>
          <w:rFonts w:ascii="Times New Roman" w:hAnsi="Times New Roman" w:cs="Times New Roman"/>
          <w:sz w:val="23"/>
          <w:szCs w:val="23"/>
        </w:rPr>
        <w:t xml:space="preserve"> niż podejście sądów karnych</w:t>
      </w:r>
      <w:r w:rsidR="003258D1" w:rsidRPr="003258D1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4"/>
      </w:r>
      <w:r w:rsidRPr="00D95A8F">
        <w:rPr>
          <w:rFonts w:ascii="Times New Roman" w:hAnsi="Times New Roman" w:cs="Times New Roman"/>
          <w:sz w:val="23"/>
          <w:szCs w:val="23"/>
        </w:rPr>
        <w:t xml:space="preserve">. </w:t>
      </w:r>
      <w:r w:rsidR="006E3239">
        <w:rPr>
          <w:rFonts w:ascii="Times New Roman" w:hAnsi="Times New Roman" w:cs="Times New Roman"/>
          <w:sz w:val="23"/>
          <w:szCs w:val="23"/>
        </w:rPr>
        <w:br/>
      </w:r>
      <w:r w:rsidRPr="00D95A8F">
        <w:rPr>
          <w:rFonts w:ascii="Times New Roman" w:hAnsi="Times New Roman" w:cs="Times New Roman"/>
          <w:sz w:val="23"/>
          <w:szCs w:val="23"/>
        </w:rPr>
        <w:t xml:space="preserve">W procedurze cywilnej, doręczenie informacji o odmowie sporządzenia skargi kasacyjnej przez pełnomocnika z urzędu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nie uruchamia biegu terminu od nowa</w:t>
      </w:r>
      <w:r w:rsidRPr="00D95A8F">
        <w:rPr>
          <w:rFonts w:ascii="Times New Roman" w:hAnsi="Times New Roman" w:cs="Times New Roman"/>
          <w:sz w:val="23"/>
          <w:szCs w:val="23"/>
        </w:rPr>
        <w:t xml:space="preserve">, tak jak ma to miejsce </w:t>
      </w:r>
      <w:r w:rsidR="006E3239">
        <w:rPr>
          <w:rFonts w:ascii="Times New Roman" w:hAnsi="Times New Roman" w:cs="Times New Roman"/>
          <w:sz w:val="23"/>
          <w:szCs w:val="23"/>
        </w:rPr>
        <w:br/>
      </w:r>
      <w:r w:rsidRPr="00D95A8F">
        <w:rPr>
          <w:rFonts w:ascii="Times New Roman" w:hAnsi="Times New Roman" w:cs="Times New Roman"/>
          <w:sz w:val="23"/>
          <w:szCs w:val="23"/>
        </w:rPr>
        <w:t>w procedurze karnej.</w:t>
      </w:r>
    </w:p>
    <w:p w14:paraId="0C71655F" w14:textId="67E3818D" w:rsidR="00D95A8F" w:rsidRP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 xml:space="preserve">Takie </w:t>
      </w:r>
      <w:r w:rsidRPr="003258D1">
        <w:rPr>
          <w:rFonts w:ascii="Times New Roman" w:hAnsi="Times New Roman" w:cs="Times New Roman"/>
          <w:b/>
          <w:bCs/>
          <w:color w:val="C00000"/>
          <w:sz w:val="23"/>
          <w:szCs w:val="23"/>
        </w:rPr>
        <w:t xml:space="preserve">podejście zostało uznane przez </w:t>
      </w:r>
      <w:r w:rsidR="006E3239">
        <w:rPr>
          <w:rFonts w:ascii="Times New Roman" w:hAnsi="Times New Roman" w:cs="Times New Roman"/>
          <w:b/>
          <w:bCs/>
          <w:color w:val="C00000"/>
          <w:sz w:val="23"/>
          <w:szCs w:val="23"/>
        </w:rPr>
        <w:t>T</w:t>
      </w:r>
      <w:r w:rsidRPr="003258D1">
        <w:rPr>
          <w:rFonts w:ascii="Times New Roman" w:hAnsi="Times New Roman" w:cs="Times New Roman"/>
          <w:b/>
          <w:bCs/>
          <w:color w:val="C00000"/>
          <w:sz w:val="23"/>
          <w:szCs w:val="23"/>
        </w:rPr>
        <w:t>rybunał za niezgodne ze standardami Konwencji</w:t>
      </w:r>
      <w:r w:rsidRPr="008C55DD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D95A8F">
        <w:rPr>
          <w:rFonts w:ascii="Times New Roman" w:hAnsi="Times New Roman" w:cs="Times New Roman"/>
          <w:sz w:val="23"/>
          <w:szCs w:val="23"/>
        </w:rPr>
        <w:t xml:space="preserve">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jeśli odmowa nie została stronie zakomunikowana z odpowiednim wyprzedzeniem</w:t>
      </w:r>
      <w:r w:rsidRPr="00D95A8F">
        <w:rPr>
          <w:rFonts w:ascii="Times New Roman" w:hAnsi="Times New Roman" w:cs="Times New Roman"/>
          <w:sz w:val="23"/>
          <w:szCs w:val="23"/>
        </w:rPr>
        <w:t>, a więc w czasie uniemożliwiającym stronie ustanowienie pełnomocnika procesowego z wyboru i sporządzenie przez niego skargi kasacyjnej</w:t>
      </w:r>
      <w:r w:rsidR="003258D1" w:rsidRPr="003258D1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5"/>
      </w:r>
      <w:r w:rsidRPr="00D95A8F">
        <w:rPr>
          <w:rFonts w:ascii="Times New Roman" w:hAnsi="Times New Roman" w:cs="Times New Roman"/>
          <w:sz w:val="23"/>
          <w:szCs w:val="23"/>
        </w:rPr>
        <w:t>.</w:t>
      </w:r>
    </w:p>
    <w:p w14:paraId="680E1E5E" w14:textId="4F26221A" w:rsidR="00D95A8F" w:rsidRDefault="00D95A8F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5A8F">
        <w:rPr>
          <w:rFonts w:ascii="Times New Roman" w:hAnsi="Times New Roman" w:cs="Times New Roman"/>
          <w:sz w:val="23"/>
          <w:szCs w:val="23"/>
        </w:rPr>
        <w:tab/>
        <w:t>Na gruncie orzecznictwa Trybunału w sprawach polskich</w:t>
      </w:r>
      <w:r w:rsidR="00B90CE7" w:rsidRPr="003258D1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6"/>
      </w:r>
      <w:r w:rsidRPr="00D95A8F">
        <w:rPr>
          <w:rFonts w:ascii="Times New Roman" w:hAnsi="Times New Roman" w:cs="Times New Roman"/>
          <w:sz w:val="23"/>
          <w:szCs w:val="23"/>
        </w:rPr>
        <w:t xml:space="preserve"> należy uznać,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iż minimalny dopuszczalny okres</w:t>
      </w:r>
      <w:r w:rsidRPr="00D95A8F">
        <w:rPr>
          <w:rFonts w:ascii="Times New Roman" w:hAnsi="Times New Roman" w:cs="Times New Roman"/>
          <w:sz w:val="23"/>
          <w:szCs w:val="23"/>
        </w:rPr>
        <w:t xml:space="preserve"> na przedstawienie przez pełnomocnika z urzędu opinii co do odmowy sporządzenia skargi kasacyjnej </w:t>
      </w:r>
      <w:r w:rsidRPr="003258D1">
        <w:rPr>
          <w:rFonts w:ascii="Times New Roman" w:hAnsi="Times New Roman" w:cs="Times New Roman"/>
          <w:b/>
          <w:bCs/>
          <w:sz w:val="23"/>
          <w:szCs w:val="23"/>
        </w:rPr>
        <w:t>to co najmniej 3 tygodnie</w:t>
      </w:r>
      <w:r w:rsidRPr="00D95A8F">
        <w:rPr>
          <w:rFonts w:ascii="Times New Roman" w:hAnsi="Times New Roman" w:cs="Times New Roman"/>
          <w:sz w:val="23"/>
          <w:szCs w:val="23"/>
        </w:rPr>
        <w:t xml:space="preserve"> przed upływem terminu ustawowego do jej wniesienia.</w:t>
      </w:r>
    </w:p>
    <w:p w14:paraId="6CDBE0D4" w14:textId="77777777" w:rsidR="006C6768" w:rsidRDefault="006C6768" w:rsidP="00D95A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99D2AE" w14:textId="4ED3BA52" w:rsidR="006C6768" w:rsidRPr="003D1519" w:rsidRDefault="006C6768" w:rsidP="00D95A8F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1E6DF3">
        <w:rPr>
          <w:rFonts w:ascii="Times New Roman" w:hAnsi="Times New Roman" w:cs="Times New Roman"/>
          <w:b/>
          <w:bCs/>
          <w:sz w:val="23"/>
          <w:szCs w:val="23"/>
        </w:rPr>
        <w:t>Późniejsze</w:t>
      </w:r>
      <w:r w:rsidRPr="003D1519">
        <w:rPr>
          <w:rFonts w:ascii="Times New Roman" w:hAnsi="Times New Roman" w:cs="Times New Roman"/>
          <w:b/>
          <w:bCs/>
          <w:sz w:val="23"/>
          <w:szCs w:val="23"/>
        </w:rPr>
        <w:t xml:space="preserve"> orzecznictwo Trybunału wskazuje na ugruntowaną pozycję przyjętych przez niego, a opisanych powyżej, standardów</w:t>
      </w:r>
      <w:r w:rsidR="00767690">
        <w:rPr>
          <w:rStyle w:val="Odwoanieprzypisudolnego"/>
          <w:rFonts w:ascii="Times New Roman" w:hAnsi="Times New Roman" w:cs="Times New Roman"/>
          <w:b/>
          <w:bCs/>
          <w:sz w:val="23"/>
          <w:szCs w:val="23"/>
        </w:rPr>
        <w:footnoteReference w:id="17"/>
      </w:r>
      <w:r w:rsidRPr="003D1519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sectPr w:rsidR="006C6768" w:rsidRPr="003D1519" w:rsidSect="00C071D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28D5" w14:textId="77777777" w:rsidR="006A18B0" w:rsidRDefault="006A18B0" w:rsidP="00D7017C">
      <w:r>
        <w:separator/>
      </w:r>
    </w:p>
  </w:endnote>
  <w:endnote w:type="continuationSeparator" w:id="0">
    <w:p w14:paraId="76335883" w14:textId="77777777" w:rsidR="006A18B0" w:rsidRDefault="006A18B0" w:rsidP="00D7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55F0" w14:textId="77777777" w:rsidR="006A18B0" w:rsidRDefault="006A18B0" w:rsidP="00D7017C">
      <w:r>
        <w:separator/>
      </w:r>
    </w:p>
  </w:footnote>
  <w:footnote w:type="continuationSeparator" w:id="0">
    <w:p w14:paraId="44665FC1" w14:textId="77777777" w:rsidR="006A18B0" w:rsidRDefault="006A18B0" w:rsidP="00D7017C">
      <w:r>
        <w:continuationSeparator/>
      </w:r>
    </w:p>
  </w:footnote>
  <w:footnote w:id="1">
    <w:p w14:paraId="4528B38E" w14:textId="27E27D15" w:rsidR="00D7017C" w:rsidRDefault="00D701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938FC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EF225B">
        <w:rPr>
          <w:rFonts w:ascii="Times New Roman" w:hAnsi="Times New Roman" w:cs="Times New Roman"/>
          <w:sz w:val="18"/>
          <w:szCs w:val="18"/>
        </w:rPr>
        <w:t xml:space="preserve"> ETPC</w:t>
      </w:r>
      <w:r w:rsidR="004938FC" w:rsidRPr="004938FC">
        <w:rPr>
          <w:rFonts w:ascii="Times New Roman" w:hAnsi="Times New Roman" w:cs="Times New Roman"/>
          <w:sz w:val="18"/>
          <w:szCs w:val="18"/>
        </w:rPr>
        <w:t xml:space="preserve"> z dnia 9 października 1979 roku;</w:t>
      </w:r>
      <w:r w:rsidR="00EF225B" w:rsidRPr="00EF225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EF225B" w:rsidRPr="004938FC">
        <w:rPr>
          <w:rFonts w:ascii="Times New Roman" w:hAnsi="Times New Roman" w:cs="Times New Roman"/>
          <w:i/>
          <w:iCs/>
          <w:sz w:val="18"/>
          <w:szCs w:val="18"/>
        </w:rPr>
        <w:t>Airey</w:t>
      </w:r>
      <w:proofErr w:type="spellEnd"/>
      <w:r w:rsidR="00EF225B" w:rsidRPr="004938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EF225B" w:rsidRPr="004938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>Irlandia</w:t>
      </w:r>
      <w:r w:rsidR="00EF225B">
        <w:rPr>
          <w:rFonts w:ascii="Times New Roman" w:hAnsi="Times New Roman" w:cs="Times New Roman"/>
          <w:sz w:val="18"/>
          <w:szCs w:val="18"/>
        </w:rPr>
        <w:t xml:space="preserve">; </w:t>
      </w:r>
      <w:r w:rsidR="004938FC">
        <w:rPr>
          <w:rFonts w:ascii="Times New Roman" w:hAnsi="Times New Roman" w:cs="Times New Roman"/>
          <w:sz w:val="18"/>
          <w:szCs w:val="18"/>
        </w:rPr>
        <w:t>skarga nr</w:t>
      </w:r>
      <w:r w:rsidR="004938FC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4938FC">
        <w:rPr>
          <w:rFonts w:ascii="Times New Roman" w:hAnsi="Times New Roman" w:cs="Times New Roman"/>
          <w:sz w:val="18"/>
          <w:szCs w:val="18"/>
          <w:u w:val="single"/>
        </w:rPr>
        <w:t>6289</w:t>
      </w:r>
      <w:r w:rsidR="004938FC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4938FC">
        <w:rPr>
          <w:rFonts w:ascii="Times New Roman" w:hAnsi="Times New Roman" w:cs="Times New Roman"/>
          <w:sz w:val="18"/>
          <w:szCs w:val="18"/>
          <w:u w:val="single"/>
        </w:rPr>
        <w:t>73</w:t>
      </w:r>
      <w:r w:rsidR="004938FC" w:rsidRPr="004938FC">
        <w:rPr>
          <w:rFonts w:ascii="Times New Roman" w:hAnsi="Times New Roman" w:cs="Times New Roman"/>
          <w:sz w:val="18"/>
          <w:szCs w:val="18"/>
        </w:rPr>
        <w:t>; § 24</w:t>
      </w:r>
    </w:p>
  </w:footnote>
  <w:footnote w:id="2">
    <w:p w14:paraId="128B785A" w14:textId="77752DDF" w:rsidR="00D7017C" w:rsidRDefault="00D701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63E7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EF225B">
        <w:rPr>
          <w:rFonts w:ascii="Times New Roman" w:hAnsi="Times New Roman" w:cs="Times New Roman"/>
          <w:sz w:val="18"/>
          <w:szCs w:val="18"/>
        </w:rPr>
        <w:t xml:space="preserve"> ETPC 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z dnia </w:t>
      </w:r>
      <w:r w:rsidR="00B263E7">
        <w:rPr>
          <w:rFonts w:ascii="Times New Roman" w:hAnsi="Times New Roman" w:cs="Times New Roman"/>
          <w:sz w:val="18"/>
          <w:szCs w:val="18"/>
        </w:rPr>
        <w:t>26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263E7">
        <w:rPr>
          <w:rFonts w:ascii="Times New Roman" w:hAnsi="Times New Roman" w:cs="Times New Roman"/>
          <w:sz w:val="18"/>
          <w:szCs w:val="18"/>
        </w:rPr>
        <w:t>lutego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263E7">
        <w:rPr>
          <w:rFonts w:ascii="Times New Roman" w:hAnsi="Times New Roman" w:cs="Times New Roman"/>
          <w:sz w:val="18"/>
          <w:szCs w:val="18"/>
        </w:rPr>
        <w:t>2002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roku; 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 xml:space="preserve">Del </w:t>
      </w:r>
      <w:proofErr w:type="spellStart"/>
      <w:r w:rsidR="00EF225B">
        <w:rPr>
          <w:rFonts w:ascii="Times New Roman" w:hAnsi="Times New Roman" w:cs="Times New Roman"/>
          <w:i/>
          <w:iCs/>
          <w:sz w:val="18"/>
          <w:szCs w:val="18"/>
        </w:rPr>
        <w:t>Sol</w:t>
      </w:r>
      <w:proofErr w:type="spellEnd"/>
      <w:r w:rsidR="00EF225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74E5B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 xml:space="preserve"> Francj</w:t>
      </w:r>
      <w:r w:rsidR="00B74E5B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EF225B">
        <w:rPr>
          <w:rFonts w:ascii="Times New Roman" w:hAnsi="Times New Roman" w:cs="Times New Roman"/>
          <w:sz w:val="18"/>
          <w:szCs w:val="18"/>
        </w:rPr>
        <w:t>; s</w:t>
      </w:r>
      <w:r w:rsidR="00B263E7">
        <w:rPr>
          <w:rFonts w:ascii="Times New Roman" w:hAnsi="Times New Roman" w:cs="Times New Roman"/>
          <w:sz w:val="18"/>
          <w:szCs w:val="18"/>
        </w:rPr>
        <w:t>karga nr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263E7">
        <w:rPr>
          <w:rFonts w:ascii="Times New Roman" w:hAnsi="Times New Roman" w:cs="Times New Roman"/>
          <w:sz w:val="18"/>
          <w:szCs w:val="18"/>
          <w:u w:val="single"/>
        </w:rPr>
        <w:t>46800</w:t>
      </w:r>
      <w:r w:rsidR="00B263E7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B263E7">
        <w:rPr>
          <w:rFonts w:ascii="Times New Roman" w:hAnsi="Times New Roman" w:cs="Times New Roman"/>
          <w:sz w:val="18"/>
          <w:szCs w:val="18"/>
          <w:u w:val="single"/>
        </w:rPr>
        <w:t>99</w:t>
      </w:r>
      <w:r w:rsidR="00B263E7" w:rsidRPr="004938FC">
        <w:rPr>
          <w:rFonts w:ascii="Times New Roman" w:hAnsi="Times New Roman" w:cs="Times New Roman"/>
          <w:sz w:val="18"/>
          <w:szCs w:val="18"/>
        </w:rPr>
        <w:t>; § 2</w:t>
      </w:r>
      <w:r w:rsidR="00B263E7">
        <w:rPr>
          <w:rFonts w:ascii="Times New Roman" w:hAnsi="Times New Roman" w:cs="Times New Roman"/>
          <w:sz w:val="18"/>
          <w:szCs w:val="18"/>
        </w:rPr>
        <w:t>0</w:t>
      </w:r>
    </w:p>
  </w:footnote>
  <w:footnote w:id="3">
    <w:p w14:paraId="214A68EC" w14:textId="3A575D88" w:rsidR="00D7017C" w:rsidRDefault="00D701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63E7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EF225B">
        <w:rPr>
          <w:rFonts w:ascii="Times New Roman" w:hAnsi="Times New Roman" w:cs="Times New Roman"/>
          <w:sz w:val="18"/>
          <w:szCs w:val="18"/>
        </w:rPr>
        <w:t xml:space="preserve"> ETPC 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z dnia </w:t>
      </w:r>
      <w:r w:rsidR="00B263E7">
        <w:rPr>
          <w:rFonts w:ascii="Times New Roman" w:hAnsi="Times New Roman" w:cs="Times New Roman"/>
          <w:sz w:val="18"/>
          <w:szCs w:val="18"/>
        </w:rPr>
        <w:t>15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263E7">
        <w:rPr>
          <w:rFonts w:ascii="Times New Roman" w:hAnsi="Times New Roman" w:cs="Times New Roman"/>
          <w:sz w:val="18"/>
          <w:szCs w:val="18"/>
        </w:rPr>
        <w:t>lutego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263E7">
        <w:rPr>
          <w:rFonts w:ascii="Times New Roman" w:hAnsi="Times New Roman" w:cs="Times New Roman"/>
          <w:sz w:val="18"/>
          <w:szCs w:val="18"/>
        </w:rPr>
        <w:t>2005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roku; 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 xml:space="preserve">Steel i Morris </w:t>
      </w:r>
      <w:r w:rsidR="00B74E5B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 xml:space="preserve"> Wielk</w:t>
      </w:r>
      <w:r w:rsidR="00B74E5B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EF225B">
        <w:rPr>
          <w:rFonts w:ascii="Times New Roman" w:hAnsi="Times New Roman" w:cs="Times New Roman"/>
          <w:i/>
          <w:iCs/>
          <w:sz w:val="18"/>
          <w:szCs w:val="18"/>
        </w:rPr>
        <w:t xml:space="preserve"> Brytani</w:t>
      </w:r>
      <w:r w:rsidR="00B74E5B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EF225B">
        <w:rPr>
          <w:rFonts w:ascii="Times New Roman" w:hAnsi="Times New Roman" w:cs="Times New Roman"/>
          <w:sz w:val="18"/>
          <w:szCs w:val="18"/>
        </w:rPr>
        <w:t xml:space="preserve">; </w:t>
      </w:r>
      <w:r w:rsidR="00B263E7">
        <w:rPr>
          <w:rFonts w:ascii="Times New Roman" w:hAnsi="Times New Roman" w:cs="Times New Roman"/>
          <w:sz w:val="18"/>
          <w:szCs w:val="18"/>
        </w:rPr>
        <w:t>skarga nr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263E7">
        <w:rPr>
          <w:rFonts w:ascii="Times New Roman" w:hAnsi="Times New Roman" w:cs="Times New Roman"/>
          <w:sz w:val="18"/>
          <w:szCs w:val="18"/>
          <w:u w:val="single"/>
        </w:rPr>
        <w:t>68416</w:t>
      </w:r>
      <w:r w:rsidR="00B263E7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B263E7">
        <w:rPr>
          <w:rFonts w:ascii="Times New Roman" w:hAnsi="Times New Roman" w:cs="Times New Roman"/>
          <w:sz w:val="18"/>
          <w:szCs w:val="18"/>
          <w:u w:val="single"/>
        </w:rPr>
        <w:t>01</w:t>
      </w:r>
      <w:r w:rsidR="00B263E7" w:rsidRPr="004938FC">
        <w:rPr>
          <w:rFonts w:ascii="Times New Roman" w:hAnsi="Times New Roman" w:cs="Times New Roman"/>
          <w:sz w:val="18"/>
          <w:szCs w:val="18"/>
        </w:rPr>
        <w:t xml:space="preserve">; § </w:t>
      </w:r>
      <w:r w:rsidR="00DB376D">
        <w:rPr>
          <w:rFonts w:ascii="Times New Roman" w:hAnsi="Times New Roman" w:cs="Times New Roman"/>
          <w:sz w:val="18"/>
          <w:szCs w:val="18"/>
        </w:rPr>
        <w:t>59</w:t>
      </w:r>
    </w:p>
  </w:footnote>
  <w:footnote w:id="4">
    <w:p w14:paraId="1AB1696D" w14:textId="38D2C4C8" w:rsidR="00A41E2E" w:rsidRDefault="00A41E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376D">
        <w:rPr>
          <w:rFonts w:ascii="Times New Roman" w:hAnsi="Times New Roman" w:cs="Times New Roman"/>
          <w:sz w:val="18"/>
          <w:szCs w:val="18"/>
        </w:rPr>
        <w:t>Dla postępowania przewidziany jest „przymus adwokacko-radcowski”</w:t>
      </w:r>
      <w:r w:rsidR="00FA1855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265C48CF" w14:textId="3FD78ED3" w:rsidR="00F540B4" w:rsidRDefault="00F540B4" w:rsidP="009B0E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B376D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B14F42">
        <w:rPr>
          <w:rFonts w:ascii="Times New Roman" w:hAnsi="Times New Roman" w:cs="Times New Roman"/>
          <w:sz w:val="18"/>
          <w:szCs w:val="18"/>
        </w:rPr>
        <w:t xml:space="preserve"> ETPC </w:t>
      </w:r>
      <w:r w:rsidR="00DB376D" w:rsidRPr="004938FC">
        <w:rPr>
          <w:rFonts w:ascii="Times New Roman" w:hAnsi="Times New Roman" w:cs="Times New Roman"/>
          <w:sz w:val="18"/>
          <w:szCs w:val="18"/>
        </w:rPr>
        <w:t>z dnia 9 października 1979 roku;</w:t>
      </w:r>
      <w:r w:rsidR="00B14F42" w:rsidRPr="00B14F4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B14F42" w:rsidRPr="004938FC">
        <w:rPr>
          <w:rFonts w:ascii="Times New Roman" w:hAnsi="Times New Roman" w:cs="Times New Roman"/>
          <w:i/>
          <w:iCs/>
          <w:sz w:val="18"/>
          <w:szCs w:val="18"/>
        </w:rPr>
        <w:t>Airey</w:t>
      </w:r>
      <w:proofErr w:type="spellEnd"/>
      <w:r w:rsidR="00B14F42" w:rsidRPr="004938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B7F2E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B14F42" w:rsidRPr="004938FC">
        <w:rPr>
          <w:rFonts w:ascii="Times New Roman" w:hAnsi="Times New Roman" w:cs="Times New Roman"/>
          <w:i/>
          <w:iCs/>
          <w:sz w:val="18"/>
          <w:szCs w:val="18"/>
        </w:rPr>
        <w:t xml:space="preserve"> Irlandi</w:t>
      </w:r>
      <w:r w:rsidR="00EB7F2E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B14F42">
        <w:rPr>
          <w:rFonts w:ascii="Times New Roman" w:hAnsi="Times New Roman" w:cs="Times New Roman"/>
          <w:sz w:val="18"/>
          <w:szCs w:val="18"/>
        </w:rPr>
        <w:t xml:space="preserve">; </w:t>
      </w:r>
      <w:r w:rsidR="00DB376D">
        <w:rPr>
          <w:rFonts w:ascii="Times New Roman" w:hAnsi="Times New Roman" w:cs="Times New Roman"/>
          <w:sz w:val="18"/>
          <w:szCs w:val="18"/>
        </w:rPr>
        <w:t>skarga nr</w:t>
      </w:r>
      <w:r w:rsidR="00DB376D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DB376D">
        <w:rPr>
          <w:rFonts w:ascii="Times New Roman" w:hAnsi="Times New Roman" w:cs="Times New Roman"/>
          <w:sz w:val="18"/>
          <w:szCs w:val="18"/>
          <w:u w:val="single"/>
        </w:rPr>
        <w:t>6289</w:t>
      </w:r>
      <w:r w:rsidR="00DB376D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DB376D">
        <w:rPr>
          <w:rFonts w:ascii="Times New Roman" w:hAnsi="Times New Roman" w:cs="Times New Roman"/>
          <w:sz w:val="18"/>
          <w:szCs w:val="18"/>
          <w:u w:val="single"/>
        </w:rPr>
        <w:t>73</w:t>
      </w:r>
      <w:r w:rsidR="00DB376D" w:rsidRPr="004938FC">
        <w:rPr>
          <w:rFonts w:ascii="Times New Roman" w:hAnsi="Times New Roman" w:cs="Times New Roman"/>
          <w:sz w:val="18"/>
          <w:szCs w:val="18"/>
        </w:rPr>
        <w:t>; § 2</w:t>
      </w:r>
      <w:r w:rsidR="00DB376D">
        <w:rPr>
          <w:rFonts w:ascii="Times New Roman" w:hAnsi="Times New Roman" w:cs="Times New Roman"/>
          <w:sz w:val="18"/>
          <w:szCs w:val="18"/>
        </w:rPr>
        <w:t>6-28</w:t>
      </w:r>
    </w:p>
  </w:footnote>
  <w:footnote w:id="6">
    <w:p w14:paraId="6C1B05C5" w14:textId="099EC3EC" w:rsidR="00F540B4" w:rsidRDefault="00F540B4" w:rsidP="009B0E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B7F2E">
        <w:rPr>
          <w:rFonts w:ascii="Times New Roman" w:hAnsi="Times New Roman" w:cs="Times New Roman"/>
          <w:sz w:val="18"/>
          <w:szCs w:val="18"/>
        </w:rPr>
        <w:t>Mowa</w:t>
      </w:r>
      <w:r w:rsidR="00DB376D">
        <w:rPr>
          <w:rFonts w:ascii="Times New Roman" w:hAnsi="Times New Roman" w:cs="Times New Roman"/>
          <w:sz w:val="18"/>
          <w:szCs w:val="18"/>
        </w:rPr>
        <w:t xml:space="preserve"> o sytuacj</w:t>
      </w:r>
      <w:r w:rsidR="00EB7F2E">
        <w:rPr>
          <w:rFonts w:ascii="Times New Roman" w:hAnsi="Times New Roman" w:cs="Times New Roman"/>
          <w:sz w:val="18"/>
          <w:szCs w:val="18"/>
        </w:rPr>
        <w:t>ach</w:t>
      </w:r>
      <w:r w:rsidR="00DB376D">
        <w:rPr>
          <w:rFonts w:ascii="Times New Roman" w:hAnsi="Times New Roman" w:cs="Times New Roman"/>
          <w:sz w:val="18"/>
          <w:szCs w:val="18"/>
        </w:rPr>
        <w:t>, w których osobiste zaangażowanie strony mogłoby utrudniać obiektywne występowanie przed sądem (na przykład w sprawach rodzinnych).</w:t>
      </w:r>
    </w:p>
  </w:footnote>
  <w:footnote w:id="7">
    <w:p w14:paraId="2442C3A9" w14:textId="61802476" w:rsidR="0087682D" w:rsidRDefault="0087682D" w:rsidP="009B0E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24F7E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921C02">
        <w:rPr>
          <w:rFonts w:ascii="Times New Roman" w:hAnsi="Times New Roman" w:cs="Times New Roman"/>
          <w:sz w:val="18"/>
          <w:szCs w:val="18"/>
        </w:rPr>
        <w:t xml:space="preserve"> ETPC </w:t>
      </w:r>
      <w:r w:rsidR="00124F7E" w:rsidRPr="004938FC">
        <w:rPr>
          <w:rFonts w:ascii="Times New Roman" w:hAnsi="Times New Roman" w:cs="Times New Roman"/>
          <w:sz w:val="18"/>
          <w:szCs w:val="18"/>
        </w:rPr>
        <w:t xml:space="preserve">z dnia </w:t>
      </w:r>
      <w:r w:rsidR="00124F7E">
        <w:rPr>
          <w:rFonts w:ascii="Times New Roman" w:hAnsi="Times New Roman" w:cs="Times New Roman"/>
          <w:sz w:val="18"/>
          <w:szCs w:val="18"/>
        </w:rPr>
        <w:t>15</w:t>
      </w:r>
      <w:r w:rsidR="00124F7E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124F7E">
        <w:rPr>
          <w:rFonts w:ascii="Times New Roman" w:hAnsi="Times New Roman" w:cs="Times New Roman"/>
          <w:sz w:val="18"/>
          <w:szCs w:val="18"/>
        </w:rPr>
        <w:t>lutego</w:t>
      </w:r>
      <w:r w:rsidR="00124F7E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124F7E">
        <w:rPr>
          <w:rFonts w:ascii="Times New Roman" w:hAnsi="Times New Roman" w:cs="Times New Roman"/>
          <w:sz w:val="18"/>
          <w:szCs w:val="18"/>
        </w:rPr>
        <w:t>2005</w:t>
      </w:r>
      <w:r w:rsidR="00124F7E" w:rsidRPr="004938FC">
        <w:rPr>
          <w:rFonts w:ascii="Times New Roman" w:hAnsi="Times New Roman" w:cs="Times New Roman"/>
          <w:sz w:val="18"/>
          <w:szCs w:val="18"/>
        </w:rPr>
        <w:t xml:space="preserve"> roku; </w:t>
      </w:r>
      <w:r w:rsidR="00921C02">
        <w:rPr>
          <w:rFonts w:ascii="Times New Roman" w:hAnsi="Times New Roman" w:cs="Times New Roman"/>
          <w:i/>
          <w:iCs/>
          <w:sz w:val="18"/>
          <w:szCs w:val="18"/>
        </w:rPr>
        <w:t xml:space="preserve">Steel i Morris 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921C02">
        <w:rPr>
          <w:rFonts w:ascii="Times New Roman" w:hAnsi="Times New Roman" w:cs="Times New Roman"/>
          <w:i/>
          <w:iCs/>
          <w:sz w:val="18"/>
          <w:szCs w:val="18"/>
        </w:rPr>
        <w:t xml:space="preserve"> Wielk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921C02">
        <w:rPr>
          <w:rFonts w:ascii="Times New Roman" w:hAnsi="Times New Roman" w:cs="Times New Roman"/>
          <w:i/>
          <w:iCs/>
          <w:sz w:val="18"/>
          <w:szCs w:val="18"/>
        </w:rPr>
        <w:t xml:space="preserve"> Brytani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921C02">
        <w:rPr>
          <w:rFonts w:ascii="Times New Roman" w:hAnsi="Times New Roman" w:cs="Times New Roman"/>
          <w:sz w:val="18"/>
          <w:szCs w:val="18"/>
        </w:rPr>
        <w:t xml:space="preserve">; </w:t>
      </w:r>
      <w:r w:rsidR="00124F7E">
        <w:rPr>
          <w:rFonts w:ascii="Times New Roman" w:hAnsi="Times New Roman" w:cs="Times New Roman"/>
          <w:sz w:val="18"/>
          <w:szCs w:val="18"/>
        </w:rPr>
        <w:t>skarga nr</w:t>
      </w:r>
      <w:r w:rsidR="00124F7E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124F7E">
        <w:rPr>
          <w:rFonts w:ascii="Times New Roman" w:hAnsi="Times New Roman" w:cs="Times New Roman"/>
          <w:sz w:val="18"/>
          <w:szCs w:val="18"/>
          <w:u w:val="single"/>
        </w:rPr>
        <w:t>68416</w:t>
      </w:r>
      <w:r w:rsidR="00124F7E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124F7E">
        <w:rPr>
          <w:rFonts w:ascii="Times New Roman" w:hAnsi="Times New Roman" w:cs="Times New Roman"/>
          <w:sz w:val="18"/>
          <w:szCs w:val="18"/>
          <w:u w:val="single"/>
        </w:rPr>
        <w:t>01</w:t>
      </w:r>
      <w:r w:rsidR="00124F7E" w:rsidRPr="004938FC">
        <w:rPr>
          <w:rFonts w:ascii="Times New Roman" w:hAnsi="Times New Roman" w:cs="Times New Roman"/>
          <w:sz w:val="18"/>
          <w:szCs w:val="18"/>
        </w:rPr>
        <w:t xml:space="preserve">; § </w:t>
      </w:r>
      <w:r w:rsidR="00124F7E">
        <w:rPr>
          <w:rFonts w:ascii="Times New Roman" w:hAnsi="Times New Roman" w:cs="Times New Roman"/>
          <w:sz w:val="18"/>
          <w:szCs w:val="18"/>
        </w:rPr>
        <w:t>62</w:t>
      </w:r>
    </w:p>
  </w:footnote>
  <w:footnote w:id="8">
    <w:p w14:paraId="3185691B" w14:textId="75DF61A2" w:rsidR="00B1189D" w:rsidRDefault="00D974C1" w:rsidP="009B0E3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1189D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6C767D">
        <w:rPr>
          <w:rFonts w:ascii="Times New Roman" w:hAnsi="Times New Roman" w:cs="Times New Roman"/>
          <w:sz w:val="18"/>
          <w:szCs w:val="18"/>
        </w:rPr>
        <w:t xml:space="preserve"> ETPC </w:t>
      </w:r>
      <w:r w:rsidR="00B1189D" w:rsidRPr="004938FC">
        <w:rPr>
          <w:rFonts w:ascii="Times New Roman" w:hAnsi="Times New Roman" w:cs="Times New Roman"/>
          <w:sz w:val="18"/>
          <w:szCs w:val="18"/>
        </w:rPr>
        <w:t xml:space="preserve">z dnia </w:t>
      </w:r>
      <w:r w:rsidR="00B1189D">
        <w:rPr>
          <w:rFonts w:ascii="Times New Roman" w:hAnsi="Times New Roman" w:cs="Times New Roman"/>
          <w:sz w:val="18"/>
          <w:szCs w:val="18"/>
        </w:rPr>
        <w:t>22</w:t>
      </w:r>
      <w:r w:rsidR="00B1189D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1189D">
        <w:rPr>
          <w:rFonts w:ascii="Times New Roman" w:hAnsi="Times New Roman" w:cs="Times New Roman"/>
          <w:sz w:val="18"/>
          <w:szCs w:val="18"/>
        </w:rPr>
        <w:t>marca</w:t>
      </w:r>
      <w:r w:rsidR="00B1189D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1189D">
        <w:rPr>
          <w:rFonts w:ascii="Times New Roman" w:hAnsi="Times New Roman" w:cs="Times New Roman"/>
          <w:sz w:val="18"/>
          <w:szCs w:val="18"/>
        </w:rPr>
        <w:t>2007</w:t>
      </w:r>
      <w:r w:rsidR="00B1189D" w:rsidRPr="004938FC">
        <w:rPr>
          <w:rFonts w:ascii="Times New Roman" w:hAnsi="Times New Roman" w:cs="Times New Roman"/>
          <w:sz w:val="18"/>
          <w:szCs w:val="18"/>
        </w:rPr>
        <w:t xml:space="preserve"> roku;</w:t>
      </w:r>
      <w:r w:rsidR="006C767D" w:rsidRPr="006C767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6C767D">
        <w:rPr>
          <w:rFonts w:ascii="Times New Roman" w:hAnsi="Times New Roman" w:cs="Times New Roman"/>
          <w:i/>
          <w:iCs/>
          <w:sz w:val="18"/>
          <w:szCs w:val="18"/>
        </w:rPr>
        <w:t>Siałkowska</w:t>
      </w:r>
      <w:proofErr w:type="spellEnd"/>
      <w:r w:rsidR="006C767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6C767D">
        <w:rPr>
          <w:rFonts w:ascii="Times New Roman" w:hAnsi="Times New Roman" w:cs="Times New Roman"/>
          <w:i/>
          <w:iCs/>
          <w:sz w:val="18"/>
          <w:szCs w:val="18"/>
        </w:rPr>
        <w:t xml:space="preserve"> Pols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ka</w:t>
      </w:r>
      <w:r w:rsidR="006C767D">
        <w:rPr>
          <w:rFonts w:ascii="Times New Roman" w:hAnsi="Times New Roman" w:cs="Times New Roman"/>
          <w:sz w:val="18"/>
          <w:szCs w:val="18"/>
        </w:rPr>
        <w:t xml:space="preserve">; </w:t>
      </w:r>
      <w:r w:rsidR="00B1189D">
        <w:rPr>
          <w:rFonts w:ascii="Times New Roman" w:hAnsi="Times New Roman" w:cs="Times New Roman"/>
          <w:sz w:val="18"/>
          <w:szCs w:val="18"/>
        </w:rPr>
        <w:t>skarga nr</w:t>
      </w:r>
      <w:r w:rsidR="00B1189D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B1189D">
        <w:rPr>
          <w:rFonts w:ascii="Times New Roman" w:hAnsi="Times New Roman" w:cs="Times New Roman"/>
          <w:sz w:val="18"/>
          <w:szCs w:val="18"/>
          <w:u w:val="single"/>
        </w:rPr>
        <w:t>8932</w:t>
      </w:r>
      <w:r w:rsidR="00B1189D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B1189D">
        <w:rPr>
          <w:rFonts w:ascii="Times New Roman" w:hAnsi="Times New Roman" w:cs="Times New Roman"/>
          <w:sz w:val="18"/>
          <w:szCs w:val="18"/>
          <w:u w:val="single"/>
        </w:rPr>
        <w:t>05</w:t>
      </w:r>
      <w:r w:rsidR="00B1189D" w:rsidRPr="004938FC">
        <w:rPr>
          <w:rFonts w:ascii="Times New Roman" w:hAnsi="Times New Roman" w:cs="Times New Roman"/>
          <w:sz w:val="18"/>
          <w:szCs w:val="18"/>
        </w:rPr>
        <w:t xml:space="preserve">; § </w:t>
      </w:r>
      <w:r w:rsidR="00B1189D">
        <w:rPr>
          <w:rFonts w:ascii="Times New Roman" w:hAnsi="Times New Roman" w:cs="Times New Roman"/>
          <w:sz w:val="18"/>
          <w:szCs w:val="18"/>
        </w:rPr>
        <w:t>108</w:t>
      </w:r>
    </w:p>
    <w:p w14:paraId="7A97B4D6" w14:textId="7491F729" w:rsidR="00B1189D" w:rsidRPr="00B1189D" w:rsidRDefault="00B1189D" w:rsidP="009B0E31">
      <w:pPr>
        <w:pStyle w:val="Tekstprzypisudolneg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oraz:  </w:t>
      </w:r>
      <w:r w:rsidRPr="004938FC">
        <w:rPr>
          <w:rFonts w:ascii="Times New Roman" w:hAnsi="Times New Roman" w:cs="Times New Roman"/>
          <w:sz w:val="18"/>
          <w:szCs w:val="18"/>
        </w:rPr>
        <w:t>wyrok</w:t>
      </w:r>
      <w:r w:rsidR="006C767D">
        <w:rPr>
          <w:rFonts w:ascii="Times New Roman" w:hAnsi="Times New Roman" w:cs="Times New Roman"/>
          <w:sz w:val="18"/>
          <w:szCs w:val="18"/>
        </w:rPr>
        <w:t xml:space="preserve"> ETPC </w:t>
      </w:r>
      <w:r w:rsidRPr="004938FC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4938F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marca</w:t>
      </w:r>
      <w:r w:rsidRPr="004938F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2007</w:t>
      </w:r>
      <w:r w:rsidRPr="004938FC">
        <w:rPr>
          <w:rFonts w:ascii="Times New Roman" w:hAnsi="Times New Roman" w:cs="Times New Roman"/>
          <w:sz w:val="18"/>
          <w:szCs w:val="18"/>
        </w:rPr>
        <w:t xml:space="preserve"> roku;</w:t>
      </w:r>
      <w:r w:rsidR="006C767D" w:rsidRPr="006C767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C767D">
        <w:rPr>
          <w:rFonts w:ascii="Times New Roman" w:hAnsi="Times New Roman" w:cs="Times New Roman"/>
          <w:i/>
          <w:iCs/>
          <w:sz w:val="18"/>
          <w:szCs w:val="18"/>
        </w:rPr>
        <w:t xml:space="preserve">Staroszczyk 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6C767D">
        <w:rPr>
          <w:rFonts w:ascii="Times New Roman" w:hAnsi="Times New Roman" w:cs="Times New Roman"/>
          <w:i/>
          <w:iCs/>
          <w:sz w:val="18"/>
          <w:szCs w:val="18"/>
        </w:rPr>
        <w:t xml:space="preserve"> Pols</w:t>
      </w:r>
      <w:r w:rsidR="005E4BB7">
        <w:rPr>
          <w:rFonts w:ascii="Times New Roman" w:hAnsi="Times New Roman" w:cs="Times New Roman"/>
          <w:i/>
          <w:iCs/>
          <w:sz w:val="18"/>
          <w:szCs w:val="18"/>
        </w:rPr>
        <w:t>ka</w:t>
      </w:r>
      <w:r w:rsidR="006C767D"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>skarga nr</w:t>
      </w:r>
      <w:r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7E5C29">
        <w:rPr>
          <w:rFonts w:ascii="Times New Roman" w:hAnsi="Times New Roman" w:cs="Times New Roman"/>
          <w:sz w:val="18"/>
          <w:szCs w:val="18"/>
          <w:u w:val="single"/>
        </w:rPr>
        <w:t>59519</w:t>
      </w:r>
      <w:r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7E5C29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4938FC">
        <w:rPr>
          <w:rFonts w:ascii="Times New Roman" w:hAnsi="Times New Roman" w:cs="Times New Roman"/>
          <w:sz w:val="18"/>
          <w:szCs w:val="18"/>
        </w:rPr>
        <w:t xml:space="preserve">; § </w:t>
      </w:r>
      <w:r w:rsidR="007E5C29">
        <w:rPr>
          <w:rFonts w:ascii="Times New Roman" w:hAnsi="Times New Roman" w:cs="Times New Roman"/>
          <w:sz w:val="18"/>
          <w:szCs w:val="18"/>
        </w:rPr>
        <w:t>126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9">
    <w:p w14:paraId="3FBD4E10" w14:textId="07DA6BD2" w:rsidR="00F755B7" w:rsidRDefault="00F755B7" w:rsidP="00F755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38FC">
        <w:rPr>
          <w:rFonts w:ascii="Times New Roman" w:hAnsi="Times New Roman" w:cs="Times New Roman"/>
          <w:sz w:val="18"/>
          <w:szCs w:val="18"/>
        </w:rPr>
        <w:t>Zob.: wyrok</w:t>
      </w:r>
      <w:r>
        <w:rPr>
          <w:rFonts w:ascii="Times New Roman" w:hAnsi="Times New Roman" w:cs="Times New Roman"/>
          <w:sz w:val="18"/>
          <w:szCs w:val="18"/>
        </w:rPr>
        <w:t xml:space="preserve"> S</w:t>
      </w:r>
      <w:r w:rsidR="002E2F72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 z dnia 24 listopada 1933 roku, III C 50/33</w:t>
      </w:r>
    </w:p>
  </w:footnote>
  <w:footnote w:id="10">
    <w:p w14:paraId="1AEB6D6A" w14:textId="5941F8B4" w:rsidR="0045640E" w:rsidRDefault="004564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55B7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F755B7">
        <w:rPr>
          <w:rFonts w:ascii="Times New Roman" w:hAnsi="Times New Roman" w:cs="Times New Roman"/>
          <w:sz w:val="18"/>
          <w:szCs w:val="18"/>
        </w:rPr>
        <w:t xml:space="preserve"> S</w:t>
      </w:r>
      <w:r w:rsidR="002E2F72">
        <w:rPr>
          <w:rFonts w:ascii="Times New Roman" w:hAnsi="Times New Roman" w:cs="Times New Roman"/>
          <w:sz w:val="18"/>
          <w:szCs w:val="18"/>
        </w:rPr>
        <w:t>N</w:t>
      </w:r>
      <w:r w:rsidR="00F755B7">
        <w:rPr>
          <w:rFonts w:ascii="Times New Roman" w:hAnsi="Times New Roman" w:cs="Times New Roman"/>
          <w:sz w:val="18"/>
          <w:szCs w:val="18"/>
        </w:rPr>
        <w:t xml:space="preserve"> z dnia 21 września 2000 roku, III CZP 14/00</w:t>
      </w:r>
    </w:p>
  </w:footnote>
  <w:footnote w:id="11">
    <w:p w14:paraId="28FD3F2D" w14:textId="3F9712CF" w:rsidR="0087514A" w:rsidRDefault="00E225B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7514A">
        <w:rPr>
          <w:rFonts w:ascii="Times New Roman" w:hAnsi="Times New Roman" w:cs="Times New Roman"/>
          <w:sz w:val="18"/>
          <w:szCs w:val="18"/>
        </w:rPr>
        <w:t xml:space="preserve">„The Court </w:t>
      </w:r>
      <w:proofErr w:type="spellStart"/>
      <w:r w:rsidR="0087514A">
        <w:rPr>
          <w:rFonts w:ascii="Times New Roman" w:hAnsi="Times New Roman" w:cs="Times New Roman"/>
          <w:sz w:val="18"/>
          <w:szCs w:val="18"/>
        </w:rPr>
        <w:t>cannot</w:t>
      </w:r>
      <w:proofErr w:type="spellEnd"/>
      <w:r w:rsidR="0087514A">
        <w:rPr>
          <w:rFonts w:ascii="Times New Roman" w:hAnsi="Times New Roman" w:cs="Times New Roman"/>
          <w:sz w:val="18"/>
          <w:szCs w:val="18"/>
        </w:rPr>
        <w:t xml:space="preserve"> but </w:t>
      </w:r>
      <w:proofErr w:type="spellStart"/>
      <w:r w:rsidR="0087514A">
        <w:rPr>
          <w:rFonts w:ascii="Times New Roman" w:hAnsi="Times New Roman" w:cs="Times New Roman"/>
          <w:sz w:val="18"/>
          <w:szCs w:val="18"/>
        </w:rPr>
        <w:t>endorse</w:t>
      </w:r>
      <w:proofErr w:type="spellEnd"/>
      <w:r w:rsidR="008751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7514A">
        <w:rPr>
          <w:rFonts w:ascii="Times New Roman" w:hAnsi="Times New Roman" w:cs="Times New Roman"/>
          <w:sz w:val="18"/>
          <w:szCs w:val="18"/>
        </w:rPr>
        <w:t>this</w:t>
      </w:r>
      <w:proofErr w:type="spellEnd"/>
      <w:r w:rsidR="008751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7514A">
        <w:rPr>
          <w:rFonts w:ascii="Times New Roman" w:hAnsi="Times New Roman" w:cs="Times New Roman"/>
          <w:sz w:val="18"/>
          <w:szCs w:val="18"/>
        </w:rPr>
        <w:t>conclusion</w:t>
      </w:r>
      <w:proofErr w:type="spellEnd"/>
      <w:r w:rsidR="0087514A">
        <w:rPr>
          <w:rFonts w:ascii="Times New Roman" w:hAnsi="Times New Roman" w:cs="Times New Roman"/>
          <w:sz w:val="18"/>
          <w:szCs w:val="18"/>
        </w:rPr>
        <w:t>.”</w:t>
      </w:r>
    </w:p>
    <w:p w14:paraId="6C1451D6" w14:textId="222F56B1" w:rsidR="00E225BF" w:rsidRDefault="0087514A">
      <w:pPr>
        <w:pStyle w:val="Tekstprzypisudolnego"/>
      </w:pPr>
      <w:r>
        <w:rPr>
          <w:rFonts w:ascii="Times New Roman" w:hAnsi="Times New Roman" w:cs="Times New Roman"/>
          <w:sz w:val="18"/>
          <w:szCs w:val="18"/>
        </w:rPr>
        <w:t xml:space="preserve">   w: </w:t>
      </w:r>
      <w:proofErr w:type="spellStart"/>
      <w:r w:rsidRPr="0087514A">
        <w:rPr>
          <w:rFonts w:ascii="Times New Roman" w:hAnsi="Times New Roman" w:cs="Times New Roman"/>
          <w:i/>
          <w:iCs/>
          <w:sz w:val="18"/>
          <w:szCs w:val="18"/>
        </w:rPr>
        <w:t>Siałkowska</w:t>
      </w:r>
      <w:proofErr w:type="spellEnd"/>
      <w:r w:rsidRPr="0087514A">
        <w:rPr>
          <w:rFonts w:ascii="Times New Roman" w:hAnsi="Times New Roman" w:cs="Times New Roman"/>
          <w:i/>
          <w:iCs/>
          <w:sz w:val="18"/>
          <w:szCs w:val="18"/>
        </w:rPr>
        <w:t xml:space="preserve"> przeciwko Polsce</w:t>
      </w:r>
      <w:r>
        <w:rPr>
          <w:rFonts w:ascii="Times New Roman" w:hAnsi="Times New Roman" w:cs="Times New Roman"/>
          <w:sz w:val="18"/>
          <w:szCs w:val="18"/>
        </w:rPr>
        <w:t xml:space="preserve">; § 113 i </w:t>
      </w:r>
      <w:r w:rsidRPr="0087514A">
        <w:rPr>
          <w:rFonts w:ascii="Times New Roman" w:hAnsi="Times New Roman" w:cs="Times New Roman"/>
          <w:i/>
          <w:iCs/>
          <w:sz w:val="18"/>
          <w:szCs w:val="18"/>
        </w:rPr>
        <w:t>Staroszczyk przeciwko Polsce</w:t>
      </w:r>
      <w:r>
        <w:rPr>
          <w:rFonts w:ascii="Times New Roman" w:hAnsi="Times New Roman" w:cs="Times New Roman"/>
          <w:sz w:val="18"/>
          <w:szCs w:val="18"/>
        </w:rPr>
        <w:t>; § 134</w:t>
      </w:r>
    </w:p>
  </w:footnote>
  <w:footnote w:id="12">
    <w:p w14:paraId="1253AFDD" w14:textId="1DCD43ED" w:rsidR="003258D1" w:rsidRDefault="003258D1" w:rsidP="006E32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E2F72">
        <w:rPr>
          <w:rFonts w:ascii="Times New Roman" w:hAnsi="Times New Roman" w:cs="Times New Roman"/>
          <w:sz w:val="18"/>
          <w:szCs w:val="18"/>
        </w:rPr>
        <w:t>Ustawa z dnia 17 listopada 1964 roku Kodeks postępowania cywilnego;</w:t>
      </w:r>
      <w:r w:rsidR="00EF225B">
        <w:rPr>
          <w:rFonts w:ascii="Times New Roman" w:hAnsi="Times New Roman" w:cs="Times New Roman"/>
          <w:sz w:val="18"/>
          <w:szCs w:val="18"/>
        </w:rPr>
        <w:t xml:space="preserve"> ar</w:t>
      </w:r>
      <w:r w:rsidR="00686506">
        <w:rPr>
          <w:rFonts w:ascii="Times New Roman" w:hAnsi="Times New Roman" w:cs="Times New Roman"/>
          <w:sz w:val="18"/>
          <w:szCs w:val="18"/>
        </w:rPr>
        <w:t>t. 124</w:t>
      </w:r>
      <w:r w:rsidR="00EF225B">
        <w:rPr>
          <w:rFonts w:ascii="Times New Roman" w:hAnsi="Times New Roman" w:cs="Times New Roman"/>
          <w:sz w:val="18"/>
          <w:szCs w:val="18"/>
        </w:rPr>
        <w:t xml:space="preserve"> § 3</w:t>
      </w:r>
    </w:p>
  </w:footnote>
  <w:footnote w:id="13">
    <w:p w14:paraId="03125F2D" w14:textId="53345146" w:rsidR="003258D1" w:rsidRDefault="003258D1" w:rsidP="006E32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40645">
        <w:rPr>
          <w:rFonts w:ascii="Times New Roman" w:hAnsi="Times New Roman" w:cs="Times New Roman"/>
          <w:sz w:val="18"/>
          <w:szCs w:val="18"/>
        </w:rPr>
        <w:t>ibid.; art. 124 § 4</w:t>
      </w:r>
    </w:p>
  </w:footnote>
  <w:footnote w:id="14">
    <w:p w14:paraId="43E037A6" w14:textId="0551E89D" w:rsidR="003258D1" w:rsidRDefault="003258D1" w:rsidP="006E32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40645">
        <w:rPr>
          <w:rFonts w:ascii="Times New Roman" w:hAnsi="Times New Roman" w:cs="Times New Roman"/>
          <w:sz w:val="18"/>
          <w:szCs w:val="18"/>
        </w:rPr>
        <w:t xml:space="preserve">Zob.: zdanie odrębne Sędziego </w:t>
      </w:r>
      <w:proofErr w:type="spellStart"/>
      <w:r w:rsidR="00340645">
        <w:rPr>
          <w:rFonts w:ascii="Times New Roman" w:hAnsi="Times New Roman" w:cs="Times New Roman"/>
          <w:sz w:val="18"/>
          <w:szCs w:val="18"/>
        </w:rPr>
        <w:t>Bonello</w:t>
      </w:r>
      <w:proofErr w:type="spellEnd"/>
      <w:r w:rsidR="00340645">
        <w:rPr>
          <w:rFonts w:ascii="Times New Roman" w:hAnsi="Times New Roman" w:cs="Times New Roman"/>
          <w:sz w:val="18"/>
          <w:szCs w:val="18"/>
        </w:rPr>
        <w:t xml:space="preserve"> do wyroku ETPC z dnia 19 maja 2009 roku; </w:t>
      </w:r>
      <w:r w:rsidR="00340645" w:rsidRPr="00213E80">
        <w:rPr>
          <w:rFonts w:ascii="Times New Roman" w:hAnsi="Times New Roman" w:cs="Times New Roman"/>
          <w:i/>
          <w:iCs/>
          <w:sz w:val="18"/>
          <w:szCs w:val="18"/>
        </w:rPr>
        <w:t xml:space="preserve">Kulikowski </w:t>
      </w:r>
      <w:r w:rsidR="00213E80" w:rsidRPr="00213E80">
        <w:rPr>
          <w:rFonts w:ascii="Times New Roman" w:hAnsi="Times New Roman" w:cs="Times New Roman"/>
          <w:i/>
          <w:iCs/>
          <w:sz w:val="18"/>
          <w:szCs w:val="18"/>
        </w:rPr>
        <w:t>v.</w:t>
      </w:r>
      <w:r w:rsidR="00340645" w:rsidRPr="00213E80">
        <w:rPr>
          <w:rFonts w:ascii="Times New Roman" w:hAnsi="Times New Roman" w:cs="Times New Roman"/>
          <w:i/>
          <w:iCs/>
          <w:sz w:val="18"/>
          <w:szCs w:val="18"/>
        </w:rPr>
        <w:t xml:space="preserve"> Pols</w:t>
      </w:r>
      <w:r w:rsidR="00213E80" w:rsidRPr="00213E80">
        <w:rPr>
          <w:rFonts w:ascii="Times New Roman" w:hAnsi="Times New Roman" w:cs="Times New Roman"/>
          <w:i/>
          <w:iCs/>
          <w:sz w:val="18"/>
          <w:szCs w:val="18"/>
        </w:rPr>
        <w:t>ka</w:t>
      </w:r>
      <w:r w:rsidR="00340645">
        <w:rPr>
          <w:rFonts w:ascii="Times New Roman" w:hAnsi="Times New Roman" w:cs="Times New Roman"/>
          <w:sz w:val="18"/>
          <w:szCs w:val="18"/>
        </w:rPr>
        <w:t>; skarga</w:t>
      </w:r>
      <w:r w:rsidR="00D45840">
        <w:rPr>
          <w:rFonts w:ascii="Times New Roman" w:hAnsi="Times New Roman" w:cs="Times New Roman"/>
          <w:sz w:val="18"/>
          <w:szCs w:val="18"/>
        </w:rPr>
        <w:t xml:space="preserve"> </w:t>
      </w:r>
      <w:r w:rsidR="00340645">
        <w:rPr>
          <w:rFonts w:ascii="Times New Roman" w:hAnsi="Times New Roman" w:cs="Times New Roman"/>
          <w:sz w:val="18"/>
          <w:szCs w:val="18"/>
        </w:rPr>
        <w:t xml:space="preserve">nr </w:t>
      </w:r>
      <w:r w:rsidR="00340645" w:rsidRPr="00D45840">
        <w:rPr>
          <w:rFonts w:ascii="Times New Roman" w:hAnsi="Times New Roman" w:cs="Times New Roman"/>
          <w:sz w:val="18"/>
          <w:szCs w:val="18"/>
          <w:u w:val="single"/>
        </w:rPr>
        <w:t>18353/03</w:t>
      </w:r>
      <w:r w:rsidR="00340645">
        <w:rPr>
          <w:rFonts w:ascii="Times New Roman" w:hAnsi="Times New Roman" w:cs="Times New Roman"/>
          <w:sz w:val="18"/>
          <w:szCs w:val="18"/>
        </w:rPr>
        <w:t xml:space="preserve">; § </w:t>
      </w:r>
      <w:r w:rsidR="00D45840">
        <w:rPr>
          <w:rFonts w:ascii="Times New Roman" w:hAnsi="Times New Roman" w:cs="Times New Roman"/>
          <w:sz w:val="18"/>
          <w:szCs w:val="18"/>
        </w:rPr>
        <w:t>3</w:t>
      </w:r>
    </w:p>
  </w:footnote>
  <w:footnote w:id="15">
    <w:p w14:paraId="335D082A" w14:textId="3255734D" w:rsidR="003258D1" w:rsidRDefault="003258D1" w:rsidP="006E32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45840" w:rsidRPr="004938FC">
        <w:rPr>
          <w:rFonts w:ascii="Times New Roman" w:hAnsi="Times New Roman" w:cs="Times New Roman"/>
          <w:sz w:val="18"/>
          <w:szCs w:val="18"/>
        </w:rPr>
        <w:t>Zob.: wyrok</w:t>
      </w:r>
      <w:r w:rsidR="00D45840">
        <w:rPr>
          <w:rFonts w:ascii="Times New Roman" w:hAnsi="Times New Roman" w:cs="Times New Roman"/>
          <w:sz w:val="18"/>
          <w:szCs w:val="18"/>
        </w:rPr>
        <w:t xml:space="preserve"> ETPC </w:t>
      </w:r>
      <w:r w:rsidR="00D45840" w:rsidRPr="004938FC">
        <w:rPr>
          <w:rFonts w:ascii="Times New Roman" w:hAnsi="Times New Roman" w:cs="Times New Roman"/>
          <w:sz w:val="18"/>
          <w:szCs w:val="18"/>
        </w:rPr>
        <w:t xml:space="preserve">z dnia </w:t>
      </w:r>
      <w:r w:rsidR="00D45840">
        <w:rPr>
          <w:rFonts w:ascii="Times New Roman" w:hAnsi="Times New Roman" w:cs="Times New Roman"/>
          <w:sz w:val="18"/>
          <w:szCs w:val="18"/>
        </w:rPr>
        <w:t>3</w:t>
      </w:r>
      <w:r w:rsidR="00D45840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D45840">
        <w:rPr>
          <w:rFonts w:ascii="Times New Roman" w:hAnsi="Times New Roman" w:cs="Times New Roman"/>
          <w:sz w:val="18"/>
          <w:szCs w:val="18"/>
        </w:rPr>
        <w:t>listopada</w:t>
      </w:r>
      <w:r w:rsidR="00D45840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D45840">
        <w:rPr>
          <w:rFonts w:ascii="Times New Roman" w:hAnsi="Times New Roman" w:cs="Times New Roman"/>
          <w:sz w:val="18"/>
          <w:szCs w:val="18"/>
        </w:rPr>
        <w:t>2011</w:t>
      </w:r>
      <w:r w:rsidR="00D45840" w:rsidRPr="004938FC">
        <w:rPr>
          <w:rFonts w:ascii="Times New Roman" w:hAnsi="Times New Roman" w:cs="Times New Roman"/>
          <w:sz w:val="18"/>
          <w:szCs w:val="18"/>
        </w:rPr>
        <w:t xml:space="preserve"> roku; </w:t>
      </w:r>
      <w:r w:rsidR="00D45840">
        <w:rPr>
          <w:rFonts w:ascii="Times New Roman" w:hAnsi="Times New Roman" w:cs="Times New Roman"/>
          <w:i/>
          <w:iCs/>
          <w:sz w:val="18"/>
          <w:szCs w:val="18"/>
        </w:rPr>
        <w:t>Żebrowski v. Polska</w:t>
      </w:r>
      <w:r w:rsidR="00D45840">
        <w:rPr>
          <w:rFonts w:ascii="Times New Roman" w:hAnsi="Times New Roman" w:cs="Times New Roman"/>
          <w:sz w:val="18"/>
          <w:szCs w:val="18"/>
        </w:rPr>
        <w:t>; skarga nr</w:t>
      </w:r>
      <w:r w:rsidR="00D45840" w:rsidRPr="004938FC">
        <w:rPr>
          <w:rFonts w:ascii="Times New Roman" w:hAnsi="Times New Roman" w:cs="Times New Roman"/>
          <w:sz w:val="18"/>
          <w:szCs w:val="18"/>
        </w:rPr>
        <w:t xml:space="preserve"> </w:t>
      </w:r>
      <w:r w:rsidR="00D45840">
        <w:rPr>
          <w:rFonts w:ascii="Times New Roman" w:hAnsi="Times New Roman" w:cs="Times New Roman"/>
          <w:sz w:val="18"/>
          <w:szCs w:val="18"/>
          <w:u w:val="single"/>
        </w:rPr>
        <w:t>34736</w:t>
      </w:r>
      <w:r w:rsidR="00D45840" w:rsidRPr="004938FC">
        <w:rPr>
          <w:rFonts w:ascii="Times New Roman" w:hAnsi="Times New Roman" w:cs="Times New Roman"/>
          <w:sz w:val="18"/>
          <w:szCs w:val="18"/>
          <w:u w:val="single"/>
        </w:rPr>
        <w:t>/</w:t>
      </w:r>
      <w:r w:rsidR="00D45840">
        <w:rPr>
          <w:rFonts w:ascii="Times New Roman" w:hAnsi="Times New Roman" w:cs="Times New Roman"/>
          <w:sz w:val="18"/>
          <w:szCs w:val="18"/>
          <w:u w:val="single"/>
        </w:rPr>
        <w:t>06</w:t>
      </w:r>
    </w:p>
  </w:footnote>
  <w:footnote w:id="16">
    <w:p w14:paraId="4C8CC31E" w14:textId="5C0BA3B3" w:rsidR="00B90CE7" w:rsidRDefault="00B90CE7" w:rsidP="006E323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Zob.: wyrok ETPC z dnia </w:t>
      </w:r>
      <w:r w:rsidR="00AB2833">
        <w:rPr>
          <w:rFonts w:ascii="Times New Roman" w:hAnsi="Times New Roman" w:cs="Times New Roman"/>
          <w:sz w:val="18"/>
          <w:szCs w:val="18"/>
        </w:rPr>
        <w:t xml:space="preserve">28 lipca 2009 roku; </w:t>
      </w:r>
      <w:r w:rsidR="00AB2833" w:rsidRPr="007C04B1">
        <w:rPr>
          <w:rFonts w:ascii="Times New Roman" w:hAnsi="Times New Roman" w:cs="Times New Roman"/>
          <w:i/>
          <w:iCs/>
          <w:sz w:val="18"/>
          <w:szCs w:val="18"/>
        </w:rPr>
        <w:t>Smyk v. Polska</w:t>
      </w:r>
      <w:r w:rsidR="00AB2833">
        <w:rPr>
          <w:rFonts w:ascii="Times New Roman" w:hAnsi="Times New Roman" w:cs="Times New Roman"/>
          <w:sz w:val="18"/>
          <w:szCs w:val="18"/>
        </w:rPr>
        <w:t xml:space="preserve">; skarga nr </w:t>
      </w:r>
      <w:r w:rsidR="00AB2833" w:rsidRPr="007C04B1">
        <w:rPr>
          <w:rFonts w:ascii="Times New Roman" w:hAnsi="Times New Roman" w:cs="Times New Roman"/>
          <w:sz w:val="18"/>
          <w:szCs w:val="18"/>
          <w:u w:val="single"/>
        </w:rPr>
        <w:t>8958/04</w:t>
      </w:r>
      <w:r w:rsidR="00AB2833">
        <w:rPr>
          <w:rFonts w:ascii="Times New Roman" w:hAnsi="Times New Roman" w:cs="Times New Roman"/>
          <w:sz w:val="18"/>
          <w:szCs w:val="18"/>
        </w:rPr>
        <w:t>; odmowa doręczona stronie na 24 dni przed upływem terminu ustawowego</w:t>
      </w:r>
      <w:r w:rsidR="0060759E">
        <w:rPr>
          <w:rFonts w:ascii="Times New Roman" w:hAnsi="Times New Roman" w:cs="Times New Roman"/>
          <w:sz w:val="18"/>
          <w:szCs w:val="18"/>
        </w:rPr>
        <w:t xml:space="preserve"> – nie stwierdzono naruszenia Artykułu 6 § 1</w:t>
      </w:r>
    </w:p>
    <w:p w14:paraId="3A3819B3" w14:textId="51FFEE9D" w:rsidR="00AB2833" w:rsidRDefault="00AB2833" w:rsidP="006E323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oraz: wyrok ETPC z dnia 3 lipca 2012 roku; </w:t>
      </w:r>
      <w:r w:rsidRPr="007C04B1">
        <w:rPr>
          <w:rFonts w:ascii="Times New Roman" w:hAnsi="Times New Roman" w:cs="Times New Roman"/>
          <w:i/>
          <w:iCs/>
          <w:sz w:val="18"/>
          <w:szCs w:val="18"/>
        </w:rPr>
        <w:t>Siwiec v. Polska</w:t>
      </w:r>
      <w:r>
        <w:rPr>
          <w:rFonts w:ascii="Times New Roman" w:hAnsi="Times New Roman" w:cs="Times New Roman"/>
          <w:sz w:val="18"/>
          <w:szCs w:val="18"/>
        </w:rPr>
        <w:t xml:space="preserve">; skarga nr </w:t>
      </w:r>
      <w:r w:rsidRPr="007C04B1">
        <w:rPr>
          <w:rFonts w:ascii="Times New Roman" w:hAnsi="Times New Roman" w:cs="Times New Roman"/>
          <w:sz w:val="18"/>
          <w:szCs w:val="18"/>
          <w:u w:val="single"/>
        </w:rPr>
        <w:t>28095/08</w:t>
      </w:r>
      <w:r>
        <w:rPr>
          <w:rFonts w:ascii="Times New Roman" w:hAnsi="Times New Roman" w:cs="Times New Roman"/>
          <w:sz w:val="18"/>
          <w:szCs w:val="18"/>
        </w:rPr>
        <w:t>; odmowa doręczona stronie na 6 tygodni przed upływem terminu ustawowego</w:t>
      </w:r>
      <w:r w:rsidR="0060759E">
        <w:rPr>
          <w:rFonts w:ascii="Times New Roman" w:hAnsi="Times New Roman" w:cs="Times New Roman"/>
          <w:sz w:val="18"/>
          <w:szCs w:val="18"/>
        </w:rPr>
        <w:t xml:space="preserve"> – nie stwierdzono naruszenia Artykułu 6 § 1</w:t>
      </w:r>
    </w:p>
    <w:p w14:paraId="2909E5F5" w14:textId="24ECA40D" w:rsidR="001669CB" w:rsidRDefault="001669CB" w:rsidP="006E323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oraz: wyrok ETPC z dnia 27 czerwca 2006 roku; Tabor v. Polska; skarga nr 12825/02; wniosek </w:t>
      </w:r>
      <w:r w:rsidR="009E2604">
        <w:rPr>
          <w:rFonts w:ascii="Times New Roman" w:hAnsi="Times New Roman" w:cs="Times New Roman"/>
          <w:sz w:val="18"/>
          <w:szCs w:val="18"/>
        </w:rPr>
        <w:t>rozpoznany 1 miesiąc po upływie ustawowego terminu do wniesienia kasacji</w:t>
      </w:r>
      <w:r w:rsidR="0060759E">
        <w:rPr>
          <w:rFonts w:ascii="Times New Roman" w:hAnsi="Times New Roman" w:cs="Times New Roman"/>
          <w:sz w:val="18"/>
          <w:szCs w:val="18"/>
        </w:rPr>
        <w:t xml:space="preserve"> – stwierdzono naruszenie Artykułu 6 § 1</w:t>
      </w:r>
    </w:p>
    <w:p w14:paraId="6AF546ED" w14:textId="72A6FF83" w:rsidR="009E2604" w:rsidRDefault="009E2604" w:rsidP="006E323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oraz: wyrok ETPC z dnia 22 marca 2007 roku; </w:t>
      </w:r>
      <w:proofErr w:type="spellStart"/>
      <w:r>
        <w:rPr>
          <w:rFonts w:ascii="Times New Roman" w:hAnsi="Times New Roman" w:cs="Times New Roman"/>
          <w:sz w:val="18"/>
          <w:szCs w:val="18"/>
        </w:rPr>
        <w:t>Siałkowska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v. Polska; skarga nr 8932/05; s</w:t>
      </w:r>
      <w:r w:rsidR="0060759E">
        <w:rPr>
          <w:rFonts w:ascii="Times New Roman" w:hAnsi="Times New Roman" w:cs="Times New Roman"/>
          <w:sz w:val="18"/>
          <w:szCs w:val="18"/>
        </w:rPr>
        <w:t>tanowisko przekazane stronie na 3 dni</w:t>
      </w:r>
      <w:r w:rsidR="00FD5626">
        <w:rPr>
          <w:rFonts w:ascii="Times New Roman" w:hAnsi="Times New Roman" w:cs="Times New Roman"/>
          <w:sz w:val="18"/>
          <w:szCs w:val="18"/>
        </w:rPr>
        <w:t xml:space="preserve"> przed upływem terminu ustawowego – stwierdzono naruszenie Artykułu 6 § 1</w:t>
      </w:r>
    </w:p>
    <w:p w14:paraId="7E43CC76" w14:textId="091EBA4D" w:rsidR="00C071DD" w:rsidRPr="00837D9D" w:rsidRDefault="00C071DD" w:rsidP="006E3239">
      <w:pPr>
        <w:pStyle w:val="Tekstprzypisudolneg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oraz: wyrok ETPC z dnia 11 stycznia 2011 roku; Jędrzejczak v. Polska; skarga nr</w:t>
      </w:r>
      <w:r w:rsidR="00837D9D">
        <w:rPr>
          <w:rFonts w:ascii="Times New Roman" w:hAnsi="Times New Roman" w:cs="Times New Roman"/>
          <w:sz w:val="18"/>
          <w:szCs w:val="18"/>
        </w:rPr>
        <w:t xml:space="preserve"> 56334/08; strona poinformowana na 6 dni przed upływem terminu ustawowego – stwierdzono naruszenie Artykułu 6 § 1</w:t>
      </w:r>
    </w:p>
  </w:footnote>
  <w:footnote w:id="17">
    <w:p w14:paraId="67A0076B" w14:textId="11EF046B" w:rsidR="00767690" w:rsidRPr="00A401CB" w:rsidRDefault="00767690" w:rsidP="006E323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Trybunał przywołuje linię orzeczniczą wypracowaną przez niego w wyżej wymienionych wyrokach w</w:t>
      </w:r>
      <w:r w:rsidR="001669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wyroku ETPC z dnia 9 lipca 2013 roku; </w:t>
      </w:r>
      <w:r w:rsidRPr="001E6DF3">
        <w:rPr>
          <w:rFonts w:ascii="Times New Roman" w:hAnsi="Times New Roman" w:cs="Times New Roman"/>
          <w:i/>
          <w:iCs/>
          <w:sz w:val="18"/>
          <w:szCs w:val="18"/>
        </w:rPr>
        <w:t>Piotr Kozłowski v. Polska</w:t>
      </w:r>
      <w:r>
        <w:rPr>
          <w:rFonts w:ascii="Times New Roman" w:hAnsi="Times New Roman" w:cs="Times New Roman"/>
          <w:sz w:val="18"/>
          <w:szCs w:val="18"/>
        </w:rPr>
        <w:t xml:space="preserve">; skarga nr </w:t>
      </w:r>
      <w:r w:rsidRPr="001E6DF3">
        <w:rPr>
          <w:rFonts w:ascii="Times New Roman" w:hAnsi="Times New Roman" w:cs="Times New Roman"/>
          <w:sz w:val="18"/>
          <w:szCs w:val="18"/>
          <w:u w:val="single"/>
        </w:rPr>
        <w:t>24250/11</w:t>
      </w:r>
      <w:r>
        <w:rPr>
          <w:rFonts w:ascii="Times New Roman" w:hAnsi="Times New Roman" w:cs="Times New Roman"/>
          <w:sz w:val="18"/>
          <w:szCs w:val="18"/>
        </w:rPr>
        <w:t>; sprawa dotyczyła postępowania przed sądami administracyjnymi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844"/>
    <w:multiLevelType w:val="hybridMultilevel"/>
    <w:tmpl w:val="14FE9BF6"/>
    <w:lvl w:ilvl="0" w:tplc="5FCC91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5F8B"/>
    <w:multiLevelType w:val="hybridMultilevel"/>
    <w:tmpl w:val="35F09FFC"/>
    <w:lvl w:ilvl="0" w:tplc="5FCC91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3453"/>
    <w:multiLevelType w:val="hybridMultilevel"/>
    <w:tmpl w:val="0FFCBCE0"/>
    <w:lvl w:ilvl="0" w:tplc="5FCC9198">
      <w:start w:val="1"/>
      <w:numFmt w:val="bullet"/>
      <w:lvlText w:val="­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9EB3E8D"/>
    <w:multiLevelType w:val="hybridMultilevel"/>
    <w:tmpl w:val="CF0EF8F4"/>
    <w:lvl w:ilvl="0" w:tplc="90160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19CD"/>
    <w:multiLevelType w:val="hybridMultilevel"/>
    <w:tmpl w:val="99F4C48C"/>
    <w:lvl w:ilvl="0" w:tplc="D1CC36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5310C"/>
    <w:multiLevelType w:val="hybridMultilevel"/>
    <w:tmpl w:val="8ADA57E6"/>
    <w:lvl w:ilvl="0" w:tplc="5FCC91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82ED2"/>
    <w:multiLevelType w:val="hybridMultilevel"/>
    <w:tmpl w:val="DE0E5E14"/>
    <w:lvl w:ilvl="0" w:tplc="5FCC9198">
      <w:start w:val="1"/>
      <w:numFmt w:val="bullet"/>
      <w:lvlText w:val="­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96757"/>
    <w:multiLevelType w:val="hybridMultilevel"/>
    <w:tmpl w:val="992CC75C"/>
    <w:lvl w:ilvl="0" w:tplc="5FCC91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3486"/>
    <w:multiLevelType w:val="hybridMultilevel"/>
    <w:tmpl w:val="550E92A8"/>
    <w:lvl w:ilvl="0" w:tplc="31305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37625"/>
    <w:multiLevelType w:val="hybridMultilevel"/>
    <w:tmpl w:val="6BC282A4"/>
    <w:lvl w:ilvl="0" w:tplc="5FCC91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F1F89"/>
    <w:multiLevelType w:val="hybridMultilevel"/>
    <w:tmpl w:val="9F38907C"/>
    <w:lvl w:ilvl="0" w:tplc="F7B8ED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5736781">
    <w:abstractNumId w:val="3"/>
  </w:num>
  <w:num w:numId="2" w16cid:durableId="1852916679">
    <w:abstractNumId w:val="10"/>
  </w:num>
  <w:num w:numId="3" w16cid:durableId="678238536">
    <w:abstractNumId w:val="8"/>
  </w:num>
  <w:num w:numId="4" w16cid:durableId="1914318915">
    <w:abstractNumId w:val="6"/>
  </w:num>
  <w:num w:numId="5" w16cid:durableId="1960531807">
    <w:abstractNumId w:val="2"/>
  </w:num>
  <w:num w:numId="6" w16cid:durableId="214508822">
    <w:abstractNumId w:val="0"/>
  </w:num>
  <w:num w:numId="7" w16cid:durableId="10307660">
    <w:abstractNumId w:val="5"/>
  </w:num>
  <w:num w:numId="8" w16cid:durableId="1113552510">
    <w:abstractNumId w:val="1"/>
  </w:num>
  <w:num w:numId="9" w16cid:durableId="1912303449">
    <w:abstractNumId w:val="9"/>
  </w:num>
  <w:num w:numId="10" w16cid:durableId="1563128407">
    <w:abstractNumId w:val="7"/>
  </w:num>
  <w:num w:numId="11" w16cid:durableId="100736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8F"/>
    <w:rsid w:val="000B497F"/>
    <w:rsid w:val="00124F7E"/>
    <w:rsid w:val="001669CB"/>
    <w:rsid w:val="001712F7"/>
    <w:rsid w:val="001E6DF3"/>
    <w:rsid w:val="00213E80"/>
    <w:rsid w:val="002E2F72"/>
    <w:rsid w:val="003258D1"/>
    <w:rsid w:val="00340645"/>
    <w:rsid w:val="003902DC"/>
    <w:rsid w:val="003D1519"/>
    <w:rsid w:val="0045640E"/>
    <w:rsid w:val="00487B65"/>
    <w:rsid w:val="004938FC"/>
    <w:rsid w:val="00501AAD"/>
    <w:rsid w:val="005A26D5"/>
    <w:rsid w:val="005E4BB7"/>
    <w:rsid w:val="0060759E"/>
    <w:rsid w:val="00686506"/>
    <w:rsid w:val="006A18B0"/>
    <w:rsid w:val="006C6768"/>
    <w:rsid w:val="006C767D"/>
    <w:rsid w:val="006D17E7"/>
    <w:rsid w:val="006E3239"/>
    <w:rsid w:val="00746FD7"/>
    <w:rsid w:val="00767690"/>
    <w:rsid w:val="007A795F"/>
    <w:rsid w:val="007C04B1"/>
    <w:rsid w:val="007E5C29"/>
    <w:rsid w:val="00837D9D"/>
    <w:rsid w:val="0087514A"/>
    <w:rsid w:val="0087682D"/>
    <w:rsid w:val="00876910"/>
    <w:rsid w:val="008C55DD"/>
    <w:rsid w:val="00921C02"/>
    <w:rsid w:val="00966F1A"/>
    <w:rsid w:val="00974A81"/>
    <w:rsid w:val="009B0E31"/>
    <w:rsid w:val="009E2604"/>
    <w:rsid w:val="00A401CB"/>
    <w:rsid w:val="00A41E2E"/>
    <w:rsid w:val="00AB2833"/>
    <w:rsid w:val="00B1189D"/>
    <w:rsid w:val="00B14F42"/>
    <w:rsid w:val="00B263E7"/>
    <w:rsid w:val="00B74E5B"/>
    <w:rsid w:val="00B90CE7"/>
    <w:rsid w:val="00C071DD"/>
    <w:rsid w:val="00C765E3"/>
    <w:rsid w:val="00D45840"/>
    <w:rsid w:val="00D7017C"/>
    <w:rsid w:val="00D95A8F"/>
    <w:rsid w:val="00D974C1"/>
    <w:rsid w:val="00DB376D"/>
    <w:rsid w:val="00E225BF"/>
    <w:rsid w:val="00EB7F2E"/>
    <w:rsid w:val="00EF225B"/>
    <w:rsid w:val="00F540B4"/>
    <w:rsid w:val="00F755B7"/>
    <w:rsid w:val="00FA1855"/>
    <w:rsid w:val="00FD562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7C5F"/>
  <w15:chartTrackingRefBased/>
  <w15:docId w15:val="{303A62ED-5177-44D6-9E60-C2F8993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A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A8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1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1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82DD-EB8E-4E43-AA5E-167A6BD2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Szponar Paweł  (DWMPC)</cp:lastModifiedBy>
  <cp:revision>3</cp:revision>
  <dcterms:created xsi:type="dcterms:W3CDTF">2025-02-25T10:58:00Z</dcterms:created>
  <dcterms:modified xsi:type="dcterms:W3CDTF">2025-02-25T15:09:00Z</dcterms:modified>
</cp:coreProperties>
</file>