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66B" w:rsidRDefault="000B266B">
      <w:pPr>
        <w:pStyle w:val="Bodytext10"/>
        <w:framePr w:w="2153" w:h="360" w:wrap="none" w:hAnchor="page" w:x="703" w:y="1"/>
        <w:pBdr>
          <w:bottom w:val="single" w:sz="4" w:space="0" w:color="auto"/>
        </w:pBdr>
        <w:spacing w:after="0"/>
      </w:pPr>
      <w:bookmarkStart w:id="0" w:name="_GoBack"/>
      <w:bookmarkEnd w:id="0"/>
    </w:p>
    <w:p w:rsidR="000B266B" w:rsidRDefault="000B266B">
      <w:pPr>
        <w:spacing w:after="359" w:line="1" w:lineRule="exact"/>
      </w:pPr>
    </w:p>
    <w:p w:rsidR="000B266B" w:rsidRDefault="000B266B">
      <w:pPr>
        <w:spacing w:line="1" w:lineRule="exact"/>
        <w:sectPr w:rsidR="000B266B">
          <w:footerReference w:type="default" r:id="rId7"/>
          <w:type w:val="continuous"/>
          <w:pgSz w:w="11900" w:h="16840"/>
          <w:pgMar w:top="1029" w:right="917" w:bottom="792" w:left="702" w:header="601" w:footer="3" w:gutter="0"/>
          <w:pgNumType w:fmt="lowerRoman" w:start="1"/>
          <w:cols w:space="720"/>
          <w:noEndnote/>
          <w:docGrid w:linePitch="360"/>
        </w:sectPr>
      </w:pPr>
    </w:p>
    <w:p w:rsidR="000B266B" w:rsidRDefault="00935372">
      <w:pPr>
        <w:pStyle w:val="Bodytext20"/>
        <w:spacing w:line="286" w:lineRule="auto"/>
        <w:ind w:left="1960"/>
      </w:pPr>
      <w:r>
        <w:rPr>
          <w:noProof/>
          <w:lang w:bidi="ar-SA"/>
        </w:rPr>
        <mc:AlternateContent>
          <mc:Choice Requires="wps">
            <w:drawing>
              <wp:anchor distT="0" distB="0" distL="114300" distR="114300" simplePos="0" relativeHeight="125829378" behindDoc="0" locked="0" layoutInCell="1" allowOverlap="1">
                <wp:simplePos x="0" y="0"/>
                <wp:positionH relativeFrom="page">
                  <wp:posOffset>445770</wp:posOffset>
                </wp:positionH>
                <wp:positionV relativeFrom="paragraph">
                  <wp:posOffset>12700</wp:posOffset>
                </wp:positionV>
                <wp:extent cx="585470" cy="685800"/>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585470" cy="685800"/>
                        </a:xfrm>
                        <a:prstGeom prst="rect">
                          <a:avLst/>
                        </a:prstGeom>
                        <a:noFill/>
                      </wps:spPr>
                      <wps:txbx>
                        <w:txbxContent>
                          <w:p w:rsidR="000B266B" w:rsidRDefault="00935372">
                            <w:pPr>
                              <w:pStyle w:val="Bodytext20"/>
                              <w:spacing w:line="276" w:lineRule="auto"/>
                              <w:ind w:left="0"/>
                              <w:rPr>
                                <w:sz w:val="20"/>
                                <w:szCs w:val="20"/>
                              </w:rPr>
                            </w:pPr>
                            <w:r>
                              <w:rPr>
                                <w:rStyle w:val="Bodytext2"/>
                                <w:b/>
                                <w:bCs/>
                                <w:sz w:val="20"/>
                                <w:szCs w:val="20"/>
                              </w:rPr>
                              <w:t>Od: Wysłano: Do: Temat:</w:t>
                            </w:r>
                          </w:p>
                        </w:txbxContent>
                      </wps:txbx>
                      <wps:bodyPr lIns="0" tIns="0" rIns="0" bIns="0"/>
                    </wps:wsp>
                  </a:graphicData>
                </a:graphic>
              </wp:anchor>
            </w:drawing>
          </mc:Choice>
          <mc:Fallback>
            <w:pict>
              <v:shape id="_x0000_s1029" type="#_x0000_t202" style="position:absolute;margin-left:35.100000000000001pt;margin-top:1.pt;width:46.100000000000001pt;height:54.pt;z-index:-125829375;mso-wrap-distance-left:9.pt;mso-wrap-distance-right:9.pt;mso-position-horizontal-relative:page" filled="f" stroked="f">
                <v:textbox inset="0,0,0,0">
                  <w:txbxContent>
                    <w:p>
                      <w:pPr>
                        <w:pStyle w:val="Style8"/>
                        <w:keepNext w:val="0"/>
                        <w:keepLines w:val="0"/>
                        <w:widowControl w:val="0"/>
                        <w:shd w:val="clear" w:color="auto" w:fill="auto"/>
                        <w:bidi w:val="0"/>
                        <w:spacing w:before="0" w:after="0" w:line="276" w:lineRule="auto"/>
                        <w:ind w:left="0" w:right="0" w:firstLine="0"/>
                        <w:jc w:val="left"/>
                        <w:rPr>
                          <w:sz w:val="20"/>
                          <w:szCs w:val="20"/>
                        </w:rPr>
                      </w:pPr>
                      <w:r>
                        <w:rPr>
                          <w:rStyle w:val="CharStyle9"/>
                          <w:b/>
                          <w:bCs/>
                          <w:sz w:val="20"/>
                          <w:szCs w:val="20"/>
                        </w:rPr>
                        <w:t>Od: Wysłano: Do: Temat:</w:t>
                      </w:r>
                    </w:p>
                  </w:txbxContent>
                </v:textbox>
                <w10:wrap type="square" anchorx="page"/>
              </v:shape>
            </w:pict>
          </mc:Fallback>
        </mc:AlternateContent>
      </w:r>
    </w:p>
    <w:p w:rsidR="000B266B" w:rsidRDefault="00935372">
      <w:pPr>
        <w:pStyle w:val="Bodytext20"/>
        <w:spacing w:line="286" w:lineRule="auto"/>
        <w:ind w:left="1960"/>
      </w:pPr>
      <w:r>
        <w:rPr>
          <w:rStyle w:val="Bodytext2"/>
        </w:rPr>
        <w:t>środa, 12 sierpnia 2026 10:32</w:t>
      </w:r>
    </w:p>
    <w:p w:rsidR="000B266B" w:rsidRDefault="000B266B">
      <w:pPr>
        <w:pStyle w:val="Bodytext20"/>
        <w:spacing w:line="286" w:lineRule="auto"/>
        <w:ind w:left="1960"/>
      </w:pPr>
    </w:p>
    <w:p w:rsidR="000B266B" w:rsidRDefault="00935372">
      <w:pPr>
        <w:pStyle w:val="Bodytext20"/>
        <w:spacing w:after="1200" w:line="286" w:lineRule="auto"/>
        <w:ind w:left="3080" w:hanging="1100"/>
      </w:pPr>
      <w:r>
        <w:rPr>
          <w:rStyle w:val="Bodytext2"/>
        </w:rPr>
        <w:t>[RKIL] Przekierowanie dokumentu z bazy 'Rejestr korespondencji i listów '. List numer 014657/1</w:t>
      </w:r>
    </w:p>
    <w:p w:rsidR="000B266B" w:rsidRDefault="00935372">
      <w:pPr>
        <w:pStyle w:val="Tablecaption10"/>
      </w:pPr>
      <w:r>
        <w:rPr>
          <w:rStyle w:val="Tablecaption1"/>
          <w:b/>
          <w:bCs/>
        </w:rPr>
        <w:t>Biuro Komunikacji Społecznej przekazuje pismo:</w:t>
      </w:r>
    </w:p>
    <w:tbl>
      <w:tblPr>
        <w:tblOverlap w:val="never"/>
        <w:tblW w:w="0" w:type="auto"/>
        <w:tblLayout w:type="fixed"/>
        <w:tblCellMar>
          <w:left w:w="10" w:type="dxa"/>
          <w:right w:w="10" w:type="dxa"/>
        </w:tblCellMar>
        <w:tblLook w:val="0000" w:firstRow="0" w:lastRow="0" w:firstColumn="0" w:lastColumn="0" w:noHBand="0" w:noVBand="0"/>
      </w:tblPr>
      <w:tblGrid>
        <w:gridCol w:w="2074"/>
        <w:gridCol w:w="4363"/>
      </w:tblGrid>
      <w:tr w:rsidR="000B266B">
        <w:trPr>
          <w:trHeight w:hRule="exact" w:val="274"/>
        </w:trPr>
        <w:tc>
          <w:tcPr>
            <w:tcW w:w="2074" w:type="dxa"/>
            <w:tcBorders>
              <w:top w:val="single" w:sz="4" w:space="0" w:color="auto"/>
              <w:left w:val="single" w:sz="4" w:space="0" w:color="auto"/>
            </w:tcBorders>
            <w:shd w:val="clear" w:color="auto" w:fill="auto"/>
          </w:tcPr>
          <w:p w:rsidR="000B266B" w:rsidRDefault="00935372">
            <w:pPr>
              <w:pStyle w:val="Other10"/>
              <w:spacing w:after="0"/>
              <w:jc w:val="right"/>
              <w:rPr>
                <w:sz w:val="15"/>
                <w:szCs w:val="15"/>
              </w:rPr>
            </w:pPr>
            <w:r>
              <w:rPr>
                <w:rStyle w:val="Other1"/>
                <w:b/>
                <w:bCs/>
                <w:sz w:val="15"/>
                <w:szCs w:val="15"/>
              </w:rPr>
              <w:t>Typ nadawcy</w:t>
            </w:r>
          </w:p>
        </w:tc>
        <w:tc>
          <w:tcPr>
            <w:tcW w:w="4363" w:type="dxa"/>
            <w:tcBorders>
              <w:top w:val="single" w:sz="4" w:space="0" w:color="auto"/>
              <w:left w:val="single" w:sz="4" w:space="0" w:color="auto"/>
              <w:right w:val="single" w:sz="4" w:space="0" w:color="auto"/>
            </w:tcBorders>
            <w:shd w:val="clear" w:color="auto" w:fill="auto"/>
          </w:tcPr>
          <w:p w:rsidR="000B266B" w:rsidRDefault="00935372">
            <w:pPr>
              <w:pStyle w:val="Other10"/>
              <w:spacing w:after="0"/>
              <w:rPr>
                <w:sz w:val="15"/>
                <w:szCs w:val="15"/>
              </w:rPr>
            </w:pPr>
            <w:r>
              <w:rPr>
                <w:rStyle w:val="Other1"/>
                <w:sz w:val="15"/>
                <w:szCs w:val="15"/>
              </w:rPr>
              <w:t>Osoba fizyczna</w:t>
            </w:r>
          </w:p>
        </w:tc>
      </w:tr>
      <w:tr w:rsidR="000B266B">
        <w:trPr>
          <w:trHeight w:hRule="exact" w:val="259"/>
        </w:trPr>
        <w:tc>
          <w:tcPr>
            <w:tcW w:w="2074" w:type="dxa"/>
            <w:tcBorders>
              <w:top w:val="single" w:sz="4" w:space="0" w:color="auto"/>
              <w:left w:val="single" w:sz="4" w:space="0" w:color="auto"/>
            </w:tcBorders>
            <w:shd w:val="clear" w:color="auto" w:fill="auto"/>
          </w:tcPr>
          <w:p w:rsidR="000B266B" w:rsidRDefault="00935372">
            <w:pPr>
              <w:pStyle w:val="Other10"/>
              <w:spacing w:after="0"/>
              <w:jc w:val="right"/>
              <w:rPr>
                <w:sz w:val="15"/>
                <w:szCs w:val="15"/>
              </w:rPr>
            </w:pPr>
            <w:r>
              <w:rPr>
                <w:rStyle w:val="Other1"/>
                <w:b/>
                <w:bCs/>
                <w:sz w:val="15"/>
                <w:szCs w:val="15"/>
              </w:rPr>
              <w:t>Nadawca</w:t>
            </w:r>
          </w:p>
        </w:tc>
        <w:tc>
          <w:tcPr>
            <w:tcW w:w="4363" w:type="dxa"/>
            <w:tcBorders>
              <w:top w:val="single" w:sz="4" w:space="0" w:color="auto"/>
              <w:left w:val="single" w:sz="4" w:space="0" w:color="auto"/>
              <w:right w:val="single" w:sz="4" w:space="0" w:color="auto"/>
            </w:tcBorders>
            <w:shd w:val="clear" w:color="auto" w:fill="auto"/>
          </w:tcPr>
          <w:p w:rsidR="000B266B" w:rsidRDefault="00A94A33">
            <w:pPr>
              <w:pStyle w:val="Other10"/>
              <w:spacing w:after="0"/>
              <w:rPr>
                <w:sz w:val="15"/>
                <w:szCs w:val="15"/>
              </w:rPr>
            </w:pPr>
            <w:r>
              <w:rPr>
                <w:rFonts w:eastAsia="Times New Roman"/>
                <w:sz w:val="15"/>
                <w:szCs w:val="15"/>
              </w:rPr>
              <w:t>Pospielov Andrii</w:t>
            </w:r>
          </w:p>
        </w:tc>
      </w:tr>
      <w:tr w:rsidR="000B266B" w:rsidRPr="000207F1">
        <w:trPr>
          <w:trHeight w:hRule="exact" w:val="785"/>
        </w:trPr>
        <w:tc>
          <w:tcPr>
            <w:tcW w:w="2074" w:type="dxa"/>
            <w:tcBorders>
              <w:top w:val="single" w:sz="4" w:space="0" w:color="auto"/>
              <w:left w:val="single" w:sz="4" w:space="0" w:color="auto"/>
            </w:tcBorders>
            <w:shd w:val="clear" w:color="auto" w:fill="auto"/>
          </w:tcPr>
          <w:p w:rsidR="000B266B" w:rsidRDefault="00935372">
            <w:pPr>
              <w:pStyle w:val="Other10"/>
              <w:spacing w:after="0"/>
              <w:jc w:val="right"/>
              <w:rPr>
                <w:sz w:val="15"/>
                <w:szCs w:val="15"/>
              </w:rPr>
            </w:pPr>
            <w:r>
              <w:rPr>
                <w:rStyle w:val="Other1"/>
                <w:b/>
                <w:bCs/>
                <w:sz w:val="15"/>
                <w:szCs w:val="15"/>
              </w:rPr>
              <w:t>Adres</w:t>
            </w:r>
          </w:p>
        </w:tc>
        <w:tc>
          <w:tcPr>
            <w:tcW w:w="4363" w:type="dxa"/>
            <w:tcBorders>
              <w:top w:val="single" w:sz="4" w:space="0" w:color="auto"/>
              <w:left w:val="single" w:sz="4" w:space="0" w:color="auto"/>
              <w:right w:val="single" w:sz="4" w:space="0" w:color="auto"/>
            </w:tcBorders>
            <w:shd w:val="clear" w:color="auto" w:fill="auto"/>
          </w:tcPr>
          <w:p w:rsidR="000B266B" w:rsidRPr="000207F1" w:rsidRDefault="000B266B">
            <w:pPr>
              <w:pStyle w:val="Other10"/>
              <w:spacing w:after="0" w:line="218" w:lineRule="auto"/>
              <w:rPr>
                <w:sz w:val="15"/>
                <w:szCs w:val="15"/>
                <w:lang w:val="en-US"/>
              </w:rPr>
            </w:pPr>
          </w:p>
        </w:tc>
      </w:tr>
      <w:tr w:rsidR="000B266B">
        <w:trPr>
          <w:trHeight w:hRule="exact" w:val="259"/>
        </w:trPr>
        <w:tc>
          <w:tcPr>
            <w:tcW w:w="2074" w:type="dxa"/>
            <w:tcBorders>
              <w:top w:val="single" w:sz="4" w:space="0" w:color="auto"/>
              <w:left w:val="single" w:sz="4" w:space="0" w:color="auto"/>
            </w:tcBorders>
            <w:shd w:val="clear" w:color="auto" w:fill="auto"/>
          </w:tcPr>
          <w:p w:rsidR="000B266B" w:rsidRDefault="00935372">
            <w:pPr>
              <w:pStyle w:val="Other10"/>
              <w:spacing w:after="0"/>
              <w:jc w:val="right"/>
              <w:rPr>
                <w:sz w:val="15"/>
                <w:szCs w:val="15"/>
              </w:rPr>
            </w:pPr>
            <w:r>
              <w:rPr>
                <w:rStyle w:val="Other1"/>
                <w:b/>
                <w:bCs/>
                <w:sz w:val="15"/>
                <w:szCs w:val="15"/>
              </w:rPr>
              <w:t>Numer BKSP</w:t>
            </w:r>
          </w:p>
        </w:tc>
        <w:tc>
          <w:tcPr>
            <w:tcW w:w="4363" w:type="dxa"/>
            <w:tcBorders>
              <w:top w:val="single" w:sz="4" w:space="0" w:color="auto"/>
              <w:left w:val="single" w:sz="4" w:space="0" w:color="auto"/>
              <w:right w:val="single" w:sz="4" w:space="0" w:color="auto"/>
            </w:tcBorders>
            <w:shd w:val="clear" w:color="auto" w:fill="auto"/>
          </w:tcPr>
          <w:p w:rsidR="000B266B" w:rsidRDefault="00935372">
            <w:pPr>
              <w:pStyle w:val="Other10"/>
              <w:spacing w:after="0"/>
              <w:rPr>
                <w:sz w:val="15"/>
                <w:szCs w:val="15"/>
              </w:rPr>
            </w:pPr>
            <w:r>
              <w:rPr>
                <w:rStyle w:val="Other1"/>
                <w:b/>
                <w:bCs/>
                <w:sz w:val="15"/>
                <w:szCs w:val="15"/>
              </w:rPr>
              <w:t>014657/1</w:t>
            </w:r>
          </w:p>
        </w:tc>
      </w:tr>
      <w:tr w:rsidR="000B266B">
        <w:trPr>
          <w:trHeight w:hRule="exact" w:val="266"/>
        </w:trPr>
        <w:tc>
          <w:tcPr>
            <w:tcW w:w="2074" w:type="dxa"/>
            <w:tcBorders>
              <w:top w:val="single" w:sz="4" w:space="0" w:color="auto"/>
              <w:left w:val="single" w:sz="4" w:space="0" w:color="auto"/>
              <w:bottom w:val="single" w:sz="4" w:space="0" w:color="auto"/>
            </w:tcBorders>
            <w:shd w:val="clear" w:color="auto" w:fill="auto"/>
          </w:tcPr>
          <w:p w:rsidR="000B266B" w:rsidRDefault="00935372">
            <w:pPr>
              <w:pStyle w:val="Other10"/>
              <w:spacing w:after="0"/>
              <w:jc w:val="right"/>
              <w:rPr>
                <w:sz w:val="15"/>
                <w:szCs w:val="15"/>
              </w:rPr>
            </w:pPr>
            <w:r>
              <w:rPr>
                <w:rStyle w:val="Other1"/>
                <w:b/>
                <w:bCs/>
                <w:sz w:val="15"/>
                <w:szCs w:val="15"/>
              </w:rPr>
              <w:t>Sygnatura wysyłki</w:t>
            </w:r>
          </w:p>
        </w:tc>
        <w:tc>
          <w:tcPr>
            <w:tcW w:w="4363" w:type="dxa"/>
            <w:tcBorders>
              <w:top w:val="single" w:sz="4" w:space="0" w:color="auto"/>
              <w:left w:val="single" w:sz="4" w:space="0" w:color="auto"/>
              <w:bottom w:val="single" w:sz="4" w:space="0" w:color="auto"/>
              <w:right w:val="single" w:sz="4" w:space="0" w:color="auto"/>
            </w:tcBorders>
            <w:shd w:val="clear" w:color="auto" w:fill="auto"/>
          </w:tcPr>
          <w:p w:rsidR="000B266B" w:rsidRDefault="00935372">
            <w:pPr>
              <w:pStyle w:val="Other10"/>
              <w:spacing w:after="0"/>
              <w:rPr>
                <w:sz w:val="15"/>
                <w:szCs w:val="15"/>
              </w:rPr>
            </w:pPr>
            <w:r>
              <w:rPr>
                <w:rStyle w:val="Other1"/>
                <w:b/>
                <w:bCs/>
                <w:sz w:val="15"/>
                <w:szCs w:val="15"/>
              </w:rPr>
              <w:t>KR20260812103208</w:t>
            </w:r>
          </w:p>
        </w:tc>
      </w:tr>
    </w:tbl>
    <w:p w:rsidR="000B266B" w:rsidRDefault="000B266B">
      <w:pPr>
        <w:spacing w:after="1059" w:line="1" w:lineRule="exact"/>
      </w:pPr>
    </w:p>
    <w:p w:rsidR="000B266B" w:rsidRDefault="00935372">
      <w:pPr>
        <w:pStyle w:val="Bodytext10"/>
        <w:spacing w:after="500"/>
      </w:pPr>
      <w:r>
        <w:rPr>
          <w:rStyle w:val="Bodytext1"/>
          <w:b/>
          <w:bCs/>
        </w:rPr>
        <w:t>****Petycja w sprawie zmiany projektu ustawy UD408 - milczące załatwienie spraw pobytowych dla wszystkich obywateli państw trzecich oraz przywrócenie wiążących terminów zgodnych z dyrektywą (UE) 2021/1883****</w:t>
      </w:r>
    </w:p>
    <w:p w:rsidR="000B266B" w:rsidRDefault="00935372">
      <w:pPr>
        <w:pStyle w:val="Bodytext20"/>
        <w:spacing w:line="240" w:lineRule="auto"/>
        <w:ind w:left="0"/>
        <w:rPr>
          <w:sz w:val="20"/>
          <w:szCs w:val="20"/>
        </w:rPr>
      </w:pPr>
      <w:r>
        <w:rPr>
          <w:rStyle w:val="Bodytext2"/>
          <w:b/>
          <w:bCs/>
          <w:sz w:val="20"/>
          <w:szCs w:val="20"/>
        </w:rPr>
        <w:t>Ta wiadomość pochodzi od nadawcy zewnętrznego</w:t>
      </w:r>
    </w:p>
    <w:p w:rsidR="000B266B" w:rsidRDefault="00935372">
      <w:pPr>
        <w:pStyle w:val="Bodytext30"/>
      </w:pPr>
      <w:r>
        <w:rPr>
          <w:rStyle w:val="Bodytext3"/>
        </w:rPr>
        <w:t>Ta wiadomość pochodzi spoza Twojej organizacji.</w:t>
      </w:r>
    </w:p>
    <w:p w:rsidR="000B266B" w:rsidRDefault="000207F1" w:rsidP="000207F1">
      <w:pPr>
        <w:pStyle w:val="Bodytext10"/>
        <w:spacing w:after="280"/>
        <w:ind w:firstLine="720"/>
      </w:pPr>
      <w:r>
        <w:rPr>
          <w:rStyle w:val="Bodytext1"/>
        </w:rPr>
        <w:t xml:space="preserve">  </w:t>
      </w:r>
      <w:r w:rsidR="00935372">
        <w:rPr>
          <w:rStyle w:val="Bodytext1"/>
        </w:rPr>
        <w:t xml:space="preserve"> 10 sierpnia 2026 r.</w:t>
      </w:r>
    </w:p>
    <w:p w:rsidR="000B266B" w:rsidRDefault="00935372">
      <w:pPr>
        <w:pStyle w:val="Bodytext10"/>
        <w:spacing w:after="0"/>
      </w:pPr>
      <w:r>
        <w:rPr>
          <w:rStyle w:val="Bodytext1"/>
        </w:rPr>
        <w:t>Wnoszący petycję:</w:t>
      </w:r>
    </w:p>
    <w:p w:rsidR="000B266B" w:rsidRDefault="00C0049A">
      <w:pPr>
        <w:pStyle w:val="Bodytext10"/>
        <w:spacing w:after="0"/>
      </w:pPr>
      <w:r>
        <w:rPr>
          <w:rFonts w:eastAsia="Times New Roman"/>
        </w:rPr>
        <w:t>Andrii Pospielov</w:t>
      </w:r>
    </w:p>
    <w:p w:rsidR="000B266B" w:rsidRDefault="000B266B">
      <w:pPr>
        <w:pStyle w:val="Bodytext10"/>
        <w:spacing w:after="0"/>
      </w:pPr>
    </w:p>
    <w:p w:rsidR="000B266B" w:rsidRPr="00A94A33" w:rsidRDefault="000B266B">
      <w:pPr>
        <w:pStyle w:val="Bodytext10"/>
        <w:spacing w:after="0"/>
      </w:pPr>
    </w:p>
    <w:p w:rsidR="000B266B" w:rsidRDefault="000B266B">
      <w:pPr>
        <w:pStyle w:val="Bodytext10"/>
        <w:spacing w:after="280"/>
      </w:pPr>
    </w:p>
    <w:p w:rsidR="000B266B" w:rsidRDefault="00935372">
      <w:pPr>
        <w:pStyle w:val="Bodytext10"/>
        <w:spacing w:after="0"/>
      </w:pPr>
      <w:r>
        <w:rPr>
          <w:rStyle w:val="Bodytext1"/>
        </w:rPr>
        <w:t>Adresat:</w:t>
      </w:r>
    </w:p>
    <w:p w:rsidR="000B266B" w:rsidRDefault="00935372">
      <w:pPr>
        <w:pStyle w:val="Bodytext10"/>
        <w:spacing w:after="0"/>
      </w:pPr>
      <w:r>
        <w:rPr>
          <w:rStyle w:val="Bodytext1"/>
        </w:rPr>
        <w:t>Sejm Rzeczypospolitej Polskiej</w:t>
      </w:r>
    </w:p>
    <w:p w:rsidR="000B266B" w:rsidRDefault="00935372">
      <w:pPr>
        <w:pStyle w:val="Bodytext10"/>
        <w:spacing w:after="0"/>
      </w:pPr>
      <w:r>
        <w:rPr>
          <w:rStyle w:val="Bodytext1"/>
        </w:rPr>
        <w:t>Komisja do Spraw Petycji</w:t>
      </w:r>
    </w:p>
    <w:p w:rsidR="000B266B" w:rsidRDefault="00935372">
      <w:pPr>
        <w:pStyle w:val="Bodytext10"/>
        <w:spacing w:after="280"/>
      </w:pPr>
      <w:r>
        <w:rPr>
          <w:rStyle w:val="Bodytext1"/>
        </w:rPr>
        <w:t>Kancelaria Sejmu, ul. Wiejska 4/6/8, 00-902 Warszawa</w:t>
      </w:r>
    </w:p>
    <w:p w:rsidR="000B266B" w:rsidRDefault="00935372">
      <w:pPr>
        <w:pStyle w:val="Bodytext10"/>
        <w:spacing w:after="0"/>
      </w:pPr>
      <w:r>
        <w:rPr>
          <w:rStyle w:val="Bodytext1"/>
        </w:rPr>
        <w:t>PETYCJA</w:t>
      </w:r>
    </w:p>
    <w:p w:rsidR="000B266B" w:rsidRDefault="00935372">
      <w:pPr>
        <w:pStyle w:val="Bodytext10"/>
        <w:spacing w:after="280"/>
      </w:pPr>
      <w:r>
        <w:rPr>
          <w:rStyle w:val="Bodytext1"/>
        </w:rPr>
        <w:t>w sprawie zmiany projektu ustawy UD408 oraz przywrócenia wiążących terminów w postępowaniach o udzielenie zezwoleń pobytowych</w:t>
      </w:r>
    </w:p>
    <w:p w:rsidR="000B266B" w:rsidRDefault="00935372">
      <w:pPr>
        <w:pStyle w:val="Bodytext10"/>
        <w:spacing w:after="280"/>
      </w:pPr>
      <w:r>
        <w:rPr>
          <w:rStyle w:val="Bodytext1"/>
        </w:rPr>
        <w:t xml:space="preserve">Na podstawie </w:t>
      </w:r>
      <w:r w:rsidRPr="000207F1">
        <w:rPr>
          <w:rStyle w:val="Bodytext1"/>
          <w:lang w:eastAsia="en-US" w:bidi="en-US"/>
        </w:rPr>
        <w:t xml:space="preserve">art. </w:t>
      </w:r>
      <w:r>
        <w:rPr>
          <w:rStyle w:val="Bodytext1"/>
        </w:rPr>
        <w:t>63 Konstytucji RP oraz ustawy z dnia 11 lipca 2014 r. o petycjach (Dz. U. z 2018 r. poz. 870), działając w interesie publicznym oraz w interesie własnym, wnoszę o podjęcie przez Sejm działań legislacyjnych obejmujących:</w:t>
      </w:r>
    </w:p>
    <w:p w:rsidR="000B266B" w:rsidRDefault="00935372">
      <w:pPr>
        <w:pStyle w:val="Bodytext10"/>
        <w:numPr>
          <w:ilvl w:val="0"/>
          <w:numId w:val="1"/>
        </w:numPr>
        <w:tabs>
          <w:tab w:val="left" w:pos="380"/>
        </w:tabs>
        <w:sectPr w:rsidR="000B266B">
          <w:type w:val="continuous"/>
          <w:pgSz w:w="11900" w:h="16840"/>
          <w:pgMar w:top="717" w:right="788" w:bottom="983" w:left="622" w:header="0" w:footer="3" w:gutter="0"/>
          <w:cols w:space="720"/>
          <w:noEndnote/>
          <w:docGrid w:linePitch="360"/>
        </w:sectPr>
      </w:pPr>
      <w:r>
        <w:rPr>
          <w:rStyle w:val="Bodytext1"/>
        </w:rPr>
        <w:t xml:space="preserve">rozszerzenie przewidzianej w projekcie UD408 (MSWiA, lipiec 2026) instytucji milczącego </w:t>
      </w:r>
    </w:p>
    <w:p w:rsidR="000B266B" w:rsidRDefault="00935372">
      <w:pPr>
        <w:pStyle w:val="Bodytext10"/>
        <w:tabs>
          <w:tab w:val="left" w:pos="380"/>
        </w:tabs>
      </w:pPr>
      <w:r>
        <w:rPr>
          <w:rStyle w:val="Bodytext1"/>
        </w:rPr>
        <w:lastRenderedPageBreak/>
        <w:t>załatwienia sprawy - decyzji pozytywnej po 60 dniach bezczynności organu - na wszystkich obywateli państw trzecich, w tym obywateli Ukrainy i posiadaczy Niebieskiej Karty UE, zamiast ograniczania jej do obywateli Australii, Japonii, Korei Południowej, USA i Wielkiej Brytanii;</w:t>
      </w:r>
    </w:p>
    <w:p w:rsidR="000B266B" w:rsidRDefault="00935372">
      <w:pPr>
        <w:pStyle w:val="Bodytext10"/>
        <w:numPr>
          <w:ilvl w:val="0"/>
          <w:numId w:val="1"/>
        </w:numPr>
        <w:tabs>
          <w:tab w:val="left" w:pos="334"/>
        </w:tabs>
      </w:pPr>
      <w:r>
        <w:rPr>
          <w:rStyle w:val="Bodytext1"/>
        </w:rPr>
        <w:t>zniesienie bezterminowego zawieszenia biegu terminów w sprawach pobytowych, przedłużonego specustawą pomocową do 4 marca 2027 r.;</w:t>
      </w:r>
    </w:p>
    <w:p w:rsidR="000B266B" w:rsidRDefault="00935372">
      <w:pPr>
        <w:pStyle w:val="Bodytext10"/>
        <w:numPr>
          <w:ilvl w:val="0"/>
          <w:numId w:val="1"/>
        </w:numPr>
        <w:tabs>
          <w:tab w:val="left" w:pos="342"/>
        </w:tabs>
      </w:pPr>
      <w:r>
        <w:rPr>
          <w:rStyle w:val="Bodytext1"/>
        </w:rPr>
        <w:t xml:space="preserve">wprowadzenie do prawa krajowego skutecznego mechanizmu egzekwowania 90-dniowego terminu wydania decyzji w sprawie Niebieskiej Karty UE, wymaganego przez </w:t>
      </w:r>
      <w:r w:rsidRPr="000207F1">
        <w:rPr>
          <w:rStyle w:val="Bodytext1"/>
          <w:lang w:eastAsia="en-US" w:bidi="en-US"/>
        </w:rPr>
        <w:t xml:space="preserve">art. </w:t>
      </w:r>
      <w:r>
        <w:rPr>
          <w:rStyle w:val="Bodytext1"/>
        </w:rPr>
        <w:t>11 ust. 1 dyrektywy (UE) 2021/1883;</w:t>
      </w:r>
    </w:p>
    <w:p w:rsidR="000B266B" w:rsidRDefault="00935372">
      <w:pPr>
        <w:pStyle w:val="Bodytext10"/>
        <w:numPr>
          <w:ilvl w:val="0"/>
          <w:numId w:val="1"/>
        </w:numPr>
        <w:tabs>
          <w:tab w:val="left" w:pos="342"/>
        </w:tabs>
      </w:pPr>
      <w:r>
        <w:rPr>
          <w:rStyle w:val="Bodytext1"/>
        </w:rPr>
        <w:t xml:space="preserve">uchylenie </w:t>
      </w:r>
      <w:r w:rsidRPr="000207F1">
        <w:rPr>
          <w:rStyle w:val="Bodytext1"/>
          <w:lang w:eastAsia="en-US" w:bidi="en-US"/>
        </w:rPr>
        <w:t xml:space="preserve">art. </w:t>
      </w:r>
      <w:r>
        <w:rPr>
          <w:rStyle w:val="Bodytext1"/>
        </w:rPr>
        <w:t xml:space="preserve">20 ust. 4 ustawy z dnia 24 kwietnia 2025 r. (Dz.U. 2025 poz. 619), tak aby notyfikacyjny tryb zmiany pracodawcy </w:t>
      </w:r>
      <w:r w:rsidRPr="000207F1">
        <w:rPr>
          <w:rStyle w:val="Bodytext1"/>
          <w:lang w:eastAsia="en-US" w:bidi="en-US"/>
        </w:rPr>
        <w:t xml:space="preserve">(art. </w:t>
      </w:r>
      <w:r>
        <w:rPr>
          <w:rStyle w:val="Bodytext1"/>
        </w:rPr>
        <w:t xml:space="preserve">134 ust. 2 ustawy o cudzoziemcach) objął również dotychczasowych posiadaczy Niebieskiej Karty UE, oraz przywrócenie cudzoziemcom środków prawnych przeciw bezczynności organów (ponaglenie, skarga do sądu administracyjnego), wyłączonych przez </w:t>
      </w:r>
      <w:r w:rsidRPr="000207F1">
        <w:rPr>
          <w:rStyle w:val="Bodytext1"/>
          <w:lang w:eastAsia="en-US" w:bidi="en-US"/>
        </w:rPr>
        <w:t xml:space="preserve">art. </w:t>
      </w:r>
      <w:r>
        <w:rPr>
          <w:rStyle w:val="Bodytext1"/>
        </w:rPr>
        <w:t xml:space="preserve">100d specustawy pomocowej (mechanizm stosowany od 15.04.2022 r., obecnie do 4.03.2027 r.; </w:t>
      </w:r>
      <w:r w:rsidRPr="000207F1">
        <w:rPr>
          <w:rStyle w:val="Bodytext1"/>
          <w:lang w:eastAsia="en-US" w:bidi="en-US"/>
        </w:rPr>
        <w:t xml:space="preserve">art. </w:t>
      </w:r>
      <w:r>
        <w:rPr>
          <w:rStyle w:val="Bodytext1"/>
        </w:rPr>
        <w:t>100c uchylony z dniem 5.03.2026 r.);</w:t>
      </w:r>
    </w:p>
    <w:p w:rsidR="000B266B" w:rsidRDefault="00935372">
      <w:pPr>
        <w:pStyle w:val="Bodytext10"/>
        <w:numPr>
          <w:ilvl w:val="0"/>
          <w:numId w:val="1"/>
        </w:numPr>
        <w:tabs>
          <w:tab w:val="left" w:pos="334"/>
        </w:tabs>
      </w:pPr>
      <w:r>
        <w:rPr>
          <w:rStyle w:val="Bodytext1"/>
        </w:rPr>
        <w:t>zabezpieczenie w ustawie budżetowej dedykowanych etatów i środków dla wydziałów spraw cudzoziemców urzędów wojewódzkich, odpowiadających skali zadań.</w:t>
      </w:r>
    </w:p>
    <w:p w:rsidR="000B266B" w:rsidRDefault="00935372">
      <w:pPr>
        <w:pStyle w:val="Bodytext10"/>
      </w:pPr>
      <w:r>
        <w:rPr>
          <w:rStyle w:val="Bodytext1"/>
        </w:rPr>
        <w:t>Uzasadnienie</w:t>
      </w:r>
    </w:p>
    <w:p w:rsidR="000B266B" w:rsidRDefault="00A94A33">
      <w:pPr>
        <w:pStyle w:val="Bodytext10"/>
      </w:pPr>
      <w:r>
        <w:rPr>
          <w:rFonts w:eastAsia="Times New Roman"/>
        </w:rPr>
        <w:t xml:space="preserve">Jestem obywatelem </w:t>
      </w:r>
      <w:r w:rsidR="00C0049A">
        <w:rPr>
          <w:rFonts w:eastAsia="Times New Roman"/>
        </w:rPr>
        <w:tab/>
      </w:r>
      <w:r w:rsidR="00C0049A">
        <w:rPr>
          <w:rFonts w:eastAsia="Times New Roman"/>
        </w:rPr>
        <w:tab/>
      </w:r>
      <w:r>
        <w:rPr>
          <w:rFonts w:eastAsia="Times New Roman"/>
        </w:rPr>
        <w:t>, posiadaczem Niebieskiej Karty UE i architektem IT</w:t>
      </w:r>
      <w:r w:rsidR="00A85118">
        <w:rPr>
          <w:rStyle w:val="Bodytext1"/>
        </w:rPr>
        <w:tab/>
      </w:r>
      <w:r w:rsidR="00A85118">
        <w:rPr>
          <w:rStyle w:val="Bodytext1"/>
        </w:rPr>
        <w:tab/>
      </w:r>
      <w:r w:rsidR="00935372">
        <w:rPr>
          <w:rStyle w:val="Bodytext1"/>
        </w:rPr>
        <w:t xml:space="preserve">. Mieszkam </w:t>
      </w:r>
      <w:r w:rsidR="00A85118">
        <w:rPr>
          <w:rStyle w:val="Bodytext1"/>
        </w:rPr>
        <w:tab/>
      </w:r>
      <w:r w:rsidR="000207F1">
        <w:rPr>
          <w:rStyle w:val="Bodytext1"/>
        </w:rPr>
        <w:tab/>
      </w:r>
      <w:r w:rsidR="00935372">
        <w:rPr>
          <w:rStyle w:val="Bodytext1"/>
        </w:rPr>
        <w:t xml:space="preserve"> i płacę polski </w:t>
      </w:r>
      <w:r w:rsidR="00935372" w:rsidRPr="000207F1">
        <w:rPr>
          <w:rStyle w:val="Bodytext1"/>
          <w:lang w:eastAsia="en-US" w:bidi="en-US"/>
        </w:rPr>
        <w:t xml:space="preserve">PIT </w:t>
      </w:r>
      <w:r w:rsidR="00935372">
        <w:rPr>
          <w:rStyle w:val="Bodytext1"/>
        </w:rPr>
        <w:t>według najwyższej stawki. Wniosek o kolejną kartę pobytu złożę za około rok - piszę zawczasu, ponieważ wynik działania obecnego systemu jest w pełni przewidywalny: moi przyjaciele i koledzy, posiadacze Niebieskich Kart i zwykłych zezwoleń na pracę, wszyscy płacący podatki według najwyższej stawki, tkwią w tej kolejce już dziś.</w:t>
      </w:r>
    </w:p>
    <w:p w:rsidR="000B266B" w:rsidRDefault="00935372">
      <w:pPr>
        <w:pStyle w:val="Bodytext10"/>
      </w:pPr>
      <w:r>
        <w:rPr>
          <w:rStyle w:val="Bodytext1"/>
        </w:rPr>
        <w:t xml:space="preserve">Według tabeli załączonej do odpowiedzi MSWiA na interpelację nr 18089 (stan na 6 lipca 2026 r.) średni czas postępowań pobytowych pogorszył się względem 2023 r. w 15 z 16 województw: w Śląskim Urzędzie Wojewódzkim w Katowicach wzrósł z 427 dni (2023) przez 637 (2025) do 658 dni, w Mazowieckim ze 153 do 394. Dyrektywa wymaga 90 dni. Od 27 kwietnia 2026 r. wnioski składa się wyłącznie elektronicznie przez MOS 2.0 - składanie jest dostępne, lecz decyzje nadal nie zapadają, bo dwuletnich zaległości papierowych nigdy nie zmigrowano do systemu. Zaświadczenie MOS nie jest uznawane przez straże graniczne innych państw strefy Schengen, więc specjaliści w trakcie oczekiwania nie mogą legalnie podróżować służbowo. Rzecznik Praw Obywatelskich od lat wskazuje MSWiA na tę przewlekłość; w ostatnim wystąpieniu z 1 czerwca 2026 r. (XI.541.22.2025.DB) pyta wprost o prace legislacyjne. To nie jest kryzys ostatnich miesięcy: już kontrola NIK z 2019 r. („Państwo niegotowe na cudzoziemców”, lata 2014-2018) wykazała wzrost średniego czasu legalizacji z 64 dni (2014) do 206 dni (2018) i przypadki ponad 3-letnie, wskazując te same przyczyny— braki kadrowe i niedofinansowanie (RPO interweniuje w tej sprawie już od 2018 r.). /diagnozowany dekadę temu problem nie został naprawiony, lecz pogłębiony: 341 dni średnio </w:t>
      </w:r>
      <w:r w:rsidRPr="000207F1">
        <w:rPr>
          <w:rStyle w:val="Bodytext1"/>
          <w:lang w:eastAsia="en-US" w:bidi="en-US"/>
        </w:rPr>
        <w:t xml:space="preserve">(X.2025), </w:t>
      </w:r>
      <w:r>
        <w:rPr>
          <w:rStyle w:val="Bodytext1"/>
        </w:rPr>
        <w:t>658 dni na Śląsku (6.07.2026).</w:t>
      </w:r>
    </w:p>
    <w:p w:rsidR="000B266B" w:rsidRDefault="00935372">
      <w:pPr>
        <w:pStyle w:val="Bodytext10"/>
      </w:pPr>
      <w:r>
        <w:rPr>
          <w:rStyle w:val="Bodytext1"/>
        </w:rPr>
        <w:t xml:space="preserve">Projekt UD408 tworzy paradoks: obywatel USA otrzyma pozytywną decyzję po 60 dniach milczenia organu, a obywatel Ukrainy - inżynier, na którego pracy opiera się polski rynek </w:t>
      </w:r>
      <w:r w:rsidRPr="000207F1">
        <w:rPr>
          <w:rStyle w:val="Bodytext1"/>
          <w:lang w:eastAsia="en-US" w:bidi="en-US"/>
        </w:rPr>
        <w:t xml:space="preserve">IT </w:t>
      </w:r>
      <w:r>
        <w:rPr>
          <w:rStyle w:val="Bodytext1"/>
        </w:rPr>
        <w:t>- będzie czekał dwa lata bez żadnego terminu. Polska aspiruje do roli gospodarczego lidera regionu i zabiega o światowe talenty. Niemcy wydają analogiczne dokumenty w kilka tygodni. Dwuletnie oczekiwanie na kawałek plastiku nie jest godne państwa o takich ambicjach. Sejm ma dziś okazję udowodnić, że polskie prawo traktuje jednakowo wszystkich, którzy płacą polskie podatki - i że o talenty Polska konkuruje czynem, a nie deklaracją. Warto przy tym pamiętać, że grupa najmocniej dotknięta tymi rozwiązaniami jest płatnikiem netto: według raportu Banku Gospodarstwa</w:t>
      </w:r>
      <w:r>
        <w:br w:type="page"/>
      </w:r>
    </w:p>
    <w:p w:rsidR="000B266B" w:rsidRDefault="00935372">
      <w:pPr>
        <w:pStyle w:val="Bodytext10"/>
      </w:pPr>
      <w:r>
        <w:rPr>
          <w:rStyle w:val="Bodytext1"/>
        </w:rPr>
        <w:lastRenderedPageBreak/>
        <w:t xml:space="preserve">Krajowego (11.03.2025) migranci z Ukrainy wpłacili w 2024 r. do budżetu ok. 15,2 </w:t>
      </w:r>
      <w:r w:rsidRPr="000207F1">
        <w:rPr>
          <w:rStyle w:val="Bodytext1"/>
          <w:lang w:eastAsia="en-US" w:bidi="en-US"/>
        </w:rPr>
        <w:t>m</w:t>
      </w:r>
      <w:r w:rsidR="000207F1">
        <w:rPr>
          <w:rStyle w:val="Bodytext1"/>
          <w:lang w:eastAsia="en-US" w:bidi="en-US"/>
        </w:rPr>
        <w:t>l</w:t>
      </w:r>
      <w:r w:rsidRPr="000207F1">
        <w:rPr>
          <w:rStyle w:val="Bodytext1"/>
          <w:lang w:eastAsia="en-US" w:bidi="en-US"/>
        </w:rPr>
        <w:t xml:space="preserve">d </w:t>
      </w:r>
      <w:r>
        <w:rPr>
          <w:rStyle w:val="Bodytext1"/>
        </w:rPr>
        <w:t xml:space="preserve">zł danin — ponad pięciokrotnie więcej niż ok. 2,8 </w:t>
      </w:r>
      <w:r w:rsidRPr="000207F1">
        <w:rPr>
          <w:rStyle w:val="Bodytext1"/>
          <w:lang w:eastAsia="en-US" w:bidi="en-US"/>
        </w:rPr>
        <w:t>m</w:t>
      </w:r>
      <w:r w:rsidR="000207F1">
        <w:rPr>
          <w:rStyle w:val="Bodytext1"/>
          <w:lang w:eastAsia="en-US" w:bidi="en-US"/>
        </w:rPr>
        <w:t>l</w:t>
      </w:r>
      <w:r w:rsidRPr="000207F1">
        <w:rPr>
          <w:rStyle w:val="Bodytext1"/>
          <w:lang w:eastAsia="en-US" w:bidi="en-US"/>
        </w:rPr>
        <w:t xml:space="preserve">d </w:t>
      </w:r>
      <w:r>
        <w:rPr>
          <w:rStyle w:val="Bodytext1"/>
        </w:rPr>
        <w:t xml:space="preserve">zł 800+ dla dzieci uchodźców — a raport Deloitte/UNHCR (10.06.2025) oszacował ich wkład na 2,7% PKB i 47 </w:t>
      </w:r>
      <w:r w:rsidRPr="000207F1">
        <w:rPr>
          <w:rStyle w:val="Bodytext1"/>
          <w:lang w:eastAsia="en-US" w:bidi="en-US"/>
        </w:rPr>
        <w:t>m</w:t>
      </w:r>
      <w:r w:rsidR="000207F1">
        <w:rPr>
          <w:rStyle w:val="Bodytext1"/>
          <w:lang w:eastAsia="en-US" w:bidi="en-US"/>
        </w:rPr>
        <w:t>l</w:t>
      </w:r>
      <w:r w:rsidRPr="000207F1">
        <w:rPr>
          <w:rStyle w:val="Bodytext1"/>
          <w:lang w:eastAsia="en-US" w:bidi="en-US"/>
        </w:rPr>
        <w:t xml:space="preserve">d </w:t>
      </w:r>
      <w:r>
        <w:rPr>
          <w:rStyle w:val="Bodytext1"/>
        </w:rPr>
        <w:t>zł dochodów publicznych.</w:t>
      </w:r>
    </w:p>
    <w:p w:rsidR="000B266B" w:rsidRDefault="00935372">
      <w:pPr>
        <w:pStyle w:val="Bodytext10"/>
      </w:pPr>
      <w:r>
        <w:rPr>
          <w:rStyle w:val="Bodytext1"/>
        </w:rPr>
        <w:t xml:space="preserve">Paradoks proceduralny nie jest przy tym odosobniony - w latach 2025-2026 kolejne ustawy uderzyły właśnie w pracujących podatników z państw trzecich. Ustawa z 12.09.2025 r. (Dz.U. 2025 poz. 1301) od 1.02.2026 r. uzależnia świadczenie wychowawcze od comiesięcznego testu aktywności zawodowej rodzica-cudzoziemca: rodzic, który choć jeden miesiąc pozostawał między umowami, traci świadczenie, które polski rodzic w identycznej sytuacji zachowuje bezwarunkowo - z testu zwolnione są jedynie dzieci posiadające obywatelstwo polskie lub orzeczenie o niepełnosprawności. Ustawa z 24.04.2025 r. (Dz.U. 2025 poz. 619), transponująca dyrektywę 2021/1883 z 18,5-miesięcznym opóźnieniem, w </w:t>
      </w:r>
      <w:r w:rsidRPr="000207F1">
        <w:rPr>
          <w:rStyle w:val="Bodytext1"/>
          <w:lang w:eastAsia="en-US" w:bidi="en-US"/>
        </w:rPr>
        <w:t xml:space="preserve">art. </w:t>
      </w:r>
      <w:r>
        <w:rPr>
          <w:rStyle w:val="Bodytext1"/>
        </w:rPr>
        <w:t xml:space="preserve">20 ust. 4 zatrzymała dotychczasowych posiadaczy Niebieskiej Karty UE w uchylonym reżimie pełnej zmiany zezwolenia przy każdej zmianie pracodawcy, sprzecznym z </w:t>
      </w:r>
      <w:r w:rsidRPr="000207F1">
        <w:rPr>
          <w:rStyle w:val="Bodytext1"/>
          <w:lang w:eastAsia="en-US" w:bidi="en-US"/>
        </w:rPr>
        <w:t xml:space="preserve">art. </w:t>
      </w:r>
      <w:r>
        <w:rPr>
          <w:rStyle w:val="Bodytext1"/>
        </w:rPr>
        <w:t xml:space="preserve">15 dyrektywy. Ustawa z 20.03.2025 r. (Dz.U. 2025 poz. 621, </w:t>
      </w:r>
      <w:r w:rsidRPr="000207F1">
        <w:rPr>
          <w:rStyle w:val="Bodytext1"/>
          <w:lang w:eastAsia="en-US" w:bidi="en-US"/>
        </w:rPr>
        <w:t xml:space="preserve">art. </w:t>
      </w:r>
      <w:r>
        <w:rPr>
          <w:rStyle w:val="Bodytext1"/>
        </w:rPr>
        <w:t xml:space="preserve">2 i </w:t>
      </w:r>
      <w:r w:rsidRPr="000207F1">
        <w:rPr>
          <w:rStyle w:val="Bodytext1"/>
          <w:lang w:eastAsia="en-US" w:bidi="en-US"/>
        </w:rPr>
        <w:t xml:space="preserve">art. </w:t>
      </w:r>
      <w:r>
        <w:rPr>
          <w:rStyle w:val="Bodytext1"/>
        </w:rPr>
        <w:t xml:space="preserve">32 ust. 1) spawa prawo do pracy z jednym pracodawcą, stanowiskiem i rodzajem umowy - nawet awans bez uprzednich formalności staje się nielegalnym powierzeniem pracy z grzywną dla pracodawcy 3 000-50 000 zł </w:t>
      </w:r>
      <w:r w:rsidRPr="000207F1">
        <w:rPr>
          <w:rStyle w:val="Bodytext1"/>
          <w:lang w:eastAsia="en-US" w:bidi="en-US"/>
        </w:rPr>
        <w:t xml:space="preserve">(art. </w:t>
      </w:r>
      <w:r>
        <w:rPr>
          <w:rStyle w:val="Bodytext1"/>
        </w:rPr>
        <w:t xml:space="preserve">84 ust. 1 i 13), a dla cudzoziemca z ryzykiem grzywny co najmniej 1 000 zł </w:t>
      </w:r>
      <w:r w:rsidRPr="000207F1">
        <w:rPr>
          <w:rStyle w:val="Bodytext1"/>
          <w:lang w:eastAsia="en-US" w:bidi="en-US"/>
        </w:rPr>
        <w:t xml:space="preserve">(art. </w:t>
      </w:r>
      <w:r>
        <w:rPr>
          <w:rStyle w:val="Bodytext1"/>
        </w:rPr>
        <w:t xml:space="preserve">84 ust. 2 w zw. z </w:t>
      </w:r>
      <w:r w:rsidRPr="000207F1">
        <w:rPr>
          <w:rStyle w:val="Bodytext1"/>
          <w:lang w:eastAsia="en-US" w:bidi="en-US"/>
        </w:rPr>
        <w:t xml:space="preserve">art. </w:t>
      </w:r>
      <w:r>
        <w:rPr>
          <w:rStyle w:val="Bodytext1"/>
        </w:rPr>
        <w:t xml:space="preserve">2 </w:t>
      </w:r>
      <w:r w:rsidRPr="000207F1">
        <w:rPr>
          <w:rStyle w:val="Bodytext1"/>
          <w:lang w:eastAsia="en-US" w:bidi="en-US"/>
        </w:rPr>
        <w:t xml:space="preserve">pkt </w:t>
      </w:r>
      <w:r>
        <w:rPr>
          <w:rStyle w:val="Bodytext1"/>
        </w:rPr>
        <w:t xml:space="preserve">3 </w:t>
      </w:r>
      <w:r w:rsidRPr="000207F1">
        <w:rPr>
          <w:rStyle w:val="Bodytext1"/>
          <w:lang w:eastAsia="en-US" w:bidi="en-US"/>
        </w:rPr>
        <w:t xml:space="preserve">lit. </w:t>
      </w:r>
      <w:r>
        <w:rPr>
          <w:rStyle w:val="Bodytext1"/>
        </w:rPr>
        <w:t xml:space="preserve">c) - a ustawa z 23.01.2026 r. (Dz.U. 2026 poz. 203) od 5.03.2026 r. odbiera posiadaczom zwykłych zezwoleń na pobyt i pracę prawo do jednoosobowej działalności gospodarczej. Środki obrony przed bezczynnością organów - ponaglenie i skargę do sądu administracyjnego - wyłącza ustawowo </w:t>
      </w:r>
      <w:r w:rsidRPr="000207F1">
        <w:rPr>
          <w:rStyle w:val="Bodytext1"/>
          <w:lang w:eastAsia="en-US" w:bidi="en-US"/>
        </w:rPr>
        <w:t xml:space="preserve">art. </w:t>
      </w:r>
      <w:r>
        <w:rPr>
          <w:rStyle w:val="Bodytext1"/>
        </w:rPr>
        <w:t xml:space="preserve">100d specustawy (mechanizm stosowany od 15.04.2022 r., obecnie do 4.03.2027 r.; </w:t>
      </w:r>
      <w:r w:rsidRPr="000207F1">
        <w:rPr>
          <w:rStyle w:val="Bodytext1"/>
          <w:lang w:eastAsia="en-US" w:bidi="en-US"/>
        </w:rPr>
        <w:t xml:space="preserve">art. </w:t>
      </w:r>
      <w:r>
        <w:rPr>
          <w:rStyle w:val="Bodytext1"/>
        </w:rPr>
        <w:t>100c uchylony z dniem 5.03.2026 r.).</w:t>
      </w:r>
    </w:p>
    <w:p w:rsidR="000B266B" w:rsidRDefault="00935372">
      <w:pPr>
        <w:pStyle w:val="Bodytext10"/>
      </w:pPr>
      <w:r>
        <w:rPr>
          <w:rStyle w:val="Bodytext1"/>
        </w:rPr>
        <w:t xml:space="preserve">Wszystkie te ciężary układają się przy tym w czytelny wzór. Zapaść zdiagnozowana dekadę temu dotykała wszystkich cudzoziemców, lecz obciążenia dokładane od 2022 r. spadają na jedną, tę samą grupę narodową: zawieszone terminy w sprawach pobytowych obywateli Ukrainy </w:t>
      </w:r>
      <w:r w:rsidRPr="000207F1">
        <w:rPr>
          <w:rStyle w:val="Bodytext1"/>
          <w:lang w:eastAsia="en-US" w:bidi="en-US"/>
        </w:rPr>
        <w:t xml:space="preserve">(art. </w:t>
      </w:r>
      <w:r>
        <w:rPr>
          <w:rStyle w:val="Bodytext1"/>
        </w:rPr>
        <w:t xml:space="preserve">100d specustawy, do 4.03.2027 r.), wykluczenie ich z milczącej zgody w UD408, najdłuższy ustawowy zegar zastrzeżony dla ich jedynej ścieżki wyjścia (180 dni dla karty CUKR z </w:t>
      </w:r>
      <w:r w:rsidRPr="000207F1">
        <w:rPr>
          <w:rStyle w:val="Bodytext1"/>
          <w:lang w:eastAsia="en-US" w:bidi="en-US"/>
        </w:rPr>
        <w:t xml:space="preserve">art. </w:t>
      </w:r>
      <w:r>
        <w:rPr>
          <w:rStyle w:val="Bodytext1"/>
        </w:rPr>
        <w:t xml:space="preserve">42I specustawy wobec 60 dni trybu ogólnego z </w:t>
      </w:r>
      <w:r w:rsidRPr="000207F1">
        <w:rPr>
          <w:rStyle w:val="Bodytext1"/>
          <w:lang w:eastAsia="en-US" w:bidi="en-US"/>
        </w:rPr>
        <w:t xml:space="preserve">art. </w:t>
      </w:r>
      <w:r>
        <w:rPr>
          <w:rStyle w:val="Bodytext1"/>
        </w:rPr>
        <w:t>112a), świadczenie wychowawcze warunkowane testem aktywności z wyjątkiem dla dzieci posiadających obywatelstwo polskie (Dz.U. 2025 poz. 1301), retrospektywna weryfikacja fotograficzna przez Straż Graniczną i zasilanie danymi o przekroczeniach granicy wobec osób, które posiadały status UKR, oraz prezydencki projekt karny wymierzony w symbole ich tożsamości narodowej (w komisji sejmowej od 17.07.2026 r.). Taka koncentracja obciążeń według obywatelstwa nie jest przypadkiem —jest wzorem, który wymaga oceny w kategoriach dyskryminacji ze względu na narodowość.</w:t>
      </w:r>
    </w:p>
    <w:p w:rsidR="000B266B" w:rsidRDefault="00935372">
      <w:pPr>
        <w:pStyle w:val="Bodytext10"/>
      </w:pPr>
      <w:r>
        <w:rPr>
          <w:rStyle w:val="Bodytext1"/>
        </w:rPr>
        <w:t xml:space="preserve">Sejm dysponuje przy tym własnym materiałem dowodowym na to, że przyczyną przewlekłości nie jest brak portalu, lecz brak ludzi. OSR ustawy wprowadzającej obowiązkowy MOS (druk sejmowy nr 1630) zawiera dziesięcioletnią tabelę skutków finansowych złożoną z samych myślników i klauzulę, że koszty „nie będą stanowić podstawy do ubiegania się o dodatkowe środki”; pisemne wnioski wojewodów o etaty odrzucono („Uwaga nie została uwzględniona”; kadry „leżą poza zakresem przedmiotowego projektu ustawy”). Siedem odpowiedzi na interpelacje poselskie (nr 794, 3683, 3917, 10407, 11055, 12584, 18089) zbywa pytania o kadry tym samym skopiowanym akapitem o MOS; ostatnie dedykowane etaty pochodzą z lat 2020-2021 (200+180 na cały kraj); NIK (P/23/069) oceniła działania państwa jako „nieproporcjonalne do potrzeb i nieskuteczne” (płace nowo zatrudnianych: 53-64% średniej krajowej, 40,8% naborów bez zatrudnienia kogokolwiek, najdłuższa sprawa 2700 dni), </w:t>
      </w:r>
      <w:r w:rsidRPr="000207F1">
        <w:rPr>
          <w:rStyle w:val="Bodytext1"/>
          <w:lang w:eastAsia="en-US" w:bidi="en-US"/>
        </w:rPr>
        <w:t xml:space="preserve">a </w:t>
      </w:r>
      <w:r>
        <w:rPr>
          <w:rStyle w:val="Bodytext1"/>
        </w:rPr>
        <w:t>NSA (II OSK 2940/24, II OSK 1087/25) orzekł, że organy „powinny były dostosować swoje zasoby organizacyjne i kadrowe”, dalsze zaś zawieszanie terminów „mogło nastąpić z naruszeniem zasady proporcjonalności”.</w:t>
      </w:r>
    </w:p>
    <w:p w:rsidR="000B266B" w:rsidRDefault="00935372">
      <w:pPr>
        <w:pStyle w:val="Bodytext10"/>
      </w:pPr>
      <w:r>
        <w:rPr>
          <w:rStyle w:val="Bodytext1"/>
        </w:rPr>
        <w:t>Informuję, że w tej sprawie skierowałem już skargi do Rzecznika Praw Obywatelskich oraz do Komisji Europejskiej (naruszenie prawa UE; potwierdzenie wpływu SG-THEMIS z 10 sierpnia</w:t>
      </w:r>
      <w:r>
        <w:br w:type="page"/>
      </w:r>
    </w:p>
    <w:p w:rsidR="000B266B" w:rsidRDefault="00935372">
      <w:pPr>
        <w:pStyle w:val="Bodytext10"/>
      </w:pPr>
      <w:r>
        <w:rPr>
          <w:rStyle w:val="Bodytext1"/>
        </w:rPr>
        <w:lastRenderedPageBreak/>
        <w:t>2026 r., numer rejestracyjny w trakcie nadawania), a także wystąpienia do ABSL i Konfederacji Lewiatan.</w:t>
      </w:r>
    </w:p>
    <w:p w:rsidR="000B266B" w:rsidRDefault="00935372">
      <w:pPr>
        <w:pStyle w:val="Bodytext10"/>
      </w:pPr>
      <w:r>
        <w:rPr>
          <w:rStyle w:val="Bodytext1"/>
        </w:rPr>
        <w:t xml:space="preserve">Zgodnie z </w:t>
      </w:r>
      <w:r w:rsidRPr="000207F1">
        <w:rPr>
          <w:rStyle w:val="Bodytext1"/>
          <w:lang w:eastAsia="en-US" w:bidi="en-US"/>
        </w:rPr>
        <w:t xml:space="preserve">art. </w:t>
      </w:r>
      <w:r>
        <w:rPr>
          <w:rStyle w:val="Bodytext1"/>
        </w:rPr>
        <w:t>4 ust. 3 ustawy o petycjach wyrażam zgodę na ujawnienie moich danych osobowych na stronie internetowej Sejmu RP.</w:t>
      </w:r>
    </w:p>
    <w:p w:rsidR="000B266B" w:rsidRDefault="00935372">
      <w:pPr>
        <w:pStyle w:val="Bodytext10"/>
      </w:pPr>
      <w:r>
        <w:rPr>
          <w:rStyle w:val="Bodytext1"/>
        </w:rPr>
        <w:t xml:space="preserve">Uprzejmie przypominam, że zgodnie z </w:t>
      </w:r>
      <w:r w:rsidRPr="000207F1">
        <w:rPr>
          <w:rStyle w:val="Bodytext1"/>
          <w:lang w:eastAsia="en-US" w:bidi="en-US"/>
        </w:rPr>
        <w:t xml:space="preserve">art. </w:t>
      </w:r>
      <w:r>
        <w:rPr>
          <w:rStyle w:val="Bodytext1"/>
        </w:rPr>
        <w:t>10 ust. 1 ustawy z dnia 11 lipca 2014 r. o petycjach petycja powinna być rozpatrzona bez zbędnej zwłoki, nie później niż w terminie 3 miesięcy od dnia jej złożenia, a sposób jej załatwienia — wraz z uzasadnieniem — podlega ogłoszeniu na stronie internetowej podmiotu rozpatrującego.</w:t>
      </w:r>
    </w:p>
    <w:p w:rsidR="000B266B" w:rsidRDefault="00935372">
      <w:pPr>
        <w:pStyle w:val="Bodytext10"/>
        <w:spacing w:after="0"/>
        <w:jc w:val="both"/>
        <w:rPr>
          <w:rStyle w:val="Bodytext1"/>
        </w:rPr>
      </w:pPr>
      <w:r>
        <w:rPr>
          <w:rStyle w:val="Bodytext1"/>
        </w:rPr>
        <w:t>Z wyrazami szacunku</w:t>
      </w:r>
    </w:p>
    <w:p w:rsidR="00A94A33" w:rsidRDefault="00C0049A">
      <w:pPr>
        <w:pStyle w:val="Bodytext10"/>
        <w:spacing w:after="0"/>
        <w:jc w:val="both"/>
      </w:pPr>
      <w:r>
        <w:rPr>
          <w:rFonts w:eastAsia="Times New Roman"/>
        </w:rPr>
        <w:t>Andrii Pospielov</w:t>
      </w:r>
    </w:p>
    <w:sectPr w:rsidR="00A94A33">
      <w:footerReference w:type="default" r:id="rId8"/>
      <w:pgSz w:w="11900" w:h="16840"/>
      <w:pgMar w:top="717" w:right="788" w:bottom="983" w:left="622" w:header="289"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D56" w:rsidRDefault="00552D56">
      <w:r>
        <w:separator/>
      </w:r>
    </w:p>
  </w:endnote>
  <w:endnote w:type="continuationSeparator" w:id="0">
    <w:p w:rsidR="00552D56" w:rsidRDefault="00552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66B" w:rsidRDefault="00935372">
    <w:pPr>
      <w:spacing w:line="1" w:lineRule="exact"/>
    </w:pPr>
    <w:r>
      <w:rPr>
        <w:noProof/>
        <w:lang w:bidi="ar-SA"/>
      </w:rPr>
      <mc:AlternateContent>
        <mc:Choice Requires="wps">
          <w:drawing>
            <wp:anchor distT="0" distB="0" distL="0" distR="0" simplePos="0" relativeHeight="62914690" behindDoc="1" locked="0" layoutInCell="1" allowOverlap="1">
              <wp:simplePos x="0" y="0"/>
              <wp:positionH relativeFrom="page">
                <wp:posOffset>3764915</wp:posOffset>
              </wp:positionH>
              <wp:positionV relativeFrom="page">
                <wp:posOffset>10126980</wp:posOffset>
              </wp:positionV>
              <wp:extent cx="18415" cy="68580"/>
              <wp:effectExtent l="0" t="0" r="0" b="0"/>
              <wp:wrapNone/>
              <wp:docPr id="1" name="Shape 1"/>
              <wp:cNvGraphicFramePr/>
              <a:graphic xmlns:a="http://schemas.openxmlformats.org/drawingml/2006/main">
                <a:graphicData uri="http://schemas.microsoft.com/office/word/2010/wordprocessingShape">
                  <wps:wsp>
                    <wps:cNvSpPr txBox="1"/>
                    <wps:spPr>
                      <a:xfrm>
                        <a:off x="0" y="0"/>
                        <a:ext cx="18415" cy="68580"/>
                      </a:xfrm>
                      <a:prstGeom prst="rect">
                        <a:avLst/>
                      </a:prstGeom>
                      <a:noFill/>
                    </wps:spPr>
                    <wps:txbx>
                      <w:txbxContent>
                        <w:p w:rsidR="000B266B" w:rsidRDefault="00935372">
                          <w:pPr>
                            <w:pStyle w:val="Headerorfooter20"/>
                            <w:rPr>
                              <w:sz w:val="15"/>
                              <w:szCs w:val="15"/>
                            </w:rPr>
                          </w:pPr>
                          <w:r>
                            <w:fldChar w:fldCharType="begin"/>
                          </w:r>
                          <w:r>
                            <w:instrText xml:space="preserve"> PAGE \* MERGEFORMAT </w:instrText>
                          </w:r>
                          <w:r>
                            <w:fldChar w:fldCharType="separate"/>
                          </w:r>
                          <w:r w:rsidR="000675BA" w:rsidRPr="000675BA">
                            <w:rPr>
                              <w:rStyle w:val="Headerorfooter2"/>
                              <w:rFonts w:ascii="Arial" w:eastAsia="Arial" w:hAnsi="Arial" w:cs="Arial"/>
                              <w:noProof/>
                              <w:sz w:val="15"/>
                              <w:szCs w:val="15"/>
                            </w:rPr>
                            <w:t>i</w:t>
                          </w:r>
                          <w:r>
                            <w:rPr>
                              <w:rStyle w:val="Headerorfooter2"/>
                              <w:rFonts w:ascii="Arial" w:eastAsia="Arial" w:hAnsi="Arial" w:cs="Arial"/>
                              <w:sz w:val="15"/>
                              <w:szCs w:val="15"/>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1027" type="#_x0000_t202" style="position:absolute;margin-left:296.45pt;margin-top:797.4pt;width:1.45pt;height:5.4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" filled="f" stroked="f">
              <v:textbox style="mso-fit-shape-to-text:t" inset="0,0,0,0">
                <w:txbxContent>
                  <w:p w:rsidR="000B266B" w:rsidRDefault="00935372">
                    <w:pPr>
                      <w:pStyle w:val="Headerorfooter20"/>
                      <w:rPr>
                        <w:sz w:val="15"/>
                        <w:szCs w:val="15"/>
                      </w:rPr>
                    </w:pPr>
                    <w:r>
                      <w:fldChar w:fldCharType="begin"/>
                    </w:r>
                    <w:r>
                      <w:instrText xml:space="preserve"> PAGE \* MERGEFORMAT </w:instrText>
                    </w:r>
                    <w:r>
                      <w:fldChar w:fldCharType="separate"/>
                    </w:r>
                    <w:r w:rsidR="000675BA" w:rsidRPr="000675BA">
                      <w:rPr>
                        <w:rStyle w:val="Headerorfooter2"/>
                        <w:rFonts w:ascii="Arial" w:eastAsia="Arial" w:hAnsi="Arial" w:cs="Arial"/>
                        <w:noProof/>
                        <w:sz w:val="15"/>
                        <w:szCs w:val="15"/>
                      </w:rPr>
                      <w:t>i</w:t>
                    </w:r>
                    <w:r>
                      <w:rPr>
                        <w:rStyle w:val="Headerorfooter2"/>
                        <w:rFonts w:ascii="Arial" w:eastAsia="Arial" w:hAnsi="Arial" w:cs="Arial"/>
                        <w:sz w:val="15"/>
                        <w:szCs w:val="1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66B" w:rsidRDefault="00935372">
    <w:pPr>
      <w:spacing w:line="1" w:lineRule="exact"/>
    </w:pPr>
    <w:r>
      <w:rPr>
        <w:noProof/>
        <w:lang w:bidi="ar-SA"/>
      </w:rPr>
      <mc:AlternateContent>
        <mc:Choice Requires="wps">
          <w:drawing>
            <wp:anchor distT="0" distB="0" distL="0" distR="0" simplePos="0" relativeHeight="62914692" behindDoc="1" locked="0" layoutInCell="1" allowOverlap="1">
              <wp:simplePos x="0" y="0"/>
              <wp:positionH relativeFrom="page">
                <wp:posOffset>3704590</wp:posOffset>
              </wp:positionH>
              <wp:positionV relativeFrom="page">
                <wp:posOffset>10132695</wp:posOffset>
              </wp:positionV>
              <wp:extent cx="41275" cy="73025"/>
              <wp:effectExtent l="0" t="0" r="0" b="0"/>
              <wp:wrapNone/>
              <wp:docPr id="5" name="Shape 5"/>
              <wp:cNvGraphicFramePr/>
              <a:graphic xmlns:a="http://schemas.openxmlformats.org/drawingml/2006/main">
                <a:graphicData uri="http://schemas.microsoft.com/office/word/2010/wordprocessingShape">
                  <wps:wsp>
                    <wps:cNvSpPr txBox="1"/>
                    <wps:spPr>
                      <a:xfrm>
                        <a:off x="0" y="0"/>
                        <a:ext cx="41275" cy="73025"/>
                      </a:xfrm>
                      <a:prstGeom prst="rect">
                        <a:avLst/>
                      </a:prstGeom>
                      <a:noFill/>
                    </wps:spPr>
                    <wps:txbx>
                      <w:txbxContent>
                        <w:p w:rsidR="000B266B" w:rsidRDefault="00935372">
                          <w:pPr>
                            <w:pStyle w:val="Headerorfooter20"/>
                            <w:rPr>
                              <w:sz w:val="15"/>
                              <w:szCs w:val="15"/>
                            </w:rPr>
                          </w:pPr>
                          <w:r>
                            <w:fldChar w:fldCharType="begin"/>
                          </w:r>
                          <w:r>
                            <w:instrText xml:space="preserve"> PAGE \* MERGEFORMAT </w:instrText>
                          </w:r>
                          <w:r>
                            <w:fldChar w:fldCharType="separate"/>
                          </w:r>
                          <w:r w:rsidR="000675BA" w:rsidRPr="000675BA">
                            <w:rPr>
                              <w:rStyle w:val="Headerorfooter2"/>
                              <w:rFonts w:ascii="Arial" w:eastAsia="Arial" w:hAnsi="Arial" w:cs="Arial"/>
                              <w:noProof/>
                              <w:sz w:val="15"/>
                              <w:szCs w:val="15"/>
                            </w:rPr>
                            <w:t>2</w:t>
                          </w:r>
                          <w:r>
                            <w:rPr>
                              <w:rStyle w:val="Headerorfooter2"/>
                              <w:rFonts w:ascii="Arial" w:eastAsia="Arial" w:hAnsi="Arial" w:cs="Arial"/>
                              <w:sz w:val="15"/>
                              <w:szCs w:val="15"/>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1028" type="#_x0000_t202" style="position:absolute;margin-left:291.7pt;margin-top:797.85pt;width:3.25pt;height:5.75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" filled="f" stroked="f">
              <v:textbox style="mso-fit-shape-to-text:t" inset="0,0,0,0">
                <w:txbxContent>
                  <w:p w:rsidR="000B266B" w:rsidRDefault="00935372">
                    <w:pPr>
                      <w:pStyle w:val="Headerorfooter20"/>
                      <w:rPr>
                        <w:sz w:val="15"/>
                        <w:szCs w:val="15"/>
                      </w:rPr>
                    </w:pPr>
                    <w:r>
                      <w:fldChar w:fldCharType="begin"/>
                    </w:r>
                    <w:r>
                      <w:instrText xml:space="preserve"> PAGE \* MERGEFORMAT </w:instrText>
                    </w:r>
                    <w:r>
                      <w:fldChar w:fldCharType="separate"/>
                    </w:r>
                    <w:r w:rsidR="000675BA" w:rsidRPr="000675BA">
                      <w:rPr>
                        <w:rStyle w:val="Headerorfooter2"/>
                        <w:rFonts w:ascii="Arial" w:eastAsia="Arial" w:hAnsi="Arial" w:cs="Arial"/>
                        <w:noProof/>
                        <w:sz w:val="15"/>
                        <w:szCs w:val="15"/>
                      </w:rPr>
                      <w:t>2</w:t>
                    </w:r>
                    <w:r>
                      <w:rPr>
                        <w:rStyle w:val="Headerorfooter2"/>
                        <w:rFonts w:ascii="Arial" w:eastAsia="Arial" w:hAnsi="Arial" w:cs="Arial"/>
                        <w:sz w:val="15"/>
                        <w:szCs w:val="1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D56" w:rsidRDefault="00552D56"/>
  </w:footnote>
  <w:footnote w:type="continuationSeparator" w:id="0">
    <w:p w:rsidR="00552D56" w:rsidRDefault="00552D56"/>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B6231C"/>
    <w:multiLevelType w:val="multilevel"/>
    <w:tmpl w:val="26B67FDC"/>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66B"/>
    <w:rsid w:val="000207F1"/>
    <w:rsid w:val="000675BA"/>
    <w:rsid w:val="000B266B"/>
    <w:rsid w:val="00552D56"/>
    <w:rsid w:val="007A0B67"/>
    <w:rsid w:val="00935372"/>
    <w:rsid w:val="00A85118"/>
    <w:rsid w:val="00A94A33"/>
    <w:rsid w:val="00C0049A"/>
    <w:rsid w:val="00E64F19"/>
    <w:rsid w:val="00EA7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1BE0C1-9D02-4303-8CB7-959364ACF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pl-PL" w:eastAsia="pl-PL" w:bidi="pl-PL"/>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odytext1">
    <w:name w:val="Body text|1_"/>
    <w:basedOn w:val="Domylnaczcionkaakapitu"/>
    <w:link w:val="Bodytext10"/>
    <w:rPr>
      <w:rFonts w:ascii="Arial" w:eastAsia="Arial" w:hAnsi="Arial" w:cs="Arial"/>
      <w:b w:val="0"/>
      <w:bCs w:val="0"/>
      <w:i w:val="0"/>
      <w:iCs w:val="0"/>
      <w:smallCaps w:val="0"/>
      <w:strike w:val="0"/>
      <w:u w:val="none"/>
    </w:rPr>
  </w:style>
  <w:style w:type="character" w:customStyle="1" w:styleId="Headerorfooter2">
    <w:name w:val="Header or footer|2_"/>
    <w:basedOn w:val="Domylnaczcionkaakapitu"/>
    <w:link w:val="Headerorfooter20"/>
    <w:rPr>
      <w:b w:val="0"/>
      <w:bCs w:val="0"/>
      <w:i w:val="0"/>
      <w:iCs w:val="0"/>
      <w:smallCaps w:val="0"/>
      <w:strike w:val="0"/>
      <w:sz w:val="20"/>
      <w:szCs w:val="20"/>
      <w:u w:val="none"/>
    </w:rPr>
  </w:style>
  <w:style w:type="character" w:customStyle="1" w:styleId="Bodytext2">
    <w:name w:val="Body text|2_"/>
    <w:basedOn w:val="Domylnaczcionkaakapitu"/>
    <w:link w:val="Bodytext20"/>
    <w:rPr>
      <w:rFonts w:ascii="Arial" w:eastAsia="Arial" w:hAnsi="Arial" w:cs="Arial"/>
      <w:b w:val="0"/>
      <w:bCs w:val="0"/>
      <w:i w:val="0"/>
      <w:iCs w:val="0"/>
      <w:smallCaps w:val="0"/>
      <w:strike w:val="0"/>
      <w:sz w:val="19"/>
      <w:szCs w:val="19"/>
      <w:u w:val="none"/>
    </w:rPr>
  </w:style>
  <w:style w:type="character" w:customStyle="1" w:styleId="Tablecaption1">
    <w:name w:val="Table caption|1_"/>
    <w:basedOn w:val="Domylnaczcionkaakapitu"/>
    <w:link w:val="Tablecaption10"/>
    <w:rPr>
      <w:rFonts w:ascii="Arial" w:eastAsia="Arial" w:hAnsi="Arial" w:cs="Arial"/>
      <w:b/>
      <w:bCs/>
      <w:i w:val="0"/>
      <w:iCs w:val="0"/>
      <w:smallCaps w:val="0"/>
      <w:strike w:val="0"/>
      <w:sz w:val="15"/>
      <w:szCs w:val="15"/>
      <w:u w:val="none"/>
    </w:rPr>
  </w:style>
  <w:style w:type="character" w:customStyle="1" w:styleId="Other1">
    <w:name w:val="Other|1_"/>
    <w:basedOn w:val="Domylnaczcionkaakapitu"/>
    <w:link w:val="Other10"/>
    <w:rPr>
      <w:rFonts w:ascii="Arial" w:eastAsia="Arial" w:hAnsi="Arial" w:cs="Arial"/>
      <w:b w:val="0"/>
      <w:bCs w:val="0"/>
      <w:i w:val="0"/>
      <w:iCs w:val="0"/>
      <w:smallCaps w:val="0"/>
      <w:strike w:val="0"/>
      <w:u w:val="none"/>
    </w:rPr>
  </w:style>
  <w:style w:type="character" w:customStyle="1" w:styleId="Bodytext3">
    <w:name w:val="Body text|3_"/>
    <w:basedOn w:val="Domylnaczcionkaakapitu"/>
    <w:link w:val="Bodytext30"/>
    <w:rPr>
      <w:rFonts w:ascii="Arial" w:eastAsia="Arial" w:hAnsi="Arial" w:cs="Arial"/>
      <w:b w:val="0"/>
      <w:bCs w:val="0"/>
      <w:i w:val="0"/>
      <w:iCs w:val="0"/>
      <w:smallCaps w:val="0"/>
      <w:strike w:val="0"/>
      <w:sz w:val="15"/>
      <w:szCs w:val="15"/>
      <w:u w:val="none"/>
    </w:rPr>
  </w:style>
  <w:style w:type="paragraph" w:customStyle="1" w:styleId="Bodytext10">
    <w:name w:val="Body text|1"/>
    <w:basedOn w:val="Normalny"/>
    <w:link w:val="Bodytext1"/>
    <w:pPr>
      <w:spacing w:after="260"/>
    </w:pPr>
    <w:rPr>
      <w:rFonts w:ascii="Arial" w:eastAsia="Arial" w:hAnsi="Arial" w:cs="Arial"/>
    </w:rPr>
  </w:style>
  <w:style w:type="paragraph" w:customStyle="1" w:styleId="Headerorfooter20">
    <w:name w:val="Header or footer|2"/>
    <w:basedOn w:val="Normalny"/>
    <w:link w:val="Headerorfooter2"/>
    <w:rPr>
      <w:sz w:val="20"/>
      <w:szCs w:val="20"/>
    </w:rPr>
  </w:style>
  <w:style w:type="paragraph" w:customStyle="1" w:styleId="Bodytext20">
    <w:name w:val="Body text|2"/>
    <w:basedOn w:val="Normalny"/>
    <w:link w:val="Bodytext2"/>
    <w:pPr>
      <w:spacing w:line="281" w:lineRule="auto"/>
      <w:ind w:left="980"/>
    </w:pPr>
    <w:rPr>
      <w:rFonts w:ascii="Arial" w:eastAsia="Arial" w:hAnsi="Arial" w:cs="Arial"/>
      <w:sz w:val="19"/>
      <w:szCs w:val="19"/>
    </w:rPr>
  </w:style>
  <w:style w:type="paragraph" w:customStyle="1" w:styleId="Tablecaption10">
    <w:name w:val="Table caption|1"/>
    <w:basedOn w:val="Normalny"/>
    <w:link w:val="Tablecaption1"/>
    <w:rPr>
      <w:rFonts w:ascii="Arial" w:eastAsia="Arial" w:hAnsi="Arial" w:cs="Arial"/>
      <w:b/>
      <w:bCs/>
      <w:sz w:val="15"/>
      <w:szCs w:val="15"/>
    </w:rPr>
  </w:style>
  <w:style w:type="paragraph" w:customStyle="1" w:styleId="Other10">
    <w:name w:val="Other|1"/>
    <w:basedOn w:val="Normalny"/>
    <w:link w:val="Other1"/>
    <w:pPr>
      <w:spacing w:after="260"/>
    </w:pPr>
    <w:rPr>
      <w:rFonts w:ascii="Arial" w:eastAsia="Arial" w:hAnsi="Arial" w:cs="Arial"/>
    </w:rPr>
  </w:style>
  <w:style w:type="paragraph" w:customStyle="1" w:styleId="Bodytext30">
    <w:name w:val="Body text|3"/>
    <w:basedOn w:val="Normalny"/>
    <w:link w:val="Bodytext3"/>
    <w:pPr>
      <w:spacing w:after="440"/>
    </w:pPr>
    <w:rPr>
      <w:rFonts w:ascii="Arial" w:eastAsia="Arial" w:hAnsi="Arial" w:cs="Arial"/>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1423</Words>
  <Characters>8540</Characters>
  <Application>Microsoft Office Word</Application>
  <DocSecurity>0</DocSecurity>
  <Lines>71</Lines>
  <Paragraphs>19</Paragraphs>
  <ScaleCrop>false</ScaleCrop>
  <HeadingPairs>
    <vt:vector size="2" baseType="variant">
      <vt:variant>
        <vt:lpstr>Tytuł</vt:lpstr>
      </vt:variant>
      <vt:variant>
        <vt:i4>1</vt:i4>
      </vt:variant>
    </vt:vector>
  </HeadingPairs>
  <TitlesOfParts>
    <vt:vector size="1" baseType="lpstr">
      <vt:lpstr/>
    </vt:vector>
  </TitlesOfParts>
  <Company>MSWiA</Company>
  <LinksUpToDate>false</LinksUpToDate>
  <CharactersWithSpaces>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Tymczyszyn Paweł</dc:creator>
  <cp:lastModifiedBy>Kuziów Marcin</cp:lastModifiedBy>
  <cp:revision>2</cp:revision>
  <dcterms:created xsi:type="dcterms:W3CDTF">2026-09-09T11:29:00Z</dcterms:created>
  <dcterms:modified xsi:type="dcterms:W3CDTF">2026-09-09T11:29:00Z</dcterms:modified>
</cp:coreProperties>
</file>