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58D4A080" w:rsidR="00765FD4" w:rsidRPr="00A35A27" w:rsidRDefault="00765FD4" w:rsidP="00A35A27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A35A27">
        <w:rPr>
          <w:rFonts w:ascii="Arial" w:hAnsi="Arial" w:cs="Arial"/>
          <w:bCs/>
          <w:color w:val="000000" w:themeColor="text1"/>
          <w:sz w:val="28"/>
          <w:szCs w:val="28"/>
        </w:rPr>
        <w:t xml:space="preserve">W nagłówku, </w:t>
      </w:r>
      <w:r w:rsidR="009F7515" w:rsidRPr="00A35A27">
        <w:rPr>
          <w:rFonts w:ascii="Arial" w:hAnsi="Arial" w:cs="Arial"/>
          <w:bCs/>
          <w:color w:val="000000" w:themeColor="text1"/>
          <w:sz w:val="28"/>
          <w:szCs w:val="28"/>
        </w:rPr>
        <w:t>w lewej górnej stronie</w:t>
      </w:r>
      <w:r w:rsidR="008E6C0A" w:rsidRPr="00A35A27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Pr="00A35A27">
        <w:rPr>
          <w:rFonts w:ascii="Arial" w:hAnsi="Arial" w:cs="Arial"/>
          <w:bCs/>
          <w:color w:val="000000" w:themeColor="text1"/>
          <w:sz w:val="28"/>
          <w:szCs w:val="28"/>
        </w:rPr>
        <w:t>znajduje się logo Komisji do spraw reprywatyzacji nieruchomości warszawskich zawierające godło państwa polskiego i podkreślenie w formie miniaturki flagi RP</w:t>
      </w:r>
    </w:p>
    <w:p w14:paraId="7D5B7F9A" w14:textId="1D401D63" w:rsidR="00765FD4" w:rsidRPr="00A35A27" w:rsidRDefault="00765FD4" w:rsidP="00A35A2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35A27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236540" w:rsidRPr="00A35A27">
        <w:rPr>
          <w:rFonts w:ascii="Arial" w:hAnsi="Arial" w:cs="Arial"/>
          <w:color w:val="000000" w:themeColor="text1"/>
          <w:sz w:val="28"/>
          <w:szCs w:val="28"/>
        </w:rPr>
        <w:t>21 grudnia</w:t>
      </w:r>
      <w:r w:rsidRPr="00A35A27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A35A27">
        <w:rPr>
          <w:rFonts w:ascii="Arial" w:hAnsi="Arial" w:cs="Arial"/>
          <w:color w:val="000000" w:themeColor="text1"/>
          <w:sz w:val="28"/>
          <w:szCs w:val="28"/>
        </w:rPr>
        <w:t>2</w:t>
      </w:r>
      <w:r w:rsidRPr="00A35A27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418DC445" w:rsidR="00765FD4" w:rsidRPr="00A35A27" w:rsidRDefault="00765FD4" w:rsidP="00A35A27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A35A27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236540" w:rsidRPr="00A35A27">
        <w:rPr>
          <w:rFonts w:ascii="Arial" w:hAnsi="Arial" w:cs="Arial"/>
          <w:bCs/>
          <w:color w:val="000000" w:themeColor="text1"/>
          <w:sz w:val="28"/>
          <w:szCs w:val="28"/>
        </w:rPr>
        <w:t>10</w:t>
      </w:r>
      <w:r w:rsidR="00A35A27" w:rsidRPr="00A35A27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="00E172A2" w:rsidRPr="00A35A27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1720DC" w:rsidRPr="00A35A27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6543C4" w:rsidRPr="00A35A27">
        <w:rPr>
          <w:rFonts w:ascii="Arial" w:hAnsi="Arial" w:cs="Arial"/>
          <w:bCs/>
          <w:color w:val="000000" w:themeColor="text1"/>
          <w:sz w:val="28"/>
          <w:szCs w:val="28"/>
        </w:rPr>
        <w:t>2</w:t>
      </w:r>
    </w:p>
    <w:p w14:paraId="275F527D" w14:textId="441D6EAA" w:rsidR="00AC0D39" w:rsidRPr="00A35A27" w:rsidRDefault="00AC0D39" w:rsidP="00A35A27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A35A27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1720DC" w:rsidRPr="00A35A27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A35A27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236540" w:rsidRPr="00A35A27">
        <w:rPr>
          <w:rFonts w:ascii="Arial" w:hAnsi="Arial" w:cs="Arial"/>
          <w:bCs/>
          <w:color w:val="000000" w:themeColor="text1"/>
          <w:sz w:val="28"/>
          <w:szCs w:val="28"/>
        </w:rPr>
        <w:t>4</w:t>
      </w:r>
      <w:r w:rsidR="00A35A27" w:rsidRPr="00A35A27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 w:rsidR="001720DC" w:rsidRPr="00A35A27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A35A27">
        <w:rPr>
          <w:rFonts w:ascii="Arial" w:hAnsi="Arial" w:cs="Arial"/>
          <w:bCs/>
          <w:color w:val="000000" w:themeColor="text1"/>
          <w:sz w:val="28"/>
          <w:szCs w:val="28"/>
        </w:rPr>
        <w:t>20</w:t>
      </w:r>
      <w:r w:rsidR="001720DC" w:rsidRPr="00A35A27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6543C4" w:rsidRPr="00A35A27">
        <w:rPr>
          <w:rFonts w:ascii="Arial" w:hAnsi="Arial" w:cs="Arial"/>
          <w:bCs/>
          <w:color w:val="000000" w:themeColor="text1"/>
          <w:sz w:val="28"/>
          <w:szCs w:val="28"/>
        </w:rPr>
        <w:t>2</w:t>
      </w:r>
    </w:p>
    <w:p w14:paraId="656F8B7A" w14:textId="0AAE3E8D" w:rsidR="001720DC" w:rsidRPr="00A35A27" w:rsidRDefault="009F7515" w:rsidP="00A35A27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35A27">
        <w:rPr>
          <w:rFonts w:ascii="Arial" w:hAnsi="Arial" w:cs="Arial"/>
          <w:color w:val="000000" w:themeColor="text1"/>
          <w:sz w:val="28"/>
          <w:szCs w:val="28"/>
        </w:rPr>
        <w:t>ZAWIADOMIENIE</w:t>
      </w:r>
    </w:p>
    <w:p w14:paraId="40F9D142" w14:textId="66581816" w:rsidR="009F7515" w:rsidRPr="00A35A27" w:rsidRDefault="009F7515" w:rsidP="00A35A27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35A27">
        <w:rPr>
          <w:rFonts w:ascii="Arial" w:hAnsi="Arial" w:cs="Arial"/>
          <w:color w:val="000000" w:themeColor="text1"/>
          <w:sz w:val="28"/>
          <w:szCs w:val="28"/>
        </w:rPr>
        <w:t>o wszczęciu postępowania rozpoznawczego</w:t>
      </w:r>
    </w:p>
    <w:p w14:paraId="5421269A" w14:textId="71906EC8" w:rsidR="009F7515" w:rsidRPr="00A35A27" w:rsidRDefault="009F7515" w:rsidP="00A35A2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35A27">
        <w:rPr>
          <w:rFonts w:ascii="Arial" w:hAnsi="Arial" w:cs="Arial"/>
          <w:color w:val="000000" w:themeColor="text1"/>
          <w:sz w:val="28"/>
          <w:szCs w:val="28"/>
        </w:rPr>
        <w:t xml:space="preserve">Na podstawie art. 16 ustęp 2, ustęp 3 i ustęp 4 ustawy z dnia 9 marca 2017 r. o szczególnych zasadach usuwania skutków prawnych decyzji reprywatyzacyjnych dotyczących nieruchomości warszawskich, wydanych z naruszeniem prawa </w:t>
      </w:r>
      <w:r w:rsidRPr="00A35A27">
        <w:rPr>
          <w:rFonts w:ascii="Arial" w:hAnsi="Arial" w:cs="Arial"/>
          <w:bCs/>
          <w:color w:val="000000" w:themeColor="text1"/>
          <w:sz w:val="28"/>
          <w:szCs w:val="28"/>
        </w:rPr>
        <w:t xml:space="preserve">(Dz. U. z 2021 r. poz. 795) </w:t>
      </w:r>
      <w:r w:rsidR="00C1362D" w:rsidRPr="00A35A2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A35A27">
        <w:rPr>
          <w:rFonts w:ascii="Arial" w:hAnsi="Arial" w:cs="Arial"/>
          <w:color w:val="000000" w:themeColor="text1"/>
          <w:sz w:val="28"/>
          <w:szCs w:val="28"/>
        </w:rPr>
        <w:t xml:space="preserve">w wykonaniu postanowienia Komisji do spraw reprywatyzacji nieruchomości warszawskich z dnia </w:t>
      </w:r>
      <w:r w:rsidR="00236540" w:rsidRPr="00A35A27">
        <w:rPr>
          <w:rFonts w:ascii="Arial" w:hAnsi="Arial" w:cs="Arial"/>
          <w:color w:val="000000" w:themeColor="text1"/>
          <w:sz w:val="28"/>
          <w:szCs w:val="28"/>
        </w:rPr>
        <w:t>14 grudnia</w:t>
      </w:r>
      <w:r w:rsidRPr="00A35A27">
        <w:rPr>
          <w:rFonts w:ascii="Arial" w:hAnsi="Arial" w:cs="Arial"/>
          <w:color w:val="000000" w:themeColor="text1"/>
          <w:sz w:val="28"/>
          <w:szCs w:val="28"/>
        </w:rPr>
        <w:t xml:space="preserve"> 2022 r., sygn. akt KR VI R </w:t>
      </w:r>
      <w:r w:rsidR="00236540" w:rsidRPr="00A35A27">
        <w:rPr>
          <w:rFonts w:ascii="Arial" w:hAnsi="Arial" w:cs="Arial"/>
          <w:color w:val="000000" w:themeColor="text1"/>
          <w:sz w:val="28"/>
          <w:szCs w:val="28"/>
        </w:rPr>
        <w:t>10</w:t>
      </w:r>
      <w:r w:rsidR="00A35A27" w:rsidRPr="00A35A27">
        <w:rPr>
          <w:rFonts w:ascii="Arial" w:hAnsi="Arial" w:cs="Arial"/>
          <w:color w:val="000000" w:themeColor="text1"/>
          <w:sz w:val="28"/>
          <w:szCs w:val="28"/>
        </w:rPr>
        <w:t>3</w:t>
      </w:r>
      <w:r w:rsidRPr="00A35A27">
        <w:rPr>
          <w:rFonts w:ascii="Arial" w:hAnsi="Arial" w:cs="Arial"/>
          <w:color w:val="000000" w:themeColor="text1"/>
          <w:sz w:val="28"/>
          <w:szCs w:val="28"/>
        </w:rPr>
        <w:t>/22</w:t>
      </w:r>
    </w:p>
    <w:p w14:paraId="2F2A0C4B" w14:textId="5B5A81AD" w:rsidR="009F7515" w:rsidRPr="00A35A27" w:rsidRDefault="009F7515" w:rsidP="00A35A27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A35A27">
        <w:rPr>
          <w:rFonts w:ascii="Arial" w:hAnsi="Arial" w:cs="Arial"/>
          <w:bCs/>
          <w:color w:val="000000" w:themeColor="text1"/>
          <w:sz w:val="28"/>
          <w:szCs w:val="28"/>
        </w:rPr>
        <w:t>zawiadamiam następujące strony:</w:t>
      </w:r>
    </w:p>
    <w:p w14:paraId="07F39002" w14:textId="77777777" w:rsidR="009F7515" w:rsidRPr="00A35A27" w:rsidRDefault="009F7515" w:rsidP="00A35A2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35A27">
        <w:rPr>
          <w:rFonts w:ascii="Arial" w:hAnsi="Arial" w:cs="Arial"/>
          <w:bCs/>
          <w:color w:val="000000" w:themeColor="text1"/>
          <w:sz w:val="28"/>
          <w:szCs w:val="28"/>
        </w:rPr>
        <w:t>1. Miasto Stołeczne Warszawa,</w:t>
      </w:r>
    </w:p>
    <w:p w14:paraId="11D17F7C" w14:textId="35A8E035" w:rsidR="009F7515" w:rsidRPr="00A35A27" w:rsidRDefault="009F7515" w:rsidP="00A35A2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35A27">
        <w:rPr>
          <w:rFonts w:ascii="Arial" w:hAnsi="Arial" w:cs="Arial"/>
          <w:color w:val="000000" w:themeColor="text1"/>
          <w:sz w:val="28"/>
          <w:szCs w:val="28"/>
        </w:rPr>
        <w:t xml:space="preserve">2. </w:t>
      </w:r>
      <w:r w:rsidR="00236540" w:rsidRPr="00A35A27">
        <w:rPr>
          <w:rFonts w:ascii="Arial" w:hAnsi="Arial" w:cs="Arial"/>
          <w:bCs/>
          <w:color w:val="000000" w:themeColor="text1"/>
          <w:sz w:val="28"/>
          <w:szCs w:val="28"/>
        </w:rPr>
        <w:t>Prokuratora Regionalnego w Warszawie</w:t>
      </w:r>
      <w:r w:rsidRPr="00A35A27">
        <w:rPr>
          <w:rFonts w:ascii="Arial" w:hAnsi="Arial" w:cs="Arial"/>
          <w:bCs/>
          <w:color w:val="000000" w:themeColor="text1"/>
          <w:sz w:val="28"/>
          <w:szCs w:val="28"/>
        </w:rPr>
        <w:t>,</w:t>
      </w:r>
    </w:p>
    <w:p w14:paraId="57EA5DCB" w14:textId="4065B6A5" w:rsidR="009F7515" w:rsidRPr="00A35A27" w:rsidRDefault="009F7515" w:rsidP="00A35A2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35A27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3. </w:t>
      </w:r>
      <w:r w:rsidR="00236540" w:rsidRPr="00A35A27">
        <w:rPr>
          <w:rFonts w:ascii="Arial" w:hAnsi="Arial" w:cs="Arial"/>
          <w:bCs/>
          <w:color w:val="000000" w:themeColor="text1"/>
          <w:sz w:val="28"/>
          <w:szCs w:val="28"/>
        </w:rPr>
        <w:t>„Społem” Warszawską Spółdzielnię Spożywców Śródmieście z siedzibą w Warszawie</w:t>
      </w:r>
    </w:p>
    <w:p w14:paraId="7EB77D58" w14:textId="77877585" w:rsidR="00A35A27" w:rsidRPr="00A35A27" w:rsidRDefault="00A35A27" w:rsidP="00A35A27">
      <w:pPr>
        <w:spacing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35A27">
        <w:rPr>
          <w:rFonts w:ascii="Arial" w:hAnsi="Arial" w:cs="Arial"/>
          <w:color w:val="000000" w:themeColor="text1"/>
          <w:sz w:val="28"/>
          <w:szCs w:val="28"/>
        </w:rPr>
        <w:t xml:space="preserve">o wszczęciu z urzędu w dniu 14 grudnia 2022 r. postępowania rozpoznawczego w sprawie </w:t>
      </w:r>
      <w:r w:rsidRPr="00A35A27">
        <w:rPr>
          <w:rFonts w:ascii="Arial" w:hAnsi="Arial" w:cs="Arial"/>
          <w:bCs/>
          <w:color w:val="000000" w:themeColor="text1"/>
          <w:sz w:val="28"/>
          <w:szCs w:val="28"/>
        </w:rPr>
        <w:t xml:space="preserve">decyzji Prezydenta m.st. Warszawy z dnia </w:t>
      </w:r>
      <w:r w:rsidRPr="00A35A2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A35A27">
        <w:rPr>
          <w:rFonts w:ascii="Arial" w:eastAsia="Calibri" w:hAnsi="Arial" w:cs="Arial"/>
          <w:color w:val="000000" w:themeColor="text1"/>
          <w:sz w:val="28"/>
          <w:szCs w:val="28"/>
        </w:rPr>
        <w:t xml:space="preserve">  </w:t>
      </w:r>
      <w:r w:rsidRPr="00A35A27">
        <w:rPr>
          <w:rFonts w:ascii="Arial" w:hAnsi="Arial" w:cs="Arial"/>
          <w:bCs/>
          <w:color w:val="000000" w:themeColor="text1"/>
          <w:sz w:val="28"/>
          <w:szCs w:val="28"/>
        </w:rPr>
        <w:t>lutego</w:t>
      </w:r>
      <w:r w:rsidRPr="00A35A27">
        <w:rPr>
          <w:rFonts w:ascii="Arial" w:eastAsia="Calibri" w:hAnsi="Arial" w:cs="Arial"/>
          <w:color w:val="000000" w:themeColor="text1"/>
          <w:sz w:val="28"/>
          <w:szCs w:val="28"/>
        </w:rPr>
        <w:t xml:space="preserve">  </w:t>
      </w:r>
      <w:r w:rsidRPr="00A35A27">
        <w:rPr>
          <w:rFonts w:ascii="Arial" w:hAnsi="Arial" w:cs="Arial"/>
          <w:bCs/>
          <w:color w:val="000000" w:themeColor="text1"/>
          <w:sz w:val="28"/>
          <w:szCs w:val="28"/>
        </w:rPr>
        <w:t>2010 r. nr</w:t>
      </w:r>
      <w:r w:rsidRPr="00A35A27">
        <w:rPr>
          <w:rFonts w:ascii="Arial" w:eastAsia="Calibri" w:hAnsi="Arial" w:cs="Arial"/>
          <w:color w:val="000000" w:themeColor="text1"/>
          <w:sz w:val="28"/>
          <w:szCs w:val="28"/>
        </w:rPr>
        <w:t> </w:t>
      </w:r>
      <w:r w:rsidRPr="00A35A27">
        <w:rPr>
          <w:rFonts w:ascii="Arial" w:hAnsi="Arial" w:cs="Arial"/>
          <w:bCs/>
          <w:color w:val="000000" w:themeColor="text1"/>
          <w:sz w:val="28"/>
          <w:szCs w:val="28"/>
        </w:rPr>
        <w:t xml:space="preserve"> 71/GK/DW/2010 ustanawiającej prawo użytkowania wieczystego do niezabudowanego gruntu o powierzchni 1083</w:t>
      </w:r>
      <w:r w:rsidRPr="00A35A27">
        <w:rPr>
          <w:rFonts w:ascii="Arial" w:eastAsia="Calibri" w:hAnsi="Arial" w:cs="Arial"/>
          <w:color w:val="000000" w:themeColor="text1"/>
          <w:sz w:val="28"/>
          <w:szCs w:val="28"/>
        </w:rPr>
        <w:t xml:space="preserve">  </w:t>
      </w:r>
      <w:r w:rsidRPr="00A35A27">
        <w:rPr>
          <w:rFonts w:ascii="Arial" w:hAnsi="Arial" w:cs="Arial"/>
          <w:bCs/>
          <w:color w:val="000000" w:themeColor="text1"/>
          <w:sz w:val="28"/>
          <w:szCs w:val="28"/>
        </w:rPr>
        <w:t>m</w:t>
      </w:r>
      <w:r w:rsidRPr="00A35A27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Pr="00A35A27">
        <w:rPr>
          <w:rFonts w:ascii="Arial" w:hAnsi="Arial" w:cs="Arial"/>
          <w:bCs/>
          <w:color w:val="000000" w:themeColor="text1"/>
          <w:sz w:val="28"/>
          <w:szCs w:val="28"/>
        </w:rPr>
        <w:t xml:space="preserve"> położonego w  Warszawie przy ul. Wareckiej (dawniej Nowy Świat 53), stanowiącego działkę ewidencyjną nr 8/3 z obrębu 5-03-11, dla której Sąd Rejonowy dla Warszawy - Mokotowa w Warszawie prowadzi księgę wieczystą nr</w:t>
      </w:r>
      <w:r w:rsidRPr="00A35A27">
        <w:rPr>
          <w:rFonts w:ascii="Arial" w:eastAsia="Calibri" w:hAnsi="Arial" w:cs="Arial"/>
          <w:color w:val="000000" w:themeColor="text1"/>
          <w:sz w:val="28"/>
          <w:szCs w:val="28"/>
        </w:rPr>
        <w:t> </w:t>
      </w:r>
      <w:r w:rsidRPr="00A35A27">
        <w:rPr>
          <w:rFonts w:ascii="Arial" w:hAnsi="Arial" w:cs="Arial"/>
          <w:bCs/>
          <w:color w:val="000000" w:themeColor="text1"/>
          <w:sz w:val="28"/>
          <w:szCs w:val="28"/>
        </w:rPr>
        <w:t>WA4M/00345447/0, dawne oznaczenie numerem hipotecznym 1252.</w:t>
      </w:r>
    </w:p>
    <w:p w14:paraId="319620BC" w14:textId="41CE594C" w:rsidR="00765FD4" w:rsidRPr="00A35A27" w:rsidRDefault="00765FD4" w:rsidP="00A35A27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A35A27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Przewodniczący Komisji</w:t>
      </w:r>
    </w:p>
    <w:p w14:paraId="629C9EBF" w14:textId="082840BC" w:rsidR="00596BC7" w:rsidRPr="00A35A27" w:rsidRDefault="00765FD4" w:rsidP="00A35A27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A35A27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50C22D23" w14:textId="77777777" w:rsidR="00B900EF" w:rsidRPr="00A35A27" w:rsidRDefault="00765FD4" w:rsidP="00A35A27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A35A27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7EB042F6" w14:textId="6BD4572B" w:rsidR="009F7515" w:rsidRPr="00A35A27" w:rsidRDefault="009F7515" w:rsidP="00A35A2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35A27">
        <w:rPr>
          <w:rFonts w:ascii="Arial" w:hAnsi="Arial" w:cs="Arial"/>
          <w:color w:val="000000" w:themeColor="text1"/>
          <w:sz w:val="28"/>
          <w:szCs w:val="28"/>
        </w:rPr>
        <w:t xml:space="preserve">1. Zgodnie z art. 16 ustęp 2 ustawy z dnia 9 marca 2017 r. o szczególnych zasadach usuwania skutków prawnych decyzji reprywatyzacyjnych dotyczących nieruchomości warszawskich, wydanych z naruszeniem prawa (tj. Dz. U. z 2021 r. poz. 795, dalej: ustawa) o wszczęciu postępowania rozpoznawczego Komisja zawiadamia m.st. Warszawę oraz pozostałe strony postępowania. Zgodnie z art. 16 ustęp 3 ustawy strony mogą być zawiadamiane o wszczęciu postępowania, decyzjach i innych czynnościach Komisji poprzez ogłoszenie w Biuletynie Informacji Publicznej, na stronie podmiotowej urzędu obsługującego Ministra Sprawiedliwości. Zgodnie z </w:t>
      </w:r>
      <w:r w:rsidRPr="00A35A27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art. 16 ustęp 4 ustawy zawiadomienie albo doręczenie uważa się za dokonane po upływie 7 dni od dnia publicznego ogłoszenia. </w:t>
      </w:r>
    </w:p>
    <w:p w14:paraId="4B05E43B" w14:textId="77777777" w:rsidR="009F7515" w:rsidRPr="00A35A27" w:rsidRDefault="009F7515" w:rsidP="00A35A2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35A27">
        <w:rPr>
          <w:rFonts w:ascii="Arial" w:hAnsi="Arial" w:cs="Arial"/>
          <w:color w:val="000000" w:themeColor="text1"/>
          <w:sz w:val="28"/>
          <w:szCs w:val="28"/>
        </w:rPr>
        <w:t>2.  Zgodnie z art. 33 ustawy z dnia 14 czerwca 1960 r. – Kodeks postępowania administracyjnego (Dz. U. z 2021 r. poz. 735):</w:t>
      </w:r>
    </w:p>
    <w:p w14:paraId="3C1197DB" w14:textId="77777777" w:rsidR="009F7515" w:rsidRPr="00A35A27" w:rsidRDefault="009F7515" w:rsidP="00A35A2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35A27">
        <w:rPr>
          <w:rFonts w:ascii="Arial" w:hAnsi="Arial" w:cs="Arial"/>
          <w:color w:val="000000" w:themeColor="text1"/>
          <w:sz w:val="28"/>
          <w:szCs w:val="28"/>
        </w:rPr>
        <w:t>§ 1. Pełnomocnikiem strony może być osoba fizyczna posiadająca zdolność do czynności prawnych.</w:t>
      </w:r>
    </w:p>
    <w:p w14:paraId="09FB8008" w14:textId="77777777" w:rsidR="009F7515" w:rsidRPr="00A35A27" w:rsidRDefault="009F7515" w:rsidP="00A35A2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35A27">
        <w:rPr>
          <w:rFonts w:ascii="Arial" w:hAnsi="Arial" w:cs="Arial"/>
          <w:color w:val="000000" w:themeColor="text1"/>
          <w:sz w:val="28"/>
          <w:szCs w:val="28"/>
        </w:rPr>
        <w:t>§ 2. Pełnomocnictwo powinno być udzielone na piśmie, w formie dokumentu elektronicznego lub zgłoszone do protokołu.</w:t>
      </w:r>
    </w:p>
    <w:p w14:paraId="106B73B9" w14:textId="77777777" w:rsidR="009F7515" w:rsidRPr="00A35A27" w:rsidRDefault="009F7515" w:rsidP="00A35A2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35A27">
        <w:rPr>
          <w:rFonts w:ascii="Arial" w:hAnsi="Arial" w:cs="Arial"/>
          <w:color w:val="000000" w:themeColor="text1"/>
          <w:sz w:val="28"/>
          <w:szCs w:val="28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05433842" w14:textId="77777777" w:rsidR="009F7515" w:rsidRPr="00A35A27" w:rsidRDefault="009F7515" w:rsidP="00A35A2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35A27">
        <w:rPr>
          <w:rFonts w:ascii="Arial" w:hAnsi="Arial" w:cs="Arial"/>
          <w:color w:val="000000" w:themeColor="text1"/>
          <w:sz w:val="28"/>
          <w:szCs w:val="28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7ED1EA5B" w14:textId="26C1EAAB" w:rsidR="009F7515" w:rsidRPr="00A35A27" w:rsidRDefault="009F7515" w:rsidP="00A35A2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35A27">
        <w:rPr>
          <w:rFonts w:ascii="Arial" w:hAnsi="Arial" w:cs="Arial"/>
          <w:color w:val="000000" w:themeColor="text1"/>
          <w:sz w:val="28"/>
          <w:szCs w:val="28"/>
        </w:rPr>
        <w:t xml:space="preserve">3. Zgodnie z art.  21 ustęp 1 ustawy z dnia 6 lipca 1982 r. ustawy o radach prawnych (Dz. U. z 2022 r. poz. 1166) radca prawny może udzielić dalszego pełnomocnictwa (substytucji) innemu radcy prawnemu, adwokatowi, prawnikowi zagranicznemu wykonującemu stałą praktykę w </w:t>
      </w:r>
      <w:r w:rsidRPr="00A35A27">
        <w:rPr>
          <w:rFonts w:ascii="Arial" w:hAnsi="Arial" w:cs="Arial"/>
          <w:color w:val="000000" w:themeColor="text1"/>
          <w:sz w:val="28"/>
          <w:szCs w:val="28"/>
        </w:rPr>
        <w:lastRenderedPageBreak/>
        <w:t>zakresie wynikającym z ustawy o świadczeniu przez prawników zagranicznych pomocy prawnej w Rzeczypospolitej Polskiej.</w:t>
      </w:r>
    </w:p>
    <w:p w14:paraId="56188F9B" w14:textId="5A8390CA" w:rsidR="009F7515" w:rsidRPr="00A35A27" w:rsidRDefault="009F7515" w:rsidP="00A35A2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35A27">
        <w:rPr>
          <w:rFonts w:ascii="Arial" w:hAnsi="Arial" w:cs="Arial"/>
          <w:color w:val="000000" w:themeColor="text1"/>
          <w:sz w:val="28"/>
          <w:szCs w:val="28"/>
        </w:rPr>
        <w:t>4. Zgodnie z art.  35</w:t>
      </w:r>
      <w:r w:rsidRPr="00A35A27">
        <w:rPr>
          <w:rFonts w:ascii="Arial" w:hAnsi="Arial" w:cs="Arial"/>
          <w:color w:val="000000" w:themeColor="text1"/>
          <w:sz w:val="28"/>
          <w:szCs w:val="28"/>
          <w:vertAlign w:val="superscript"/>
        </w:rPr>
        <w:t>1</w:t>
      </w:r>
      <w:r w:rsidRPr="00A35A27">
        <w:rPr>
          <w:rFonts w:ascii="Arial" w:hAnsi="Arial" w:cs="Arial"/>
          <w:color w:val="000000" w:themeColor="text1"/>
          <w:sz w:val="28"/>
          <w:szCs w:val="28"/>
        </w:rPr>
        <w:t xml:space="preserve"> ustęp 4 ustawy z dnia 6 lipca 1982 r. ustawy o radach prawnych (Dz. U. z 2022 r. poz. 1166)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074A128A" w14:textId="063749E1" w:rsidR="009F7515" w:rsidRPr="00A35A27" w:rsidRDefault="009F7515" w:rsidP="00A35A2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35A27">
        <w:rPr>
          <w:rFonts w:ascii="Arial" w:hAnsi="Arial" w:cs="Arial"/>
          <w:color w:val="000000" w:themeColor="text1"/>
          <w:sz w:val="28"/>
          <w:szCs w:val="28"/>
        </w:rPr>
        <w:t>5. Zgodnie z art. 25 ustęp 3 ustawy z dnia 26 maja 1982 r. – Prawo o adwokaturze (Dz. U. z 2022 r. poz. 1184) w wypadku gdy adwokat prowadzący sprawę nie może wziąć osobiście udziału w rozprawie lub wykonać osobiście poszczególnych czynności w sprawie, może on udzielić substytucji.</w:t>
      </w:r>
    </w:p>
    <w:p w14:paraId="0EE02497" w14:textId="5CA0E386" w:rsidR="00994608" w:rsidRPr="00A35A27" w:rsidRDefault="009F7515" w:rsidP="00A35A2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35A27">
        <w:rPr>
          <w:rFonts w:ascii="Arial" w:hAnsi="Arial" w:cs="Arial"/>
          <w:color w:val="000000" w:themeColor="text1"/>
          <w:sz w:val="28"/>
          <w:szCs w:val="28"/>
        </w:rPr>
        <w:t>6. Zgodnie z art. 77 ustęp 5 ustawy z dnia 26 maja 1982 r. – Prawo o adwokaturze (Dz. U. z 2022 r. poz. 1184)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sectPr w:rsidR="00994608" w:rsidRPr="00A35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62076"/>
    <w:multiLevelType w:val="hybridMultilevel"/>
    <w:tmpl w:val="1B862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70624"/>
    <w:multiLevelType w:val="hybridMultilevel"/>
    <w:tmpl w:val="BBB6D9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06980"/>
    <w:multiLevelType w:val="hybridMultilevel"/>
    <w:tmpl w:val="22E2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6108">
    <w:abstractNumId w:val="1"/>
  </w:num>
  <w:num w:numId="2" w16cid:durableId="1052650883">
    <w:abstractNumId w:val="3"/>
  </w:num>
  <w:num w:numId="3" w16cid:durableId="20216169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2928601">
    <w:abstractNumId w:val="4"/>
  </w:num>
  <w:num w:numId="5" w16cid:durableId="86967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17299"/>
    <w:rsid w:val="001720DC"/>
    <w:rsid w:val="001A2465"/>
    <w:rsid w:val="00236540"/>
    <w:rsid w:val="00245012"/>
    <w:rsid w:val="00247A15"/>
    <w:rsid w:val="002F0972"/>
    <w:rsid w:val="00314A81"/>
    <w:rsid w:val="00376BB0"/>
    <w:rsid w:val="005355F1"/>
    <w:rsid w:val="00596BC7"/>
    <w:rsid w:val="006543C4"/>
    <w:rsid w:val="006E2E77"/>
    <w:rsid w:val="00732645"/>
    <w:rsid w:val="00765FD4"/>
    <w:rsid w:val="008A6DBA"/>
    <w:rsid w:val="008E6C0A"/>
    <w:rsid w:val="00994608"/>
    <w:rsid w:val="009F7515"/>
    <w:rsid w:val="00A35A27"/>
    <w:rsid w:val="00AC0D39"/>
    <w:rsid w:val="00B327C9"/>
    <w:rsid w:val="00B3546E"/>
    <w:rsid w:val="00B900EF"/>
    <w:rsid w:val="00BE6876"/>
    <w:rsid w:val="00C1362D"/>
    <w:rsid w:val="00D22D34"/>
    <w:rsid w:val="00D56F18"/>
    <w:rsid w:val="00DD538F"/>
    <w:rsid w:val="00E172A2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D7B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character" w:customStyle="1" w:styleId="FontStyle39">
    <w:name w:val="Font Style39"/>
    <w:uiPriority w:val="99"/>
    <w:rsid w:val="001720DC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uiPriority w:val="99"/>
    <w:rsid w:val="001720DC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8C951-D328-4B60-AB5C-4A992565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2022-12-21T12:37:00Z</dcterms:created>
  <dcterms:modified xsi:type="dcterms:W3CDTF">2022-12-21T12:37:00Z</dcterms:modified>
</cp:coreProperties>
</file>